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B9" w:rsidRPr="00E11FCA" w:rsidRDefault="004929B9" w:rsidP="0088655C">
      <w:pPr>
        <w:autoSpaceDE w:val="0"/>
        <w:autoSpaceDN w:val="0"/>
        <w:bidi w:val="0"/>
        <w:adjustRightInd w:val="0"/>
        <w:spacing w:after="0" w:line="240" w:lineRule="auto"/>
        <w:jc w:val="center"/>
        <w:rPr>
          <w:rFonts w:ascii="Times New Roman" w:hAnsi="Times New Roman" w:cs="Times New Roman"/>
          <w:b/>
          <w:bCs/>
          <w:sz w:val="24"/>
          <w:szCs w:val="24"/>
        </w:rPr>
      </w:pPr>
      <w:bookmarkStart w:id="0" w:name="_GoBack"/>
      <w:bookmarkEnd w:id="0"/>
      <w:r w:rsidRPr="00E11FCA">
        <w:rPr>
          <w:rFonts w:ascii="Times New Roman" w:hAnsi="Times New Roman" w:cs="Times New Roman"/>
          <w:b/>
          <w:bCs/>
          <w:sz w:val="24"/>
          <w:szCs w:val="24"/>
        </w:rPr>
        <w:t xml:space="preserve">Definitive Radiotherapy </w:t>
      </w:r>
      <w:r w:rsidR="001B24FA">
        <w:rPr>
          <w:rFonts w:ascii="Times New Roman" w:hAnsi="Times New Roman" w:cs="Times New Roman"/>
          <w:b/>
          <w:bCs/>
          <w:sz w:val="24"/>
          <w:szCs w:val="24"/>
        </w:rPr>
        <w:t>C</w:t>
      </w:r>
      <w:r w:rsidRPr="00E11FCA">
        <w:rPr>
          <w:rFonts w:ascii="Times New Roman" w:hAnsi="Times New Roman" w:cs="Times New Roman"/>
          <w:b/>
          <w:bCs/>
          <w:sz w:val="24"/>
          <w:szCs w:val="24"/>
        </w:rPr>
        <w:t>oncurrent</w:t>
      </w:r>
      <w:r w:rsidR="0088655C">
        <w:rPr>
          <w:rFonts w:ascii="Times New Roman" w:hAnsi="Times New Roman" w:cs="Times New Roman"/>
          <w:b/>
          <w:bCs/>
          <w:sz w:val="24"/>
          <w:szCs w:val="24"/>
        </w:rPr>
        <w:t xml:space="preserve"> with</w:t>
      </w:r>
      <w:r w:rsidRPr="00E11FCA">
        <w:rPr>
          <w:rFonts w:ascii="Times New Roman" w:hAnsi="Times New Roman" w:cs="Times New Roman"/>
          <w:b/>
          <w:bCs/>
          <w:sz w:val="24"/>
          <w:szCs w:val="24"/>
        </w:rPr>
        <w:t xml:space="preserve"> Carboplatin in the Treatment of Locally Advanced Head and Neck </w:t>
      </w:r>
      <w:r w:rsidRPr="001B24FA">
        <w:rPr>
          <w:rFonts w:ascii="Times New Roman" w:hAnsi="Times New Roman" w:cs="Times New Roman"/>
          <w:b/>
          <w:bCs/>
          <w:sz w:val="24"/>
          <w:szCs w:val="24"/>
        </w:rPr>
        <w:t xml:space="preserve">Cancers </w:t>
      </w:r>
      <w:r w:rsidR="00204A0F" w:rsidRPr="001B24FA">
        <w:rPr>
          <w:rFonts w:ascii="Times New Roman" w:hAnsi="Times New Roman" w:cs="Times New Roman"/>
          <w:b/>
          <w:bCs/>
          <w:sz w:val="24"/>
          <w:szCs w:val="24"/>
        </w:rPr>
        <w:t xml:space="preserve">in </w:t>
      </w:r>
      <w:r w:rsidR="001B24FA">
        <w:rPr>
          <w:rFonts w:ascii="Times New Roman" w:hAnsi="Times New Roman" w:cs="Times New Roman"/>
          <w:b/>
          <w:bCs/>
          <w:sz w:val="24"/>
          <w:szCs w:val="24"/>
        </w:rPr>
        <w:t>P</w:t>
      </w:r>
      <w:r w:rsidR="00204A0F" w:rsidRPr="001B24FA">
        <w:rPr>
          <w:rFonts w:ascii="Times New Roman" w:hAnsi="Times New Roman" w:cs="Times New Roman"/>
          <w:b/>
          <w:bCs/>
          <w:sz w:val="24"/>
          <w:szCs w:val="24"/>
        </w:rPr>
        <w:t>atients</w:t>
      </w:r>
      <w:r w:rsidR="00204A0F" w:rsidRPr="00E11FCA">
        <w:rPr>
          <w:rFonts w:ascii="Times New Roman" w:hAnsi="Times New Roman" w:cs="Times New Roman"/>
          <w:b/>
          <w:bCs/>
          <w:sz w:val="24"/>
          <w:szCs w:val="24"/>
        </w:rPr>
        <w:t xml:space="preserve"> </w:t>
      </w:r>
      <w:r w:rsidR="001B24FA">
        <w:rPr>
          <w:rFonts w:ascii="Times New Roman" w:hAnsi="Times New Roman" w:cs="Times New Roman"/>
          <w:b/>
          <w:bCs/>
          <w:sz w:val="24"/>
          <w:szCs w:val="24"/>
        </w:rPr>
        <w:t>I</w:t>
      </w:r>
      <w:r w:rsidRPr="00E11FCA">
        <w:rPr>
          <w:rFonts w:ascii="Times New Roman" w:hAnsi="Times New Roman" w:cs="Times New Roman"/>
          <w:b/>
          <w:bCs/>
          <w:sz w:val="24"/>
          <w:szCs w:val="24"/>
        </w:rPr>
        <w:t xml:space="preserve">neligible for </w:t>
      </w:r>
      <w:r w:rsidR="001B24FA">
        <w:rPr>
          <w:rFonts w:ascii="Times New Roman" w:hAnsi="Times New Roman" w:cs="Times New Roman"/>
          <w:b/>
          <w:bCs/>
          <w:sz w:val="24"/>
          <w:szCs w:val="24"/>
        </w:rPr>
        <w:t>C</w:t>
      </w:r>
      <w:r w:rsidRPr="00E11FCA">
        <w:rPr>
          <w:rFonts w:ascii="Times New Roman" w:hAnsi="Times New Roman" w:cs="Times New Roman"/>
          <w:b/>
          <w:bCs/>
          <w:sz w:val="24"/>
          <w:szCs w:val="24"/>
        </w:rPr>
        <w:t xml:space="preserve">isplatin </w:t>
      </w:r>
    </w:p>
    <w:p w:rsidR="0042606E" w:rsidRDefault="0042606E" w:rsidP="0042606E">
      <w:pPr>
        <w:autoSpaceDE w:val="0"/>
        <w:autoSpaceDN w:val="0"/>
        <w:bidi w:val="0"/>
        <w:adjustRightInd w:val="0"/>
        <w:spacing w:after="0" w:line="240" w:lineRule="auto"/>
        <w:ind w:left="360" w:hanging="360"/>
        <w:jc w:val="center"/>
        <w:rPr>
          <w:rFonts w:ascii="Times New Roman" w:eastAsia="Times New Roman+FPEF" w:hAnsi="Times New Roman" w:cs="Times New Roman"/>
          <w:color w:val="000000"/>
          <w:sz w:val="24"/>
          <w:szCs w:val="24"/>
          <w:lang w:eastAsia="ja-JP"/>
        </w:rPr>
      </w:pPr>
    </w:p>
    <w:p w:rsidR="0042606E" w:rsidRPr="00566058" w:rsidRDefault="0042606E" w:rsidP="0042606E">
      <w:pPr>
        <w:autoSpaceDE w:val="0"/>
        <w:autoSpaceDN w:val="0"/>
        <w:bidi w:val="0"/>
        <w:adjustRightInd w:val="0"/>
        <w:spacing w:after="0" w:line="240" w:lineRule="auto"/>
        <w:ind w:left="360" w:hanging="360"/>
        <w:jc w:val="center"/>
        <w:rPr>
          <w:rFonts w:ascii="Times New Roman" w:eastAsia="Times New Roman+FPEF" w:hAnsi="Times New Roman" w:cs="Times New Roman"/>
          <w:color w:val="000000"/>
          <w:sz w:val="24"/>
          <w:szCs w:val="24"/>
          <w:lang w:eastAsia="ja-JP"/>
        </w:rPr>
      </w:pPr>
      <w:proofErr w:type="spellStart"/>
      <w:r w:rsidRPr="00566058">
        <w:rPr>
          <w:rFonts w:ascii="Times New Roman" w:eastAsia="Times New Roman+FPEF" w:hAnsi="Times New Roman" w:cs="Times New Roman"/>
          <w:color w:val="000000"/>
          <w:sz w:val="24"/>
          <w:szCs w:val="24"/>
          <w:lang w:eastAsia="ja-JP"/>
        </w:rPr>
        <w:t>Alaa</w:t>
      </w:r>
      <w:proofErr w:type="spellEnd"/>
      <w:r w:rsidRPr="00566058">
        <w:rPr>
          <w:rFonts w:ascii="Times New Roman" w:eastAsia="Times New Roman+FPEF" w:hAnsi="Times New Roman" w:cs="Times New Roman"/>
          <w:color w:val="000000"/>
          <w:sz w:val="24"/>
          <w:szCs w:val="24"/>
          <w:lang w:eastAsia="ja-JP"/>
        </w:rPr>
        <w:t xml:space="preserve"> Maria and </w:t>
      </w:r>
      <w:proofErr w:type="spellStart"/>
      <w:r w:rsidRPr="00566058">
        <w:rPr>
          <w:rFonts w:ascii="Times New Roman" w:hAnsi="Times New Roman" w:cs="Times New Roman"/>
          <w:sz w:val="24"/>
          <w:szCs w:val="24"/>
        </w:rPr>
        <w:t>Amro</w:t>
      </w:r>
      <w:proofErr w:type="spellEnd"/>
      <w:r w:rsidRPr="00566058">
        <w:rPr>
          <w:rFonts w:ascii="Times New Roman" w:hAnsi="Times New Roman" w:cs="Times New Roman"/>
          <w:sz w:val="24"/>
          <w:szCs w:val="24"/>
        </w:rPr>
        <w:t xml:space="preserve"> </w:t>
      </w:r>
      <w:proofErr w:type="spellStart"/>
      <w:r w:rsidRPr="00566058">
        <w:rPr>
          <w:rFonts w:ascii="Times New Roman" w:hAnsi="Times New Roman" w:cs="Times New Roman"/>
          <w:sz w:val="24"/>
          <w:szCs w:val="24"/>
        </w:rPr>
        <w:t>Ghannam</w:t>
      </w:r>
      <w:proofErr w:type="spellEnd"/>
    </w:p>
    <w:p w:rsidR="0042606E" w:rsidRPr="001555AE" w:rsidRDefault="0042606E" w:rsidP="0042606E">
      <w:pPr>
        <w:autoSpaceDE w:val="0"/>
        <w:autoSpaceDN w:val="0"/>
        <w:bidi w:val="0"/>
        <w:adjustRightInd w:val="0"/>
        <w:spacing w:after="0" w:line="240" w:lineRule="auto"/>
        <w:ind w:left="360" w:hanging="360"/>
        <w:jc w:val="center"/>
        <w:rPr>
          <w:rFonts w:ascii="Times New Roman" w:eastAsia="Times New Roman+FPEF" w:hAnsi="Times New Roman" w:cs="Times New Roman"/>
          <w:color w:val="000000"/>
          <w:sz w:val="24"/>
          <w:szCs w:val="24"/>
          <w:lang w:eastAsia="ja-JP"/>
        </w:rPr>
      </w:pPr>
      <w:proofErr w:type="gramStart"/>
      <w:r w:rsidRPr="001555AE">
        <w:rPr>
          <w:rFonts w:ascii="Times New Roman" w:hAnsi="Times New Roman" w:cs="Times New Roman"/>
          <w:sz w:val="24"/>
          <w:szCs w:val="24"/>
        </w:rPr>
        <w:t>Clinical Oncology Department, Faculty of Medicine, Tanta University, Egypt.</w:t>
      </w:r>
      <w:proofErr w:type="gramEnd"/>
    </w:p>
    <w:p w:rsidR="001A5F9C" w:rsidRPr="00F35BDE" w:rsidRDefault="001A5F9C" w:rsidP="001A5F9C">
      <w:pPr>
        <w:autoSpaceDE w:val="0"/>
        <w:autoSpaceDN w:val="0"/>
        <w:bidi w:val="0"/>
        <w:adjustRightInd w:val="0"/>
        <w:spacing w:after="0" w:line="240" w:lineRule="auto"/>
        <w:ind w:left="360" w:hanging="360"/>
        <w:jc w:val="center"/>
        <w:rPr>
          <w:rFonts w:ascii="Times New Roman" w:eastAsia="Times New Roman+FPEF" w:hAnsi="Times New Roman" w:cs="Times New Roman"/>
          <w:color w:val="000000"/>
          <w:sz w:val="20"/>
          <w:szCs w:val="20"/>
          <w:lang w:eastAsia="ja-JP"/>
        </w:rPr>
      </w:pPr>
      <w:hyperlink r:id="rId8" w:history="1">
        <w:r w:rsidRPr="00F35BDE">
          <w:rPr>
            <w:rStyle w:val="Hyperlink"/>
            <w:sz w:val="20"/>
            <w:szCs w:val="20"/>
          </w:rPr>
          <w:t>alaamaria1@hotmail.com</w:t>
        </w:r>
      </w:hyperlink>
    </w:p>
    <w:p w:rsidR="001A5F9C" w:rsidRDefault="001A5F9C" w:rsidP="006F2280">
      <w:pPr>
        <w:tabs>
          <w:tab w:val="left" w:pos="9000"/>
        </w:tabs>
        <w:autoSpaceDE w:val="0"/>
        <w:autoSpaceDN w:val="0"/>
        <w:bidi w:val="0"/>
        <w:adjustRightInd w:val="0"/>
        <w:spacing w:after="0" w:line="240" w:lineRule="auto"/>
        <w:ind w:right="26"/>
        <w:jc w:val="both"/>
        <w:rPr>
          <w:rFonts w:ascii="Times New Roman" w:hAnsi="Times New Roman" w:cs="Times New Roman"/>
          <w:b/>
          <w:bCs/>
          <w:sz w:val="20"/>
          <w:szCs w:val="20"/>
        </w:rPr>
      </w:pPr>
    </w:p>
    <w:p w:rsidR="007F7BC8" w:rsidRPr="00E11FCA" w:rsidRDefault="004929B9" w:rsidP="001A5F9C">
      <w:pPr>
        <w:tabs>
          <w:tab w:val="left" w:pos="9000"/>
        </w:tabs>
        <w:autoSpaceDE w:val="0"/>
        <w:autoSpaceDN w:val="0"/>
        <w:bidi w:val="0"/>
        <w:adjustRightInd w:val="0"/>
        <w:spacing w:after="0" w:line="240" w:lineRule="auto"/>
        <w:ind w:right="26"/>
        <w:jc w:val="both"/>
        <w:rPr>
          <w:rFonts w:ascii="Times New Roman" w:hAnsi="Times New Roman" w:cs="Times New Roman"/>
          <w:sz w:val="20"/>
          <w:szCs w:val="20"/>
        </w:rPr>
      </w:pPr>
      <w:r w:rsidRPr="00E11FCA">
        <w:rPr>
          <w:rFonts w:ascii="Times New Roman" w:hAnsi="Times New Roman" w:cs="Times New Roman"/>
          <w:b/>
          <w:bCs/>
          <w:sz w:val="20"/>
          <w:szCs w:val="20"/>
        </w:rPr>
        <w:t>Abstract: Purpose:</w:t>
      </w:r>
      <w:r w:rsidRPr="00E11FCA">
        <w:rPr>
          <w:rFonts w:ascii="Times New Roman" w:hAnsi="Times New Roman" w:cs="Times New Roman"/>
          <w:sz w:val="20"/>
          <w:szCs w:val="20"/>
        </w:rPr>
        <w:t xml:space="preserve"> The </w:t>
      </w:r>
      <w:r w:rsidR="00311306">
        <w:rPr>
          <w:rFonts w:ascii="Times New Roman" w:hAnsi="Times New Roman" w:cs="Times New Roman"/>
          <w:sz w:val="20"/>
          <w:szCs w:val="20"/>
        </w:rPr>
        <w:t xml:space="preserve">objective </w:t>
      </w:r>
      <w:r w:rsidRPr="00E11FCA">
        <w:rPr>
          <w:rFonts w:ascii="Times New Roman" w:hAnsi="Times New Roman" w:cs="Times New Roman"/>
          <w:sz w:val="20"/>
          <w:szCs w:val="20"/>
        </w:rPr>
        <w:t xml:space="preserve">of this study is to analyze the clinical outcomes and </w:t>
      </w:r>
      <w:r w:rsidR="002F649F" w:rsidRPr="00E11FCA">
        <w:rPr>
          <w:rFonts w:ascii="Times New Roman" w:hAnsi="Times New Roman" w:cs="Times New Roman"/>
          <w:sz w:val="20"/>
          <w:szCs w:val="20"/>
        </w:rPr>
        <w:t>practicability</w:t>
      </w:r>
      <w:r w:rsidRPr="00E11FCA">
        <w:rPr>
          <w:rFonts w:ascii="Times New Roman" w:hAnsi="Times New Roman" w:cs="Times New Roman"/>
          <w:sz w:val="20"/>
          <w:szCs w:val="20"/>
        </w:rPr>
        <w:t xml:space="preserve"> of concurrent carboplatin plus radiation therapy (RT) in patients </w:t>
      </w:r>
      <w:r w:rsidR="00311306">
        <w:rPr>
          <w:rFonts w:ascii="Times New Roman" w:hAnsi="Times New Roman" w:cs="Times New Roman"/>
          <w:sz w:val="20"/>
          <w:szCs w:val="20"/>
        </w:rPr>
        <w:t xml:space="preserve">diagnosed as </w:t>
      </w:r>
      <w:r w:rsidRPr="00E11FCA">
        <w:rPr>
          <w:rFonts w:ascii="Times New Roman" w:hAnsi="Times New Roman" w:cs="Times New Roman"/>
          <w:sz w:val="20"/>
          <w:szCs w:val="20"/>
        </w:rPr>
        <w:t xml:space="preserve">locally </w:t>
      </w:r>
      <w:r w:rsidR="00311306">
        <w:rPr>
          <w:rFonts w:ascii="Times New Roman" w:hAnsi="Times New Roman" w:cs="Times New Roman"/>
          <w:sz w:val="20"/>
          <w:szCs w:val="20"/>
        </w:rPr>
        <w:t>progressive</w:t>
      </w:r>
      <w:r w:rsidRPr="00E11FCA">
        <w:rPr>
          <w:rFonts w:ascii="Times New Roman" w:hAnsi="Times New Roman" w:cs="Times New Roman"/>
          <w:sz w:val="20"/>
          <w:szCs w:val="20"/>
        </w:rPr>
        <w:t xml:space="preserve"> squamous cell carcinoma of the head and neck (LA-SCCHN) that are ineligible for cisplatin treatment.</w:t>
      </w:r>
      <w:r w:rsidR="00353558" w:rsidRPr="00E11FCA">
        <w:rPr>
          <w:rFonts w:ascii="Times New Roman" w:hAnsi="Times New Roman" w:cs="Times New Roman"/>
          <w:sz w:val="20"/>
          <w:szCs w:val="20"/>
        </w:rPr>
        <w:t xml:space="preserve"> </w:t>
      </w:r>
      <w:r w:rsidRPr="00E11FCA">
        <w:rPr>
          <w:rFonts w:ascii="Times New Roman" w:hAnsi="Times New Roman" w:cs="Times New Roman"/>
          <w:b/>
          <w:bCs/>
          <w:sz w:val="20"/>
          <w:szCs w:val="20"/>
        </w:rPr>
        <w:t>Patients and methods:</w:t>
      </w:r>
      <w:r w:rsidRPr="00E11FCA">
        <w:rPr>
          <w:rFonts w:ascii="Times New Roman" w:hAnsi="Times New Roman" w:cs="Times New Roman"/>
          <w:sz w:val="20"/>
          <w:szCs w:val="20"/>
        </w:rPr>
        <w:t xml:space="preserve"> Thirty-one patients with histologically confirmed LA-SCCHN were eligible. All patients received carboplatin concurrent with conventionally fractionated RT.</w:t>
      </w:r>
      <w:r w:rsidR="00353558" w:rsidRPr="00E11FCA">
        <w:rPr>
          <w:rFonts w:ascii="Times New Roman" w:hAnsi="Times New Roman" w:cs="Times New Roman"/>
          <w:sz w:val="20"/>
          <w:szCs w:val="20"/>
        </w:rPr>
        <w:t xml:space="preserve"> </w:t>
      </w:r>
      <w:r w:rsidRPr="00E11FCA">
        <w:rPr>
          <w:rFonts w:ascii="Times New Roman" w:hAnsi="Times New Roman" w:cs="Times New Roman"/>
          <w:b/>
          <w:bCs/>
          <w:sz w:val="20"/>
          <w:szCs w:val="20"/>
        </w:rPr>
        <w:t>Results:</w:t>
      </w:r>
      <w:r w:rsidR="00315AD1" w:rsidRPr="00E11FCA">
        <w:rPr>
          <w:rFonts w:ascii="Times New Roman" w:hAnsi="Times New Roman" w:cs="Times New Roman"/>
          <w:b/>
          <w:bCs/>
          <w:sz w:val="20"/>
          <w:szCs w:val="20"/>
        </w:rPr>
        <w:t xml:space="preserve"> </w:t>
      </w:r>
      <w:r w:rsidR="006E025C" w:rsidRPr="00E11FCA">
        <w:rPr>
          <w:rFonts w:ascii="Times New Roman" w:hAnsi="Times New Roman" w:cs="Times New Roman"/>
          <w:sz w:val="20"/>
          <w:szCs w:val="20"/>
        </w:rPr>
        <w:t xml:space="preserve">The median age </w:t>
      </w:r>
      <w:r w:rsidR="00D2653A" w:rsidRPr="00E11FCA">
        <w:rPr>
          <w:rFonts w:ascii="Times New Roman" w:hAnsi="Times New Roman" w:cs="Times New Roman"/>
          <w:sz w:val="20"/>
          <w:szCs w:val="20"/>
        </w:rPr>
        <w:t xml:space="preserve">of our patients </w:t>
      </w:r>
      <w:r w:rsidR="006E025C" w:rsidRPr="00E11FCA">
        <w:rPr>
          <w:rFonts w:ascii="Times New Roman" w:hAnsi="Times New Roman" w:cs="Times New Roman"/>
          <w:sz w:val="20"/>
          <w:szCs w:val="20"/>
        </w:rPr>
        <w:t xml:space="preserve">was </w:t>
      </w:r>
      <w:r w:rsidR="00420719" w:rsidRPr="00E11FCA">
        <w:rPr>
          <w:rFonts w:ascii="Times New Roman" w:hAnsi="Times New Roman" w:cs="Times New Roman"/>
          <w:sz w:val="20"/>
          <w:szCs w:val="20"/>
        </w:rPr>
        <w:t>65 (range: 40–75)</w:t>
      </w:r>
      <w:r w:rsidR="006E025C" w:rsidRPr="00E11FCA">
        <w:rPr>
          <w:rFonts w:ascii="Times New Roman" w:hAnsi="Times New Roman" w:cs="Times New Roman"/>
          <w:sz w:val="20"/>
          <w:szCs w:val="20"/>
        </w:rPr>
        <w:t xml:space="preserve"> years </w:t>
      </w:r>
      <w:r w:rsidR="00315AD1" w:rsidRPr="00E11FCA">
        <w:rPr>
          <w:rFonts w:ascii="Times New Roman" w:hAnsi="Times New Roman" w:cs="Times New Roman"/>
          <w:sz w:val="20"/>
          <w:szCs w:val="20"/>
        </w:rPr>
        <w:t xml:space="preserve">with </w:t>
      </w:r>
      <w:r w:rsidR="002C1830" w:rsidRPr="00E11FCA">
        <w:rPr>
          <w:rFonts w:ascii="Times New Roman" w:hAnsi="Times New Roman" w:cs="Times New Roman"/>
          <w:sz w:val="20"/>
          <w:szCs w:val="20"/>
        </w:rPr>
        <w:t>male</w:t>
      </w:r>
      <w:r w:rsidR="00315AD1" w:rsidRPr="00E11FCA">
        <w:rPr>
          <w:rFonts w:ascii="Times New Roman" w:hAnsi="Times New Roman" w:cs="Times New Roman"/>
          <w:sz w:val="20"/>
          <w:szCs w:val="20"/>
        </w:rPr>
        <w:t xml:space="preserve"> predominance.</w:t>
      </w:r>
      <w:r w:rsidR="006E025C" w:rsidRPr="00E11FCA">
        <w:rPr>
          <w:rFonts w:ascii="Times New Roman" w:hAnsi="Times New Roman" w:cs="Times New Roman"/>
          <w:sz w:val="20"/>
          <w:szCs w:val="20"/>
        </w:rPr>
        <w:t xml:space="preserve"> </w:t>
      </w:r>
      <w:r w:rsidR="00315AD1" w:rsidRPr="00E11FCA">
        <w:rPr>
          <w:rFonts w:ascii="Times New Roman" w:hAnsi="Times New Roman" w:cs="Times New Roman"/>
          <w:sz w:val="20"/>
          <w:szCs w:val="20"/>
        </w:rPr>
        <w:t xml:space="preserve">Laryngeal cancer constitutes 51.6% with 61.3% had </w:t>
      </w:r>
      <w:r w:rsidR="00CC65D6">
        <w:rPr>
          <w:rFonts w:ascii="Times New Roman" w:hAnsi="Times New Roman" w:cs="Times New Roman"/>
          <w:sz w:val="20"/>
          <w:szCs w:val="20"/>
        </w:rPr>
        <w:t>performance status</w:t>
      </w:r>
      <w:r w:rsidR="006F2280">
        <w:rPr>
          <w:rFonts w:ascii="Times New Roman" w:hAnsi="Times New Roman" w:cs="Times New Roman"/>
          <w:sz w:val="20"/>
          <w:szCs w:val="20"/>
        </w:rPr>
        <w:t xml:space="preserve"> (PS)</w:t>
      </w:r>
      <w:r w:rsidR="00315AD1" w:rsidRPr="00E11FCA">
        <w:rPr>
          <w:rFonts w:ascii="Times New Roman" w:hAnsi="Times New Roman" w:cs="Times New Roman"/>
          <w:sz w:val="20"/>
          <w:szCs w:val="20"/>
        </w:rPr>
        <w:t xml:space="preserve"> 2 and 71% had </w:t>
      </w:r>
      <w:r w:rsidR="00E11FCA">
        <w:rPr>
          <w:rFonts w:ascii="Times New Roman" w:hAnsi="Times New Roman" w:cs="Times New Roman"/>
          <w:sz w:val="20"/>
          <w:szCs w:val="20"/>
        </w:rPr>
        <w:t>s</w:t>
      </w:r>
      <w:r w:rsidR="00315AD1" w:rsidRPr="00E11FCA">
        <w:rPr>
          <w:rFonts w:ascii="Times New Roman" w:hAnsi="Times New Roman" w:cs="Times New Roman"/>
          <w:sz w:val="20"/>
          <w:szCs w:val="20"/>
        </w:rPr>
        <w:t>tage IV disease. Carboplatin administered tri-weekly in 22 (71%) patients.</w:t>
      </w:r>
      <w:r w:rsidR="00835B5A" w:rsidRPr="00E11FCA">
        <w:rPr>
          <w:rFonts w:ascii="Times New Roman" w:hAnsi="Times New Roman" w:cs="Times New Roman"/>
          <w:sz w:val="20"/>
          <w:szCs w:val="20"/>
        </w:rPr>
        <w:t xml:space="preserve"> </w:t>
      </w:r>
      <w:r w:rsidR="00C37F1B" w:rsidRPr="00E11FCA">
        <w:rPr>
          <w:rFonts w:ascii="Times New Roman" w:hAnsi="Times New Roman" w:cs="Times New Roman"/>
          <w:sz w:val="20"/>
          <w:szCs w:val="20"/>
        </w:rPr>
        <w:t>The</w:t>
      </w:r>
      <w:r w:rsidR="006E025C" w:rsidRPr="00E11FCA">
        <w:rPr>
          <w:rFonts w:ascii="Times New Roman" w:hAnsi="Times New Roman" w:cs="Times New Roman"/>
          <w:sz w:val="20"/>
          <w:szCs w:val="20"/>
        </w:rPr>
        <w:t xml:space="preserve"> main </w:t>
      </w:r>
      <w:r w:rsidR="00420719" w:rsidRPr="00E11FCA">
        <w:rPr>
          <w:rFonts w:ascii="Times New Roman" w:hAnsi="Times New Roman" w:cs="Times New Roman"/>
          <w:sz w:val="20"/>
          <w:szCs w:val="20"/>
        </w:rPr>
        <w:t>causes</w:t>
      </w:r>
      <w:r w:rsidR="006E025C" w:rsidRPr="00E11FCA">
        <w:rPr>
          <w:rFonts w:ascii="Times New Roman" w:hAnsi="Times New Roman" w:cs="Times New Roman"/>
          <w:sz w:val="20"/>
          <w:szCs w:val="20"/>
        </w:rPr>
        <w:t xml:space="preserve"> for choosing carboplatin were </w:t>
      </w:r>
      <w:r w:rsidR="00835B5A" w:rsidRPr="00E11FCA">
        <w:rPr>
          <w:rFonts w:ascii="Times New Roman" w:hAnsi="Times New Roman" w:cs="Times New Roman"/>
          <w:sz w:val="20"/>
          <w:szCs w:val="20"/>
        </w:rPr>
        <w:t xml:space="preserve">advanced </w:t>
      </w:r>
      <w:r w:rsidR="006E025C" w:rsidRPr="00E11FCA">
        <w:rPr>
          <w:rFonts w:ascii="Times New Roman" w:hAnsi="Times New Roman" w:cs="Times New Roman"/>
          <w:sz w:val="20"/>
          <w:szCs w:val="20"/>
        </w:rPr>
        <w:t xml:space="preserve">age and </w:t>
      </w:r>
      <w:r w:rsidR="006F2280">
        <w:rPr>
          <w:rFonts w:ascii="Times New Roman" w:hAnsi="Times New Roman" w:cs="Times New Roman"/>
          <w:sz w:val="20"/>
          <w:szCs w:val="20"/>
        </w:rPr>
        <w:t>PS</w:t>
      </w:r>
      <w:r w:rsidR="007C7F78" w:rsidRPr="00E11FCA">
        <w:rPr>
          <w:rFonts w:ascii="Times New Roman" w:hAnsi="Times New Roman" w:cs="Times New Roman"/>
          <w:sz w:val="20"/>
          <w:szCs w:val="20"/>
        </w:rPr>
        <w:t xml:space="preserve"> </w:t>
      </w:r>
      <w:r w:rsidR="006E025C" w:rsidRPr="00E11FCA">
        <w:rPr>
          <w:rFonts w:ascii="Times New Roman" w:hAnsi="Times New Roman" w:cs="Times New Roman"/>
          <w:sz w:val="20"/>
          <w:szCs w:val="20"/>
        </w:rPr>
        <w:t>of 2 (61</w:t>
      </w:r>
      <w:r w:rsidR="00835B5A" w:rsidRPr="00E11FCA">
        <w:rPr>
          <w:rFonts w:ascii="Times New Roman" w:hAnsi="Times New Roman" w:cs="Times New Roman"/>
          <w:sz w:val="20"/>
          <w:szCs w:val="20"/>
        </w:rPr>
        <w:t>.3</w:t>
      </w:r>
      <w:r w:rsidR="006E025C" w:rsidRPr="00E11FCA">
        <w:rPr>
          <w:rFonts w:ascii="Times New Roman" w:hAnsi="Times New Roman" w:cs="Times New Roman"/>
          <w:sz w:val="20"/>
          <w:szCs w:val="20"/>
        </w:rPr>
        <w:t xml:space="preserve">%). </w:t>
      </w:r>
      <w:r w:rsidR="00835B5A" w:rsidRPr="00E11FCA">
        <w:rPr>
          <w:rFonts w:ascii="Times New Roman" w:hAnsi="Times New Roman" w:cs="Times New Roman"/>
          <w:sz w:val="20"/>
          <w:szCs w:val="20"/>
        </w:rPr>
        <w:t>Twenty-five (80.6%) patients received the pre</w:t>
      </w:r>
      <w:r w:rsidR="001B24FA">
        <w:rPr>
          <w:rFonts w:ascii="Times New Roman" w:hAnsi="Times New Roman" w:cs="Times New Roman"/>
          <w:sz w:val="20"/>
          <w:szCs w:val="20"/>
        </w:rPr>
        <w:t>-</w:t>
      </w:r>
      <w:r w:rsidR="00835B5A" w:rsidRPr="00E11FCA">
        <w:rPr>
          <w:rFonts w:ascii="Times New Roman" w:hAnsi="Times New Roman" w:cs="Times New Roman"/>
          <w:sz w:val="20"/>
          <w:szCs w:val="20"/>
        </w:rPr>
        <w:t xml:space="preserve">specified dose of carboplatin. Twenty-seven (87.1%) patients received </w:t>
      </w:r>
      <w:r w:rsidR="001B24FA">
        <w:rPr>
          <w:rFonts w:ascii="Times New Roman" w:hAnsi="Times New Roman" w:cs="Times New Roman"/>
          <w:sz w:val="20"/>
          <w:szCs w:val="20"/>
        </w:rPr>
        <w:t xml:space="preserve">RT to </w:t>
      </w:r>
      <w:r w:rsidR="00311306" w:rsidRPr="00E11FCA">
        <w:rPr>
          <w:rFonts w:ascii="Times New Roman" w:hAnsi="Times New Roman" w:cs="Times New Roman"/>
          <w:sz w:val="20"/>
          <w:szCs w:val="20"/>
        </w:rPr>
        <w:t xml:space="preserve">70 </w:t>
      </w:r>
      <w:proofErr w:type="spellStart"/>
      <w:r w:rsidR="00311306" w:rsidRPr="00E11FCA">
        <w:rPr>
          <w:rFonts w:ascii="Times New Roman" w:hAnsi="Times New Roman" w:cs="Times New Roman"/>
          <w:sz w:val="20"/>
          <w:szCs w:val="20"/>
        </w:rPr>
        <w:t>Gy</w:t>
      </w:r>
      <w:proofErr w:type="spellEnd"/>
      <w:r w:rsidR="00311306" w:rsidRPr="00E11FCA">
        <w:rPr>
          <w:rFonts w:ascii="Times New Roman" w:hAnsi="Times New Roman" w:cs="Times New Roman"/>
          <w:sz w:val="20"/>
          <w:szCs w:val="20"/>
        </w:rPr>
        <w:t xml:space="preserve"> </w:t>
      </w:r>
      <w:r w:rsidR="00835B5A" w:rsidRPr="00E11FCA">
        <w:rPr>
          <w:rFonts w:ascii="Times New Roman" w:hAnsi="Times New Roman" w:cs="Times New Roman"/>
          <w:sz w:val="20"/>
          <w:szCs w:val="20"/>
        </w:rPr>
        <w:t>a total dose</w:t>
      </w:r>
      <w:r w:rsidR="000A29EE" w:rsidRPr="00E11FCA">
        <w:rPr>
          <w:rFonts w:ascii="Times New Roman" w:hAnsi="Times New Roman" w:cs="Times New Roman"/>
          <w:sz w:val="20"/>
          <w:szCs w:val="20"/>
        </w:rPr>
        <w:t>. T</w:t>
      </w:r>
      <w:r w:rsidR="007C7F78" w:rsidRPr="00E11FCA">
        <w:rPr>
          <w:rFonts w:ascii="Times New Roman" w:hAnsi="Times New Roman" w:cs="Times New Roman"/>
          <w:sz w:val="20"/>
          <w:szCs w:val="20"/>
        </w:rPr>
        <w:t xml:space="preserve">he </w:t>
      </w:r>
      <w:r w:rsidR="00835B5A" w:rsidRPr="00E11FCA">
        <w:rPr>
          <w:rFonts w:ascii="Times New Roman" w:hAnsi="Times New Roman" w:cs="Times New Roman"/>
          <w:sz w:val="20"/>
          <w:szCs w:val="20"/>
        </w:rPr>
        <w:t xml:space="preserve">median duration of RT was </w:t>
      </w:r>
      <w:r w:rsidR="000A29EE" w:rsidRPr="00E11FCA">
        <w:rPr>
          <w:rFonts w:ascii="Times New Roman" w:hAnsi="Times New Roman" w:cs="Times New Roman"/>
          <w:sz w:val="20"/>
          <w:szCs w:val="20"/>
        </w:rPr>
        <w:t>54</w:t>
      </w:r>
      <w:r w:rsidR="00835B5A" w:rsidRPr="00E11FCA">
        <w:rPr>
          <w:rFonts w:ascii="Times New Roman" w:hAnsi="Times New Roman" w:cs="Times New Roman"/>
          <w:sz w:val="20"/>
          <w:szCs w:val="20"/>
        </w:rPr>
        <w:t xml:space="preserve"> days (range, </w:t>
      </w:r>
      <w:r w:rsidR="000A29EE" w:rsidRPr="00E11FCA">
        <w:rPr>
          <w:rFonts w:ascii="Times New Roman" w:hAnsi="Times New Roman" w:cs="Times New Roman"/>
          <w:sz w:val="20"/>
          <w:szCs w:val="20"/>
        </w:rPr>
        <w:t>47</w:t>
      </w:r>
      <w:r w:rsidR="00835B5A" w:rsidRPr="00E11FCA">
        <w:rPr>
          <w:rFonts w:ascii="Times New Roman" w:hAnsi="Times New Roman" w:cs="Times New Roman"/>
          <w:sz w:val="20"/>
          <w:szCs w:val="20"/>
        </w:rPr>
        <w:t>–</w:t>
      </w:r>
      <w:r w:rsidR="000A29EE" w:rsidRPr="00E11FCA">
        <w:rPr>
          <w:rFonts w:ascii="Times New Roman" w:hAnsi="Times New Roman" w:cs="Times New Roman"/>
          <w:sz w:val="20"/>
          <w:szCs w:val="20"/>
        </w:rPr>
        <w:t>65</w:t>
      </w:r>
      <w:r w:rsidR="00835B5A" w:rsidRPr="00E11FCA">
        <w:rPr>
          <w:rFonts w:ascii="Times New Roman" w:hAnsi="Times New Roman" w:cs="Times New Roman"/>
          <w:sz w:val="20"/>
          <w:szCs w:val="20"/>
        </w:rPr>
        <w:t xml:space="preserve">). Complete response was observed </w:t>
      </w:r>
      <w:r w:rsidR="007C7F78" w:rsidRPr="00E11FCA">
        <w:rPr>
          <w:rFonts w:ascii="Times New Roman" w:hAnsi="Times New Roman" w:cs="Times New Roman"/>
          <w:sz w:val="20"/>
          <w:szCs w:val="20"/>
        </w:rPr>
        <w:t xml:space="preserve">in </w:t>
      </w:r>
      <w:r w:rsidR="000A29EE" w:rsidRPr="00E11FCA">
        <w:rPr>
          <w:rFonts w:ascii="Times New Roman" w:hAnsi="Times New Roman" w:cs="Times New Roman"/>
          <w:sz w:val="20"/>
          <w:szCs w:val="20"/>
        </w:rPr>
        <w:t>32.3</w:t>
      </w:r>
      <w:r w:rsidR="00835B5A" w:rsidRPr="00E11FCA">
        <w:rPr>
          <w:rFonts w:ascii="Times New Roman" w:hAnsi="Times New Roman" w:cs="Times New Roman"/>
          <w:sz w:val="20"/>
          <w:szCs w:val="20"/>
        </w:rPr>
        <w:t xml:space="preserve">% </w:t>
      </w:r>
      <w:r w:rsidR="007C7F78" w:rsidRPr="00E11FCA">
        <w:rPr>
          <w:rFonts w:ascii="Times New Roman" w:hAnsi="Times New Roman" w:cs="Times New Roman"/>
          <w:sz w:val="20"/>
          <w:szCs w:val="20"/>
        </w:rPr>
        <w:t xml:space="preserve">of </w:t>
      </w:r>
      <w:r w:rsidR="00835B5A" w:rsidRPr="00E11FCA">
        <w:rPr>
          <w:rFonts w:ascii="Times New Roman" w:hAnsi="Times New Roman" w:cs="Times New Roman"/>
          <w:sz w:val="20"/>
          <w:szCs w:val="20"/>
        </w:rPr>
        <w:t xml:space="preserve">patients. </w:t>
      </w:r>
      <w:r w:rsidR="007C7F78" w:rsidRPr="00E11FCA">
        <w:rPr>
          <w:rFonts w:ascii="Times New Roman" w:hAnsi="Times New Roman" w:cs="Times New Roman"/>
          <w:sz w:val="20"/>
          <w:szCs w:val="20"/>
        </w:rPr>
        <w:t>The common</w:t>
      </w:r>
      <w:r w:rsidR="001C3D94">
        <w:rPr>
          <w:rFonts w:ascii="Times New Roman" w:hAnsi="Times New Roman" w:cs="Times New Roman"/>
          <w:sz w:val="20"/>
          <w:szCs w:val="20"/>
        </w:rPr>
        <w:t>est</w:t>
      </w:r>
      <w:r w:rsidR="007C7F78" w:rsidRPr="00E11FCA">
        <w:rPr>
          <w:rFonts w:ascii="Times New Roman" w:hAnsi="Times New Roman" w:cs="Times New Roman"/>
          <w:sz w:val="20"/>
          <w:szCs w:val="20"/>
        </w:rPr>
        <w:t xml:space="preserve"> g</w:t>
      </w:r>
      <w:r w:rsidR="00835B5A" w:rsidRPr="00E11FCA">
        <w:rPr>
          <w:rFonts w:ascii="Times New Roman" w:hAnsi="Times New Roman" w:cs="Times New Roman"/>
          <w:sz w:val="20"/>
          <w:szCs w:val="20"/>
        </w:rPr>
        <w:t>rade 3</w:t>
      </w:r>
      <w:r w:rsidR="007C7F78" w:rsidRPr="00E11FCA">
        <w:rPr>
          <w:rFonts w:ascii="Times New Roman" w:hAnsi="Times New Roman" w:cs="Times New Roman"/>
          <w:sz w:val="20"/>
          <w:szCs w:val="20"/>
        </w:rPr>
        <w:t>/</w:t>
      </w:r>
      <w:r w:rsidR="00835B5A" w:rsidRPr="00E11FCA">
        <w:rPr>
          <w:rFonts w:ascii="Times New Roman" w:hAnsi="Times New Roman" w:cs="Times New Roman"/>
          <w:sz w:val="20"/>
          <w:szCs w:val="20"/>
        </w:rPr>
        <w:t>4 toxicit</w:t>
      </w:r>
      <w:r w:rsidR="007C7F78" w:rsidRPr="00E11FCA">
        <w:rPr>
          <w:rFonts w:ascii="Times New Roman" w:hAnsi="Times New Roman" w:cs="Times New Roman"/>
          <w:sz w:val="20"/>
          <w:szCs w:val="20"/>
        </w:rPr>
        <w:t>ies were</w:t>
      </w:r>
      <w:r w:rsidR="00835B5A" w:rsidRPr="00E11FCA">
        <w:rPr>
          <w:rFonts w:ascii="Times New Roman" w:hAnsi="Times New Roman" w:cs="Times New Roman"/>
          <w:sz w:val="20"/>
          <w:szCs w:val="20"/>
        </w:rPr>
        <w:t xml:space="preserve"> oral mucositis</w:t>
      </w:r>
      <w:r w:rsidR="007C7F78" w:rsidRPr="00E11FCA">
        <w:rPr>
          <w:rFonts w:ascii="Times New Roman" w:hAnsi="Times New Roman" w:cs="Times New Roman"/>
          <w:sz w:val="20"/>
          <w:szCs w:val="20"/>
        </w:rPr>
        <w:t xml:space="preserve"> and vomiting</w:t>
      </w:r>
      <w:r w:rsidR="00835B5A" w:rsidRPr="00E11FCA">
        <w:rPr>
          <w:rFonts w:ascii="Times New Roman" w:hAnsi="Times New Roman" w:cs="Times New Roman"/>
          <w:sz w:val="20"/>
          <w:szCs w:val="20"/>
        </w:rPr>
        <w:t xml:space="preserve"> (22.6%), </w:t>
      </w:r>
      <w:r w:rsidR="000A29EE" w:rsidRPr="00E11FCA">
        <w:rPr>
          <w:rFonts w:ascii="Times New Roman" w:hAnsi="Times New Roman" w:cs="Times New Roman"/>
          <w:sz w:val="20"/>
          <w:szCs w:val="20"/>
        </w:rPr>
        <w:t>nausea</w:t>
      </w:r>
      <w:r w:rsidR="007C7F78" w:rsidRPr="00E11FCA">
        <w:rPr>
          <w:rFonts w:ascii="Times New Roman" w:hAnsi="Times New Roman" w:cs="Times New Roman"/>
          <w:sz w:val="20"/>
          <w:szCs w:val="20"/>
        </w:rPr>
        <w:t xml:space="preserve"> (19.4%), </w:t>
      </w:r>
      <w:r w:rsidR="00835B5A" w:rsidRPr="00E11FCA">
        <w:rPr>
          <w:rFonts w:ascii="Times New Roman" w:hAnsi="Times New Roman" w:cs="Times New Roman"/>
          <w:sz w:val="20"/>
          <w:szCs w:val="20"/>
        </w:rPr>
        <w:t xml:space="preserve">dysphagia (12.9%), </w:t>
      </w:r>
      <w:r w:rsidR="007C7F78" w:rsidRPr="00E11FCA">
        <w:rPr>
          <w:rFonts w:ascii="Times New Roman" w:hAnsi="Times New Roman" w:cs="Times New Roman"/>
          <w:sz w:val="20"/>
          <w:szCs w:val="20"/>
        </w:rPr>
        <w:t xml:space="preserve">and </w:t>
      </w:r>
      <w:r w:rsidR="001C3D94">
        <w:rPr>
          <w:rFonts w:ascii="Times New Roman" w:hAnsi="Times New Roman" w:cs="Times New Roman"/>
          <w:sz w:val="20"/>
          <w:szCs w:val="20"/>
        </w:rPr>
        <w:t>anemia</w:t>
      </w:r>
      <w:r w:rsidR="00835B5A" w:rsidRPr="00E11FCA">
        <w:rPr>
          <w:rFonts w:ascii="Times New Roman" w:hAnsi="Times New Roman" w:cs="Times New Roman"/>
          <w:sz w:val="20"/>
          <w:szCs w:val="20"/>
        </w:rPr>
        <w:t xml:space="preserve"> (</w:t>
      </w:r>
      <w:r w:rsidR="001C3D94">
        <w:rPr>
          <w:rFonts w:ascii="Times New Roman" w:hAnsi="Times New Roman" w:cs="Times New Roman"/>
          <w:sz w:val="20"/>
          <w:szCs w:val="20"/>
        </w:rPr>
        <w:t>1</w:t>
      </w:r>
      <w:r w:rsidR="00835B5A" w:rsidRPr="00E11FCA">
        <w:rPr>
          <w:rFonts w:ascii="Times New Roman" w:hAnsi="Times New Roman" w:cs="Times New Roman"/>
          <w:sz w:val="20"/>
          <w:szCs w:val="20"/>
        </w:rPr>
        <w:t>9.</w:t>
      </w:r>
      <w:r w:rsidR="001C3D94">
        <w:rPr>
          <w:rFonts w:ascii="Times New Roman" w:hAnsi="Times New Roman" w:cs="Times New Roman"/>
          <w:sz w:val="20"/>
          <w:szCs w:val="20"/>
        </w:rPr>
        <w:t>4</w:t>
      </w:r>
      <w:r w:rsidR="00835B5A" w:rsidRPr="00E11FCA">
        <w:rPr>
          <w:rFonts w:ascii="Times New Roman" w:hAnsi="Times New Roman" w:cs="Times New Roman"/>
          <w:sz w:val="20"/>
          <w:szCs w:val="20"/>
        </w:rPr>
        <w:t>%)</w:t>
      </w:r>
      <w:r w:rsidR="007C7F78" w:rsidRPr="00E11FCA">
        <w:rPr>
          <w:rFonts w:ascii="Times New Roman" w:hAnsi="Times New Roman" w:cs="Times New Roman"/>
          <w:sz w:val="20"/>
          <w:szCs w:val="20"/>
        </w:rPr>
        <w:t xml:space="preserve">. </w:t>
      </w:r>
      <w:r w:rsidR="00835B5A" w:rsidRPr="00E11FCA">
        <w:rPr>
          <w:rFonts w:ascii="Times New Roman" w:hAnsi="Times New Roman" w:cs="Times New Roman"/>
          <w:sz w:val="20"/>
          <w:szCs w:val="20"/>
        </w:rPr>
        <w:t xml:space="preserve">At the end of the study, 21 (67.7%) patients were alive with a </w:t>
      </w:r>
      <w:r w:rsidR="00CC65D6" w:rsidRPr="00CC65D6">
        <w:rPr>
          <w:rFonts w:ascii="Times New Roman" w:hAnsi="Times New Roman" w:cs="Times New Roman"/>
          <w:sz w:val="20"/>
          <w:szCs w:val="20"/>
        </w:rPr>
        <w:t>follow-up period ranged from 9-44 (median 25) months</w:t>
      </w:r>
      <w:r w:rsidR="00835B5A" w:rsidRPr="00CC65D6">
        <w:rPr>
          <w:rFonts w:ascii="Times New Roman" w:hAnsi="Times New Roman" w:cs="Times New Roman"/>
          <w:sz w:val="20"/>
          <w:szCs w:val="20"/>
        </w:rPr>
        <w:t xml:space="preserve">. </w:t>
      </w:r>
      <w:r w:rsidR="007C7F78" w:rsidRPr="00CC65D6">
        <w:rPr>
          <w:rFonts w:ascii="Times New Roman" w:hAnsi="Times New Roman" w:cs="Times New Roman"/>
          <w:sz w:val="20"/>
          <w:szCs w:val="20"/>
        </w:rPr>
        <w:t>T</w:t>
      </w:r>
      <w:r w:rsidR="00835B5A" w:rsidRPr="00CC65D6">
        <w:rPr>
          <w:rFonts w:ascii="Times New Roman" w:hAnsi="Times New Roman" w:cs="Times New Roman"/>
          <w:sz w:val="20"/>
          <w:szCs w:val="20"/>
        </w:rPr>
        <w:t>he median</w:t>
      </w:r>
      <w:r w:rsidR="009F5CC6" w:rsidRPr="00CC65D6">
        <w:rPr>
          <w:rFonts w:ascii="Times New Roman" w:hAnsi="Times New Roman" w:cs="Times New Roman"/>
          <w:sz w:val="20"/>
          <w:szCs w:val="20"/>
        </w:rPr>
        <w:t xml:space="preserve"> overall survival (</w:t>
      </w:r>
      <w:r w:rsidR="00835B5A" w:rsidRPr="00CC65D6">
        <w:rPr>
          <w:rFonts w:ascii="Times New Roman" w:hAnsi="Times New Roman" w:cs="Times New Roman"/>
          <w:sz w:val="20"/>
          <w:szCs w:val="20"/>
        </w:rPr>
        <w:t>OS</w:t>
      </w:r>
      <w:r w:rsidR="009F5CC6" w:rsidRPr="00CC65D6">
        <w:rPr>
          <w:rFonts w:ascii="Times New Roman" w:hAnsi="Times New Roman" w:cs="Times New Roman"/>
          <w:sz w:val="20"/>
          <w:szCs w:val="20"/>
        </w:rPr>
        <w:t>)</w:t>
      </w:r>
      <w:r w:rsidR="00835B5A" w:rsidRPr="00CC65D6">
        <w:rPr>
          <w:rFonts w:ascii="Times New Roman" w:hAnsi="Times New Roman" w:cs="Times New Roman"/>
          <w:sz w:val="20"/>
          <w:szCs w:val="20"/>
        </w:rPr>
        <w:t xml:space="preserve"> </w:t>
      </w:r>
      <w:r w:rsidR="007C7F78" w:rsidRPr="00CC65D6">
        <w:rPr>
          <w:rFonts w:ascii="Times New Roman" w:hAnsi="Times New Roman" w:cs="Times New Roman"/>
          <w:sz w:val="20"/>
          <w:szCs w:val="20"/>
        </w:rPr>
        <w:t>and</w:t>
      </w:r>
      <w:r w:rsidR="007C7F78" w:rsidRPr="00E11FCA">
        <w:rPr>
          <w:rFonts w:ascii="Times New Roman" w:hAnsi="Times New Roman" w:cs="Times New Roman"/>
          <w:sz w:val="20"/>
          <w:szCs w:val="20"/>
        </w:rPr>
        <w:t xml:space="preserve"> </w:t>
      </w:r>
      <w:r w:rsidR="009F5CC6" w:rsidRPr="00E11FCA">
        <w:rPr>
          <w:rFonts w:ascii="Times New Roman" w:hAnsi="Times New Roman" w:cs="Times New Roman"/>
          <w:sz w:val="20"/>
          <w:szCs w:val="20"/>
        </w:rPr>
        <w:t>progression-free survival (</w:t>
      </w:r>
      <w:smartTag w:uri="urn:schemas-microsoft-com:office:smarttags" w:element="stockticker">
        <w:r w:rsidR="007C7F78" w:rsidRPr="00E11FCA">
          <w:rPr>
            <w:rFonts w:ascii="Times New Roman" w:hAnsi="Times New Roman" w:cs="Times New Roman"/>
            <w:sz w:val="20"/>
            <w:szCs w:val="20"/>
          </w:rPr>
          <w:t>PFS</w:t>
        </w:r>
      </w:smartTag>
      <w:r w:rsidR="009F5CC6" w:rsidRPr="00E11FCA">
        <w:rPr>
          <w:rFonts w:ascii="Times New Roman" w:hAnsi="Times New Roman" w:cs="Times New Roman"/>
          <w:sz w:val="20"/>
          <w:szCs w:val="20"/>
        </w:rPr>
        <w:t>)</w:t>
      </w:r>
      <w:r w:rsidR="007C7F78" w:rsidRPr="00E11FCA">
        <w:rPr>
          <w:rFonts w:ascii="Times New Roman" w:hAnsi="Times New Roman" w:cs="Times New Roman"/>
          <w:sz w:val="20"/>
          <w:szCs w:val="20"/>
        </w:rPr>
        <w:t xml:space="preserve"> were</w:t>
      </w:r>
      <w:r w:rsidR="00835B5A" w:rsidRPr="00E11FCA">
        <w:rPr>
          <w:rFonts w:ascii="Times New Roman" w:hAnsi="Times New Roman" w:cs="Times New Roman"/>
          <w:sz w:val="20"/>
          <w:szCs w:val="20"/>
        </w:rPr>
        <w:t xml:space="preserve"> not reached</w:t>
      </w:r>
      <w:r w:rsidR="007C7F78" w:rsidRPr="00E11FCA">
        <w:rPr>
          <w:rFonts w:ascii="Times New Roman" w:hAnsi="Times New Roman" w:cs="Times New Roman"/>
          <w:sz w:val="20"/>
          <w:szCs w:val="20"/>
        </w:rPr>
        <w:t xml:space="preserve"> with 2-year OS &amp; </w:t>
      </w:r>
      <w:smartTag w:uri="urn:schemas-microsoft-com:office:smarttags" w:element="stockticker">
        <w:r w:rsidR="007C7F78" w:rsidRPr="00E11FCA">
          <w:rPr>
            <w:rFonts w:ascii="Times New Roman" w:hAnsi="Times New Roman" w:cs="Times New Roman"/>
            <w:sz w:val="20"/>
            <w:szCs w:val="20"/>
          </w:rPr>
          <w:t>PFS</w:t>
        </w:r>
      </w:smartTag>
      <w:r w:rsidR="007C7F78" w:rsidRPr="00E11FCA">
        <w:rPr>
          <w:rFonts w:ascii="Times New Roman" w:hAnsi="Times New Roman" w:cs="Times New Roman"/>
          <w:sz w:val="20"/>
          <w:szCs w:val="20"/>
        </w:rPr>
        <w:t xml:space="preserve"> rates were </w:t>
      </w:r>
      <w:r w:rsidR="00835B5A" w:rsidRPr="00E11FCA">
        <w:rPr>
          <w:rFonts w:ascii="Times New Roman" w:hAnsi="Times New Roman" w:cs="Times New Roman"/>
          <w:sz w:val="20"/>
          <w:szCs w:val="20"/>
        </w:rPr>
        <w:t xml:space="preserve">74.7% </w:t>
      </w:r>
      <w:r w:rsidR="007C7F78" w:rsidRPr="00E11FCA">
        <w:rPr>
          <w:rFonts w:ascii="Times New Roman" w:hAnsi="Times New Roman" w:cs="Times New Roman"/>
          <w:sz w:val="20"/>
          <w:szCs w:val="20"/>
        </w:rPr>
        <w:t xml:space="preserve">and </w:t>
      </w:r>
      <w:r w:rsidR="00835B5A" w:rsidRPr="00E11FCA">
        <w:rPr>
          <w:rFonts w:ascii="Times New Roman" w:hAnsi="Times New Roman" w:cs="Times New Roman"/>
          <w:sz w:val="20"/>
          <w:szCs w:val="20"/>
        </w:rPr>
        <w:t xml:space="preserve">54.8% </w:t>
      </w:r>
      <w:r w:rsidR="007C7F78" w:rsidRPr="00E11FCA">
        <w:rPr>
          <w:rFonts w:ascii="Times New Roman" w:hAnsi="Times New Roman" w:cs="Times New Roman"/>
          <w:sz w:val="20"/>
          <w:szCs w:val="20"/>
        </w:rPr>
        <w:t>respectively</w:t>
      </w:r>
      <w:r w:rsidR="00835B5A" w:rsidRPr="00E11FCA">
        <w:rPr>
          <w:rFonts w:ascii="Times New Roman" w:hAnsi="Times New Roman" w:cs="Times New Roman"/>
          <w:sz w:val="20"/>
          <w:szCs w:val="20"/>
        </w:rPr>
        <w:t>.</w:t>
      </w:r>
      <w:r w:rsidR="00353558" w:rsidRPr="00E11FCA">
        <w:rPr>
          <w:rFonts w:ascii="Times New Roman" w:hAnsi="Times New Roman" w:cs="Times New Roman"/>
          <w:sz w:val="20"/>
          <w:szCs w:val="20"/>
        </w:rPr>
        <w:t xml:space="preserve"> </w:t>
      </w:r>
      <w:r w:rsidRPr="00E11FCA">
        <w:rPr>
          <w:rFonts w:ascii="Times New Roman" w:hAnsi="Times New Roman" w:cs="Times New Roman"/>
          <w:b/>
          <w:bCs/>
          <w:sz w:val="20"/>
          <w:szCs w:val="20"/>
        </w:rPr>
        <w:t>Conclusion:</w:t>
      </w:r>
      <w:r w:rsidRPr="00E11FCA">
        <w:rPr>
          <w:rFonts w:ascii="Times New Roman" w:hAnsi="Times New Roman" w:cs="Times New Roman"/>
          <w:sz w:val="20"/>
          <w:szCs w:val="20"/>
        </w:rPr>
        <w:t xml:space="preserve"> </w:t>
      </w:r>
      <w:r w:rsidR="000A29EE" w:rsidRPr="00E11FCA">
        <w:rPr>
          <w:rFonts w:ascii="Times New Roman" w:hAnsi="Times New Roman" w:cs="Times New Roman"/>
          <w:sz w:val="20"/>
          <w:szCs w:val="20"/>
        </w:rPr>
        <w:t xml:space="preserve">Concurrent radiation therapy plus carboplatin is feasible and is a treatment option for LA-SCCHN patients who are </w:t>
      </w:r>
      <w:r w:rsidR="00CA2DA5" w:rsidRPr="00E11FCA">
        <w:rPr>
          <w:rFonts w:ascii="Times New Roman" w:hAnsi="Times New Roman" w:cs="Times New Roman"/>
          <w:sz w:val="20"/>
          <w:szCs w:val="20"/>
        </w:rPr>
        <w:t>in</w:t>
      </w:r>
      <w:r w:rsidR="000A29EE" w:rsidRPr="00E11FCA">
        <w:rPr>
          <w:rFonts w:ascii="Times New Roman" w:hAnsi="Times New Roman" w:cs="Times New Roman"/>
          <w:sz w:val="20"/>
          <w:szCs w:val="20"/>
        </w:rPr>
        <w:t>eligible for cisplatin treatment.</w:t>
      </w:r>
    </w:p>
    <w:p w:rsidR="000A29EE" w:rsidRPr="004901BB" w:rsidRDefault="004901BB" w:rsidP="004901BB">
      <w:pPr>
        <w:autoSpaceDE w:val="0"/>
        <w:autoSpaceDN w:val="0"/>
        <w:bidi w:val="0"/>
        <w:snapToGrid w:val="0"/>
        <w:spacing w:after="0" w:line="240" w:lineRule="auto"/>
        <w:jc w:val="both"/>
        <w:rPr>
          <w:rFonts w:ascii="Times New Roman" w:hAnsi="Times New Roman" w:cs="Times New Roman"/>
          <w:sz w:val="20"/>
          <w:szCs w:val="20"/>
        </w:rPr>
      </w:pPr>
      <w:proofErr w:type="gramStart"/>
      <w:r w:rsidRPr="004901BB">
        <w:rPr>
          <w:rFonts w:ascii="Times New Roman" w:hAnsi="Times New Roman" w:cs="Times New Roman"/>
          <w:b/>
          <w:bCs/>
          <w:sz w:val="20"/>
          <w:szCs w:val="20"/>
          <w:lang w:val="en-GB"/>
        </w:rPr>
        <w:t>[</w:t>
      </w:r>
      <w:proofErr w:type="spellStart"/>
      <w:r w:rsidRPr="004901BB">
        <w:rPr>
          <w:rFonts w:ascii="Times New Roman" w:hAnsi="Times New Roman" w:cs="Times New Roman"/>
          <w:color w:val="000000"/>
          <w:sz w:val="20"/>
          <w:szCs w:val="20"/>
        </w:rPr>
        <w:t>Alaa</w:t>
      </w:r>
      <w:proofErr w:type="spellEnd"/>
      <w:r w:rsidRPr="004901BB">
        <w:rPr>
          <w:rFonts w:ascii="Times New Roman" w:hAnsi="Times New Roman" w:cs="Times New Roman"/>
          <w:color w:val="000000"/>
          <w:sz w:val="20"/>
          <w:szCs w:val="20"/>
        </w:rPr>
        <w:t xml:space="preserve"> Maria and </w:t>
      </w:r>
      <w:proofErr w:type="spellStart"/>
      <w:r w:rsidRPr="004901BB">
        <w:rPr>
          <w:rFonts w:ascii="Times New Roman" w:hAnsi="Times New Roman" w:cs="Times New Roman"/>
          <w:sz w:val="20"/>
          <w:szCs w:val="20"/>
        </w:rPr>
        <w:t>Amro</w:t>
      </w:r>
      <w:proofErr w:type="spellEnd"/>
      <w:r w:rsidRPr="004901BB">
        <w:rPr>
          <w:rFonts w:ascii="Times New Roman" w:hAnsi="Times New Roman" w:cs="Times New Roman"/>
          <w:sz w:val="20"/>
          <w:szCs w:val="20"/>
        </w:rPr>
        <w:t xml:space="preserve"> </w:t>
      </w:r>
      <w:proofErr w:type="spellStart"/>
      <w:r w:rsidRPr="004901BB">
        <w:rPr>
          <w:rFonts w:ascii="Times New Roman" w:hAnsi="Times New Roman" w:cs="Times New Roman"/>
          <w:sz w:val="20"/>
          <w:szCs w:val="20"/>
        </w:rPr>
        <w:t>Ghannam</w:t>
      </w:r>
      <w:proofErr w:type="spellEnd"/>
      <w:r w:rsidRPr="004901BB">
        <w:rPr>
          <w:rFonts w:ascii="Times New Roman" w:hAnsi="Times New Roman" w:cs="Times New Roman"/>
          <w:sz w:val="20"/>
          <w:szCs w:val="20"/>
        </w:rPr>
        <w:t>.</w:t>
      </w:r>
      <w:proofErr w:type="gramEnd"/>
      <w:r w:rsidRPr="004901BB">
        <w:rPr>
          <w:rFonts w:ascii="Times New Roman" w:hAnsi="Times New Roman" w:cs="Times New Roman"/>
          <w:sz w:val="20"/>
          <w:szCs w:val="20"/>
        </w:rPr>
        <w:t xml:space="preserve"> </w:t>
      </w:r>
      <w:proofErr w:type="gramStart"/>
      <w:r w:rsidRPr="004901BB">
        <w:rPr>
          <w:rFonts w:ascii="Times New Roman" w:hAnsi="Times New Roman" w:cs="Times New Roman"/>
          <w:b/>
          <w:bCs/>
          <w:sz w:val="20"/>
          <w:szCs w:val="20"/>
        </w:rPr>
        <w:t>Definitive Radiotherapy Concurrent with Carboplatin in the Treatment of Locally Advanced Head and Neck Cancers in Patients Ineligible for Cisplatin.</w:t>
      </w:r>
      <w:proofErr w:type="gramEnd"/>
      <w:r w:rsidRPr="004901BB">
        <w:rPr>
          <w:rFonts w:ascii="Times New Roman" w:hAnsi="Times New Roman" w:cs="Times New Roman"/>
          <w:i/>
          <w:iCs/>
          <w:sz w:val="20"/>
          <w:szCs w:val="20"/>
        </w:rPr>
        <w:t xml:space="preserve"> Cancer Biology</w:t>
      </w:r>
      <w:r w:rsidRPr="004901BB">
        <w:rPr>
          <w:rFonts w:ascii="Times New Roman" w:hAnsi="Times New Roman" w:cs="Times New Roman"/>
          <w:sz w:val="20"/>
          <w:szCs w:val="20"/>
        </w:rPr>
        <w:t xml:space="preserve"> 2018</w:t>
      </w:r>
      <w:proofErr w:type="gramStart"/>
      <w:r w:rsidRPr="004901BB">
        <w:rPr>
          <w:rFonts w:ascii="Times New Roman" w:hAnsi="Times New Roman" w:cs="Times New Roman"/>
          <w:sz w:val="20"/>
          <w:szCs w:val="20"/>
        </w:rPr>
        <w:t>;8</w:t>
      </w:r>
      <w:proofErr w:type="gramEnd"/>
      <w:r w:rsidRPr="004901BB">
        <w:rPr>
          <w:rFonts w:ascii="Times New Roman" w:hAnsi="Times New Roman" w:cs="Times New Roman"/>
          <w:sz w:val="20"/>
          <w:szCs w:val="20"/>
        </w:rPr>
        <w:t>(4):</w:t>
      </w:r>
      <w:r w:rsidRPr="004901BB">
        <w:rPr>
          <w:rFonts w:ascii="Times New Roman" w:hAnsi="Times New Roman" w:cs="Times New Roman"/>
          <w:color w:val="000000"/>
          <w:sz w:val="20"/>
          <w:szCs w:val="20"/>
        </w:rPr>
        <w:t>146-151</w:t>
      </w:r>
      <w:r w:rsidRPr="004901BB">
        <w:rPr>
          <w:rFonts w:ascii="Times New Roman" w:hAnsi="Times New Roman" w:cs="Times New Roman"/>
          <w:sz w:val="20"/>
          <w:szCs w:val="20"/>
        </w:rPr>
        <w:t xml:space="preserve">]. </w:t>
      </w:r>
      <w:r w:rsidRPr="004901BB">
        <w:rPr>
          <w:rStyle w:val="msonormal0"/>
          <w:rFonts w:ascii="Times New Roman" w:hAnsi="Times New Roman" w:cs="Times New Roman"/>
          <w:sz w:val="20"/>
          <w:szCs w:val="20"/>
        </w:rPr>
        <w:t>ISSN: 2150-1041 (print); ISSN: 2150-105X (online)</w:t>
      </w:r>
      <w:r w:rsidRPr="004901BB">
        <w:rPr>
          <w:rFonts w:ascii="Times New Roman" w:hAnsi="Times New Roman" w:cs="Times New Roman"/>
          <w:sz w:val="20"/>
          <w:szCs w:val="20"/>
        </w:rPr>
        <w:t xml:space="preserve">. </w:t>
      </w:r>
      <w:hyperlink r:id="rId9" w:history="1">
        <w:r w:rsidRPr="004901BB">
          <w:rPr>
            <w:rStyle w:val="Hyperlink"/>
            <w:rFonts w:ascii="Times New Roman" w:hAnsi="Times New Roman" w:cs="Times New Roman"/>
            <w:sz w:val="20"/>
            <w:szCs w:val="20"/>
          </w:rPr>
          <w:t>http://www.cancerbio.net</w:t>
        </w:r>
      </w:hyperlink>
      <w:r w:rsidRPr="004901BB">
        <w:rPr>
          <w:rFonts w:ascii="Times New Roman" w:hAnsi="Times New Roman" w:cs="Times New Roman"/>
          <w:sz w:val="20"/>
          <w:szCs w:val="20"/>
        </w:rPr>
        <w:t xml:space="preserve">. 12. </w:t>
      </w:r>
      <w:proofErr w:type="gramStart"/>
      <w:r w:rsidRPr="004901BB">
        <w:rPr>
          <w:rFonts w:ascii="Times New Roman" w:hAnsi="Times New Roman" w:cs="Times New Roman"/>
          <w:color w:val="000000"/>
          <w:sz w:val="20"/>
          <w:szCs w:val="20"/>
          <w:shd w:val="clear" w:color="auto" w:fill="FFFFFF"/>
        </w:rPr>
        <w:t>doi</w:t>
      </w:r>
      <w:proofErr w:type="gramEnd"/>
      <w:r w:rsidRPr="004901BB">
        <w:rPr>
          <w:rFonts w:ascii="Times New Roman" w:hAnsi="Times New Roman" w:cs="Times New Roman"/>
          <w:color w:val="000000"/>
          <w:sz w:val="20"/>
          <w:szCs w:val="20"/>
          <w:shd w:val="clear" w:color="auto" w:fill="FFFFFF"/>
        </w:rPr>
        <w:t>:</w:t>
      </w:r>
      <w:hyperlink r:id="rId10" w:history="1">
        <w:r w:rsidRPr="004901BB">
          <w:rPr>
            <w:rStyle w:val="Hyperlink"/>
            <w:rFonts w:ascii="Times New Roman" w:hAnsi="Times New Roman" w:cs="Times New Roman"/>
            <w:sz w:val="20"/>
            <w:szCs w:val="20"/>
            <w:shd w:val="clear" w:color="auto" w:fill="FFFFFF"/>
          </w:rPr>
          <w:t>10.7537/marscbj080418.12</w:t>
        </w:r>
      </w:hyperlink>
      <w:r w:rsidRPr="004901BB">
        <w:rPr>
          <w:rFonts w:ascii="Times New Roman" w:hAnsi="Times New Roman" w:cs="Times New Roman"/>
          <w:color w:val="000000"/>
          <w:sz w:val="20"/>
          <w:szCs w:val="20"/>
          <w:shd w:val="clear" w:color="auto" w:fill="FFFFFF"/>
        </w:rPr>
        <w:t>.</w:t>
      </w:r>
    </w:p>
    <w:p w:rsidR="004901BB" w:rsidRDefault="004901BB" w:rsidP="0042606E">
      <w:pPr>
        <w:tabs>
          <w:tab w:val="left" w:pos="9000"/>
        </w:tabs>
        <w:autoSpaceDE w:val="0"/>
        <w:autoSpaceDN w:val="0"/>
        <w:bidi w:val="0"/>
        <w:adjustRightInd w:val="0"/>
        <w:spacing w:after="0" w:line="240" w:lineRule="auto"/>
        <w:ind w:right="26"/>
        <w:jc w:val="both"/>
        <w:rPr>
          <w:rFonts w:ascii="Times New Roman" w:hAnsi="Times New Roman" w:cs="Times New Roman"/>
          <w:b/>
          <w:bCs/>
          <w:sz w:val="20"/>
          <w:szCs w:val="20"/>
        </w:rPr>
      </w:pPr>
    </w:p>
    <w:p w:rsidR="004929B9" w:rsidRPr="00E11FCA" w:rsidRDefault="004929B9" w:rsidP="004901BB">
      <w:pPr>
        <w:tabs>
          <w:tab w:val="left" w:pos="9000"/>
        </w:tabs>
        <w:autoSpaceDE w:val="0"/>
        <w:autoSpaceDN w:val="0"/>
        <w:bidi w:val="0"/>
        <w:adjustRightInd w:val="0"/>
        <w:spacing w:after="0" w:line="240" w:lineRule="auto"/>
        <w:ind w:right="26"/>
        <w:jc w:val="both"/>
        <w:rPr>
          <w:rFonts w:ascii="Times New Roman" w:hAnsi="Times New Roman" w:cs="Times New Roman"/>
          <w:sz w:val="20"/>
          <w:szCs w:val="20"/>
          <w:rtl/>
        </w:rPr>
      </w:pPr>
      <w:r w:rsidRPr="00E11FCA">
        <w:rPr>
          <w:rFonts w:ascii="Times New Roman" w:hAnsi="Times New Roman" w:cs="Times New Roman"/>
          <w:b/>
          <w:bCs/>
          <w:sz w:val="20"/>
          <w:szCs w:val="20"/>
        </w:rPr>
        <w:t xml:space="preserve">Key Words: </w:t>
      </w:r>
      <w:r w:rsidRPr="00E11FCA">
        <w:rPr>
          <w:rFonts w:ascii="Times New Roman" w:hAnsi="Times New Roman" w:cs="Times New Roman"/>
          <w:sz w:val="20"/>
          <w:szCs w:val="20"/>
        </w:rPr>
        <w:t>Locally advanced, head and neck cancer, squamous cell carcinoma, carboplatin</w:t>
      </w:r>
    </w:p>
    <w:p w:rsidR="005175E7" w:rsidRDefault="005175E7" w:rsidP="001555AE">
      <w:pPr>
        <w:autoSpaceDE w:val="0"/>
        <w:autoSpaceDN w:val="0"/>
        <w:bidi w:val="0"/>
        <w:adjustRightInd w:val="0"/>
        <w:spacing w:after="0" w:line="240" w:lineRule="auto"/>
        <w:jc w:val="both"/>
        <w:rPr>
          <w:rFonts w:ascii="Times New Roman" w:hAnsi="Times New Roman" w:cs="Times New Roman"/>
          <w:b/>
          <w:bCs/>
          <w:sz w:val="24"/>
          <w:szCs w:val="24"/>
        </w:rPr>
      </w:pPr>
    </w:p>
    <w:p w:rsidR="002F649F" w:rsidRPr="00E11FCA" w:rsidRDefault="002F649F" w:rsidP="002F649F">
      <w:pPr>
        <w:autoSpaceDE w:val="0"/>
        <w:autoSpaceDN w:val="0"/>
        <w:bidi w:val="0"/>
        <w:adjustRightInd w:val="0"/>
        <w:spacing w:after="0" w:line="240" w:lineRule="auto"/>
        <w:jc w:val="both"/>
        <w:rPr>
          <w:rFonts w:ascii="Times New Roman" w:hAnsi="Times New Roman" w:cs="Times New Roman"/>
          <w:b/>
          <w:bCs/>
          <w:sz w:val="24"/>
          <w:szCs w:val="24"/>
        </w:rPr>
        <w:sectPr w:rsidR="002F649F" w:rsidRPr="00E11FCA" w:rsidSect="004901BB">
          <w:headerReference w:type="default" r:id="rId11"/>
          <w:footerReference w:type="default" r:id="rId12"/>
          <w:pgSz w:w="11906" w:h="16838"/>
          <w:pgMar w:top="1440" w:right="1440" w:bottom="1440" w:left="1440" w:header="706" w:footer="706" w:gutter="0"/>
          <w:pgNumType w:start="146"/>
          <w:cols w:space="708"/>
          <w:rtlGutter/>
          <w:docGrid w:linePitch="360"/>
        </w:sectPr>
      </w:pPr>
    </w:p>
    <w:p w:rsidR="000A70D0" w:rsidRPr="00031625" w:rsidRDefault="004901BB" w:rsidP="001555AE">
      <w:pPr>
        <w:autoSpaceDE w:val="0"/>
        <w:autoSpaceDN w:val="0"/>
        <w:bidi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1. </w:t>
      </w:r>
      <w:r w:rsidR="000A70D0" w:rsidRPr="00031625">
        <w:rPr>
          <w:rFonts w:ascii="Times New Roman" w:hAnsi="Times New Roman" w:cs="Times New Roman"/>
          <w:b/>
          <w:bCs/>
          <w:sz w:val="20"/>
          <w:szCs w:val="20"/>
        </w:rPr>
        <w:t>Introduction</w:t>
      </w:r>
    </w:p>
    <w:p w:rsidR="00162967" w:rsidRPr="00031625" w:rsidRDefault="00311306" w:rsidP="00311306">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Globally, cancers affecting h</w:t>
      </w:r>
      <w:r w:rsidR="005815D6" w:rsidRPr="00031625">
        <w:rPr>
          <w:rFonts w:ascii="Times New Roman" w:hAnsi="Times New Roman" w:cs="Times New Roman"/>
          <w:sz w:val="20"/>
          <w:szCs w:val="20"/>
        </w:rPr>
        <w:t xml:space="preserve">ead and neck account for more than 550,000 cases </w:t>
      </w:r>
      <w:r w:rsidRPr="00031625">
        <w:rPr>
          <w:rFonts w:ascii="Times New Roman" w:hAnsi="Times New Roman" w:cs="Times New Roman"/>
          <w:sz w:val="20"/>
          <w:szCs w:val="20"/>
        </w:rPr>
        <w:t>yearly</w:t>
      </w:r>
      <w:r w:rsidR="005815D6" w:rsidRPr="00031625">
        <w:rPr>
          <w:rFonts w:ascii="Times New Roman" w:hAnsi="Times New Roman" w:cs="Times New Roman"/>
          <w:sz w:val="20"/>
          <w:szCs w:val="20"/>
        </w:rPr>
        <w:t xml:space="preserve"> worldwide</w:t>
      </w:r>
      <w:r w:rsidR="00EC1349" w:rsidRPr="00031625">
        <w:rPr>
          <w:rFonts w:ascii="Times New Roman" w:hAnsi="Times New Roman" w:cs="Times New Roman"/>
          <w:sz w:val="20"/>
          <w:szCs w:val="20"/>
        </w:rPr>
        <w:t xml:space="preserve"> </w:t>
      </w:r>
      <w:r w:rsidR="008943E6" w:rsidRPr="00031625">
        <w:rPr>
          <w:rFonts w:ascii="Times New Roman" w:hAnsi="Times New Roman" w:cs="Times New Roman"/>
          <w:sz w:val="20"/>
          <w:szCs w:val="20"/>
        </w:rPr>
        <w:t>[1]</w:t>
      </w:r>
      <w:r w:rsidR="00EC1349" w:rsidRPr="00031625">
        <w:rPr>
          <w:rFonts w:ascii="Times New Roman" w:hAnsi="Times New Roman" w:cs="Times New Roman"/>
          <w:sz w:val="20"/>
          <w:szCs w:val="20"/>
        </w:rPr>
        <w:t>.</w:t>
      </w:r>
      <w:r w:rsidR="004A06A4"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The report of 2017 of the </w:t>
      </w:r>
      <w:r w:rsidR="00A370E9" w:rsidRPr="00031625">
        <w:rPr>
          <w:rFonts w:ascii="Times New Roman" w:hAnsi="Times New Roman" w:cs="Times New Roman"/>
          <w:sz w:val="20"/>
          <w:szCs w:val="20"/>
        </w:rPr>
        <w:t>United States,</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statistics</w:t>
      </w:r>
      <w:r w:rsidRPr="00031625">
        <w:rPr>
          <w:rFonts w:ascii="Times New Roman" w:hAnsi="Times New Roman" w:cs="Times New Roman"/>
          <w:sz w:val="20"/>
          <w:szCs w:val="20"/>
        </w:rPr>
        <w:t xml:space="preserve">, concerning head and neck tumors, measured </w:t>
      </w:r>
      <w:r w:rsidR="00A370E9" w:rsidRPr="00031625">
        <w:rPr>
          <w:rFonts w:ascii="Times New Roman" w:hAnsi="Times New Roman" w:cs="Times New Roman"/>
          <w:sz w:val="20"/>
          <w:szCs w:val="20"/>
        </w:rPr>
        <w:t>6</w:t>
      </w:r>
      <w:r w:rsidR="0044662D" w:rsidRPr="00031625">
        <w:rPr>
          <w:rFonts w:ascii="Times New Roman" w:hAnsi="Times New Roman" w:cs="Times New Roman"/>
          <w:sz w:val="20"/>
          <w:szCs w:val="20"/>
        </w:rPr>
        <w:t>3</w:t>
      </w:r>
      <w:r w:rsidR="00A370E9" w:rsidRPr="00031625">
        <w:rPr>
          <w:rFonts w:ascii="Times New Roman" w:hAnsi="Times New Roman" w:cs="Times New Roman"/>
          <w:sz w:val="20"/>
          <w:szCs w:val="20"/>
        </w:rPr>
        <w:t>,</w:t>
      </w:r>
      <w:r w:rsidR="0044662D" w:rsidRPr="00031625">
        <w:rPr>
          <w:rFonts w:ascii="Times New Roman" w:hAnsi="Times New Roman" w:cs="Times New Roman"/>
          <w:sz w:val="20"/>
          <w:szCs w:val="20"/>
        </w:rPr>
        <w:t>03</w:t>
      </w:r>
      <w:r w:rsidR="00A370E9" w:rsidRPr="00031625">
        <w:rPr>
          <w:rFonts w:ascii="Times New Roman" w:hAnsi="Times New Roman" w:cs="Times New Roman"/>
          <w:sz w:val="20"/>
          <w:szCs w:val="20"/>
        </w:rPr>
        <w:t>0 new cases and</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the number of deaths reached </w:t>
      </w:r>
      <w:r w:rsidR="00A370E9" w:rsidRPr="00031625">
        <w:rPr>
          <w:rFonts w:ascii="Times New Roman" w:hAnsi="Times New Roman" w:cs="Times New Roman"/>
          <w:sz w:val="20"/>
          <w:szCs w:val="20"/>
        </w:rPr>
        <w:t>13,</w:t>
      </w:r>
      <w:r w:rsidR="0044662D" w:rsidRPr="00031625">
        <w:rPr>
          <w:rFonts w:ascii="Times New Roman" w:hAnsi="Times New Roman" w:cs="Times New Roman"/>
          <w:sz w:val="20"/>
          <w:szCs w:val="20"/>
        </w:rPr>
        <w:t>36</w:t>
      </w:r>
      <w:r w:rsidR="00A370E9" w:rsidRPr="00031625">
        <w:rPr>
          <w:rFonts w:ascii="Times New Roman" w:hAnsi="Times New Roman" w:cs="Times New Roman"/>
          <w:sz w:val="20"/>
          <w:szCs w:val="20"/>
        </w:rPr>
        <w:t xml:space="preserve">0 </w:t>
      </w:r>
      <w:r w:rsidRPr="00031625">
        <w:rPr>
          <w:rFonts w:ascii="Times New Roman" w:hAnsi="Times New Roman" w:cs="Times New Roman"/>
          <w:sz w:val="20"/>
          <w:szCs w:val="20"/>
        </w:rPr>
        <w:t>cases</w:t>
      </w:r>
      <w:r w:rsidR="008943E6" w:rsidRPr="00031625">
        <w:rPr>
          <w:rFonts w:ascii="Times New Roman" w:hAnsi="Times New Roman" w:cs="Times New Roman"/>
          <w:sz w:val="20"/>
          <w:szCs w:val="20"/>
        </w:rPr>
        <w:t xml:space="preserve"> [2]</w:t>
      </w:r>
      <w:r w:rsidR="00EC1349" w:rsidRPr="00031625">
        <w:rPr>
          <w:rFonts w:ascii="Times New Roman" w:hAnsi="Times New Roman" w:cs="Times New Roman"/>
          <w:sz w:val="20"/>
          <w:szCs w:val="20"/>
        </w:rPr>
        <w:t>.</w:t>
      </w:r>
      <w:r w:rsidR="007866DA" w:rsidRPr="00031625">
        <w:rPr>
          <w:rFonts w:ascii="Times New Roman" w:hAnsi="Times New Roman" w:cs="Times New Roman"/>
          <w:sz w:val="20"/>
          <w:szCs w:val="20"/>
        </w:rPr>
        <w:t xml:space="preserve"> </w:t>
      </w:r>
      <w:r w:rsidRPr="00031625">
        <w:rPr>
          <w:rFonts w:ascii="Times New Roman" w:hAnsi="Times New Roman" w:cs="Times New Roman"/>
          <w:sz w:val="20"/>
          <w:szCs w:val="20"/>
        </w:rPr>
        <w:t>Nearly</w:t>
      </w:r>
      <w:r w:rsidR="00A370E9" w:rsidRPr="00031625">
        <w:rPr>
          <w:rFonts w:ascii="Times New Roman" w:hAnsi="Times New Roman" w:cs="Times New Roman"/>
          <w:sz w:val="20"/>
          <w:szCs w:val="20"/>
        </w:rPr>
        <w:t xml:space="preserve"> 95% of these </w:t>
      </w:r>
      <w:r w:rsidRPr="00031625">
        <w:rPr>
          <w:rFonts w:ascii="Times New Roman" w:hAnsi="Times New Roman" w:cs="Times New Roman"/>
          <w:sz w:val="20"/>
          <w:szCs w:val="20"/>
        </w:rPr>
        <w:t>cancers</w:t>
      </w:r>
      <w:r w:rsidR="00A370E9" w:rsidRPr="00031625">
        <w:rPr>
          <w:rFonts w:ascii="Times New Roman" w:hAnsi="Times New Roman" w:cs="Times New Roman"/>
          <w:sz w:val="20"/>
          <w:szCs w:val="20"/>
        </w:rPr>
        <w:t xml:space="preserve"> are</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squamous cell carcinomas </w:t>
      </w:r>
      <w:r w:rsidR="004A06A4" w:rsidRPr="00031625">
        <w:rPr>
          <w:rFonts w:ascii="Times New Roman" w:hAnsi="Times New Roman" w:cs="Times New Roman"/>
          <w:sz w:val="20"/>
          <w:szCs w:val="20"/>
        </w:rPr>
        <w:t xml:space="preserve">(SCC) </w:t>
      </w:r>
      <w:r w:rsidRPr="00031625">
        <w:rPr>
          <w:rFonts w:ascii="Times New Roman" w:hAnsi="Times New Roman" w:cs="Times New Roman"/>
          <w:sz w:val="20"/>
          <w:szCs w:val="20"/>
        </w:rPr>
        <w:t>originating principally</w:t>
      </w:r>
      <w:r w:rsidR="00A370E9" w:rsidRPr="00031625">
        <w:rPr>
          <w:rFonts w:ascii="Times New Roman" w:hAnsi="Times New Roman" w:cs="Times New Roman"/>
          <w:sz w:val="20"/>
          <w:szCs w:val="20"/>
        </w:rPr>
        <w:t xml:space="preserve"> from the oropharynx</w:t>
      </w:r>
      <w:r w:rsidR="00F902F2" w:rsidRPr="00031625">
        <w:rPr>
          <w:rFonts w:ascii="Times New Roman" w:hAnsi="Times New Roman" w:cs="Times New Roman"/>
          <w:sz w:val="20"/>
          <w:szCs w:val="20"/>
        </w:rPr>
        <w:t>, hypopharynx</w:t>
      </w:r>
      <w:r w:rsidR="00A370E9"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larynx, and </w:t>
      </w:r>
      <w:r w:rsidR="00F902F2" w:rsidRPr="00031625">
        <w:rPr>
          <w:rFonts w:ascii="Times New Roman" w:hAnsi="Times New Roman" w:cs="Times New Roman"/>
          <w:sz w:val="20"/>
          <w:szCs w:val="20"/>
        </w:rPr>
        <w:t>oral cavity</w:t>
      </w:r>
      <w:r w:rsidR="00A370E9" w:rsidRPr="00031625">
        <w:rPr>
          <w:rFonts w:ascii="Times New Roman" w:hAnsi="Times New Roman" w:cs="Times New Roman"/>
          <w:sz w:val="20"/>
          <w:szCs w:val="20"/>
        </w:rPr>
        <w:t xml:space="preserve"> </w:t>
      </w:r>
      <w:r w:rsidR="008943E6" w:rsidRPr="00031625">
        <w:rPr>
          <w:rFonts w:ascii="Times New Roman" w:hAnsi="Times New Roman" w:cs="Times New Roman"/>
          <w:sz w:val="20"/>
          <w:szCs w:val="20"/>
        </w:rPr>
        <w:t>[3]</w:t>
      </w:r>
      <w:r w:rsidR="00EC1349" w:rsidRPr="00031625">
        <w:rPr>
          <w:rFonts w:ascii="Times New Roman" w:hAnsi="Times New Roman" w:cs="Times New Roman"/>
          <w:sz w:val="20"/>
          <w:szCs w:val="20"/>
        </w:rPr>
        <w:t>.</w:t>
      </w:r>
    </w:p>
    <w:p w:rsidR="00162967" w:rsidRPr="00031625" w:rsidRDefault="00A55887" w:rsidP="00FD7A76">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The</w:t>
      </w:r>
      <w:r w:rsidR="00A370E9" w:rsidRPr="00031625">
        <w:rPr>
          <w:rFonts w:ascii="Times New Roman" w:hAnsi="Times New Roman" w:cs="Times New Roman"/>
          <w:sz w:val="20"/>
          <w:szCs w:val="20"/>
        </w:rPr>
        <w:t xml:space="preserve"> standard of care for organ preservation</w:t>
      </w:r>
      <w:r w:rsidR="00875858" w:rsidRPr="00031625">
        <w:rPr>
          <w:rFonts w:ascii="Times New Roman" w:hAnsi="Times New Roman" w:cs="Times New Roman"/>
          <w:sz w:val="20"/>
          <w:szCs w:val="20"/>
        </w:rPr>
        <w:t xml:space="preserve"> </w:t>
      </w:r>
      <w:r w:rsidR="00F902F2" w:rsidRPr="00031625">
        <w:rPr>
          <w:rFonts w:ascii="Times New Roman" w:hAnsi="Times New Roman" w:cs="Times New Roman"/>
          <w:sz w:val="20"/>
          <w:szCs w:val="20"/>
        </w:rPr>
        <w:t xml:space="preserve">is definitive concurrent chemoradiotherapy (CRT) </w:t>
      </w:r>
      <w:r w:rsidR="001F24BB" w:rsidRPr="00031625">
        <w:rPr>
          <w:rFonts w:ascii="Times New Roman" w:hAnsi="Times New Roman" w:cs="Times New Roman"/>
          <w:sz w:val="20"/>
          <w:szCs w:val="20"/>
        </w:rPr>
        <w:t>that</w:t>
      </w:r>
      <w:r w:rsidR="00F902F2" w:rsidRPr="00031625">
        <w:rPr>
          <w:rFonts w:ascii="Times New Roman" w:hAnsi="Times New Roman" w:cs="Times New Roman"/>
          <w:sz w:val="20"/>
          <w:szCs w:val="20"/>
        </w:rPr>
        <w:t xml:space="preserve"> </w:t>
      </w:r>
      <w:r w:rsidR="002F649F" w:rsidRPr="00031625">
        <w:rPr>
          <w:rFonts w:ascii="Times New Roman" w:hAnsi="Times New Roman" w:cs="Times New Roman"/>
          <w:sz w:val="20"/>
          <w:szCs w:val="20"/>
        </w:rPr>
        <w:t xml:space="preserve">is </w:t>
      </w:r>
      <w:r w:rsidR="00BE39EB" w:rsidRPr="00031625">
        <w:rPr>
          <w:rFonts w:ascii="Times New Roman" w:hAnsi="Times New Roman" w:cs="Times New Roman"/>
          <w:sz w:val="20"/>
          <w:szCs w:val="20"/>
        </w:rPr>
        <w:t>considered the</w:t>
      </w:r>
      <w:r w:rsidR="00A370E9" w:rsidRPr="00031625">
        <w:rPr>
          <w:rFonts w:ascii="Times New Roman" w:hAnsi="Times New Roman" w:cs="Times New Roman"/>
          <w:sz w:val="20"/>
          <w:szCs w:val="20"/>
        </w:rPr>
        <w:t xml:space="preserve"> </w:t>
      </w:r>
      <w:r w:rsidR="00311306" w:rsidRPr="00031625">
        <w:rPr>
          <w:rFonts w:ascii="Times New Roman" w:hAnsi="Times New Roman" w:cs="Times New Roman"/>
          <w:sz w:val="20"/>
          <w:szCs w:val="20"/>
        </w:rPr>
        <w:t>merely</w:t>
      </w:r>
      <w:r w:rsidR="00A370E9" w:rsidRPr="00031625">
        <w:rPr>
          <w:rFonts w:ascii="Times New Roman" w:hAnsi="Times New Roman" w:cs="Times New Roman"/>
          <w:sz w:val="20"/>
          <w:szCs w:val="20"/>
        </w:rPr>
        <w:t xml:space="preserve"> po</w:t>
      </w:r>
      <w:r w:rsidR="00311306" w:rsidRPr="00031625">
        <w:rPr>
          <w:rFonts w:ascii="Times New Roman" w:hAnsi="Times New Roman" w:cs="Times New Roman"/>
          <w:sz w:val="20"/>
          <w:szCs w:val="20"/>
        </w:rPr>
        <w:t>ssibl</w:t>
      </w:r>
      <w:r w:rsidR="00FD7A76">
        <w:rPr>
          <w:rFonts w:ascii="Times New Roman" w:hAnsi="Times New Roman" w:cs="Times New Roman"/>
          <w:sz w:val="20"/>
          <w:szCs w:val="20"/>
        </w:rPr>
        <w:t>e</w:t>
      </w:r>
      <w:r w:rsidR="00311306" w:rsidRPr="00031625">
        <w:rPr>
          <w:rFonts w:ascii="Times New Roman" w:hAnsi="Times New Roman" w:cs="Times New Roman"/>
          <w:sz w:val="20"/>
          <w:szCs w:val="20"/>
        </w:rPr>
        <w:t xml:space="preserve"> treatment</w:t>
      </w:r>
      <w:r w:rsidR="00A370E9" w:rsidRPr="00031625">
        <w:rPr>
          <w:rFonts w:ascii="Times New Roman" w:hAnsi="Times New Roman" w:cs="Times New Roman"/>
          <w:sz w:val="20"/>
          <w:szCs w:val="20"/>
        </w:rPr>
        <w:t xml:space="preserve"> in surgically</w:t>
      </w:r>
      <w:r w:rsidR="007B6656"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unresectable </w:t>
      </w:r>
      <w:r w:rsidRPr="00031625">
        <w:rPr>
          <w:rFonts w:ascii="Times New Roman" w:hAnsi="Times New Roman" w:cs="Times New Roman"/>
          <w:sz w:val="20"/>
          <w:szCs w:val="20"/>
        </w:rPr>
        <w:t xml:space="preserve">or unfit </w:t>
      </w:r>
      <w:r w:rsidR="00311306" w:rsidRPr="00031625">
        <w:rPr>
          <w:rFonts w:ascii="Times New Roman" w:hAnsi="Times New Roman" w:cs="Times New Roman"/>
          <w:sz w:val="20"/>
          <w:szCs w:val="20"/>
        </w:rPr>
        <w:t>subjects</w:t>
      </w:r>
      <w:r w:rsidR="00A370E9" w:rsidRPr="00031625">
        <w:rPr>
          <w:rFonts w:ascii="Times New Roman" w:hAnsi="Times New Roman" w:cs="Times New Roman"/>
          <w:sz w:val="20"/>
          <w:szCs w:val="20"/>
        </w:rPr>
        <w:t xml:space="preserve"> </w:t>
      </w:r>
      <w:r w:rsidR="00CC65D6" w:rsidRPr="00031625">
        <w:rPr>
          <w:rFonts w:ascii="Times New Roman" w:hAnsi="Times New Roman" w:cs="Times New Roman"/>
          <w:sz w:val="20"/>
          <w:szCs w:val="20"/>
        </w:rPr>
        <w:t xml:space="preserve">with </w:t>
      </w:r>
      <w:r w:rsidR="00A370E9" w:rsidRPr="00031625">
        <w:rPr>
          <w:rFonts w:ascii="Times New Roman" w:hAnsi="Times New Roman" w:cs="Times New Roman"/>
          <w:sz w:val="20"/>
          <w:szCs w:val="20"/>
        </w:rPr>
        <w:t>locally</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advanced squamous cell carcinoma of the head and</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neck (LA-SCCHN) </w:t>
      </w:r>
      <w:r w:rsidR="00311306" w:rsidRPr="00031625">
        <w:rPr>
          <w:rFonts w:ascii="Times New Roman" w:hAnsi="Times New Roman" w:cs="Times New Roman"/>
          <w:sz w:val="20"/>
          <w:szCs w:val="20"/>
        </w:rPr>
        <w:t xml:space="preserve">with stage III to </w:t>
      </w:r>
      <w:proofErr w:type="spellStart"/>
      <w:r w:rsidR="00311306" w:rsidRPr="00031625">
        <w:rPr>
          <w:rFonts w:ascii="Times New Roman" w:hAnsi="Times New Roman" w:cs="Times New Roman"/>
          <w:sz w:val="20"/>
          <w:szCs w:val="20"/>
        </w:rPr>
        <w:t>IVb</w:t>
      </w:r>
      <w:proofErr w:type="spellEnd"/>
      <w:r w:rsidR="00311306"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The </w:t>
      </w:r>
      <w:r w:rsidRPr="00031625">
        <w:rPr>
          <w:rFonts w:ascii="Times New Roman" w:hAnsi="Times New Roman" w:cs="Times New Roman"/>
          <w:sz w:val="20"/>
          <w:szCs w:val="20"/>
        </w:rPr>
        <w:t xml:space="preserve">fractionation </w:t>
      </w:r>
      <w:r w:rsidR="00FD7A76" w:rsidRPr="00031625">
        <w:rPr>
          <w:rFonts w:ascii="Times New Roman" w:hAnsi="Times New Roman" w:cs="Times New Roman"/>
          <w:sz w:val="20"/>
          <w:szCs w:val="20"/>
        </w:rPr>
        <w:t xml:space="preserve">program </w:t>
      </w:r>
      <w:r w:rsidR="00FD7A76">
        <w:rPr>
          <w:rFonts w:ascii="Times New Roman" w:hAnsi="Times New Roman" w:cs="Times New Roman"/>
          <w:sz w:val="20"/>
          <w:szCs w:val="20"/>
        </w:rPr>
        <w:t>is</w:t>
      </w:r>
      <w:r w:rsidR="00A370E9" w:rsidRPr="00031625">
        <w:rPr>
          <w:rFonts w:ascii="Times New Roman" w:hAnsi="Times New Roman" w:cs="Times New Roman"/>
          <w:sz w:val="20"/>
          <w:szCs w:val="20"/>
        </w:rPr>
        <w:t xml:space="preserve"> 70 </w:t>
      </w:r>
      <w:proofErr w:type="spellStart"/>
      <w:r w:rsidR="00A370E9" w:rsidRPr="00031625">
        <w:rPr>
          <w:rFonts w:ascii="Times New Roman" w:hAnsi="Times New Roman" w:cs="Times New Roman"/>
          <w:sz w:val="20"/>
          <w:szCs w:val="20"/>
        </w:rPr>
        <w:t>Gy</w:t>
      </w:r>
      <w:proofErr w:type="spellEnd"/>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(2 </w:t>
      </w:r>
      <w:proofErr w:type="spellStart"/>
      <w:r w:rsidR="00A370E9" w:rsidRPr="00031625">
        <w:rPr>
          <w:rFonts w:ascii="Times New Roman" w:hAnsi="Times New Roman" w:cs="Times New Roman"/>
          <w:sz w:val="20"/>
          <w:szCs w:val="20"/>
        </w:rPr>
        <w:t>Gy</w:t>
      </w:r>
      <w:proofErr w:type="spellEnd"/>
      <w:r w:rsidR="00A370E9" w:rsidRPr="00031625">
        <w:rPr>
          <w:rFonts w:ascii="Times New Roman" w:hAnsi="Times New Roman" w:cs="Times New Roman"/>
          <w:sz w:val="20"/>
          <w:szCs w:val="20"/>
        </w:rPr>
        <w:t xml:space="preserve">/fraction) over </w:t>
      </w:r>
      <w:r w:rsidRPr="00031625">
        <w:rPr>
          <w:rFonts w:ascii="Times New Roman" w:hAnsi="Times New Roman" w:cs="Times New Roman"/>
          <w:sz w:val="20"/>
          <w:szCs w:val="20"/>
        </w:rPr>
        <w:t>seven</w:t>
      </w:r>
      <w:r w:rsidR="00A370E9" w:rsidRPr="00031625">
        <w:rPr>
          <w:rFonts w:ascii="Times New Roman" w:hAnsi="Times New Roman" w:cs="Times New Roman"/>
          <w:sz w:val="20"/>
          <w:szCs w:val="20"/>
        </w:rPr>
        <w:t xml:space="preserve"> weeks, with concurrent </w:t>
      </w:r>
      <w:r w:rsidRPr="00031625">
        <w:rPr>
          <w:rFonts w:ascii="Times New Roman" w:hAnsi="Times New Roman" w:cs="Times New Roman"/>
          <w:sz w:val="20"/>
          <w:szCs w:val="20"/>
        </w:rPr>
        <w:t>h</w:t>
      </w:r>
      <w:r w:rsidR="00C27487" w:rsidRPr="00031625">
        <w:rPr>
          <w:rFonts w:ascii="Times New Roman" w:hAnsi="Times New Roman" w:cs="Times New Roman"/>
          <w:sz w:val="20"/>
          <w:szCs w:val="20"/>
        </w:rPr>
        <w:t xml:space="preserve">igh-dose cisplatin </w:t>
      </w:r>
      <w:r w:rsidR="00A370E9" w:rsidRPr="00031625">
        <w:rPr>
          <w:rFonts w:ascii="Times New Roman" w:hAnsi="Times New Roman" w:cs="Times New Roman"/>
          <w:sz w:val="20"/>
          <w:szCs w:val="20"/>
        </w:rPr>
        <w:t>100</w:t>
      </w:r>
      <w:r w:rsidR="00F7405F"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mg/m</w:t>
      </w:r>
      <w:r w:rsidR="00A370E9" w:rsidRPr="00031625">
        <w:rPr>
          <w:rFonts w:ascii="Times New Roman" w:hAnsi="Times New Roman" w:cs="Times New Roman"/>
          <w:sz w:val="20"/>
          <w:szCs w:val="20"/>
          <w:vertAlign w:val="superscript"/>
        </w:rPr>
        <w:t>2</w:t>
      </w:r>
      <w:r w:rsidR="00A370E9" w:rsidRPr="00031625">
        <w:rPr>
          <w:rFonts w:ascii="Times New Roman" w:hAnsi="Times New Roman" w:cs="Times New Roman"/>
          <w:sz w:val="20"/>
          <w:szCs w:val="20"/>
        </w:rPr>
        <w:t xml:space="preserve"> on days 1, 22, and 43. This </w:t>
      </w:r>
      <w:r w:rsidR="00311306" w:rsidRPr="00031625">
        <w:rPr>
          <w:rFonts w:ascii="Times New Roman" w:hAnsi="Times New Roman" w:cs="Times New Roman"/>
          <w:sz w:val="20"/>
          <w:szCs w:val="20"/>
        </w:rPr>
        <w:t xml:space="preserve">regimen </w:t>
      </w:r>
      <w:r w:rsidR="00A370E9" w:rsidRPr="00031625">
        <w:rPr>
          <w:rFonts w:ascii="Times New Roman" w:hAnsi="Times New Roman" w:cs="Times New Roman"/>
          <w:sz w:val="20"/>
          <w:szCs w:val="20"/>
        </w:rPr>
        <w:t xml:space="preserve">was </w:t>
      </w:r>
      <w:r w:rsidR="00FD7A76">
        <w:rPr>
          <w:rFonts w:ascii="Times New Roman" w:hAnsi="Times New Roman" w:cs="Times New Roman"/>
          <w:sz w:val="20"/>
          <w:szCs w:val="20"/>
        </w:rPr>
        <w:t>tested</w:t>
      </w:r>
      <w:r w:rsidR="00311306" w:rsidRPr="00031625">
        <w:rPr>
          <w:rFonts w:ascii="Times New Roman" w:hAnsi="Times New Roman" w:cs="Times New Roman"/>
          <w:sz w:val="20"/>
          <w:szCs w:val="20"/>
        </w:rPr>
        <w:t xml:space="preserve"> </w:t>
      </w:r>
      <w:r w:rsidR="00FD7A76">
        <w:rPr>
          <w:rFonts w:ascii="Times New Roman" w:hAnsi="Times New Roman" w:cs="Times New Roman"/>
          <w:sz w:val="20"/>
          <w:szCs w:val="20"/>
        </w:rPr>
        <w:t>i</w:t>
      </w:r>
      <w:r w:rsidR="00311306" w:rsidRPr="00031625">
        <w:rPr>
          <w:rFonts w:ascii="Times New Roman" w:hAnsi="Times New Roman" w:cs="Times New Roman"/>
          <w:sz w:val="20"/>
          <w:szCs w:val="20"/>
        </w:rPr>
        <w:t xml:space="preserve">n the </w:t>
      </w:r>
      <w:r w:rsidRPr="00031625">
        <w:rPr>
          <w:rFonts w:ascii="Times New Roman" w:hAnsi="Times New Roman" w:cs="Times New Roman"/>
          <w:sz w:val="20"/>
          <w:szCs w:val="20"/>
        </w:rPr>
        <w:t xml:space="preserve">trials </w:t>
      </w:r>
      <w:r w:rsidR="00A370E9" w:rsidRPr="00031625">
        <w:rPr>
          <w:rFonts w:ascii="Times New Roman" w:hAnsi="Times New Roman" w:cs="Times New Roman"/>
          <w:sz w:val="20"/>
          <w:szCs w:val="20"/>
        </w:rPr>
        <w:t>by the Intergroup</w:t>
      </w:r>
      <w:r w:rsidR="008943E6" w:rsidRPr="00031625">
        <w:rPr>
          <w:rFonts w:ascii="Times New Roman" w:hAnsi="Times New Roman" w:cs="Times New Roman"/>
          <w:sz w:val="20"/>
          <w:szCs w:val="20"/>
        </w:rPr>
        <w:t xml:space="preserve"> [4]</w:t>
      </w:r>
      <w:r w:rsidR="00A370E9" w:rsidRPr="00031625">
        <w:rPr>
          <w:rFonts w:ascii="Times New Roman" w:hAnsi="Times New Roman" w:cs="Times New Roman"/>
          <w:sz w:val="20"/>
          <w:szCs w:val="20"/>
        </w:rPr>
        <w:t xml:space="preserve"> and the Radiation Therapy Oncology</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Group (RTOG) 91-11</w:t>
      </w:r>
      <w:r w:rsidR="009E19C5" w:rsidRPr="00031625">
        <w:rPr>
          <w:rFonts w:ascii="Times New Roman" w:hAnsi="Times New Roman" w:cs="Times New Roman"/>
          <w:sz w:val="20"/>
          <w:szCs w:val="20"/>
        </w:rPr>
        <w:t xml:space="preserve"> [5]</w:t>
      </w:r>
      <w:r w:rsidR="00A370E9" w:rsidRPr="00031625">
        <w:rPr>
          <w:rFonts w:ascii="Times New Roman" w:hAnsi="Times New Roman" w:cs="Times New Roman"/>
          <w:sz w:val="20"/>
          <w:szCs w:val="20"/>
        </w:rPr>
        <w:t xml:space="preserve">, </w:t>
      </w:r>
      <w:r w:rsidR="00FD7A76">
        <w:rPr>
          <w:rFonts w:ascii="Times New Roman" w:hAnsi="Times New Roman" w:cs="Times New Roman"/>
          <w:sz w:val="20"/>
          <w:szCs w:val="20"/>
        </w:rPr>
        <w:t>using</w:t>
      </w:r>
      <w:r w:rsidR="00A370E9" w:rsidRPr="00031625">
        <w:rPr>
          <w:rFonts w:ascii="Times New Roman" w:hAnsi="Times New Roman" w:cs="Times New Roman"/>
          <w:sz w:val="20"/>
          <w:szCs w:val="20"/>
        </w:rPr>
        <w:t xml:space="preserve"> cisplatin-based</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concurrent chemoradiotherapy</w:t>
      </w:r>
      <w:r w:rsidR="007924B1" w:rsidRPr="00031625">
        <w:rPr>
          <w:rFonts w:ascii="Times New Roman" w:hAnsi="Times New Roman" w:cs="Times New Roman"/>
          <w:sz w:val="20"/>
          <w:szCs w:val="20"/>
        </w:rPr>
        <w:t>.</w:t>
      </w:r>
    </w:p>
    <w:p w:rsidR="006D7442" w:rsidRPr="00031625" w:rsidRDefault="00A41E1B" w:rsidP="00FC1590">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A total of 233 subjects included in a </w:t>
      </w:r>
      <w:r w:rsidR="00A370E9" w:rsidRPr="00031625">
        <w:rPr>
          <w:rFonts w:ascii="Times New Roman" w:hAnsi="Times New Roman" w:cs="Times New Roman"/>
          <w:sz w:val="20"/>
          <w:szCs w:val="20"/>
        </w:rPr>
        <w:t xml:space="preserve">retrospective </w:t>
      </w:r>
      <w:r w:rsidRPr="00031625">
        <w:rPr>
          <w:rFonts w:ascii="Times New Roman" w:hAnsi="Times New Roman" w:cs="Times New Roman"/>
          <w:sz w:val="20"/>
          <w:szCs w:val="20"/>
        </w:rPr>
        <w:t>work,</w:t>
      </w:r>
      <w:r w:rsidR="00A370E9" w:rsidRPr="00031625">
        <w:rPr>
          <w:rFonts w:ascii="Times New Roman" w:hAnsi="Times New Roman" w:cs="Times New Roman"/>
          <w:sz w:val="20"/>
          <w:szCs w:val="20"/>
        </w:rPr>
        <w:t xml:space="preserve"> </w:t>
      </w:r>
      <w:r w:rsidRPr="00031625">
        <w:rPr>
          <w:rFonts w:ascii="Times New Roman" w:hAnsi="Times New Roman" w:cs="Times New Roman"/>
          <w:sz w:val="20"/>
          <w:szCs w:val="20"/>
        </w:rPr>
        <w:t>50%</w:t>
      </w:r>
      <w:r w:rsidR="00A370E9" w:rsidRPr="00031625">
        <w:rPr>
          <w:rFonts w:ascii="Times New Roman" w:hAnsi="Times New Roman" w:cs="Times New Roman"/>
          <w:sz w:val="20"/>
          <w:szCs w:val="20"/>
        </w:rPr>
        <w:t xml:space="preserve"> of the</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participating </w:t>
      </w:r>
      <w:r w:rsidR="00A370E9" w:rsidRPr="00031625">
        <w:rPr>
          <w:rFonts w:ascii="Times New Roman" w:hAnsi="Times New Roman" w:cs="Times New Roman"/>
          <w:sz w:val="20"/>
          <w:szCs w:val="20"/>
        </w:rPr>
        <w:t xml:space="preserve">patients </w:t>
      </w:r>
      <w:r w:rsidR="00DD49AD" w:rsidRPr="00031625">
        <w:rPr>
          <w:rFonts w:ascii="Times New Roman" w:hAnsi="Times New Roman" w:cs="Times New Roman"/>
          <w:sz w:val="20"/>
          <w:szCs w:val="20"/>
        </w:rPr>
        <w:t>who received</w:t>
      </w:r>
      <w:r w:rsidR="00A370E9" w:rsidRPr="00031625">
        <w:rPr>
          <w:rFonts w:ascii="Times New Roman" w:hAnsi="Times New Roman" w:cs="Times New Roman"/>
          <w:sz w:val="20"/>
          <w:szCs w:val="20"/>
        </w:rPr>
        <w:t xml:space="preserve"> high-dose cisplatin</w:t>
      </w:r>
      <w:r w:rsidR="00F1015C" w:rsidRPr="00031625">
        <w:rPr>
          <w:rFonts w:ascii="Times New Roman" w:hAnsi="Times New Roman" w:cs="Times New Roman"/>
          <w:sz w:val="20"/>
          <w:szCs w:val="20"/>
        </w:rPr>
        <w:t>-</w:t>
      </w:r>
      <w:r w:rsidR="00DD49AD" w:rsidRPr="00031625">
        <w:rPr>
          <w:rFonts w:ascii="Times New Roman" w:hAnsi="Times New Roman" w:cs="Times New Roman"/>
          <w:sz w:val="20"/>
          <w:szCs w:val="20"/>
        </w:rPr>
        <w:t xml:space="preserve">based </w:t>
      </w:r>
      <w:smartTag w:uri="urn:schemas-microsoft-com:office:smarttags" w:element="stockticker">
        <w:r w:rsidR="00DD49AD" w:rsidRPr="00031625">
          <w:rPr>
            <w:rFonts w:ascii="Times New Roman" w:hAnsi="Times New Roman" w:cs="Times New Roman"/>
            <w:sz w:val="20"/>
            <w:szCs w:val="20"/>
          </w:rPr>
          <w:t>CRT</w:t>
        </w:r>
      </w:smartTag>
      <w:r w:rsidR="00A370E9" w:rsidRPr="00031625">
        <w:rPr>
          <w:rFonts w:ascii="Times New Roman" w:hAnsi="Times New Roman" w:cs="Times New Roman"/>
          <w:sz w:val="20"/>
          <w:szCs w:val="20"/>
        </w:rPr>
        <w:t xml:space="preserve"> for</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treatment </w:t>
      </w:r>
      <w:r w:rsidRPr="00031625">
        <w:rPr>
          <w:rFonts w:ascii="Times New Roman" w:hAnsi="Times New Roman" w:cs="Times New Roman"/>
          <w:sz w:val="20"/>
          <w:szCs w:val="20"/>
        </w:rPr>
        <w:t xml:space="preserve">from </w:t>
      </w:r>
      <w:r w:rsidR="00A370E9" w:rsidRPr="00031625">
        <w:rPr>
          <w:rFonts w:ascii="Times New Roman" w:hAnsi="Times New Roman" w:cs="Times New Roman"/>
          <w:sz w:val="20"/>
          <w:szCs w:val="20"/>
        </w:rPr>
        <w:t xml:space="preserve">head and neck </w:t>
      </w:r>
      <w:r w:rsidRPr="00031625">
        <w:rPr>
          <w:rFonts w:ascii="Times New Roman" w:hAnsi="Times New Roman" w:cs="Times New Roman"/>
          <w:sz w:val="20"/>
          <w:szCs w:val="20"/>
        </w:rPr>
        <w:t>tumor</w:t>
      </w:r>
      <w:r w:rsidR="00A370E9"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affected with </w:t>
      </w:r>
      <w:r w:rsidR="00A370E9" w:rsidRPr="00031625">
        <w:rPr>
          <w:rFonts w:ascii="Times New Roman" w:hAnsi="Times New Roman" w:cs="Times New Roman"/>
          <w:sz w:val="20"/>
          <w:szCs w:val="20"/>
        </w:rPr>
        <w:t xml:space="preserve">acute </w:t>
      </w:r>
      <w:r w:rsidRPr="00031625">
        <w:rPr>
          <w:rFonts w:ascii="Times New Roman" w:hAnsi="Times New Roman" w:cs="Times New Roman"/>
          <w:sz w:val="20"/>
          <w:szCs w:val="20"/>
        </w:rPr>
        <w:t>renal</w:t>
      </w:r>
      <w:r w:rsidR="00875858"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injury </w:t>
      </w:r>
      <w:r w:rsidRPr="00031625">
        <w:rPr>
          <w:rFonts w:ascii="Times New Roman" w:hAnsi="Times New Roman" w:cs="Times New Roman"/>
          <w:sz w:val="20"/>
          <w:szCs w:val="20"/>
        </w:rPr>
        <w:t xml:space="preserve">in </w:t>
      </w:r>
      <w:r w:rsidR="00A370E9" w:rsidRPr="00031625">
        <w:rPr>
          <w:rFonts w:ascii="Times New Roman" w:hAnsi="Times New Roman" w:cs="Times New Roman"/>
          <w:sz w:val="20"/>
          <w:szCs w:val="20"/>
        </w:rPr>
        <w:t xml:space="preserve">spite </w:t>
      </w:r>
      <w:r w:rsidRPr="00031625">
        <w:rPr>
          <w:rFonts w:ascii="Times New Roman" w:hAnsi="Times New Roman" w:cs="Times New Roman"/>
          <w:sz w:val="20"/>
          <w:szCs w:val="20"/>
        </w:rPr>
        <w:t>of caution in selection of</w:t>
      </w:r>
      <w:r w:rsidR="00A370E9" w:rsidRPr="00031625">
        <w:rPr>
          <w:rFonts w:ascii="Times New Roman" w:hAnsi="Times New Roman" w:cs="Times New Roman"/>
          <w:sz w:val="20"/>
          <w:szCs w:val="20"/>
        </w:rPr>
        <w:t xml:space="preserve"> patient, </w:t>
      </w:r>
      <w:r w:rsidRPr="00031625">
        <w:rPr>
          <w:rFonts w:ascii="Times New Roman" w:hAnsi="Times New Roman" w:cs="Times New Roman"/>
          <w:sz w:val="20"/>
          <w:szCs w:val="20"/>
        </w:rPr>
        <w:t xml:space="preserve">addition </w:t>
      </w:r>
      <w:r w:rsidR="00DD49AD" w:rsidRPr="00031625">
        <w:rPr>
          <w:rFonts w:ascii="Times New Roman" w:hAnsi="Times New Roman" w:cs="Times New Roman"/>
          <w:sz w:val="20"/>
          <w:szCs w:val="20"/>
        </w:rPr>
        <w:t xml:space="preserve">of mannitol to </w:t>
      </w:r>
      <w:r w:rsidRPr="00031625">
        <w:rPr>
          <w:rFonts w:ascii="Times New Roman" w:hAnsi="Times New Roman" w:cs="Times New Roman"/>
          <w:sz w:val="20"/>
          <w:szCs w:val="20"/>
        </w:rPr>
        <w:t>keep</w:t>
      </w:r>
      <w:r w:rsidR="00DD49AD" w:rsidRPr="00031625">
        <w:rPr>
          <w:rFonts w:ascii="Times New Roman" w:hAnsi="Times New Roman" w:cs="Times New Roman"/>
          <w:sz w:val="20"/>
          <w:szCs w:val="20"/>
        </w:rPr>
        <w:t xml:space="preserve"> </w:t>
      </w:r>
      <w:r w:rsidR="00DD49AD" w:rsidRPr="00031625">
        <w:rPr>
          <w:rFonts w:ascii="Times New Roman" w:hAnsi="Times New Roman" w:cs="Times New Roman"/>
          <w:sz w:val="20"/>
          <w:szCs w:val="20"/>
        </w:rPr>
        <w:lastRenderedPageBreak/>
        <w:t>urinary flow</w:t>
      </w:r>
      <w:r w:rsidR="00A370E9" w:rsidRPr="00031625">
        <w:rPr>
          <w:rFonts w:ascii="Times New Roman" w:hAnsi="Times New Roman" w:cs="Times New Roman"/>
          <w:sz w:val="20"/>
          <w:szCs w:val="20"/>
        </w:rPr>
        <w:t>,</w:t>
      </w:r>
      <w:r w:rsidR="007B6656" w:rsidRPr="00031625">
        <w:rPr>
          <w:rFonts w:ascii="Times New Roman" w:hAnsi="Times New Roman" w:cs="Times New Roman"/>
          <w:sz w:val="20"/>
          <w:szCs w:val="20"/>
        </w:rPr>
        <w:t xml:space="preserve"> </w:t>
      </w:r>
      <w:r w:rsidR="00A370E9" w:rsidRPr="00031625">
        <w:rPr>
          <w:rFonts w:ascii="Times New Roman" w:hAnsi="Times New Roman" w:cs="Times New Roman"/>
          <w:sz w:val="20"/>
          <w:szCs w:val="20"/>
        </w:rPr>
        <w:t xml:space="preserve">and </w:t>
      </w:r>
      <w:r w:rsidR="00DD49AD" w:rsidRPr="00031625">
        <w:rPr>
          <w:rFonts w:ascii="Times New Roman" w:hAnsi="Times New Roman" w:cs="Times New Roman"/>
          <w:sz w:val="20"/>
          <w:szCs w:val="20"/>
        </w:rPr>
        <w:t>liberal hydration</w:t>
      </w:r>
      <w:r w:rsidR="008943E6" w:rsidRPr="00031625">
        <w:rPr>
          <w:rFonts w:ascii="Times New Roman" w:hAnsi="Times New Roman" w:cs="Times New Roman"/>
          <w:sz w:val="20"/>
          <w:szCs w:val="20"/>
        </w:rPr>
        <w:t xml:space="preserve"> [6]</w:t>
      </w:r>
      <w:r w:rsidR="00EC1349" w:rsidRPr="00031625">
        <w:rPr>
          <w:rFonts w:ascii="Times New Roman" w:hAnsi="Times New Roman" w:cs="Times New Roman"/>
          <w:sz w:val="20"/>
          <w:szCs w:val="20"/>
        </w:rPr>
        <w:t xml:space="preserve">. </w:t>
      </w:r>
      <w:r w:rsidR="006E2946" w:rsidRPr="00031625">
        <w:rPr>
          <w:rFonts w:ascii="Times New Roman" w:hAnsi="Times New Roman" w:cs="Times New Roman"/>
          <w:sz w:val="20"/>
          <w:szCs w:val="20"/>
        </w:rPr>
        <w:t>Th</w:t>
      </w:r>
      <w:r w:rsidRPr="00031625">
        <w:rPr>
          <w:rFonts w:ascii="Times New Roman" w:hAnsi="Times New Roman" w:cs="Times New Roman"/>
          <w:sz w:val="20"/>
          <w:szCs w:val="20"/>
        </w:rPr>
        <w:t>us</w:t>
      </w:r>
      <w:r w:rsidR="006E2946" w:rsidRPr="00031625">
        <w:rPr>
          <w:rFonts w:ascii="Times New Roman" w:hAnsi="Times New Roman" w:cs="Times New Roman"/>
          <w:sz w:val="20"/>
          <w:szCs w:val="20"/>
        </w:rPr>
        <w:t xml:space="preserve">, patients who are </w:t>
      </w:r>
      <w:r w:rsidRPr="00031625">
        <w:rPr>
          <w:rFonts w:ascii="Times New Roman" w:hAnsi="Times New Roman" w:cs="Times New Roman"/>
          <w:sz w:val="20"/>
          <w:szCs w:val="20"/>
        </w:rPr>
        <w:t>disqualified</w:t>
      </w:r>
      <w:r w:rsidR="006E2946" w:rsidRPr="00031625">
        <w:rPr>
          <w:rFonts w:ascii="Times New Roman" w:hAnsi="Times New Roman" w:cs="Times New Roman"/>
          <w:sz w:val="20"/>
          <w:szCs w:val="20"/>
        </w:rPr>
        <w:t xml:space="preserve"> for</w:t>
      </w:r>
      <w:r w:rsidR="00875858" w:rsidRPr="00031625">
        <w:rPr>
          <w:rFonts w:ascii="Times New Roman" w:hAnsi="Times New Roman" w:cs="Times New Roman"/>
          <w:sz w:val="20"/>
          <w:szCs w:val="20"/>
        </w:rPr>
        <w:t xml:space="preserve"> </w:t>
      </w:r>
      <w:r w:rsidR="00B37D72" w:rsidRPr="00031625">
        <w:rPr>
          <w:rFonts w:ascii="Times New Roman" w:hAnsi="Times New Roman" w:cs="Times New Roman"/>
          <w:sz w:val="20"/>
          <w:szCs w:val="20"/>
        </w:rPr>
        <w:t>cisplatin</w:t>
      </w:r>
      <w:r w:rsidR="006E2946" w:rsidRPr="00031625">
        <w:rPr>
          <w:rFonts w:ascii="Times New Roman" w:hAnsi="Times New Roman" w:cs="Times New Roman"/>
          <w:sz w:val="20"/>
          <w:szCs w:val="20"/>
        </w:rPr>
        <w:t xml:space="preserve"> t</w:t>
      </w:r>
      <w:r w:rsidRPr="00031625">
        <w:rPr>
          <w:rFonts w:ascii="Times New Roman" w:hAnsi="Times New Roman" w:cs="Times New Roman"/>
          <w:sz w:val="20"/>
          <w:szCs w:val="20"/>
        </w:rPr>
        <w:t>herapy</w:t>
      </w:r>
      <w:r w:rsidR="006E2946" w:rsidRPr="00031625">
        <w:rPr>
          <w:rFonts w:ascii="Times New Roman" w:hAnsi="Times New Roman" w:cs="Times New Roman"/>
          <w:sz w:val="20"/>
          <w:szCs w:val="20"/>
        </w:rPr>
        <w:t xml:space="preserve">, </w:t>
      </w:r>
      <w:r w:rsidR="00FC1590" w:rsidRPr="00031625">
        <w:rPr>
          <w:rFonts w:ascii="Times New Roman" w:hAnsi="Times New Roman" w:cs="Times New Roman"/>
          <w:sz w:val="20"/>
          <w:szCs w:val="20"/>
        </w:rPr>
        <w:t>for instance elderly patients</w:t>
      </w:r>
      <w:r w:rsidR="006E2946" w:rsidRPr="00031625">
        <w:rPr>
          <w:rFonts w:ascii="Times New Roman" w:hAnsi="Times New Roman" w:cs="Times New Roman"/>
          <w:sz w:val="20"/>
          <w:szCs w:val="20"/>
        </w:rPr>
        <w:t xml:space="preserve">, </w:t>
      </w:r>
      <w:r w:rsidR="00FC1590" w:rsidRPr="00031625">
        <w:rPr>
          <w:rFonts w:ascii="Times New Roman" w:hAnsi="Times New Roman" w:cs="Times New Roman"/>
          <w:sz w:val="20"/>
          <w:szCs w:val="20"/>
        </w:rPr>
        <w:t xml:space="preserve">cardiac, </w:t>
      </w:r>
      <w:r w:rsidR="006E2946" w:rsidRPr="00031625">
        <w:rPr>
          <w:rFonts w:ascii="Times New Roman" w:hAnsi="Times New Roman" w:cs="Times New Roman"/>
          <w:sz w:val="20"/>
          <w:szCs w:val="20"/>
        </w:rPr>
        <w:t xml:space="preserve">renal, </w:t>
      </w:r>
      <w:r w:rsidR="00DD49AD" w:rsidRPr="00031625">
        <w:rPr>
          <w:rFonts w:ascii="Times New Roman" w:hAnsi="Times New Roman" w:cs="Times New Roman"/>
          <w:sz w:val="20"/>
          <w:szCs w:val="20"/>
        </w:rPr>
        <w:t>respiratory</w:t>
      </w:r>
      <w:r w:rsidR="006E2946" w:rsidRPr="00031625">
        <w:rPr>
          <w:rFonts w:ascii="Times New Roman" w:hAnsi="Times New Roman" w:cs="Times New Roman"/>
          <w:sz w:val="20"/>
          <w:szCs w:val="20"/>
        </w:rPr>
        <w:t xml:space="preserve"> or</w:t>
      </w:r>
      <w:r w:rsidR="00875858" w:rsidRPr="00031625">
        <w:rPr>
          <w:rFonts w:ascii="Times New Roman" w:hAnsi="Times New Roman" w:cs="Times New Roman"/>
          <w:sz w:val="20"/>
          <w:szCs w:val="20"/>
        </w:rPr>
        <w:t xml:space="preserve"> </w:t>
      </w:r>
      <w:r w:rsidR="006E2946" w:rsidRPr="00031625">
        <w:rPr>
          <w:rFonts w:ascii="Times New Roman" w:hAnsi="Times New Roman" w:cs="Times New Roman"/>
          <w:sz w:val="20"/>
          <w:szCs w:val="20"/>
        </w:rPr>
        <w:t>neurogenic d</w:t>
      </w:r>
      <w:r w:rsidR="00FC1590" w:rsidRPr="00031625">
        <w:rPr>
          <w:rFonts w:ascii="Times New Roman" w:hAnsi="Times New Roman" w:cs="Times New Roman"/>
          <w:sz w:val="20"/>
          <w:szCs w:val="20"/>
        </w:rPr>
        <w:t>isordered</w:t>
      </w:r>
      <w:r w:rsidR="006E2946" w:rsidRPr="00031625">
        <w:rPr>
          <w:rFonts w:ascii="Times New Roman" w:hAnsi="Times New Roman" w:cs="Times New Roman"/>
          <w:sz w:val="20"/>
          <w:szCs w:val="20"/>
        </w:rPr>
        <w:t xml:space="preserve">, are often </w:t>
      </w:r>
      <w:r w:rsidR="00EB1385" w:rsidRPr="00031625">
        <w:rPr>
          <w:rFonts w:ascii="Times New Roman" w:hAnsi="Times New Roman" w:cs="Times New Roman"/>
          <w:sz w:val="20"/>
          <w:szCs w:val="20"/>
        </w:rPr>
        <w:t>treated with</w:t>
      </w:r>
      <w:r w:rsidR="006E2946" w:rsidRPr="00031625">
        <w:rPr>
          <w:rFonts w:ascii="Times New Roman" w:hAnsi="Times New Roman" w:cs="Times New Roman"/>
          <w:sz w:val="20"/>
          <w:szCs w:val="20"/>
        </w:rPr>
        <w:t xml:space="preserve"> </w:t>
      </w:r>
      <w:r w:rsidR="00BE39EB" w:rsidRPr="00031625">
        <w:rPr>
          <w:rFonts w:ascii="Times New Roman" w:hAnsi="Times New Roman" w:cs="Times New Roman"/>
          <w:sz w:val="20"/>
          <w:szCs w:val="20"/>
        </w:rPr>
        <w:t>radiation therapy</w:t>
      </w:r>
      <w:r w:rsidR="006E2946" w:rsidRPr="00031625">
        <w:rPr>
          <w:rFonts w:ascii="Times New Roman" w:hAnsi="Times New Roman" w:cs="Times New Roman"/>
          <w:sz w:val="20"/>
          <w:szCs w:val="20"/>
        </w:rPr>
        <w:t xml:space="preserve"> alone</w:t>
      </w:r>
      <w:r w:rsidR="00DD49AD" w:rsidRPr="00031625">
        <w:rPr>
          <w:rFonts w:ascii="Times New Roman" w:hAnsi="Times New Roman" w:cs="Times New Roman"/>
          <w:sz w:val="20"/>
          <w:szCs w:val="20"/>
        </w:rPr>
        <w:t xml:space="preserve"> as a definitive treatment</w:t>
      </w:r>
      <w:r w:rsidR="006E2946" w:rsidRPr="00031625">
        <w:rPr>
          <w:rFonts w:ascii="Times New Roman" w:hAnsi="Times New Roman" w:cs="Times New Roman"/>
          <w:sz w:val="20"/>
          <w:szCs w:val="20"/>
        </w:rPr>
        <w:t>.</w:t>
      </w:r>
      <w:r w:rsidR="00DD49AD" w:rsidRPr="00031625">
        <w:rPr>
          <w:rFonts w:ascii="Times New Roman" w:hAnsi="Times New Roman" w:cs="Times New Roman"/>
          <w:sz w:val="20"/>
          <w:szCs w:val="20"/>
        </w:rPr>
        <w:t xml:space="preserve"> </w:t>
      </w:r>
    </w:p>
    <w:p w:rsidR="006E2946" w:rsidRPr="00031625" w:rsidRDefault="006E2946" w:rsidP="000C3324">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Carboplatin is a</w:t>
      </w:r>
      <w:r w:rsidR="000C3324" w:rsidRPr="00031625">
        <w:rPr>
          <w:rFonts w:ascii="Times New Roman" w:hAnsi="Times New Roman" w:cs="Times New Roman"/>
          <w:sz w:val="20"/>
          <w:szCs w:val="20"/>
        </w:rPr>
        <w:t xml:space="preserve">n analog of cisplatin </w:t>
      </w:r>
      <w:r w:rsidRPr="00031625">
        <w:rPr>
          <w:rFonts w:ascii="Times New Roman" w:hAnsi="Times New Roman" w:cs="Times New Roman"/>
          <w:sz w:val="20"/>
          <w:szCs w:val="20"/>
        </w:rPr>
        <w:t>second-generation</w:t>
      </w:r>
      <w:r w:rsidR="000C3324" w:rsidRPr="00031625">
        <w:rPr>
          <w:rFonts w:ascii="Times New Roman" w:hAnsi="Times New Roman" w:cs="Times New Roman"/>
          <w:sz w:val="20"/>
          <w:szCs w:val="20"/>
        </w:rPr>
        <w:t>,</w:t>
      </w:r>
      <w:r w:rsidRPr="00031625">
        <w:rPr>
          <w:rFonts w:ascii="Times New Roman" w:hAnsi="Times New Roman" w:cs="Times New Roman"/>
          <w:sz w:val="20"/>
          <w:szCs w:val="20"/>
        </w:rPr>
        <w:t xml:space="preserve"> </w:t>
      </w:r>
      <w:r w:rsidR="000C3324" w:rsidRPr="00031625">
        <w:rPr>
          <w:rFonts w:ascii="Times New Roman" w:hAnsi="Times New Roman" w:cs="Times New Roman"/>
          <w:sz w:val="20"/>
          <w:szCs w:val="20"/>
        </w:rPr>
        <w:t xml:space="preserve">characterized by a lower incidence of neurotoxicity, gastrointestinal toxicity, and </w:t>
      </w:r>
      <w:r w:rsidR="007C2D2E" w:rsidRPr="00031625">
        <w:rPr>
          <w:rFonts w:ascii="Times New Roman" w:hAnsi="Times New Roman" w:cs="Times New Roman"/>
          <w:sz w:val="20"/>
          <w:szCs w:val="20"/>
        </w:rPr>
        <w:t>nephrotoxicity</w:t>
      </w:r>
      <w:r w:rsidR="000C3324" w:rsidRPr="00031625">
        <w:rPr>
          <w:rFonts w:ascii="Times New Roman" w:hAnsi="Times New Roman" w:cs="Times New Roman"/>
          <w:sz w:val="20"/>
          <w:szCs w:val="20"/>
        </w:rPr>
        <w:t xml:space="preserve"> in contrast to </w:t>
      </w:r>
      <w:r w:rsidR="007C2D2E" w:rsidRPr="00031625">
        <w:rPr>
          <w:rFonts w:ascii="Times New Roman" w:hAnsi="Times New Roman" w:cs="Times New Roman"/>
          <w:sz w:val="20"/>
          <w:szCs w:val="20"/>
        </w:rPr>
        <w:t>cisplatin</w:t>
      </w:r>
      <w:r w:rsidR="008943E6" w:rsidRPr="00031625">
        <w:rPr>
          <w:rFonts w:ascii="Times New Roman" w:hAnsi="Times New Roman" w:cs="Times New Roman"/>
          <w:sz w:val="20"/>
          <w:szCs w:val="20"/>
        </w:rPr>
        <w:t xml:space="preserve"> [7]</w:t>
      </w:r>
      <w:r w:rsidR="00EC1349" w:rsidRPr="00031625">
        <w:rPr>
          <w:rFonts w:ascii="Times New Roman" w:hAnsi="Times New Roman" w:cs="Times New Roman"/>
          <w:sz w:val="20"/>
          <w:szCs w:val="20"/>
        </w:rPr>
        <w:t>.</w:t>
      </w:r>
      <w:r w:rsidR="00181663" w:rsidRPr="00031625">
        <w:rPr>
          <w:rFonts w:ascii="Times New Roman" w:hAnsi="Times New Roman" w:cs="Times New Roman"/>
          <w:sz w:val="20"/>
          <w:szCs w:val="20"/>
        </w:rPr>
        <w:t xml:space="preserve"> </w:t>
      </w:r>
      <w:r w:rsidR="00801E7A" w:rsidRPr="00031625">
        <w:rPr>
          <w:rFonts w:ascii="Times New Roman" w:hAnsi="Times New Roman" w:cs="Times New Roman"/>
          <w:sz w:val="20"/>
          <w:szCs w:val="20"/>
        </w:rPr>
        <w:t>Carboplatin</w:t>
      </w:r>
      <w:r w:rsidRPr="00031625">
        <w:rPr>
          <w:rFonts w:ascii="Times New Roman" w:hAnsi="Times New Roman" w:cs="Times New Roman"/>
          <w:sz w:val="20"/>
          <w:szCs w:val="20"/>
        </w:rPr>
        <w:t xml:space="preserve"> has been conventionally </w:t>
      </w:r>
      <w:r w:rsidR="00412704" w:rsidRPr="00031625">
        <w:rPr>
          <w:rFonts w:ascii="Times New Roman" w:hAnsi="Times New Roman" w:cs="Times New Roman"/>
          <w:sz w:val="20"/>
          <w:szCs w:val="20"/>
        </w:rPr>
        <w:t xml:space="preserve">used as an alternative to cisplatin </w:t>
      </w:r>
      <w:r w:rsidRPr="00031625">
        <w:rPr>
          <w:rFonts w:ascii="Times New Roman" w:hAnsi="Times New Roman" w:cs="Times New Roman"/>
          <w:sz w:val="20"/>
          <w:szCs w:val="20"/>
        </w:rPr>
        <w:t>for</w:t>
      </w:r>
      <w:r w:rsidR="00875858" w:rsidRPr="00031625">
        <w:rPr>
          <w:rFonts w:ascii="Times New Roman" w:hAnsi="Times New Roman" w:cs="Times New Roman"/>
          <w:sz w:val="20"/>
          <w:szCs w:val="20"/>
        </w:rPr>
        <w:t xml:space="preserve"> </w:t>
      </w:r>
      <w:r w:rsidR="00412704" w:rsidRPr="00031625">
        <w:rPr>
          <w:rFonts w:ascii="Times New Roman" w:hAnsi="Times New Roman" w:cs="Times New Roman"/>
          <w:sz w:val="20"/>
          <w:szCs w:val="20"/>
        </w:rPr>
        <w:t xml:space="preserve">treatment of </w:t>
      </w:r>
      <w:r w:rsidRPr="00031625">
        <w:rPr>
          <w:rFonts w:ascii="Times New Roman" w:hAnsi="Times New Roman" w:cs="Times New Roman"/>
          <w:sz w:val="20"/>
          <w:szCs w:val="20"/>
        </w:rPr>
        <w:t>head and neck cancers</w:t>
      </w:r>
      <w:r w:rsidR="00412704" w:rsidRPr="00031625">
        <w:rPr>
          <w:rFonts w:ascii="Times New Roman" w:hAnsi="Times New Roman" w:cs="Times New Roman"/>
          <w:sz w:val="20"/>
          <w:szCs w:val="20"/>
        </w:rPr>
        <w:t xml:space="preserve"> concurrently with radiation therapy</w:t>
      </w:r>
      <w:r w:rsidRPr="00031625">
        <w:rPr>
          <w:rFonts w:ascii="Times New Roman" w:hAnsi="Times New Roman" w:cs="Times New Roman"/>
          <w:sz w:val="20"/>
          <w:szCs w:val="20"/>
        </w:rPr>
        <w:t>, especially in patients</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who may </w:t>
      </w:r>
      <w:r w:rsidR="00412704" w:rsidRPr="00031625">
        <w:rPr>
          <w:rFonts w:ascii="Times New Roman" w:hAnsi="Times New Roman" w:cs="Times New Roman"/>
          <w:sz w:val="20"/>
          <w:szCs w:val="20"/>
        </w:rPr>
        <w:t xml:space="preserve">be ineligible for </w:t>
      </w:r>
      <w:r w:rsidR="00801E7A" w:rsidRPr="00031625">
        <w:rPr>
          <w:rFonts w:ascii="Times New Roman" w:hAnsi="Times New Roman" w:cs="Times New Roman"/>
          <w:sz w:val="20"/>
          <w:szCs w:val="20"/>
        </w:rPr>
        <w:t>cisplatin</w:t>
      </w:r>
      <w:r w:rsidRPr="00031625">
        <w:rPr>
          <w:rFonts w:ascii="Times New Roman" w:hAnsi="Times New Roman" w:cs="Times New Roman"/>
          <w:sz w:val="20"/>
          <w:szCs w:val="20"/>
        </w:rPr>
        <w:t xml:space="preserve"> due to its toxicity. However,</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the efficacy and </w:t>
      </w:r>
      <w:r w:rsidR="00EB1385" w:rsidRPr="00031625">
        <w:rPr>
          <w:rFonts w:ascii="Times New Roman" w:hAnsi="Times New Roman" w:cs="Times New Roman"/>
          <w:sz w:val="20"/>
          <w:szCs w:val="20"/>
        </w:rPr>
        <w:t>toxicity</w:t>
      </w:r>
      <w:r w:rsidRPr="00031625">
        <w:rPr>
          <w:rFonts w:ascii="Times New Roman" w:hAnsi="Times New Roman" w:cs="Times New Roman"/>
          <w:sz w:val="20"/>
          <w:szCs w:val="20"/>
        </w:rPr>
        <w:t xml:space="preserve"> of concurrent </w:t>
      </w:r>
      <w:r w:rsidR="00EC1349" w:rsidRPr="00031625">
        <w:rPr>
          <w:rFonts w:ascii="Times New Roman" w:hAnsi="Times New Roman" w:cs="Times New Roman"/>
          <w:sz w:val="20"/>
          <w:szCs w:val="20"/>
        </w:rPr>
        <w:t>c</w:t>
      </w:r>
      <w:r w:rsidR="00801E7A" w:rsidRPr="00031625">
        <w:rPr>
          <w:rFonts w:ascii="Times New Roman" w:hAnsi="Times New Roman" w:cs="Times New Roman"/>
          <w:sz w:val="20"/>
          <w:szCs w:val="20"/>
        </w:rPr>
        <w:t>arboplatin</w:t>
      </w:r>
      <w:r w:rsidRPr="00031625">
        <w:rPr>
          <w:rFonts w:ascii="Times New Roman" w:hAnsi="Times New Roman" w:cs="Times New Roman"/>
          <w:sz w:val="20"/>
          <w:szCs w:val="20"/>
        </w:rPr>
        <w:t xml:space="preserve"> </w:t>
      </w:r>
      <w:r w:rsidR="00EB1385" w:rsidRPr="00031625">
        <w:rPr>
          <w:rFonts w:ascii="Times New Roman" w:hAnsi="Times New Roman" w:cs="Times New Roman"/>
          <w:sz w:val="20"/>
          <w:szCs w:val="20"/>
        </w:rPr>
        <w:t>and</w:t>
      </w:r>
      <w:r w:rsidRPr="00031625">
        <w:rPr>
          <w:rFonts w:ascii="Times New Roman" w:hAnsi="Times New Roman" w:cs="Times New Roman"/>
          <w:sz w:val="20"/>
          <w:szCs w:val="20"/>
        </w:rPr>
        <w:t xml:space="preserve"> </w:t>
      </w:r>
      <w:r w:rsidR="00412704" w:rsidRPr="00031625">
        <w:rPr>
          <w:rFonts w:ascii="Times New Roman" w:hAnsi="Times New Roman" w:cs="Times New Roman"/>
          <w:sz w:val="20"/>
          <w:szCs w:val="20"/>
        </w:rPr>
        <w:t>radiation therapy</w:t>
      </w:r>
      <w:r w:rsidRPr="00031625">
        <w:rPr>
          <w:rFonts w:ascii="Times New Roman" w:hAnsi="Times New Roman" w:cs="Times New Roman"/>
          <w:sz w:val="20"/>
          <w:szCs w:val="20"/>
        </w:rPr>
        <w:t xml:space="preserve"> </w:t>
      </w:r>
      <w:r w:rsidR="00BE39EB" w:rsidRPr="00031625">
        <w:rPr>
          <w:rFonts w:ascii="Times New Roman" w:hAnsi="Times New Roman" w:cs="Times New Roman"/>
          <w:sz w:val="20"/>
          <w:szCs w:val="20"/>
        </w:rPr>
        <w:t>are not clear</w:t>
      </w:r>
      <w:r w:rsidRPr="00031625">
        <w:rPr>
          <w:rFonts w:ascii="Times New Roman" w:hAnsi="Times New Roman" w:cs="Times New Roman"/>
          <w:sz w:val="20"/>
          <w:szCs w:val="20"/>
        </w:rPr>
        <w:t xml:space="preserve"> for LA</w:t>
      </w:r>
      <w:r w:rsidR="009E19C5" w:rsidRPr="00031625">
        <w:rPr>
          <w:rFonts w:ascii="Times New Roman" w:hAnsi="Times New Roman" w:cs="Times New Roman"/>
          <w:sz w:val="20"/>
          <w:szCs w:val="20"/>
        </w:rPr>
        <w:t>-</w:t>
      </w:r>
      <w:r w:rsidRPr="00031625">
        <w:rPr>
          <w:rFonts w:ascii="Times New Roman" w:hAnsi="Times New Roman" w:cs="Times New Roman"/>
          <w:sz w:val="20"/>
          <w:szCs w:val="20"/>
        </w:rPr>
        <w:t xml:space="preserve">SCCHN patients who are ineligible for </w:t>
      </w:r>
      <w:r w:rsidR="00EB1385" w:rsidRPr="00031625">
        <w:rPr>
          <w:rFonts w:ascii="Times New Roman" w:hAnsi="Times New Roman" w:cs="Times New Roman"/>
          <w:sz w:val="20"/>
          <w:szCs w:val="20"/>
        </w:rPr>
        <w:t>treatment with cisplatin</w:t>
      </w:r>
      <w:r w:rsidR="008943E6" w:rsidRPr="00031625">
        <w:rPr>
          <w:rFonts w:ascii="Times New Roman" w:hAnsi="Times New Roman" w:cs="Times New Roman"/>
          <w:sz w:val="20"/>
          <w:szCs w:val="20"/>
        </w:rPr>
        <w:t xml:space="preserve"> [8]</w:t>
      </w:r>
      <w:r w:rsidR="00EC1349" w:rsidRPr="00031625">
        <w:rPr>
          <w:rFonts w:ascii="Times New Roman" w:hAnsi="Times New Roman" w:cs="Times New Roman"/>
          <w:sz w:val="20"/>
          <w:szCs w:val="20"/>
        </w:rPr>
        <w:t>.</w:t>
      </w:r>
    </w:p>
    <w:p w:rsidR="00801E7A" w:rsidRPr="00031625" w:rsidRDefault="006E2946" w:rsidP="00AB1C13">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In th</w:t>
      </w:r>
      <w:r w:rsidR="000C3324" w:rsidRPr="00031625">
        <w:rPr>
          <w:rFonts w:ascii="Times New Roman" w:hAnsi="Times New Roman" w:cs="Times New Roman"/>
          <w:sz w:val="20"/>
          <w:szCs w:val="20"/>
        </w:rPr>
        <w:t>e present investigation</w:t>
      </w:r>
      <w:r w:rsidRPr="00031625">
        <w:rPr>
          <w:rFonts w:ascii="Times New Roman" w:hAnsi="Times New Roman" w:cs="Times New Roman"/>
          <w:sz w:val="20"/>
          <w:szCs w:val="20"/>
        </w:rPr>
        <w:t xml:space="preserve">, we </w:t>
      </w:r>
      <w:r w:rsidR="007B6656" w:rsidRPr="00031625">
        <w:rPr>
          <w:rFonts w:ascii="Times New Roman" w:hAnsi="Times New Roman" w:cs="Times New Roman"/>
          <w:sz w:val="20"/>
          <w:szCs w:val="20"/>
        </w:rPr>
        <w:t>pr</w:t>
      </w:r>
      <w:r w:rsidRPr="00031625">
        <w:rPr>
          <w:rFonts w:ascii="Times New Roman" w:hAnsi="Times New Roman" w:cs="Times New Roman"/>
          <w:sz w:val="20"/>
          <w:szCs w:val="20"/>
        </w:rPr>
        <w:t xml:space="preserve">ospectively </w:t>
      </w:r>
      <w:r w:rsidR="000C3324" w:rsidRPr="00031625">
        <w:rPr>
          <w:rFonts w:ascii="Times New Roman" w:hAnsi="Times New Roman" w:cs="Times New Roman"/>
          <w:sz w:val="20"/>
          <w:szCs w:val="20"/>
        </w:rPr>
        <w:t xml:space="preserve">explored </w:t>
      </w:r>
      <w:r w:rsidRPr="00031625">
        <w:rPr>
          <w:rFonts w:ascii="Times New Roman" w:hAnsi="Times New Roman" w:cs="Times New Roman"/>
          <w:sz w:val="20"/>
          <w:szCs w:val="20"/>
        </w:rPr>
        <w:t xml:space="preserve">the clinical </w:t>
      </w:r>
      <w:r w:rsidR="000C3324" w:rsidRPr="00031625">
        <w:rPr>
          <w:rFonts w:ascii="Times New Roman" w:hAnsi="Times New Roman" w:cs="Times New Roman"/>
          <w:sz w:val="20"/>
          <w:szCs w:val="20"/>
        </w:rPr>
        <w:t>consequences</w:t>
      </w:r>
      <w:r w:rsidR="00747BA9" w:rsidRPr="00031625">
        <w:rPr>
          <w:rFonts w:ascii="Times New Roman" w:hAnsi="Times New Roman" w:cs="Times New Roman"/>
          <w:sz w:val="20"/>
          <w:szCs w:val="20"/>
        </w:rPr>
        <w:t>,</w:t>
      </w:r>
      <w:r w:rsidR="00875858" w:rsidRPr="00031625">
        <w:rPr>
          <w:rFonts w:ascii="Times New Roman" w:hAnsi="Times New Roman" w:cs="Times New Roman"/>
          <w:sz w:val="20"/>
          <w:szCs w:val="20"/>
        </w:rPr>
        <w:t xml:space="preserve"> </w:t>
      </w:r>
      <w:r w:rsidRPr="00031625">
        <w:rPr>
          <w:rFonts w:ascii="Times New Roman" w:hAnsi="Times New Roman" w:cs="Times New Roman"/>
          <w:sz w:val="20"/>
          <w:szCs w:val="20"/>
        </w:rPr>
        <w:t>feasibility</w:t>
      </w:r>
      <w:r w:rsidR="000868EE" w:rsidRPr="00031625">
        <w:rPr>
          <w:rFonts w:ascii="Times New Roman" w:hAnsi="Times New Roman" w:cs="Times New Roman"/>
          <w:sz w:val="20"/>
          <w:szCs w:val="20"/>
        </w:rPr>
        <w:t>,</w:t>
      </w:r>
      <w:r w:rsidRPr="00031625">
        <w:rPr>
          <w:rFonts w:ascii="Times New Roman" w:hAnsi="Times New Roman" w:cs="Times New Roman"/>
          <w:sz w:val="20"/>
          <w:szCs w:val="20"/>
        </w:rPr>
        <w:t xml:space="preserve"> </w:t>
      </w:r>
      <w:r w:rsidR="004D7A8D" w:rsidRPr="00031625">
        <w:rPr>
          <w:rFonts w:ascii="Times New Roman" w:hAnsi="Times New Roman" w:cs="Times New Roman"/>
          <w:sz w:val="20"/>
          <w:szCs w:val="20"/>
        </w:rPr>
        <w:t>and toxicity</w:t>
      </w:r>
      <w:r w:rsidR="00747BA9"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of </w:t>
      </w:r>
      <w:r w:rsidR="000C3324" w:rsidRPr="00031625">
        <w:rPr>
          <w:rFonts w:ascii="Times New Roman" w:hAnsi="Times New Roman" w:cs="Times New Roman"/>
          <w:sz w:val="20"/>
          <w:szCs w:val="20"/>
        </w:rPr>
        <w:t>concomitant</w:t>
      </w:r>
      <w:r w:rsidRPr="00031625">
        <w:rPr>
          <w:rFonts w:ascii="Times New Roman" w:hAnsi="Times New Roman" w:cs="Times New Roman"/>
          <w:sz w:val="20"/>
          <w:szCs w:val="20"/>
        </w:rPr>
        <w:t xml:space="preserve"> </w:t>
      </w:r>
      <w:r w:rsidR="00EC1349" w:rsidRPr="00031625">
        <w:rPr>
          <w:rFonts w:ascii="Times New Roman" w:hAnsi="Times New Roman" w:cs="Times New Roman"/>
          <w:sz w:val="20"/>
          <w:szCs w:val="20"/>
        </w:rPr>
        <w:t>c</w:t>
      </w:r>
      <w:r w:rsidR="00790822" w:rsidRPr="00031625">
        <w:rPr>
          <w:rFonts w:ascii="Times New Roman" w:hAnsi="Times New Roman" w:cs="Times New Roman"/>
          <w:sz w:val="20"/>
          <w:szCs w:val="20"/>
        </w:rPr>
        <w:t>arboplatin</w:t>
      </w:r>
      <w:r w:rsidRPr="00031625">
        <w:rPr>
          <w:rFonts w:ascii="Times New Roman" w:hAnsi="Times New Roman" w:cs="Times New Roman"/>
          <w:sz w:val="20"/>
          <w:szCs w:val="20"/>
        </w:rPr>
        <w:t xml:space="preserve"> </w:t>
      </w:r>
      <w:r w:rsidR="000C3324" w:rsidRPr="00031625">
        <w:rPr>
          <w:rFonts w:ascii="Times New Roman" w:hAnsi="Times New Roman" w:cs="Times New Roman"/>
          <w:sz w:val="20"/>
          <w:szCs w:val="20"/>
        </w:rPr>
        <w:t>and</w:t>
      </w:r>
      <w:r w:rsidRPr="00031625">
        <w:rPr>
          <w:rFonts w:ascii="Times New Roman" w:hAnsi="Times New Roman" w:cs="Times New Roman"/>
          <w:sz w:val="20"/>
          <w:szCs w:val="20"/>
        </w:rPr>
        <w:t xml:space="preserve"> </w:t>
      </w:r>
      <w:r w:rsidR="00EB1385" w:rsidRPr="00031625">
        <w:rPr>
          <w:rFonts w:ascii="Times New Roman" w:hAnsi="Times New Roman" w:cs="Times New Roman"/>
          <w:sz w:val="20"/>
          <w:szCs w:val="20"/>
        </w:rPr>
        <w:t>radiation therapy</w:t>
      </w:r>
      <w:r w:rsidRPr="00031625">
        <w:rPr>
          <w:rFonts w:ascii="Times New Roman" w:hAnsi="Times New Roman" w:cs="Times New Roman"/>
          <w:sz w:val="20"/>
          <w:szCs w:val="20"/>
        </w:rPr>
        <w:t xml:space="preserve"> in </w:t>
      </w:r>
      <w:r w:rsidR="00434741" w:rsidRPr="00031625">
        <w:rPr>
          <w:rFonts w:ascii="Times New Roman" w:hAnsi="Times New Roman" w:cs="Times New Roman"/>
          <w:sz w:val="20"/>
          <w:szCs w:val="20"/>
        </w:rPr>
        <w:t xml:space="preserve">patients with </w:t>
      </w:r>
      <w:r w:rsidRPr="00031625">
        <w:rPr>
          <w:rFonts w:ascii="Times New Roman" w:hAnsi="Times New Roman" w:cs="Times New Roman"/>
          <w:sz w:val="20"/>
          <w:szCs w:val="20"/>
        </w:rPr>
        <w:t>LA</w:t>
      </w:r>
      <w:r w:rsidR="009E19C5" w:rsidRPr="00031625">
        <w:rPr>
          <w:rFonts w:ascii="Times New Roman" w:hAnsi="Times New Roman" w:cs="Times New Roman"/>
          <w:sz w:val="20"/>
          <w:szCs w:val="20"/>
        </w:rPr>
        <w:t>-</w:t>
      </w:r>
      <w:r w:rsidRPr="00031625">
        <w:rPr>
          <w:rFonts w:ascii="Times New Roman" w:hAnsi="Times New Roman" w:cs="Times New Roman"/>
          <w:sz w:val="20"/>
          <w:szCs w:val="20"/>
        </w:rPr>
        <w:t xml:space="preserve">SCCHN who are </w:t>
      </w:r>
      <w:r w:rsidR="00AB1C13">
        <w:rPr>
          <w:rFonts w:ascii="Times New Roman" w:hAnsi="Times New Roman" w:cs="Times New Roman"/>
          <w:sz w:val="20"/>
          <w:szCs w:val="20"/>
        </w:rPr>
        <w:t>unfit</w:t>
      </w:r>
      <w:r w:rsidRPr="00031625">
        <w:rPr>
          <w:rFonts w:ascii="Times New Roman" w:hAnsi="Times New Roman" w:cs="Times New Roman"/>
          <w:sz w:val="20"/>
          <w:szCs w:val="20"/>
        </w:rPr>
        <w:t xml:space="preserve"> for </w:t>
      </w:r>
      <w:r w:rsidR="000C3324" w:rsidRPr="00031625">
        <w:rPr>
          <w:rFonts w:ascii="Times New Roman" w:hAnsi="Times New Roman" w:cs="Times New Roman"/>
          <w:sz w:val="20"/>
          <w:szCs w:val="20"/>
        </w:rPr>
        <w:t xml:space="preserve">treatment by </w:t>
      </w:r>
      <w:r w:rsidR="00790822" w:rsidRPr="00031625">
        <w:rPr>
          <w:rFonts w:ascii="Times New Roman" w:hAnsi="Times New Roman" w:cs="Times New Roman"/>
          <w:sz w:val="20"/>
          <w:szCs w:val="20"/>
        </w:rPr>
        <w:t>cisplatin</w:t>
      </w:r>
      <w:r w:rsidRPr="00031625">
        <w:rPr>
          <w:rFonts w:ascii="Times New Roman" w:hAnsi="Times New Roman" w:cs="Times New Roman"/>
          <w:sz w:val="20"/>
          <w:szCs w:val="20"/>
        </w:rPr>
        <w:t>.</w:t>
      </w:r>
    </w:p>
    <w:p w:rsidR="00AE2F5D" w:rsidRPr="00031625" w:rsidRDefault="00AE2F5D" w:rsidP="001555AE">
      <w:pPr>
        <w:autoSpaceDE w:val="0"/>
        <w:autoSpaceDN w:val="0"/>
        <w:bidi w:val="0"/>
        <w:adjustRightInd w:val="0"/>
        <w:spacing w:after="0" w:line="240" w:lineRule="auto"/>
        <w:ind w:firstLine="360"/>
        <w:jc w:val="both"/>
        <w:rPr>
          <w:rFonts w:ascii="Times New Roman" w:hAnsi="Times New Roman" w:cs="Times New Roman"/>
          <w:sz w:val="20"/>
          <w:szCs w:val="20"/>
        </w:rPr>
      </w:pPr>
    </w:p>
    <w:p w:rsidR="00530132" w:rsidRPr="00031625" w:rsidRDefault="004901BB" w:rsidP="00180E06">
      <w:pPr>
        <w:autoSpaceDE w:val="0"/>
        <w:autoSpaceDN w:val="0"/>
        <w:bidi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530132" w:rsidRPr="00031625">
        <w:rPr>
          <w:rFonts w:ascii="Times New Roman" w:hAnsi="Times New Roman" w:cs="Times New Roman"/>
          <w:b/>
          <w:bCs/>
          <w:sz w:val="20"/>
          <w:szCs w:val="20"/>
        </w:rPr>
        <w:t xml:space="preserve">Patients and methods </w:t>
      </w:r>
    </w:p>
    <w:p w:rsidR="00530132" w:rsidRPr="00031625" w:rsidRDefault="00530132" w:rsidP="003F3A8A">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This is a prospective study that was conducted at Clinical Oncology Department, </w:t>
      </w:r>
      <w:r w:rsidR="003F3A8A" w:rsidRPr="00031625">
        <w:rPr>
          <w:rFonts w:ascii="Times New Roman" w:hAnsi="Times New Roman" w:cs="Times New Roman"/>
          <w:sz w:val="20"/>
          <w:szCs w:val="20"/>
        </w:rPr>
        <w:t xml:space="preserve">Faculty of Medicine, </w:t>
      </w:r>
      <w:r w:rsidRPr="00031625">
        <w:rPr>
          <w:rFonts w:ascii="Times New Roman" w:hAnsi="Times New Roman" w:cs="Times New Roman"/>
          <w:sz w:val="20"/>
          <w:szCs w:val="20"/>
        </w:rPr>
        <w:t xml:space="preserve">Tanta University between August 2014 and August 2017. This study was approved by our </w:t>
      </w:r>
      <w:r w:rsidRPr="00031625">
        <w:rPr>
          <w:rFonts w:ascii="Times New Roman" w:hAnsi="Times New Roman" w:cs="Times New Roman"/>
          <w:sz w:val="20"/>
          <w:szCs w:val="20"/>
        </w:rPr>
        <w:lastRenderedPageBreak/>
        <w:t>faculty ethical committee with written informed consent was obtained from all included patients.</w:t>
      </w:r>
    </w:p>
    <w:p w:rsidR="00530132" w:rsidRPr="00031625" w:rsidRDefault="00530132" w:rsidP="00E55ECC">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Patients with histologically confirmed locally or regionally advanced stage III or IV (Union for International Cancer Control Tumor, Node, Metastasis classification, </w:t>
      </w:r>
      <w:r w:rsidR="00E55ECC" w:rsidRPr="00031625">
        <w:rPr>
          <w:rFonts w:ascii="Times New Roman" w:hAnsi="Times New Roman" w:cs="Times New Roman"/>
          <w:sz w:val="20"/>
          <w:szCs w:val="20"/>
        </w:rPr>
        <w:t>7</w:t>
      </w:r>
      <w:r w:rsidR="00E55ECC" w:rsidRPr="00031625">
        <w:rPr>
          <w:rFonts w:ascii="Times New Roman" w:hAnsi="Times New Roman" w:cs="Times New Roman"/>
          <w:sz w:val="20"/>
          <w:szCs w:val="20"/>
          <w:vertAlign w:val="superscript"/>
        </w:rPr>
        <w:t>th</w:t>
      </w:r>
      <w:r w:rsidR="00E55ECC" w:rsidRPr="00031625">
        <w:rPr>
          <w:rFonts w:ascii="Times New Roman" w:hAnsi="Times New Roman" w:cs="Times New Roman"/>
          <w:sz w:val="20"/>
          <w:szCs w:val="20"/>
        </w:rPr>
        <w:t xml:space="preserve"> e</w:t>
      </w:r>
      <w:r w:rsidRPr="00031625">
        <w:rPr>
          <w:rFonts w:ascii="Times New Roman" w:hAnsi="Times New Roman" w:cs="Times New Roman"/>
          <w:sz w:val="20"/>
          <w:szCs w:val="20"/>
        </w:rPr>
        <w:t xml:space="preserve">dition) [9] </w:t>
      </w:r>
      <w:r w:rsidR="00E55ECC" w:rsidRPr="00031625">
        <w:rPr>
          <w:rFonts w:ascii="Times New Roman" w:hAnsi="Times New Roman" w:cs="Times New Roman"/>
          <w:sz w:val="20"/>
          <w:szCs w:val="20"/>
        </w:rPr>
        <w:t>SCCHN</w:t>
      </w:r>
      <w:r w:rsidRPr="00031625">
        <w:rPr>
          <w:rFonts w:ascii="Times New Roman" w:hAnsi="Times New Roman" w:cs="Times New Roman"/>
          <w:sz w:val="20"/>
          <w:szCs w:val="20"/>
        </w:rPr>
        <w:t xml:space="preserve"> without evidence of distant metastasis were eligible for this study. </w:t>
      </w:r>
    </w:p>
    <w:p w:rsidR="00530132" w:rsidRPr="00031625" w:rsidRDefault="00530132" w:rsidP="00734403">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Eligibility criteria</w:t>
      </w:r>
    </w:p>
    <w:p w:rsidR="00530132" w:rsidRPr="00031625" w:rsidRDefault="00530132" w:rsidP="002053F8">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All patients aged between 16 and 75 years with pathologically proven SCC of the oral cavity, oropharynx, larynx or hypopharynx confirmed radiological</w:t>
      </w:r>
      <w:r w:rsidR="003F3A8A" w:rsidRPr="00031625">
        <w:rPr>
          <w:rFonts w:ascii="Times New Roman" w:hAnsi="Times New Roman" w:cs="Times New Roman"/>
          <w:sz w:val="20"/>
          <w:szCs w:val="20"/>
        </w:rPr>
        <w:t>ly</w:t>
      </w:r>
      <w:r w:rsidRPr="00031625">
        <w:rPr>
          <w:rFonts w:ascii="Times New Roman" w:hAnsi="Times New Roman" w:cs="Times New Roman"/>
          <w:sz w:val="20"/>
          <w:szCs w:val="20"/>
        </w:rPr>
        <w:t xml:space="preserve"> by computed tomography (CT) or magnetic resonance imaging (MRI) with no systemic metastasis. Ineligibility for cisplatin treatment due to of any of the following reasons: old age, renal impairment (creatinine clearance [</w:t>
      </w:r>
      <w:proofErr w:type="spellStart"/>
      <w:r w:rsidRPr="00031625">
        <w:rPr>
          <w:rFonts w:ascii="Times New Roman" w:hAnsi="Times New Roman" w:cs="Times New Roman"/>
          <w:sz w:val="20"/>
          <w:szCs w:val="20"/>
        </w:rPr>
        <w:t>CCr</w:t>
      </w:r>
      <w:proofErr w:type="spellEnd"/>
      <w:r w:rsidRPr="00031625">
        <w:rPr>
          <w:rFonts w:ascii="Times New Roman" w:hAnsi="Times New Roman" w:cs="Times New Roman"/>
          <w:sz w:val="20"/>
          <w:szCs w:val="20"/>
        </w:rPr>
        <w:t xml:space="preserve">] less than 60 ml/min), </w:t>
      </w:r>
      <w:r w:rsidR="002053F8" w:rsidRPr="00031625">
        <w:rPr>
          <w:rFonts w:ascii="Times New Roman" w:hAnsi="Times New Roman" w:cs="Times New Roman"/>
          <w:sz w:val="20"/>
          <w:szCs w:val="20"/>
        </w:rPr>
        <w:t xml:space="preserve">neurologic impairment (peripheral neuropathy or hearing impairment), </w:t>
      </w:r>
      <w:r w:rsidRPr="00031625">
        <w:rPr>
          <w:rFonts w:ascii="Times New Roman" w:hAnsi="Times New Roman" w:cs="Times New Roman"/>
          <w:sz w:val="20"/>
          <w:szCs w:val="20"/>
        </w:rPr>
        <w:t>cardiac dysfunction (a history of myocardial infarction, unstable angina or chronic heart failure), or performance status (PS) of ≥2 according to the Eastern Cooperative Oncology Group (ECOG). Adequate hematologic picture, hepatic and renal function.</w:t>
      </w:r>
    </w:p>
    <w:p w:rsidR="00530132" w:rsidRPr="00031625" w:rsidRDefault="00530132" w:rsidP="00734403">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 xml:space="preserve">Exclusion criteria   </w:t>
      </w:r>
    </w:p>
    <w:p w:rsidR="00530132" w:rsidRPr="00031625" w:rsidRDefault="00530132" w:rsidP="002053F8">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Patients were </w:t>
      </w:r>
      <w:r w:rsidR="002053F8" w:rsidRPr="00031625">
        <w:rPr>
          <w:rFonts w:ascii="Times New Roman" w:hAnsi="Times New Roman" w:cs="Times New Roman"/>
          <w:sz w:val="20"/>
          <w:szCs w:val="20"/>
        </w:rPr>
        <w:t xml:space="preserve">excluded </w:t>
      </w:r>
      <w:r w:rsidRPr="00031625">
        <w:rPr>
          <w:rFonts w:ascii="Times New Roman" w:hAnsi="Times New Roman" w:cs="Times New Roman"/>
          <w:sz w:val="20"/>
          <w:szCs w:val="20"/>
        </w:rPr>
        <w:t xml:space="preserve">if they received prior chemotherapy and/or radiotherapy, </w:t>
      </w:r>
      <w:r w:rsidR="002053F8" w:rsidRPr="00031625">
        <w:rPr>
          <w:rFonts w:ascii="Times New Roman" w:hAnsi="Times New Roman" w:cs="Times New Roman"/>
          <w:sz w:val="20"/>
          <w:szCs w:val="20"/>
        </w:rPr>
        <w:t xml:space="preserve">had </w:t>
      </w:r>
      <w:r w:rsidRPr="00031625">
        <w:rPr>
          <w:rFonts w:ascii="Times New Roman" w:hAnsi="Times New Roman" w:cs="Times New Roman"/>
          <w:sz w:val="20"/>
          <w:szCs w:val="20"/>
        </w:rPr>
        <w:t>prior surgery, active infection, or had a second malignancy.</w:t>
      </w:r>
    </w:p>
    <w:p w:rsidR="00530132" w:rsidRPr="00031625" w:rsidRDefault="00530132" w:rsidP="00734403">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Treatment</w:t>
      </w:r>
    </w:p>
    <w:p w:rsidR="00530132" w:rsidRPr="00031625" w:rsidRDefault="00530132" w:rsidP="00E55ECC">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Administration of induction chemotherapy (ICT) regimen as </w:t>
      </w:r>
      <w:r w:rsidR="003F3A8A" w:rsidRPr="00031625">
        <w:rPr>
          <w:rFonts w:ascii="Times New Roman" w:hAnsi="Times New Roman" w:cs="Times New Roman"/>
          <w:sz w:val="20"/>
          <w:szCs w:val="20"/>
        </w:rPr>
        <w:t xml:space="preserve">an </w:t>
      </w:r>
      <w:r w:rsidRPr="00031625">
        <w:rPr>
          <w:rFonts w:ascii="Times New Roman" w:hAnsi="Times New Roman" w:cs="Times New Roman"/>
          <w:sz w:val="20"/>
          <w:szCs w:val="20"/>
        </w:rPr>
        <w:t xml:space="preserve">IV infusion of carboplatin (area under the curve AUC, 5; day 1) and </w:t>
      </w:r>
      <w:r w:rsidR="00E55ECC" w:rsidRPr="00031625">
        <w:rPr>
          <w:rFonts w:ascii="Times New Roman" w:hAnsi="Times New Roman" w:cs="Times New Roman"/>
          <w:sz w:val="20"/>
          <w:szCs w:val="20"/>
        </w:rPr>
        <w:t>5-fluorouracil (1000 mg/m</w:t>
      </w:r>
      <w:r w:rsidR="00E55ECC" w:rsidRPr="00031625">
        <w:rPr>
          <w:rFonts w:ascii="Times New Roman" w:hAnsi="Times New Roman" w:cs="Times New Roman"/>
          <w:sz w:val="20"/>
          <w:szCs w:val="20"/>
          <w:vertAlign w:val="superscript"/>
        </w:rPr>
        <w:t>2</w:t>
      </w:r>
      <w:r w:rsidR="00E55ECC" w:rsidRPr="00031625">
        <w:rPr>
          <w:rFonts w:ascii="Times New Roman" w:hAnsi="Times New Roman" w:cs="Times New Roman"/>
          <w:sz w:val="20"/>
          <w:szCs w:val="20"/>
        </w:rPr>
        <w:t xml:space="preserve">, continuous infusion days 1–4) </w:t>
      </w:r>
      <w:r w:rsidRPr="00031625">
        <w:rPr>
          <w:rFonts w:ascii="Times New Roman" w:hAnsi="Times New Roman" w:cs="Times New Roman"/>
          <w:sz w:val="20"/>
          <w:szCs w:val="20"/>
        </w:rPr>
        <w:t xml:space="preserve">repeated every </w:t>
      </w:r>
      <w:r w:rsidR="00E55ECC" w:rsidRPr="00031625">
        <w:rPr>
          <w:rFonts w:ascii="Times New Roman" w:hAnsi="Times New Roman" w:cs="Times New Roman"/>
          <w:sz w:val="20"/>
          <w:szCs w:val="20"/>
        </w:rPr>
        <w:t>21 days</w:t>
      </w:r>
      <w:r w:rsidRPr="00031625">
        <w:rPr>
          <w:rFonts w:ascii="Times New Roman" w:hAnsi="Times New Roman" w:cs="Times New Roman"/>
          <w:sz w:val="20"/>
          <w:szCs w:val="20"/>
        </w:rPr>
        <w:t xml:space="preserve"> for three cycles.</w:t>
      </w:r>
    </w:p>
    <w:p w:rsidR="00530132" w:rsidRPr="00031625" w:rsidRDefault="00530132" w:rsidP="00530132">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All patients received carboplatin concurrent with conventionally fractionated RT. Carboplatin was administered either tri-weekly [AUC, 5 on days 1, 22 and 43] or weekly (AUC, 2 on days 1, 8, 15, 22, 29, 36 and 43) according to the physicians’ discretion. </w:t>
      </w:r>
    </w:p>
    <w:p w:rsidR="00530132" w:rsidRPr="00031625" w:rsidRDefault="004A14F7" w:rsidP="004A14F7">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The regimen </w:t>
      </w:r>
      <w:r w:rsidR="00530132" w:rsidRPr="00031625">
        <w:rPr>
          <w:rFonts w:ascii="Times New Roman" w:hAnsi="Times New Roman" w:cs="Times New Roman"/>
          <w:sz w:val="20"/>
          <w:szCs w:val="20"/>
        </w:rPr>
        <w:t>was discontinued if there was unacceptable toxicity, which renders further treatment detrimental to patients, delay of more than two weeks for blood counts to recover or for renal toxicity to improve to grade 2 or less, or at patient request.</w:t>
      </w:r>
    </w:p>
    <w:p w:rsidR="00530132" w:rsidRPr="00031625" w:rsidRDefault="00530132" w:rsidP="00734403">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Radiotherapy</w:t>
      </w:r>
    </w:p>
    <w:p w:rsidR="00530132" w:rsidRPr="00031625" w:rsidRDefault="00530132" w:rsidP="00420719">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For tumor localization, the extent of the primary tumor</w:t>
      </w:r>
      <w:r w:rsidR="004A14F7" w:rsidRPr="00031625">
        <w:rPr>
          <w:rFonts w:ascii="Times New Roman" w:hAnsi="Times New Roman" w:cs="Times New Roman"/>
          <w:sz w:val="20"/>
          <w:szCs w:val="20"/>
        </w:rPr>
        <w:t xml:space="preserve"> and</w:t>
      </w:r>
      <w:r w:rsidRPr="00031625">
        <w:rPr>
          <w:rFonts w:ascii="Times New Roman" w:hAnsi="Times New Roman" w:cs="Times New Roman"/>
          <w:sz w:val="20"/>
          <w:szCs w:val="20"/>
        </w:rPr>
        <w:t xml:space="preserve"> the neck nodes</w:t>
      </w:r>
      <w:r w:rsidR="004A14F7" w:rsidRPr="00031625">
        <w:rPr>
          <w:rFonts w:ascii="Times New Roman" w:hAnsi="Times New Roman" w:cs="Times New Roman"/>
          <w:sz w:val="20"/>
          <w:szCs w:val="20"/>
        </w:rPr>
        <w:t xml:space="preserve"> were assessed by using a CT scan</w:t>
      </w:r>
      <w:r w:rsidRPr="00031625">
        <w:rPr>
          <w:rFonts w:ascii="Times New Roman" w:hAnsi="Times New Roman" w:cs="Times New Roman"/>
          <w:sz w:val="20"/>
          <w:szCs w:val="20"/>
        </w:rPr>
        <w:t>. The field arrangement was individualized. All cases were treated with three-dimensional conformal radiation therapy (3DCRT)</w:t>
      </w:r>
      <w:r w:rsidRPr="00031625">
        <w:rPr>
          <w:rFonts w:ascii="Times New Roman" w:hAnsi="Times New Roman" w:cs="Times New Roman"/>
          <w:sz w:val="20"/>
          <w:szCs w:val="20"/>
          <w:rtl/>
        </w:rPr>
        <w:t xml:space="preserve"> </w:t>
      </w:r>
      <w:proofErr w:type="gramStart"/>
      <w:r w:rsidRPr="00031625">
        <w:rPr>
          <w:rFonts w:ascii="Times New Roman" w:hAnsi="Times New Roman" w:cs="Times New Roman"/>
          <w:sz w:val="20"/>
          <w:szCs w:val="20"/>
        </w:rPr>
        <w:t>with 6 MV linear accelerator</w:t>
      </w:r>
      <w:proofErr w:type="gramEnd"/>
      <w:r w:rsidRPr="00031625">
        <w:rPr>
          <w:rFonts w:ascii="Times New Roman" w:hAnsi="Times New Roman" w:cs="Times New Roman"/>
          <w:sz w:val="20"/>
          <w:szCs w:val="20"/>
        </w:rPr>
        <w:t xml:space="preserve">. </w:t>
      </w:r>
      <w:r w:rsidR="004A14F7" w:rsidRPr="00031625">
        <w:rPr>
          <w:rFonts w:ascii="Times New Roman" w:hAnsi="Times New Roman" w:cs="Times New Roman"/>
          <w:sz w:val="20"/>
          <w:szCs w:val="20"/>
        </w:rPr>
        <w:t xml:space="preserve">The </w:t>
      </w:r>
      <w:r w:rsidRPr="00031625">
        <w:rPr>
          <w:rFonts w:ascii="Times New Roman" w:hAnsi="Times New Roman" w:cs="Times New Roman"/>
          <w:sz w:val="20"/>
          <w:szCs w:val="20"/>
        </w:rPr>
        <w:t>gross tumor volume (GTV)</w:t>
      </w:r>
      <w:r w:rsidR="004A14F7" w:rsidRPr="00031625">
        <w:rPr>
          <w:rFonts w:ascii="Times New Roman" w:hAnsi="Times New Roman" w:cs="Times New Roman"/>
          <w:sz w:val="20"/>
          <w:szCs w:val="20"/>
        </w:rPr>
        <w:t xml:space="preserve"> was treated with 2 </w:t>
      </w:r>
      <w:proofErr w:type="spellStart"/>
      <w:r w:rsidR="004A14F7" w:rsidRPr="00031625">
        <w:rPr>
          <w:rFonts w:ascii="Times New Roman" w:hAnsi="Times New Roman" w:cs="Times New Roman"/>
          <w:sz w:val="20"/>
          <w:szCs w:val="20"/>
        </w:rPr>
        <w:t>Gy</w:t>
      </w:r>
      <w:proofErr w:type="spellEnd"/>
      <w:r w:rsidR="004A14F7" w:rsidRPr="00031625">
        <w:rPr>
          <w:rFonts w:ascii="Times New Roman" w:hAnsi="Times New Roman" w:cs="Times New Roman"/>
          <w:sz w:val="20"/>
          <w:szCs w:val="20"/>
        </w:rPr>
        <w:t xml:space="preserve"> per fraction</w:t>
      </w:r>
      <w:r w:rsidR="00420719" w:rsidRPr="00031625">
        <w:rPr>
          <w:rFonts w:ascii="Times New Roman" w:hAnsi="Times New Roman" w:cs="Times New Roman"/>
          <w:sz w:val="20"/>
          <w:szCs w:val="20"/>
        </w:rPr>
        <w:t>,</w:t>
      </w:r>
      <w:r w:rsidR="004A14F7" w:rsidRPr="00031625">
        <w:rPr>
          <w:rFonts w:ascii="Times New Roman" w:hAnsi="Times New Roman" w:cs="Times New Roman"/>
          <w:sz w:val="20"/>
          <w:szCs w:val="20"/>
        </w:rPr>
        <w:t xml:space="preserve"> </w:t>
      </w:r>
      <w:r w:rsidR="00420719" w:rsidRPr="00031625">
        <w:rPr>
          <w:rFonts w:ascii="Times New Roman" w:hAnsi="Times New Roman" w:cs="Times New Roman"/>
          <w:sz w:val="20"/>
          <w:szCs w:val="20"/>
        </w:rPr>
        <w:t xml:space="preserve">five days per week </w:t>
      </w:r>
      <w:r w:rsidR="004A14F7" w:rsidRPr="00031625">
        <w:rPr>
          <w:rFonts w:ascii="Times New Roman" w:hAnsi="Times New Roman" w:cs="Times New Roman"/>
          <w:sz w:val="20"/>
          <w:szCs w:val="20"/>
        </w:rPr>
        <w:t xml:space="preserve">to a total dose of 70 </w:t>
      </w:r>
      <w:proofErr w:type="spellStart"/>
      <w:r w:rsidR="004A14F7"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60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to the high-risk clinical target volume (CTV) and 54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to low-risk CTV. Selected patients with the </w:t>
      </w:r>
      <w:r w:rsidRPr="00031625">
        <w:rPr>
          <w:rFonts w:ascii="Times New Roman" w:hAnsi="Times New Roman" w:cs="Times New Roman"/>
          <w:sz w:val="20"/>
          <w:szCs w:val="20"/>
        </w:rPr>
        <w:lastRenderedPageBreak/>
        <w:t>resectable residual disease after definitive CRT had salvage surgery.</w:t>
      </w:r>
    </w:p>
    <w:p w:rsidR="00530132" w:rsidRPr="00031625" w:rsidRDefault="00530132" w:rsidP="00031625">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Evaluation</w:t>
      </w:r>
    </w:p>
    <w:p w:rsidR="00530132" w:rsidRPr="00031625" w:rsidRDefault="00530132" w:rsidP="00734403">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Pretreatment evaluations included; medical history and physical examination, laboratory tests, endoscopy, CT, MRI and [18F]-</w:t>
      </w:r>
      <w:proofErr w:type="spellStart"/>
      <w:r w:rsidRPr="00031625">
        <w:rPr>
          <w:rFonts w:ascii="Times New Roman" w:hAnsi="Times New Roman" w:cs="Times New Roman"/>
          <w:sz w:val="20"/>
          <w:szCs w:val="20"/>
        </w:rPr>
        <w:t>fluorodeoxyglucose</w:t>
      </w:r>
      <w:proofErr w:type="spellEnd"/>
      <w:r w:rsidRPr="00031625">
        <w:rPr>
          <w:rFonts w:ascii="Times New Roman" w:hAnsi="Times New Roman" w:cs="Times New Roman"/>
          <w:sz w:val="20"/>
          <w:szCs w:val="20"/>
        </w:rPr>
        <w:t xml:space="preserve"> positron-emission tomography/CT fusion imaging if indicated. Assessment of tumor response by CT or MRI 4–6 weeks after the completion of CRT or when clinical signs suggested progressive disease, according to the guidelines of the Response Evaluation Criteria in Solid Tumors, version 1.1 [10].</w:t>
      </w:r>
      <w:r w:rsidR="00734403"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The World Health Organization (WHO) grading system [11] and the Radiation Therapy Oncology (RTOG) acute morbidity scoring criteria [12] are used to record the toxicities during the course of treatment. </w:t>
      </w:r>
    </w:p>
    <w:p w:rsidR="00530132" w:rsidRPr="00031625" w:rsidRDefault="00530132" w:rsidP="00734403">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Follow-up</w:t>
      </w:r>
    </w:p>
    <w:p w:rsidR="00530132" w:rsidRPr="00031625" w:rsidRDefault="00530132" w:rsidP="00530132">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The first follow-up visit was one month after finishing CRT. Evaluation for locoregional control, treatment toxicity and survival outcomes was done every two months for the first year, every 3–4 months for the second and third year and at 6 month intervals later. </w:t>
      </w:r>
    </w:p>
    <w:p w:rsidR="00530132" w:rsidRPr="00031625" w:rsidRDefault="00530132" w:rsidP="00530132">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Statistical analysis</w:t>
      </w:r>
    </w:p>
    <w:p w:rsidR="00530132" w:rsidRPr="00031625" w:rsidRDefault="00530132" w:rsidP="00180E06">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The estimation of locoregional control (LRC) rate is the primary objective. The estimation of </w:t>
      </w:r>
      <w:r w:rsidR="00180E06" w:rsidRPr="00031625">
        <w:rPr>
          <w:rFonts w:ascii="Times New Roman" w:hAnsi="Times New Roman" w:cs="Times New Roman"/>
          <w:sz w:val="20"/>
          <w:szCs w:val="20"/>
        </w:rPr>
        <w:t xml:space="preserve">overall survival (OS), </w:t>
      </w:r>
      <w:r w:rsidRPr="00031625">
        <w:rPr>
          <w:rFonts w:ascii="Times New Roman" w:hAnsi="Times New Roman" w:cs="Times New Roman"/>
          <w:sz w:val="20"/>
          <w:szCs w:val="20"/>
        </w:rPr>
        <w:t>progression-free survival (PFS), and evaluation of adverse events in all included patients are the secondary objectives. Progression-free survival was defined as the time between treatment start and development of disease progression, relapse, or death from any cause. Overall survival was defined as the time interval between the date of diagnosis and the date of death or last follow-up.</w:t>
      </w:r>
    </w:p>
    <w:p w:rsidR="00530132" w:rsidRPr="00031625" w:rsidRDefault="00530132" w:rsidP="005C2D87">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Kaplan-Meier method was used for estimati</w:t>
      </w:r>
      <w:r w:rsidR="005C2D87" w:rsidRPr="00031625">
        <w:rPr>
          <w:rFonts w:ascii="Times New Roman" w:hAnsi="Times New Roman" w:cs="Times New Roman"/>
          <w:sz w:val="20"/>
          <w:szCs w:val="20"/>
        </w:rPr>
        <w:t>ng</w:t>
      </w:r>
      <w:r w:rsidRPr="00031625">
        <w:rPr>
          <w:rFonts w:ascii="Times New Roman" w:hAnsi="Times New Roman" w:cs="Times New Roman"/>
          <w:sz w:val="20"/>
          <w:szCs w:val="20"/>
        </w:rPr>
        <w:t xml:space="preserve"> the survival rates. All analyses were performed using SPSS software, version 21.0 and </w:t>
      </w:r>
      <w:r w:rsidRPr="00031625">
        <w:rPr>
          <w:rFonts w:ascii="Times New Roman" w:hAnsi="Times New Roman" w:cs="Times New Roman"/>
          <w:i/>
          <w:iCs/>
          <w:sz w:val="20"/>
          <w:szCs w:val="20"/>
        </w:rPr>
        <w:t>p</w:t>
      </w:r>
      <w:r w:rsidRPr="00031625">
        <w:rPr>
          <w:rFonts w:ascii="Times New Roman" w:hAnsi="Times New Roman" w:cs="Times New Roman"/>
          <w:sz w:val="20"/>
          <w:szCs w:val="20"/>
        </w:rPr>
        <w:t>-value &lt;0.05 was considered statistically significant.</w:t>
      </w:r>
    </w:p>
    <w:p w:rsidR="00315AD1" w:rsidRPr="00031625" w:rsidRDefault="00315AD1" w:rsidP="001555AE">
      <w:pPr>
        <w:bidi w:val="0"/>
        <w:spacing w:after="0" w:line="240" w:lineRule="auto"/>
        <w:jc w:val="both"/>
        <w:rPr>
          <w:rFonts w:ascii="Times New Roman" w:hAnsi="Times New Roman" w:cs="Times New Roman"/>
          <w:b/>
          <w:bCs/>
          <w:sz w:val="20"/>
          <w:szCs w:val="20"/>
        </w:rPr>
      </w:pPr>
    </w:p>
    <w:p w:rsidR="00D5641F" w:rsidRPr="00031625" w:rsidRDefault="004901BB" w:rsidP="00774945">
      <w:pPr>
        <w:bidi w:val="0"/>
        <w:spacing w:after="0" w:line="240" w:lineRule="auto"/>
        <w:jc w:val="both"/>
        <w:rPr>
          <w:rFonts w:ascii="Times New Roman" w:hAnsi="Times New Roman" w:cs="Times New Roman"/>
          <w:b/>
          <w:bCs/>
          <w:sz w:val="20"/>
          <w:szCs w:val="20"/>
          <w:rtl/>
          <w:lang w:bidi="ar-EG"/>
        </w:rPr>
      </w:pPr>
      <w:r>
        <w:rPr>
          <w:rFonts w:ascii="Times New Roman" w:hAnsi="Times New Roman" w:cs="Times New Roman"/>
          <w:b/>
          <w:bCs/>
          <w:sz w:val="20"/>
          <w:szCs w:val="20"/>
        </w:rPr>
        <w:t xml:space="preserve">3. </w:t>
      </w:r>
      <w:r w:rsidR="00D5641F" w:rsidRPr="00031625">
        <w:rPr>
          <w:rFonts w:ascii="Times New Roman" w:hAnsi="Times New Roman" w:cs="Times New Roman"/>
          <w:b/>
          <w:bCs/>
          <w:sz w:val="20"/>
          <w:szCs w:val="20"/>
        </w:rPr>
        <w:t>Results</w:t>
      </w:r>
    </w:p>
    <w:p w:rsidR="00346196" w:rsidRPr="00031625" w:rsidRDefault="00346196" w:rsidP="001555AE">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Patient characteristics</w:t>
      </w:r>
    </w:p>
    <w:p w:rsidR="00EB2FAF" w:rsidRDefault="00346196" w:rsidP="00EB2FAF">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Between </w:t>
      </w:r>
      <w:r w:rsidR="00DF386E" w:rsidRPr="00031625">
        <w:rPr>
          <w:rFonts w:ascii="Times New Roman" w:hAnsi="Times New Roman" w:cs="Times New Roman"/>
          <w:sz w:val="20"/>
          <w:szCs w:val="20"/>
        </w:rPr>
        <w:t>August 2014 and August 2017</w:t>
      </w:r>
      <w:r w:rsidRPr="00031625">
        <w:rPr>
          <w:rFonts w:ascii="Times New Roman" w:hAnsi="Times New Roman" w:cs="Times New Roman"/>
          <w:sz w:val="20"/>
          <w:szCs w:val="20"/>
        </w:rPr>
        <w:t xml:space="preserve">, </w:t>
      </w:r>
      <w:r w:rsidR="003F00BF" w:rsidRPr="00031625">
        <w:rPr>
          <w:rFonts w:ascii="Times New Roman" w:hAnsi="Times New Roman" w:cs="Times New Roman"/>
          <w:sz w:val="20"/>
          <w:szCs w:val="20"/>
        </w:rPr>
        <w:t>31</w:t>
      </w:r>
      <w:r w:rsidR="00153D19" w:rsidRPr="00031625">
        <w:rPr>
          <w:rFonts w:ascii="Times New Roman" w:hAnsi="Times New Roman" w:cs="Times New Roman"/>
          <w:sz w:val="20"/>
          <w:szCs w:val="20"/>
        </w:rPr>
        <w:t xml:space="preserve"> </w:t>
      </w:r>
      <w:r w:rsidRPr="00031625">
        <w:rPr>
          <w:rFonts w:ascii="Times New Roman" w:hAnsi="Times New Roman" w:cs="Times New Roman"/>
          <w:sz w:val="20"/>
          <w:szCs w:val="20"/>
        </w:rPr>
        <w:t>patients with LA-SCCHN underwent definitive CRT</w:t>
      </w:r>
      <w:r w:rsidR="00153D19" w:rsidRPr="00031625">
        <w:rPr>
          <w:rFonts w:ascii="Times New Roman" w:hAnsi="Times New Roman" w:cs="Times New Roman"/>
          <w:sz w:val="20"/>
          <w:szCs w:val="20"/>
        </w:rPr>
        <w:t xml:space="preserve"> </w:t>
      </w:r>
      <w:r w:rsidRPr="00031625">
        <w:rPr>
          <w:rFonts w:ascii="Times New Roman" w:hAnsi="Times New Roman" w:cs="Times New Roman"/>
          <w:sz w:val="20"/>
          <w:szCs w:val="20"/>
        </w:rPr>
        <w:t>with carboplatin</w:t>
      </w:r>
      <w:r w:rsidR="003F00BF" w:rsidRPr="00031625">
        <w:rPr>
          <w:rFonts w:ascii="Times New Roman" w:hAnsi="Times New Roman" w:cs="Times New Roman"/>
          <w:sz w:val="20"/>
          <w:szCs w:val="20"/>
        </w:rPr>
        <w:t>.</w:t>
      </w:r>
      <w:r w:rsidRPr="00031625">
        <w:rPr>
          <w:rFonts w:ascii="Times New Roman" w:hAnsi="Times New Roman" w:cs="Times New Roman"/>
          <w:sz w:val="20"/>
          <w:szCs w:val="20"/>
        </w:rPr>
        <w:t xml:space="preserve"> </w:t>
      </w:r>
      <w:r w:rsidR="0031075E" w:rsidRPr="00031625">
        <w:rPr>
          <w:rFonts w:ascii="Times New Roman" w:hAnsi="Times New Roman" w:cs="Times New Roman"/>
          <w:sz w:val="20"/>
          <w:szCs w:val="20"/>
        </w:rPr>
        <w:t xml:space="preserve">Table 1 shows the baseline characteristics of included patients. </w:t>
      </w:r>
      <w:r w:rsidR="00925FAC" w:rsidRPr="00031625">
        <w:rPr>
          <w:rFonts w:ascii="Times New Roman" w:hAnsi="Times New Roman" w:cs="Times New Roman"/>
          <w:sz w:val="20"/>
          <w:szCs w:val="20"/>
        </w:rPr>
        <w:t xml:space="preserve">The median age </w:t>
      </w:r>
      <w:r w:rsidR="002053F8" w:rsidRPr="00031625">
        <w:rPr>
          <w:rFonts w:ascii="Times New Roman" w:hAnsi="Times New Roman" w:cs="Times New Roman"/>
          <w:sz w:val="20"/>
          <w:szCs w:val="20"/>
        </w:rPr>
        <w:t xml:space="preserve">of included patients </w:t>
      </w:r>
      <w:r w:rsidR="00925FAC" w:rsidRPr="00031625">
        <w:rPr>
          <w:rFonts w:ascii="Times New Roman" w:hAnsi="Times New Roman" w:cs="Times New Roman"/>
          <w:sz w:val="20"/>
          <w:szCs w:val="20"/>
        </w:rPr>
        <w:t xml:space="preserve">was 65 (range: </w:t>
      </w:r>
      <w:r w:rsidR="00956577" w:rsidRPr="00031625">
        <w:rPr>
          <w:rFonts w:ascii="Times New Roman" w:hAnsi="Times New Roman" w:cs="Times New Roman"/>
          <w:sz w:val="20"/>
          <w:szCs w:val="20"/>
        </w:rPr>
        <w:t>40</w:t>
      </w:r>
      <w:r w:rsidR="00925FAC" w:rsidRPr="00031625">
        <w:rPr>
          <w:rFonts w:ascii="Times New Roman" w:hAnsi="Times New Roman" w:cs="Times New Roman"/>
          <w:sz w:val="20"/>
          <w:szCs w:val="20"/>
        </w:rPr>
        <w:t xml:space="preserve">–75) years with 19 (61.3%) patients were older than 65 years of age with male predominance (67.7%). </w:t>
      </w:r>
      <w:r w:rsidR="00123307" w:rsidRPr="00031625">
        <w:rPr>
          <w:rFonts w:ascii="Times New Roman" w:hAnsi="Times New Roman" w:cs="Times New Roman"/>
          <w:sz w:val="20"/>
          <w:szCs w:val="20"/>
        </w:rPr>
        <w:t>Laryngeal cancer constitutes 51.6% of all cases with 61</w:t>
      </w:r>
      <w:r w:rsidR="009C7300" w:rsidRPr="00031625">
        <w:rPr>
          <w:rFonts w:ascii="Times New Roman" w:hAnsi="Times New Roman" w:cs="Times New Roman"/>
          <w:sz w:val="20"/>
          <w:szCs w:val="20"/>
        </w:rPr>
        <w:t>.3</w:t>
      </w:r>
      <w:r w:rsidR="00123307" w:rsidRPr="00031625">
        <w:rPr>
          <w:rFonts w:ascii="Times New Roman" w:hAnsi="Times New Roman" w:cs="Times New Roman"/>
          <w:sz w:val="20"/>
          <w:szCs w:val="20"/>
        </w:rPr>
        <w:t xml:space="preserve">% of all cases had ECOG-PS 2 and 71% of patients had </w:t>
      </w:r>
      <w:r w:rsidR="005A1A27" w:rsidRPr="00031625">
        <w:rPr>
          <w:rFonts w:ascii="Times New Roman" w:hAnsi="Times New Roman" w:cs="Times New Roman"/>
          <w:sz w:val="20"/>
          <w:szCs w:val="20"/>
        </w:rPr>
        <w:t>s</w:t>
      </w:r>
      <w:r w:rsidR="00123307" w:rsidRPr="00031625">
        <w:rPr>
          <w:rFonts w:ascii="Times New Roman" w:hAnsi="Times New Roman" w:cs="Times New Roman"/>
          <w:sz w:val="20"/>
          <w:szCs w:val="20"/>
        </w:rPr>
        <w:t xml:space="preserve">tage IV disease. </w:t>
      </w:r>
      <w:r w:rsidR="007F41D4" w:rsidRPr="00031625">
        <w:rPr>
          <w:rFonts w:ascii="Times New Roman" w:hAnsi="Times New Roman" w:cs="Times New Roman"/>
          <w:sz w:val="20"/>
          <w:szCs w:val="20"/>
        </w:rPr>
        <w:t xml:space="preserve">Carboplatin </w:t>
      </w:r>
      <w:r w:rsidR="00204A0F" w:rsidRPr="00031625">
        <w:rPr>
          <w:rFonts w:ascii="Times New Roman" w:hAnsi="Times New Roman" w:cs="Times New Roman"/>
          <w:sz w:val="20"/>
          <w:szCs w:val="20"/>
        </w:rPr>
        <w:t xml:space="preserve">was </w:t>
      </w:r>
      <w:r w:rsidR="007F41D4" w:rsidRPr="00031625">
        <w:rPr>
          <w:rFonts w:ascii="Times New Roman" w:hAnsi="Times New Roman" w:cs="Times New Roman"/>
          <w:sz w:val="20"/>
          <w:szCs w:val="20"/>
        </w:rPr>
        <w:t xml:space="preserve">administered </w:t>
      </w:r>
      <w:r w:rsidR="00204A0F" w:rsidRPr="00031625">
        <w:rPr>
          <w:rFonts w:ascii="Times New Roman" w:hAnsi="Times New Roman" w:cs="Times New Roman"/>
          <w:sz w:val="20"/>
          <w:szCs w:val="20"/>
        </w:rPr>
        <w:t>every three weeks</w:t>
      </w:r>
      <w:r w:rsidR="007F41D4" w:rsidRPr="00031625">
        <w:rPr>
          <w:rFonts w:ascii="Times New Roman" w:hAnsi="Times New Roman" w:cs="Times New Roman"/>
          <w:sz w:val="20"/>
          <w:szCs w:val="20"/>
        </w:rPr>
        <w:t xml:space="preserve"> in 22 (71%) patients.</w:t>
      </w:r>
    </w:p>
    <w:p w:rsidR="00031625" w:rsidRPr="00031625" w:rsidRDefault="00031625" w:rsidP="00AB1C13">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Table 2 shows the main causes of choosing carboplatin. If any of the five causes are present, the patient is considered to be </w:t>
      </w:r>
      <w:r w:rsidR="00AB1C13">
        <w:rPr>
          <w:rFonts w:ascii="Times New Roman" w:hAnsi="Times New Roman" w:cs="Times New Roman"/>
          <w:sz w:val="20"/>
          <w:szCs w:val="20"/>
        </w:rPr>
        <w:t>unfit</w:t>
      </w:r>
      <w:r w:rsidRPr="00031625">
        <w:rPr>
          <w:rFonts w:ascii="Times New Roman" w:hAnsi="Times New Roman" w:cs="Times New Roman"/>
          <w:sz w:val="20"/>
          <w:szCs w:val="20"/>
        </w:rPr>
        <w:t xml:space="preserve"> for the treatment with cisplatin. The </w:t>
      </w:r>
      <w:r w:rsidR="00AB1C13">
        <w:rPr>
          <w:rFonts w:ascii="Times New Roman" w:hAnsi="Times New Roman" w:cs="Times New Roman"/>
          <w:sz w:val="20"/>
          <w:szCs w:val="20"/>
        </w:rPr>
        <w:t>common</w:t>
      </w:r>
      <w:r w:rsidRPr="00031625">
        <w:rPr>
          <w:rFonts w:ascii="Times New Roman" w:hAnsi="Times New Roman" w:cs="Times New Roman"/>
          <w:sz w:val="20"/>
          <w:szCs w:val="20"/>
        </w:rPr>
        <w:t xml:space="preserve"> reasons for selecting carboplatin were </w:t>
      </w:r>
      <w:r w:rsidR="00AB1C13">
        <w:rPr>
          <w:rFonts w:ascii="Times New Roman" w:hAnsi="Times New Roman" w:cs="Times New Roman"/>
          <w:sz w:val="20"/>
          <w:szCs w:val="20"/>
        </w:rPr>
        <w:t>old</w:t>
      </w:r>
      <w:r w:rsidRPr="00031625">
        <w:rPr>
          <w:rFonts w:ascii="Times New Roman" w:hAnsi="Times New Roman" w:cs="Times New Roman"/>
          <w:sz w:val="20"/>
          <w:szCs w:val="20"/>
        </w:rPr>
        <w:t xml:space="preserve"> age and PS of 2 </w:t>
      </w:r>
      <w:r w:rsidRPr="00031625">
        <w:rPr>
          <w:rFonts w:ascii="Times New Roman" w:hAnsi="Times New Roman" w:cs="Times New Roman"/>
          <w:sz w:val="20"/>
          <w:szCs w:val="20"/>
        </w:rPr>
        <w:lastRenderedPageBreak/>
        <w:t xml:space="preserve">followed by renal impairment [10 patients were considered to have a renal impairment with median </w:t>
      </w:r>
      <w:proofErr w:type="spellStart"/>
      <w:r w:rsidRPr="00031625">
        <w:rPr>
          <w:rFonts w:ascii="Times New Roman" w:hAnsi="Times New Roman" w:cs="Times New Roman"/>
          <w:sz w:val="20"/>
          <w:szCs w:val="20"/>
        </w:rPr>
        <w:t>CCr</w:t>
      </w:r>
      <w:proofErr w:type="spellEnd"/>
      <w:r w:rsidRPr="00031625">
        <w:rPr>
          <w:rFonts w:ascii="Times New Roman" w:hAnsi="Times New Roman" w:cs="Times New Roman"/>
          <w:sz w:val="20"/>
          <w:szCs w:val="20"/>
        </w:rPr>
        <w:t xml:space="preserve"> of 53 ml/min], cardiac dysfunction and hearing impairment.</w:t>
      </w:r>
    </w:p>
    <w:p w:rsidR="00693286" w:rsidRDefault="00693286" w:rsidP="00CC65D6">
      <w:pPr>
        <w:bidi w:val="0"/>
        <w:spacing w:after="0" w:line="240" w:lineRule="auto"/>
        <w:rPr>
          <w:rFonts w:ascii="Times New Roman" w:hAnsi="Times New Roman" w:cs="Times New Roman"/>
          <w:b/>
          <w:bCs/>
          <w:sz w:val="20"/>
          <w:szCs w:val="20"/>
        </w:rPr>
      </w:pPr>
    </w:p>
    <w:p w:rsidR="00734403" w:rsidRPr="00031625" w:rsidRDefault="00734403" w:rsidP="00693286">
      <w:pPr>
        <w:bidi w:val="0"/>
        <w:spacing w:after="0" w:line="240" w:lineRule="auto"/>
        <w:rPr>
          <w:rFonts w:ascii="Times New Roman" w:hAnsi="Times New Roman" w:cs="Times New Roman"/>
          <w:b/>
          <w:bCs/>
          <w:sz w:val="20"/>
          <w:szCs w:val="20"/>
        </w:rPr>
      </w:pPr>
      <w:r w:rsidRPr="00031625">
        <w:rPr>
          <w:rFonts w:ascii="Times New Roman" w:hAnsi="Times New Roman" w:cs="Times New Roman"/>
          <w:b/>
          <w:bCs/>
          <w:sz w:val="20"/>
          <w:szCs w:val="20"/>
        </w:rPr>
        <w:t>Table (1): Patients and tumor characteristics</w:t>
      </w:r>
    </w:p>
    <w:tbl>
      <w:tblPr>
        <w:tblStyle w:val="TableGrid"/>
        <w:tblW w:w="0" w:type="auto"/>
        <w:tblLook w:val="04A0" w:firstRow="1" w:lastRow="0" w:firstColumn="1" w:lastColumn="0" w:noHBand="0" w:noVBand="1"/>
      </w:tblPr>
      <w:tblGrid>
        <w:gridCol w:w="2988"/>
        <w:gridCol w:w="1350"/>
      </w:tblGrid>
      <w:tr w:rsidR="00734403" w:rsidRPr="00031625" w:rsidTr="00404A26">
        <w:tc>
          <w:tcPr>
            <w:tcW w:w="2988" w:type="dxa"/>
            <w:tcBorders>
              <w:left w:val="nil"/>
              <w:right w:val="nil"/>
            </w:tcBorders>
          </w:tcPr>
          <w:p w:rsidR="00734403" w:rsidRPr="00031625" w:rsidRDefault="00734403" w:rsidP="00404A26">
            <w:pPr>
              <w:bidi w:val="0"/>
              <w:ind w:firstLine="40"/>
              <w:jc w:val="center"/>
              <w:rPr>
                <w:rFonts w:ascii="Times New Roman" w:hAnsi="Times New Roman" w:cs="Times New Roman"/>
                <w:b/>
                <w:bCs/>
                <w:sz w:val="20"/>
                <w:szCs w:val="20"/>
              </w:rPr>
            </w:pPr>
            <w:r w:rsidRPr="00031625">
              <w:rPr>
                <w:rFonts w:ascii="Times New Roman" w:hAnsi="Times New Roman" w:cs="Times New Roman"/>
                <w:b/>
                <w:bCs/>
                <w:sz w:val="20"/>
                <w:szCs w:val="20"/>
              </w:rPr>
              <w:t>Characteristics</w:t>
            </w:r>
          </w:p>
        </w:tc>
        <w:tc>
          <w:tcPr>
            <w:tcW w:w="1350" w:type="dxa"/>
            <w:tcBorders>
              <w:left w:val="nil"/>
              <w:right w:val="nil"/>
            </w:tcBorders>
          </w:tcPr>
          <w:p w:rsidR="00734403" w:rsidRPr="00031625" w:rsidRDefault="00734403" w:rsidP="00404A26">
            <w:pPr>
              <w:tabs>
                <w:tab w:val="center" w:pos="1396"/>
                <w:tab w:val="right" w:pos="2793"/>
              </w:tabs>
              <w:bidi w:val="0"/>
              <w:ind w:firstLine="5"/>
              <w:jc w:val="center"/>
              <w:rPr>
                <w:rFonts w:ascii="Times New Roman" w:hAnsi="Times New Roman" w:cs="Times New Roman"/>
                <w:b/>
                <w:bCs/>
                <w:sz w:val="20"/>
                <w:szCs w:val="20"/>
              </w:rPr>
            </w:pPr>
            <w:r w:rsidRPr="00031625">
              <w:rPr>
                <w:rFonts w:ascii="Times New Roman" w:hAnsi="Times New Roman" w:cs="Times New Roman"/>
                <w:b/>
                <w:bCs/>
                <w:sz w:val="20"/>
                <w:szCs w:val="20"/>
              </w:rPr>
              <w:t>No (%)</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Age (years)</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Median</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Range</w:t>
            </w:r>
          </w:p>
          <w:p w:rsidR="00734403" w:rsidRPr="00031625" w:rsidRDefault="00734403" w:rsidP="00404A26">
            <w:pPr>
              <w:bidi w:val="0"/>
              <w:ind w:firstLine="40"/>
              <w:jc w:val="both"/>
              <w:rPr>
                <w:rFonts w:ascii="Times New Roman" w:hAnsi="Times New Roman" w:cs="Times New Roman"/>
                <w:sz w:val="20"/>
                <w:szCs w:val="20"/>
              </w:rPr>
            </w:pPr>
            <w:proofErr w:type="spellStart"/>
            <w:r w:rsidRPr="00031625">
              <w:rPr>
                <w:rFonts w:ascii="Times New Roman" w:hAnsi="Times New Roman" w:cs="Times New Roman"/>
                <w:sz w:val="20"/>
                <w:szCs w:val="20"/>
              </w:rPr>
              <w:t>Mean±SD</w:t>
            </w:r>
            <w:proofErr w:type="spellEnd"/>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&gt;65</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≤65</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tl/>
                <w:lang w:bidi="ar-EG"/>
              </w:rPr>
            </w:pPr>
            <w:r w:rsidRPr="00031625">
              <w:rPr>
                <w:rFonts w:ascii="Times New Roman" w:hAnsi="Times New Roman" w:cs="Times New Roman"/>
                <w:sz w:val="20"/>
                <w:szCs w:val="20"/>
              </w:rPr>
              <w:t>65</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38-75</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56.97±10.93</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19 (61.3)</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12 (38.7)</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Gender</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Male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Female</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21 (67.7)</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10 (32.3)</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Smoking</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Yes</w:t>
            </w:r>
          </w:p>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sz w:val="20"/>
                <w:szCs w:val="20"/>
              </w:rPr>
              <w:t>No</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17 (54.8)</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14 (45.2)</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Site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Larynx</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Oral cavity</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Oropharynx</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Hypopharynx</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16 (51.6)</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5 (16.1)</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7 (22.6)</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3 (9.7)</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Performance status</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0</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1</w:t>
            </w:r>
          </w:p>
          <w:p w:rsidR="00734403" w:rsidRPr="00031625" w:rsidRDefault="00734403" w:rsidP="00404A26">
            <w:pPr>
              <w:bidi w:val="0"/>
              <w:ind w:firstLine="40"/>
              <w:jc w:val="both"/>
              <w:rPr>
                <w:rFonts w:ascii="Times New Roman" w:hAnsi="Times New Roman" w:cs="Times New Roman"/>
                <w:sz w:val="20"/>
                <w:szCs w:val="20"/>
                <w:rtl/>
                <w:lang w:bidi="ar-EG"/>
              </w:rPr>
            </w:pPr>
            <w:r w:rsidRPr="00031625">
              <w:rPr>
                <w:rFonts w:ascii="Times New Roman" w:hAnsi="Times New Roman" w:cs="Times New Roman"/>
                <w:sz w:val="20"/>
                <w:szCs w:val="20"/>
              </w:rPr>
              <w:t>2</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tl/>
                <w:lang w:bidi="ar-EG"/>
              </w:rPr>
            </w:pPr>
            <w:r w:rsidRPr="00031625">
              <w:rPr>
                <w:rFonts w:ascii="Times New Roman" w:hAnsi="Times New Roman" w:cs="Times New Roman"/>
                <w:sz w:val="20"/>
                <w:szCs w:val="20"/>
              </w:rPr>
              <w:t>2 (6.4)</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10 (32.3)</w:t>
            </w: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rPr>
              <w:t>19 (61.3)</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Tumor grade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1</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2</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3</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6 (19.4)</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15 (48.4)</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10 (32.2)</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T stage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1</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2</w:t>
            </w:r>
          </w:p>
          <w:p w:rsidR="00734403" w:rsidRPr="00031625" w:rsidRDefault="00734403" w:rsidP="00404A26">
            <w:pPr>
              <w:bidi w:val="0"/>
              <w:ind w:firstLine="40"/>
              <w:jc w:val="both"/>
              <w:rPr>
                <w:rFonts w:ascii="Times New Roman" w:hAnsi="Times New Roman" w:cs="Times New Roman"/>
                <w:sz w:val="20"/>
                <w:szCs w:val="20"/>
                <w:rtl/>
                <w:lang w:bidi="ar-EG"/>
              </w:rPr>
            </w:pPr>
            <w:r w:rsidRPr="00031625">
              <w:rPr>
                <w:rFonts w:ascii="Times New Roman" w:hAnsi="Times New Roman" w:cs="Times New Roman"/>
                <w:sz w:val="20"/>
                <w:szCs w:val="20"/>
              </w:rPr>
              <w:t>3</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4</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tl/>
                <w:lang w:bidi="ar-EG"/>
              </w:rPr>
            </w:pPr>
            <w:r w:rsidRPr="00031625">
              <w:rPr>
                <w:rFonts w:ascii="Times New Roman" w:hAnsi="Times New Roman" w:cs="Times New Roman"/>
                <w:sz w:val="20"/>
                <w:szCs w:val="20"/>
              </w:rPr>
              <w:t>2 (6.4)</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8 (25.8)</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6 (19.4)</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15 (48.4)</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N stage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0</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1</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2</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3</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4 (12.9)</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5 (16.1)</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16 (51.6)</w:t>
            </w:r>
          </w:p>
          <w:p w:rsidR="00734403" w:rsidRPr="00031625" w:rsidRDefault="00734403" w:rsidP="00404A26">
            <w:pPr>
              <w:bidi w:val="0"/>
              <w:ind w:firstLine="5"/>
              <w:jc w:val="center"/>
              <w:rPr>
                <w:rFonts w:ascii="Times New Roman" w:hAnsi="Times New Roman" w:cs="Times New Roman"/>
                <w:sz w:val="20"/>
                <w:szCs w:val="20"/>
                <w:rtl/>
                <w:lang w:bidi="ar-EG"/>
              </w:rPr>
            </w:pPr>
            <w:r w:rsidRPr="00031625">
              <w:rPr>
                <w:rFonts w:ascii="Times New Roman" w:hAnsi="Times New Roman" w:cs="Times New Roman"/>
                <w:sz w:val="20"/>
                <w:szCs w:val="20"/>
              </w:rPr>
              <w:t>6 (19.4)</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Stage</w:t>
            </w:r>
          </w:p>
          <w:p w:rsidR="00734403" w:rsidRPr="00031625" w:rsidRDefault="00734403" w:rsidP="00404A26">
            <w:pPr>
              <w:bidi w:val="0"/>
              <w:ind w:firstLine="40"/>
              <w:jc w:val="both"/>
              <w:rPr>
                <w:rFonts w:ascii="Times New Roman" w:hAnsi="Times New Roman" w:cs="Times New Roman"/>
                <w:sz w:val="20"/>
                <w:szCs w:val="20"/>
              </w:rPr>
            </w:pPr>
            <w:r w:rsidRPr="00031625">
              <w:rPr>
                <w:rFonts w:ascii="Times New Roman" w:hAnsi="Times New Roman" w:cs="Times New Roman"/>
                <w:sz w:val="20"/>
                <w:szCs w:val="20"/>
              </w:rPr>
              <w:t>III</w:t>
            </w:r>
          </w:p>
          <w:p w:rsidR="00734403" w:rsidRPr="00031625" w:rsidRDefault="00734403" w:rsidP="00404A26">
            <w:pPr>
              <w:bidi w:val="0"/>
              <w:ind w:firstLine="40"/>
              <w:jc w:val="both"/>
              <w:rPr>
                <w:rFonts w:ascii="Times New Roman" w:hAnsi="Times New Roman" w:cs="Times New Roman"/>
                <w:sz w:val="20"/>
                <w:szCs w:val="20"/>
              </w:rPr>
            </w:pPr>
            <w:proofErr w:type="spellStart"/>
            <w:r w:rsidRPr="00031625">
              <w:rPr>
                <w:rFonts w:ascii="Times New Roman" w:hAnsi="Times New Roman" w:cs="Times New Roman"/>
                <w:sz w:val="20"/>
                <w:szCs w:val="20"/>
              </w:rPr>
              <w:t>IVa</w:t>
            </w:r>
            <w:proofErr w:type="spellEnd"/>
          </w:p>
          <w:p w:rsidR="00734403" w:rsidRPr="00031625" w:rsidRDefault="00734403" w:rsidP="00404A26">
            <w:pPr>
              <w:bidi w:val="0"/>
              <w:ind w:firstLine="40"/>
              <w:jc w:val="both"/>
              <w:rPr>
                <w:rFonts w:ascii="Times New Roman" w:hAnsi="Times New Roman" w:cs="Times New Roman"/>
                <w:sz w:val="20"/>
                <w:szCs w:val="20"/>
              </w:rPr>
            </w:pPr>
            <w:proofErr w:type="spellStart"/>
            <w:r w:rsidRPr="00031625">
              <w:rPr>
                <w:rFonts w:ascii="Times New Roman" w:hAnsi="Times New Roman" w:cs="Times New Roman"/>
                <w:sz w:val="20"/>
                <w:szCs w:val="20"/>
              </w:rPr>
              <w:t>IVb</w:t>
            </w:r>
            <w:proofErr w:type="spellEnd"/>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Pr>
            </w:pP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9 (29)</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16 (51.6)</w:t>
            </w:r>
          </w:p>
          <w:p w:rsidR="00734403" w:rsidRPr="00031625" w:rsidRDefault="00734403" w:rsidP="00404A26">
            <w:pPr>
              <w:bidi w:val="0"/>
              <w:ind w:firstLine="5"/>
              <w:jc w:val="center"/>
              <w:rPr>
                <w:rFonts w:ascii="Times New Roman" w:hAnsi="Times New Roman" w:cs="Times New Roman"/>
                <w:sz w:val="20"/>
                <w:szCs w:val="20"/>
              </w:rPr>
            </w:pPr>
            <w:r w:rsidRPr="00031625">
              <w:rPr>
                <w:rFonts w:ascii="Times New Roman" w:hAnsi="Times New Roman" w:cs="Times New Roman"/>
                <w:sz w:val="20"/>
                <w:szCs w:val="20"/>
              </w:rPr>
              <w:t>6 (19.4)</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rPr>
            </w:pPr>
            <w:r w:rsidRPr="00031625">
              <w:rPr>
                <w:rFonts w:ascii="Times New Roman" w:hAnsi="Times New Roman" w:cs="Times New Roman"/>
                <w:b/>
                <w:bCs/>
                <w:sz w:val="20"/>
                <w:szCs w:val="20"/>
              </w:rPr>
              <w:t xml:space="preserve">Creatinine clearance (ml/min) </w:t>
            </w:r>
          </w:p>
          <w:p w:rsidR="00734403" w:rsidRPr="00031625" w:rsidRDefault="00734403" w:rsidP="00404A26">
            <w:pPr>
              <w:bidi w:val="0"/>
              <w:ind w:firstLine="40"/>
              <w:jc w:val="both"/>
              <w:rPr>
                <w:rFonts w:ascii="Times New Roman" w:hAnsi="Times New Roman" w:cs="Times New Roman"/>
                <w:b/>
                <w:bCs/>
                <w:sz w:val="20"/>
                <w:szCs w:val="20"/>
                <w:rtl/>
                <w:lang w:bidi="ar-EG"/>
              </w:rPr>
            </w:pPr>
            <w:r w:rsidRPr="00031625">
              <w:rPr>
                <w:rFonts w:ascii="Times New Roman" w:hAnsi="Times New Roman" w:cs="Times New Roman"/>
                <w:sz w:val="20"/>
                <w:szCs w:val="20"/>
              </w:rPr>
              <w:t>median (range)</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rtl/>
                <w:lang w:bidi="ar-EG"/>
              </w:rPr>
            </w:pP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62 (37-117)</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lang w:bidi="ar-EG"/>
              </w:rPr>
            </w:pPr>
            <w:r w:rsidRPr="00031625">
              <w:rPr>
                <w:rFonts w:ascii="Times New Roman" w:hAnsi="Times New Roman" w:cs="Times New Roman"/>
                <w:b/>
                <w:bCs/>
                <w:sz w:val="20"/>
                <w:szCs w:val="20"/>
                <w:lang w:bidi="ar-EG"/>
              </w:rPr>
              <w:t>Carboplatin administration</w:t>
            </w:r>
          </w:p>
          <w:p w:rsidR="00734403" w:rsidRPr="00031625" w:rsidRDefault="00734403" w:rsidP="00404A26">
            <w:pPr>
              <w:bidi w:val="0"/>
              <w:ind w:firstLine="40"/>
              <w:jc w:val="both"/>
              <w:rPr>
                <w:rFonts w:ascii="Times New Roman" w:hAnsi="Times New Roman" w:cs="Times New Roman"/>
                <w:sz w:val="20"/>
                <w:szCs w:val="20"/>
                <w:lang w:bidi="ar-EG"/>
              </w:rPr>
            </w:pPr>
            <w:r w:rsidRPr="00031625">
              <w:rPr>
                <w:rFonts w:ascii="Times New Roman" w:hAnsi="Times New Roman" w:cs="Times New Roman"/>
                <w:sz w:val="20"/>
                <w:szCs w:val="20"/>
                <w:lang w:bidi="ar-EG"/>
              </w:rPr>
              <w:t>Triweekly</w:t>
            </w:r>
          </w:p>
          <w:p w:rsidR="00734403" w:rsidRPr="00031625" w:rsidRDefault="00734403" w:rsidP="00404A26">
            <w:pPr>
              <w:bidi w:val="0"/>
              <w:ind w:firstLine="40"/>
              <w:jc w:val="both"/>
              <w:rPr>
                <w:rFonts w:ascii="Times New Roman" w:hAnsi="Times New Roman" w:cs="Times New Roman"/>
                <w:b/>
                <w:bCs/>
                <w:sz w:val="20"/>
                <w:szCs w:val="20"/>
                <w:lang w:bidi="ar-EG"/>
              </w:rPr>
            </w:pPr>
            <w:r w:rsidRPr="00031625">
              <w:rPr>
                <w:rFonts w:ascii="Times New Roman" w:hAnsi="Times New Roman" w:cs="Times New Roman"/>
                <w:sz w:val="20"/>
                <w:szCs w:val="20"/>
                <w:lang w:bidi="ar-EG"/>
              </w:rPr>
              <w:t>weekly</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lang w:bidi="ar-EG"/>
              </w:rPr>
            </w:pP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 xml:space="preserve">22 </w:t>
            </w:r>
            <w:r w:rsidRPr="00031625">
              <w:rPr>
                <w:rFonts w:ascii="Times New Roman" w:hAnsi="Times New Roman" w:cs="Times New Roman"/>
                <w:sz w:val="20"/>
                <w:szCs w:val="20"/>
              </w:rPr>
              <w:t>(71)</w:t>
            </w: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9</w:t>
            </w:r>
            <w:r w:rsidRPr="00031625">
              <w:rPr>
                <w:rFonts w:ascii="Times New Roman" w:hAnsi="Times New Roman" w:cs="Times New Roman"/>
                <w:sz w:val="20"/>
                <w:szCs w:val="20"/>
              </w:rPr>
              <w:t xml:space="preserve"> (29)</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lang w:bidi="ar-EG"/>
              </w:rPr>
            </w:pPr>
            <w:r w:rsidRPr="00031625">
              <w:rPr>
                <w:rFonts w:ascii="Times New Roman" w:hAnsi="Times New Roman" w:cs="Times New Roman"/>
                <w:b/>
                <w:bCs/>
                <w:sz w:val="20"/>
                <w:szCs w:val="20"/>
                <w:lang w:bidi="ar-EG"/>
              </w:rPr>
              <w:t>Induction chemotherapy</w:t>
            </w:r>
          </w:p>
          <w:p w:rsidR="00734403" w:rsidRPr="00031625" w:rsidRDefault="00734403" w:rsidP="00404A26">
            <w:pPr>
              <w:bidi w:val="0"/>
              <w:ind w:firstLine="40"/>
              <w:jc w:val="both"/>
              <w:rPr>
                <w:rFonts w:ascii="Times New Roman" w:hAnsi="Times New Roman" w:cs="Times New Roman"/>
                <w:sz w:val="20"/>
                <w:szCs w:val="20"/>
                <w:lang w:bidi="ar-EG"/>
              </w:rPr>
            </w:pPr>
            <w:r w:rsidRPr="00031625">
              <w:rPr>
                <w:rFonts w:ascii="Times New Roman" w:hAnsi="Times New Roman" w:cs="Times New Roman"/>
                <w:sz w:val="20"/>
                <w:szCs w:val="20"/>
                <w:lang w:bidi="ar-EG"/>
              </w:rPr>
              <w:t>Yes</w:t>
            </w:r>
          </w:p>
          <w:p w:rsidR="00734403" w:rsidRPr="00031625" w:rsidRDefault="00734403" w:rsidP="00404A26">
            <w:pPr>
              <w:bidi w:val="0"/>
              <w:ind w:firstLine="40"/>
              <w:jc w:val="both"/>
              <w:rPr>
                <w:rFonts w:ascii="Times New Roman" w:hAnsi="Times New Roman" w:cs="Times New Roman"/>
                <w:b/>
                <w:bCs/>
                <w:sz w:val="20"/>
                <w:szCs w:val="20"/>
                <w:lang w:bidi="ar-EG"/>
              </w:rPr>
            </w:pPr>
            <w:r w:rsidRPr="00031625">
              <w:rPr>
                <w:rFonts w:ascii="Times New Roman" w:hAnsi="Times New Roman" w:cs="Times New Roman"/>
                <w:sz w:val="20"/>
                <w:szCs w:val="20"/>
                <w:lang w:bidi="ar-EG"/>
              </w:rPr>
              <w:t>No</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lang w:bidi="ar-EG"/>
              </w:rPr>
            </w:pP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 xml:space="preserve">25 </w:t>
            </w:r>
            <w:r w:rsidRPr="00031625">
              <w:rPr>
                <w:rFonts w:ascii="Times New Roman" w:hAnsi="Times New Roman" w:cs="Times New Roman"/>
                <w:sz w:val="20"/>
                <w:szCs w:val="20"/>
              </w:rPr>
              <w:t>(80.6)</w:t>
            </w: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 xml:space="preserve">6 </w:t>
            </w:r>
            <w:r w:rsidRPr="00031625">
              <w:rPr>
                <w:rFonts w:ascii="Times New Roman" w:hAnsi="Times New Roman" w:cs="Times New Roman"/>
                <w:sz w:val="20"/>
                <w:szCs w:val="20"/>
              </w:rPr>
              <w:t>(19.4)</w:t>
            </w:r>
          </w:p>
        </w:tc>
      </w:tr>
      <w:tr w:rsidR="00734403" w:rsidRPr="00031625" w:rsidTr="00404A26">
        <w:tc>
          <w:tcPr>
            <w:tcW w:w="2988" w:type="dxa"/>
            <w:tcBorders>
              <w:left w:val="nil"/>
              <w:right w:val="nil"/>
            </w:tcBorders>
          </w:tcPr>
          <w:p w:rsidR="00734403" w:rsidRPr="00031625" w:rsidRDefault="00734403" w:rsidP="00404A26">
            <w:pPr>
              <w:bidi w:val="0"/>
              <w:ind w:firstLine="40"/>
              <w:jc w:val="both"/>
              <w:rPr>
                <w:rFonts w:ascii="Times New Roman" w:hAnsi="Times New Roman" w:cs="Times New Roman"/>
                <w:b/>
                <w:bCs/>
                <w:sz w:val="20"/>
                <w:szCs w:val="20"/>
                <w:lang w:bidi="ar-EG"/>
              </w:rPr>
            </w:pPr>
            <w:proofErr w:type="spellStart"/>
            <w:r w:rsidRPr="00031625">
              <w:rPr>
                <w:rFonts w:ascii="Times New Roman" w:hAnsi="Times New Roman" w:cs="Times New Roman"/>
                <w:b/>
                <w:bCs/>
                <w:sz w:val="20"/>
                <w:szCs w:val="20"/>
                <w:lang w:bidi="ar-EG"/>
              </w:rPr>
              <w:t>Resectability</w:t>
            </w:r>
            <w:proofErr w:type="spellEnd"/>
          </w:p>
          <w:p w:rsidR="00734403" w:rsidRPr="00031625" w:rsidRDefault="00734403" w:rsidP="00404A26">
            <w:pPr>
              <w:bidi w:val="0"/>
              <w:ind w:firstLine="40"/>
              <w:jc w:val="both"/>
              <w:rPr>
                <w:rFonts w:ascii="Times New Roman" w:hAnsi="Times New Roman" w:cs="Times New Roman"/>
                <w:sz w:val="20"/>
                <w:szCs w:val="20"/>
                <w:lang w:bidi="ar-EG"/>
              </w:rPr>
            </w:pPr>
            <w:r w:rsidRPr="00031625">
              <w:rPr>
                <w:rFonts w:ascii="Times New Roman" w:hAnsi="Times New Roman" w:cs="Times New Roman"/>
                <w:sz w:val="20"/>
                <w:szCs w:val="20"/>
                <w:lang w:bidi="ar-EG"/>
              </w:rPr>
              <w:t>Yes</w:t>
            </w:r>
          </w:p>
          <w:p w:rsidR="00734403" w:rsidRPr="00031625" w:rsidRDefault="00734403" w:rsidP="00404A26">
            <w:pPr>
              <w:bidi w:val="0"/>
              <w:ind w:firstLine="40"/>
              <w:jc w:val="both"/>
              <w:rPr>
                <w:rFonts w:ascii="Times New Roman" w:hAnsi="Times New Roman" w:cs="Times New Roman"/>
                <w:b/>
                <w:bCs/>
                <w:sz w:val="20"/>
                <w:szCs w:val="20"/>
                <w:lang w:bidi="ar-EG"/>
              </w:rPr>
            </w:pPr>
            <w:r w:rsidRPr="00031625">
              <w:rPr>
                <w:rFonts w:ascii="Times New Roman" w:hAnsi="Times New Roman" w:cs="Times New Roman"/>
                <w:sz w:val="20"/>
                <w:szCs w:val="20"/>
                <w:lang w:bidi="ar-EG"/>
              </w:rPr>
              <w:t>No</w:t>
            </w:r>
          </w:p>
        </w:tc>
        <w:tc>
          <w:tcPr>
            <w:tcW w:w="1350" w:type="dxa"/>
            <w:tcBorders>
              <w:left w:val="nil"/>
              <w:right w:val="nil"/>
            </w:tcBorders>
          </w:tcPr>
          <w:p w:rsidR="00734403" w:rsidRPr="00031625" w:rsidRDefault="00734403" w:rsidP="00404A26">
            <w:pPr>
              <w:bidi w:val="0"/>
              <w:ind w:firstLine="5"/>
              <w:jc w:val="center"/>
              <w:rPr>
                <w:rFonts w:ascii="Times New Roman" w:hAnsi="Times New Roman" w:cs="Times New Roman"/>
                <w:sz w:val="20"/>
                <w:szCs w:val="20"/>
                <w:lang w:bidi="ar-EG"/>
              </w:rPr>
            </w:pP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 xml:space="preserve">19 </w:t>
            </w:r>
            <w:r w:rsidRPr="00031625">
              <w:rPr>
                <w:rFonts w:ascii="Times New Roman" w:hAnsi="Times New Roman" w:cs="Times New Roman"/>
                <w:sz w:val="20"/>
                <w:szCs w:val="20"/>
              </w:rPr>
              <w:t>(61.3)</w:t>
            </w:r>
          </w:p>
          <w:p w:rsidR="00734403" w:rsidRPr="00031625" w:rsidRDefault="00734403" w:rsidP="00404A26">
            <w:pPr>
              <w:bidi w:val="0"/>
              <w:ind w:firstLine="5"/>
              <w:jc w:val="center"/>
              <w:rPr>
                <w:rFonts w:ascii="Times New Roman" w:hAnsi="Times New Roman" w:cs="Times New Roman"/>
                <w:sz w:val="20"/>
                <w:szCs w:val="20"/>
                <w:lang w:bidi="ar-EG"/>
              </w:rPr>
            </w:pPr>
            <w:r w:rsidRPr="00031625">
              <w:rPr>
                <w:rFonts w:ascii="Times New Roman" w:hAnsi="Times New Roman" w:cs="Times New Roman"/>
                <w:sz w:val="20"/>
                <w:szCs w:val="20"/>
                <w:lang w:bidi="ar-EG"/>
              </w:rPr>
              <w:t xml:space="preserve">12 </w:t>
            </w:r>
            <w:r w:rsidRPr="00031625">
              <w:rPr>
                <w:rFonts w:ascii="Times New Roman" w:hAnsi="Times New Roman" w:cs="Times New Roman"/>
                <w:sz w:val="20"/>
                <w:szCs w:val="20"/>
              </w:rPr>
              <w:t>(38.7)</w:t>
            </w:r>
          </w:p>
        </w:tc>
      </w:tr>
    </w:tbl>
    <w:p w:rsidR="00734403" w:rsidRPr="00031625" w:rsidRDefault="00734403" w:rsidP="00EB2FAF">
      <w:pPr>
        <w:autoSpaceDE w:val="0"/>
        <w:autoSpaceDN w:val="0"/>
        <w:bidi w:val="0"/>
        <w:adjustRightInd w:val="0"/>
        <w:spacing w:after="0" w:line="240" w:lineRule="auto"/>
        <w:ind w:firstLine="360"/>
        <w:jc w:val="both"/>
        <w:rPr>
          <w:rFonts w:ascii="Times New Roman" w:hAnsi="Times New Roman" w:cs="Times New Roman"/>
          <w:sz w:val="20"/>
          <w:szCs w:val="20"/>
        </w:rPr>
      </w:pPr>
    </w:p>
    <w:p w:rsidR="004901BB" w:rsidRDefault="004901BB" w:rsidP="00734403">
      <w:pPr>
        <w:autoSpaceDE w:val="0"/>
        <w:autoSpaceDN w:val="0"/>
        <w:bidi w:val="0"/>
        <w:adjustRightInd w:val="0"/>
        <w:spacing w:after="0" w:line="240" w:lineRule="auto"/>
        <w:rPr>
          <w:rFonts w:ascii="Times New Roman" w:hAnsi="Times New Roman" w:cs="Times New Roman"/>
          <w:b/>
          <w:bCs/>
          <w:sz w:val="20"/>
          <w:szCs w:val="20"/>
        </w:rPr>
      </w:pPr>
    </w:p>
    <w:p w:rsidR="00EB2FAF" w:rsidRPr="00031625" w:rsidRDefault="00EB2FAF" w:rsidP="004901BB">
      <w:pPr>
        <w:autoSpaceDE w:val="0"/>
        <w:autoSpaceDN w:val="0"/>
        <w:bidi w:val="0"/>
        <w:adjustRightInd w:val="0"/>
        <w:spacing w:after="0" w:line="240" w:lineRule="auto"/>
        <w:rPr>
          <w:rFonts w:ascii="Times New Roman" w:hAnsi="Times New Roman" w:cs="Times New Roman"/>
          <w:b/>
          <w:bCs/>
          <w:sz w:val="20"/>
          <w:szCs w:val="20"/>
        </w:rPr>
      </w:pPr>
      <w:r w:rsidRPr="00031625">
        <w:rPr>
          <w:rFonts w:ascii="Times New Roman" w:hAnsi="Times New Roman" w:cs="Times New Roman"/>
          <w:b/>
          <w:bCs/>
          <w:sz w:val="20"/>
          <w:szCs w:val="20"/>
        </w:rPr>
        <w:lastRenderedPageBreak/>
        <w:t>Treatment compliance</w:t>
      </w:r>
    </w:p>
    <w:p w:rsidR="00EB2FAF" w:rsidRPr="00031625" w:rsidRDefault="00EB2FAF" w:rsidP="00EB2FAF">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Twenty-five (80.6%) patients received the pre-specified dose of carboplatin. All patients received an optimal dose of radiation therapy, defined as 60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or more. Twenty-seven (87.1%) patients received a total dose of 70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The median duration of RT was 54 days (range, 47–65). Treatment interruption was reported in 26 (83.9%) patients with 8 (range, 0-18) days median time of interruption and 4 (12.9%) patients discontinued their planned treatment after 60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due to side effects. Seventy-one percent of patients received tri-weekly carboplatin plus RT. However, tri-weekly carboplatin was less tolerable than the weekly regimen.</w:t>
      </w:r>
    </w:p>
    <w:p w:rsidR="00693286" w:rsidRDefault="00693286" w:rsidP="00031625">
      <w:pPr>
        <w:autoSpaceDE w:val="0"/>
        <w:autoSpaceDN w:val="0"/>
        <w:bidi w:val="0"/>
        <w:adjustRightInd w:val="0"/>
        <w:spacing w:after="0" w:line="240" w:lineRule="auto"/>
        <w:jc w:val="both"/>
        <w:rPr>
          <w:rFonts w:ascii="Times New Roman" w:hAnsi="Times New Roman" w:cs="Times New Roman"/>
          <w:b/>
          <w:bCs/>
          <w:sz w:val="20"/>
          <w:szCs w:val="20"/>
        </w:rPr>
      </w:pPr>
    </w:p>
    <w:p w:rsidR="00031625" w:rsidRPr="00031625" w:rsidRDefault="00031625" w:rsidP="00693286">
      <w:pPr>
        <w:autoSpaceDE w:val="0"/>
        <w:autoSpaceDN w:val="0"/>
        <w:bidi w:val="0"/>
        <w:adjustRightInd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Table 2: Indication for carboplatin</w:t>
      </w:r>
    </w:p>
    <w:tbl>
      <w:tblPr>
        <w:tblStyle w:val="TableGrid"/>
        <w:tblW w:w="0" w:type="auto"/>
        <w:tblLook w:val="04A0" w:firstRow="1" w:lastRow="0" w:firstColumn="1" w:lastColumn="0" w:noHBand="0" w:noVBand="1"/>
      </w:tblPr>
      <w:tblGrid>
        <w:gridCol w:w="2628"/>
        <w:gridCol w:w="1620"/>
      </w:tblGrid>
      <w:tr w:rsidR="00031625" w:rsidRPr="00031625" w:rsidTr="00404A26">
        <w:tc>
          <w:tcPr>
            <w:tcW w:w="2628" w:type="dxa"/>
            <w:tcBorders>
              <w:left w:val="nil"/>
              <w:right w:val="nil"/>
            </w:tcBorders>
          </w:tcPr>
          <w:p w:rsidR="00031625" w:rsidRPr="00031625" w:rsidRDefault="00031625" w:rsidP="00404A26">
            <w:pPr>
              <w:autoSpaceDE w:val="0"/>
              <w:autoSpaceDN w:val="0"/>
              <w:bidi w:val="0"/>
              <w:adjustRightInd w:val="0"/>
              <w:rPr>
                <w:rFonts w:ascii="Times New Roman" w:hAnsi="Times New Roman" w:cs="Times New Roman"/>
                <w:sz w:val="20"/>
                <w:szCs w:val="20"/>
              </w:rPr>
            </w:pP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No. (%)</w:t>
            </w:r>
          </w:p>
        </w:tc>
      </w:tr>
      <w:tr w:rsidR="00031625" w:rsidRPr="00031625" w:rsidTr="00404A26">
        <w:tc>
          <w:tcPr>
            <w:tcW w:w="2628" w:type="dxa"/>
            <w:tcBorders>
              <w:left w:val="nil"/>
              <w:right w:val="nil"/>
            </w:tcBorders>
          </w:tcPr>
          <w:p w:rsidR="00031625" w:rsidRPr="00031625" w:rsidRDefault="00031625" w:rsidP="00404A26">
            <w:pPr>
              <w:autoSpaceDE w:val="0"/>
              <w:autoSpaceDN w:val="0"/>
              <w:bidi w:val="0"/>
              <w:adjustRightInd w:val="0"/>
              <w:jc w:val="both"/>
              <w:rPr>
                <w:rFonts w:ascii="Times New Roman" w:hAnsi="Times New Roman" w:cs="Times New Roman"/>
                <w:sz w:val="20"/>
                <w:szCs w:val="20"/>
              </w:rPr>
            </w:pPr>
            <w:r w:rsidRPr="00031625">
              <w:rPr>
                <w:rFonts w:ascii="Times New Roman" w:hAnsi="Times New Roman" w:cs="Times New Roman"/>
                <w:sz w:val="20"/>
                <w:szCs w:val="20"/>
              </w:rPr>
              <w:t>Age over 65 years</w:t>
            </w: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19 (61.3)</w:t>
            </w:r>
          </w:p>
        </w:tc>
      </w:tr>
      <w:tr w:rsidR="00031625" w:rsidRPr="00031625" w:rsidTr="00404A26">
        <w:tc>
          <w:tcPr>
            <w:tcW w:w="2628" w:type="dxa"/>
            <w:tcBorders>
              <w:left w:val="nil"/>
              <w:right w:val="nil"/>
            </w:tcBorders>
          </w:tcPr>
          <w:p w:rsidR="00031625" w:rsidRPr="00031625" w:rsidRDefault="00031625" w:rsidP="00404A26">
            <w:pPr>
              <w:bidi w:val="0"/>
              <w:jc w:val="both"/>
              <w:rPr>
                <w:rFonts w:ascii="Times New Roman" w:hAnsi="Times New Roman" w:cs="Times New Roman"/>
                <w:sz w:val="20"/>
                <w:szCs w:val="20"/>
              </w:rPr>
            </w:pPr>
            <w:r w:rsidRPr="00031625">
              <w:rPr>
                <w:rFonts w:ascii="Times New Roman" w:hAnsi="Times New Roman" w:cs="Times New Roman"/>
                <w:sz w:val="20"/>
                <w:szCs w:val="20"/>
              </w:rPr>
              <w:t>Performance status 2</w:t>
            </w: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19 (61.3)</w:t>
            </w:r>
          </w:p>
        </w:tc>
      </w:tr>
      <w:tr w:rsidR="00031625" w:rsidRPr="00031625" w:rsidTr="00404A26">
        <w:tc>
          <w:tcPr>
            <w:tcW w:w="2628" w:type="dxa"/>
            <w:tcBorders>
              <w:left w:val="nil"/>
              <w:right w:val="nil"/>
            </w:tcBorders>
          </w:tcPr>
          <w:p w:rsidR="00031625" w:rsidRPr="00031625" w:rsidRDefault="00031625" w:rsidP="00404A26">
            <w:pPr>
              <w:autoSpaceDE w:val="0"/>
              <w:autoSpaceDN w:val="0"/>
              <w:bidi w:val="0"/>
              <w:adjustRightInd w:val="0"/>
              <w:jc w:val="both"/>
              <w:rPr>
                <w:rFonts w:ascii="Times New Roman" w:hAnsi="Times New Roman" w:cs="Times New Roman"/>
                <w:sz w:val="20"/>
                <w:szCs w:val="20"/>
              </w:rPr>
            </w:pPr>
            <w:r w:rsidRPr="00031625">
              <w:rPr>
                <w:rFonts w:ascii="Times New Roman" w:hAnsi="Times New Roman" w:cs="Times New Roman"/>
                <w:sz w:val="20"/>
                <w:szCs w:val="20"/>
              </w:rPr>
              <w:t>Renal impairment</w:t>
            </w: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10 (32.2)</w:t>
            </w:r>
          </w:p>
        </w:tc>
      </w:tr>
      <w:tr w:rsidR="00031625" w:rsidRPr="00031625" w:rsidTr="00404A26">
        <w:tc>
          <w:tcPr>
            <w:tcW w:w="2628" w:type="dxa"/>
            <w:tcBorders>
              <w:left w:val="nil"/>
              <w:right w:val="nil"/>
            </w:tcBorders>
          </w:tcPr>
          <w:p w:rsidR="00031625" w:rsidRPr="00031625" w:rsidRDefault="00031625" w:rsidP="00404A26">
            <w:pPr>
              <w:autoSpaceDE w:val="0"/>
              <w:autoSpaceDN w:val="0"/>
              <w:bidi w:val="0"/>
              <w:adjustRightInd w:val="0"/>
              <w:jc w:val="both"/>
              <w:rPr>
                <w:rFonts w:ascii="Times New Roman" w:hAnsi="Times New Roman" w:cs="Times New Roman"/>
                <w:sz w:val="20"/>
                <w:szCs w:val="20"/>
              </w:rPr>
            </w:pPr>
            <w:r w:rsidRPr="00031625">
              <w:rPr>
                <w:rFonts w:ascii="Times New Roman" w:hAnsi="Times New Roman" w:cs="Times New Roman"/>
                <w:sz w:val="20"/>
                <w:szCs w:val="20"/>
              </w:rPr>
              <w:t>Cardiac dysfunction</w:t>
            </w: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4 (12.9)</w:t>
            </w:r>
          </w:p>
        </w:tc>
      </w:tr>
      <w:tr w:rsidR="00031625" w:rsidRPr="00031625" w:rsidTr="00404A26">
        <w:tc>
          <w:tcPr>
            <w:tcW w:w="2628" w:type="dxa"/>
            <w:tcBorders>
              <w:left w:val="nil"/>
              <w:right w:val="nil"/>
            </w:tcBorders>
          </w:tcPr>
          <w:p w:rsidR="00031625" w:rsidRPr="00031625" w:rsidRDefault="00031625" w:rsidP="00404A26">
            <w:pPr>
              <w:autoSpaceDE w:val="0"/>
              <w:autoSpaceDN w:val="0"/>
              <w:bidi w:val="0"/>
              <w:adjustRightInd w:val="0"/>
              <w:jc w:val="both"/>
              <w:rPr>
                <w:rFonts w:ascii="Times New Roman" w:hAnsi="Times New Roman" w:cs="Times New Roman"/>
                <w:sz w:val="20"/>
                <w:szCs w:val="20"/>
              </w:rPr>
            </w:pPr>
            <w:r w:rsidRPr="00031625">
              <w:rPr>
                <w:rFonts w:ascii="Times New Roman" w:hAnsi="Times New Roman" w:cs="Times New Roman"/>
                <w:sz w:val="20"/>
                <w:szCs w:val="20"/>
              </w:rPr>
              <w:t>Hearing impairment</w:t>
            </w:r>
          </w:p>
        </w:tc>
        <w:tc>
          <w:tcPr>
            <w:tcW w:w="1620" w:type="dxa"/>
            <w:tcBorders>
              <w:left w:val="nil"/>
              <w:right w:val="nil"/>
            </w:tcBorders>
          </w:tcPr>
          <w:p w:rsidR="00031625" w:rsidRPr="00031625" w:rsidRDefault="00031625" w:rsidP="00404A26">
            <w:pPr>
              <w:autoSpaceDE w:val="0"/>
              <w:autoSpaceDN w:val="0"/>
              <w:bidi w:val="0"/>
              <w:adjustRightInd w:val="0"/>
              <w:ind w:firstLine="59"/>
              <w:jc w:val="center"/>
              <w:rPr>
                <w:rFonts w:ascii="Times New Roman" w:hAnsi="Times New Roman" w:cs="Times New Roman"/>
                <w:sz w:val="20"/>
                <w:szCs w:val="20"/>
              </w:rPr>
            </w:pPr>
            <w:r w:rsidRPr="00031625">
              <w:rPr>
                <w:rFonts w:ascii="Times New Roman" w:hAnsi="Times New Roman" w:cs="Times New Roman"/>
                <w:sz w:val="20"/>
                <w:szCs w:val="20"/>
              </w:rPr>
              <w:t>1 (3.2)</w:t>
            </w:r>
          </w:p>
        </w:tc>
      </w:tr>
    </w:tbl>
    <w:p w:rsidR="00031625" w:rsidRDefault="00031625" w:rsidP="00734403">
      <w:pPr>
        <w:bidi w:val="0"/>
        <w:spacing w:after="0" w:line="240" w:lineRule="auto"/>
        <w:jc w:val="both"/>
        <w:rPr>
          <w:rFonts w:ascii="Times New Roman" w:hAnsi="Times New Roman" w:cs="Times New Roman"/>
          <w:b/>
          <w:bCs/>
          <w:sz w:val="20"/>
          <w:szCs w:val="20"/>
        </w:rPr>
      </w:pPr>
    </w:p>
    <w:p w:rsidR="00EB2FAF" w:rsidRPr="00031625" w:rsidRDefault="00EB2FAF" w:rsidP="00031625">
      <w:pPr>
        <w:bidi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Clinical response</w:t>
      </w:r>
    </w:p>
    <w:p w:rsidR="00EB2FAF" w:rsidRPr="00031625" w:rsidRDefault="00EB2FAF" w:rsidP="00AB1C13">
      <w:pPr>
        <w:autoSpaceDE w:val="0"/>
        <w:autoSpaceDN w:val="0"/>
        <w:bidi w:val="0"/>
        <w:adjustRightInd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Ten patients (32.3%) had complete response (CR) and a partial response (PR) was in 12 (38.7%) patients with 71.0% (22/31) total response rate (CR and PR). Disease stability was reported in 8 (25.8%) patients and only one patient (3.2%) developed progressive disease.</w:t>
      </w:r>
      <w:r w:rsidR="00031625" w:rsidRPr="00031625">
        <w:rPr>
          <w:rFonts w:ascii="Times New Roman" w:hAnsi="Times New Roman" w:cs="Times New Roman"/>
          <w:sz w:val="20"/>
          <w:szCs w:val="20"/>
        </w:rPr>
        <w:t xml:space="preserve"> </w:t>
      </w:r>
      <w:r w:rsidRPr="00031625">
        <w:rPr>
          <w:rFonts w:ascii="Times New Roman" w:hAnsi="Times New Roman" w:cs="Times New Roman"/>
          <w:sz w:val="20"/>
          <w:szCs w:val="20"/>
        </w:rPr>
        <w:t xml:space="preserve">Two subjects </w:t>
      </w:r>
      <w:r w:rsidR="00AB1C13">
        <w:rPr>
          <w:rFonts w:ascii="Times New Roman" w:hAnsi="Times New Roman" w:cs="Times New Roman"/>
          <w:sz w:val="20"/>
          <w:szCs w:val="20"/>
        </w:rPr>
        <w:t>had</w:t>
      </w:r>
      <w:r w:rsidRPr="00031625">
        <w:rPr>
          <w:rFonts w:ascii="Times New Roman" w:hAnsi="Times New Roman" w:cs="Times New Roman"/>
          <w:sz w:val="20"/>
          <w:szCs w:val="20"/>
        </w:rPr>
        <w:t xml:space="preserve"> rescue surgery for remaining neck disease three and four months after end of RT with postoperative neck edema was the major complication.</w:t>
      </w:r>
    </w:p>
    <w:p w:rsidR="0015154D" w:rsidRPr="00031625" w:rsidRDefault="0015154D" w:rsidP="0015154D">
      <w:pPr>
        <w:bidi w:val="0"/>
        <w:spacing w:after="0" w:line="240" w:lineRule="auto"/>
        <w:jc w:val="both"/>
        <w:rPr>
          <w:rFonts w:ascii="Times New Roman" w:hAnsi="Times New Roman" w:cs="Times New Roman"/>
          <w:b/>
          <w:bCs/>
          <w:sz w:val="20"/>
          <w:szCs w:val="20"/>
        </w:rPr>
      </w:pPr>
      <w:r w:rsidRPr="00031625">
        <w:rPr>
          <w:rFonts w:ascii="Times New Roman" w:hAnsi="Times New Roman" w:cs="Times New Roman"/>
          <w:b/>
          <w:bCs/>
          <w:sz w:val="20"/>
          <w:szCs w:val="20"/>
        </w:rPr>
        <w:t xml:space="preserve">Toxicity </w:t>
      </w:r>
    </w:p>
    <w:p w:rsidR="0015154D" w:rsidRPr="00031625" w:rsidRDefault="0015154D" w:rsidP="0015154D">
      <w:pPr>
        <w:autoSpaceDE w:val="0"/>
        <w:autoSpaceDN w:val="0"/>
        <w:bidi w:val="0"/>
        <w:adjustRightInd w:val="0"/>
        <w:spacing w:after="0" w:line="240" w:lineRule="auto"/>
        <w:ind w:firstLine="360"/>
        <w:jc w:val="both"/>
        <w:rPr>
          <w:rFonts w:ascii="Times New Roman" w:hAnsi="Times New Roman" w:cs="Times New Roman"/>
          <w:sz w:val="20"/>
          <w:szCs w:val="20"/>
          <w:rtl/>
        </w:rPr>
      </w:pPr>
      <w:r w:rsidRPr="00031625">
        <w:rPr>
          <w:rFonts w:ascii="Times New Roman" w:hAnsi="Times New Roman" w:cs="Times New Roman"/>
          <w:sz w:val="20"/>
          <w:szCs w:val="20"/>
        </w:rPr>
        <w:t>Table 3 shows the main toxicities observed during CRT. The main non-hematological toxicities reported was mainly related to the radiation effect on surface mucosa with the resultant grade III/IV mucositis &amp; vomiting seen in 7 (22.6%) patients, nausea in 6 (19.4%) patients, and dysphagia in 4 (12.9%) patients. The other non-hematological toxicities were grade I and II and were managed properly.</w:t>
      </w:r>
    </w:p>
    <w:p w:rsidR="0015154D" w:rsidRPr="00031625" w:rsidRDefault="0015154D" w:rsidP="0015154D">
      <w:pPr>
        <w:autoSpaceDE w:val="0"/>
        <w:autoSpaceDN w:val="0"/>
        <w:bidi w:val="0"/>
        <w:adjustRightInd w:val="0"/>
        <w:spacing w:after="0" w:line="240" w:lineRule="auto"/>
        <w:ind w:firstLine="360"/>
        <w:jc w:val="both"/>
        <w:rPr>
          <w:rFonts w:ascii="Times New Roman" w:hAnsi="Times New Roman" w:cs="Times New Roman"/>
          <w:sz w:val="20"/>
          <w:szCs w:val="20"/>
        </w:rPr>
      </w:pP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was common, with grade I-II anemia, leukopenia, and thrombocytopenia seen in 61.2%, 80.6%, and 74.2%, of patients, respectively. Tri-weekly regimen showed higher rates of toxicities versus weekly regimen; however, it was non-significant. Three patients developed an infection, including two with pneumonia, and one with febrile neutropenia. However, the regimen was well tolerated with no treatment-related death was reported.</w:t>
      </w:r>
    </w:p>
    <w:p w:rsidR="0015154D" w:rsidRPr="00031625" w:rsidRDefault="0015154D" w:rsidP="00734403">
      <w:pPr>
        <w:autoSpaceDE w:val="0"/>
        <w:autoSpaceDN w:val="0"/>
        <w:bidi w:val="0"/>
        <w:adjustRightInd w:val="0"/>
        <w:spacing w:after="0" w:line="240" w:lineRule="auto"/>
        <w:rPr>
          <w:rFonts w:ascii="Times New Roman" w:hAnsi="Times New Roman" w:cs="Times New Roman"/>
          <w:b/>
          <w:bCs/>
          <w:sz w:val="20"/>
          <w:szCs w:val="20"/>
        </w:rPr>
      </w:pPr>
      <w:r w:rsidRPr="00031625">
        <w:rPr>
          <w:rFonts w:ascii="Times New Roman" w:hAnsi="Times New Roman" w:cs="Times New Roman"/>
          <w:b/>
          <w:bCs/>
          <w:sz w:val="20"/>
          <w:szCs w:val="20"/>
        </w:rPr>
        <w:t>Survival</w:t>
      </w:r>
    </w:p>
    <w:p w:rsidR="0015154D" w:rsidRPr="00031625" w:rsidRDefault="0015154D" w:rsidP="00031625">
      <w:pPr>
        <w:bidi w:val="0"/>
        <w:spacing w:after="0" w:line="240" w:lineRule="auto"/>
        <w:jc w:val="both"/>
        <w:rPr>
          <w:rFonts w:ascii="Times New Roman" w:hAnsi="Times New Roman" w:cs="Times New Roman"/>
          <w:sz w:val="20"/>
          <w:szCs w:val="20"/>
        </w:rPr>
      </w:pPr>
      <w:r w:rsidRPr="00031625">
        <w:rPr>
          <w:rFonts w:ascii="Times New Roman" w:hAnsi="Times New Roman" w:cs="Times New Roman"/>
          <w:sz w:val="20"/>
          <w:szCs w:val="20"/>
        </w:rPr>
        <w:t xml:space="preserve">At the end of the study, 21 (67.7%) cases were still alive after a follow-up period ranged from 9-44 (median 25) months. As regards the survival outcome, the median OS was not reached. The mean OS was 34.6 (95%CI, 30-39.3) months with </w:t>
      </w:r>
      <w:r w:rsidRPr="00031625">
        <w:rPr>
          <w:rFonts w:ascii="Times New Roman" w:hAnsi="Times New Roman" w:cs="Times New Roman"/>
          <w:sz w:val="20"/>
          <w:szCs w:val="20"/>
        </w:rPr>
        <w:lastRenderedPageBreak/>
        <w:t>74.7% 2-year OS rate. The median PFS was not reached. The mean PFS was 27.8 (95% CI, 22.1-</w:t>
      </w:r>
      <w:r w:rsidRPr="00031625">
        <w:rPr>
          <w:rFonts w:ascii="Times New Roman" w:hAnsi="Times New Roman" w:cs="Times New Roman"/>
          <w:sz w:val="20"/>
          <w:szCs w:val="20"/>
        </w:rPr>
        <w:lastRenderedPageBreak/>
        <w:t xml:space="preserve">33.4) months with 54.8% 2-year PFS rate. </w:t>
      </w:r>
      <w:proofErr w:type="gramStart"/>
      <w:r w:rsidRPr="00031625">
        <w:rPr>
          <w:rFonts w:ascii="Times New Roman" w:hAnsi="Times New Roman" w:cs="Times New Roman"/>
          <w:sz w:val="20"/>
          <w:szCs w:val="20"/>
        </w:rPr>
        <w:t>(Fig</w:t>
      </w:r>
      <w:r w:rsidR="00031625" w:rsidRPr="00031625">
        <w:rPr>
          <w:rFonts w:ascii="Times New Roman" w:hAnsi="Times New Roman" w:cs="Times New Roman"/>
          <w:sz w:val="20"/>
          <w:szCs w:val="20"/>
        </w:rPr>
        <w:t>ures</w:t>
      </w:r>
      <w:r w:rsidRPr="00031625">
        <w:rPr>
          <w:rFonts w:ascii="Times New Roman" w:hAnsi="Times New Roman" w:cs="Times New Roman"/>
          <w:sz w:val="20"/>
          <w:szCs w:val="20"/>
        </w:rPr>
        <w:t xml:space="preserve"> 1 &amp; 2).</w:t>
      </w:r>
      <w:proofErr w:type="gramEnd"/>
    </w:p>
    <w:p w:rsidR="005E78BF" w:rsidRDefault="005E78BF" w:rsidP="0015154D">
      <w:pPr>
        <w:bidi w:val="0"/>
        <w:spacing w:after="0" w:line="240" w:lineRule="auto"/>
        <w:jc w:val="both"/>
        <w:rPr>
          <w:rFonts w:ascii="Times New Roman" w:hAnsi="Times New Roman" w:cs="Times New Roman"/>
          <w:b/>
          <w:bCs/>
          <w:sz w:val="20"/>
          <w:szCs w:val="20"/>
          <w:lang w:bidi="ar-EG"/>
        </w:rPr>
        <w:sectPr w:rsidR="005E78BF" w:rsidSect="00EB2FAF">
          <w:type w:val="continuous"/>
          <w:pgSz w:w="11906" w:h="16838"/>
          <w:pgMar w:top="1440" w:right="1440" w:bottom="1440" w:left="1440" w:header="706" w:footer="706" w:gutter="0"/>
          <w:cols w:num="2" w:space="720"/>
          <w:rtlGutter/>
          <w:docGrid w:linePitch="360"/>
        </w:sectPr>
      </w:pPr>
    </w:p>
    <w:p w:rsidR="00693286" w:rsidRDefault="00693286" w:rsidP="005E78BF">
      <w:pPr>
        <w:bidi w:val="0"/>
        <w:spacing w:after="0" w:line="240" w:lineRule="auto"/>
        <w:rPr>
          <w:rFonts w:ascii="Times New Roman" w:hAnsi="Times New Roman" w:cs="Times New Roman"/>
          <w:b/>
          <w:bCs/>
          <w:sz w:val="20"/>
          <w:szCs w:val="20"/>
        </w:rPr>
      </w:pPr>
    </w:p>
    <w:p w:rsidR="005E78BF" w:rsidRPr="00031625" w:rsidRDefault="005E78BF" w:rsidP="00693286">
      <w:pPr>
        <w:bidi w:val="0"/>
        <w:spacing w:after="0" w:line="240" w:lineRule="auto"/>
        <w:rPr>
          <w:rFonts w:ascii="Times New Roman" w:hAnsi="Times New Roman" w:cs="Times New Roman"/>
          <w:b/>
          <w:bCs/>
          <w:sz w:val="20"/>
          <w:szCs w:val="20"/>
        </w:rPr>
      </w:pPr>
      <w:r w:rsidRPr="00031625">
        <w:rPr>
          <w:rFonts w:ascii="Times New Roman" w:hAnsi="Times New Roman" w:cs="Times New Roman"/>
          <w:b/>
          <w:bCs/>
          <w:sz w:val="20"/>
          <w:szCs w:val="20"/>
        </w:rPr>
        <w:t>Table (3): Toxicity of treatment</w:t>
      </w:r>
    </w:p>
    <w:tbl>
      <w:tblPr>
        <w:tblStyle w:val="TableGrid"/>
        <w:tblW w:w="9139" w:type="dxa"/>
        <w:tblLook w:val="04A0" w:firstRow="1" w:lastRow="0" w:firstColumn="1" w:lastColumn="0" w:noHBand="0" w:noVBand="1"/>
      </w:tblPr>
      <w:tblGrid>
        <w:gridCol w:w="1998"/>
        <w:gridCol w:w="1131"/>
        <w:gridCol w:w="1209"/>
        <w:gridCol w:w="969"/>
        <w:gridCol w:w="1101"/>
        <w:gridCol w:w="1170"/>
        <w:gridCol w:w="855"/>
        <w:gridCol w:w="6"/>
        <w:gridCol w:w="700"/>
      </w:tblGrid>
      <w:tr w:rsidR="005E78BF" w:rsidRPr="00E11FCA" w:rsidTr="003D2F76">
        <w:tc>
          <w:tcPr>
            <w:tcW w:w="1998" w:type="dxa"/>
            <w:vMerge w:val="restart"/>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Toxicity</w:t>
            </w:r>
          </w:p>
        </w:tc>
        <w:tc>
          <w:tcPr>
            <w:tcW w:w="3309" w:type="dxa"/>
            <w:gridSpan w:val="3"/>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Grade I/II No (%)</w:t>
            </w:r>
          </w:p>
        </w:tc>
        <w:tc>
          <w:tcPr>
            <w:tcW w:w="3132" w:type="dxa"/>
            <w:gridSpan w:val="4"/>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Grade III/IV No (%)</w:t>
            </w:r>
          </w:p>
        </w:tc>
        <w:tc>
          <w:tcPr>
            <w:tcW w:w="700" w:type="dxa"/>
            <w:vMerge w:val="restart"/>
            <w:tcBorders>
              <w:left w:val="nil"/>
              <w:right w:val="nil"/>
            </w:tcBorders>
            <w:vAlign w:val="center"/>
          </w:tcPr>
          <w:p w:rsidR="005E78BF" w:rsidRPr="00E11FCA" w:rsidRDefault="005E78BF" w:rsidP="003D2F76">
            <w:pPr>
              <w:bidi w:val="0"/>
              <w:jc w:val="center"/>
              <w:rPr>
                <w:rFonts w:ascii="Times New Roman" w:hAnsi="Times New Roman" w:cs="Times New Roman"/>
                <w:b/>
                <w:bCs/>
                <w:i/>
                <w:iCs/>
                <w:sz w:val="20"/>
                <w:szCs w:val="20"/>
              </w:rPr>
            </w:pPr>
            <w:r w:rsidRPr="00E11FCA">
              <w:rPr>
                <w:rFonts w:ascii="Times New Roman" w:hAnsi="Times New Roman" w:cs="Times New Roman"/>
                <w:b/>
                <w:bCs/>
                <w:i/>
                <w:iCs/>
                <w:sz w:val="20"/>
                <w:szCs w:val="20"/>
              </w:rPr>
              <w:t>p</w:t>
            </w:r>
          </w:p>
        </w:tc>
      </w:tr>
      <w:tr w:rsidR="005E78BF" w:rsidRPr="00E11FCA" w:rsidTr="003D2F76">
        <w:tc>
          <w:tcPr>
            <w:tcW w:w="1998" w:type="dxa"/>
            <w:vMerge/>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Total</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Triweekly</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Weekly</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Total</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Triweekly</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r w:rsidRPr="00E11FCA">
              <w:rPr>
                <w:rFonts w:ascii="Times New Roman" w:hAnsi="Times New Roman" w:cs="Times New Roman"/>
                <w:b/>
                <w:bCs/>
                <w:sz w:val="20"/>
                <w:szCs w:val="20"/>
              </w:rPr>
              <w:t>Weekly</w:t>
            </w:r>
          </w:p>
        </w:tc>
        <w:tc>
          <w:tcPr>
            <w:tcW w:w="700" w:type="dxa"/>
            <w:vMerge/>
            <w:tcBorders>
              <w:left w:val="nil"/>
              <w:right w:val="nil"/>
            </w:tcBorders>
            <w:vAlign w:val="center"/>
          </w:tcPr>
          <w:p w:rsidR="005E78BF" w:rsidRPr="00E11FCA" w:rsidRDefault="005E78BF" w:rsidP="003D2F76">
            <w:pPr>
              <w:bidi w:val="0"/>
              <w:jc w:val="center"/>
              <w:rPr>
                <w:rFonts w:ascii="Times New Roman" w:hAnsi="Times New Roman" w:cs="Times New Roman"/>
                <w:b/>
                <w:bCs/>
                <w:sz w:val="20"/>
                <w:szCs w:val="20"/>
              </w:rPr>
            </w:pPr>
          </w:p>
        </w:tc>
      </w:tr>
      <w:tr w:rsidR="005E78BF" w:rsidRPr="00E11FCA" w:rsidTr="003D2F76">
        <w:tc>
          <w:tcPr>
            <w:tcW w:w="1998"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r w:rsidRPr="00E11FCA">
              <w:rPr>
                <w:rFonts w:ascii="Times New Roman" w:hAnsi="Times New Roman" w:cs="Times New Roman"/>
                <w:b/>
                <w:bCs/>
                <w:sz w:val="20"/>
                <w:szCs w:val="20"/>
              </w:rPr>
              <w:t>Hematological</w:t>
            </w:r>
          </w:p>
        </w:tc>
        <w:tc>
          <w:tcPr>
            <w:tcW w:w="1131"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1209"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969"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1101"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1170"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855"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c>
          <w:tcPr>
            <w:tcW w:w="706" w:type="dxa"/>
            <w:gridSpan w:val="2"/>
            <w:tcBorders>
              <w:left w:val="nil"/>
              <w:right w:val="nil"/>
            </w:tcBorders>
            <w:vAlign w:val="center"/>
          </w:tcPr>
          <w:p w:rsidR="005E78BF" w:rsidRPr="00E11FCA" w:rsidRDefault="005E78BF" w:rsidP="003D2F76">
            <w:pPr>
              <w:bidi w:val="0"/>
              <w:rPr>
                <w:rFonts w:ascii="Times New Roman" w:hAnsi="Times New Roman" w:cs="Times New Roman"/>
                <w:sz w:val="20"/>
                <w:szCs w:val="20"/>
              </w:rPr>
            </w:pP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Anemia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19 (61.2)</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15 (78.9)</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4 (21.1)</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6 (19.4)</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4 (66.7)</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(33.3)</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0.383</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Leukopenia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25 (80.6)</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19 (76.0)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6 (24.0)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(9.7)</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(22.7)</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 (33.3)</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0.302</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Thrombocytopenia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23 (74.2)</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18 (78.3)</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5 (21.7)</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5 (16.1)</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(60.0)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(40.0)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0.229</w:t>
            </w:r>
          </w:p>
        </w:tc>
      </w:tr>
      <w:tr w:rsidR="005E78BF" w:rsidRPr="00E11FCA" w:rsidTr="003D2F76">
        <w:tc>
          <w:tcPr>
            <w:tcW w:w="9139" w:type="dxa"/>
            <w:gridSpan w:val="9"/>
            <w:tcBorders>
              <w:left w:val="nil"/>
              <w:right w:val="nil"/>
            </w:tcBorders>
            <w:vAlign w:val="center"/>
          </w:tcPr>
          <w:p w:rsidR="005E78BF" w:rsidRPr="00E11FCA" w:rsidRDefault="005E78BF" w:rsidP="003D2F76">
            <w:pPr>
              <w:bidi w:val="0"/>
              <w:rPr>
                <w:rFonts w:ascii="Times New Roman" w:hAnsi="Times New Roman" w:cs="Times New Roman"/>
                <w:sz w:val="20"/>
                <w:szCs w:val="20"/>
              </w:rPr>
            </w:pPr>
            <w:r w:rsidRPr="00E11FCA">
              <w:rPr>
                <w:rFonts w:ascii="Times New Roman" w:hAnsi="Times New Roman" w:cs="Times New Roman"/>
                <w:b/>
                <w:bCs/>
                <w:sz w:val="20"/>
                <w:szCs w:val="20"/>
              </w:rPr>
              <w:t>Non-hematological</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Mucositis</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24 (77.4)</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18 (75.0)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6 (25.0)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7 (22.6)</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4 (57.1)</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(42.9)</w:t>
            </w:r>
          </w:p>
        </w:tc>
        <w:tc>
          <w:tcPr>
            <w:tcW w:w="700" w:type="dxa"/>
            <w:tcBorders>
              <w:left w:val="nil"/>
              <w:right w:val="nil"/>
            </w:tcBorders>
            <w:vAlign w:val="center"/>
          </w:tcPr>
          <w:p w:rsidR="005E78BF" w:rsidRPr="00E11FCA" w:rsidRDefault="005E78BF" w:rsidP="003D2F76">
            <w:pPr>
              <w:bidi w:val="0"/>
              <w:rPr>
                <w:rFonts w:ascii="Times New Roman" w:hAnsi="Times New Roman" w:cs="Times New Roman"/>
                <w:sz w:val="20"/>
                <w:szCs w:val="20"/>
              </w:rPr>
            </w:pPr>
            <w:r w:rsidRPr="00E11FCA">
              <w:rPr>
                <w:rFonts w:ascii="Times New Roman" w:hAnsi="Times New Roman" w:cs="Times New Roman"/>
                <w:sz w:val="20"/>
                <w:szCs w:val="20"/>
              </w:rPr>
              <w:t>0.360</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Anorexia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29 (93.5)</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20 (69.0)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9 (31.0)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0.350</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tl/>
                <w:lang w:bidi="ar-EG"/>
              </w:rPr>
            </w:pPr>
            <w:r w:rsidRPr="00E11FCA">
              <w:rPr>
                <w:rFonts w:ascii="Times New Roman" w:hAnsi="Times New Roman" w:cs="Times New Roman"/>
                <w:sz w:val="20"/>
                <w:szCs w:val="20"/>
              </w:rPr>
              <w:t>Nausea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tl/>
                <w:lang w:bidi="ar-EG"/>
              </w:rPr>
            </w:pPr>
            <w:r w:rsidRPr="00E11FCA">
              <w:rPr>
                <w:rFonts w:ascii="Times New Roman" w:hAnsi="Times New Roman" w:cs="Times New Roman"/>
                <w:sz w:val="20"/>
                <w:szCs w:val="20"/>
              </w:rPr>
              <w:t>23 (74.2)</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tl/>
                <w:lang w:bidi="ar-EG"/>
              </w:rPr>
            </w:pPr>
            <w:r w:rsidRPr="00E11FCA">
              <w:rPr>
                <w:rFonts w:ascii="Times New Roman" w:hAnsi="Times New Roman" w:cs="Times New Roman"/>
                <w:sz w:val="20"/>
                <w:szCs w:val="20"/>
                <w:lang w:bidi="ar-EG"/>
              </w:rPr>
              <w:t>18 (78.3)</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tl/>
                <w:lang w:bidi="ar-EG"/>
              </w:rPr>
            </w:pPr>
            <w:r w:rsidRPr="00E11FCA">
              <w:rPr>
                <w:rFonts w:ascii="Times New Roman" w:hAnsi="Times New Roman" w:cs="Times New Roman"/>
                <w:sz w:val="20"/>
                <w:szCs w:val="20"/>
                <w:lang w:bidi="ar-EG"/>
              </w:rPr>
              <w:t>5 (21.7)</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6 (19.4)</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(50.0)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(50.0)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0.317</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Vomiting</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20 (64.5)</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tl/>
                <w:lang w:bidi="ar-EG"/>
              </w:rPr>
            </w:pPr>
            <w:r w:rsidRPr="00E11FCA">
              <w:rPr>
                <w:rFonts w:ascii="Times New Roman" w:hAnsi="Times New Roman" w:cs="Times New Roman"/>
                <w:sz w:val="20"/>
                <w:szCs w:val="20"/>
                <w:lang w:bidi="ar-EG"/>
              </w:rPr>
              <w:t>14 (70.0)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6 (30.0)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7 (22.6)</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5 (71.4)</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(28.6)</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0.980</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Dysphagia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20 (64.5)</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15 (75.0)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5 (25.0)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4 (12.9)</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(50.0)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(50.0)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0.603</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Diarrhea</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8 (25.8)</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5 (62.5)</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(37.5)</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0.540</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Neuropathy</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9 (29.0)</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7 (77.8)</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2 (22.2)</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0.593</w:t>
            </w:r>
          </w:p>
        </w:tc>
      </w:tr>
      <w:tr w:rsidR="005E78BF" w:rsidRPr="00E11FCA" w:rsidTr="003D2F76">
        <w:tc>
          <w:tcPr>
            <w:tcW w:w="1998"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Renal impairment</w:t>
            </w:r>
          </w:p>
        </w:tc>
        <w:tc>
          <w:tcPr>
            <w:tcW w:w="113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4 (12.9)</w:t>
            </w:r>
          </w:p>
        </w:tc>
        <w:tc>
          <w:tcPr>
            <w:tcW w:w="120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3 (75.0)</w:t>
            </w:r>
          </w:p>
        </w:tc>
        <w:tc>
          <w:tcPr>
            <w:tcW w:w="969"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1 (25.0)</w:t>
            </w:r>
          </w:p>
        </w:tc>
        <w:tc>
          <w:tcPr>
            <w:tcW w:w="1101"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117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861" w:type="dxa"/>
            <w:gridSpan w:val="2"/>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 (0)</w:t>
            </w:r>
          </w:p>
        </w:tc>
        <w:tc>
          <w:tcPr>
            <w:tcW w:w="700" w:type="dxa"/>
            <w:tcBorders>
              <w:left w:val="nil"/>
              <w:right w:val="nil"/>
            </w:tcBorders>
            <w:vAlign w:val="center"/>
          </w:tcPr>
          <w:p w:rsidR="005E78BF" w:rsidRPr="00E11FCA" w:rsidRDefault="005E78BF" w:rsidP="003D2F76">
            <w:pPr>
              <w:bidi w:val="0"/>
              <w:jc w:val="center"/>
              <w:rPr>
                <w:rFonts w:ascii="Times New Roman" w:hAnsi="Times New Roman" w:cs="Times New Roman"/>
                <w:sz w:val="20"/>
                <w:szCs w:val="20"/>
              </w:rPr>
            </w:pPr>
            <w:r w:rsidRPr="00E11FCA">
              <w:rPr>
                <w:rFonts w:ascii="Times New Roman" w:hAnsi="Times New Roman" w:cs="Times New Roman"/>
                <w:sz w:val="20"/>
                <w:szCs w:val="20"/>
              </w:rPr>
              <w:t>0.849</w:t>
            </w:r>
          </w:p>
        </w:tc>
      </w:tr>
    </w:tbl>
    <w:p w:rsidR="005E78BF" w:rsidRPr="00E11FCA" w:rsidRDefault="005E78BF" w:rsidP="005E78BF">
      <w:pPr>
        <w:autoSpaceDE w:val="0"/>
        <w:autoSpaceDN w:val="0"/>
        <w:bidi w:val="0"/>
        <w:adjustRightInd w:val="0"/>
        <w:spacing w:after="0" w:line="240" w:lineRule="auto"/>
        <w:rPr>
          <w:rFonts w:ascii="Times New Roman" w:hAnsi="Times New Roman" w:cs="Times New Roman"/>
          <w:b/>
          <w:bCs/>
          <w:sz w:val="24"/>
          <w:szCs w:val="24"/>
        </w:rPr>
      </w:pPr>
    </w:p>
    <w:p w:rsidR="005E78BF" w:rsidRPr="00E11FCA" w:rsidRDefault="005E78BF" w:rsidP="005E78BF">
      <w:pPr>
        <w:autoSpaceDE w:val="0"/>
        <w:autoSpaceDN w:val="0"/>
        <w:bidi w:val="0"/>
        <w:adjustRightInd w:val="0"/>
        <w:spacing w:after="0" w:line="240" w:lineRule="auto"/>
        <w:ind w:firstLine="360"/>
        <w:jc w:val="both"/>
        <w:rPr>
          <w:rFonts w:ascii="Times New Roman" w:hAnsi="Times New Roman" w:cs="Times New Roman"/>
          <w:sz w:val="24"/>
          <w:szCs w:val="24"/>
        </w:rPr>
        <w:sectPr w:rsidR="005E78BF" w:rsidRPr="00E11FCA" w:rsidSect="007F7BC8">
          <w:type w:val="continuous"/>
          <w:pgSz w:w="11906" w:h="16838"/>
          <w:pgMar w:top="1440" w:right="1440" w:bottom="1440" w:left="1440" w:header="706" w:footer="706" w:gutter="0"/>
          <w:cols w:space="720"/>
          <w:rtlGutter/>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610"/>
      </w:tblGrid>
      <w:tr w:rsidR="005E78BF" w:rsidRPr="00E11FCA" w:rsidTr="003D2F76">
        <w:trPr>
          <w:trHeight w:val="3365"/>
        </w:trPr>
        <w:tc>
          <w:tcPr>
            <w:tcW w:w="4516" w:type="dxa"/>
          </w:tcPr>
          <w:p w:rsidR="005E78BF" w:rsidRPr="00E11FCA" w:rsidRDefault="005E78BF" w:rsidP="003D2F76">
            <w:pPr>
              <w:autoSpaceDE w:val="0"/>
              <w:autoSpaceDN w:val="0"/>
              <w:bidi w:val="0"/>
              <w:adjustRightInd w:val="0"/>
              <w:jc w:val="both"/>
              <w:rPr>
                <w:rFonts w:ascii="Times New Roman" w:hAnsi="Times New Roman" w:cs="Times New Roman"/>
                <w:sz w:val="24"/>
                <w:szCs w:val="24"/>
              </w:rPr>
            </w:pPr>
            <w:r w:rsidRPr="00E11FCA">
              <w:rPr>
                <w:rFonts w:ascii="Times New Roman" w:hAnsi="Times New Roman" w:cs="Times New Roman"/>
                <w:noProof/>
                <w:sz w:val="24"/>
                <w:szCs w:val="24"/>
                <w:rtl/>
              </w:rPr>
              <w:lastRenderedPageBreak/>
              <w:drawing>
                <wp:inline distT="0" distB="0" distL="0" distR="0" wp14:anchorId="7933F001" wp14:editId="588B621A">
                  <wp:extent cx="2795841" cy="2782956"/>
                  <wp:effectExtent l="0" t="0" r="5080" b="0"/>
                  <wp:docPr id="2" name="Picture 2" descr="D:\ابحاث الترقية الجديدة\7 Carboplatin in H&amp;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ابحاث الترقية الجديدة\7 Carboplatin in H&amp;N\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346" cy="2803367"/>
                          </a:xfrm>
                          <a:prstGeom prst="rect">
                            <a:avLst/>
                          </a:prstGeom>
                          <a:noFill/>
                          <a:ln>
                            <a:noFill/>
                          </a:ln>
                        </pic:spPr>
                      </pic:pic>
                    </a:graphicData>
                  </a:graphic>
                </wp:inline>
              </w:drawing>
            </w:r>
          </w:p>
        </w:tc>
        <w:tc>
          <w:tcPr>
            <w:tcW w:w="4610" w:type="dxa"/>
          </w:tcPr>
          <w:p w:rsidR="005E78BF" w:rsidRPr="00E11FCA" w:rsidRDefault="005E78BF" w:rsidP="003D2F76">
            <w:pPr>
              <w:autoSpaceDE w:val="0"/>
              <w:autoSpaceDN w:val="0"/>
              <w:bidi w:val="0"/>
              <w:adjustRightInd w:val="0"/>
              <w:jc w:val="both"/>
              <w:rPr>
                <w:rFonts w:ascii="Times New Roman" w:hAnsi="Times New Roman" w:cs="Times New Roman"/>
                <w:sz w:val="24"/>
                <w:szCs w:val="24"/>
              </w:rPr>
            </w:pPr>
            <w:r w:rsidRPr="00E11FCA">
              <w:rPr>
                <w:rFonts w:ascii="Times New Roman" w:hAnsi="Times New Roman" w:cs="Times New Roman"/>
                <w:noProof/>
                <w:sz w:val="24"/>
                <w:szCs w:val="24"/>
                <w:rtl/>
              </w:rPr>
              <w:drawing>
                <wp:inline distT="0" distB="0" distL="0" distR="0" wp14:anchorId="763F7681" wp14:editId="7BB224C0">
                  <wp:extent cx="2862470" cy="2785104"/>
                  <wp:effectExtent l="0" t="0" r="0" b="0"/>
                  <wp:docPr id="1" name="Picture 1" descr="D:\ابحاث الترقية الجديدة\7 Carboplatin in H&amp;N\P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بحاث الترقية الجديدة\7 Carboplatin in H&amp;N\P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4595" cy="2796901"/>
                          </a:xfrm>
                          <a:prstGeom prst="rect">
                            <a:avLst/>
                          </a:prstGeom>
                          <a:noFill/>
                          <a:ln>
                            <a:noFill/>
                          </a:ln>
                        </pic:spPr>
                      </pic:pic>
                    </a:graphicData>
                  </a:graphic>
                </wp:inline>
              </w:drawing>
            </w:r>
          </w:p>
        </w:tc>
      </w:tr>
      <w:tr w:rsidR="005E78BF" w:rsidRPr="00E11FCA" w:rsidTr="003D2F76">
        <w:tc>
          <w:tcPr>
            <w:tcW w:w="4516" w:type="dxa"/>
          </w:tcPr>
          <w:p w:rsidR="005E78BF" w:rsidRPr="00E11FCA" w:rsidRDefault="005E78BF" w:rsidP="003D2F76">
            <w:pPr>
              <w:bidi w:val="0"/>
              <w:ind w:firstLine="360"/>
              <w:jc w:val="center"/>
              <w:rPr>
                <w:rFonts w:ascii="Times New Roman" w:hAnsi="Times New Roman" w:cs="Times New Roman"/>
                <w:sz w:val="24"/>
                <w:szCs w:val="24"/>
              </w:rPr>
            </w:pPr>
            <w:r w:rsidRPr="00E11FCA">
              <w:rPr>
                <w:rFonts w:ascii="Times New Roman" w:hAnsi="Times New Roman" w:cs="Times New Roman"/>
                <w:sz w:val="24"/>
                <w:szCs w:val="24"/>
              </w:rPr>
              <w:t>Figure 1: Overall survival</w:t>
            </w:r>
          </w:p>
        </w:tc>
        <w:tc>
          <w:tcPr>
            <w:tcW w:w="4610" w:type="dxa"/>
          </w:tcPr>
          <w:p w:rsidR="005E78BF" w:rsidRPr="00E11FCA" w:rsidRDefault="005E78BF" w:rsidP="003D2F76">
            <w:pPr>
              <w:bidi w:val="0"/>
              <w:ind w:firstLine="360"/>
              <w:jc w:val="center"/>
              <w:rPr>
                <w:rFonts w:ascii="Times New Roman" w:hAnsi="Times New Roman" w:cs="Times New Roman"/>
                <w:sz w:val="24"/>
                <w:szCs w:val="24"/>
                <w:rtl/>
                <w:lang w:bidi="ar-EG"/>
              </w:rPr>
            </w:pPr>
            <w:r w:rsidRPr="00E11FCA">
              <w:rPr>
                <w:rFonts w:ascii="Times New Roman" w:hAnsi="Times New Roman" w:cs="Times New Roman"/>
                <w:sz w:val="24"/>
                <w:szCs w:val="24"/>
              </w:rPr>
              <w:t>Figure 2: Progression free survival</w:t>
            </w:r>
          </w:p>
        </w:tc>
      </w:tr>
    </w:tbl>
    <w:p w:rsidR="005E78BF" w:rsidRDefault="005E78BF" w:rsidP="005E78BF">
      <w:pPr>
        <w:bidi w:val="0"/>
        <w:spacing w:after="0" w:line="240" w:lineRule="auto"/>
        <w:jc w:val="both"/>
        <w:rPr>
          <w:rFonts w:ascii="Times New Roman" w:hAnsi="Times New Roman" w:cs="Times New Roman"/>
          <w:b/>
          <w:bCs/>
          <w:sz w:val="20"/>
          <w:szCs w:val="20"/>
          <w:lang w:bidi="ar-EG"/>
        </w:rPr>
      </w:pPr>
    </w:p>
    <w:p w:rsidR="005E78BF" w:rsidRDefault="005E78BF" w:rsidP="005E78BF">
      <w:pPr>
        <w:bidi w:val="0"/>
        <w:spacing w:after="0" w:line="240" w:lineRule="auto"/>
        <w:jc w:val="both"/>
        <w:rPr>
          <w:rFonts w:ascii="Times New Roman" w:hAnsi="Times New Roman" w:cs="Times New Roman"/>
          <w:b/>
          <w:bCs/>
          <w:sz w:val="20"/>
          <w:szCs w:val="20"/>
          <w:lang w:bidi="ar-EG"/>
        </w:rPr>
        <w:sectPr w:rsidR="005E78BF" w:rsidSect="005E78BF">
          <w:type w:val="continuous"/>
          <w:pgSz w:w="11906" w:h="16838"/>
          <w:pgMar w:top="1152" w:right="1556" w:bottom="1152" w:left="1440" w:header="706" w:footer="706" w:gutter="0"/>
          <w:cols w:space="720"/>
          <w:rtlGutter/>
          <w:docGrid w:linePitch="360"/>
        </w:sectPr>
      </w:pPr>
    </w:p>
    <w:p w:rsidR="0015154D" w:rsidRPr="00031625" w:rsidRDefault="004901BB" w:rsidP="005E78BF">
      <w:pPr>
        <w:bidi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 xml:space="preserve">4. </w:t>
      </w:r>
      <w:r w:rsidR="0015154D" w:rsidRPr="00031625">
        <w:rPr>
          <w:rFonts w:ascii="Times New Roman" w:hAnsi="Times New Roman" w:cs="Times New Roman"/>
          <w:b/>
          <w:bCs/>
          <w:sz w:val="20"/>
          <w:szCs w:val="20"/>
          <w:lang w:bidi="ar-EG"/>
        </w:rPr>
        <w:t>Discussion</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Concurrent radiation therapy with high dose cisplatin represents the definitive treatment for unresectable, surgically unfit LA-SCCHN [4, 13] with 40% CR and median OS of 19.1 months. Two phase III adjuvant trials confirmed that the therapy with cisplatin enhances loco-regional control and disease-free survival (DFS) in comparison to radiation alone with mixed results on OS [13, 14]. Bernier et al. [14] established that both 5</w:t>
      </w:r>
      <w:r w:rsidRPr="00031625">
        <w:rPr>
          <w:rFonts w:ascii="Times New Roman" w:hAnsi="Times New Roman" w:cs="Times New Roman"/>
          <w:sz w:val="20"/>
          <w:szCs w:val="20"/>
          <w:rtl/>
        </w:rPr>
        <w:t>-</w:t>
      </w:r>
      <w:r w:rsidRPr="00031625">
        <w:rPr>
          <w:rFonts w:ascii="Times New Roman" w:hAnsi="Times New Roman" w:cs="Times New Roman"/>
          <w:sz w:val="20"/>
          <w:szCs w:val="20"/>
        </w:rPr>
        <w:t>year PFS (47% vs 36%) and OS (53% vs 40%; HR=0.70; 95% CI 0.52–0.95) favored contemporary CRT above RT alone.</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In addition to cisplatin, </w:t>
      </w:r>
      <w:proofErr w:type="spellStart"/>
      <w:r w:rsidRPr="00031625">
        <w:rPr>
          <w:rFonts w:ascii="Times New Roman" w:hAnsi="Times New Roman" w:cs="Times New Roman"/>
          <w:sz w:val="20"/>
          <w:szCs w:val="20"/>
        </w:rPr>
        <w:t>cetuximab</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Cmab</w:t>
      </w:r>
      <w:proofErr w:type="spellEnd"/>
      <w:r w:rsidRPr="00031625">
        <w:rPr>
          <w:rFonts w:ascii="Times New Roman" w:hAnsi="Times New Roman" w:cs="Times New Roman"/>
          <w:sz w:val="20"/>
          <w:szCs w:val="20"/>
        </w:rPr>
        <w:t xml:space="preserve">, an epidermal growth factor receptor monoclonal antibody), was used in combination with RT with significant improvement of the loco-regional control, PFS, and OS compared with radiation </w:t>
      </w:r>
      <w:r w:rsidRPr="00031625">
        <w:rPr>
          <w:rFonts w:ascii="Times New Roman" w:hAnsi="Times New Roman" w:cs="Times New Roman"/>
          <w:sz w:val="20"/>
          <w:szCs w:val="20"/>
        </w:rPr>
        <w:lastRenderedPageBreak/>
        <w:t xml:space="preserve">therapy alone. Regarding toxicity, concurrent </w:t>
      </w:r>
      <w:proofErr w:type="spellStart"/>
      <w:r w:rsidRPr="00031625">
        <w:rPr>
          <w:rFonts w:ascii="Times New Roman" w:hAnsi="Times New Roman" w:cs="Times New Roman"/>
          <w:sz w:val="20"/>
          <w:szCs w:val="20"/>
        </w:rPr>
        <w:t>Cmab</w:t>
      </w:r>
      <w:proofErr w:type="spellEnd"/>
      <w:r w:rsidRPr="00031625">
        <w:rPr>
          <w:rFonts w:ascii="Times New Roman" w:hAnsi="Times New Roman" w:cs="Times New Roman"/>
          <w:sz w:val="20"/>
          <w:szCs w:val="20"/>
        </w:rPr>
        <w:t xml:space="preserve"> and RT led to a higher grade III/IV skin toxicity versus RT alone (35.1 vs. 21.2%, </w:t>
      </w:r>
      <w:r w:rsidRPr="00031625">
        <w:rPr>
          <w:rFonts w:ascii="Times New Roman" w:hAnsi="Times New Roman" w:cs="Times New Roman"/>
          <w:i/>
          <w:iCs/>
          <w:sz w:val="20"/>
          <w:szCs w:val="20"/>
        </w:rPr>
        <w:t>p</w:t>
      </w:r>
      <w:r w:rsidRPr="00031625">
        <w:rPr>
          <w:rFonts w:ascii="Times New Roman" w:hAnsi="Times New Roman" w:cs="Times New Roman"/>
          <w:sz w:val="20"/>
          <w:szCs w:val="20"/>
        </w:rPr>
        <w:t>&lt;0.05) [</w:t>
      </w:r>
      <w:r w:rsidR="005E78BF">
        <w:rPr>
          <w:rFonts w:ascii="Times New Roman" w:hAnsi="Times New Roman" w:cs="Times New Roman"/>
          <w:sz w:val="20"/>
          <w:szCs w:val="20"/>
        </w:rPr>
        <w:t xml:space="preserve">15, </w:t>
      </w:r>
      <w:r w:rsidRPr="00031625">
        <w:rPr>
          <w:rFonts w:ascii="Times New Roman" w:hAnsi="Times New Roman" w:cs="Times New Roman"/>
          <w:sz w:val="20"/>
          <w:szCs w:val="20"/>
        </w:rPr>
        <w:t xml:space="preserve">16]. Other trial reported grade III/IV radiation dermatitis in more than 30% of patients [17, 18]. Severe skin reactions could lead to treatment interruption and dose reduction with a quality of life reduction. Currently, no recommendation supports the use of concurrent RT with </w:t>
      </w:r>
      <w:proofErr w:type="spellStart"/>
      <w:r w:rsidRPr="00031625">
        <w:rPr>
          <w:rFonts w:ascii="Times New Roman" w:hAnsi="Times New Roman" w:cs="Times New Roman"/>
          <w:sz w:val="20"/>
          <w:szCs w:val="20"/>
        </w:rPr>
        <w:t>Cmab</w:t>
      </w:r>
      <w:proofErr w:type="spellEnd"/>
      <w:r w:rsidRPr="00031625">
        <w:rPr>
          <w:rFonts w:ascii="Times New Roman" w:hAnsi="Times New Roman" w:cs="Times New Roman"/>
          <w:sz w:val="20"/>
          <w:szCs w:val="20"/>
        </w:rPr>
        <w:t xml:space="preserve"> as an alternative to RT alone in patients with cisplatin intolerance.</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lang w:bidi="ar-EG"/>
        </w:rPr>
        <w:t xml:space="preserve">The mechanism of action of both </w:t>
      </w:r>
      <w:r w:rsidRPr="00031625">
        <w:rPr>
          <w:rFonts w:ascii="Times New Roman" w:hAnsi="Times New Roman" w:cs="Times New Roman"/>
          <w:sz w:val="20"/>
          <w:szCs w:val="20"/>
        </w:rPr>
        <w:t xml:space="preserve">carboplatin and cisplatin is similar. They both induce the same platinum-DNA adducts. </w:t>
      </w:r>
      <w:proofErr w:type="spellStart"/>
      <w:r w:rsidRPr="00031625">
        <w:rPr>
          <w:rFonts w:ascii="Times New Roman" w:hAnsi="Times New Roman" w:cs="Times New Roman"/>
          <w:sz w:val="20"/>
          <w:szCs w:val="20"/>
        </w:rPr>
        <w:t>Hongo</w:t>
      </w:r>
      <w:proofErr w:type="spellEnd"/>
      <w:r w:rsidRPr="00031625">
        <w:rPr>
          <w:rFonts w:ascii="Times New Roman" w:hAnsi="Times New Roman" w:cs="Times New Roman"/>
          <w:sz w:val="20"/>
          <w:szCs w:val="20"/>
        </w:rPr>
        <w:t xml:space="preserve"> et al. [19] demonstrated that carboplatin required 7.5 </w:t>
      </w:r>
      <w:proofErr w:type="gramStart"/>
      <w:r w:rsidRPr="00031625">
        <w:rPr>
          <w:rFonts w:ascii="Times New Roman" w:hAnsi="Times New Roman" w:cs="Times New Roman"/>
          <w:sz w:val="20"/>
          <w:szCs w:val="20"/>
        </w:rPr>
        <w:t>times</w:t>
      </w:r>
      <w:proofErr w:type="gramEnd"/>
      <w:r w:rsidRPr="00031625">
        <w:rPr>
          <w:rFonts w:ascii="Times New Roman" w:hAnsi="Times New Roman" w:cs="Times New Roman"/>
          <w:sz w:val="20"/>
          <w:szCs w:val="20"/>
        </w:rPr>
        <w:t xml:space="preserve"> longer incubation time and concentration of drug 10 times higher than cisplatin to make an equal degree of conformational change on plasmid </w:t>
      </w:r>
      <w:r w:rsidRPr="00031625">
        <w:rPr>
          <w:rFonts w:ascii="Times New Roman" w:hAnsi="Times New Roman" w:cs="Times New Roman"/>
          <w:sz w:val="20"/>
          <w:szCs w:val="20"/>
        </w:rPr>
        <w:lastRenderedPageBreak/>
        <w:t xml:space="preserve">DNA. </w:t>
      </w:r>
      <w:proofErr w:type="spellStart"/>
      <w:r w:rsidRPr="00031625">
        <w:rPr>
          <w:rFonts w:ascii="Times New Roman" w:hAnsi="Times New Roman" w:cs="Times New Roman"/>
          <w:sz w:val="20"/>
          <w:szCs w:val="20"/>
        </w:rPr>
        <w:t>Myelosuppression</w:t>
      </w:r>
      <w:proofErr w:type="spellEnd"/>
      <w:r w:rsidRPr="00031625">
        <w:rPr>
          <w:rFonts w:ascii="Times New Roman" w:hAnsi="Times New Roman" w:cs="Times New Roman"/>
          <w:sz w:val="20"/>
          <w:szCs w:val="20"/>
        </w:rPr>
        <w:t xml:space="preserve"> is recognized to be higher with carboplatin than cisplatin however induces low neurotoxicity, nausea with hyperemesis, and nephrotoxicity [20].</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The antitumor effect of cisplatin is more powerful than carboplatin. It is not clear whether carboplatin has the same radio-sensitizing effect as cisplatin or not. In model, carboplatin could exchange cisplatin in some individuals who have not allowed to given cisplatin, particularly in individuals with baseline hearing impairment, inadequate renal function, and marginal performance status, or those who may have trouble accepting hydration with high fluid volume accompanied with higher doses of cisplatin such as patients with congestive heart failure or severe emphysema [21].</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Although 71% of our patients had stage IV and 38.7% had unresectable tumors, about 32% achieved CR. These results suggest that concurrent carboplatin and radiation therapy achieved very good treatment outcomes. As regards the survival outcome in our study, the follow-up period ranged from 9-44 (median 25) months with the median OS and PFS were not reached. The mean OS was 34.6 months with 74.7% 2-year OS rate. The mean PFS was 27.8 months with 54.8% 2-year PFS rate.</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In a prospective randomized clinical trial in individuals complained from locally advanced nasopharyngeal carcinoma (NPC), concurrent carboplatin (100 mg/m</w:t>
      </w:r>
      <w:r w:rsidRPr="00031625">
        <w:rPr>
          <w:rFonts w:ascii="Times New Roman" w:hAnsi="Times New Roman" w:cs="Times New Roman"/>
          <w:sz w:val="20"/>
          <w:szCs w:val="20"/>
          <w:vertAlign w:val="superscript"/>
        </w:rPr>
        <w:t>2</w:t>
      </w:r>
      <w:r w:rsidRPr="00031625">
        <w:rPr>
          <w:rFonts w:ascii="Times New Roman" w:hAnsi="Times New Roman" w:cs="Times New Roman"/>
          <w:sz w:val="20"/>
          <w:szCs w:val="20"/>
        </w:rPr>
        <w:t>) administered weekly during RT demonstrated better tolerability with comparable efficacy when compared with concurrent tri-weekly cisplatin (100 mg/m</w:t>
      </w:r>
      <w:r w:rsidRPr="00031625">
        <w:rPr>
          <w:rFonts w:ascii="Times New Roman" w:hAnsi="Times New Roman" w:cs="Times New Roman"/>
          <w:sz w:val="20"/>
          <w:szCs w:val="20"/>
          <w:vertAlign w:val="superscript"/>
        </w:rPr>
        <w:t>2</w:t>
      </w:r>
      <w:r w:rsidRPr="00031625">
        <w:rPr>
          <w:rFonts w:ascii="Times New Roman" w:hAnsi="Times New Roman" w:cs="Times New Roman"/>
          <w:sz w:val="20"/>
          <w:szCs w:val="20"/>
        </w:rPr>
        <w:t>) and RT [22]. The 3-year OS and DFS was 79% vs 78% and 61% vs 63% for the carboplatin and cisplatin regimens, respectively (</w:t>
      </w:r>
      <w:r w:rsidRPr="00031625">
        <w:rPr>
          <w:rFonts w:ascii="Times New Roman" w:hAnsi="Times New Roman" w:cs="Times New Roman"/>
          <w:i/>
          <w:iCs/>
          <w:sz w:val="20"/>
          <w:szCs w:val="20"/>
        </w:rPr>
        <w:t>p</w:t>
      </w:r>
      <w:r w:rsidRPr="00031625">
        <w:rPr>
          <w:rFonts w:ascii="Times New Roman" w:hAnsi="Times New Roman" w:cs="Times New Roman"/>
          <w:sz w:val="20"/>
          <w:szCs w:val="20"/>
        </w:rPr>
        <w:t xml:space="preserve">&gt;0.05). </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For LA-SCCHN other than NPC, a prospective randomized three-arm phase III trial [23] compared the 3-year survival rate with 70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 xml:space="preserve"> radiation therapy given alone, concurrent cisplatin (100 mg/m</w:t>
      </w:r>
      <w:r w:rsidRPr="00031625">
        <w:rPr>
          <w:rFonts w:ascii="Times New Roman" w:hAnsi="Times New Roman" w:cs="Times New Roman"/>
          <w:sz w:val="20"/>
          <w:szCs w:val="20"/>
          <w:vertAlign w:val="superscript"/>
        </w:rPr>
        <w:t>2</w:t>
      </w:r>
      <w:r w:rsidRPr="00031625">
        <w:rPr>
          <w:rFonts w:ascii="Times New Roman" w:hAnsi="Times New Roman" w:cs="Times New Roman"/>
          <w:sz w:val="20"/>
          <w:szCs w:val="20"/>
        </w:rPr>
        <w:t xml:space="preserve"> tri-weekly) plus RT, and concurrent carboplatin (AUC, 7 tri-weekly) plus RT. This trial reported that platinum-based containing therapy prolonged the 3-year survival significantly when matched with radiation therapy alone. Survival rate was 42% for carboplatin, 52% for cisplatin, and 17.5% for RT alone.</w:t>
      </w:r>
    </w:p>
    <w:p w:rsidR="00EB2FAF" w:rsidRPr="00031625" w:rsidRDefault="0015154D" w:rsidP="00DE519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There is no precise agreement f</w:t>
      </w:r>
      <w:r w:rsidR="007C5A8B">
        <w:rPr>
          <w:rFonts w:ascii="Times New Roman" w:hAnsi="Times New Roman" w:cs="Times New Roman"/>
          <w:sz w:val="20"/>
          <w:szCs w:val="20"/>
        </w:rPr>
        <w:t>or</w:t>
      </w:r>
      <w:r w:rsidRPr="00031625">
        <w:rPr>
          <w:rFonts w:ascii="Times New Roman" w:hAnsi="Times New Roman" w:cs="Times New Roman"/>
          <w:sz w:val="20"/>
          <w:szCs w:val="20"/>
        </w:rPr>
        <w:t xml:space="preserve"> </w:t>
      </w:r>
      <w:r w:rsidR="007C5A8B">
        <w:rPr>
          <w:rFonts w:ascii="Times New Roman" w:hAnsi="Times New Roman" w:cs="Times New Roman"/>
          <w:sz w:val="20"/>
          <w:szCs w:val="20"/>
        </w:rPr>
        <w:t xml:space="preserve">being unfit for </w:t>
      </w:r>
      <w:r w:rsidRPr="00031625">
        <w:rPr>
          <w:rFonts w:ascii="Times New Roman" w:hAnsi="Times New Roman" w:cs="Times New Roman"/>
          <w:sz w:val="20"/>
          <w:szCs w:val="20"/>
        </w:rPr>
        <w:t xml:space="preserve">the cisplatin use. Therefore, in our study, we considered the patient ineligible for high dose cisplatin based on the known toxicity of cisplatin and on the exclusion or inclusion conditions used in the clinical trials using cisplatin for head and neck cancer. So, </w:t>
      </w:r>
      <w:r w:rsidR="007C5A8B" w:rsidRPr="00031625">
        <w:rPr>
          <w:rFonts w:ascii="Times New Roman" w:hAnsi="Times New Roman" w:cs="Times New Roman"/>
          <w:sz w:val="20"/>
          <w:szCs w:val="20"/>
        </w:rPr>
        <w:t>we enumerate</w:t>
      </w:r>
      <w:r w:rsidR="00DE519D">
        <w:rPr>
          <w:rFonts w:ascii="Times New Roman" w:hAnsi="Times New Roman" w:cs="Times New Roman"/>
          <w:sz w:val="20"/>
          <w:szCs w:val="20"/>
        </w:rPr>
        <w:t>d</w:t>
      </w:r>
      <w:r w:rsidRPr="00031625">
        <w:rPr>
          <w:rFonts w:ascii="Times New Roman" w:hAnsi="Times New Roman" w:cs="Times New Roman"/>
          <w:sz w:val="20"/>
          <w:szCs w:val="20"/>
        </w:rPr>
        <w:t xml:space="preserve"> five factors in the materials and methods section. Carboplatin has less nephrotoxicity, neurotoxicity, nausea and vomiting, no requirement for much hydration, compared with cisplatin. So, we think</w:t>
      </w:r>
      <w:r w:rsidR="00DE519D">
        <w:rPr>
          <w:rFonts w:ascii="Times New Roman" w:hAnsi="Times New Roman" w:cs="Times New Roman"/>
          <w:sz w:val="20"/>
          <w:szCs w:val="20"/>
        </w:rPr>
        <w:t xml:space="preserve"> that</w:t>
      </w:r>
      <w:r w:rsidRPr="00031625">
        <w:rPr>
          <w:rFonts w:ascii="Times New Roman" w:hAnsi="Times New Roman" w:cs="Times New Roman"/>
          <w:sz w:val="20"/>
          <w:szCs w:val="20"/>
        </w:rPr>
        <w:t xml:space="preserve"> carboplatin is safer than cisplatin for those who encounter our criteria.</w:t>
      </w:r>
    </w:p>
    <w:p w:rsidR="0015154D" w:rsidRPr="00031625" w:rsidRDefault="0015154D" w:rsidP="00573681">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lastRenderedPageBreak/>
        <w:t xml:space="preserve">Although all of our patients were considered </w:t>
      </w:r>
      <w:r w:rsidR="00573681">
        <w:rPr>
          <w:rFonts w:ascii="Times New Roman" w:hAnsi="Times New Roman" w:cs="Times New Roman"/>
          <w:sz w:val="20"/>
          <w:szCs w:val="20"/>
        </w:rPr>
        <w:t>unfit</w:t>
      </w:r>
      <w:r w:rsidRPr="00031625">
        <w:rPr>
          <w:rFonts w:ascii="Times New Roman" w:hAnsi="Times New Roman" w:cs="Times New Roman"/>
          <w:sz w:val="20"/>
          <w:szCs w:val="20"/>
        </w:rPr>
        <w:t xml:space="preserve"> for cisplatin therapy, </w:t>
      </w:r>
      <w:r w:rsidR="00573681" w:rsidRPr="00031625">
        <w:rPr>
          <w:rFonts w:ascii="Times New Roman" w:hAnsi="Times New Roman" w:cs="Times New Roman"/>
          <w:sz w:val="20"/>
          <w:szCs w:val="20"/>
        </w:rPr>
        <w:t>principally</w:t>
      </w:r>
      <w:r w:rsidRPr="00031625">
        <w:rPr>
          <w:rFonts w:ascii="Times New Roman" w:hAnsi="Times New Roman" w:cs="Times New Roman"/>
          <w:sz w:val="20"/>
          <w:szCs w:val="20"/>
        </w:rPr>
        <w:t xml:space="preserve"> due to old age or poor performance status, they received an optimal dose of radiation therapy, defined as more than 60 </w:t>
      </w:r>
      <w:proofErr w:type="spellStart"/>
      <w:r w:rsidRPr="00031625">
        <w:rPr>
          <w:rFonts w:ascii="Times New Roman" w:hAnsi="Times New Roman" w:cs="Times New Roman"/>
          <w:sz w:val="20"/>
          <w:szCs w:val="20"/>
        </w:rPr>
        <w:t>Gy</w:t>
      </w:r>
      <w:proofErr w:type="spellEnd"/>
      <w:r w:rsidRPr="00031625">
        <w:rPr>
          <w:rFonts w:ascii="Times New Roman" w:hAnsi="Times New Roman" w:cs="Times New Roman"/>
          <w:sz w:val="20"/>
          <w:szCs w:val="20"/>
        </w:rPr>
        <w:t>.</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Regarding the toxicity of carboplatin; in a study by Jodrell et al. [24], there was a significant correlation among administered AUC dose of carboplatin and the probability of development of leukopenia and thrombocytopenia. Hence, we can avoid the </w:t>
      </w: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induced by high doses of carboplatin that can cause infection. Low dose weekly carboplatin plus RT may be less </w:t>
      </w:r>
      <w:proofErr w:type="spellStart"/>
      <w:r w:rsidRPr="00031625">
        <w:rPr>
          <w:rFonts w:ascii="Times New Roman" w:hAnsi="Times New Roman" w:cs="Times New Roman"/>
          <w:sz w:val="20"/>
          <w:szCs w:val="20"/>
        </w:rPr>
        <w:t>myelotoxic</w:t>
      </w:r>
      <w:proofErr w:type="spellEnd"/>
      <w:r w:rsidRPr="00031625">
        <w:rPr>
          <w:rFonts w:ascii="Times New Roman" w:hAnsi="Times New Roman" w:cs="Times New Roman"/>
          <w:sz w:val="20"/>
          <w:szCs w:val="20"/>
        </w:rPr>
        <w:t xml:space="preserve">. </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There was no grade III/IV </w:t>
      </w:r>
      <w:proofErr w:type="spellStart"/>
      <w:r w:rsidRPr="00031625">
        <w:rPr>
          <w:rFonts w:ascii="Times New Roman" w:hAnsi="Times New Roman" w:cs="Times New Roman"/>
          <w:sz w:val="20"/>
          <w:szCs w:val="20"/>
        </w:rPr>
        <w:t>neurotoxicities</w:t>
      </w:r>
      <w:proofErr w:type="spellEnd"/>
      <w:r w:rsidRPr="00031625">
        <w:rPr>
          <w:rFonts w:ascii="Times New Roman" w:hAnsi="Times New Roman" w:cs="Times New Roman"/>
          <w:sz w:val="20"/>
          <w:szCs w:val="20"/>
        </w:rPr>
        <w:t xml:space="preserve">, nephrotoxicity. However, termination or dose reduction of carboplatin was obligatory owing to </w:t>
      </w: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in the patients of the current work as three patients had an infection and febrile neutropenia.</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Tri-weekly carboplatin plus RT was not compared in clinical trials with weekly carboplatin plus RT. In the aforementioned randomized trial for locally advanced NPC, weekly carboplatin plus RT was as effective as RT plus tri-weekly cisplatin that caused grade III or IV leukopenia and thrombocytopenia in 10% and 8% of patients respectively [22]. For non-nasopharyngeal LA-HNSCC, Tri-weekly carboplatin plus RT caused grade III or IV leukopenia and thrombocytopenia in 18% and 27% of patients respectively [23]. These results suggest that the </w:t>
      </w: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of weekly carboplatin plus RT is lesser than that produced by tri-weekly carboplatin plus RT and may be considered as an alternative therapy in LA-SCCHN.</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 xml:space="preserve">In the present work, high percentage of cases (71%) received tri-weekly carboplatin plus RT. However, tri-weekly carboplatin caused more </w:t>
      </w: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which subsequently leads to infection and neutropenic fever that can be explained by the older age of our patients. Therefore, weekly carboplatin plus radiation therapy is more favored in our hospital due to its mild </w:t>
      </w:r>
      <w:proofErr w:type="spellStart"/>
      <w:r w:rsidRPr="00031625">
        <w:rPr>
          <w:rFonts w:ascii="Times New Roman" w:hAnsi="Times New Roman" w:cs="Times New Roman"/>
          <w:sz w:val="20"/>
          <w:szCs w:val="20"/>
        </w:rPr>
        <w:t>myelotoxicity</w:t>
      </w:r>
      <w:proofErr w:type="spellEnd"/>
      <w:r w:rsidRPr="00031625">
        <w:rPr>
          <w:rFonts w:ascii="Times New Roman" w:hAnsi="Times New Roman" w:cs="Times New Roman"/>
          <w:sz w:val="20"/>
          <w:szCs w:val="20"/>
        </w:rPr>
        <w:t xml:space="preserve">. </w:t>
      </w:r>
    </w:p>
    <w:p w:rsidR="0015154D" w:rsidRPr="00031625" w:rsidRDefault="0015154D" w:rsidP="0015154D">
      <w:pPr>
        <w:bidi w:val="0"/>
        <w:spacing w:after="0" w:line="240" w:lineRule="auto"/>
        <w:ind w:firstLine="360"/>
        <w:jc w:val="both"/>
        <w:rPr>
          <w:rFonts w:ascii="Times New Roman" w:hAnsi="Times New Roman" w:cs="Times New Roman"/>
          <w:sz w:val="20"/>
          <w:szCs w:val="20"/>
        </w:rPr>
      </w:pPr>
      <w:r w:rsidRPr="00031625">
        <w:rPr>
          <w:rFonts w:ascii="Times New Roman" w:hAnsi="Times New Roman" w:cs="Times New Roman"/>
          <w:sz w:val="20"/>
          <w:szCs w:val="20"/>
        </w:rPr>
        <w:t>In conclusion, concurrent radiation therapy plus carboplatin is feasible and is a treatment option for LA-SCCHN patients who are ineligible for cisplatin treatment. Small number of patients and performance at a single oncology center were restrictions of the present study. So, our results should be confirmed with more prospective multi-institutional studies with a large number of patients.</w:t>
      </w:r>
    </w:p>
    <w:p w:rsidR="00CF3F59" w:rsidRDefault="00CF3F59" w:rsidP="00CF3F59">
      <w:pPr>
        <w:autoSpaceDE w:val="0"/>
        <w:autoSpaceDN w:val="0"/>
        <w:bidi w:val="0"/>
        <w:adjustRightInd w:val="0"/>
        <w:spacing w:after="0" w:line="240" w:lineRule="auto"/>
        <w:ind w:firstLine="360"/>
        <w:jc w:val="both"/>
        <w:rPr>
          <w:rFonts w:ascii="Times New Roman" w:hAnsi="Times New Roman" w:cs="Times New Roman"/>
          <w:sz w:val="20"/>
          <w:szCs w:val="20"/>
        </w:rPr>
      </w:pPr>
    </w:p>
    <w:p w:rsidR="00031625" w:rsidRPr="00031625" w:rsidRDefault="00031625" w:rsidP="00031625">
      <w:pPr>
        <w:bidi w:val="0"/>
        <w:spacing w:after="0" w:line="240" w:lineRule="auto"/>
        <w:jc w:val="lowKashida"/>
        <w:rPr>
          <w:rStyle w:val="apple-style-span"/>
          <w:rFonts w:ascii="Times New Roman" w:hAnsi="Times New Roman" w:cs="Times New Roman"/>
          <w:sz w:val="20"/>
          <w:szCs w:val="20"/>
        </w:rPr>
      </w:pPr>
      <w:r w:rsidRPr="00031625">
        <w:rPr>
          <w:rStyle w:val="apple-style-span"/>
          <w:rFonts w:ascii="Times New Roman" w:hAnsi="Times New Roman" w:cs="Times New Roman"/>
          <w:b/>
          <w:bCs/>
          <w:sz w:val="20"/>
          <w:szCs w:val="20"/>
        </w:rPr>
        <w:t>Conflict of Interest</w:t>
      </w:r>
    </w:p>
    <w:p w:rsidR="00031625" w:rsidRPr="00031625" w:rsidRDefault="00031625" w:rsidP="00031625">
      <w:pPr>
        <w:bidi w:val="0"/>
        <w:spacing w:after="0" w:line="240" w:lineRule="auto"/>
        <w:jc w:val="both"/>
        <w:rPr>
          <w:rFonts w:ascii="Times New Roman" w:hAnsi="Times New Roman" w:cs="Times New Roman"/>
          <w:sz w:val="20"/>
          <w:szCs w:val="20"/>
        </w:rPr>
      </w:pPr>
      <w:r w:rsidRPr="00031625">
        <w:rPr>
          <w:rFonts w:ascii="Times New Roman" w:hAnsi="Times New Roman" w:cs="Times New Roman"/>
          <w:sz w:val="20"/>
          <w:szCs w:val="20"/>
        </w:rPr>
        <w:t xml:space="preserve">The authors declare no conflict of interest </w:t>
      </w:r>
    </w:p>
    <w:p w:rsidR="00734403" w:rsidRPr="00031625" w:rsidRDefault="00734403" w:rsidP="00F32656">
      <w:pPr>
        <w:bidi w:val="0"/>
        <w:spacing w:after="0" w:line="240" w:lineRule="auto"/>
        <w:rPr>
          <w:rFonts w:ascii="Times New Roman" w:hAnsi="Times New Roman" w:cs="Times New Roman"/>
          <w:b/>
          <w:bCs/>
          <w:sz w:val="20"/>
          <w:szCs w:val="20"/>
        </w:rPr>
      </w:pPr>
    </w:p>
    <w:p w:rsidR="004901BB" w:rsidRDefault="004901BB" w:rsidP="00031625">
      <w:pPr>
        <w:bidi w:val="0"/>
        <w:spacing w:after="0" w:line="240" w:lineRule="auto"/>
        <w:ind w:left="360" w:hanging="360"/>
        <w:jc w:val="both"/>
        <w:rPr>
          <w:rFonts w:ascii="Times New Roman" w:hAnsi="Times New Roman" w:cs="Times New Roman"/>
          <w:b/>
          <w:bCs/>
          <w:sz w:val="20"/>
          <w:szCs w:val="20"/>
        </w:rPr>
      </w:pPr>
    </w:p>
    <w:p w:rsidR="004901BB" w:rsidRDefault="004901BB" w:rsidP="004901BB">
      <w:pPr>
        <w:bidi w:val="0"/>
        <w:spacing w:after="0" w:line="240" w:lineRule="auto"/>
        <w:ind w:left="360" w:hanging="360"/>
        <w:jc w:val="both"/>
        <w:rPr>
          <w:rFonts w:ascii="Times New Roman" w:hAnsi="Times New Roman" w:cs="Times New Roman"/>
          <w:b/>
          <w:bCs/>
          <w:sz w:val="20"/>
          <w:szCs w:val="20"/>
        </w:rPr>
      </w:pPr>
    </w:p>
    <w:p w:rsidR="004901BB" w:rsidRDefault="004901BB" w:rsidP="004901BB">
      <w:pPr>
        <w:bidi w:val="0"/>
        <w:spacing w:after="0" w:line="240" w:lineRule="auto"/>
        <w:ind w:left="360" w:hanging="360"/>
        <w:jc w:val="both"/>
        <w:rPr>
          <w:rFonts w:ascii="Times New Roman" w:hAnsi="Times New Roman" w:cs="Times New Roman"/>
          <w:b/>
          <w:bCs/>
          <w:sz w:val="20"/>
          <w:szCs w:val="20"/>
        </w:rPr>
      </w:pPr>
    </w:p>
    <w:p w:rsidR="00A3728A" w:rsidRPr="00031625" w:rsidRDefault="00A3728A" w:rsidP="004901BB">
      <w:pPr>
        <w:bidi w:val="0"/>
        <w:spacing w:after="0" w:line="240" w:lineRule="auto"/>
        <w:ind w:left="360" w:hanging="360"/>
        <w:jc w:val="both"/>
        <w:rPr>
          <w:rFonts w:ascii="Times New Roman" w:hAnsi="Times New Roman" w:cs="Times New Roman"/>
          <w:b/>
          <w:bCs/>
          <w:sz w:val="20"/>
          <w:szCs w:val="20"/>
        </w:rPr>
      </w:pPr>
      <w:r w:rsidRPr="00031625">
        <w:rPr>
          <w:rFonts w:ascii="Times New Roman" w:hAnsi="Times New Roman" w:cs="Times New Roman"/>
          <w:b/>
          <w:bCs/>
          <w:sz w:val="20"/>
          <w:szCs w:val="20"/>
        </w:rPr>
        <w:lastRenderedPageBreak/>
        <w:t>References</w:t>
      </w:r>
    </w:p>
    <w:p w:rsidR="00A3728A" w:rsidRPr="00031625" w:rsidRDefault="00A3728A" w:rsidP="00A3728A">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 xml:space="preserve">1. </w:t>
      </w:r>
      <w:proofErr w:type="spellStart"/>
      <w:r w:rsidRPr="00031625">
        <w:rPr>
          <w:b w:val="0"/>
          <w:bCs w:val="0"/>
          <w:sz w:val="20"/>
          <w:szCs w:val="20"/>
        </w:rPr>
        <w:t>Jemal</w:t>
      </w:r>
      <w:proofErr w:type="spellEnd"/>
      <w:r w:rsidRPr="00031625">
        <w:rPr>
          <w:b w:val="0"/>
          <w:bCs w:val="0"/>
          <w:sz w:val="20"/>
          <w:szCs w:val="20"/>
        </w:rPr>
        <w:t xml:space="preserve"> A, Bray F, Center MM, </w:t>
      </w:r>
      <w:proofErr w:type="spellStart"/>
      <w:r w:rsidRPr="00031625">
        <w:rPr>
          <w:b w:val="0"/>
          <w:bCs w:val="0"/>
          <w:sz w:val="20"/>
          <w:szCs w:val="20"/>
        </w:rPr>
        <w:t>Ferlay</w:t>
      </w:r>
      <w:proofErr w:type="spellEnd"/>
      <w:r w:rsidRPr="00031625">
        <w:rPr>
          <w:b w:val="0"/>
          <w:bCs w:val="0"/>
          <w:sz w:val="20"/>
          <w:szCs w:val="20"/>
        </w:rPr>
        <w:t xml:space="preserve"> J, Ward E, Forman D. Global cancer statistics. </w:t>
      </w:r>
      <w:proofErr w:type="gramStart"/>
      <w:r w:rsidRPr="00031625">
        <w:rPr>
          <w:b w:val="0"/>
          <w:bCs w:val="0"/>
          <w:sz w:val="20"/>
          <w:szCs w:val="20"/>
        </w:rPr>
        <w:t xml:space="preserve">CA Cancer J </w:t>
      </w:r>
      <w:proofErr w:type="spellStart"/>
      <w:r w:rsidRPr="00031625">
        <w:rPr>
          <w:b w:val="0"/>
          <w:bCs w:val="0"/>
          <w:sz w:val="20"/>
          <w:szCs w:val="20"/>
        </w:rPr>
        <w:t>Clin</w:t>
      </w:r>
      <w:proofErr w:type="spellEnd"/>
      <w:r w:rsidRPr="00031625">
        <w:rPr>
          <w:b w:val="0"/>
          <w:bCs w:val="0"/>
          <w:sz w:val="20"/>
          <w:szCs w:val="20"/>
        </w:rPr>
        <w:t>.</w:t>
      </w:r>
      <w:proofErr w:type="gramEnd"/>
      <w:r w:rsidRPr="00031625">
        <w:rPr>
          <w:b w:val="0"/>
          <w:bCs w:val="0"/>
          <w:sz w:val="20"/>
          <w:szCs w:val="20"/>
        </w:rPr>
        <w:t> 2011</w:t>
      </w:r>
      <w:proofErr w:type="gramStart"/>
      <w:r w:rsidRPr="00031625">
        <w:rPr>
          <w:b w:val="0"/>
          <w:bCs w:val="0"/>
          <w:sz w:val="20"/>
          <w:szCs w:val="20"/>
        </w:rPr>
        <w:t>;61</w:t>
      </w:r>
      <w:proofErr w:type="gramEnd"/>
      <w:r w:rsidRPr="00031625">
        <w:rPr>
          <w:b w:val="0"/>
          <w:bCs w:val="0"/>
          <w:sz w:val="20"/>
          <w:szCs w:val="20"/>
        </w:rPr>
        <w:t>(2):69-90.</w:t>
      </w:r>
    </w:p>
    <w:p w:rsidR="00A3728A" w:rsidRPr="00031625" w:rsidRDefault="00A3728A" w:rsidP="00A3728A">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2. Siegel RL, Miller KD, </w:t>
      </w:r>
      <w:proofErr w:type="spellStart"/>
      <w:r w:rsidRPr="00031625">
        <w:rPr>
          <w:b w:val="0"/>
          <w:bCs w:val="0"/>
          <w:sz w:val="20"/>
          <w:szCs w:val="20"/>
        </w:rPr>
        <w:t>Jemal</w:t>
      </w:r>
      <w:proofErr w:type="spellEnd"/>
      <w:r w:rsidRPr="00031625">
        <w:rPr>
          <w:b w:val="0"/>
          <w:bCs w:val="0"/>
          <w:sz w:val="20"/>
          <w:szCs w:val="20"/>
        </w:rPr>
        <w:t xml:space="preserve"> A. Cancer Statistics, </w:t>
      </w:r>
      <w:r w:rsidRPr="00031625">
        <w:rPr>
          <w:rStyle w:val="highlight"/>
          <w:b w:val="0"/>
          <w:bCs w:val="0"/>
          <w:sz w:val="20"/>
          <w:szCs w:val="20"/>
        </w:rPr>
        <w:t>2017</w:t>
      </w:r>
      <w:r w:rsidRPr="00031625">
        <w:rPr>
          <w:b w:val="0"/>
          <w:bCs w:val="0"/>
          <w:sz w:val="20"/>
          <w:szCs w:val="20"/>
        </w:rPr>
        <w:t>.</w:t>
      </w:r>
      <w:r w:rsidRPr="00031625">
        <w:rPr>
          <w:rStyle w:val="highlight"/>
          <w:b w:val="0"/>
          <w:bCs w:val="0"/>
          <w:sz w:val="20"/>
          <w:szCs w:val="20"/>
        </w:rPr>
        <w:t xml:space="preserve"> </w:t>
      </w:r>
      <w:proofErr w:type="gramStart"/>
      <w:r w:rsidRPr="00031625">
        <w:rPr>
          <w:rStyle w:val="highlight"/>
          <w:b w:val="0"/>
          <w:bCs w:val="0"/>
          <w:sz w:val="20"/>
          <w:szCs w:val="20"/>
        </w:rPr>
        <w:t xml:space="preserve">CA Cancer J </w:t>
      </w:r>
      <w:proofErr w:type="spellStart"/>
      <w:r w:rsidRPr="00031625">
        <w:rPr>
          <w:rStyle w:val="highlight"/>
          <w:b w:val="0"/>
          <w:bCs w:val="0"/>
          <w:sz w:val="20"/>
          <w:szCs w:val="20"/>
        </w:rPr>
        <w:t>Clin</w:t>
      </w:r>
      <w:proofErr w:type="spellEnd"/>
      <w:r w:rsidRPr="00031625">
        <w:rPr>
          <w:b w:val="0"/>
          <w:bCs w:val="0"/>
          <w:sz w:val="20"/>
          <w:szCs w:val="20"/>
        </w:rPr>
        <w:t>.</w:t>
      </w:r>
      <w:proofErr w:type="gramEnd"/>
      <w:r w:rsidRPr="00031625">
        <w:rPr>
          <w:b w:val="0"/>
          <w:bCs w:val="0"/>
          <w:sz w:val="20"/>
          <w:szCs w:val="20"/>
        </w:rPr>
        <w:t> </w:t>
      </w:r>
      <w:r w:rsidRPr="00031625">
        <w:rPr>
          <w:rStyle w:val="highlight"/>
          <w:b w:val="0"/>
          <w:bCs w:val="0"/>
          <w:sz w:val="20"/>
          <w:szCs w:val="20"/>
        </w:rPr>
        <w:t>2017</w:t>
      </w:r>
      <w:proofErr w:type="gramStart"/>
      <w:r w:rsidRPr="00031625">
        <w:rPr>
          <w:b w:val="0"/>
          <w:bCs w:val="0"/>
          <w:sz w:val="20"/>
          <w:szCs w:val="20"/>
        </w:rPr>
        <w:t>;</w:t>
      </w:r>
      <w:r w:rsidRPr="00031625">
        <w:rPr>
          <w:rStyle w:val="highlight"/>
          <w:b w:val="0"/>
          <w:bCs w:val="0"/>
          <w:sz w:val="20"/>
          <w:szCs w:val="20"/>
        </w:rPr>
        <w:t>67</w:t>
      </w:r>
      <w:proofErr w:type="gramEnd"/>
      <w:r w:rsidRPr="00031625">
        <w:rPr>
          <w:b w:val="0"/>
          <w:bCs w:val="0"/>
          <w:sz w:val="20"/>
          <w:szCs w:val="20"/>
        </w:rPr>
        <w:t>(1):</w:t>
      </w:r>
      <w:r w:rsidRPr="00031625">
        <w:rPr>
          <w:rStyle w:val="highlight"/>
          <w:b w:val="0"/>
          <w:bCs w:val="0"/>
          <w:sz w:val="20"/>
          <w:szCs w:val="20"/>
        </w:rPr>
        <w:t>7-30</w:t>
      </w:r>
      <w:r w:rsidRPr="00031625">
        <w:rPr>
          <w:b w:val="0"/>
          <w:bCs w:val="0"/>
          <w:sz w:val="20"/>
          <w:szCs w:val="20"/>
        </w:rPr>
        <w:t>.</w:t>
      </w:r>
    </w:p>
    <w:p w:rsidR="00A3728A" w:rsidRPr="00031625" w:rsidRDefault="00A3728A" w:rsidP="00F83567">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 xml:space="preserve">3. </w:t>
      </w:r>
      <w:proofErr w:type="spellStart"/>
      <w:r w:rsidRPr="00031625">
        <w:rPr>
          <w:b w:val="0"/>
          <w:bCs w:val="0"/>
          <w:sz w:val="20"/>
          <w:szCs w:val="20"/>
        </w:rPr>
        <w:t>Nagasaka</w:t>
      </w:r>
      <w:proofErr w:type="spellEnd"/>
      <w:r w:rsidRPr="00031625">
        <w:rPr>
          <w:b w:val="0"/>
          <w:bCs w:val="0"/>
          <w:sz w:val="20"/>
          <w:szCs w:val="20"/>
        </w:rPr>
        <w:t xml:space="preserve"> M, </w:t>
      </w:r>
      <w:proofErr w:type="spellStart"/>
      <w:r w:rsidRPr="00031625">
        <w:rPr>
          <w:b w:val="0"/>
          <w:bCs w:val="0"/>
          <w:sz w:val="20"/>
          <w:szCs w:val="20"/>
        </w:rPr>
        <w:t>Zaki</w:t>
      </w:r>
      <w:proofErr w:type="spellEnd"/>
      <w:r w:rsidRPr="00031625">
        <w:rPr>
          <w:b w:val="0"/>
          <w:bCs w:val="0"/>
          <w:sz w:val="20"/>
          <w:szCs w:val="20"/>
        </w:rPr>
        <w:t xml:space="preserve"> M, </w:t>
      </w:r>
      <w:proofErr w:type="spellStart"/>
      <w:r w:rsidRPr="00031625">
        <w:rPr>
          <w:b w:val="0"/>
          <w:bCs w:val="0"/>
          <w:sz w:val="20"/>
          <w:szCs w:val="20"/>
        </w:rPr>
        <w:t>Issa</w:t>
      </w:r>
      <w:proofErr w:type="spellEnd"/>
      <w:r w:rsidRPr="00031625">
        <w:rPr>
          <w:b w:val="0"/>
          <w:bCs w:val="0"/>
          <w:sz w:val="20"/>
          <w:szCs w:val="20"/>
        </w:rPr>
        <w:t xml:space="preserve"> M, Kim H, Abrams J, </w:t>
      </w:r>
      <w:proofErr w:type="spellStart"/>
      <w:r w:rsidRPr="00031625">
        <w:rPr>
          <w:b w:val="0"/>
          <w:bCs w:val="0"/>
          <w:sz w:val="20"/>
          <w:szCs w:val="20"/>
        </w:rPr>
        <w:t>Sukari</w:t>
      </w:r>
      <w:proofErr w:type="spellEnd"/>
      <w:r w:rsidRPr="00031625">
        <w:rPr>
          <w:b w:val="0"/>
          <w:bCs w:val="0"/>
          <w:sz w:val="20"/>
          <w:szCs w:val="20"/>
        </w:rPr>
        <w:t xml:space="preserve"> A. Definitive chemoradiotherapy with carboplatin for squamous cell carcinoma of the head and neck. </w:t>
      </w:r>
      <w:hyperlink r:id="rId15" w:tooltip="The Laryngoscope." w:history="1">
        <w:proofErr w:type="gramStart"/>
        <w:r w:rsidRPr="00031625">
          <w:rPr>
            <w:rStyle w:val="highlight"/>
            <w:b w:val="0"/>
            <w:bCs w:val="0"/>
            <w:sz w:val="20"/>
            <w:szCs w:val="20"/>
            <w:u w:val="single"/>
          </w:rPr>
          <w:t>Laryngoscope</w:t>
        </w:r>
        <w:r w:rsidRPr="00031625">
          <w:rPr>
            <w:rStyle w:val="Hyperlink"/>
            <w:b w:val="0"/>
            <w:bCs w:val="0"/>
            <w:color w:val="auto"/>
            <w:sz w:val="20"/>
            <w:szCs w:val="20"/>
          </w:rPr>
          <w:t>.</w:t>
        </w:r>
        <w:proofErr w:type="gramEnd"/>
      </w:hyperlink>
      <w:r w:rsidRPr="00031625">
        <w:rPr>
          <w:b w:val="0"/>
          <w:bCs w:val="0"/>
          <w:sz w:val="20"/>
          <w:szCs w:val="20"/>
        </w:rPr>
        <w:t> </w:t>
      </w:r>
      <w:r w:rsidRPr="00031625">
        <w:rPr>
          <w:rStyle w:val="highlight"/>
          <w:b w:val="0"/>
          <w:bCs w:val="0"/>
          <w:sz w:val="20"/>
          <w:szCs w:val="20"/>
        </w:rPr>
        <w:t>2017</w:t>
      </w:r>
      <w:proofErr w:type="gramStart"/>
      <w:r w:rsidRPr="00031625">
        <w:rPr>
          <w:b w:val="0"/>
          <w:bCs w:val="0"/>
          <w:sz w:val="20"/>
          <w:szCs w:val="20"/>
        </w:rPr>
        <w:t>;</w:t>
      </w:r>
      <w:r w:rsidRPr="00031625">
        <w:rPr>
          <w:rStyle w:val="highlight"/>
          <w:b w:val="0"/>
          <w:bCs w:val="0"/>
          <w:sz w:val="20"/>
          <w:szCs w:val="20"/>
        </w:rPr>
        <w:t>127</w:t>
      </w:r>
      <w:proofErr w:type="gramEnd"/>
      <w:r w:rsidRPr="00031625">
        <w:rPr>
          <w:b w:val="0"/>
          <w:bCs w:val="0"/>
          <w:sz w:val="20"/>
          <w:szCs w:val="20"/>
        </w:rPr>
        <w:t>(</w:t>
      </w:r>
      <w:r w:rsidRPr="00031625">
        <w:rPr>
          <w:rStyle w:val="highlight"/>
          <w:b w:val="0"/>
          <w:bCs w:val="0"/>
          <w:sz w:val="20"/>
          <w:szCs w:val="20"/>
        </w:rPr>
        <w:t>10</w:t>
      </w:r>
      <w:r w:rsidRPr="00031625">
        <w:rPr>
          <w:b w:val="0"/>
          <w:bCs w:val="0"/>
          <w:sz w:val="20"/>
          <w:szCs w:val="20"/>
        </w:rPr>
        <w:t>):</w:t>
      </w:r>
      <w:r w:rsidRPr="00031625">
        <w:rPr>
          <w:rStyle w:val="highlight"/>
          <w:b w:val="0"/>
          <w:bCs w:val="0"/>
          <w:sz w:val="20"/>
          <w:szCs w:val="20"/>
        </w:rPr>
        <w:t>2260-4</w:t>
      </w:r>
      <w:r w:rsidRPr="00031625">
        <w:rPr>
          <w:b w:val="0"/>
          <w:bCs w:val="0"/>
          <w:sz w:val="20"/>
          <w:szCs w:val="20"/>
        </w:rPr>
        <w:t>.</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4. </w:t>
      </w:r>
      <w:proofErr w:type="spellStart"/>
      <w:r w:rsidRPr="00031625">
        <w:rPr>
          <w:rFonts w:ascii="Times New Roman" w:hAnsi="Times New Roman" w:cs="Times New Roman"/>
          <w:sz w:val="20"/>
          <w:szCs w:val="20"/>
        </w:rPr>
        <w:t>Adelstein</w:t>
      </w:r>
      <w:proofErr w:type="spellEnd"/>
      <w:r w:rsidRPr="00031625">
        <w:rPr>
          <w:rFonts w:ascii="Times New Roman" w:hAnsi="Times New Roman" w:cs="Times New Roman"/>
          <w:sz w:val="20"/>
          <w:szCs w:val="20"/>
        </w:rPr>
        <w:t xml:space="preserve"> DJ, Li Y, Adams GL, Wagner H Jr, Kish JA, Ensley JF, et al. </w:t>
      </w:r>
      <w:proofErr w:type="gramStart"/>
      <w:r w:rsidRPr="00031625">
        <w:rPr>
          <w:rFonts w:ascii="Times New Roman" w:hAnsi="Times New Roman" w:cs="Times New Roman"/>
          <w:sz w:val="20"/>
          <w:szCs w:val="20"/>
        </w:rPr>
        <w:t>An intergroup phase III comparison of standard radiation therapy and two schedules of concurrent chemoradiotherapy in patients with unresectable squamous cell head and neck cancer.</w:t>
      </w:r>
      <w:proofErr w:type="gramEnd"/>
      <w:r w:rsidRPr="00031625">
        <w:rPr>
          <w:rFonts w:ascii="Times New Roman" w:hAnsi="Times New Roman" w:cs="Times New Roman"/>
          <w:sz w:val="20"/>
          <w:szCs w:val="20"/>
        </w:rPr>
        <w:t xml:space="preserve"> </w:t>
      </w:r>
      <w:hyperlink r:id="rId16" w:tooltip="Journal of clinical oncology : official journal of the American Society of Clinical Oncology." w:history="1">
        <w:proofErr w:type="gramStart"/>
        <w:r w:rsidRPr="00031625">
          <w:rPr>
            <w:rStyle w:val="Hyperlink"/>
            <w:rFonts w:ascii="Times New Roman" w:hAnsi="Times New Roman" w:cs="Times New Roman"/>
            <w:color w:val="auto"/>
            <w:sz w:val="20"/>
            <w:szCs w:val="20"/>
          </w:rPr>
          <w:t xml:space="preserve">J </w:t>
        </w:r>
        <w:proofErr w:type="spellStart"/>
        <w:r w:rsidRPr="00031625">
          <w:rPr>
            <w:rStyle w:val="Hyperlink"/>
            <w:rFonts w:ascii="Times New Roman" w:hAnsi="Times New Roman" w:cs="Times New Roman"/>
            <w:color w:val="auto"/>
            <w:sz w:val="20"/>
            <w:szCs w:val="20"/>
          </w:rPr>
          <w:t>Clin</w:t>
        </w:r>
        <w:proofErr w:type="spellEnd"/>
        <w:r w:rsidRPr="00031625">
          <w:rPr>
            <w:rStyle w:val="Hyperlink"/>
            <w:rFonts w:ascii="Times New Roman" w:hAnsi="Times New Roman" w:cs="Times New Roman"/>
            <w:color w:val="auto"/>
            <w:sz w:val="20"/>
            <w:szCs w:val="20"/>
          </w:rPr>
          <w:t xml:space="preserve"> </w:t>
        </w:r>
        <w:proofErr w:type="spellStart"/>
        <w:r w:rsidRPr="00031625">
          <w:rPr>
            <w:rStyle w:val="Hyperlink"/>
            <w:rFonts w:ascii="Times New Roman" w:hAnsi="Times New Roman" w:cs="Times New Roman"/>
            <w:color w:val="auto"/>
            <w:sz w:val="20"/>
            <w:szCs w:val="20"/>
          </w:rPr>
          <w:t>Oncol</w:t>
        </w:r>
        <w:proofErr w:type="spellEnd"/>
        <w:r w:rsidRPr="00031625">
          <w:rPr>
            <w:rStyle w:val="Hyperlink"/>
            <w:rFonts w:ascii="Times New Roman" w:hAnsi="Times New Roman" w:cs="Times New Roman"/>
            <w:color w:val="auto"/>
            <w:sz w:val="20"/>
            <w:szCs w:val="20"/>
          </w:rPr>
          <w:t>.</w:t>
        </w:r>
        <w:proofErr w:type="gramEnd"/>
      </w:hyperlink>
      <w:r w:rsidRPr="00031625">
        <w:rPr>
          <w:rFonts w:ascii="Times New Roman" w:hAnsi="Times New Roman" w:cs="Times New Roman"/>
          <w:sz w:val="20"/>
          <w:szCs w:val="20"/>
        </w:rPr>
        <w:t> 2003</w:t>
      </w:r>
      <w:proofErr w:type="gramStart"/>
      <w:r w:rsidRPr="00031625">
        <w:rPr>
          <w:rFonts w:ascii="Times New Roman" w:hAnsi="Times New Roman" w:cs="Times New Roman"/>
          <w:sz w:val="20"/>
          <w:szCs w:val="20"/>
        </w:rPr>
        <w:t>;21</w:t>
      </w:r>
      <w:proofErr w:type="gramEnd"/>
      <w:r w:rsidRPr="00031625">
        <w:rPr>
          <w:rFonts w:ascii="Times New Roman" w:hAnsi="Times New Roman" w:cs="Times New Roman"/>
          <w:sz w:val="20"/>
          <w:szCs w:val="20"/>
        </w:rPr>
        <w:t>(1):92-8.</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5. Weber RS, </w:t>
      </w:r>
      <w:proofErr w:type="spellStart"/>
      <w:r w:rsidRPr="00031625">
        <w:rPr>
          <w:rFonts w:ascii="Times New Roman" w:hAnsi="Times New Roman" w:cs="Times New Roman"/>
          <w:sz w:val="20"/>
          <w:szCs w:val="20"/>
        </w:rPr>
        <w:t>Berkey</w:t>
      </w:r>
      <w:proofErr w:type="spellEnd"/>
      <w:r w:rsidRPr="00031625">
        <w:rPr>
          <w:rFonts w:ascii="Times New Roman" w:hAnsi="Times New Roman" w:cs="Times New Roman"/>
          <w:sz w:val="20"/>
          <w:szCs w:val="20"/>
        </w:rPr>
        <w:t xml:space="preserve"> BA, </w:t>
      </w:r>
      <w:proofErr w:type="spellStart"/>
      <w:r w:rsidRPr="00031625">
        <w:rPr>
          <w:rFonts w:ascii="Times New Roman" w:hAnsi="Times New Roman" w:cs="Times New Roman"/>
          <w:sz w:val="20"/>
          <w:szCs w:val="20"/>
        </w:rPr>
        <w:t>Forastiere</w:t>
      </w:r>
      <w:proofErr w:type="spellEnd"/>
      <w:r w:rsidRPr="00031625">
        <w:rPr>
          <w:rFonts w:ascii="Times New Roman" w:hAnsi="Times New Roman" w:cs="Times New Roman"/>
          <w:sz w:val="20"/>
          <w:szCs w:val="20"/>
        </w:rPr>
        <w:t xml:space="preserve"> A, Cooper J, </w:t>
      </w:r>
      <w:proofErr w:type="spellStart"/>
      <w:r w:rsidRPr="00031625">
        <w:rPr>
          <w:rFonts w:ascii="Times New Roman" w:hAnsi="Times New Roman" w:cs="Times New Roman"/>
          <w:sz w:val="20"/>
          <w:szCs w:val="20"/>
        </w:rPr>
        <w:t>Maor</w:t>
      </w:r>
      <w:proofErr w:type="spellEnd"/>
      <w:r w:rsidRPr="00031625">
        <w:rPr>
          <w:rFonts w:ascii="Times New Roman" w:hAnsi="Times New Roman" w:cs="Times New Roman"/>
          <w:sz w:val="20"/>
          <w:szCs w:val="20"/>
        </w:rPr>
        <w:t xml:space="preserve"> M, </w:t>
      </w:r>
      <w:proofErr w:type="spellStart"/>
      <w:r w:rsidRPr="00031625">
        <w:rPr>
          <w:rFonts w:ascii="Times New Roman" w:hAnsi="Times New Roman" w:cs="Times New Roman"/>
          <w:sz w:val="20"/>
          <w:szCs w:val="20"/>
        </w:rPr>
        <w:t>Goepfert</w:t>
      </w:r>
      <w:proofErr w:type="spellEnd"/>
      <w:r w:rsidRPr="00031625">
        <w:rPr>
          <w:rFonts w:ascii="Times New Roman" w:hAnsi="Times New Roman" w:cs="Times New Roman"/>
          <w:sz w:val="20"/>
          <w:szCs w:val="20"/>
        </w:rPr>
        <w:t xml:space="preserve"> H, et al. Outcome of salvage total laryngectomy following organ preservation therapy: the Radiation Therapy Oncology Group trial 91-11. Arch </w:t>
      </w:r>
      <w:proofErr w:type="spellStart"/>
      <w:r w:rsidRPr="00031625">
        <w:rPr>
          <w:rFonts w:ascii="Times New Roman" w:hAnsi="Times New Roman" w:cs="Times New Roman"/>
          <w:sz w:val="20"/>
          <w:szCs w:val="20"/>
        </w:rPr>
        <w:t>Otolaryngol</w:t>
      </w:r>
      <w:proofErr w:type="spellEnd"/>
      <w:r w:rsidRPr="00031625">
        <w:rPr>
          <w:rFonts w:ascii="Times New Roman" w:hAnsi="Times New Roman" w:cs="Times New Roman"/>
          <w:sz w:val="20"/>
          <w:szCs w:val="20"/>
        </w:rPr>
        <w:t xml:space="preserve"> Head Neck Surg. 2003</w:t>
      </w:r>
      <w:proofErr w:type="gramStart"/>
      <w:r w:rsidRPr="00031625">
        <w:rPr>
          <w:rFonts w:ascii="Times New Roman" w:hAnsi="Times New Roman" w:cs="Times New Roman"/>
          <w:sz w:val="20"/>
          <w:szCs w:val="20"/>
        </w:rPr>
        <w:t>;129</w:t>
      </w:r>
      <w:proofErr w:type="gramEnd"/>
      <w:r w:rsidRPr="00031625">
        <w:rPr>
          <w:rFonts w:ascii="Times New Roman" w:hAnsi="Times New Roman" w:cs="Times New Roman"/>
          <w:sz w:val="20"/>
          <w:szCs w:val="20"/>
        </w:rPr>
        <w:t>(1):44-9.</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6. Bhat ZY, </w:t>
      </w:r>
      <w:proofErr w:type="spellStart"/>
      <w:r w:rsidRPr="00031625">
        <w:rPr>
          <w:rFonts w:ascii="Times New Roman" w:hAnsi="Times New Roman" w:cs="Times New Roman"/>
          <w:sz w:val="20"/>
          <w:szCs w:val="20"/>
        </w:rPr>
        <w:t>Cadnapaphornchai</w:t>
      </w:r>
      <w:proofErr w:type="spellEnd"/>
      <w:r w:rsidRPr="00031625">
        <w:rPr>
          <w:rFonts w:ascii="Times New Roman" w:hAnsi="Times New Roman" w:cs="Times New Roman"/>
          <w:sz w:val="20"/>
          <w:szCs w:val="20"/>
        </w:rPr>
        <w:t xml:space="preserve"> P, Ginsburg K, </w:t>
      </w:r>
      <w:proofErr w:type="spellStart"/>
      <w:r w:rsidRPr="00031625">
        <w:rPr>
          <w:rFonts w:ascii="Times New Roman" w:hAnsi="Times New Roman" w:cs="Times New Roman"/>
          <w:sz w:val="20"/>
          <w:szCs w:val="20"/>
        </w:rPr>
        <w:t>Sivagnanam</w:t>
      </w:r>
      <w:proofErr w:type="spellEnd"/>
      <w:r w:rsidRPr="00031625">
        <w:rPr>
          <w:rFonts w:ascii="Times New Roman" w:hAnsi="Times New Roman" w:cs="Times New Roman"/>
          <w:sz w:val="20"/>
          <w:szCs w:val="20"/>
        </w:rPr>
        <w:t xml:space="preserve"> M, Chopra S, </w:t>
      </w:r>
      <w:proofErr w:type="spellStart"/>
      <w:r w:rsidRPr="00031625">
        <w:rPr>
          <w:rFonts w:ascii="Times New Roman" w:hAnsi="Times New Roman" w:cs="Times New Roman"/>
          <w:sz w:val="20"/>
          <w:szCs w:val="20"/>
        </w:rPr>
        <w:t>Treadway</w:t>
      </w:r>
      <w:proofErr w:type="spellEnd"/>
      <w:r w:rsidRPr="00031625">
        <w:rPr>
          <w:rFonts w:ascii="Times New Roman" w:hAnsi="Times New Roman" w:cs="Times New Roman"/>
          <w:sz w:val="20"/>
          <w:szCs w:val="20"/>
        </w:rPr>
        <w:t xml:space="preserve"> CK, et al. Understanding the Risk Factors and Long-Term Consequences of Cisplatin-Associated Acute Kidney Injury: An Observational Cohort Study. </w:t>
      </w:r>
      <w:proofErr w:type="spellStart"/>
      <w:proofErr w:type="gramStart"/>
      <w:r w:rsidRPr="00031625">
        <w:rPr>
          <w:rStyle w:val="highlight"/>
          <w:rFonts w:ascii="Times New Roman" w:hAnsi="Times New Roman" w:cs="Times New Roman"/>
          <w:sz w:val="20"/>
          <w:szCs w:val="20"/>
        </w:rPr>
        <w:t>PLoS</w:t>
      </w:r>
      <w:proofErr w:type="spellEnd"/>
      <w:r w:rsidRPr="00031625">
        <w:rPr>
          <w:rStyle w:val="highlight"/>
          <w:rFonts w:ascii="Times New Roman" w:hAnsi="Times New Roman" w:cs="Times New Roman"/>
          <w:sz w:val="20"/>
          <w:szCs w:val="20"/>
        </w:rPr>
        <w:t xml:space="preserve"> One</w:t>
      </w:r>
      <w:r w:rsidRPr="00031625">
        <w:rPr>
          <w:rFonts w:ascii="Times New Roman" w:hAnsi="Times New Roman" w:cs="Times New Roman"/>
          <w:sz w:val="20"/>
          <w:szCs w:val="20"/>
        </w:rPr>
        <w:t>.</w:t>
      </w:r>
      <w:proofErr w:type="gramEnd"/>
      <w:r w:rsidRPr="00031625">
        <w:rPr>
          <w:rFonts w:ascii="Times New Roman" w:hAnsi="Times New Roman" w:cs="Times New Roman"/>
          <w:sz w:val="20"/>
          <w:szCs w:val="20"/>
        </w:rPr>
        <w:t> 2015</w:t>
      </w:r>
      <w:proofErr w:type="gramStart"/>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10</w:t>
      </w:r>
      <w:proofErr w:type="gramEnd"/>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11</w:t>
      </w:r>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e0142225</w:t>
      </w:r>
      <w:r w:rsidRPr="00031625">
        <w:rPr>
          <w:rFonts w:ascii="Times New Roman" w:hAnsi="Times New Roman" w:cs="Times New Roman"/>
          <w:sz w:val="20"/>
          <w:szCs w:val="20"/>
        </w:rPr>
        <w:t>.</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7. </w:t>
      </w:r>
      <w:proofErr w:type="spellStart"/>
      <w:r w:rsidRPr="00031625">
        <w:rPr>
          <w:rFonts w:ascii="Times New Roman" w:hAnsi="Times New Roman" w:cs="Times New Roman"/>
          <w:sz w:val="20"/>
          <w:szCs w:val="20"/>
        </w:rPr>
        <w:t>Lokich</w:t>
      </w:r>
      <w:proofErr w:type="spellEnd"/>
      <w:r w:rsidRPr="00031625">
        <w:rPr>
          <w:rFonts w:ascii="Times New Roman" w:hAnsi="Times New Roman" w:cs="Times New Roman"/>
          <w:sz w:val="20"/>
          <w:szCs w:val="20"/>
        </w:rPr>
        <w:t xml:space="preserve"> J, Anderson N. Carboplatin versus cisplatin in solid tumors: an analysis of the literature.</w:t>
      </w:r>
      <w:r w:rsidRPr="00031625">
        <w:rPr>
          <w:rStyle w:val="highlight"/>
          <w:rFonts w:ascii="Times New Roman" w:hAnsi="Times New Roman" w:cs="Times New Roman"/>
          <w:sz w:val="20"/>
          <w:szCs w:val="20"/>
        </w:rPr>
        <w:t xml:space="preserve"> Ann </w:t>
      </w:r>
      <w:proofErr w:type="spellStart"/>
      <w:r w:rsidRPr="00031625">
        <w:rPr>
          <w:rStyle w:val="highlight"/>
          <w:rFonts w:ascii="Times New Roman" w:hAnsi="Times New Roman" w:cs="Times New Roman"/>
          <w:sz w:val="20"/>
          <w:szCs w:val="20"/>
        </w:rPr>
        <w:t>Oncol</w:t>
      </w:r>
      <w:proofErr w:type="spellEnd"/>
      <w:r w:rsidRPr="00031625">
        <w:rPr>
          <w:rFonts w:ascii="Times New Roman" w:hAnsi="Times New Roman" w:cs="Times New Roman"/>
          <w:sz w:val="20"/>
          <w:szCs w:val="20"/>
        </w:rPr>
        <w:t>. </w:t>
      </w:r>
      <w:r w:rsidRPr="00031625">
        <w:rPr>
          <w:rStyle w:val="highlight"/>
          <w:rFonts w:ascii="Times New Roman" w:hAnsi="Times New Roman" w:cs="Times New Roman"/>
          <w:sz w:val="20"/>
          <w:szCs w:val="20"/>
        </w:rPr>
        <w:t>1998</w:t>
      </w:r>
      <w:proofErr w:type="gramStart"/>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9</w:t>
      </w:r>
      <w:proofErr w:type="gramEnd"/>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1</w:t>
      </w:r>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13-21</w:t>
      </w:r>
      <w:r w:rsidRPr="00031625">
        <w:rPr>
          <w:rFonts w:ascii="Times New Roman" w:hAnsi="Times New Roman" w:cs="Times New Roman"/>
          <w:sz w:val="20"/>
          <w:szCs w:val="20"/>
        </w:rPr>
        <w:t>.</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8. </w:t>
      </w:r>
      <w:proofErr w:type="spellStart"/>
      <w:r w:rsidRPr="00031625">
        <w:rPr>
          <w:rFonts w:ascii="Times New Roman" w:hAnsi="Times New Roman" w:cs="Times New Roman"/>
          <w:sz w:val="20"/>
          <w:szCs w:val="20"/>
        </w:rPr>
        <w:t>Hamauchi</w:t>
      </w:r>
      <w:proofErr w:type="spellEnd"/>
      <w:r w:rsidRPr="00031625">
        <w:rPr>
          <w:rFonts w:ascii="Times New Roman" w:hAnsi="Times New Roman" w:cs="Times New Roman"/>
          <w:sz w:val="20"/>
          <w:szCs w:val="20"/>
        </w:rPr>
        <w:t xml:space="preserve"> S, Yokota T, </w:t>
      </w:r>
      <w:proofErr w:type="spellStart"/>
      <w:r w:rsidRPr="00031625">
        <w:rPr>
          <w:rFonts w:ascii="Times New Roman" w:hAnsi="Times New Roman" w:cs="Times New Roman"/>
          <w:sz w:val="20"/>
          <w:szCs w:val="20"/>
        </w:rPr>
        <w:t>Onozawa</w:t>
      </w:r>
      <w:proofErr w:type="spellEnd"/>
      <w:r w:rsidRPr="00031625">
        <w:rPr>
          <w:rFonts w:ascii="Times New Roman" w:hAnsi="Times New Roman" w:cs="Times New Roman"/>
          <w:sz w:val="20"/>
          <w:szCs w:val="20"/>
        </w:rPr>
        <w:t xml:space="preserve"> Y, Ogawa H, </w:t>
      </w:r>
      <w:proofErr w:type="spellStart"/>
      <w:r w:rsidRPr="00031625">
        <w:rPr>
          <w:rFonts w:ascii="Times New Roman" w:hAnsi="Times New Roman" w:cs="Times New Roman"/>
          <w:sz w:val="20"/>
          <w:szCs w:val="20"/>
        </w:rPr>
        <w:t>Onoe</w:t>
      </w:r>
      <w:proofErr w:type="spellEnd"/>
      <w:r w:rsidRPr="00031625">
        <w:rPr>
          <w:rFonts w:ascii="Times New Roman" w:hAnsi="Times New Roman" w:cs="Times New Roman"/>
          <w:sz w:val="20"/>
          <w:szCs w:val="20"/>
        </w:rPr>
        <w:t xml:space="preserve"> T, </w:t>
      </w:r>
      <w:proofErr w:type="spellStart"/>
      <w:r w:rsidRPr="00031625">
        <w:rPr>
          <w:rFonts w:ascii="Times New Roman" w:hAnsi="Times New Roman" w:cs="Times New Roman"/>
          <w:sz w:val="20"/>
          <w:szCs w:val="20"/>
        </w:rPr>
        <w:t>Kamijo</w:t>
      </w:r>
      <w:proofErr w:type="spellEnd"/>
      <w:r w:rsidRPr="00031625">
        <w:rPr>
          <w:rFonts w:ascii="Times New Roman" w:hAnsi="Times New Roman" w:cs="Times New Roman"/>
          <w:sz w:val="20"/>
          <w:szCs w:val="20"/>
        </w:rPr>
        <w:t xml:space="preserve"> T, et al. Safety and efficacy of concurrent carboplatin plus radiotherapy for locally advanced head and neck cancer patients ineligible for treatment with cisplatin. </w:t>
      </w:r>
      <w:proofErr w:type="spellStart"/>
      <w:r w:rsidRPr="00031625">
        <w:rPr>
          <w:rFonts w:ascii="Times New Roman" w:hAnsi="Times New Roman" w:cs="Times New Roman"/>
          <w:sz w:val="20"/>
          <w:szCs w:val="20"/>
        </w:rPr>
        <w:t>Jpn</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Clin</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 2015</w:t>
      </w:r>
      <w:proofErr w:type="gramStart"/>
      <w:r w:rsidRPr="00031625">
        <w:rPr>
          <w:rFonts w:ascii="Times New Roman" w:hAnsi="Times New Roman" w:cs="Times New Roman"/>
          <w:sz w:val="20"/>
          <w:szCs w:val="20"/>
        </w:rPr>
        <w:t>;45</w:t>
      </w:r>
      <w:proofErr w:type="gramEnd"/>
      <w:r w:rsidRPr="00031625">
        <w:rPr>
          <w:rFonts w:ascii="Times New Roman" w:hAnsi="Times New Roman" w:cs="Times New Roman"/>
          <w:sz w:val="20"/>
          <w:szCs w:val="20"/>
        </w:rPr>
        <w:t>(12):1116-21.</w:t>
      </w:r>
    </w:p>
    <w:p w:rsidR="00A3728A" w:rsidRPr="00031625" w:rsidRDefault="00A3728A" w:rsidP="00A3728A">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 xml:space="preserve">9. Edge SB, Compton </w:t>
      </w:r>
      <w:proofErr w:type="gramStart"/>
      <w:r w:rsidRPr="00031625">
        <w:rPr>
          <w:b w:val="0"/>
          <w:bCs w:val="0"/>
          <w:sz w:val="20"/>
          <w:szCs w:val="20"/>
        </w:rPr>
        <w:t>CC.</w:t>
      </w:r>
      <w:proofErr w:type="gramEnd"/>
      <w:r w:rsidRPr="00031625">
        <w:rPr>
          <w:b w:val="0"/>
          <w:bCs w:val="0"/>
          <w:sz w:val="20"/>
          <w:szCs w:val="20"/>
        </w:rPr>
        <w:t xml:space="preserve"> The American Joint Committee on Cancer: the 7th edition of the AJCC cancer staging manual and the future of TNM. Ann </w:t>
      </w:r>
      <w:proofErr w:type="spellStart"/>
      <w:r w:rsidRPr="00031625">
        <w:rPr>
          <w:b w:val="0"/>
          <w:bCs w:val="0"/>
          <w:sz w:val="20"/>
          <w:szCs w:val="20"/>
        </w:rPr>
        <w:t>Surg</w:t>
      </w:r>
      <w:proofErr w:type="spellEnd"/>
      <w:r w:rsidRPr="00031625">
        <w:rPr>
          <w:b w:val="0"/>
          <w:bCs w:val="0"/>
          <w:sz w:val="20"/>
          <w:szCs w:val="20"/>
        </w:rPr>
        <w:t xml:space="preserve"> </w:t>
      </w:r>
      <w:proofErr w:type="spellStart"/>
      <w:r w:rsidRPr="00031625">
        <w:rPr>
          <w:b w:val="0"/>
          <w:bCs w:val="0"/>
          <w:sz w:val="20"/>
          <w:szCs w:val="20"/>
        </w:rPr>
        <w:t>Oncol</w:t>
      </w:r>
      <w:proofErr w:type="spellEnd"/>
      <w:r w:rsidRPr="00031625">
        <w:rPr>
          <w:b w:val="0"/>
          <w:bCs w:val="0"/>
          <w:sz w:val="20"/>
          <w:szCs w:val="20"/>
        </w:rPr>
        <w:t>. 2010</w:t>
      </w:r>
      <w:proofErr w:type="gramStart"/>
      <w:r w:rsidRPr="00031625">
        <w:rPr>
          <w:b w:val="0"/>
          <w:bCs w:val="0"/>
          <w:sz w:val="20"/>
          <w:szCs w:val="20"/>
        </w:rPr>
        <w:t>;17</w:t>
      </w:r>
      <w:proofErr w:type="gramEnd"/>
      <w:r w:rsidRPr="00031625">
        <w:rPr>
          <w:b w:val="0"/>
          <w:bCs w:val="0"/>
          <w:sz w:val="20"/>
          <w:szCs w:val="20"/>
        </w:rPr>
        <w:t>(6):1471-4.</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10. </w:t>
      </w:r>
      <w:proofErr w:type="spellStart"/>
      <w:r w:rsidRPr="00031625">
        <w:rPr>
          <w:rFonts w:ascii="Times New Roman" w:hAnsi="Times New Roman" w:cs="Times New Roman"/>
          <w:sz w:val="20"/>
          <w:szCs w:val="20"/>
        </w:rPr>
        <w:t>Eisenhauer</w:t>
      </w:r>
      <w:proofErr w:type="spellEnd"/>
      <w:r w:rsidRPr="00031625">
        <w:rPr>
          <w:rFonts w:ascii="Times New Roman" w:hAnsi="Times New Roman" w:cs="Times New Roman"/>
          <w:sz w:val="20"/>
          <w:szCs w:val="20"/>
        </w:rPr>
        <w:t xml:space="preserve"> EA, </w:t>
      </w:r>
      <w:proofErr w:type="spellStart"/>
      <w:r w:rsidRPr="00031625">
        <w:rPr>
          <w:rFonts w:ascii="Times New Roman" w:hAnsi="Times New Roman" w:cs="Times New Roman"/>
          <w:sz w:val="20"/>
          <w:szCs w:val="20"/>
        </w:rPr>
        <w:t>Therasse</w:t>
      </w:r>
      <w:proofErr w:type="spellEnd"/>
      <w:r w:rsidRPr="00031625">
        <w:rPr>
          <w:rFonts w:ascii="Times New Roman" w:hAnsi="Times New Roman" w:cs="Times New Roman"/>
          <w:sz w:val="20"/>
          <w:szCs w:val="20"/>
        </w:rPr>
        <w:t xml:space="preserve"> P, </w:t>
      </w:r>
      <w:proofErr w:type="spellStart"/>
      <w:r w:rsidRPr="00031625">
        <w:rPr>
          <w:rFonts w:ascii="Times New Roman" w:hAnsi="Times New Roman" w:cs="Times New Roman"/>
          <w:sz w:val="20"/>
          <w:szCs w:val="20"/>
        </w:rPr>
        <w:t>Bogaerts</w:t>
      </w:r>
      <w:proofErr w:type="spellEnd"/>
      <w:r w:rsidRPr="00031625">
        <w:rPr>
          <w:rFonts w:ascii="Times New Roman" w:hAnsi="Times New Roman" w:cs="Times New Roman"/>
          <w:sz w:val="20"/>
          <w:szCs w:val="20"/>
        </w:rPr>
        <w:t xml:space="preserve"> J, Schwartz LH, Sargent D, Ford R, et al. New response evaluation criteria in solid </w:t>
      </w:r>
      <w:proofErr w:type="spellStart"/>
      <w:r w:rsidRPr="00031625">
        <w:rPr>
          <w:rFonts w:ascii="Times New Roman" w:hAnsi="Times New Roman" w:cs="Times New Roman"/>
          <w:sz w:val="20"/>
          <w:szCs w:val="20"/>
        </w:rPr>
        <w:t>tumours</w:t>
      </w:r>
      <w:proofErr w:type="spellEnd"/>
      <w:r w:rsidRPr="00031625">
        <w:rPr>
          <w:rFonts w:ascii="Times New Roman" w:hAnsi="Times New Roman" w:cs="Times New Roman"/>
          <w:sz w:val="20"/>
          <w:szCs w:val="20"/>
        </w:rPr>
        <w:t xml:space="preserve">: revised RECIST guideline (version 1.1). </w:t>
      </w:r>
      <w:proofErr w:type="spellStart"/>
      <w:r w:rsidRPr="00031625">
        <w:rPr>
          <w:rFonts w:ascii="Times New Roman" w:hAnsi="Times New Roman" w:cs="Times New Roman"/>
          <w:sz w:val="20"/>
          <w:szCs w:val="20"/>
        </w:rPr>
        <w:t>Eur</w:t>
      </w:r>
      <w:proofErr w:type="spellEnd"/>
      <w:r w:rsidRPr="00031625">
        <w:rPr>
          <w:rFonts w:ascii="Times New Roman" w:hAnsi="Times New Roman" w:cs="Times New Roman"/>
          <w:sz w:val="20"/>
          <w:szCs w:val="20"/>
        </w:rPr>
        <w:t xml:space="preserve"> J Cancer. 2009</w:t>
      </w:r>
      <w:proofErr w:type="gramStart"/>
      <w:r w:rsidRPr="00031625">
        <w:rPr>
          <w:rFonts w:ascii="Times New Roman" w:hAnsi="Times New Roman" w:cs="Times New Roman"/>
          <w:sz w:val="20"/>
          <w:szCs w:val="20"/>
        </w:rPr>
        <w:t>;45</w:t>
      </w:r>
      <w:proofErr w:type="gramEnd"/>
      <w:r w:rsidRPr="00031625">
        <w:rPr>
          <w:rFonts w:ascii="Times New Roman" w:hAnsi="Times New Roman" w:cs="Times New Roman"/>
          <w:sz w:val="20"/>
          <w:szCs w:val="20"/>
        </w:rPr>
        <w:t>(2):228-47.</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11. Miller AB, </w:t>
      </w:r>
      <w:proofErr w:type="spellStart"/>
      <w:r w:rsidRPr="00031625">
        <w:rPr>
          <w:rFonts w:ascii="Times New Roman" w:hAnsi="Times New Roman" w:cs="Times New Roman"/>
          <w:sz w:val="20"/>
          <w:szCs w:val="20"/>
        </w:rPr>
        <w:t>Hoogstraten</w:t>
      </w:r>
      <w:proofErr w:type="spellEnd"/>
      <w:r w:rsidRPr="00031625">
        <w:rPr>
          <w:rFonts w:ascii="Times New Roman" w:hAnsi="Times New Roman" w:cs="Times New Roman"/>
          <w:sz w:val="20"/>
          <w:szCs w:val="20"/>
        </w:rPr>
        <w:t xml:space="preserve"> B, </w:t>
      </w:r>
      <w:proofErr w:type="spellStart"/>
      <w:r w:rsidRPr="00031625">
        <w:rPr>
          <w:rFonts w:ascii="Times New Roman" w:hAnsi="Times New Roman" w:cs="Times New Roman"/>
          <w:sz w:val="20"/>
          <w:szCs w:val="20"/>
        </w:rPr>
        <w:t>Staquet</w:t>
      </w:r>
      <w:proofErr w:type="spellEnd"/>
      <w:r w:rsidRPr="00031625">
        <w:rPr>
          <w:rFonts w:ascii="Times New Roman" w:hAnsi="Times New Roman" w:cs="Times New Roman"/>
          <w:sz w:val="20"/>
          <w:szCs w:val="20"/>
        </w:rPr>
        <w:t xml:space="preserve"> M, Winkler A. Reporting results of cancer treatment. </w:t>
      </w:r>
      <w:proofErr w:type="gramStart"/>
      <w:r w:rsidRPr="00031625">
        <w:rPr>
          <w:rFonts w:ascii="Times New Roman" w:hAnsi="Times New Roman" w:cs="Times New Roman"/>
          <w:sz w:val="20"/>
          <w:szCs w:val="20"/>
        </w:rPr>
        <w:t>Cancer.</w:t>
      </w:r>
      <w:proofErr w:type="gramEnd"/>
      <w:r w:rsidRPr="00031625">
        <w:rPr>
          <w:rFonts w:ascii="Times New Roman" w:hAnsi="Times New Roman" w:cs="Times New Roman"/>
          <w:sz w:val="20"/>
          <w:szCs w:val="20"/>
        </w:rPr>
        <w:t> 1981</w:t>
      </w:r>
      <w:proofErr w:type="gramStart"/>
      <w:r w:rsidRPr="00031625">
        <w:rPr>
          <w:rFonts w:ascii="Times New Roman" w:hAnsi="Times New Roman" w:cs="Times New Roman"/>
          <w:sz w:val="20"/>
          <w:szCs w:val="20"/>
        </w:rPr>
        <w:t>;47</w:t>
      </w:r>
      <w:proofErr w:type="gramEnd"/>
      <w:r w:rsidRPr="00031625">
        <w:rPr>
          <w:rFonts w:ascii="Times New Roman" w:hAnsi="Times New Roman" w:cs="Times New Roman"/>
          <w:sz w:val="20"/>
          <w:szCs w:val="20"/>
        </w:rPr>
        <w:t>(1):207-14.</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12. Cox JD, </w:t>
      </w:r>
      <w:proofErr w:type="spellStart"/>
      <w:r w:rsidRPr="00031625">
        <w:rPr>
          <w:rFonts w:ascii="Times New Roman" w:hAnsi="Times New Roman" w:cs="Times New Roman"/>
          <w:sz w:val="20"/>
          <w:szCs w:val="20"/>
        </w:rPr>
        <w:t>Stetz</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Pajak</w:t>
      </w:r>
      <w:proofErr w:type="spellEnd"/>
      <w:r w:rsidRPr="00031625">
        <w:rPr>
          <w:rFonts w:ascii="Times New Roman" w:hAnsi="Times New Roman" w:cs="Times New Roman"/>
          <w:sz w:val="20"/>
          <w:szCs w:val="20"/>
        </w:rPr>
        <w:t xml:space="preserve"> TF. </w:t>
      </w:r>
      <w:proofErr w:type="gramStart"/>
      <w:r w:rsidRPr="00031625">
        <w:rPr>
          <w:rFonts w:ascii="Times New Roman" w:hAnsi="Times New Roman" w:cs="Times New Roman"/>
          <w:sz w:val="20"/>
          <w:szCs w:val="20"/>
        </w:rPr>
        <w:t>Toxicity criteria of the Radiation Therapy Oncology Group (RTOG) and the European Organization for Research and Treatment of Cancer (EORTC).</w:t>
      </w:r>
      <w:proofErr w:type="gram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Int</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Radiat</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Biol</w:t>
      </w:r>
      <w:proofErr w:type="spellEnd"/>
      <w:r w:rsidRPr="00031625">
        <w:rPr>
          <w:rFonts w:ascii="Times New Roman" w:hAnsi="Times New Roman" w:cs="Times New Roman"/>
          <w:sz w:val="20"/>
          <w:szCs w:val="20"/>
        </w:rPr>
        <w:t xml:space="preserve"> Phys. 1995</w:t>
      </w:r>
      <w:proofErr w:type="gramStart"/>
      <w:r w:rsidRPr="00031625">
        <w:rPr>
          <w:rFonts w:ascii="Times New Roman" w:hAnsi="Times New Roman" w:cs="Times New Roman"/>
          <w:sz w:val="20"/>
          <w:szCs w:val="20"/>
        </w:rPr>
        <w:t>;31</w:t>
      </w:r>
      <w:proofErr w:type="gramEnd"/>
      <w:r w:rsidRPr="00031625">
        <w:rPr>
          <w:rFonts w:ascii="Times New Roman" w:hAnsi="Times New Roman" w:cs="Times New Roman"/>
          <w:sz w:val="20"/>
          <w:szCs w:val="20"/>
        </w:rPr>
        <w:t>(5):1341-6.</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lastRenderedPageBreak/>
        <w:t>13. Bernier J, Cooper JS, </w:t>
      </w:r>
      <w:proofErr w:type="spellStart"/>
      <w:r w:rsidRPr="00031625">
        <w:rPr>
          <w:rFonts w:ascii="Times New Roman" w:hAnsi="Times New Roman" w:cs="Times New Roman"/>
          <w:sz w:val="20"/>
          <w:szCs w:val="20"/>
        </w:rPr>
        <w:t>Pajak</w:t>
      </w:r>
      <w:proofErr w:type="spellEnd"/>
      <w:r w:rsidRPr="00031625">
        <w:rPr>
          <w:rFonts w:ascii="Times New Roman" w:hAnsi="Times New Roman" w:cs="Times New Roman"/>
          <w:sz w:val="20"/>
          <w:szCs w:val="20"/>
        </w:rPr>
        <w:t xml:space="preserve"> TF, van </w:t>
      </w:r>
      <w:proofErr w:type="spellStart"/>
      <w:r w:rsidRPr="00031625">
        <w:rPr>
          <w:rFonts w:ascii="Times New Roman" w:hAnsi="Times New Roman" w:cs="Times New Roman"/>
          <w:sz w:val="20"/>
          <w:szCs w:val="20"/>
        </w:rPr>
        <w:t>Glabbeke</w:t>
      </w:r>
      <w:proofErr w:type="spellEnd"/>
      <w:r w:rsidRPr="00031625">
        <w:rPr>
          <w:rFonts w:ascii="Times New Roman" w:hAnsi="Times New Roman" w:cs="Times New Roman"/>
          <w:sz w:val="20"/>
          <w:szCs w:val="20"/>
        </w:rPr>
        <w:t xml:space="preserve"> M, </w:t>
      </w:r>
      <w:proofErr w:type="spellStart"/>
      <w:r w:rsidRPr="00031625">
        <w:rPr>
          <w:rFonts w:ascii="Times New Roman" w:hAnsi="Times New Roman" w:cs="Times New Roman"/>
          <w:sz w:val="20"/>
          <w:szCs w:val="20"/>
        </w:rPr>
        <w:t>Bourhis</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Forastiere</w:t>
      </w:r>
      <w:proofErr w:type="spellEnd"/>
      <w:r w:rsidRPr="00031625">
        <w:rPr>
          <w:rFonts w:ascii="Times New Roman" w:hAnsi="Times New Roman" w:cs="Times New Roman"/>
          <w:sz w:val="20"/>
          <w:szCs w:val="20"/>
        </w:rPr>
        <w:t xml:space="preserve"> A, et al. </w:t>
      </w:r>
      <w:proofErr w:type="gramStart"/>
      <w:r w:rsidRPr="00031625">
        <w:rPr>
          <w:rFonts w:ascii="Times New Roman" w:hAnsi="Times New Roman" w:cs="Times New Roman"/>
          <w:sz w:val="20"/>
          <w:szCs w:val="20"/>
        </w:rPr>
        <w:t>Defining</w:t>
      </w:r>
      <w:proofErr w:type="gramEnd"/>
      <w:r w:rsidRPr="00031625">
        <w:rPr>
          <w:rFonts w:ascii="Times New Roman" w:hAnsi="Times New Roman" w:cs="Times New Roman"/>
          <w:sz w:val="20"/>
          <w:szCs w:val="20"/>
        </w:rPr>
        <w:t xml:space="preserve"> risk levels in locally advanced head and neck cancers: a comparative analysis of concurrent postoperative radiation plus chemotherapy trials of the EORTC (#22931) and RTOG (# 9501). Head Neck. 2005</w:t>
      </w:r>
      <w:proofErr w:type="gramStart"/>
      <w:r w:rsidRPr="00031625">
        <w:rPr>
          <w:rFonts w:ascii="Times New Roman" w:hAnsi="Times New Roman" w:cs="Times New Roman"/>
          <w:sz w:val="20"/>
          <w:szCs w:val="20"/>
        </w:rPr>
        <w:t>;27</w:t>
      </w:r>
      <w:proofErr w:type="gramEnd"/>
      <w:r w:rsidRPr="00031625">
        <w:rPr>
          <w:rFonts w:ascii="Times New Roman" w:hAnsi="Times New Roman" w:cs="Times New Roman"/>
          <w:sz w:val="20"/>
          <w:szCs w:val="20"/>
        </w:rPr>
        <w:t>(10):843-50.</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14. Bernier J, </w:t>
      </w:r>
      <w:proofErr w:type="spellStart"/>
      <w:r w:rsidRPr="00031625">
        <w:rPr>
          <w:rFonts w:ascii="Times New Roman" w:hAnsi="Times New Roman" w:cs="Times New Roman"/>
          <w:sz w:val="20"/>
          <w:szCs w:val="20"/>
        </w:rPr>
        <w:t>Domenge</w:t>
      </w:r>
      <w:proofErr w:type="spellEnd"/>
      <w:r w:rsidRPr="00031625">
        <w:rPr>
          <w:rFonts w:ascii="Times New Roman" w:hAnsi="Times New Roman" w:cs="Times New Roman"/>
          <w:sz w:val="20"/>
          <w:szCs w:val="20"/>
        </w:rPr>
        <w:t xml:space="preserve"> C, </w:t>
      </w:r>
      <w:proofErr w:type="spellStart"/>
      <w:r w:rsidRPr="00031625">
        <w:rPr>
          <w:rFonts w:ascii="Times New Roman" w:hAnsi="Times New Roman" w:cs="Times New Roman"/>
          <w:sz w:val="20"/>
          <w:szCs w:val="20"/>
        </w:rPr>
        <w:t>Ozsahin</w:t>
      </w:r>
      <w:proofErr w:type="spellEnd"/>
      <w:r w:rsidRPr="00031625">
        <w:rPr>
          <w:rFonts w:ascii="Times New Roman" w:hAnsi="Times New Roman" w:cs="Times New Roman"/>
          <w:sz w:val="20"/>
          <w:szCs w:val="20"/>
        </w:rPr>
        <w:t xml:space="preserve"> M, </w:t>
      </w:r>
      <w:proofErr w:type="spellStart"/>
      <w:r w:rsidRPr="00031625">
        <w:rPr>
          <w:rFonts w:ascii="Times New Roman" w:hAnsi="Times New Roman" w:cs="Times New Roman"/>
          <w:sz w:val="20"/>
          <w:szCs w:val="20"/>
        </w:rPr>
        <w:t>Matuszewska</w:t>
      </w:r>
      <w:proofErr w:type="spellEnd"/>
      <w:r w:rsidRPr="00031625">
        <w:rPr>
          <w:rFonts w:ascii="Times New Roman" w:hAnsi="Times New Roman" w:cs="Times New Roman"/>
          <w:sz w:val="20"/>
          <w:szCs w:val="20"/>
        </w:rPr>
        <w:t xml:space="preserve"> K, </w:t>
      </w:r>
      <w:proofErr w:type="spellStart"/>
      <w:r w:rsidRPr="00031625">
        <w:rPr>
          <w:rFonts w:ascii="Times New Roman" w:hAnsi="Times New Roman" w:cs="Times New Roman"/>
          <w:sz w:val="20"/>
          <w:szCs w:val="20"/>
        </w:rPr>
        <w:t>Lefèbvre</w:t>
      </w:r>
      <w:proofErr w:type="spellEnd"/>
      <w:r w:rsidRPr="00031625">
        <w:rPr>
          <w:rFonts w:ascii="Times New Roman" w:hAnsi="Times New Roman" w:cs="Times New Roman"/>
          <w:sz w:val="20"/>
          <w:szCs w:val="20"/>
        </w:rPr>
        <w:t xml:space="preserve"> JL, </w:t>
      </w:r>
      <w:proofErr w:type="gramStart"/>
      <w:r w:rsidRPr="00031625">
        <w:rPr>
          <w:rFonts w:ascii="Times New Roman" w:hAnsi="Times New Roman" w:cs="Times New Roman"/>
          <w:sz w:val="20"/>
          <w:szCs w:val="20"/>
        </w:rPr>
        <w:t>Greiner</w:t>
      </w:r>
      <w:proofErr w:type="gramEnd"/>
      <w:r w:rsidRPr="00031625">
        <w:rPr>
          <w:rFonts w:ascii="Times New Roman" w:hAnsi="Times New Roman" w:cs="Times New Roman"/>
          <w:sz w:val="20"/>
          <w:szCs w:val="20"/>
        </w:rPr>
        <w:t xml:space="preserve"> RH, et al. Postoperative irradiation with or without concomitant chemotherapy for locally advanced head and neck cancer. N </w:t>
      </w:r>
      <w:proofErr w:type="spellStart"/>
      <w:r w:rsidRPr="00031625">
        <w:rPr>
          <w:rFonts w:ascii="Times New Roman" w:hAnsi="Times New Roman" w:cs="Times New Roman"/>
          <w:sz w:val="20"/>
          <w:szCs w:val="20"/>
        </w:rPr>
        <w:t>Engl</w:t>
      </w:r>
      <w:proofErr w:type="spellEnd"/>
      <w:r w:rsidRPr="00031625">
        <w:rPr>
          <w:rFonts w:ascii="Times New Roman" w:hAnsi="Times New Roman" w:cs="Times New Roman"/>
          <w:sz w:val="20"/>
          <w:szCs w:val="20"/>
        </w:rPr>
        <w:t xml:space="preserve"> J Med. 2004</w:t>
      </w:r>
      <w:proofErr w:type="gramStart"/>
      <w:r w:rsidRPr="00031625">
        <w:rPr>
          <w:rFonts w:ascii="Times New Roman" w:hAnsi="Times New Roman" w:cs="Times New Roman"/>
          <w:sz w:val="20"/>
          <w:szCs w:val="20"/>
        </w:rPr>
        <w:t>;350</w:t>
      </w:r>
      <w:proofErr w:type="gramEnd"/>
      <w:r w:rsidRPr="00031625">
        <w:rPr>
          <w:rFonts w:ascii="Times New Roman" w:hAnsi="Times New Roman" w:cs="Times New Roman"/>
          <w:sz w:val="20"/>
          <w:szCs w:val="20"/>
        </w:rPr>
        <w:t>(19):1945-52.</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15. Bonner JA, Harari PM, Giralt J, </w:t>
      </w:r>
      <w:proofErr w:type="spellStart"/>
      <w:r w:rsidRPr="00031625">
        <w:rPr>
          <w:rFonts w:ascii="Times New Roman" w:hAnsi="Times New Roman" w:cs="Times New Roman"/>
          <w:sz w:val="20"/>
          <w:szCs w:val="20"/>
        </w:rPr>
        <w:t>Azarnia</w:t>
      </w:r>
      <w:proofErr w:type="spellEnd"/>
      <w:r w:rsidRPr="00031625">
        <w:rPr>
          <w:rFonts w:ascii="Times New Roman" w:hAnsi="Times New Roman" w:cs="Times New Roman"/>
          <w:sz w:val="20"/>
          <w:szCs w:val="20"/>
        </w:rPr>
        <w:t xml:space="preserve"> N, Shin DM, Cohen RB, et al. Radiotherapy plus </w:t>
      </w:r>
      <w:proofErr w:type="spellStart"/>
      <w:r w:rsidRPr="00031625">
        <w:rPr>
          <w:rFonts w:ascii="Times New Roman" w:hAnsi="Times New Roman" w:cs="Times New Roman"/>
          <w:sz w:val="20"/>
          <w:szCs w:val="20"/>
        </w:rPr>
        <w:t>cetuximab</w:t>
      </w:r>
      <w:proofErr w:type="spellEnd"/>
      <w:r w:rsidRPr="00031625">
        <w:rPr>
          <w:rFonts w:ascii="Times New Roman" w:hAnsi="Times New Roman" w:cs="Times New Roman"/>
          <w:sz w:val="20"/>
          <w:szCs w:val="20"/>
        </w:rPr>
        <w:t xml:space="preserve"> for squamous-cell carcinoma of the head and neck. N </w:t>
      </w:r>
      <w:proofErr w:type="spellStart"/>
      <w:r w:rsidRPr="00031625">
        <w:rPr>
          <w:rFonts w:ascii="Times New Roman" w:hAnsi="Times New Roman" w:cs="Times New Roman"/>
          <w:sz w:val="20"/>
          <w:szCs w:val="20"/>
        </w:rPr>
        <w:t>Engl</w:t>
      </w:r>
      <w:proofErr w:type="spellEnd"/>
      <w:r w:rsidRPr="00031625">
        <w:rPr>
          <w:rFonts w:ascii="Times New Roman" w:hAnsi="Times New Roman" w:cs="Times New Roman"/>
          <w:sz w:val="20"/>
          <w:szCs w:val="20"/>
        </w:rPr>
        <w:t xml:space="preserve"> J Med. 2006</w:t>
      </w:r>
      <w:proofErr w:type="gramStart"/>
      <w:r w:rsidRPr="00031625">
        <w:rPr>
          <w:rFonts w:ascii="Times New Roman" w:hAnsi="Times New Roman" w:cs="Times New Roman"/>
          <w:sz w:val="20"/>
          <w:szCs w:val="20"/>
        </w:rPr>
        <w:t>;354</w:t>
      </w:r>
      <w:proofErr w:type="gramEnd"/>
      <w:r w:rsidRPr="00031625">
        <w:rPr>
          <w:rFonts w:ascii="Times New Roman" w:hAnsi="Times New Roman" w:cs="Times New Roman"/>
          <w:sz w:val="20"/>
          <w:szCs w:val="20"/>
        </w:rPr>
        <w:t>(6):567-78.</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16. Bonner JA, Harari PM, Giralt J, Cohen RB, Jones CU, Sur RK, et al. Radiotherapy plus </w:t>
      </w:r>
      <w:proofErr w:type="spellStart"/>
      <w:r w:rsidRPr="00031625">
        <w:rPr>
          <w:rFonts w:ascii="Times New Roman" w:hAnsi="Times New Roman" w:cs="Times New Roman"/>
          <w:sz w:val="20"/>
          <w:szCs w:val="20"/>
        </w:rPr>
        <w:t>cetuximab</w:t>
      </w:r>
      <w:proofErr w:type="spellEnd"/>
      <w:r w:rsidRPr="00031625">
        <w:rPr>
          <w:rFonts w:ascii="Times New Roman" w:hAnsi="Times New Roman" w:cs="Times New Roman"/>
          <w:sz w:val="20"/>
          <w:szCs w:val="20"/>
        </w:rPr>
        <w:t xml:space="preserve"> for </w:t>
      </w:r>
      <w:proofErr w:type="spellStart"/>
      <w:r w:rsidRPr="00031625">
        <w:rPr>
          <w:rFonts w:ascii="Times New Roman" w:hAnsi="Times New Roman" w:cs="Times New Roman"/>
          <w:sz w:val="20"/>
          <w:szCs w:val="20"/>
        </w:rPr>
        <w:t>locoregionally</w:t>
      </w:r>
      <w:proofErr w:type="spellEnd"/>
      <w:r w:rsidRPr="00031625">
        <w:rPr>
          <w:rFonts w:ascii="Times New Roman" w:hAnsi="Times New Roman" w:cs="Times New Roman"/>
          <w:sz w:val="20"/>
          <w:szCs w:val="20"/>
        </w:rPr>
        <w:t xml:space="preserve"> advanced head and neck cancer: 5-year survival data from a phase 3 </w:t>
      </w:r>
      <w:proofErr w:type="spellStart"/>
      <w:r w:rsidRPr="00031625">
        <w:rPr>
          <w:rFonts w:ascii="Times New Roman" w:hAnsi="Times New Roman" w:cs="Times New Roman"/>
          <w:sz w:val="20"/>
          <w:szCs w:val="20"/>
        </w:rPr>
        <w:t>randomised</w:t>
      </w:r>
      <w:proofErr w:type="spellEnd"/>
      <w:r w:rsidRPr="00031625">
        <w:rPr>
          <w:rFonts w:ascii="Times New Roman" w:hAnsi="Times New Roman" w:cs="Times New Roman"/>
          <w:sz w:val="20"/>
          <w:szCs w:val="20"/>
        </w:rPr>
        <w:t xml:space="preserve"> trial, and relation between </w:t>
      </w:r>
      <w:proofErr w:type="spellStart"/>
      <w:r w:rsidRPr="00031625">
        <w:rPr>
          <w:rFonts w:ascii="Times New Roman" w:hAnsi="Times New Roman" w:cs="Times New Roman"/>
          <w:sz w:val="20"/>
          <w:szCs w:val="20"/>
        </w:rPr>
        <w:t>cetuximab</w:t>
      </w:r>
      <w:proofErr w:type="spellEnd"/>
      <w:r w:rsidRPr="00031625">
        <w:rPr>
          <w:rFonts w:ascii="Times New Roman" w:hAnsi="Times New Roman" w:cs="Times New Roman"/>
          <w:sz w:val="20"/>
          <w:szCs w:val="20"/>
        </w:rPr>
        <w:t xml:space="preserve">-induced rash and survival. </w:t>
      </w:r>
      <w:proofErr w:type="gramStart"/>
      <w:r w:rsidRPr="00031625">
        <w:rPr>
          <w:rFonts w:ascii="Times New Roman" w:hAnsi="Times New Roman" w:cs="Times New Roman"/>
          <w:sz w:val="20"/>
          <w:szCs w:val="20"/>
        </w:rPr>
        <w:t xml:space="preserve">Lancet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w:t>
      </w:r>
      <w:proofErr w:type="gramEnd"/>
      <w:r w:rsidRPr="00031625">
        <w:rPr>
          <w:rFonts w:ascii="Times New Roman" w:hAnsi="Times New Roman" w:cs="Times New Roman"/>
          <w:sz w:val="20"/>
          <w:szCs w:val="20"/>
        </w:rPr>
        <w:t> 2010</w:t>
      </w:r>
      <w:proofErr w:type="gramStart"/>
      <w:r w:rsidRPr="00031625">
        <w:rPr>
          <w:rFonts w:ascii="Times New Roman" w:hAnsi="Times New Roman" w:cs="Times New Roman"/>
          <w:sz w:val="20"/>
          <w:szCs w:val="20"/>
        </w:rPr>
        <w:t>;11</w:t>
      </w:r>
      <w:proofErr w:type="gramEnd"/>
      <w:r w:rsidRPr="00031625">
        <w:rPr>
          <w:rFonts w:ascii="Times New Roman" w:hAnsi="Times New Roman" w:cs="Times New Roman"/>
          <w:sz w:val="20"/>
          <w:szCs w:val="20"/>
        </w:rPr>
        <w:t>(1):21-8.</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17. Giro C, Berger B, </w:t>
      </w:r>
      <w:proofErr w:type="spellStart"/>
      <w:r w:rsidRPr="00031625">
        <w:rPr>
          <w:rFonts w:ascii="Times New Roman" w:hAnsi="Times New Roman" w:cs="Times New Roman"/>
          <w:sz w:val="20"/>
          <w:szCs w:val="20"/>
        </w:rPr>
        <w:t>Bölke</w:t>
      </w:r>
      <w:proofErr w:type="spellEnd"/>
      <w:r w:rsidRPr="00031625">
        <w:rPr>
          <w:rFonts w:ascii="Times New Roman" w:hAnsi="Times New Roman" w:cs="Times New Roman"/>
          <w:sz w:val="20"/>
          <w:szCs w:val="20"/>
        </w:rPr>
        <w:t xml:space="preserve"> E, </w:t>
      </w:r>
      <w:proofErr w:type="spellStart"/>
      <w:r w:rsidRPr="00031625">
        <w:rPr>
          <w:rFonts w:ascii="Times New Roman" w:hAnsi="Times New Roman" w:cs="Times New Roman"/>
          <w:sz w:val="20"/>
          <w:szCs w:val="20"/>
        </w:rPr>
        <w:t>Ciernik</w:t>
      </w:r>
      <w:proofErr w:type="spellEnd"/>
      <w:r w:rsidRPr="00031625">
        <w:rPr>
          <w:rFonts w:ascii="Times New Roman" w:hAnsi="Times New Roman" w:cs="Times New Roman"/>
          <w:sz w:val="20"/>
          <w:szCs w:val="20"/>
        </w:rPr>
        <w:t xml:space="preserve"> IF, </w:t>
      </w:r>
      <w:proofErr w:type="spellStart"/>
      <w:r w:rsidRPr="00031625">
        <w:rPr>
          <w:rFonts w:ascii="Times New Roman" w:hAnsi="Times New Roman" w:cs="Times New Roman"/>
          <w:sz w:val="20"/>
          <w:szCs w:val="20"/>
        </w:rPr>
        <w:t>Duprez</w:t>
      </w:r>
      <w:proofErr w:type="spellEnd"/>
      <w:r w:rsidRPr="00031625">
        <w:rPr>
          <w:rFonts w:ascii="Times New Roman" w:hAnsi="Times New Roman" w:cs="Times New Roman"/>
          <w:sz w:val="20"/>
          <w:szCs w:val="20"/>
        </w:rPr>
        <w:t xml:space="preserve"> F, </w:t>
      </w:r>
      <w:proofErr w:type="spellStart"/>
      <w:r w:rsidRPr="00031625">
        <w:rPr>
          <w:rFonts w:ascii="Times New Roman" w:hAnsi="Times New Roman" w:cs="Times New Roman"/>
          <w:sz w:val="20"/>
          <w:szCs w:val="20"/>
        </w:rPr>
        <w:t>Locati</w:t>
      </w:r>
      <w:proofErr w:type="spellEnd"/>
      <w:r w:rsidRPr="00031625">
        <w:rPr>
          <w:rFonts w:ascii="Times New Roman" w:hAnsi="Times New Roman" w:cs="Times New Roman"/>
          <w:sz w:val="20"/>
          <w:szCs w:val="20"/>
        </w:rPr>
        <w:t xml:space="preserve"> L, et al. High rate of severe radiation dermatitis during radiation therapy with concurrent </w:t>
      </w:r>
      <w:proofErr w:type="spellStart"/>
      <w:r w:rsidRPr="00031625">
        <w:rPr>
          <w:rFonts w:ascii="Times New Roman" w:hAnsi="Times New Roman" w:cs="Times New Roman"/>
          <w:sz w:val="20"/>
          <w:szCs w:val="20"/>
        </w:rPr>
        <w:t>cetuximab</w:t>
      </w:r>
      <w:proofErr w:type="spellEnd"/>
      <w:r w:rsidRPr="00031625">
        <w:rPr>
          <w:rFonts w:ascii="Times New Roman" w:hAnsi="Times New Roman" w:cs="Times New Roman"/>
          <w:sz w:val="20"/>
          <w:szCs w:val="20"/>
        </w:rPr>
        <w:t xml:space="preserve"> in head and neck cancer: results of a survey in EORTC institutes. </w:t>
      </w:r>
      <w:proofErr w:type="spellStart"/>
      <w:r w:rsidRPr="00031625">
        <w:rPr>
          <w:rFonts w:ascii="Times New Roman" w:hAnsi="Times New Roman" w:cs="Times New Roman"/>
          <w:sz w:val="20"/>
          <w:szCs w:val="20"/>
        </w:rPr>
        <w:t>Radiother</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 2009</w:t>
      </w:r>
      <w:proofErr w:type="gramStart"/>
      <w:r w:rsidRPr="00031625">
        <w:rPr>
          <w:rFonts w:ascii="Times New Roman" w:hAnsi="Times New Roman" w:cs="Times New Roman"/>
          <w:sz w:val="20"/>
          <w:szCs w:val="20"/>
        </w:rPr>
        <w:t>;90</w:t>
      </w:r>
      <w:proofErr w:type="gramEnd"/>
      <w:r w:rsidRPr="00031625">
        <w:rPr>
          <w:rFonts w:ascii="Times New Roman" w:hAnsi="Times New Roman" w:cs="Times New Roman"/>
          <w:sz w:val="20"/>
          <w:szCs w:val="20"/>
        </w:rPr>
        <w:t xml:space="preserve">(2):166-71. </w:t>
      </w:r>
    </w:p>
    <w:p w:rsidR="00A3728A" w:rsidRPr="00031625" w:rsidRDefault="00A3728A" w:rsidP="00A3728A">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 xml:space="preserve">18. </w:t>
      </w:r>
      <w:proofErr w:type="spellStart"/>
      <w:r w:rsidRPr="00031625">
        <w:rPr>
          <w:b w:val="0"/>
          <w:bCs w:val="0"/>
          <w:sz w:val="20"/>
          <w:szCs w:val="20"/>
        </w:rPr>
        <w:t>Studer</w:t>
      </w:r>
      <w:proofErr w:type="spellEnd"/>
      <w:r w:rsidRPr="00031625">
        <w:rPr>
          <w:b w:val="0"/>
          <w:bCs w:val="0"/>
          <w:sz w:val="20"/>
          <w:szCs w:val="20"/>
        </w:rPr>
        <w:t xml:space="preserve"> G, Brown M, </w:t>
      </w:r>
      <w:proofErr w:type="spellStart"/>
      <w:r w:rsidRPr="00031625">
        <w:rPr>
          <w:b w:val="0"/>
          <w:bCs w:val="0"/>
          <w:sz w:val="20"/>
          <w:szCs w:val="20"/>
        </w:rPr>
        <w:t>Salgueiro</w:t>
      </w:r>
      <w:proofErr w:type="spellEnd"/>
      <w:r w:rsidRPr="00031625">
        <w:rPr>
          <w:b w:val="0"/>
          <w:bCs w:val="0"/>
          <w:sz w:val="20"/>
          <w:szCs w:val="20"/>
        </w:rPr>
        <w:t xml:space="preserve"> EB, </w:t>
      </w:r>
      <w:proofErr w:type="spellStart"/>
      <w:r w:rsidRPr="00031625">
        <w:rPr>
          <w:b w:val="0"/>
          <w:bCs w:val="0"/>
          <w:sz w:val="20"/>
          <w:szCs w:val="20"/>
        </w:rPr>
        <w:t>Schmückle</w:t>
      </w:r>
      <w:proofErr w:type="spellEnd"/>
      <w:r w:rsidRPr="00031625">
        <w:rPr>
          <w:b w:val="0"/>
          <w:bCs w:val="0"/>
          <w:sz w:val="20"/>
          <w:szCs w:val="20"/>
        </w:rPr>
        <w:t xml:space="preserve"> H, </w:t>
      </w:r>
      <w:proofErr w:type="spellStart"/>
      <w:r w:rsidRPr="00031625">
        <w:rPr>
          <w:b w:val="0"/>
          <w:bCs w:val="0"/>
          <w:sz w:val="20"/>
          <w:szCs w:val="20"/>
        </w:rPr>
        <w:t>Romancuk</w:t>
      </w:r>
      <w:proofErr w:type="spellEnd"/>
      <w:r w:rsidRPr="00031625">
        <w:rPr>
          <w:b w:val="0"/>
          <w:bCs w:val="0"/>
          <w:sz w:val="20"/>
          <w:szCs w:val="20"/>
        </w:rPr>
        <w:t xml:space="preserve"> N, Winkler G, et al. Grade 3/4 dermatitis in head and neck cancer patients treated with concurrent </w:t>
      </w:r>
      <w:proofErr w:type="spellStart"/>
      <w:r w:rsidRPr="00031625">
        <w:rPr>
          <w:b w:val="0"/>
          <w:bCs w:val="0"/>
          <w:sz w:val="20"/>
          <w:szCs w:val="20"/>
        </w:rPr>
        <w:t>cetuximab</w:t>
      </w:r>
      <w:proofErr w:type="spellEnd"/>
      <w:r w:rsidRPr="00031625">
        <w:rPr>
          <w:b w:val="0"/>
          <w:bCs w:val="0"/>
          <w:sz w:val="20"/>
          <w:szCs w:val="20"/>
        </w:rPr>
        <w:t xml:space="preserve"> and IMRT. </w:t>
      </w:r>
      <w:proofErr w:type="spellStart"/>
      <w:r w:rsidRPr="00031625">
        <w:rPr>
          <w:b w:val="0"/>
          <w:bCs w:val="0"/>
          <w:sz w:val="20"/>
          <w:szCs w:val="20"/>
        </w:rPr>
        <w:t>Int</w:t>
      </w:r>
      <w:proofErr w:type="spellEnd"/>
      <w:r w:rsidRPr="00031625">
        <w:rPr>
          <w:b w:val="0"/>
          <w:bCs w:val="0"/>
          <w:sz w:val="20"/>
          <w:szCs w:val="20"/>
        </w:rPr>
        <w:t xml:space="preserve"> J </w:t>
      </w:r>
      <w:proofErr w:type="spellStart"/>
      <w:r w:rsidRPr="00031625">
        <w:rPr>
          <w:b w:val="0"/>
          <w:bCs w:val="0"/>
          <w:sz w:val="20"/>
          <w:szCs w:val="20"/>
        </w:rPr>
        <w:t>Radiat</w:t>
      </w:r>
      <w:proofErr w:type="spellEnd"/>
      <w:r w:rsidRPr="00031625">
        <w:rPr>
          <w:b w:val="0"/>
          <w:bCs w:val="0"/>
          <w:sz w:val="20"/>
          <w:szCs w:val="20"/>
        </w:rPr>
        <w:t xml:space="preserve"> </w:t>
      </w:r>
      <w:proofErr w:type="spellStart"/>
      <w:r w:rsidRPr="00031625">
        <w:rPr>
          <w:b w:val="0"/>
          <w:bCs w:val="0"/>
          <w:sz w:val="20"/>
          <w:szCs w:val="20"/>
        </w:rPr>
        <w:t>Oncol</w:t>
      </w:r>
      <w:proofErr w:type="spellEnd"/>
      <w:r w:rsidRPr="00031625">
        <w:rPr>
          <w:b w:val="0"/>
          <w:bCs w:val="0"/>
          <w:sz w:val="20"/>
          <w:szCs w:val="20"/>
        </w:rPr>
        <w:t xml:space="preserve"> </w:t>
      </w:r>
      <w:proofErr w:type="spellStart"/>
      <w:r w:rsidRPr="00031625">
        <w:rPr>
          <w:b w:val="0"/>
          <w:bCs w:val="0"/>
          <w:sz w:val="20"/>
          <w:szCs w:val="20"/>
        </w:rPr>
        <w:t>Biol</w:t>
      </w:r>
      <w:proofErr w:type="spellEnd"/>
      <w:r w:rsidRPr="00031625">
        <w:rPr>
          <w:b w:val="0"/>
          <w:bCs w:val="0"/>
          <w:sz w:val="20"/>
          <w:szCs w:val="20"/>
        </w:rPr>
        <w:t xml:space="preserve"> Phys. 2011</w:t>
      </w:r>
      <w:proofErr w:type="gramStart"/>
      <w:r w:rsidRPr="00031625">
        <w:rPr>
          <w:b w:val="0"/>
          <w:bCs w:val="0"/>
          <w:sz w:val="20"/>
          <w:szCs w:val="20"/>
        </w:rPr>
        <w:t>;81</w:t>
      </w:r>
      <w:proofErr w:type="gramEnd"/>
      <w:r w:rsidRPr="00031625">
        <w:rPr>
          <w:b w:val="0"/>
          <w:bCs w:val="0"/>
          <w:sz w:val="20"/>
          <w:szCs w:val="20"/>
        </w:rPr>
        <w:t>(1):110-7.</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19. </w:t>
      </w:r>
      <w:proofErr w:type="spellStart"/>
      <w:r w:rsidRPr="00031625">
        <w:rPr>
          <w:rFonts w:ascii="Times New Roman" w:hAnsi="Times New Roman" w:cs="Times New Roman"/>
          <w:sz w:val="20"/>
          <w:szCs w:val="20"/>
        </w:rPr>
        <w:t>Hongo</w:t>
      </w:r>
      <w:proofErr w:type="spellEnd"/>
      <w:r w:rsidRPr="00031625">
        <w:rPr>
          <w:rFonts w:ascii="Times New Roman" w:hAnsi="Times New Roman" w:cs="Times New Roman"/>
          <w:sz w:val="20"/>
          <w:szCs w:val="20"/>
        </w:rPr>
        <w:t xml:space="preserve"> A, Seki S, Akiyama K, Kudo T. </w:t>
      </w:r>
      <w:proofErr w:type="gramStart"/>
      <w:r w:rsidRPr="00031625">
        <w:rPr>
          <w:rFonts w:ascii="Times New Roman" w:hAnsi="Times New Roman" w:cs="Times New Roman"/>
          <w:sz w:val="20"/>
          <w:szCs w:val="20"/>
        </w:rPr>
        <w:t>A comparison of in vitro platinum-DNA adduct</w:t>
      </w:r>
      <w:proofErr w:type="gramEnd"/>
      <w:r w:rsidRPr="00031625">
        <w:rPr>
          <w:rFonts w:ascii="Times New Roman" w:hAnsi="Times New Roman" w:cs="Times New Roman"/>
          <w:sz w:val="20"/>
          <w:szCs w:val="20"/>
        </w:rPr>
        <w:t xml:space="preserve"> formation between carboplatin and cisplatin. </w:t>
      </w:r>
      <w:proofErr w:type="spellStart"/>
      <w:r w:rsidRPr="00031625">
        <w:rPr>
          <w:rFonts w:ascii="Times New Roman" w:hAnsi="Times New Roman" w:cs="Times New Roman"/>
          <w:sz w:val="20"/>
          <w:szCs w:val="20"/>
        </w:rPr>
        <w:t>Int</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Biochem</w:t>
      </w:r>
      <w:proofErr w:type="spellEnd"/>
      <w:r w:rsidRPr="00031625">
        <w:rPr>
          <w:rFonts w:ascii="Times New Roman" w:hAnsi="Times New Roman" w:cs="Times New Roman"/>
          <w:sz w:val="20"/>
          <w:szCs w:val="20"/>
        </w:rPr>
        <w:t>. 1994</w:t>
      </w:r>
      <w:proofErr w:type="gramStart"/>
      <w:r w:rsidRPr="00031625">
        <w:rPr>
          <w:rFonts w:ascii="Times New Roman" w:hAnsi="Times New Roman" w:cs="Times New Roman"/>
          <w:sz w:val="20"/>
          <w:szCs w:val="20"/>
        </w:rPr>
        <w:t>;26</w:t>
      </w:r>
      <w:proofErr w:type="gramEnd"/>
      <w:r w:rsidRPr="00031625">
        <w:rPr>
          <w:rFonts w:ascii="Times New Roman" w:hAnsi="Times New Roman" w:cs="Times New Roman"/>
          <w:sz w:val="20"/>
          <w:szCs w:val="20"/>
        </w:rPr>
        <w:t>(8):1009-16.</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20. </w:t>
      </w:r>
      <w:proofErr w:type="spellStart"/>
      <w:r w:rsidRPr="00031625">
        <w:rPr>
          <w:rFonts w:ascii="Times New Roman" w:hAnsi="Times New Roman" w:cs="Times New Roman"/>
          <w:sz w:val="20"/>
          <w:szCs w:val="20"/>
        </w:rPr>
        <w:t>Zakotnik</w:t>
      </w:r>
      <w:proofErr w:type="spellEnd"/>
      <w:r w:rsidRPr="00031625">
        <w:rPr>
          <w:rFonts w:ascii="Times New Roman" w:hAnsi="Times New Roman" w:cs="Times New Roman"/>
          <w:sz w:val="20"/>
          <w:szCs w:val="20"/>
        </w:rPr>
        <w:t xml:space="preserve"> B, </w:t>
      </w:r>
      <w:proofErr w:type="spellStart"/>
      <w:r w:rsidRPr="00031625">
        <w:rPr>
          <w:rFonts w:ascii="Times New Roman" w:hAnsi="Times New Roman" w:cs="Times New Roman"/>
          <w:sz w:val="20"/>
          <w:szCs w:val="20"/>
        </w:rPr>
        <w:t>Smid</w:t>
      </w:r>
      <w:proofErr w:type="spellEnd"/>
      <w:r w:rsidRPr="00031625">
        <w:rPr>
          <w:rFonts w:ascii="Times New Roman" w:hAnsi="Times New Roman" w:cs="Times New Roman"/>
          <w:sz w:val="20"/>
          <w:szCs w:val="20"/>
        </w:rPr>
        <w:t xml:space="preserve"> L, </w:t>
      </w:r>
      <w:proofErr w:type="spellStart"/>
      <w:r w:rsidRPr="00031625">
        <w:rPr>
          <w:rFonts w:ascii="Times New Roman" w:hAnsi="Times New Roman" w:cs="Times New Roman"/>
          <w:sz w:val="20"/>
          <w:szCs w:val="20"/>
        </w:rPr>
        <w:t>Budihna</w:t>
      </w:r>
      <w:proofErr w:type="spellEnd"/>
      <w:r w:rsidRPr="00031625">
        <w:rPr>
          <w:rFonts w:ascii="Times New Roman" w:hAnsi="Times New Roman" w:cs="Times New Roman"/>
          <w:sz w:val="20"/>
          <w:szCs w:val="20"/>
        </w:rPr>
        <w:t xml:space="preserve"> M, </w:t>
      </w:r>
      <w:proofErr w:type="spellStart"/>
      <w:r w:rsidRPr="00031625">
        <w:rPr>
          <w:rFonts w:ascii="Times New Roman" w:hAnsi="Times New Roman" w:cs="Times New Roman"/>
          <w:sz w:val="20"/>
          <w:szCs w:val="20"/>
        </w:rPr>
        <w:t>Lesnicar</w:t>
      </w:r>
      <w:proofErr w:type="spellEnd"/>
      <w:r w:rsidRPr="00031625">
        <w:rPr>
          <w:rFonts w:ascii="Times New Roman" w:hAnsi="Times New Roman" w:cs="Times New Roman"/>
          <w:sz w:val="20"/>
          <w:szCs w:val="20"/>
        </w:rPr>
        <w:t xml:space="preserve"> H, Soba E, </w:t>
      </w:r>
      <w:proofErr w:type="spellStart"/>
      <w:r w:rsidRPr="00031625">
        <w:rPr>
          <w:rFonts w:ascii="Times New Roman" w:hAnsi="Times New Roman" w:cs="Times New Roman"/>
          <w:sz w:val="20"/>
          <w:szCs w:val="20"/>
        </w:rPr>
        <w:t>Furlan</w:t>
      </w:r>
      <w:proofErr w:type="spellEnd"/>
      <w:r w:rsidRPr="00031625">
        <w:rPr>
          <w:rFonts w:ascii="Times New Roman" w:hAnsi="Times New Roman" w:cs="Times New Roman"/>
          <w:sz w:val="20"/>
          <w:szCs w:val="20"/>
        </w:rPr>
        <w:t xml:space="preserve"> L, et al. Concomitant radiotherapy with </w:t>
      </w:r>
      <w:proofErr w:type="spellStart"/>
      <w:r w:rsidRPr="00031625">
        <w:rPr>
          <w:rFonts w:ascii="Times New Roman" w:hAnsi="Times New Roman" w:cs="Times New Roman"/>
          <w:sz w:val="20"/>
          <w:szCs w:val="20"/>
        </w:rPr>
        <w:t>mitomycin</w:t>
      </w:r>
      <w:proofErr w:type="spellEnd"/>
      <w:r w:rsidRPr="00031625">
        <w:rPr>
          <w:rFonts w:ascii="Times New Roman" w:hAnsi="Times New Roman" w:cs="Times New Roman"/>
          <w:sz w:val="20"/>
          <w:szCs w:val="20"/>
        </w:rPr>
        <w:t xml:space="preserve"> C and </w:t>
      </w:r>
      <w:proofErr w:type="spellStart"/>
      <w:r w:rsidRPr="00031625">
        <w:rPr>
          <w:rFonts w:ascii="Times New Roman" w:hAnsi="Times New Roman" w:cs="Times New Roman"/>
          <w:sz w:val="20"/>
          <w:szCs w:val="20"/>
        </w:rPr>
        <w:t>bleomycin</w:t>
      </w:r>
      <w:proofErr w:type="spellEnd"/>
      <w:r w:rsidRPr="00031625">
        <w:rPr>
          <w:rFonts w:ascii="Times New Roman" w:hAnsi="Times New Roman" w:cs="Times New Roman"/>
          <w:sz w:val="20"/>
          <w:szCs w:val="20"/>
        </w:rPr>
        <w:t xml:space="preserve"> compared with radiotherapy alone in inoperable head and neck cancer: final report. </w:t>
      </w:r>
      <w:proofErr w:type="spellStart"/>
      <w:r w:rsidRPr="00031625">
        <w:rPr>
          <w:rFonts w:ascii="Times New Roman" w:hAnsi="Times New Roman" w:cs="Times New Roman"/>
          <w:sz w:val="20"/>
          <w:szCs w:val="20"/>
        </w:rPr>
        <w:t>Int</w:t>
      </w:r>
      <w:proofErr w:type="spellEnd"/>
      <w:r w:rsidRPr="00031625">
        <w:rPr>
          <w:rFonts w:ascii="Times New Roman" w:hAnsi="Times New Roman" w:cs="Times New Roman"/>
          <w:sz w:val="20"/>
          <w:szCs w:val="20"/>
        </w:rPr>
        <w:t xml:space="preserve"> J </w:t>
      </w:r>
      <w:proofErr w:type="spellStart"/>
      <w:r w:rsidRPr="00031625">
        <w:rPr>
          <w:rFonts w:ascii="Times New Roman" w:hAnsi="Times New Roman" w:cs="Times New Roman"/>
          <w:sz w:val="20"/>
          <w:szCs w:val="20"/>
        </w:rPr>
        <w:t>Radiat</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Biol</w:t>
      </w:r>
      <w:proofErr w:type="spellEnd"/>
      <w:r w:rsidRPr="00031625">
        <w:rPr>
          <w:rFonts w:ascii="Times New Roman" w:hAnsi="Times New Roman" w:cs="Times New Roman"/>
          <w:sz w:val="20"/>
          <w:szCs w:val="20"/>
        </w:rPr>
        <w:t xml:space="preserve"> Phys. 1998</w:t>
      </w:r>
      <w:proofErr w:type="gramStart"/>
      <w:r w:rsidRPr="00031625">
        <w:rPr>
          <w:rFonts w:ascii="Times New Roman" w:hAnsi="Times New Roman" w:cs="Times New Roman"/>
          <w:sz w:val="20"/>
          <w:szCs w:val="20"/>
        </w:rPr>
        <w:t>;41</w:t>
      </w:r>
      <w:proofErr w:type="gramEnd"/>
      <w:r w:rsidRPr="00031625">
        <w:rPr>
          <w:rFonts w:ascii="Times New Roman" w:hAnsi="Times New Roman" w:cs="Times New Roman"/>
          <w:sz w:val="20"/>
          <w:szCs w:val="20"/>
        </w:rPr>
        <w:t>(5):1121-7.</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t xml:space="preserve">21. </w:t>
      </w:r>
      <w:proofErr w:type="spellStart"/>
      <w:r w:rsidRPr="00031625">
        <w:rPr>
          <w:rFonts w:ascii="Times New Roman" w:hAnsi="Times New Roman" w:cs="Times New Roman"/>
          <w:sz w:val="20"/>
          <w:szCs w:val="20"/>
        </w:rPr>
        <w:t>Marcial</w:t>
      </w:r>
      <w:proofErr w:type="spellEnd"/>
      <w:r w:rsidRPr="00031625">
        <w:rPr>
          <w:rFonts w:ascii="Times New Roman" w:hAnsi="Times New Roman" w:cs="Times New Roman"/>
          <w:sz w:val="20"/>
          <w:szCs w:val="20"/>
        </w:rPr>
        <w:t xml:space="preserve"> VA, </w:t>
      </w:r>
      <w:proofErr w:type="spellStart"/>
      <w:r w:rsidRPr="00031625">
        <w:rPr>
          <w:rFonts w:ascii="Times New Roman" w:hAnsi="Times New Roman" w:cs="Times New Roman"/>
          <w:sz w:val="20"/>
          <w:szCs w:val="20"/>
        </w:rPr>
        <w:t>Pajak</w:t>
      </w:r>
      <w:proofErr w:type="spellEnd"/>
      <w:r w:rsidRPr="00031625">
        <w:rPr>
          <w:rFonts w:ascii="Times New Roman" w:hAnsi="Times New Roman" w:cs="Times New Roman"/>
          <w:sz w:val="20"/>
          <w:szCs w:val="20"/>
        </w:rPr>
        <w:t xml:space="preserve"> TF. </w:t>
      </w:r>
      <w:proofErr w:type="gramStart"/>
      <w:r w:rsidRPr="00031625">
        <w:rPr>
          <w:rFonts w:ascii="Times New Roman" w:hAnsi="Times New Roman" w:cs="Times New Roman"/>
          <w:sz w:val="20"/>
          <w:szCs w:val="20"/>
        </w:rPr>
        <w:t>Radiation therapy alone or in combination with surgery in head and neck cancer.</w:t>
      </w:r>
      <w:proofErr w:type="gramEnd"/>
      <w:r w:rsidRPr="00031625">
        <w:rPr>
          <w:rFonts w:ascii="Times New Roman" w:hAnsi="Times New Roman" w:cs="Times New Roman"/>
          <w:sz w:val="20"/>
          <w:szCs w:val="20"/>
        </w:rPr>
        <w:t xml:space="preserve"> </w:t>
      </w:r>
      <w:proofErr w:type="gramStart"/>
      <w:r w:rsidRPr="00031625">
        <w:rPr>
          <w:rFonts w:ascii="Times New Roman" w:hAnsi="Times New Roman" w:cs="Times New Roman"/>
          <w:sz w:val="20"/>
          <w:szCs w:val="20"/>
        </w:rPr>
        <w:t>Cancer.</w:t>
      </w:r>
      <w:proofErr w:type="gramEnd"/>
      <w:r w:rsidRPr="00031625">
        <w:rPr>
          <w:rFonts w:ascii="Times New Roman" w:hAnsi="Times New Roman" w:cs="Times New Roman"/>
          <w:sz w:val="20"/>
          <w:szCs w:val="20"/>
        </w:rPr>
        <w:t> 1985</w:t>
      </w:r>
      <w:proofErr w:type="gramStart"/>
      <w:r w:rsidRPr="00031625">
        <w:rPr>
          <w:rFonts w:ascii="Times New Roman" w:hAnsi="Times New Roman" w:cs="Times New Roman"/>
          <w:sz w:val="20"/>
          <w:szCs w:val="20"/>
        </w:rPr>
        <w:t>;55</w:t>
      </w:r>
      <w:proofErr w:type="gramEnd"/>
      <w:r w:rsidRPr="00031625">
        <w:rPr>
          <w:rFonts w:ascii="Times New Roman" w:hAnsi="Times New Roman" w:cs="Times New Roman"/>
          <w:sz w:val="20"/>
          <w:szCs w:val="20"/>
        </w:rPr>
        <w:t xml:space="preserve">(9 </w:t>
      </w:r>
      <w:proofErr w:type="spellStart"/>
      <w:r w:rsidRPr="00031625">
        <w:rPr>
          <w:rFonts w:ascii="Times New Roman" w:hAnsi="Times New Roman" w:cs="Times New Roman"/>
          <w:sz w:val="20"/>
          <w:szCs w:val="20"/>
        </w:rPr>
        <w:t>Suppl</w:t>
      </w:r>
      <w:proofErr w:type="spellEnd"/>
      <w:r w:rsidRPr="00031625">
        <w:rPr>
          <w:rFonts w:ascii="Times New Roman" w:hAnsi="Times New Roman" w:cs="Times New Roman"/>
          <w:sz w:val="20"/>
          <w:szCs w:val="20"/>
        </w:rPr>
        <w:t>):2259-65.</w:t>
      </w:r>
    </w:p>
    <w:p w:rsidR="00A3728A" w:rsidRPr="00031625" w:rsidRDefault="00A3728A" w:rsidP="00A3728A">
      <w:pPr>
        <w:pStyle w:val="Heading1"/>
        <w:shd w:val="clear" w:color="auto" w:fill="FFFFFF"/>
        <w:spacing w:before="0" w:beforeAutospacing="0" w:after="0" w:afterAutospacing="0"/>
        <w:ind w:left="360" w:hanging="360"/>
        <w:jc w:val="both"/>
        <w:rPr>
          <w:b w:val="0"/>
          <w:bCs w:val="0"/>
          <w:sz w:val="20"/>
          <w:szCs w:val="20"/>
        </w:rPr>
      </w:pPr>
      <w:r w:rsidRPr="00031625">
        <w:rPr>
          <w:b w:val="0"/>
          <w:bCs w:val="0"/>
          <w:sz w:val="20"/>
          <w:szCs w:val="20"/>
        </w:rPr>
        <w:t xml:space="preserve">22. </w:t>
      </w:r>
      <w:proofErr w:type="spellStart"/>
      <w:r w:rsidRPr="00031625">
        <w:rPr>
          <w:b w:val="0"/>
          <w:bCs w:val="0"/>
          <w:sz w:val="20"/>
          <w:szCs w:val="20"/>
        </w:rPr>
        <w:t>Chitapanarux</w:t>
      </w:r>
      <w:proofErr w:type="spellEnd"/>
      <w:r w:rsidRPr="00031625">
        <w:rPr>
          <w:b w:val="0"/>
          <w:bCs w:val="0"/>
          <w:sz w:val="20"/>
          <w:szCs w:val="20"/>
        </w:rPr>
        <w:t xml:space="preserve"> I, </w:t>
      </w:r>
      <w:proofErr w:type="spellStart"/>
      <w:r w:rsidRPr="00031625">
        <w:rPr>
          <w:b w:val="0"/>
          <w:bCs w:val="0"/>
          <w:sz w:val="20"/>
          <w:szCs w:val="20"/>
        </w:rPr>
        <w:t>Lorvidhaya</w:t>
      </w:r>
      <w:proofErr w:type="spellEnd"/>
      <w:r w:rsidRPr="00031625">
        <w:rPr>
          <w:b w:val="0"/>
          <w:bCs w:val="0"/>
          <w:sz w:val="20"/>
          <w:szCs w:val="20"/>
        </w:rPr>
        <w:t xml:space="preserve"> V, </w:t>
      </w:r>
      <w:proofErr w:type="spellStart"/>
      <w:r w:rsidRPr="00031625">
        <w:rPr>
          <w:b w:val="0"/>
          <w:bCs w:val="0"/>
          <w:sz w:val="20"/>
          <w:szCs w:val="20"/>
        </w:rPr>
        <w:t>Kamnerdsupaphon</w:t>
      </w:r>
      <w:proofErr w:type="spellEnd"/>
      <w:r w:rsidRPr="00031625">
        <w:rPr>
          <w:b w:val="0"/>
          <w:bCs w:val="0"/>
          <w:sz w:val="20"/>
          <w:szCs w:val="20"/>
        </w:rPr>
        <w:t xml:space="preserve"> P, </w:t>
      </w:r>
      <w:proofErr w:type="spellStart"/>
      <w:r w:rsidRPr="00031625">
        <w:rPr>
          <w:b w:val="0"/>
          <w:bCs w:val="0"/>
          <w:sz w:val="20"/>
          <w:szCs w:val="20"/>
        </w:rPr>
        <w:t>Sumitsawan</w:t>
      </w:r>
      <w:proofErr w:type="spellEnd"/>
      <w:r w:rsidRPr="00031625">
        <w:rPr>
          <w:b w:val="0"/>
          <w:bCs w:val="0"/>
          <w:sz w:val="20"/>
          <w:szCs w:val="20"/>
        </w:rPr>
        <w:t xml:space="preserve"> Y, </w:t>
      </w:r>
      <w:proofErr w:type="spellStart"/>
      <w:r w:rsidRPr="00031625">
        <w:rPr>
          <w:b w:val="0"/>
          <w:bCs w:val="0"/>
          <w:sz w:val="20"/>
          <w:szCs w:val="20"/>
        </w:rPr>
        <w:t>Tharavichitkul</w:t>
      </w:r>
      <w:proofErr w:type="spellEnd"/>
      <w:r w:rsidRPr="00031625">
        <w:rPr>
          <w:b w:val="0"/>
          <w:bCs w:val="0"/>
          <w:sz w:val="20"/>
          <w:szCs w:val="20"/>
        </w:rPr>
        <w:t xml:space="preserve"> E, </w:t>
      </w:r>
      <w:proofErr w:type="spellStart"/>
      <w:r w:rsidRPr="00031625">
        <w:rPr>
          <w:b w:val="0"/>
          <w:bCs w:val="0"/>
          <w:sz w:val="20"/>
          <w:szCs w:val="20"/>
        </w:rPr>
        <w:t>Sukthomya</w:t>
      </w:r>
      <w:proofErr w:type="spellEnd"/>
      <w:r w:rsidRPr="00031625">
        <w:rPr>
          <w:b w:val="0"/>
          <w:bCs w:val="0"/>
          <w:sz w:val="20"/>
          <w:szCs w:val="20"/>
        </w:rPr>
        <w:t xml:space="preserve"> V, et al. Chemoradiation comparing cisplatin versus carboplatin in locally advanced nasopharyngeal cancer: </w:t>
      </w:r>
      <w:proofErr w:type="spellStart"/>
      <w:r w:rsidRPr="00031625">
        <w:rPr>
          <w:b w:val="0"/>
          <w:bCs w:val="0"/>
          <w:sz w:val="20"/>
          <w:szCs w:val="20"/>
        </w:rPr>
        <w:t>randomised</w:t>
      </w:r>
      <w:proofErr w:type="spellEnd"/>
      <w:r w:rsidRPr="00031625">
        <w:rPr>
          <w:b w:val="0"/>
          <w:bCs w:val="0"/>
          <w:sz w:val="20"/>
          <w:szCs w:val="20"/>
        </w:rPr>
        <w:t xml:space="preserve">, non-inferiority, open trial. </w:t>
      </w:r>
      <w:proofErr w:type="spellStart"/>
      <w:r w:rsidRPr="00031625">
        <w:rPr>
          <w:b w:val="0"/>
          <w:bCs w:val="0"/>
          <w:sz w:val="20"/>
          <w:szCs w:val="20"/>
        </w:rPr>
        <w:t>Eur</w:t>
      </w:r>
      <w:proofErr w:type="spellEnd"/>
      <w:r w:rsidRPr="00031625">
        <w:rPr>
          <w:b w:val="0"/>
          <w:bCs w:val="0"/>
          <w:sz w:val="20"/>
          <w:szCs w:val="20"/>
        </w:rPr>
        <w:t xml:space="preserve"> J Cancer. 2007</w:t>
      </w:r>
      <w:proofErr w:type="gramStart"/>
      <w:r w:rsidRPr="00031625">
        <w:rPr>
          <w:b w:val="0"/>
          <w:bCs w:val="0"/>
          <w:sz w:val="20"/>
          <w:szCs w:val="20"/>
        </w:rPr>
        <w:t>;43</w:t>
      </w:r>
      <w:proofErr w:type="gramEnd"/>
      <w:r w:rsidRPr="00031625">
        <w:rPr>
          <w:b w:val="0"/>
          <w:bCs w:val="0"/>
          <w:sz w:val="20"/>
          <w:szCs w:val="20"/>
        </w:rPr>
        <w:t>(9):1399-406.</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r w:rsidRPr="00031625">
        <w:rPr>
          <w:rFonts w:ascii="Times New Roman" w:hAnsi="Times New Roman" w:cs="Times New Roman"/>
          <w:sz w:val="20"/>
          <w:szCs w:val="20"/>
        </w:rPr>
        <w:lastRenderedPageBreak/>
        <w:t xml:space="preserve">23. </w:t>
      </w:r>
      <w:proofErr w:type="spellStart"/>
      <w:r w:rsidRPr="00031625">
        <w:rPr>
          <w:rFonts w:ascii="Times New Roman" w:hAnsi="Times New Roman" w:cs="Times New Roman"/>
          <w:sz w:val="20"/>
          <w:szCs w:val="20"/>
        </w:rPr>
        <w:t>Fountzilas</w:t>
      </w:r>
      <w:proofErr w:type="spellEnd"/>
      <w:r w:rsidRPr="00031625">
        <w:rPr>
          <w:rFonts w:ascii="Times New Roman" w:hAnsi="Times New Roman" w:cs="Times New Roman"/>
          <w:sz w:val="20"/>
          <w:szCs w:val="20"/>
        </w:rPr>
        <w:t xml:space="preserve"> G, </w:t>
      </w:r>
      <w:proofErr w:type="spellStart"/>
      <w:r w:rsidRPr="00031625">
        <w:rPr>
          <w:rFonts w:ascii="Times New Roman" w:hAnsi="Times New Roman" w:cs="Times New Roman"/>
          <w:sz w:val="20"/>
          <w:szCs w:val="20"/>
        </w:rPr>
        <w:t>Ciuleanu</w:t>
      </w:r>
      <w:proofErr w:type="spellEnd"/>
      <w:r w:rsidRPr="00031625">
        <w:rPr>
          <w:rFonts w:ascii="Times New Roman" w:hAnsi="Times New Roman" w:cs="Times New Roman"/>
          <w:sz w:val="20"/>
          <w:szCs w:val="20"/>
        </w:rPr>
        <w:t xml:space="preserve"> E, Dafni U, </w:t>
      </w:r>
      <w:proofErr w:type="spellStart"/>
      <w:r w:rsidRPr="00031625">
        <w:rPr>
          <w:rFonts w:ascii="Times New Roman" w:hAnsi="Times New Roman" w:cs="Times New Roman"/>
          <w:sz w:val="20"/>
          <w:szCs w:val="20"/>
        </w:rPr>
        <w:t>Plataniotis</w:t>
      </w:r>
      <w:proofErr w:type="spellEnd"/>
      <w:r w:rsidRPr="00031625">
        <w:rPr>
          <w:rFonts w:ascii="Times New Roman" w:hAnsi="Times New Roman" w:cs="Times New Roman"/>
          <w:sz w:val="20"/>
          <w:szCs w:val="20"/>
        </w:rPr>
        <w:t xml:space="preserve"> G, </w:t>
      </w:r>
      <w:proofErr w:type="spellStart"/>
      <w:r w:rsidRPr="00031625">
        <w:rPr>
          <w:rFonts w:ascii="Times New Roman" w:hAnsi="Times New Roman" w:cs="Times New Roman"/>
          <w:sz w:val="20"/>
          <w:szCs w:val="20"/>
        </w:rPr>
        <w:t>Kalogera-Fountzila</w:t>
      </w:r>
      <w:proofErr w:type="spellEnd"/>
      <w:r w:rsidRPr="00031625">
        <w:rPr>
          <w:rFonts w:ascii="Times New Roman" w:hAnsi="Times New Roman" w:cs="Times New Roman"/>
          <w:sz w:val="20"/>
          <w:szCs w:val="20"/>
        </w:rPr>
        <w:t xml:space="preserve"> A, </w:t>
      </w:r>
      <w:proofErr w:type="spellStart"/>
      <w:r w:rsidRPr="00031625">
        <w:rPr>
          <w:rFonts w:ascii="Times New Roman" w:hAnsi="Times New Roman" w:cs="Times New Roman"/>
          <w:sz w:val="20"/>
          <w:szCs w:val="20"/>
        </w:rPr>
        <w:t>Samantas</w:t>
      </w:r>
      <w:proofErr w:type="spellEnd"/>
      <w:r w:rsidRPr="00031625">
        <w:rPr>
          <w:rFonts w:ascii="Times New Roman" w:hAnsi="Times New Roman" w:cs="Times New Roman"/>
          <w:sz w:val="20"/>
          <w:szCs w:val="20"/>
        </w:rPr>
        <w:t xml:space="preserve"> E, et al. Concomitant </w:t>
      </w:r>
      <w:proofErr w:type="spellStart"/>
      <w:r w:rsidRPr="00031625">
        <w:rPr>
          <w:rFonts w:ascii="Times New Roman" w:hAnsi="Times New Roman" w:cs="Times New Roman"/>
          <w:sz w:val="20"/>
          <w:szCs w:val="20"/>
        </w:rPr>
        <w:t>radiochemotherapy</w:t>
      </w:r>
      <w:proofErr w:type="spellEnd"/>
      <w:r w:rsidRPr="00031625">
        <w:rPr>
          <w:rFonts w:ascii="Times New Roman" w:hAnsi="Times New Roman" w:cs="Times New Roman"/>
          <w:sz w:val="20"/>
          <w:szCs w:val="20"/>
        </w:rPr>
        <w:t xml:space="preserve"> vs radiotherapy alone in patients with head and neck cancer: a Hellenic Cooperative Oncology Group Phase III Study.</w:t>
      </w:r>
      <w:r w:rsidRPr="00031625">
        <w:rPr>
          <w:rStyle w:val="highlight"/>
          <w:rFonts w:ascii="Times New Roman" w:hAnsi="Times New Roman" w:cs="Times New Roman"/>
          <w:sz w:val="20"/>
          <w:szCs w:val="20"/>
        </w:rPr>
        <w:t xml:space="preserve"> </w:t>
      </w:r>
      <w:proofErr w:type="gramStart"/>
      <w:r w:rsidRPr="00031625">
        <w:rPr>
          <w:rStyle w:val="highlight"/>
          <w:rFonts w:ascii="Times New Roman" w:hAnsi="Times New Roman" w:cs="Times New Roman"/>
          <w:sz w:val="20"/>
          <w:szCs w:val="20"/>
        </w:rPr>
        <w:t xml:space="preserve">Med </w:t>
      </w:r>
      <w:proofErr w:type="spellStart"/>
      <w:r w:rsidRPr="00031625">
        <w:rPr>
          <w:rStyle w:val="highlight"/>
          <w:rFonts w:ascii="Times New Roman" w:hAnsi="Times New Roman" w:cs="Times New Roman"/>
          <w:sz w:val="20"/>
          <w:szCs w:val="20"/>
        </w:rPr>
        <w:t>Oncol</w:t>
      </w:r>
      <w:proofErr w:type="spellEnd"/>
      <w:r w:rsidRPr="00031625">
        <w:rPr>
          <w:rFonts w:ascii="Times New Roman" w:hAnsi="Times New Roman" w:cs="Times New Roman"/>
          <w:sz w:val="20"/>
          <w:szCs w:val="20"/>
        </w:rPr>
        <w:t>.</w:t>
      </w:r>
      <w:proofErr w:type="gramEnd"/>
      <w:r w:rsidRPr="00031625">
        <w:rPr>
          <w:rFonts w:ascii="Times New Roman" w:hAnsi="Times New Roman" w:cs="Times New Roman"/>
          <w:sz w:val="20"/>
          <w:szCs w:val="20"/>
        </w:rPr>
        <w:t> </w:t>
      </w:r>
      <w:r w:rsidRPr="00031625">
        <w:rPr>
          <w:rStyle w:val="highlight"/>
          <w:rFonts w:ascii="Times New Roman" w:hAnsi="Times New Roman" w:cs="Times New Roman"/>
          <w:sz w:val="20"/>
          <w:szCs w:val="20"/>
        </w:rPr>
        <w:t>2004</w:t>
      </w:r>
      <w:proofErr w:type="gramStart"/>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21</w:t>
      </w:r>
      <w:proofErr w:type="gramEnd"/>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2</w:t>
      </w:r>
      <w:r w:rsidRPr="00031625">
        <w:rPr>
          <w:rFonts w:ascii="Times New Roman" w:hAnsi="Times New Roman" w:cs="Times New Roman"/>
          <w:sz w:val="20"/>
          <w:szCs w:val="20"/>
        </w:rPr>
        <w:t>):</w:t>
      </w:r>
      <w:r w:rsidRPr="00031625">
        <w:rPr>
          <w:rStyle w:val="highlight"/>
          <w:rFonts w:ascii="Times New Roman" w:hAnsi="Times New Roman" w:cs="Times New Roman"/>
          <w:sz w:val="20"/>
          <w:szCs w:val="20"/>
        </w:rPr>
        <w:t>95-107</w:t>
      </w:r>
      <w:r w:rsidRPr="00031625">
        <w:rPr>
          <w:rFonts w:ascii="Times New Roman" w:hAnsi="Times New Roman" w:cs="Times New Roman"/>
          <w:sz w:val="20"/>
          <w:szCs w:val="20"/>
        </w:rPr>
        <w:t>.</w:t>
      </w:r>
    </w:p>
    <w:p w:rsidR="005E78BF" w:rsidRDefault="00A3728A" w:rsidP="00A3728A">
      <w:pPr>
        <w:shd w:val="clear" w:color="auto" w:fill="FFFFFF"/>
        <w:bidi w:val="0"/>
        <w:spacing w:after="0" w:line="240" w:lineRule="auto"/>
        <w:ind w:left="360" w:hanging="360"/>
        <w:jc w:val="both"/>
        <w:rPr>
          <w:rFonts w:ascii="Times New Roman" w:hAnsi="Times New Roman" w:cs="Times New Roman"/>
          <w:sz w:val="20"/>
          <w:szCs w:val="20"/>
        </w:rPr>
        <w:sectPr w:rsidR="005E78BF" w:rsidSect="005E78BF">
          <w:type w:val="continuous"/>
          <w:pgSz w:w="11906" w:h="16838"/>
          <w:pgMar w:top="1152" w:right="1556" w:bottom="1152" w:left="1440" w:header="706" w:footer="706" w:gutter="0"/>
          <w:cols w:num="2" w:space="720"/>
          <w:rtlGutter/>
          <w:docGrid w:linePitch="360"/>
        </w:sectPr>
      </w:pPr>
      <w:r w:rsidRPr="00031625">
        <w:rPr>
          <w:rFonts w:ascii="Times New Roman" w:hAnsi="Times New Roman" w:cs="Times New Roman"/>
          <w:sz w:val="20"/>
          <w:szCs w:val="20"/>
        </w:rPr>
        <w:lastRenderedPageBreak/>
        <w:t>24. Jodrell DI, </w:t>
      </w:r>
      <w:proofErr w:type="spellStart"/>
      <w:r w:rsidRPr="00031625">
        <w:rPr>
          <w:rFonts w:ascii="Times New Roman" w:hAnsi="Times New Roman" w:cs="Times New Roman"/>
          <w:sz w:val="20"/>
          <w:szCs w:val="20"/>
        </w:rPr>
        <w:t>Egorin</w:t>
      </w:r>
      <w:proofErr w:type="spellEnd"/>
      <w:r w:rsidRPr="00031625">
        <w:rPr>
          <w:rFonts w:ascii="Times New Roman" w:hAnsi="Times New Roman" w:cs="Times New Roman"/>
          <w:sz w:val="20"/>
          <w:szCs w:val="20"/>
        </w:rPr>
        <w:t xml:space="preserve"> MJ, </w:t>
      </w:r>
      <w:proofErr w:type="spellStart"/>
      <w:r w:rsidRPr="00031625">
        <w:rPr>
          <w:rFonts w:ascii="Times New Roman" w:hAnsi="Times New Roman" w:cs="Times New Roman"/>
          <w:sz w:val="20"/>
          <w:szCs w:val="20"/>
        </w:rPr>
        <w:t>Canetta</w:t>
      </w:r>
      <w:proofErr w:type="spellEnd"/>
      <w:r w:rsidRPr="00031625">
        <w:rPr>
          <w:rFonts w:ascii="Times New Roman" w:hAnsi="Times New Roman" w:cs="Times New Roman"/>
          <w:sz w:val="20"/>
          <w:szCs w:val="20"/>
        </w:rPr>
        <w:t xml:space="preserve"> RM, </w:t>
      </w:r>
      <w:proofErr w:type="spellStart"/>
      <w:r w:rsidRPr="00031625">
        <w:rPr>
          <w:rFonts w:ascii="Times New Roman" w:hAnsi="Times New Roman" w:cs="Times New Roman"/>
          <w:sz w:val="20"/>
          <w:szCs w:val="20"/>
        </w:rPr>
        <w:t>Langenberg</w:t>
      </w:r>
      <w:proofErr w:type="spellEnd"/>
      <w:r w:rsidRPr="00031625">
        <w:rPr>
          <w:rFonts w:ascii="Times New Roman" w:hAnsi="Times New Roman" w:cs="Times New Roman"/>
          <w:sz w:val="20"/>
          <w:szCs w:val="20"/>
        </w:rPr>
        <w:t xml:space="preserve"> P, </w:t>
      </w:r>
      <w:proofErr w:type="spellStart"/>
      <w:r w:rsidRPr="00031625">
        <w:rPr>
          <w:rFonts w:ascii="Times New Roman" w:hAnsi="Times New Roman" w:cs="Times New Roman"/>
          <w:sz w:val="20"/>
          <w:szCs w:val="20"/>
        </w:rPr>
        <w:t>Goldbloom</w:t>
      </w:r>
      <w:proofErr w:type="spellEnd"/>
      <w:r w:rsidRPr="00031625">
        <w:rPr>
          <w:rFonts w:ascii="Times New Roman" w:hAnsi="Times New Roman" w:cs="Times New Roman"/>
          <w:sz w:val="20"/>
          <w:szCs w:val="20"/>
        </w:rPr>
        <w:t xml:space="preserve"> EP, Burroughs JN, et al. Relationships between carboplatin exposure and tumor response and toxicity in patients with ovarian cancer. </w:t>
      </w:r>
      <w:proofErr w:type="gramStart"/>
      <w:r w:rsidRPr="00031625">
        <w:rPr>
          <w:rFonts w:ascii="Times New Roman" w:hAnsi="Times New Roman" w:cs="Times New Roman"/>
          <w:sz w:val="20"/>
          <w:szCs w:val="20"/>
        </w:rPr>
        <w:t xml:space="preserve">J </w:t>
      </w:r>
      <w:proofErr w:type="spellStart"/>
      <w:r w:rsidRPr="00031625">
        <w:rPr>
          <w:rFonts w:ascii="Times New Roman" w:hAnsi="Times New Roman" w:cs="Times New Roman"/>
          <w:sz w:val="20"/>
          <w:szCs w:val="20"/>
        </w:rPr>
        <w:t>Clin</w:t>
      </w:r>
      <w:proofErr w:type="spellEnd"/>
      <w:r w:rsidRPr="00031625">
        <w:rPr>
          <w:rFonts w:ascii="Times New Roman" w:hAnsi="Times New Roman" w:cs="Times New Roman"/>
          <w:sz w:val="20"/>
          <w:szCs w:val="20"/>
        </w:rPr>
        <w:t xml:space="preserve"> </w:t>
      </w:r>
      <w:proofErr w:type="spellStart"/>
      <w:r w:rsidRPr="00031625">
        <w:rPr>
          <w:rFonts w:ascii="Times New Roman" w:hAnsi="Times New Roman" w:cs="Times New Roman"/>
          <w:sz w:val="20"/>
          <w:szCs w:val="20"/>
        </w:rPr>
        <w:t>Oncol</w:t>
      </w:r>
      <w:proofErr w:type="spellEnd"/>
      <w:r w:rsidRPr="00031625">
        <w:rPr>
          <w:rFonts w:ascii="Times New Roman" w:hAnsi="Times New Roman" w:cs="Times New Roman"/>
          <w:sz w:val="20"/>
          <w:szCs w:val="20"/>
        </w:rPr>
        <w:t>.</w:t>
      </w:r>
      <w:proofErr w:type="gramEnd"/>
      <w:r w:rsidRPr="00031625">
        <w:rPr>
          <w:rFonts w:ascii="Times New Roman" w:hAnsi="Times New Roman" w:cs="Times New Roman"/>
          <w:sz w:val="20"/>
          <w:szCs w:val="20"/>
        </w:rPr>
        <w:t> 1992</w:t>
      </w:r>
      <w:proofErr w:type="gramStart"/>
      <w:r w:rsidRPr="00031625">
        <w:rPr>
          <w:rFonts w:ascii="Times New Roman" w:hAnsi="Times New Roman" w:cs="Times New Roman"/>
          <w:sz w:val="20"/>
          <w:szCs w:val="20"/>
        </w:rPr>
        <w:t>;10</w:t>
      </w:r>
      <w:proofErr w:type="gramEnd"/>
      <w:r w:rsidRPr="00031625">
        <w:rPr>
          <w:rFonts w:ascii="Times New Roman" w:hAnsi="Times New Roman" w:cs="Times New Roman"/>
          <w:sz w:val="20"/>
          <w:szCs w:val="20"/>
        </w:rPr>
        <w:t>(4):520-8.</w:t>
      </w:r>
    </w:p>
    <w:p w:rsidR="00A3728A" w:rsidRPr="00031625" w:rsidRDefault="00A3728A" w:rsidP="00A3728A">
      <w:pPr>
        <w:shd w:val="clear" w:color="auto" w:fill="FFFFFF"/>
        <w:bidi w:val="0"/>
        <w:spacing w:after="0" w:line="240" w:lineRule="auto"/>
        <w:ind w:left="360" w:hanging="360"/>
        <w:jc w:val="both"/>
        <w:rPr>
          <w:rFonts w:ascii="Times New Roman" w:hAnsi="Times New Roman" w:cs="Times New Roman"/>
          <w:sz w:val="20"/>
          <w:szCs w:val="20"/>
        </w:rPr>
      </w:pPr>
    </w:p>
    <w:p w:rsidR="00A3728A" w:rsidRPr="00031625" w:rsidRDefault="00A3728A" w:rsidP="00A3728A">
      <w:pPr>
        <w:pStyle w:val="Heading1"/>
        <w:shd w:val="clear" w:color="auto" w:fill="FFFFFF"/>
        <w:spacing w:before="120" w:beforeAutospacing="0" w:after="120" w:afterAutospacing="0"/>
        <w:rPr>
          <w:sz w:val="20"/>
          <w:szCs w:val="20"/>
        </w:rPr>
        <w:sectPr w:rsidR="00A3728A" w:rsidRPr="00031625" w:rsidSect="0015154D">
          <w:type w:val="continuous"/>
          <w:pgSz w:w="11906" w:h="16838"/>
          <w:pgMar w:top="1152" w:right="1556" w:bottom="1152" w:left="1440" w:header="706" w:footer="706" w:gutter="0"/>
          <w:cols w:num="2" w:space="720"/>
          <w:rtlGutter/>
          <w:docGrid w:linePitch="360"/>
        </w:sectPr>
      </w:pPr>
    </w:p>
    <w:p w:rsidR="00A3728A" w:rsidRPr="00031625" w:rsidRDefault="00A3728A" w:rsidP="00A3728A">
      <w:pPr>
        <w:bidi w:val="0"/>
        <w:spacing w:after="0" w:line="240" w:lineRule="auto"/>
        <w:jc w:val="lowKashida"/>
        <w:rPr>
          <w:rStyle w:val="apple-style-span"/>
          <w:rFonts w:ascii="Times New Roman" w:hAnsi="Times New Roman" w:cs="Times New Roman"/>
          <w:b/>
          <w:bCs/>
          <w:sz w:val="20"/>
          <w:szCs w:val="20"/>
        </w:rPr>
      </w:pPr>
    </w:p>
    <w:sectPr w:rsidR="00A3728A" w:rsidRPr="00031625" w:rsidSect="007F7BC8">
      <w:type w:val="continuous"/>
      <w:pgSz w:w="11906" w:h="16838"/>
      <w:pgMar w:top="1440" w:right="1440" w:bottom="1440" w:left="1440" w:header="706" w:footer="706" w:gutter="0"/>
      <w:cols w:space="334"/>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77" w:rsidRDefault="001C2177" w:rsidP="00BB083F">
      <w:pPr>
        <w:spacing w:after="0" w:line="240" w:lineRule="auto"/>
      </w:pPr>
      <w:r>
        <w:separator/>
      </w:r>
    </w:p>
  </w:endnote>
  <w:endnote w:type="continuationSeparator" w:id="0">
    <w:p w:rsidR="001C2177" w:rsidRDefault="001C2177" w:rsidP="00BB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800984"/>
      <w:docPartObj>
        <w:docPartGallery w:val="Page Numbers (Bottom of Page)"/>
        <w:docPartUnique/>
      </w:docPartObj>
    </w:sdtPr>
    <w:sdtEndPr>
      <w:rPr>
        <w:noProof/>
      </w:rPr>
    </w:sdtEndPr>
    <w:sdtContent>
      <w:p w:rsidR="004901BB" w:rsidRDefault="004901BB">
        <w:pPr>
          <w:pStyle w:val="Footer"/>
          <w:jc w:val="center"/>
        </w:pPr>
        <w:r>
          <w:fldChar w:fldCharType="begin"/>
        </w:r>
        <w:r>
          <w:instrText xml:space="preserve"> PAGE   \* MERGEFORMAT </w:instrText>
        </w:r>
        <w:r>
          <w:fldChar w:fldCharType="separate"/>
        </w:r>
        <w:r>
          <w:rPr>
            <w:noProof/>
            <w:rtl/>
          </w:rPr>
          <w:t>146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77" w:rsidRDefault="001C2177" w:rsidP="00BB083F">
      <w:pPr>
        <w:spacing w:after="0" w:line="240" w:lineRule="auto"/>
      </w:pPr>
      <w:r>
        <w:separator/>
      </w:r>
    </w:p>
  </w:footnote>
  <w:footnote w:type="continuationSeparator" w:id="0">
    <w:p w:rsidR="001C2177" w:rsidRDefault="001C2177" w:rsidP="00BB0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3F" w:rsidRPr="00CC65D6" w:rsidRDefault="00BB083F" w:rsidP="004901BB">
    <w:pPr>
      <w:pBdr>
        <w:bottom w:val="thinThickMediumGap" w:sz="12" w:space="0" w:color="auto"/>
      </w:pBdr>
      <w:tabs>
        <w:tab w:val="left" w:pos="851"/>
        <w:tab w:val="right" w:pos="8364"/>
      </w:tabs>
      <w:bidi w:val="0"/>
      <w:adjustRightInd w:val="0"/>
      <w:snapToGrid w:val="0"/>
      <w:jc w:val="center"/>
      <w:rPr>
        <w:rFonts w:ascii="Times New Roman" w:eastAsia="SimSun" w:hAnsi="Times New Roman" w:cs="Times New Roman"/>
        <w:iCs/>
        <w:color w:val="0000FF"/>
        <w:sz w:val="20"/>
        <w:szCs w:val="20"/>
      </w:rPr>
    </w:pPr>
    <w:r w:rsidRPr="00CC65D6">
      <w:rPr>
        <w:rFonts w:ascii="Times New Roman" w:eastAsia="SimSun" w:hAnsi="Times New Roman" w:cs="Times New Roman"/>
        <w:iCs/>
        <w:color w:val="000000"/>
        <w:sz w:val="20"/>
        <w:szCs w:val="20"/>
      </w:rPr>
      <w:t xml:space="preserve">Cancer Biology </w:t>
    </w:r>
    <w:r w:rsidR="00CC65D6">
      <w:rPr>
        <w:rFonts w:ascii="Times New Roman" w:eastAsia="SimSun" w:hAnsi="Times New Roman" w:cs="Times New Roman"/>
        <w:iCs/>
        <w:sz w:val="20"/>
        <w:szCs w:val="20"/>
      </w:rPr>
      <w:t>2018</w:t>
    </w:r>
    <w:proofErr w:type="gramStart"/>
    <w:r w:rsidRPr="00CC65D6">
      <w:rPr>
        <w:rFonts w:ascii="Times New Roman" w:eastAsia="SimSun" w:hAnsi="Times New Roman" w:cs="Times New Roman"/>
        <w:iCs/>
        <w:sz w:val="20"/>
        <w:szCs w:val="20"/>
      </w:rPr>
      <w:t>;</w:t>
    </w:r>
    <w:r w:rsidR="00CC65D6">
      <w:rPr>
        <w:rFonts w:ascii="Times New Roman" w:eastAsia="SimSun" w:hAnsi="Times New Roman" w:cs="Times New Roman"/>
        <w:iCs/>
        <w:sz w:val="20"/>
        <w:szCs w:val="20"/>
      </w:rPr>
      <w:t>8</w:t>
    </w:r>
    <w:proofErr w:type="gramEnd"/>
    <w:r w:rsidRPr="00CC65D6">
      <w:rPr>
        <w:rFonts w:ascii="Times New Roman" w:eastAsia="SimSun" w:hAnsi="Times New Roman" w:cs="Times New Roman"/>
        <w:iCs/>
        <w:sz w:val="20"/>
        <w:szCs w:val="20"/>
      </w:rPr>
      <w:t>(</w:t>
    </w:r>
    <w:r w:rsidR="004901BB">
      <w:rPr>
        <w:rFonts w:ascii="Times New Roman" w:eastAsia="SimSun" w:hAnsi="Times New Roman" w:cs="Times New Roman"/>
        <w:iCs/>
        <w:sz w:val="20"/>
        <w:szCs w:val="20"/>
      </w:rPr>
      <w:t>4</w:t>
    </w:r>
    <w:r w:rsidRPr="00CC65D6">
      <w:rPr>
        <w:rFonts w:ascii="Times New Roman" w:eastAsia="SimSun" w:hAnsi="Times New Roman" w:cs="Times New Roman"/>
        <w:iCs/>
        <w:sz w:val="20"/>
        <w:szCs w:val="20"/>
      </w:rPr>
      <w:t xml:space="preserve">)  </w:t>
    </w:r>
    <w:r w:rsidRPr="009B1AE2">
      <w:rPr>
        <w:rFonts w:eastAsia="SimSun"/>
        <w:iCs/>
        <w:sz w:val="20"/>
        <w:szCs w:val="20"/>
      </w:rPr>
      <w:t xml:space="preserve">   </w:t>
    </w:r>
    <w:r w:rsidRPr="009B1AE2">
      <w:rPr>
        <w:rFonts w:eastAsia="SimSun"/>
        <w:iCs/>
        <w:sz w:val="20"/>
        <w:szCs w:val="20"/>
      </w:rPr>
      <w:tab/>
    </w:r>
    <w:hyperlink r:id="rId1" w:history="1">
      <w:r w:rsidRPr="00CC65D6">
        <w:rPr>
          <w:rFonts w:ascii="Times New Roman" w:eastAsia="SimSun" w:hAnsi="Times New Roman" w:cs="Times New Roman"/>
          <w:color w:val="0000FF"/>
          <w:sz w:val="20"/>
          <w:szCs w:val="20"/>
          <w:u w:val="single"/>
        </w:rPr>
        <w:t>http://www.cancerbio.net</w:t>
      </w:r>
    </w:hyperlink>
  </w:p>
  <w:p w:rsidR="00BB083F" w:rsidRPr="00BB083F" w:rsidRDefault="00BB083F" w:rsidP="00BB0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0etfptl0ssr9etaz6v9xp5es5xafzd0ata&quot;&gt;Research&lt;record-ids&gt;&lt;item&gt;4&lt;/item&gt;&lt;item&gt;5&lt;/item&gt;&lt;item&gt;6&lt;/item&gt;&lt;item&gt;7&lt;/item&gt;&lt;item&gt;8&lt;/item&gt;&lt;item&gt;9&lt;/item&gt;&lt;item&gt;13&lt;/item&gt;&lt;item&gt;15&lt;/item&gt;&lt;item&gt;19&lt;/item&gt;&lt;item&gt;20&lt;/item&gt;&lt;item&gt;23&lt;/item&gt;&lt;item&gt;24&lt;/item&gt;&lt;item&gt;25&lt;/item&gt;&lt;item&gt;26&lt;/item&gt;&lt;item&gt;27&lt;/item&gt;&lt;item&gt;29&lt;/item&gt;&lt;item&gt;30&lt;/item&gt;&lt;item&gt;31&lt;/item&gt;&lt;item&gt;32&lt;/item&gt;&lt;item&gt;33&lt;/item&gt;&lt;item&gt;34&lt;/item&gt;&lt;item&gt;35&lt;/item&gt;&lt;item&gt;36&lt;/item&gt;&lt;/record-ids&gt;&lt;/item&gt;&lt;/Libraries&gt;"/>
  </w:docVars>
  <w:rsids>
    <w:rsidRoot w:val="00A370E9"/>
    <w:rsid w:val="00002611"/>
    <w:rsid w:val="00020390"/>
    <w:rsid w:val="00024B5F"/>
    <w:rsid w:val="00024D03"/>
    <w:rsid w:val="00031625"/>
    <w:rsid w:val="00033208"/>
    <w:rsid w:val="00040F9A"/>
    <w:rsid w:val="0004273C"/>
    <w:rsid w:val="000479ED"/>
    <w:rsid w:val="00050E2F"/>
    <w:rsid w:val="00051321"/>
    <w:rsid w:val="000522C2"/>
    <w:rsid w:val="000569C6"/>
    <w:rsid w:val="00065951"/>
    <w:rsid w:val="00070F41"/>
    <w:rsid w:val="000729D5"/>
    <w:rsid w:val="000778F4"/>
    <w:rsid w:val="000830FD"/>
    <w:rsid w:val="000868EE"/>
    <w:rsid w:val="000A1052"/>
    <w:rsid w:val="000A29EE"/>
    <w:rsid w:val="000A70D0"/>
    <w:rsid w:val="000B28CC"/>
    <w:rsid w:val="000B5BAD"/>
    <w:rsid w:val="000B65A6"/>
    <w:rsid w:val="000B6A6A"/>
    <w:rsid w:val="000C12E6"/>
    <w:rsid w:val="000C3324"/>
    <w:rsid w:val="000C41BE"/>
    <w:rsid w:val="000C4CED"/>
    <w:rsid w:val="000D18BD"/>
    <w:rsid w:val="000E33D0"/>
    <w:rsid w:val="000E7CF0"/>
    <w:rsid w:val="000F6215"/>
    <w:rsid w:val="00100E8C"/>
    <w:rsid w:val="001017BC"/>
    <w:rsid w:val="00102237"/>
    <w:rsid w:val="001025C5"/>
    <w:rsid w:val="00102B95"/>
    <w:rsid w:val="001110DA"/>
    <w:rsid w:val="00120517"/>
    <w:rsid w:val="00123307"/>
    <w:rsid w:val="00124511"/>
    <w:rsid w:val="00126FED"/>
    <w:rsid w:val="00130B66"/>
    <w:rsid w:val="00143D1F"/>
    <w:rsid w:val="0014438A"/>
    <w:rsid w:val="0015154D"/>
    <w:rsid w:val="00153D19"/>
    <w:rsid w:val="001555AE"/>
    <w:rsid w:val="00161E67"/>
    <w:rsid w:val="00162967"/>
    <w:rsid w:val="00162B68"/>
    <w:rsid w:val="00175D31"/>
    <w:rsid w:val="00180D42"/>
    <w:rsid w:val="00180E06"/>
    <w:rsid w:val="00181663"/>
    <w:rsid w:val="00190C4D"/>
    <w:rsid w:val="0019197C"/>
    <w:rsid w:val="001A1822"/>
    <w:rsid w:val="001A5F9C"/>
    <w:rsid w:val="001B24FA"/>
    <w:rsid w:val="001B4826"/>
    <w:rsid w:val="001B570E"/>
    <w:rsid w:val="001B7828"/>
    <w:rsid w:val="001C2177"/>
    <w:rsid w:val="001C3BF0"/>
    <w:rsid w:val="001C3D94"/>
    <w:rsid w:val="001C529B"/>
    <w:rsid w:val="001E1ADE"/>
    <w:rsid w:val="001E2982"/>
    <w:rsid w:val="001E5B13"/>
    <w:rsid w:val="001E61C5"/>
    <w:rsid w:val="001F1ECC"/>
    <w:rsid w:val="001F24BB"/>
    <w:rsid w:val="001F6AE2"/>
    <w:rsid w:val="00204A0F"/>
    <w:rsid w:val="002053F8"/>
    <w:rsid w:val="0021505C"/>
    <w:rsid w:val="00216B54"/>
    <w:rsid w:val="00230047"/>
    <w:rsid w:val="00241FC2"/>
    <w:rsid w:val="00244ACA"/>
    <w:rsid w:val="00247874"/>
    <w:rsid w:val="00250A44"/>
    <w:rsid w:val="00257D6B"/>
    <w:rsid w:val="00263D5C"/>
    <w:rsid w:val="00266A11"/>
    <w:rsid w:val="00271A88"/>
    <w:rsid w:val="00274B54"/>
    <w:rsid w:val="00274BD4"/>
    <w:rsid w:val="00276382"/>
    <w:rsid w:val="002912EF"/>
    <w:rsid w:val="002A0037"/>
    <w:rsid w:val="002A3330"/>
    <w:rsid w:val="002A36FE"/>
    <w:rsid w:val="002B1112"/>
    <w:rsid w:val="002B4433"/>
    <w:rsid w:val="002C1830"/>
    <w:rsid w:val="002C2A89"/>
    <w:rsid w:val="002C3B8C"/>
    <w:rsid w:val="002D5CA5"/>
    <w:rsid w:val="002D722E"/>
    <w:rsid w:val="002E060E"/>
    <w:rsid w:val="002E2D34"/>
    <w:rsid w:val="002E6498"/>
    <w:rsid w:val="002F649F"/>
    <w:rsid w:val="00302689"/>
    <w:rsid w:val="00306A53"/>
    <w:rsid w:val="00306CE7"/>
    <w:rsid w:val="0031075E"/>
    <w:rsid w:val="00311306"/>
    <w:rsid w:val="00315AD1"/>
    <w:rsid w:val="00327335"/>
    <w:rsid w:val="00327420"/>
    <w:rsid w:val="0033664C"/>
    <w:rsid w:val="00345953"/>
    <w:rsid w:val="00346196"/>
    <w:rsid w:val="00351D4C"/>
    <w:rsid w:val="00353558"/>
    <w:rsid w:val="00357B8B"/>
    <w:rsid w:val="0036214A"/>
    <w:rsid w:val="00364E3D"/>
    <w:rsid w:val="00367F4D"/>
    <w:rsid w:val="0037400B"/>
    <w:rsid w:val="00383595"/>
    <w:rsid w:val="0039025D"/>
    <w:rsid w:val="003915C1"/>
    <w:rsid w:val="00391A5A"/>
    <w:rsid w:val="00393F08"/>
    <w:rsid w:val="003958D8"/>
    <w:rsid w:val="003A00A4"/>
    <w:rsid w:val="003A040C"/>
    <w:rsid w:val="003A344C"/>
    <w:rsid w:val="003B2913"/>
    <w:rsid w:val="003B79A0"/>
    <w:rsid w:val="003C4891"/>
    <w:rsid w:val="003D053F"/>
    <w:rsid w:val="003E198E"/>
    <w:rsid w:val="003E30E7"/>
    <w:rsid w:val="003E3500"/>
    <w:rsid w:val="003F00BF"/>
    <w:rsid w:val="003F24AE"/>
    <w:rsid w:val="003F339D"/>
    <w:rsid w:val="003F3A8A"/>
    <w:rsid w:val="003F4175"/>
    <w:rsid w:val="00411A54"/>
    <w:rsid w:val="00412704"/>
    <w:rsid w:val="00412734"/>
    <w:rsid w:val="00417AF5"/>
    <w:rsid w:val="00420510"/>
    <w:rsid w:val="00420719"/>
    <w:rsid w:val="0042606E"/>
    <w:rsid w:val="004333B5"/>
    <w:rsid w:val="00434741"/>
    <w:rsid w:val="00434AB8"/>
    <w:rsid w:val="00435385"/>
    <w:rsid w:val="00435679"/>
    <w:rsid w:val="00437570"/>
    <w:rsid w:val="004375B4"/>
    <w:rsid w:val="004401EF"/>
    <w:rsid w:val="00440F4C"/>
    <w:rsid w:val="0044338F"/>
    <w:rsid w:val="0044662D"/>
    <w:rsid w:val="00451A5B"/>
    <w:rsid w:val="00451B1A"/>
    <w:rsid w:val="00451EC7"/>
    <w:rsid w:val="00455260"/>
    <w:rsid w:val="004560C8"/>
    <w:rsid w:val="00462D61"/>
    <w:rsid w:val="0046334E"/>
    <w:rsid w:val="00466BA8"/>
    <w:rsid w:val="004705E3"/>
    <w:rsid w:val="004718F3"/>
    <w:rsid w:val="00475797"/>
    <w:rsid w:val="00476413"/>
    <w:rsid w:val="00476B75"/>
    <w:rsid w:val="00484002"/>
    <w:rsid w:val="004901BB"/>
    <w:rsid w:val="004929B9"/>
    <w:rsid w:val="00495574"/>
    <w:rsid w:val="00495B03"/>
    <w:rsid w:val="00496AB3"/>
    <w:rsid w:val="004A0049"/>
    <w:rsid w:val="004A06A4"/>
    <w:rsid w:val="004A14F7"/>
    <w:rsid w:val="004A79DF"/>
    <w:rsid w:val="004B7D41"/>
    <w:rsid w:val="004D2FDD"/>
    <w:rsid w:val="004D3C8B"/>
    <w:rsid w:val="004D7A8D"/>
    <w:rsid w:val="004E2757"/>
    <w:rsid w:val="004E47E4"/>
    <w:rsid w:val="004E705C"/>
    <w:rsid w:val="004F1B1E"/>
    <w:rsid w:val="004F4D09"/>
    <w:rsid w:val="00503FC8"/>
    <w:rsid w:val="00505382"/>
    <w:rsid w:val="0050689E"/>
    <w:rsid w:val="00514E4C"/>
    <w:rsid w:val="00516003"/>
    <w:rsid w:val="005175E7"/>
    <w:rsid w:val="00530132"/>
    <w:rsid w:val="0053221A"/>
    <w:rsid w:val="00533980"/>
    <w:rsid w:val="00537BFF"/>
    <w:rsid w:val="00543664"/>
    <w:rsid w:val="0054372D"/>
    <w:rsid w:val="0054461D"/>
    <w:rsid w:val="00544934"/>
    <w:rsid w:val="00546A7B"/>
    <w:rsid w:val="00547CE1"/>
    <w:rsid w:val="005562E1"/>
    <w:rsid w:val="005579F1"/>
    <w:rsid w:val="00566058"/>
    <w:rsid w:val="00572DA5"/>
    <w:rsid w:val="00573681"/>
    <w:rsid w:val="00576F8C"/>
    <w:rsid w:val="005776D3"/>
    <w:rsid w:val="005815D6"/>
    <w:rsid w:val="00592781"/>
    <w:rsid w:val="00594F8F"/>
    <w:rsid w:val="00595702"/>
    <w:rsid w:val="00595851"/>
    <w:rsid w:val="005A1A27"/>
    <w:rsid w:val="005A4199"/>
    <w:rsid w:val="005B6AEB"/>
    <w:rsid w:val="005C181C"/>
    <w:rsid w:val="005C2D87"/>
    <w:rsid w:val="005C31AB"/>
    <w:rsid w:val="005C34DD"/>
    <w:rsid w:val="005E0467"/>
    <w:rsid w:val="005E395A"/>
    <w:rsid w:val="005E45B2"/>
    <w:rsid w:val="005E78BF"/>
    <w:rsid w:val="005F02C0"/>
    <w:rsid w:val="005F3B87"/>
    <w:rsid w:val="00606510"/>
    <w:rsid w:val="00606589"/>
    <w:rsid w:val="00617A09"/>
    <w:rsid w:val="00622B6F"/>
    <w:rsid w:val="00630D75"/>
    <w:rsid w:val="00634ED1"/>
    <w:rsid w:val="00646F6F"/>
    <w:rsid w:val="00660E66"/>
    <w:rsid w:val="00673379"/>
    <w:rsid w:val="00675286"/>
    <w:rsid w:val="006809F0"/>
    <w:rsid w:val="00681348"/>
    <w:rsid w:val="0068325F"/>
    <w:rsid w:val="00684EB7"/>
    <w:rsid w:val="00693286"/>
    <w:rsid w:val="006A4792"/>
    <w:rsid w:val="006A5657"/>
    <w:rsid w:val="006B0B66"/>
    <w:rsid w:val="006B3F64"/>
    <w:rsid w:val="006D2B1F"/>
    <w:rsid w:val="006D7442"/>
    <w:rsid w:val="006E025C"/>
    <w:rsid w:val="006E2946"/>
    <w:rsid w:val="006E425C"/>
    <w:rsid w:val="006E44A1"/>
    <w:rsid w:val="006F2280"/>
    <w:rsid w:val="006F30BB"/>
    <w:rsid w:val="006F37C8"/>
    <w:rsid w:val="006F4FD5"/>
    <w:rsid w:val="00734403"/>
    <w:rsid w:val="00747BA9"/>
    <w:rsid w:val="00747DBB"/>
    <w:rsid w:val="007533D5"/>
    <w:rsid w:val="007653CD"/>
    <w:rsid w:val="00771C0B"/>
    <w:rsid w:val="0077393C"/>
    <w:rsid w:val="0077452E"/>
    <w:rsid w:val="00774945"/>
    <w:rsid w:val="00777252"/>
    <w:rsid w:val="00782212"/>
    <w:rsid w:val="0078287F"/>
    <w:rsid w:val="007866DA"/>
    <w:rsid w:val="00790822"/>
    <w:rsid w:val="007924B1"/>
    <w:rsid w:val="00794C31"/>
    <w:rsid w:val="00796A68"/>
    <w:rsid w:val="007A48C3"/>
    <w:rsid w:val="007B00D3"/>
    <w:rsid w:val="007B2077"/>
    <w:rsid w:val="007B6656"/>
    <w:rsid w:val="007B6BF0"/>
    <w:rsid w:val="007C1ECE"/>
    <w:rsid w:val="007C2D2E"/>
    <w:rsid w:val="007C5868"/>
    <w:rsid w:val="007C5A8B"/>
    <w:rsid w:val="007C6E0B"/>
    <w:rsid w:val="007C7F78"/>
    <w:rsid w:val="007D2748"/>
    <w:rsid w:val="007D677B"/>
    <w:rsid w:val="007E1C5C"/>
    <w:rsid w:val="007E5EC6"/>
    <w:rsid w:val="007F2EBA"/>
    <w:rsid w:val="007F3E81"/>
    <w:rsid w:val="007F41D4"/>
    <w:rsid w:val="007F4BCA"/>
    <w:rsid w:val="007F4C74"/>
    <w:rsid w:val="007F7BC8"/>
    <w:rsid w:val="008018F3"/>
    <w:rsid w:val="00801E7A"/>
    <w:rsid w:val="00816A51"/>
    <w:rsid w:val="00821882"/>
    <w:rsid w:val="00821A79"/>
    <w:rsid w:val="00825BF8"/>
    <w:rsid w:val="0083352D"/>
    <w:rsid w:val="00835B5A"/>
    <w:rsid w:val="00855E18"/>
    <w:rsid w:val="00875858"/>
    <w:rsid w:val="00883044"/>
    <w:rsid w:val="00885F3B"/>
    <w:rsid w:val="0088655C"/>
    <w:rsid w:val="0088797F"/>
    <w:rsid w:val="00891037"/>
    <w:rsid w:val="008943E6"/>
    <w:rsid w:val="00896A4A"/>
    <w:rsid w:val="008A16CF"/>
    <w:rsid w:val="008A5558"/>
    <w:rsid w:val="008B59FA"/>
    <w:rsid w:val="008B6125"/>
    <w:rsid w:val="008C36A6"/>
    <w:rsid w:val="008D66E2"/>
    <w:rsid w:val="008D75AB"/>
    <w:rsid w:val="008E2CD4"/>
    <w:rsid w:val="008E62CE"/>
    <w:rsid w:val="008F0CE0"/>
    <w:rsid w:val="008F2AB9"/>
    <w:rsid w:val="008F4372"/>
    <w:rsid w:val="008F5F24"/>
    <w:rsid w:val="008F63F4"/>
    <w:rsid w:val="00906BA8"/>
    <w:rsid w:val="0090794D"/>
    <w:rsid w:val="00916FBF"/>
    <w:rsid w:val="00922188"/>
    <w:rsid w:val="00922346"/>
    <w:rsid w:val="00925FAC"/>
    <w:rsid w:val="009264B3"/>
    <w:rsid w:val="00926DE0"/>
    <w:rsid w:val="00931876"/>
    <w:rsid w:val="009322CE"/>
    <w:rsid w:val="00936C21"/>
    <w:rsid w:val="00943B5C"/>
    <w:rsid w:val="00943DDD"/>
    <w:rsid w:val="00952850"/>
    <w:rsid w:val="00956577"/>
    <w:rsid w:val="00956E8C"/>
    <w:rsid w:val="00966607"/>
    <w:rsid w:val="00967C4F"/>
    <w:rsid w:val="00970CFC"/>
    <w:rsid w:val="00977AEB"/>
    <w:rsid w:val="0098523D"/>
    <w:rsid w:val="009867F6"/>
    <w:rsid w:val="009908EC"/>
    <w:rsid w:val="009919E0"/>
    <w:rsid w:val="00991E86"/>
    <w:rsid w:val="0099587D"/>
    <w:rsid w:val="009A602F"/>
    <w:rsid w:val="009A6054"/>
    <w:rsid w:val="009B3E4C"/>
    <w:rsid w:val="009B6C99"/>
    <w:rsid w:val="009B71A2"/>
    <w:rsid w:val="009C7300"/>
    <w:rsid w:val="009C73FA"/>
    <w:rsid w:val="009D2F27"/>
    <w:rsid w:val="009D4A8C"/>
    <w:rsid w:val="009E0E15"/>
    <w:rsid w:val="009E1272"/>
    <w:rsid w:val="009E19C5"/>
    <w:rsid w:val="009F0746"/>
    <w:rsid w:val="009F5CC6"/>
    <w:rsid w:val="009F6155"/>
    <w:rsid w:val="00A02942"/>
    <w:rsid w:val="00A049D5"/>
    <w:rsid w:val="00A1377F"/>
    <w:rsid w:val="00A1510B"/>
    <w:rsid w:val="00A26DE3"/>
    <w:rsid w:val="00A370E9"/>
    <w:rsid w:val="00A3728A"/>
    <w:rsid w:val="00A415F4"/>
    <w:rsid w:val="00A41E1B"/>
    <w:rsid w:val="00A430D8"/>
    <w:rsid w:val="00A43543"/>
    <w:rsid w:val="00A51314"/>
    <w:rsid w:val="00A55887"/>
    <w:rsid w:val="00A63CBC"/>
    <w:rsid w:val="00A80FDD"/>
    <w:rsid w:val="00A81662"/>
    <w:rsid w:val="00AA039F"/>
    <w:rsid w:val="00AA6F73"/>
    <w:rsid w:val="00AB1C13"/>
    <w:rsid w:val="00AB5094"/>
    <w:rsid w:val="00AC2953"/>
    <w:rsid w:val="00AD1C6F"/>
    <w:rsid w:val="00AD47D8"/>
    <w:rsid w:val="00AD6D55"/>
    <w:rsid w:val="00AD7E58"/>
    <w:rsid w:val="00AE193E"/>
    <w:rsid w:val="00AE29DE"/>
    <w:rsid w:val="00AE2F5D"/>
    <w:rsid w:val="00AE5338"/>
    <w:rsid w:val="00AF459E"/>
    <w:rsid w:val="00B01645"/>
    <w:rsid w:val="00B021A4"/>
    <w:rsid w:val="00B024FA"/>
    <w:rsid w:val="00B039B0"/>
    <w:rsid w:val="00B0480D"/>
    <w:rsid w:val="00B1173F"/>
    <w:rsid w:val="00B148F1"/>
    <w:rsid w:val="00B17D49"/>
    <w:rsid w:val="00B3053B"/>
    <w:rsid w:val="00B31F6F"/>
    <w:rsid w:val="00B37D72"/>
    <w:rsid w:val="00B4071A"/>
    <w:rsid w:val="00B407B6"/>
    <w:rsid w:val="00B51019"/>
    <w:rsid w:val="00B63543"/>
    <w:rsid w:val="00B63F07"/>
    <w:rsid w:val="00B754FC"/>
    <w:rsid w:val="00B809FC"/>
    <w:rsid w:val="00B8409B"/>
    <w:rsid w:val="00B84AD2"/>
    <w:rsid w:val="00B875A6"/>
    <w:rsid w:val="00B91179"/>
    <w:rsid w:val="00B95324"/>
    <w:rsid w:val="00B96BBA"/>
    <w:rsid w:val="00BA04CA"/>
    <w:rsid w:val="00BA0BE9"/>
    <w:rsid w:val="00BA1683"/>
    <w:rsid w:val="00BB083F"/>
    <w:rsid w:val="00BB130B"/>
    <w:rsid w:val="00BB7592"/>
    <w:rsid w:val="00BC0266"/>
    <w:rsid w:val="00BC55E4"/>
    <w:rsid w:val="00BC5669"/>
    <w:rsid w:val="00BE39EB"/>
    <w:rsid w:val="00BF128D"/>
    <w:rsid w:val="00C00A57"/>
    <w:rsid w:val="00C0386E"/>
    <w:rsid w:val="00C27487"/>
    <w:rsid w:val="00C274D4"/>
    <w:rsid w:val="00C27F65"/>
    <w:rsid w:val="00C31C36"/>
    <w:rsid w:val="00C34D53"/>
    <w:rsid w:val="00C37F1B"/>
    <w:rsid w:val="00C45A60"/>
    <w:rsid w:val="00C4621C"/>
    <w:rsid w:val="00C4624B"/>
    <w:rsid w:val="00C470F1"/>
    <w:rsid w:val="00C63DF4"/>
    <w:rsid w:val="00C75F2C"/>
    <w:rsid w:val="00C76B8B"/>
    <w:rsid w:val="00C76F3B"/>
    <w:rsid w:val="00C77EE4"/>
    <w:rsid w:val="00C83A66"/>
    <w:rsid w:val="00C83E95"/>
    <w:rsid w:val="00C84DC0"/>
    <w:rsid w:val="00C862EC"/>
    <w:rsid w:val="00C90A0D"/>
    <w:rsid w:val="00C93CDA"/>
    <w:rsid w:val="00C976BC"/>
    <w:rsid w:val="00CA2DA5"/>
    <w:rsid w:val="00CB568F"/>
    <w:rsid w:val="00CC4014"/>
    <w:rsid w:val="00CC65D6"/>
    <w:rsid w:val="00CC6F61"/>
    <w:rsid w:val="00CC6FE2"/>
    <w:rsid w:val="00CC741C"/>
    <w:rsid w:val="00CD3F27"/>
    <w:rsid w:val="00CD4402"/>
    <w:rsid w:val="00CE13F7"/>
    <w:rsid w:val="00CE2BAF"/>
    <w:rsid w:val="00CE360D"/>
    <w:rsid w:val="00CE54B3"/>
    <w:rsid w:val="00CF016C"/>
    <w:rsid w:val="00CF3F59"/>
    <w:rsid w:val="00CF622F"/>
    <w:rsid w:val="00D04076"/>
    <w:rsid w:val="00D063CE"/>
    <w:rsid w:val="00D14029"/>
    <w:rsid w:val="00D1780F"/>
    <w:rsid w:val="00D17B1E"/>
    <w:rsid w:val="00D2285A"/>
    <w:rsid w:val="00D2653A"/>
    <w:rsid w:val="00D26D09"/>
    <w:rsid w:val="00D31910"/>
    <w:rsid w:val="00D32C3D"/>
    <w:rsid w:val="00D35BAB"/>
    <w:rsid w:val="00D45A25"/>
    <w:rsid w:val="00D56062"/>
    <w:rsid w:val="00D5641F"/>
    <w:rsid w:val="00D571A3"/>
    <w:rsid w:val="00D67A04"/>
    <w:rsid w:val="00D71264"/>
    <w:rsid w:val="00D72258"/>
    <w:rsid w:val="00D733F2"/>
    <w:rsid w:val="00D73AAA"/>
    <w:rsid w:val="00D74EB9"/>
    <w:rsid w:val="00D750E5"/>
    <w:rsid w:val="00D76E54"/>
    <w:rsid w:val="00D76E62"/>
    <w:rsid w:val="00D84249"/>
    <w:rsid w:val="00D92A0A"/>
    <w:rsid w:val="00D930C6"/>
    <w:rsid w:val="00DA1C2F"/>
    <w:rsid w:val="00DB7C2F"/>
    <w:rsid w:val="00DC0772"/>
    <w:rsid w:val="00DC4CED"/>
    <w:rsid w:val="00DC53A8"/>
    <w:rsid w:val="00DC7B51"/>
    <w:rsid w:val="00DD49AD"/>
    <w:rsid w:val="00DE519D"/>
    <w:rsid w:val="00DE5292"/>
    <w:rsid w:val="00DF067A"/>
    <w:rsid w:val="00DF386E"/>
    <w:rsid w:val="00E0495B"/>
    <w:rsid w:val="00E04A5F"/>
    <w:rsid w:val="00E05019"/>
    <w:rsid w:val="00E0633D"/>
    <w:rsid w:val="00E06C5D"/>
    <w:rsid w:val="00E11FCA"/>
    <w:rsid w:val="00E12728"/>
    <w:rsid w:val="00E155D6"/>
    <w:rsid w:val="00E21B4B"/>
    <w:rsid w:val="00E27581"/>
    <w:rsid w:val="00E30771"/>
    <w:rsid w:val="00E41409"/>
    <w:rsid w:val="00E41F95"/>
    <w:rsid w:val="00E47158"/>
    <w:rsid w:val="00E55ECC"/>
    <w:rsid w:val="00E61AAB"/>
    <w:rsid w:val="00E74127"/>
    <w:rsid w:val="00E82AE1"/>
    <w:rsid w:val="00E9269B"/>
    <w:rsid w:val="00EA1A4A"/>
    <w:rsid w:val="00EA2EBD"/>
    <w:rsid w:val="00EA7A98"/>
    <w:rsid w:val="00EB0182"/>
    <w:rsid w:val="00EB1385"/>
    <w:rsid w:val="00EB1E0A"/>
    <w:rsid w:val="00EB2FAF"/>
    <w:rsid w:val="00EB3D37"/>
    <w:rsid w:val="00EB427F"/>
    <w:rsid w:val="00EB5F1B"/>
    <w:rsid w:val="00EB632B"/>
    <w:rsid w:val="00EB68D7"/>
    <w:rsid w:val="00EC1349"/>
    <w:rsid w:val="00EC54FA"/>
    <w:rsid w:val="00ED6D1B"/>
    <w:rsid w:val="00ED7AE4"/>
    <w:rsid w:val="00EE21B2"/>
    <w:rsid w:val="00EF107B"/>
    <w:rsid w:val="00F02632"/>
    <w:rsid w:val="00F1015C"/>
    <w:rsid w:val="00F11120"/>
    <w:rsid w:val="00F112F6"/>
    <w:rsid w:val="00F132EC"/>
    <w:rsid w:val="00F153A7"/>
    <w:rsid w:val="00F31DE6"/>
    <w:rsid w:val="00F32656"/>
    <w:rsid w:val="00F32DA1"/>
    <w:rsid w:val="00F34BC7"/>
    <w:rsid w:val="00F454A1"/>
    <w:rsid w:val="00F62D2F"/>
    <w:rsid w:val="00F64D98"/>
    <w:rsid w:val="00F701C3"/>
    <w:rsid w:val="00F7405F"/>
    <w:rsid w:val="00F74BD8"/>
    <w:rsid w:val="00F83567"/>
    <w:rsid w:val="00F857BA"/>
    <w:rsid w:val="00F902F2"/>
    <w:rsid w:val="00F91B37"/>
    <w:rsid w:val="00FA0FEF"/>
    <w:rsid w:val="00FB01CC"/>
    <w:rsid w:val="00FB6BC3"/>
    <w:rsid w:val="00FC084B"/>
    <w:rsid w:val="00FC1590"/>
    <w:rsid w:val="00FC5F03"/>
    <w:rsid w:val="00FD4934"/>
    <w:rsid w:val="00FD4CF0"/>
    <w:rsid w:val="00FD7A76"/>
    <w:rsid w:val="00FD7D58"/>
    <w:rsid w:val="00FE3AAE"/>
    <w:rsid w:val="00FF7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840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34"/>
    <w:rPr>
      <w:rFonts w:ascii="Tahoma" w:hAnsi="Tahoma" w:cs="Tahoma"/>
      <w:sz w:val="16"/>
      <w:szCs w:val="16"/>
    </w:rPr>
  </w:style>
  <w:style w:type="paragraph" w:customStyle="1" w:styleId="EndNoteBibliographyTitle">
    <w:name w:val="EndNote Bibliography Title"/>
    <w:basedOn w:val="Normal"/>
    <w:link w:val="EndNoteBibliographyTitleChar"/>
    <w:rsid w:val="002D722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722E"/>
    <w:rPr>
      <w:rFonts w:ascii="Calibri" w:hAnsi="Calibri" w:cs="Calibri"/>
      <w:noProof/>
    </w:rPr>
  </w:style>
  <w:style w:type="paragraph" w:customStyle="1" w:styleId="EndNoteBibliography">
    <w:name w:val="EndNote Bibliography"/>
    <w:basedOn w:val="Normal"/>
    <w:link w:val="EndNoteBibliographyChar"/>
    <w:rsid w:val="002D722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D722E"/>
    <w:rPr>
      <w:rFonts w:ascii="Calibri" w:hAnsi="Calibri" w:cs="Calibri"/>
      <w:noProof/>
    </w:rPr>
  </w:style>
  <w:style w:type="character" w:customStyle="1" w:styleId="Heading1Char">
    <w:name w:val="Heading 1 Char"/>
    <w:basedOn w:val="DefaultParagraphFont"/>
    <w:link w:val="Heading1"/>
    <w:uiPriority w:val="9"/>
    <w:rsid w:val="004840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4002"/>
    <w:rPr>
      <w:color w:val="0000FF"/>
      <w:u w:val="single"/>
    </w:rPr>
  </w:style>
  <w:style w:type="character" w:customStyle="1" w:styleId="highlight">
    <w:name w:val="highlight"/>
    <w:basedOn w:val="DefaultParagraphFont"/>
    <w:rsid w:val="00484002"/>
  </w:style>
  <w:style w:type="character" w:customStyle="1" w:styleId="apple-style-span">
    <w:name w:val="apple-style-span"/>
    <w:rsid w:val="000E33D0"/>
  </w:style>
  <w:style w:type="character" w:styleId="CommentReference">
    <w:name w:val="annotation reference"/>
    <w:basedOn w:val="DefaultParagraphFont"/>
    <w:uiPriority w:val="99"/>
    <w:semiHidden/>
    <w:unhideWhenUsed/>
    <w:rsid w:val="004A06A4"/>
    <w:rPr>
      <w:sz w:val="16"/>
      <w:szCs w:val="16"/>
    </w:rPr>
  </w:style>
  <w:style w:type="paragraph" w:styleId="CommentText">
    <w:name w:val="annotation text"/>
    <w:basedOn w:val="Normal"/>
    <w:link w:val="CommentTextChar"/>
    <w:uiPriority w:val="99"/>
    <w:semiHidden/>
    <w:unhideWhenUsed/>
    <w:rsid w:val="004A06A4"/>
    <w:pPr>
      <w:spacing w:line="240" w:lineRule="auto"/>
    </w:pPr>
    <w:rPr>
      <w:sz w:val="20"/>
      <w:szCs w:val="20"/>
    </w:rPr>
  </w:style>
  <w:style w:type="character" w:customStyle="1" w:styleId="CommentTextChar">
    <w:name w:val="Comment Text Char"/>
    <w:basedOn w:val="DefaultParagraphFont"/>
    <w:link w:val="CommentText"/>
    <w:uiPriority w:val="99"/>
    <w:semiHidden/>
    <w:rsid w:val="004A06A4"/>
    <w:rPr>
      <w:sz w:val="20"/>
      <w:szCs w:val="20"/>
    </w:rPr>
  </w:style>
  <w:style w:type="paragraph" w:styleId="CommentSubject">
    <w:name w:val="annotation subject"/>
    <w:basedOn w:val="CommentText"/>
    <w:next w:val="CommentText"/>
    <w:link w:val="CommentSubjectChar"/>
    <w:uiPriority w:val="99"/>
    <w:semiHidden/>
    <w:unhideWhenUsed/>
    <w:rsid w:val="004A06A4"/>
    <w:rPr>
      <w:b/>
      <w:bCs/>
    </w:rPr>
  </w:style>
  <w:style w:type="character" w:customStyle="1" w:styleId="CommentSubjectChar">
    <w:name w:val="Comment Subject Char"/>
    <w:basedOn w:val="CommentTextChar"/>
    <w:link w:val="CommentSubject"/>
    <w:uiPriority w:val="99"/>
    <w:semiHidden/>
    <w:rsid w:val="004A06A4"/>
    <w:rPr>
      <w:b/>
      <w:bCs/>
      <w:sz w:val="20"/>
      <w:szCs w:val="20"/>
    </w:rPr>
  </w:style>
  <w:style w:type="paragraph" w:styleId="Revision">
    <w:name w:val="Revision"/>
    <w:hidden/>
    <w:uiPriority w:val="99"/>
    <w:semiHidden/>
    <w:rsid w:val="00204A0F"/>
    <w:pPr>
      <w:spacing w:after="0" w:line="240" w:lineRule="auto"/>
    </w:pPr>
  </w:style>
  <w:style w:type="paragraph" w:styleId="Header">
    <w:name w:val="header"/>
    <w:basedOn w:val="Normal"/>
    <w:link w:val="HeaderChar"/>
    <w:uiPriority w:val="99"/>
    <w:unhideWhenUsed/>
    <w:rsid w:val="00BB08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083F"/>
  </w:style>
  <w:style w:type="paragraph" w:styleId="Footer">
    <w:name w:val="footer"/>
    <w:basedOn w:val="Normal"/>
    <w:link w:val="FooterChar"/>
    <w:uiPriority w:val="99"/>
    <w:unhideWhenUsed/>
    <w:rsid w:val="00BB08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083F"/>
  </w:style>
  <w:style w:type="character" w:customStyle="1" w:styleId="msonormal0">
    <w:name w:val="msonormal0"/>
    <w:basedOn w:val="DefaultParagraphFont"/>
    <w:rsid w:val="004901BB"/>
  </w:style>
  <w:style w:type="paragraph" w:styleId="ListParagraph">
    <w:name w:val="List Paragraph"/>
    <w:basedOn w:val="Normal"/>
    <w:uiPriority w:val="34"/>
    <w:qFormat/>
    <w:rsid w:val="004901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840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34"/>
    <w:rPr>
      <w:rFonts w:ascii="Tahoma" w:hAnsi="Tahoma" w:cs="Tahoma"/>
      <w:sz w:val="16"/>
      <w:szCs w:val="16"/>
    </w:rPr>
  </w:style>
  <w:style w:type="paragraph" w:customStyle="1" w:styleId="EndNoteBibliographyTitle">
    <w:name w:val="EndNote Bibliography Title"/>
    <w:basedOn w:val="Normal"/>
    <w:link w:val="EndNoteBibliographyTitleChar"/>
    <w:rsid w:val="002D722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722E"/>
    <w:rPr>
      <w:rFonts w:ascii="Calibri" w:hAnsi="Calibri" w:cs="Calibri"/>
      <w:noProof/>
    </w:rPr>
  </w:style>
  <w:style w:type="paragraph" w:customStyle="1" w:styleId="EndNoteBibliography">
    <w:name w:val="EndNote Bibliography"/>
    <w:basedOn w:val="Normal"/>
    <w:link w:val="EndNoteBibliographyChar"/>
    <w:rsid w:val="002D722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D722E"/>
    <w:rPr>
      <w:rFonts w:ascii="Calibri" w:hAnsi="Calibri" w:cs="Calibri"/>
      <w:noProof/>
    </w:rPr>
  </w:style>
  <w:style w:type="character" w:customStyle="1" w:styleId="Heading1Char">
    <w:name w:val="Heading 1 Char"/>
    <w:basedOn w:val="DefaultParagraphFont"/>
    <w:link w:val="Heading1"/>
    <w:uiPriority w:val="9"/>
    <w:rsid w:val="004840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4002"/>
    <w:rPr>
      <w:color w:val="0000FF"/>
      <w:u w:val="single"/>
    </w:rPr>
  </w:style>
  <w:style w:type="character" w:customStyle="1" w:styleId="highlight">
    <w:name w:val="highlight"/>
    <w:basedOn w:val="DefaultParagraphFont"/>
    <w:rsid w:val="00484002"/>
  </w:style>
  <w:style w:type="character" w:customStyle="1" w:styleId="apple-style-span">
    <w:name w:val="apple-style-span"/>
    <w:rsid w:val="000E33D0"/>
  </w:style>
  <w:style w:type="character" w:styleId="CommentReference">
    <w:name w:val="annotation reference"/>
    <w:basedOn w:val="DefaultParagraphFont"/>
    <w:uiPriority w:val="99"/>
    <w:semiHidden/>
    <w:unhideWhenUsed/>
    <w:rsid w:val="004A06A4"/>
    <w:rPr>
      <w:sz w:val="16"/>
      <w:szCs w:val="16"/>
    </w:rPr>
  </w:style>
  <w:style w:type="paragraph" w:styleId="CommentText">
    <w:name w:val="annotation text"/>
    <w:basedOn w:val="Normal"/>
    <w:link w:val="CommentTextChar"/>
    <w:uiPriority w:val="99"/>
    <w:semiHidden/>
    <w:unhideWhenUsed/>
    <w:rsid w:val="004A06A4"/>
    <w:pPr>
      <w:spacing w:line="240" w:lineRule="auto"/>
    </w:pPr>
    <w:rPr>
      <w:sz w:val="20"/>
      <w:szCs w:val="20"/>
    </w:rPr>
  </w:style>
  <w:style w:type="character" w:customStyle="1" w:styleId="CommentTextChar">
    <w:name w:val="Comment Text Char"/>
    <w:basedOn w:val="DefaultParagraphFont"/>
    <w:link w:val="CommentText"/>
    <w:uiPriority w:val="99"/>
    <w:semiHidden/>
    <w:rsid w:val="004A06A4"/>
    <w:rPr>
      <w:sz w:val="20"/>
      <w:szCs w:val="20"/>
    </w:rPr>
  </w:style>
  <w:style w:type="paragraph" w:styleId="CommentSubject">
    <w:name w:val="annotation subject"/>
    <w:basedOn w:val="CommentText"/>
    <w:next w:val="CommentText"/>
    <w:link w:val="CommentSubjectChar"/>
    <w:uiPriority w:val="99"/>
    <w:semiHidden/>
    <w:unhideWhenUsed/>
    <w:rsid w:val="004A06A4"/>
    <w:rPr>
      <w:b/>
      <w:bCs/>
    </w:rPr>
  </w:style>
  <w:style w:type="character" w:customStyle="1" w:styleId="CommentSubjectChar">
    <w:name w:val="Comment Subject Char"/>
    <w:basedOn w:val="CommentTextChar"/>
    <w:link w:val="CommentSubject"/>
    <w:uiPriority w:val="99"/>
    <w:semiHidden/>
    <w:rsid w:val="004A06A4"/>
    <w:rPr>
      <w:b/>
      <w:bCs/>
      <w:sz w:val="20"/>
      <w:szCs w:val="20"/>
    </w:rPr>
  </w:style>
  <w:style w:type="paragraph" w:styleId="Revision">
    <w:name w:val="Revision"/>
    <w:hidden/>
    <w:uiPriority w:val="99"/>
    <w:semiHidden/>
    <w:rsid w:val="00204A0F"/>
    <w:pPr>
      <w:spacing w:after="0" w:line="240" w:lineRule="auto"/>
    </w:pPr>
  </w:style>
  <w:style w:type="paragraph" w:styleId="Header">
    <w:name w:val="header"/>
    <w:basedOn w:val="Normal"/>
    <w:link w:val="HeaderChar"/>
    <w:uiPriority w:val="99"/>
    <w:unhideWhenUsed/>
    <w:rsid w:val="00BB08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083F"/>
  </w:style>
  <w:style w:type="paragraph" w:styleId="Footer">
    <w:name w:val="footer"/>
    <w:basedOn w:val="Normal"/>
    <w:link w:val="FooterChar"/>
    <w:uiPriority w:val="99"/>
    <w:unhideWhenUsed/>
    <w:rsid w:val="00BB08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083F"/>
  </w:style>
  <w:style w:type="character" w:customStyle="1" w:styleId="msonormal0">
    <w:name w:val="msonormal0"/>
    <w:basedOn w:val="DefaultParagraphFont"/>
    <w:rsid w:val="004901BB"/>
  </w:style>
  <w:style w:type="paragraph" w:styleId="ListParagraph">
    <w:name w:val="List Paragraph"/>
    <w:basedOn w:val="Normal"/>
    <w:uiPriority w:val="34"/>
    <w:qFormat/>
    <w:rsid w:val="0049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0066">
      <w:bodyDiv w:val="1"/>
      <w:marLeft w:val="0"/>
      <w:marRight w:val="0"/>
      <w:marTop w:val="0"/>
      <w:marBottom w:val="0"/>
      <w:divBdr>
        <w:top w:val="none" w:sz="0" w:space="0" w:color="auto"/>
        <w:left w:val="none" w:sz="0" w:space="0" w:color="auto"/>
        <w:bottom w:val="none" w:sz="0" w:space="0" w:color="auto"/>
        <w:right w:val="none" w:sz="0" w:space="0" w:color="auto"/>
      </w:divBdr>
    </w:div>
    <w:div w:id="83647289">
      <w:bodyDiv w:val="1"/>
      <w:marLeft w:val="0"/>
      <w:marRight w:val="0"/>
      <w:marTop w:val="0"/>
      <w:marBottom w:val="0"/>
      <w:divBdr>
        <w:top w:val="none" w:sz="0" w:space="0" w:color="auto"/>
        <w:left w:val="none" w:sz="0" w:space="0" w:color="auto"/>
        <w:bottom w:val="none" w:sz="0" w:space="0" w:color="auto"/>
        <w:right w:val="none" w:sz="0" w:space="0" w:color="auto"/>
      </w:divBdr>
    </w:div>
    <w:div w:id="149951639">
      <w:bodyDiv w:val="1"/>
      <w:marLeft w:val="0"/>
      <w:marRight w:val="0"/>
      <w:marTop w:val="0"/>
      <w:marBottom w:val="0"/>
      <w:divBdr>
        <w:top w:val="none" w:sz="0" w:space="0" w:color="auto"/>
        <w:left w:val="none" w:sz="0" w:space="0" w:color="auto"/>
        <w:bottom w:val="none" w:sz="0" w:space="0" w:color="auto"/>
        <w:right w:val="none" w:sz="0" w:space="0" w:color="auto"/>
      </w:divBdr>
    </w:div>
    <w:div w:id="192311620">
      <w:bodyDiv w:val="1"/>
      <w:marLeft w:val="0"/>
      <w:marRight w:val="0"/>
      <w:marTop w:val="0"/>
      <w:marBottom w:val="0"/>
      <w:divBdr>
        <w:top w:val="none" w:sz="0" w:space="0" w:color="auto"/>
        <w:left w:val="none" w:sz="0" w:space="0" w:color="auto"/>
        <w:bottom w:val="none" w:sz="0" w:space="0" w:color="auto"/>
        <w:right w:val="none" w:sz="0" w:space="0" w:color="auto"/>
      </w:divBdr>
    </w:div>
    <w:div w:id="321273417">
      <w:bodyDiv w:val="1"/>
      <w:marLeft w:val="0"/>
      <w:marRight w:val="0"/>
      <w:marTop w:val="0"/>
      <w:marBottom w:val="0"/>
      <w:divBdr>
        <w:top w:val="none" w:sz="0" w:space="0" w:color="auto"/>
        <w:left w:val="none" w:sz="0" w:space="0" w:color="auto"/>
        <w:bottom w:val="none" w:sz="0" w:space="0" w:color="auto"/>
        <w:right w:val="none" w:sz="0" w:space="0" w:color="auto"/>
      </w:divBdr>
    </w:div>
    <w:div w:id="347293910">
      <w:bodyDiv w:val="1"/>
      <w:marLeft w:val="0"/>
      <w:marRight w:val="0"/>
      <w:marTop w:val="0"/>
      <w:marBottom w:val="0"/>
      <w:divBdr>
        <w:top w:val="none" w:sz="0" w:space="0" w:color="auto"/>
        <w:left w:val="none" w:sz="0" w:space="0" w:color="auto"/>
        <w:bottom w:val="none" w:sz="0" w:space="0" w:color="auto"/>
        <w:right w:val="none" w:sz="0" w:space="0" w:color="auto"/>
      </w:divBdr>
    </w:div>
    <w:div w:id="363949351">
      <w:bodyDiv w:val="1"/>
      <w:marLeft w:val="0"/>
      <w:marRight w:val="0"/>
      <w:marTop w:val="0"/>
      <w:marBottom w:val="0"/>
      <w:divBdr>
        <w:top w:val="none" w:sz="0" w:space="0" w:color="auto"/>
        <w:left w:val="none" w:sz="0" w:space="0" w:color="auto"/>
        <w:bottom w:val="none" w:sz="0" w:space="0" w:color="auto"/>
        <w:right w:val="none" w:sz="0" w:space="0" w:color="auto"/>
      </w:divBdr>
    </w:div>
    <w:div w:id="388696336">
      <w:bodyDiv w:val="1"/>
      <w:marLeft w:val="0"/>
      <w:marRight w:val="0"/>
      <w:marTop w:val="0"/>
      <w:marBottom w:val="0"/>
      <w:divBdr>
        <w:top w:val="none" w:sz="0" w:space="0" w:color="auto"/>
        <w:left w:val="none" w:sz="0" w:space="0" w:color="auto"/>
        <w:bottom w:val="none" w:sz="0" w:space="0" w:color="auto"/>
        <w:right w:val="none" w:sz="0" w:space="0" w:color="auto"/>
      </w:divBdr>
    </w:div>
    <w:div w:id="410858968">
      <w:bodyDiv w:val="1"/>
      <w:marLeft w:val="0"/>
      <w:marRight w:val="0"/>
      <w:marTop w:val="0"/>
      <w:marBottom w:val="0"/>
      <w:divBdr>
        <w:top w:val="none" w:sz="0" w:space="0" w:color="auto"/>
        <w:left w:val="none" w:sz="0" w:space="0" w:color="auto"/>
        <w:bottom w:val="none" w:sz="0" w:space="0" w:color="auto"/>
        <w:right w:val="none" w:sz="0" w:space="0" w:color="auto"/>
      </w:divBdr>
    </w:div>
    <w:div w:id="416244547">
      <w:bodyDiv w:val="1"/>
      <w:marLeft w:val="0"/>
      <w:marRight w:val="0"/>
      <w:marTop w:val="0"/>
      <w:marBottom w:val="0"/>
      <w:divBdr>
        <w:top w:val="none" w:sz="0" w:space="0" w:color="auto"/>
        <w:left w:val="none" w:sz="0" w:space="0" w:color="auto"/>
        <w:bottom w:val="none" w:sz="0" w:space="0" w:color="auto"/>
        <w:right w:val="none" w:sz="0" w:space="0" w:color="auto"/>
      </w:divBdr>
    </w:div>
    <w:div w:id="427311406">
      <w:bodyDiv w:val="1"/>
      <w:marLeft w:val="0"/>
      <w:marRight w:val="0"/>
      <w:marTop w:val="0"/>
      <w:marBottom w:val="0"/>
      <w:divBdr>
        <w:top w:val="none" w:sz="0" w:space="0" w:color="auto"/>
        <w:left w:val="none" w:sz="0" w:space="0" w:color="auto"/>
        <w:bottom w:val="none" w:sz="0" w:space="0" w:color="auto"/>
        <w:right w:val="none" w:sz="0" w:space="0" w:color="auto"/>
      </w:divBdr>
    </w:div>
    <w:div w:id="450320685">
      <w:bodyDiv w:val="1"/>
      <w:marLeft w:val="0"/>
      <w:marRight w:val="0"/>
      <w:marTop w:val="0"/>
      <w:marBottom w:val="0"/>
      <w:divBdr>
        <w:top w:val="none" w:sz="0" w:space="0" w:color="auto"/>
        <w:left w:val="none" w:sz="0" w:space="0" w:color="auto"/>
        <w:bottom w:val="none" w:sz="0" w:space="0" w:color="auto"/>
        <w:right w:val="none" w:sz="0" w:space="0" w:color="auto"/>
      </w:divBdr>
      <w:divsChild>
        <w:div w:id="779682379">
          <w:marLeft w:val="0"/>
          <w:marRight w:val="0"/>
          <w:marTop w:val="0"/>
          <w:marBottom w:val="0"/>
          <w:divBdr>
            <w:top w:val="none" w:sz="0" w:space="0" w:color="auto"/>
            <w:left w:val="none" w:sz="0" w:space="0" w:color="auto"/>
            <w:bottom w:val="none" w:sz="0" w:space="0" w:color="auto"/>
            <w:right w:val="none" w:sz="0" w:space="0" w:color="auto"/>
          </w:divBdr>
        </w:div>
        <w:div w:id="2142112518">
          <w:marLeft w:val="0"/>
          <w:marRight w:val="0"/>
          <w:marTop w:val="0"/>
          <w:marBottom w:val="0"/>
          <w:divBdr>
            <w:top w:val="none" w:sz="0" w:space="0" w:color="auto"/>
            <w:left w:val="none" w:sz="0" w:space="0" w:color="auto"/>
            <w:bottom w:val="none" w:sz="0" w:space="0" w:color="auto"/>
            <w:right w:val="none" w:sz="0" w:space="0" w:color="auto"/>
          </w:divBdr>
        </w:div>
        <w:div w:id="1577133014">
          <w:marLeft w:val="0"/>
          <w:marRight w:val="0"/>
          <w:marTop w:val="0"/>
          <w:marBottom w:val="0"/>
          <w:divBdr>
            <w:top w:val="none" w:sz="0" w:space="0" w:color="auto"/>
            <w:left w:val="none" w:sz="0" w:space="0" w:color="auto"/>
            <w:bottom w:val="none" w:sz="0" w:space="0" w:color="auto"/>
            <w:right w:val="none" w:sz="0" w:space="0" w:color="auto"/>
          </w:divBdr>
        </w:div>
        <w:div w:id="1233659600">
          <w:marLeft w:val="0"/>
          <w:marRight w:val="0"/>
          <w:marTop w:val="0"/>
          <w:marBottom w:val="0"/>
          <w:divBdr>
            <w:top w:val="none" w:sz="0" w:space="0" w:color="auto"/>
            <w:left w:val="none" w:sz="0" w:space="0" w:color="auto"/>
            <w:bottom w:val="none" w:sz="0" w:space="0" w:color="auto"/>
            <w:right w:val="none" w:sz="0" w:space="0" w:color="auto"/>
          </w:divBdr>
        </w:div>
        <w:div w:id="216286233">
          <w:marLeft w:val="0"/>
          <w:marRight w:val="0"/>
          <w:marTop w:val="0"/>
          <w:marBottom w:val="0"/>
          <w:divBdr>
            <w:top w:val="none" w:sz="0" w:space="0" w:color="auto"/>
            <w:left w:val="none" w:sz="0" w:space="0" w:color="auto"/>
            <w:bottom w:val="none" w:sz="0" w:space="0" w:color="auto"/>
            <w:right w:val="none" w:sz="0" w:space="0" w:color="auto"/>
          </w:divBdr>
        </w:div>
        <w:div w:id="311763501">
          <w:marLeft w:val="0"/>
          <w:marRight w:val="0"/>
          <w:marTop w:val="0"/>
          <w:marBottom w:val="0"/>
          <w:divBdr>
            <w:top w:val="none" w:sz="0" w:space="0" w:color="auto"/>
            <w:left w:val="none" w:sz="0" w:space="0" w:color="auto"/>
            <w:bottom w:val="none" w:sz="0" w:space="0" w:color="auto"/>
            <w:right w:val="none" w:sz="0" w:space="0" w:color="auto"/>
          </w:divBdr>
        </w:div>
      </w:divsChild>
    </w:div>
    <w:div w:id="538319184">
      <w:bodyDiv w:val="1"/>
      <w:marLeft w:val="0"/>
      <w:marRight w:val="0"/>
      <w:marTop w:val="0"/>
      <w:marBottom w:val="0"/>
      <w:divBdr>
        <w:top w:val="none" w:sz="0" w:space="0" w:color="auto"/>
        <w:left w:val="none" w:sz="0" w:space="0" w:color="auto"/>
        <w:bottom w:val="none" w:sz="0" w:space="0" w:color="auto"/>
        <w:right w:val="none" w:sz="0" w:space="0" w:color="auto"/>
      </w:divBdr>
    </w:div>
    <w:div w:id="599064591">
      <w:bodyDiv w:val="1"/>
      <w:marLeft w:val="0"/>
      <w:marRight w:val="0"/>
      <w:marTop w:val="0"/>
      <w:marBottom w:val="0"/>
      <w:divBdr>
        <w:top w:val="none" w:sz="0" w:space="0" w:color="auto"/>
        <w:left w:val="none" w:sz="0" w:space="0" w:color="auto"/>
        <w:bottom w:val="none" w:sz="0" w:space="0" w:color="auto"/>
        <w:right w:val="none" w:sz="0" w:space="0" w:color="auto"/>
      </w:divBdr>
    </w:div>
    <w:div w:id="625086686">
      <w:bodyDiv w:val="1"/>
      <w:marLeft w:val="0"/>
      <w:marRight w:val="0"/>
      <w:marTop w:val="0"/>
      <w:marBottom w:val="0"/>
      <w:divBdr>
        <w:top w:val="none" w:sz="0" w:space="0" w:color="auto"/>
        <w:left w:val="none" w:sz="0" w:space="0" w:color="auto"/>
        <w:bottom w:val="none" w:sz="0" w:space="0" w:color="auto"/>
        <w:right w:val="none" w:sz="0" w:space="0" w:color="auto"/>
      </w:divBdr>
    </w:div>
    <w:div w:id="823089135">
      <w:bodyDiv w:val="1"/>
      <w:marLeft w:val="0"/>
      <w:marRight w:val="0"/>
      <w:marTop w:val="0"/>
      <w:marBottom w:val="0"/>
      <w:divBdr>
        <w:top w:val="none" w:sz="0" w:space="0" w:color="auto"/>
        <w:left w:val="none" w:sz="0" w:space="0" w:color="auto"/>
        <w:bottom w:val="none" w:sz="0" w:space="0" w:color="auto"/>
        <w:right w:val="none" w:sz="0" w:space="0" w:color="auto"/>
      </w:divBdr>
    </w:div>
    <w:div w:id="852259694">
      <w:bodyDiv w:val="1"/>
      <w:marLeft w:val="0"/>
      <w:marRight w:val="0"/>
      <w:marTop w:val="0"/>
      <w:marBottom w:val="0"/>
      <w:divBdr>
        <w:top w:val="none" w:sz="0" w:space="0" w:color="auto"/>
        <w:left w:val="none" w:sz="0" w:space="0" w:color="auto"/>
        <w:bottom w:val="none" w:sz="0" w:space="0" w:color="auto"/>
        <w:right w:val="none" w:sz="0" w:space="0" w:color="auto"/>
      </w:divBdr>
    </w:div>
    <w:div w:id="911089651">
      <w:bodyDiv w:val="1"/>
      <w:marLeft w:val="0"/>
      <w:marRight w:val="0"/>
      <w:marTop w:val="0"/>
      <w:marBottom w:val="0"/>
      <w:divBdr>
        <w:top w:val="none" w:sz="0" w:space="0" w:color="auto"/>
        <w:left w:val="none" w:sz="0" w:space="0" w:color="auto"/>
        <w:bottom w:val="none" w:sz="0" w:space="0" w:color="auto"/>
        <w:right w:val="none" w:sz="0" w:space="0" w:color="auto"/>
      </w:divBdr>
    </w:div>
    <w:div w:id="942301407">
      <w:bodyDiv w:val="1"/>
      <w:marLeft w:val="0"/>
      <w:marRight w:val="0"/>
      <w:marTop w:val="0"/>
      <w:marBottom w:val="0"/>
      <w:divBdr>
        <w:top w:val="none" w:sz="0" w:space="0" w:color="auto"/>
        <w:left w:val="none" w:sz="0" w:space="0" w:color="auto"/>
        <w:bottom w:val="none" w:sz="0" w:space="0" w:color="auto"/>
        <w:right w:val="none" w:sz="0" w:space="0" w:color="auto"/>
      </w:divBdr>
    </w:div>
    <w:div w:id="968901276">
      <w:bodyDiv w:val="1"/>
      <w:marLeft w:val="0"/>
      <w:marRight w:val="0"/>
      <w:marTop w:val="0"/>
      <w:marBottom w:val="0"/>
      <w:divBdr>
        <w:top w:val="none" w:sz="0" w:space="0" w:color="auto"/>
        <w:left w:val="none" w:sz="0" w:space="0" w:color="auto"/>
        <w:bottom w:val="none" w:sz="0" w:space="0" w:color="auto"/>
        <w:right w:val="none" w:sz="0" w:space="0" w:color="auto"/>
      </w:divBdr>
    </w:div>
    <w:div w:id="1033312637">
      <w:bodyDiv w:val="1"/>
      <w:marLeft w:val="0"/>
      <w:marRight w:val="0"/>
      <w:marTop w:val="0"/>
      <w:marBottom w:val="0"/>
      <w:divBdr>
        <w:top w:val="none" w:sz="0" w:space="0" w:color="auto"/>
        <w:left w:val="none" w:sz="0" w:space="0" w:color="auto"/>
        <w:bottom w:val="none" w:sz="0" w:space="0" w:color="auto"/>
        <w:right w:val="none" w:sz="0" w:space="0" w:color="auto"/>
      </w:divBdr>
    </w:div>
    <w:div w:id="1094981989">
      <w:bodyDiv w:val="1"/>
      <w:marLeft w:val="0"/>
      <w:marRight w:val="0"/>
      <w:marTop w:val="0"/>
      <w:marBottom w:val="0"/>
      <w:divBdr>
        <w:top w:val="none" w:sz="0" w:space="0" w:color="auto"/>
        <w:left w:val="none" w:sz="0" w:space="0" w:color="auto"/>
        <w:bottom w:val="none" w:sz="0" w:space="0" w:color="auto"/>
        <w:right w:val="none" w:sz="0" w:space="0" w:color="auto"/>
      </w:divBdr>
    </w:div>
    <w:div w:id="1108964585">
      <w:bodyDiv w:val="1"/>
      <w:marLeft w:val="0"/>
      <w:marRight w:val="0"/>
      <w:marTop w:val="0"/>
      <w:marBottom w:val="0"/>
      <w:divBdr>
        <w:top w:val="none" w:sz="0" w:space="0" w:color="auto"/>
        <w:left w:val="none" w:sz="0" w:space="0" w:color="auto"/>
        <w:bottom w:val="none" w:sz="0" w:space="0" w:color="auto"/>
        <w:right w:val="none" w:sz="0" w:space="0" w:color="auto"/>
      </w:divBdr>
    </w:div>
    <w:div w:id="1173372458">
      <w:bodyDiv w:val="1"/>
      <w:marLeft w:val="0"/>
      <w:marRight w:val="0"/>
      <w:marTop w:val="0"/>
      <w:marBottom w:val="0"/>
      <w:divBdr>
        <w:top w:val="none" w:sz="0" w:space="0" w:color="auto"/>
        <w:left w:val="none" w:sz="0" w:space="0" w:color="auto"/>
        <w:bottom w:val="none" w:sz="0" w:space="0" w:color="auto"/>
        <w:right w:val="none" w:sz="0" w:space="0" w:color="auto"/>
      </w:divBdr>
    </w:div>
    <w:div w:id="1179542168">
      <w:bodyDiv w:val="1"/>
      <w:marLeft w:val="0"/>
      <w:marRight w:val="0"/>
      <w:marTop w:val="0"/>
      <w:marBottom w:val="0"/>
      <w:divBdr>
        <w:top w:val="none" w:sz="0" w:space="0" w:color="auto"/>
        <w:left w:val="none" w:sz="0" w:space="0" w:color="auto"/>
        <w:bottom w:val="none" w:sz="0" w:space="0" w:color="auto"/>
        <w:right w:val="none" w:sz="0" w:space="0" w:color="auto"/>
      </w:divBdr>
    </w:div>
    <w:div w:id="1250693573">
      <w:bodyDiv w:val="1"/>
      <w:marLeft w:val="0"/>
      <w:marRight w:val="0"/>
      <w:marTop w:val="0"/>
      <w:marBottom w:val="0"/>
      <w:divBdr>
        <w:top w:val="none" w:sz="0" w:space="0" w:color="auto"/>
        <w:left w:val="none" w:sz="0" w:space="0" w:color="auto"/>
        <w:bottom w:val="none" w:sz="0" w:space="0" w:color="auto"/>
        <w:right w:val="none" w:sz="0" w:space="0" w:color="auto"/>
      </w:divBdr>
    </w:div>
    <w:div w:id="1329167073">
      <w:bodyDiv w:val="1"/>
      <w:marLeft w:val="0"/>
      <w:marRight w:val="0"/>
      <w:marTop w:val="0"/>
      <w:marBottom w:val="0"/>
      <w:divBdr>
        <w:top w:val="none" w:sz="0" w:space="0" w:color="auto"/>
        <w:left w:val="none" w:sz="0" w:space="0" w:color="auto"/>
        <w:bottom w:val="none" w:sz="0" w:space="0" w:color="auto"/>
        <w:right w:val="none" w:sz="0" w:space="0" w:color="auto"/>
      </w:divBdr>
    </w:div>
    <w:div w:id="1337729290">
      <w:bodyDiv w:val="1"/>
      <w:marLeft w:val="0"/>
      <w:marRight w:val="0"/>
      <w:marTop w:val="0"/>
      <w:marBottom w:val="0"/>
      <w:divBdr>
        <w:top w:val="none" w:sz="0" w:space="0" w:color="auto"/>
        <w:left w:val="none" w:sz="0" w:space="0" w:color="auto"/>
        <w:bottom w:val="none" w:sz="0" w:space="0" w:color="auto"/>
        <w:right w:val="none" w:sz="0" w:space="0" w:color="auto"/>
      </w:divBdr>
    </w:div>
    <w:div w:id="1406953912">
      <w:bodyDiv w:val="1"/>
      <w:marLeft w:val="0"/>
      <w:marRight w:val="0"/>
      <w:marTop w:val="0"/>
      <w:marBottom w:val="0"/>
      <w:divBdr>
        <w:top w:val="none" w:sz="0" w:space="0" w:color="auto"/>
        <w:left w:val="none" w:sz="0" w:space="0" w:color="auto"/>
        <w:bottom w:val="none" w:sz="0" w:space="0" w:color="auto"/>
        <w:right w:val="none" w:sz="0" w:space="0" w:color="auto"/>
      </w:divBdr>
    </w:div>
    <w:div w:id="1408578918">
      <w:bodyDiv w:val="1"/>
      <w:marLeft w:val="0"/>
      <w:marRight w:val="0"/>
      <w:marTop w:val="0"/>
      <w:marBottom w:val="0"/>
      <w:divBdr>
        <w:top w:val="none" w:sz="0" w:space="0" w:color="auto"/>
        <w:left w:val="none" w:sz="0" w:space="0" w:color="auto"/>
        <w:bottom w:val="none" w:sz="0" w:space="0" w:color="auto"/>
        <w:right w:val="none" w:sz="0" w:space="0" w:color="auto"/>
      </w:divBdr>
    </w:div>
    <w:div w:id="1467896114">
      <w:bodyDiv w:val="1"/>
      <w:marLeft w:val="0"/>
      <w:marRight w:val="0"/>
      <w:marTop w:val="0"/>
      <w:marBottom w:val="0"/>
      <w:divBdr>
        <w:top w:val="none" w:sz="0" w:space="0" w:color="auto"/>
        <w:left w:val="none" w:sz="0" w:space="0" w:color="auto"/>
        <w:bottom w:val="none" w:sz="0" w:space="0" w:color="auto"/>
        <w:right w:val="none" w:sz="0" w:space="0" w:color="auto"/>
      </w:divBdr>
    </w:div>
    <w:div w:id="1473448535">
      <w:bodyDiv w:val="1"/>
      <w:marLeft w:val="0"/>
      <w:marRight w:val="0"/>
      <w:marTop w:val="0"/>
      <w:marBottom w:val="0"/>
      <w:divBdr>
        <w:top w:val="none" w:sz="0" w:space="0" w:color="auto"/>
        <w:left w:val="none" w:sz="0" w:space="0" w:color="auto"/>
        <w:bottom w:val="none" w:sz="0" w:space="0" w:color="auto"/>
        <w:right w:val="none" w:sz="0" w:space="0" w:color="auto"/>
      </w:divBdr>
    </w:div>
    <w:div w:id="1485200044">
      <w:bodyDiv w:val="1"/>
      <w:marLeft w:val="0"/>
      <w:marRight w:val="0"/>
      <w:marTop w:val="0"/>
      <w:marBottom w:val="0"/>
      <w:divBdr>
        <w:top w:val="none" w:sz="0" w:space="0" w:color="auto"/>
        <w:left w:val="none" w:sz="0" w:space="0" w:color="auto"/>
        <w:bottom w:val="none" w:sz="0" w:space="0" w:color="auto"/>
        <w:right w:val="none" w:sz="0" w:space="0" w:color="auto"/>
      </w:divBdr>
    </w:div>
    <w:div w:id="1524172371">
      <w:bodyDiv w:val="1"/>
      <w:marLeft w:val="0"/>
      <w:marRight w:val="0"/>
      <w:marTop w:val="0"/>
      <w:marBottom w:val="0"/>
      <w:divBdr>
        <w:top w:val="none" w:sz="0" w:space="0" w:color="auto"/>
        <w:left w:val="none" w:sz="0" w:space="0" w:color="auto"/>
        <w:bottom w:val="none" w:sz="0" w:space="0" w:color="auto"/>
        <w:right w:val="none" w:sz="0" w:space="0" w:color="auto"/>
      </w:divBdr>
    </w:div>
    <w:div w:id="1599673170">
      <w:bodyDiv w:val="1"/>
      <w:marLeft w:val="0"/>
      <w:marRight w:val="0"/>
      <w:marTop w:val="0"/>
      <w:marBottom w:val="0"/>
      <w:divBdr>
        <w:top w:val="none" w:sz="0" w:space="0" w:color="auto"/>
        <w:left w:val="none" w:sz="0" w:space="0" w:color="auto"/>
        <w:bottom w:val="none" w:sz="0" w:space="0" w:color="auto"/>
        <w:right w:val="none" w:sz="0" w:space="0" w:color="auto"/>
      </w:divBdr>
    </w:div>
    <w:div w:id="1606498113">
      <w:bodyDiv w:val="1"/>
      <w:marLeft w:val="0"/>
      <w:marRight w:val="0"/>
      <w:marTop w:val="0"/>
      <w:marBottom w:val="0"/>
      <w:divBdr>
        <w:top w:val="none" w:sz="0" w:space="0" w:color="auto"/>
        <w:left w:val="none" w:sz="0" w:space="0" w:color="auto"/>
        <w:bottom w:val="none" w:sz="0" w:space="0" w:color="auto"/>
        <w:right w:val="none" w:sz="0" w:space="0" w:color="auto"/>
      </w:divBdr>
    </w:div>
    <w:div w:id="1613437184">
      <w:bodyDiv w:val="1"/>
      <w:marLeft w:val="0"/>
      <w:marRight w:val="0"/>
      <w:marTop w:val="0"/>
      <w:marBottom w:val="0"/>
      <w:divBdr>
        <w:top w:val="none" w:sz="0" w:space="0" w:color="auto"/>
        <w:left w:val="none" w:sz="0" w:space="0" w:color="auto"/>
        <w:bottom w:val="none" w:sz="0" w:space="0" w:color="auto"/>
        <w:right w:val="none" w:sz="0" w:space="0" w:color="auto"/>
      </w:divBdr>
    </w:div>
    <w:div w:id="1630428863">
      <w:bodyDiv w:val="1"/>
      <w:marLeft w:val="0"/>
      <w:marRight w:val="0"/>
      <w:marTop w:val="0"/>
      <w:marBottom w:val="0"/>
      <w:divBdr>
        <w:top w:val="none" w:sz="0" w:space="0" w:color="auto"/>
        <w:left w:val="none" w:sz="0" w:space="0" w:color="auto"/>
        <w:bottom w:val="none" w:sz="0" w:space="0" w:color="auto"/>
        <w:right w:val="none" w:sz="0" w:space="0" w:color="auto"/>
      </w:divBdr>
    </w:div>
    <w:div w:id="1633754903">
      <w:bodyDiv w:val="1"/>
      <w:marLeft w:val="0"/>
      <w:marRight w:val="0"/>
      <w:marTop w:val="0"/>
      <w:marBottom w:val="0"/>
      <w:divBdr>
        <w:top w:val="none" w:sz="0" w:space="0" w:color="auto"/>
        <w:left w:val="none" w:sz="0" w:space="0" w:color="auto"/>
        <w:bottom w:val="none" w:sz="0" w:space="0" w:color="auto"/>
        <w:right w:val="none" w:sz="0" w:space="0" w:color="auto"/>
      </w:divBdr>
    </w:div>
    <w:div w:id="1653174985">
      <w:bodyDiv w:val="1"/>
      <w:marLeft w:val="0"/>
      <w:marRight w:val="0"/>
      <w:marTop w:val="0"/>
      <w:marBottom w:val="0"/>
      <w:divBdr>
        <w:top w:val="none" w:sz="0" w:space="0" w:color="auto"/>
        <w:left w:val="none" w:sz="0" w:space="0" w:color="auto"/>
        <w:bottom w:val="none" w:sz="0" w:space="0" w:color="auto"/>
        <w:right w:val="none" w:sz="0" w:space="0" w:color="auto"/>
      </w:divBdr>
    </w:div>
    <w:div w:id="1813670349">
      <w:bodyDiv w:val="1"/>
      <w:marLeft w:val="0"/>
      <w:marRight w:val="0"/>
      <w:marTop w:val="0"/>
      <w:marBottom w:val="0"/>
      <w:divBdr>
        <w:top w:val="none" w:sz="0" w:space="0" w:color="auto"/>
        <w:left w:val="none" w:sz="0" w:space="0" w:color="auto"/>
        <w:bottom w:val="none" w:sz="0" w:space="0" w:color="auto"/>
        <w:right w:val="none" w:sz="0" w:space="0" w:color="auto"/>
      </w:divBdr>
    </w:div>
    <w:div w:id="1825274110">
      <w:bodyDiv w:val="1"/>
      <w:marLeft w:val="0"/>
      <w:marRight w:val="0"/>
      <w:marTop w:val="0"/>
      <w:marBottom w:val="0"/>
      <w:divBdr>
        <w:top w:val="none" w:sz="0" w:space="0" w:color="auto"/>
        <w:left w:val="none" w:sz="0" w:space="0" w:color="auto"/>
        <w:bottom w:val="none" w:sz="0" w:space="0" w:color="auto"/>
        <w:right w:val="none" w:sz="0" w:space="0" w:color="auto"/>
      </w:divBdr>
    </w:div>
    <w:div w:id="1827475909">
      <w:bodyDiv w:val="1"/>
      <w:marLeft w:val="0"/>
      <w:marRight w:val="0"/>
      <w:marTop w:val="0"/>
      <w:marBottom w:val="0"/>
      <w:divBdr>
        <w:top w:val="none" w:sz="0" w:space="0" w:color="auto"/>
        <w:left w:val="none" w:sz="0" w:space="0" w:color="auto"/>
        <w:bottom w:val="none" w:sz="0" w:space="0" w:color="auto"/>
        <w:right w:val="none" w:sz="0" w:space="0" w:color="auto"/>
      </w:divBdr>
    </w:div>
    <w:div w:id="1851333410">
      <w:bodyDiv w:val="1"/>
      <w:marLeft w:val="0"/>
      <w:marRight w:val="0"/>
      <w:marTop w:val="0"/>
      <w:marBottom w:val="0"/>
      <w:divBdr>
        <w:top w:val="none" w:sz="0" w:space="0" w:color="auto"/>
        <w:left w:val="none" w:sz="0" w:space="0" w:color="auto"/>
        <w:bottom w:val="none" w:sz="0" w:space="0" w:color="auto"/>
        <w:right w:val="none" w:sz="0" w:space="0" w:color="auto"/>
      </w:divBdr>
    </w:div>
    <w:div w:id="1861164618">
      <w:bodyDiv w:val="1"/>
      <w:marLeft w:val="0"/>
      <w:marRight w:val="0"/>
      <w:marTop w:val="0"/>
      <w:marBottom w:val="0"/>
      <w:divBdr>
        <w:top w:val="none" w:sz="0" w:space="0" w:color="auto"/>
        <w:left w:val="none" w:sz="0" w:space="0" w:color="auto"/>
        <w:bottom w:val="none" w:sz="0" w:space="0" w:color="auto"/>
        <w:right w:val="none" w:sz="0" w:space="0" w:color="auto"/>
      </w:divBdr>
    </w:div>
    <w:div w:id="1899045790">
      <w:bodyDiv w:val="1"/>
      <w:marLeft w:val="0"/>
      <w:marRight w:val="0"/>
      <w:marTop w:val="0"/>
      <w:marBottom w:val="0"/>
      <w:divBdr>
        <w:top w:val="none" w:sz="0" w:space="0" w:color="auto"/>
        <w:left w:val="none" w:sz="0" w:space="0" w:color="auto"/>
        <w:bottom w:val="none" w:sz="0" w:space="0" w:color="auto"/>
        <w:right w:val="none" w:sz="0" w:space="0" w:color="auto"/>
      </w:divBdr>
    </w:div>
    <w:div w:id="1960990486">
      <w:bodyDiv w:val="1"/>
      <w:marLeft w:val="0"/>
      <w:marRight w:val="0"/>
      <w:marTop w:val="0"/>
      <w:marBottom w:val="0"/>
      <w:divBdr>
        <w:top w:val="none" w:sz="0" w:space="0" w:color="auto"/>
        <w:left w:val="none" w:sz="0" w:space="0" w:color="auto"/>
        <w:bottom w:val="none" w:sz="0" w:space="0" w:color="auto"/>
        <w:right w:val="none" w:sz="0" w:space="0" w:color="auto"/>
      </w:divBdr>
    </w:div>
    <w:div w:id="2006738689">
      <w:bodyDiv w:val="1"/>
      <w:marLeft w:val="0"/>
      <w:marRight w:val="0"/>
      <w:marTop w:val="0"/>
      <w:marBottom w:val="0"/>
      <w:divBdr>
        <w:top w:val="none" w:sz="0" w:space="0" w:color="auto"/>
        <w:left w:val="none" w:sz="0" w:space="0" w:color="auto"/>
        <w:bottom w:val="none" w:sz="0" w:space="0" w:color="auto"/>
        <w:right w:val="none" w:sz="0" w:space="0" w:color="auto"/>
      </w:divBdr>
    </w:div>
    <w:div w:id="2037080399">
      <w:bodyDiv w:val="1"/>
      <w:marLeft w:val="0"/>
      <w:marRight w:val="0"/>
      <w:marTop w:val="0"/>
      <w:marBottom w:val="0"/>
      <w:divBdr>
        <w:top w:val="none" w:sz="0" w:space="0" w:color="auto"/>
        <w:left w:val="none" w:sz="0" w:space="0" w:color="auto"/>
        <w:bottom w:val="none" w:sz="0" w:space="0" w:color="auto"/>
        <w:right w:val="none" w:sz="0" w:space="0" w:color="auto"/>
      </w:divBdr>
    </w:div>
    <w:div w:id="2072267149">
      <w:bodyDiv w:val="1"/>
      <w:marLeft w:val="0"/>
      <w:marRight w:val="0"/>
      <w:marTop w:val="0"/>
      <w:marBottom w:val="0"/>
      <w:divBdr>
        <w:top w:val="none" w:sz="0" w:space="0" w:color="auto"/>
        <w:left w:val="none" w:sz="0" w:space="0" w:color="auto"/>
        <w:bottom w:val="none" w:sz="0" w:space="0" w:color="auto"/>
        <w:right w:val="none" w:sz="0" w:space="0" w:color="auto"/>
      </w:divBdr>
    </w:div>
    <w:div w:id="2144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term=Journal+of+clinical+oncology%2C+2003.+21(1)%3A+p.+9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ubmed/?term=The+Laryngoscope%2C+2017.+127(10)%3A+p.+2260-2264" TargetMode="External"/><Relationship Id="rId10" Type="http://schemas.openxmlformats.org/officeDocument/2006/relationships/hyperlink" Target="http://www.dx.doi.org/10.7537/marscbj080418.1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2E14-86E5-4FCE-B415-965064C5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c:creator>
  <cp:lastModifiedBy>sico</cp:lastModifiedBy>
  <cp:revision>3</cp:revision>
  <cp:lastPrinted>2019-01-25T19:31:00Z</cp:lastPrinted>
  <dcterms:created xsi:type="dcterms:W3CDTF">2019-01-28T07:57:00Z</dcterms:created>
  <dcterms:modified xsi:type="dcterms:W3CDTF">2019-01-28T08:00:00Z</dcterms:modified>
</cp:coreProperties>
</file>