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10" w:rsidRPr="000E78AB" w:rsidRDefault="00752678" w:rsidP="003B3D6D">
      <w:pPr>
        <w:bidi w:val="0"/>
        <w:snapToGrid w:val="0"/>
        <w:spacing w:after="0" w:line="240" w:lineRule="auto"/>
        <w:jc w:val="center"/>
        <w:rPr>
          <w:rFonts w:ascii="Times New Roman" w:eastAsia="Calibri" w:hAnsi="Times New Roman" w:cs="Times New Roman"/>
          <w:b/>
          <w:bCs/>
          <w:color w:val="000000" w:themeColor="text1"/>
          <w:sz w:val="20"/>
          <w:szCs w:val="20"/>
          <w:lang w:bidi="ar-EG"/>
        </w:rPr>
      </w:pPr>
      <w:bookmarkStart w:id="0" w:name="_GoBack"/>
      <w:bookmarkEnd w:id="0"/>
      <w:r w:rsidRPr="000E78AB">
        <w:rPr>
          <w:rFonts w:ascii="Times New Roman" w:eastAsia="Calibri" w:hAnsi="Times New Roman" w:cs="Times New Roman"/>
          <w:b/>
          <w:bCs/>
          <w:color w:val="000000" w:themeColor="text1"/>
          <w:sz w:val="20"/>
          <w:szCs w:val="20"/>
          <w:lang w:bidi="ar-EG"/>
        </w:rPr>
        <w:t>P</w:t>
      </w:r>
      <w:r w:rsidR="00263A40" w:rsidRPr="000E78AB">
        <w:rPr>
          <w:rFonts w:ascii="Times New Roman" w:eastAsia="Calibri" w:hAnsi="Times New Roman" w:cs="Times New Roman"/>
          <w:b/>
          <w:bCs/>
          <w:color w:val="000000" w:themeColor="text1"/>
          <w:sz w:val="20"/>
          <w:szCs w:val="20"/>
          <w:lang w:bidi="ar-EG"/>
        </w:rPr>
        <w:t xml:space="preserve">rognostic impact of </w:t>
      </w:r>
      <w:proofErr w:type="spellStart"/>
      <w:r w:rsidR="006A4F21" w:rsidRPr="000E78AB">
        <w:rPr>
          <w:rFonts w:ascii="Times New Roman" w:eastAsia="Calibri" w:hAnsi="Times New Roman" w:cs="Times New Roman"/>
          <w:b/>
          <w:bCs/>
          <w:color w:val="000000" w:themeColor="text1"/>
          <w:sz w:val="20"/>
          <w:szCs w:val="20"/>
          <w:lang w:bidi="ar-EG"/>
        </w:rPr>
        <w:t>immunohistochemical</w:t>
      </w:r>
      <w:proofErr w:type="spellEnd"/>
      <w:r w:rsidR="00247A9B" w:rsidRPr="000E78AB">
        <w:rPr>
          <w:rFonts w:ascii="Times New Roman" w:eastAsia="Calibri" w:hAnsi="Times New Roman" w:cs="Times New Roman"/>
          <w:b/>
          <w:bCs/>
          <w:color w:val="000000" w:themeColor="text1"/>
          <w:sz w:val="20"/>
          <w:szCs w:val="20"/>
          <w:lang w:bidi="ar-EG"/>
        </w:rPr>
        <w:t xml:space="preserve"> </w:t>
      </w:r>
      <w:r w:rsidR="00263A40" w:rsidRPr="000E78AB">
        <w:rPr>
          <w:rFonts w:ascii="Times New Roman" w:eastAsia="Calibri" w:hAnsi="Times New Roman" w:cs="Times New Roman"/>
          <w:b/>
          <w:bCs/>
          <w:color w:val="000000" w:themeColor="text1"/>
          <w:sz w:val="20"/>
          <w:szCs w:val="20"/>
          <w:lang w:bidi="ar-EG"/>
        </w:rPr>
        <w:t xml:space="preserve">expression of </w:t>
      </w:r>
      <w:r w:rsidR="006A4F21" w:rsidRPr="000E78AB">
        <w:rPr>
          <w:rFonts w:ascii="Times New Roman" w:eastAsia="Calibri" w:hAnsi="Times New Roman" w:cs="Times New Roman"/>
          <w:b/>
          <w:bCs/>
          <w:color w:val="000000" w:themeColor="text1"/>
          <w:sz w:val="20"/>
          <w:szCs w:val="20"/>
          <w:lang w:bidi="ar-EG"/>
        </w:rPr>
        <w:t>PD</w:t>
      </w:r>
      <w:r w:rsidR="00263A40" w:rsidRPr="000E78AB">
        <w:rPr>
          <w:rFonts w:ascii="Times New Roman" w:eastAsia="Calibri" w:hAnsi="Times New Roman" w:cs="Times New Roman"/>
          <w:b/>
          <w:bCs/>
          <w:color w:val="000000" w:themeColor="text1"/>
          <w:sz w:val="20"/>
          <w:szCs w:val="20"/>
          <w:lang w:bidi="ar-EG"/>
        </w:rPr>
        <w:t>-</w:t>
      </w:r>
      <w:r w:rsidR="006A4F21" w:rsidRPr="000E78AB">
        <w:rPr>
          <w:rFonts w:ascii="Times New Roman" w:eastAsia="Calibri" w:hAnsi="Times New Roman" w:cs="Times New Roman"/>
          <w:b/>
          <w:bCs/>
          <w:color w:val="000000" w:themeColor="text1"/>
          <w:sz w:val="20"/>
          <w:szCs w:val="20"/>
          <w:lang w:bidi="ar-EG"/>
        </w:rPr>
        <w:t xml:space="preserve">1 </w:t>
      </w:r>
      <w:r w:rsidR="00747610" w:rsidRPr="000E78AB">
        <w:rPr>
          <w:rFonts w:ascii="Times New Roman" w:eastAsia="Calibri" w:hAnsi="Times New Roman" w:cs="Times New Roman"/>
          <w:b/>
          <w:bCs/>
          <w:color w:val="000000" w:themeColor="text1"/>
          <w:sz w:val="20"/>
          <w:szCs w:val="20"/>
          <w:lang w:bidi="ar-EG"/>
        </w:rPr>
        <w:t xml:space="preserve">and </w:t>
      </w:r>
      <w:r w:rsidR="006A4F21" w:rsidRPr="000E78AB">
        <w:rPr>
          <w:rFonts w:ascii="Times New Roman" w:eastAsia="Calibri" w:hAnsi="Times New Roman" w:cs="Times New Roman"/>
          <w:b/>
          <w:bCs/>
          <w:color w:val="000000" w:themeColor="text1"/>
          <w:sz w:val="20"/>
          <w:szCs w:val="20"/>
          <w:lang w:bidi="ar-EG"/>
        </w:rPr>
        <w:t>PD-L1</w:t>
      </w:r>
      <w:r w:rsidR="00915F0B" w:rsidRPr="000E78AB">
        <w:rPr>
          <w:rFonts w:ascii="Times New Roman" w:hAnsi="Times New Roman" w:cs="Times New Roman" w:hint="eastAsia"/>
          <w:b/>
          <w:bCs/>
          <w:color w:val="000000" w:themeColor="text1"/>
          <w:sz w:val="20"/>
          <w:szCs w:val="20"/>
          <w:lang w:eastAsia="zh-CN" w:bidi="ar-EG"/>
        </w:rPr>
        <w:t xml:space="preserve"> </w:t>
      </w:r>
      <w:r w:rsidR="00C5428B" w:rsidRPr="000E78AB">
        <w:rPr>
          <w:rFonts w:ascii="Times New Roman" w:eastAsia="Calibri" w:hAnsi="Times New Roman" w:cs="Times New Roman"/>
          <w:b/>
          <w:bCs/>
          <w:color w:val="000000" w:themeColor="text1"/>
          <w:sz w:val="20"/>
          <w:szCs w:val="20"/>
          <w:lang w:bidi="ar-EG"/>
        </w:rPr>
        <w:t xml:space="preserve">on </w:t>
      </w:r>
      <w:r w:rsidR="00747610" w:rsidRPr="000E78AB">
        <w:rPr>
          <w:rFonts w:ascii="Times New Roman" w:eastAsia="Calibri" w:hAnsi="Times New Roman" w:cs="Times New Roman"/>
          <w:b/>
          <w:bCs/>
          <w:color w:val="000000" w:themeColor="text1"/>
          <w:sz w:val="20"/>
          <w:szCs w:val="20"/>
          <w:lang w:bidi="ar-EG"/>
        </w:rPr>
        <w:t>outcome</w:t>
      </w:r>
      <w:r w:rsidR="00853F77" w:rsidRPr="000E78AB">
        <w:rPr>
          <w:rFonts w:ascii="Times New Roman" w:eastAsia="Calibri" w:hAnsi="Times New Roman" w:cs="Times New Roman"/>
          <w:b/>
          <w:bCs/>
          <w:color w:val="000000" w:themeColor="text1"/>
          <w:sz w:val="20"/>
          <w:szCs w:val="20"/>
          <w:lang w:bidi="ar-EG"/>
        </w:rPr>
        <w:t>s</w:t>
      </w:r>
      <w:r w:rsidR="00747610" w:rsidRPr="000E78AB">
        <w:rPr>
          <w:rFonts w:ascii="Times New Roman" w:eastAsia="Calibri" w:hAnsi="Times New Roman" w:cs="Times New Roman"/>
          <w:b/>
          <w:bCs/>
          <w:color w:val="000000" w:themeColor="text1"/>
          <w:sz w:val="20"/>
          <w:szCs w:val="20"/>
          <w:lang w:bidi="ar-EG"/>
        </w:rPr>
        <w:t xml:space="preserve"> in classic Hodgkin lymphoma patients</w:t>
      </w:r>
    </w:p>
    <w:p w:rsidR="00C35610" w:rsidRPr="000E78AB" w:rsidRDefault="00C35610" w:rsidP="003B3D6D">
      <w:pPr>
        <w:bidi w:val="0"/>
        <w:snapToGrid w:val="0"/>
        <w:spacing w:after="0" w:line="240" w:lineRule="auto"/>
        <w:jc w:val="center"/>
        <w:rPr>
          <w:rFonts w:ascii="Times New Roman" w:eastAsia="Calibri" w:hAnsi="Times New Roman" w:cs="Times New Roman"/>
          <w:b/>
          <w:bCs/>
          <w:color w:val="000000" w:themeColor="text1"/>
          <w:sz w:val="20"/>
          <w:szCs w:val="20"/>
          <w:lang w:bidi="ar-EG"/>
        </w:rPr>
      </w:pPr>
    </w:p>
    <w:p w:rsidR="00C35610" w:rsidRPr="000E78AB" w:rsidRDefault="00227000" w:rsidP="003B3D6D">
      <w:pPr>
        <w:bidi w:val="0"/>
        <w:snapToGrid w:val="0"/>
        <w:spacing w:after="0" w:line="240" w:lineRule="auto"/>
        <w:jc w:val="center"/>
        <w:rPr>
          <w:rFonts w:ascii="Times New Roman" w:hAnsi="Times New Roman" w:cs="Times New Roman"/>
          <w:color w:val="000000" w:themeColor="text1"/>
          <w:sz w:val="20"/>
          <w:szCs w:val="20"/>
          <w:vertAlign w:val="superscript"/>
          <w:lang w:eastAsia="zh-CN" w:bidi="ar-EG"/>
        </w:rPr>
      </w:pPr>
      <w:r w:rsidRPr="000E78AB">
        <w:rPr>
          <w:rFonts w:ascii="Times New Roman" w:eastAsia="Calibri" w:hAnsi="Times New Roman" w:cs="Times New Roman"/>
          <w:color w:val="000000" w:themeColor="text1"/>
          <w:sz w:val="20"/>
          <w:szCs w:val="20"/>
          <w:lang w:bidi="ar-EG"/>
        </w:rPr>
        <w:t xml:space="preserve">Omnia </w:t>
      </w:r>
      <w:proofErr w:type="spellStart"/>
      <w:r w:rsidRPr="000E78AB">
        <w:rPr>
          <w:rFonts w:ascii="Times New Roman" w:eastAsia="Calibri" w:hAnsi="Times New Roman" w:cs="Times New Roman"/>
          <w:color w:val="000000" w:themeColor="text1"/>
          <w:sz w:val="20"/>
          <w:szCs w:val="20"/>
          <w:lang w:bidi="ar-EG"/>
        </w:rPr>
        <w:t>Ab</w:t>
      </w:r>
      <w:r w:rsidR="008849AE" w:rsidRPr="000E78AB">
        <w:rPr>
          <w:rFonts w:ascii="Times New Roman" w:eastAsia="Calibri" w:hAnsi="Times New Roman" w:cs="Times New Roman"/>
          <w:color w:val="000000" w:themeColor="text1"/>
          <w:sz w:val="20"/>
          <w:szCs w:val="20"/>
          <w:lang w:bidi="ar-EG"/>
        </w:rPr>
        <w:t>d</w:t>
      </w:r>
      <w:proofErr w:type="spellEnd"/>
      <w:r w:rsidR="008849AE" w:rsidRPr="000E78AB">
        <w:rPr>
          <w:rFonts w:ascii="Times New Roman" w:eastAsia="Calibri" w:hAnsi="Times New Roman" w:cs="Times New Roman"/>
          <w:color w:val="000000" w:themeColor="text1"/>
          <w:sz w:val="20"/>
          <w:szCs w:val="20"/>
          <w:lang w:bidi="ar-EG"/>
        </w:rPr>
        <w:t xml:space="preserve"> E</w:t>
      </w:r>
      <w:r w:rsidRPr="000E78AB">
        <w:rPr>
          <w:rFonts w:ascii="Times New Roman" w:eastAsia="Calibri" w:hAnsi="Times New Roman" w:cs="Times New Roman"/>
          <w:color w:val="000000" w:themeColor="text1"/>
          <w:sz w:val="20"/>
          <w:szCs w:val="20"/>
          <w:lang w:bidi="ar-EG"/>
        </w:rPr>
        <w:t>lfattah</w:t>
      </w:r>
      <w:r w:rsidRPr="000E78AB">
        <w:rPr>
          <w:rFonts w:ascii="Times New Roman" w:eastAsia="Calibri" w:hAnsi="Times New Roman" w:cs="Times New Roman"/>
          <w:color w:val="000000" w:themeColor="text1"/>
          <w:sz w:val="20"/>
          <w:szCs w:val="20"/>
          <w:vertAlign w:val="superscript"/>
          <w:lang w:bidi="ar-EG"/>
        </w:rPr>
        <w:t>1</w:t>
      </w:r>
      <w:r w:rsidRPr="000E78AB">
        <w:rPr>
          <w:rFonts w:ascii="Times New Roman" w:eastAsia="Calibri" w:hAnsi="Times New Roman" w:cs="Times New Roman"/>
          <w:color w:val="000000" w:themeColor="text1"/>
          <w:sz w:val="20"/>
          <w:szCs w:val="20"/>
          <w:lang w:bidi="ar-EG"/>
        </w:rPr>
        <w:t>, Tamer A</w:t>
      </w:r>
      <w:r w:rsidR="008849AE" w:rsidRPr="000E78AB">
        <w:rPr>
          <w:rFonts w:ascii="Times New Roman" w:eastAsia="Calibri" w:hAnsi="Times New Roman" w:cs="Times New Roman"/>
          <w:color w:val="000000" w:themeColor="text1"/>
          <w:sz w:val="20"/>
          <w:szCs w:val="20"/>
          <w:lang w:bidi="ar-EG"/>
        </w:rPr>
        <w:t>. E</w:t>
      </w:r>
      <w:r w:rsidRPr="000E78AB">
        <w:rPr>
          <w:rFonts w:ascii="Times New Roman" w:eastAsia="Calibri" w:hAnsi="Times New Roman" w:cs="Times New Roman"/>
          <w:color w:val="000000" w:themeColor="text1"/>
          <w:sz w:val="20"/>
          <w:szCs w:val="20"/>
          <w:lang w:bidi="ar-EG"/>
        </w:rPr>
        <w:t>lbedewy</w:t>
      </w:r>
      <w:r w:rsidRPr="000E78AB">
        <w:rPr>
          <w:rFonts w:ascii="Times New Roman" w:eastAsia="Calibri" w:hAnsi="Times New Roman" w:cs="Times New Roman"/>
          <w:color w:val="000000" w:themeColor="text1"/>
          <w:sz w:val="20"/>
          <w:szCs w:val="20"/>
          <w:vertAlign w:val="superscript"/>
          <w:lang w:bidi="ar-EG"/>
        </w:rPr>
        <w:t>2</w:t>
      </w:r>
      <w:r w:rsidRPr="000E78AB">
        <w:rPr>
          <w:rFonts w:ascii="Times New Roman" w:eastAsia="Calibri" w:hAnsi="Times New Roman" w:cs="Times New Roman"/>
          <w:color w:val="000000" w:themeColor="text1"/>
          <w:sz w:val="20"/>
          <w:szCs w:val="20"/>
          <w:lang w:bidi="ar-EG"/>
        </w:rPr>
        <w:t>,</w:t>
      </w:r>
      <w:r w:rsidRPr="000E78AB">
        <w:rPr>
          <w:rFonts w:ascii="Times New Roman" w:eastAsia="Calibri" w:hAnsi="Times New Roman" w:cs="Times New Roman"/>
          <w:color w:val="000000" w:themeColor="text1"/>
          <w:sz w:val="20"/>
          <w:szCs w:val="20"/>
          <w:vertAlign w:val="superscript"/>
          <w:lang w:bidi="ar-EG"/>
        </w:rPr>
        <w:t xml:space="preserve"> </w:t>
      </w:r>
      <w:proofErr w:type="spellStart"/>
      <w:r w:rsidRPr="000E78AB">
        <w:rPr>
          <w:rFonts w:ascii="Times New Roman" w:eastAsia="Calibri" w:hAnsi="Times New Roman" w:cs="Times New Roman"/>
          <w:color w:val="000000" w:themeColor="text1"/>
          <w:sz w:val="20"/>
          <w:szCs w:val="20"/>
          <w:lang w:bidi="ar-EG"/>
        </w:rPr>
        <w:t>Heba</w:t>
      </w:r>
      <w:proofErr w:type="spellEnd"/>
      <w:r w:rsidRPr="000E78AB">
        <w:rPr>
          <w:rFonts w:ascii="Times New Roman" w:eastAsia="Calibri" w:hAnsi="Times New Roman" w:cs="Times New Roman"/>
          <w:color w:val="000000" w:themeColor="text1"/>
          <w:sz w:val="20"/>
          <w:szCs w:val="20"/>
          <w:lang w:bidi="ar-EG"/>
        </w:rPr>
        <w:t xml:space="preserve"> F</w:t>
      </w:r>
      <w:r w:rsidR="008849AE" w:rsidRPr="000E78AB">
        <w:rPr>
          <w:rFonts w:ascii="Times New Roman" w:eastAsia="Calibri" w:hAnsi="Times New Roman" w:cs="Times New Roman"/>
          <w:color w:val="000000" w:themeColor="text1"/>
          <w:sz w:val="20"/>
          <w:szCs w:val="20"/>
          <w:lang w:bidi="ar-EG"/>
        </w:rPr>
        <w:t>. H</w:t>
      </w:r>
      <w:r w:rsidRPr="000E78AB">
        <w:rPr>
          <w:rFonts w:ascii="Times New Roman" w:eastAsia="Calibri" w:hAnsi="Times New Roman" w:cs="Times New Roman"/>
          <w:color w:val="000000" w:themeColor="text1"/>
          <w:sz w:val="20"/>
          <w:szCs w:val="20"/>
          <w:lang w:bidi="ar-EG"/>
        </w:rPr>
        <w:t>arras</w:t>
      </w:r>
      <w:r w:rsidRPr="000E78AB">
        <w:rPr>
          <w:rFonts w:ascii="Times New Roman" w:eastAsia="Calibri" w:hAnsi="Times New Roman" w:cs="Times New Roman"/>
          <w:color w:val="000000" w:themeColor="text1"/>
          <w:sz w:val="20"/>
          <w:szCs w:val="20"/>
          <w:vertAlign w:val="superscript"/>
          <w:lang w:bidi="ar-EG"/>
        </w:rPr>
        <w:t>3</w:t>
      </w:r>
      <w:r w:rsidRPr="000E78AB">
        <w:rPr>
          <w:rFonts w:ascii="Times New Roman" w:eastAsia="Calibri" w:hAnsi="Times New Roman" w:cs="Times New Roman"/>
          <w:color w:val="000000" w:themeColor="text1"/>
          <w:sz w:val="20"/>
          <w:szCs w:val="20"/>
          <w:lang w:bidi="ar-EG"/>
        </w:rPr>
        <w:t>,</w:t>
      </w:r>
      <w:r w:rsidRPr="000E78AB">
        <w:rPr>
          <w:rFonts w:ascii="Times New Roman" w:eastAsia="Calibri" w:hAnsi="Times New Roman" w:cs="Times New Roman"/>
          <w:color w:val="000000" w:themeColor="text1"/>
          <w:sz w:val="20"/>
          <w:szCs w:val="20"/>
          <w:vertAlign w:val="superscript"/>
          <w:lang w:bidi="ar-EG"/>
        </w:rPr>
        <w:t xml:space="preserve"> </w:t>
      </w:r>
      <w:r w:rsidRPr="000E78AB">
        <w:rPr>
          <w:rFonts w:ascii="Times New Roman" w:eastAsia="Calibri" w:hAnsi="Times New Roman" w:cs="Times New Roman"/>
          <w:color w:val="000000" w:themeColor="text1"/>
          <w:sz w:val="20"/>
          <w:szCs w:val="20"/>
          <w:lang w:bidi="ar-EG"/>
        </w:rPr>
        <w:t>Ayman Elsaka</w:t>
      </w:r>
      <w:r w:rsidRPr="000E78AB">
        <w:rPr>
          <w:rFonts w:ascii="Times New Roman" w:eastAsia="Calibri" w:hAnsi="Times New Roman" w:cs="Times New Roman"/>
          <w:color w:val="000000" w:themeColor="text1"/>
          <w:sz w:val="20"/>
          <w:szCs w:val="20"/>
          <w:vertAlign w:val="superscript"/>
          <w:lang w:bidi="ar-EG"/>
        </w:rPr>
        <w:t>3</w:t>
      </w:r>
      <w:r w:rsidRPr="000E78AB">
        <w:rPr>
          <w:rFonts w:ascii="Times New Roman" w:eastAsia="Calibri" w:hAnsi="Times New Roman" w:cs="Times New Roman"/>
          <w:color w:val="000000" w:themeColor="text1"/>
          <w:sz w:val="20"/>
          <w:szCs w:val="20"/>
          <w:lang w:bidi="ar-EG"/>
        </w:rPr>
        <w:t xml:space="preserve"> and Mohamed Elrashidy</w:t>
      </w:r>
      <w:r w:rsidRPr="000E78AB">
        <w:rPr>
          <w:rFonts w:ascii="Times New Roman" w:eastAsia="Calibri" w:hAnsi="Times New Roman" w:cs="Times New Roman"/>
          <w:color w:val="000000" w:themeColor="text1"/>
          <w:sz w:val="20"/>
          <w:szCs w:val="20"/>
          <w:vertAlign w:val="superscript"/>
          <w:lang w:bidi="ar-EG"/>
        </w:rPr>
        <w:t>3</w:t>
      </w:r>
    </w:p>
    <w:p w:rsidR="00C35610" w:rsidRPr="000E78AB" w:rsidRDefault="00C35610" w:rsidP="003B3D6D">
      <w:pPr>
        <w:bidi w:val="0"/>
        <w:snapToGrid w:val="0"/>
        <w:spacing w:after="0" w:line="240" w:lineRule="auto"/>
        <w:jc w:val="center"/>
        <w:rPr>
          <w:rFonts w:ascii="Times New Roman" w:hAnsi="Times New Roman" w:cs="Times New Roman"/>
          <w:color w:val="000000" w:themeColor="text1"/>
          <w:sz w:val="20"/>
          <w:szCs w:val="20"/>
          <w:vertAlign w:val="superscript"/>
          <w:lang w:eastAsia="zh-CN" w:bidi="ar-EG"/>
        </w:rPr>
      </w:pPr>
    </w:p>
    <w:p w:rsidR="00F17EBA" w:rsidRPr="00F17EBA" w:rsidRDefault="00F17EBA" w:rsidP="00F17EBA">
      <w:pPr>
        <w:bidi w:val="0"/>
        <w:snapToGrid w:val="0"/>
        <w:spacing w:after="0" w:line="240" w:lineRule="auto"/>
        <w:jc w:val="center"/>
        <w:rPr>
          <w:rFonts w:ascii="Times New Roman" w:eastAsia="Calibri" w:hAnsi="Times New Roman" w:cs="Times New Roman"/>
          <w:color w:val="000000" w:themeColor="text1"/>
          <w:sz w:val="20"/>
          <w:szCs w:val="20"/>
          <w:lang w:bidi="ar-EG"/>
        </w:rPr>
      </w:pPr>
      <w:r w:rsidRPr="00F17EBA">
        <w:rPr>
          <w:rFonts w:ascii="Times New Roman" w:eastAsia="Calibri" w:hAnsi="Times New Roman" w:cs="Times New Roman"/>
          <w:color w:val="000000" w:themeColor="text1"/>
          <w:sz w:val="20"/>
          <w:szCs w:val="20"/>
          <w:lang w:bidi="ar-EG"/>
        </w:rPr>
        <w:t>Departments of Clinical Oncology</w:t>
      </w:r>
      <w:r w:rsidRPr="00F17EBA">
        <w:rPr>
          <w:rFonts w:ascii="Times New Roman" w:eastAsia="Calibri" w:hAnsi="Times New Roman" w:cs="Times New Roman"/>
          <w:color w:val="000000" w:themeColor="text1"/>
          <w:sz w:val="20"/>
          <w:szCs w:val="20"/>
          <w:vertAlign w:val="superscript"/>
          <w:lang w:bidi="ar-EG"/>
        </w:rPr>
        <w:t>1</w:t>
      </w:r>
      <w:r w:rsidRPr="00F17EBA">
        <w:rPr>
          <w:rFonts w:ascii="Times New Roman" w:eastAsia="Calibri" w:hAnsi="Times New Roman" w:cs="Times New Roman"/>
          <w:color w:val="000000" w:themeColor="text1"/>
          <w:sz w:val="20"/>
          <w:szCs w:val="20"/>
          <w:lang w:bidi="ar-EG"/>
        </w:rPr>
        <w:t>, Internal Medicine</w:t>
      </w:r>
      <w:r w:rsidRPr="00F17EBA">
        <w:rPr>
          <w:rFonts w:ascii="Times New Roman" w:eastAsia="Calibri" w:hAnsi="Times New Roman" w:cs="Times New Roman"/>
          <w:color w:val="000000" w:themeColor="text1"/>
          <w:sz w:val="20"/>
          <w:szCs w:val="20"/>
          <w:vertAlign w:val="superscript"/>
          <w:lang w:bidi="ar-EG"/>
        </w:rPr>
        <w:t>2</w:t>
      </w:r>
      <w:r w:rsidRPr="00F17EBA">
        <w:rPr>
          <w:rFonts w:ascii="Times New Roman" w:eastAsia="Calibri" w:hAnsi="Times New Roman" w:cs="Times New Roman"/>
          <w:color w:val="000000" w:themeColor="text1"/>
          <w:sz w:val="20"/>
          <w:szCs w:val="20"/>
          <w:lang w:bidi="ar-EG"/>
        </w:rPr>
        <w:t xml:space="preserve"> and Pathology</w:t>
      </w:r>
      <w:r w:rsidRPr="00F17EBA">
        <w:rPr>
          <w:rFonts w:ascii="Times New Roman" w:eastAsia="Calibri" w:hAnsi="Times New Roman" w:cs="Times New Roman"/>
          <w:color w:val="000000" w:themeColor="text1"/>
          <w:sz w:val="20"/>
          <w:szCs w:val="20"/>
          <w:vertAlign w:val="superscript"/>
          <w:lang w:bidi="ar-EG"/>
        </w:rPr>
        <w:t>3</w:t>
      </w:r>
      <w:r w:rsidRPr="00F17EBA">
        <w:rPr>
          <w:rFonts w:ascii="Times New Roman" w:eastAsia="Calibri" w:hAnsi="Times New Roman" w:cs="Times New Roman"/>
          <w:color w:val="000000" w:themeColor="text1"/>
          <w:sz w:val="20"/>
          <w:szCs w:val="20"/>
          <w:lang w:bidi="ar-EG"/>
        </w:rPr>
        <w:t>, Tanta University, Tanta, Egypt</w:t>
      </w:r>
    </w:p>
    <w:p w:rsidR="00F17EBA" w:rsidRPr="000E78AB" w:rsidRDefault="00F17EBA" w:rsidP="00F17EBA">
      <w:pPr>
        <w:bidi w:val="0"/>
        <w:snapToGrid w:val="0"/>
        <w:spacing w:after="0" w:line="240" w:lineRule="auto"/>
        <w:jc w:val="center"/>
        <w:rPr>
          <w:rFonts w:ascii="Times New Roman" w:eastAsia="Calibri" w:hAnsi="Times New Roman" w:cs="Times New Roman"/>
          <w:color w:val="000000" w:themeColor="text1"/>
          <w:sz w:val="20"/>
          <w:szCs w:val="20"/>
          <w:lang w:bidi="ar-EG"/>
        </w:rPr>
      </w:pPr>
    </w:p>
    <w:p w:rsidR="00C35610" w:rsidRPr="000E78AB" w:rsidRDefault="009C3BFF" w:rsidP="003B3D6D">
      <w:pPr>
        <w:bidi w:val="0"/>
        <w:snapToGrid w:val="0"/>
        <w:spacing w:after="0" w:line="240" w:lineRule="auto"/>
        <w:jc w:val="center"/>
        <w:rPr>
          <w:rFonts w:ascii="Times New Roman" w:eastAsia="Calibri" w:hAnsi="Times New Roman" w:cs="Times New Roman"/>
          <w:b/>
          <w:bCs/>
          <w:color w:val="000000" w:themeColor="text1"/>
          <w:sz w:val="20"/>
          <w:szCs w:val="20"/>
          <w:lang w:bidi="ar-EG"/>
        </w:rPr>
      </w:pPr>
      <w:hyperlink r:id="rId9" w:history="1">
        <w:r w:rsidR="00227000" w:rsidRPr="000E78AB">
          <w:rPr>
            <w:rStyle w:val="Hyperlink"/>
            <w:rFonts w:ascii="Times New Roman" w:hAnsi="Times New Roman" w:cs="Times New Roman"/>
            <w:sz w:val="20"/>
            <w:szCs w:val="20"/>
          </w:rPr>
          <w:t>omniaabdelfattah@yahoo.com</w:t>
        </w:r>
      </w:hyperlink>
    </w:p>
    <w:p w:rsidR="00C35610" w:rsidRPr="000E78AB" w:rsidRDefault="00C35610" w:rsidP="003B3D6D">
      <w:pPr>
        <w:bidi w:val="0"/>
        <w:snapToGrid w:val="0"/>
        <w:spacing w:after="0" w:line="240" w:lineRule="auto"/>
        <w:jc w:val="center"/>
        <w:rPr>
          <w:rFonts w:ascii="Times New Roman" w:eastAsia="Calibri" w:hAnsi="Times New Roman" w:cs="Times New Roman"/>
          <w:b/>
          <w:bCs/>
          <w:color w:val="000000" w:themeColor="text1"/>
          <w:sz w:val="20"/>
          <w:szCs w:val="20"/>
          <w:lang w:bidi="ar-EG"/>
        </w:rPr>
      </w:pPr>
    </w:p>
    <w:p w:rsidR="00E642BF" w:rsidRDefault="00227000" w:rsidP="009A0496">
      <w:pPr>
        <w:bidi w:val="0"/>
        <w:spacing w:after="0" w:line="240" w:lineRule="auto"/>
        <w:jc w:val="both"/>
        <w:rPr>
          <w:rFonts w:ascii="Times New Roman" w:hAnsi="Times New Roman" w:cs="Times New Roman"/>
          <w:b/>
          <w:sz w:val="20"/>
          <w:szCs w:val="20"/>
          <w:lang w:val="en-GB"/>
        </w:rPr>
      </w:pPr>
      <w:r w:rsidRPr="000E78AB">
        <w:rPr>
          <w:rFonts w:ascii="Times New Roman" w:eastAsia="Calibri" w:hAnsi="Times New Roman" w:cs="Times New Roman"/>
          <w:b/>
          <w:bCs/>
          <w:color w:val="000000" w:themeColor="text1"/>
          <w:sz w:val="20"/>
          <w:szCs w:val="20"/>
          <w:lang w:bidi="ar-EG"/>
        </w:rPr>
        <w:t xml:space="preserve">Abstract: </w:t>
      </w:r>
      <w:r w:rsidR="009A0496" w:rsidRPr="009A0496">
        <w:rPr>
          <w:rFonts w:asciiTheme="majorBidi" w:eastAsia="Calibri" w:hAnsiTheme="majorBidi" w:cstheme="majorBidi"/>
          <w:b/>
          <w:bCs/>
          <w:color w:val="000000" w:themeColor="text1"/>
          <w:sz w:val="20"/>
          <w:szCs w:val="20"/>
          <w:lang w:bidi="ar-EG"/>
        </w:rPr>
        <w:t xml:space="preserve">Objective: </w:t>
      </w:r>
      <w:r w:rsidR="009A0496" w:rsidRPr="009A0496">
        <w:rPr>
          <w:rFonts w:asciiTheme="majorBidi" w:eastAsia="Calibri" w:hAnsiTheme="majorBidi" w:cstheme="majorBidi"/>
          <w:color w:val="000000" w:themeColor="text1"/>
          <w:sz w:val="20"/>
          <w:szCs w:val="20"/>
          <w:lang w:bidi="ar-EG"/>
        </w:rPr>
        <w:t>Hodgkin lymphoma (HL) constitutes for about 11% of all lymphoma and 0.5% of all cancers worldwide. Conventional treatment of newly recognized HL involves a combination of multi-agent therapy, tailored to the stage of disease and the hazard of relapse; this treatment help about 80% of patients to be recovered. Unfortunately, approximately 20% of HL patients developed relapse or still refractory, thus one effective treatment choice are restricted.</w:t>
      </w:r>
      <w:r w:rsidR="009A0496" w:rsidRPr="009A0496">
        <w:rPr>
          <w:rFonts w:eastAsiaTheme="minorHAnsi"/>
          <w:sz w:val="20"/>
          <w:szCs w:val="20"/>
        </w:rPr>
        <w:t xml:space="preserve"> So, substitutional</w:t>
      </w:r>
      <w:r w:rsidR="009A0496" w:rsidRPr="009A0496">
        <w:rPr>
          <w:rFonts w:asciiTheme="majorBidi" w:eastAsia="Calibri" w:hAnsiTheme="majorBidi" w:cstheme="majorBidi"/>
          <w:color w:val="000000" w:themeColor="text1"/>
          <w:sz w:val="20"/>
          <w:szCs w:val="20"/>
          <w:lang w:bidi="ar-EG"/>
        </w:rPr>
        <w:t xml:space="preserve">   treatment, such as immune checkpoint blockade drugs (anti-PD-1 and anti-PD-L1) may be needed.</w:t>
      </w:r>
      <w:r w:rsidR="009A0496">
        <w:rPr>
          <w:rFonts w:asciiTheme="majorBidi" w:eastAsia="Calibri" w:hAnsiTheme="majorBidi" w:cstheme="majorBidi"/>
          <w:color w:val="000000" w:themeColor="text1"/>
          <w:sz w:val="20"/>
          <w:szCs w:val="20"/>
        </w:rPr>
        <w:t xml:space="preserve"> </w:t>
      </w:r>
      <w:r w:rsidR="009A0496" w:rsidRPr="009A0496">
        <w:rPr>
          <w:rFonts w:asciiTheme="majorBidi" w:eastAsia="Calibri" w:hAnsiTheme="majorBidi" w:cstheme="majorBidi"/>
          <w:color w:val="000000" w:themeColor="text1"/>
          <w:sz w:val="20"/>
          <w:szCs w:val="20"/>
        </w:rPr>
        <w:t xml:space="preserve">Our aim is to </w:t>
      </w:r>
      <w:r w:rsidR="009A0496" w:rsidRPr="009A0496">
        <w:rPr>
          <w:rFonts w:asciiTheme="majorBidi" w:eastAsia="Calibri" w:hAnsiTheme="majorBidi" w:cstheme="majorBidi"/>
          <w:color w:val="000000" w:themeColor="text1"/>
          <w:sz w:val="20"/>
          <w:szCs w:val="20"/>
          <w:lang w:bidi="ar-EG"/>
        </w:rPr>
        <w:t xml:space="preserve">investigate the </w:t>
      </w:r>
      <w:proofErr w:type="spellStart"/>
      <w:r w:rsidR="009A0496" w:rsidRPr="009A0496">
        <w:rPr>
          <w:rFonts w:asciiTheme="majorBidi" w:eastAsia="Calibri" w:hAnsiTheme="majorBidi" w:cstheme="majorBidi"/>
          <w:color w:val="000000" w:themeColor="text1"/>
          <w:sz w:val="20"/>
          <w:szCs w:val="20"/>
          <w:lang w:bidi="ar-EG"/>
        </w:rPr>
        <w:t>immunohistochemical</w:t>
      </w:r>
      <w:proofErr w:type="spellEnd"/>
      <w:r w:rsidR="009A0496" w:rsidRPr="009A0496">
        <w:rPr>
          <w:rFonts w:asciiTheme="majorBidi" w:eastAsia="Calibri" w:hAnsiTheme="majorBidi" w:cstheme="majorBidi"/>
          <w:color w:val="000000" w:themeColor="text1"/>
          <w:sz w:val="20"/>
          <w:szCs w:val="20"/>
          <w:lang w:bidi="ar-EG"/>
        </w:rPr>
        <w:t xml:space="preserve"> (IHC) expression of PD-1and PD-L1 in the classic HL (</w:t>
      </w:r>
      <w:proofErr w:type="spellStart"/>
      <w:r w:rsidR="009A0496" w:rsidRPr="009A0496">
        <w:rPr>
          <w:rFonts w:asciiTheme="majorBidi" w:eastAsia="Calibri" w:hAnsiTheme="majorBidi" w:cstheme="majorBidi"/>
          <w:color w:val="000000" w:themeColor="text1"/>
          <w:sz w:val="20"/>
          <w:szCs w:val="20"/>
          <w:lang w:bidi="ar-EG"/>
        </w:rPr>
        <w:t>cHL</w:t>
      </w:r>
      <w:proofErr w:type="spellEnd"/>
      <w:r w:rsidR="009A0496" w:rsidRPr="009A0496">
        <w:rPr>
          <w:rFonts w:asciiTheme="majorBidi" w:eastAsia="Calibri" w:hAnsiTheme="majorBidi" w:cstheme="majorBidi"/>
          <w:color w:val="000000" w:themeColor="text1"/>
          <w:sz w:val="20"/>
          <w:szCs w:val="20"/>
          <w:lang w:bidi="ar-EG"/>
        </w:rPr>
        <w:t xml:space="preserve">) microenvironment along with their correlation with </w:t>
      </w:r>
      <w:proofErr w:type="spellStart"/>
      <w:r w:rsidR="009A0496" w:rsidRPr="009A0496">
        <w:rPr>
          <w:rFonts w:asciiTheme="majorBidi" w:eastAsia="Calibri" w:hAnsiTheme="majorBidi" w:cstheme="majorBidi"/>
          <w:color w:val="000000" w:themeColor="text1"/>
          <w:sz w:val="20"/>
          <w:szCs w:val="20"/>
          <w:lang w:bidi="ar-EG"/>
        </w:rPr>
        <w:t>clinicopathological</w:t>
      </w:r>
      <w:proofErr w:type="spellEnd"/>
      <w:r w:rsidR="009A0496" w:rsidRPr="009A0496">
        <w:rPr>
          <w:rFonts w:asciiTheme="majorBidi" w:eastAsia="Calibri" w:hAnsiTheme="majorBidi" w:cstheme="majorBidi"/>
          <w:color w:val="000000" w:themeColor="text1"/>
          <w:sz w:val="20"/>
          <w:szCs w:val="20"/>
          <w:lang w:bidi="ar-EG"/>
        </w:rPr>
        <w:t xml:space="preserve"> characteristics and focus on their prognostic impact on survival. </w:t>
      </w:r>
      <w:r w:rsidR="009A0496" w:rsidRPr="009A0496">
        <w:rPr>
          <w:rFonts w:asciiTheme="majorBidi" w:eastAsiaTheme="minorHAnsi" w:hAnsiTheme="majorBidi" w:cstheme="majorBidi"/>
          <w:b/>
          <w:bCs/>
          <w:color w:val="000000" w:themeColor="text1"/>
          <w:sz w:val="20"/>
          <w:szCs w:val="20"/>
          <w:lang w:bidi="ar-EG"/>
        </w:rPr>
        <w:t xml:space="preserve">Patients </w:t>
      </w:r>
      <w:r w:rsidR="009A0496">
        <w:rPr>
          <w:rFonts w:asciiTheme="majorBidi" w:eastAsiaTheme="minorHAnsi" w:hAnsiTheme="majorBidi" w:cstheme="majorBidi"/>
          <w:b/>
          <w:bCs/>
          <w:color w:val="000000" w:themeColor="text1"/>
          <w:sz w:val="20"/>
          <w:szCs w:val="20"/>
          <w:lang w:bidi="ar-EG"/>
        </w:rPr>
        <w:t>and</w:t>
      </w:r>
      <w:r w:rsidR="009A0496" w:rsidRPr="009A0496">
        <w:rPr>
          <w:rFonts w:asciiTheme="majorBidi" w:eastAsiaTheme="minorHAnsi" w:hAnsiTheme="majorBidi" w:cstheme="majorBidi"/>
          <w:b/>
          <w:bCs/>
          <w:color w:val="000000" w:themeColor="text1"/>
          <w:sz w:val="20"/>
          <w:szCs w:val="20"/>
          <w:lang w:bidi="ar-EG"/>
        </w:rPr>
        <w:t xml:space="preserve"> Methods: </w:t>
      </w:r>
      <w:r w:rsidR="009A0496" w:rsidRPr="009A0496">
        <w:rPr>
          <w:rFonts w:asciiTheme="majorBidi" w:eastAsiaTheme="minorHAnsi" w:hAnsiTheme="majorBidi" w:cstheme="majorBidi"/>
          <w:color w:val="000000" w:themeColor="text1"/>
          <w:sz w:val="20"/>
          <w:szCs w:val="20"/>
          <w:lang w:bidi="ar-EG"/>
        </w:rPr>
        <w:t xml:space="preserve">Sixty nine histologically confirmed newly diagnosed adult patients with </w:t>
      </w:r>
      <w:proofErr w:type="spellStart"/>
      <w:r w:rsidR="009A0496" w:rsidRPr="009A0496">
        <w:rPr>
          <w:rFonts w:asciiTheme="majorBidi" w:eastAsiaTheme="minorHAnsi" w:hAnsiTheme="majorBidi" w:cstheme="majorBidi"/>
          <w:color w:val="000000" w:themeColor="text1"/>
          <w:sz w:val="20"/>
          <w:szCs w:val="20"/>
          <w:lang w:bidi="ar-EG"/>
        </w:rPr>
        <w:t>cHL</w:t>
      </w:r>
      <w:proofErr w:type="spellEnd"/>
      <w:r w:rsidR="009A0496" w:rsidRPr="009A0496">
        <w:rPr>
          <w:rFonts w:ascii="AdvTimes" w:eastAsiaTheme="minorHAnsi" w:cs="AdvTimes"/>
          <w:sz w:val="20"/>
          <w:szCs w:val="20"/>
        </w:rPr>
        <w:t xml:space="preserve"> </w:t>
      </w:r>
      <w:r w:rsidR="009A0496" w:rsidRPr="009A0496">
        <w:rPr>
          <w:rFonts w:asciiTheme="majorBidi" w:eastAsiaTheme="minorHAnsi" w:hAnsiTheme="majorBidi" w:cstheme="majorBidi"/>
          <w:color w:val="000000" w:themeColor="text1"/>
          <w:sz w:val="20"/>
          <w:szCs w:val="20"/>
          <w:lang w:bidi="ar-EG"/>
        </w:rPr>
        <w:t xml:space="preserve">were enrolled in this study. </w:t>
      </w:r>
      <w:r w:rsidR="009A0496" w:rsidRPr="009A0496">
        <w:rPr>
          <w:rFonts w:asciiTheme="majorBidi" w:eastAsia="Calibri" w:hAnsiTheme="majorBidi" w:cstheme="majorBidi"/>
          <w:color w:val="000000" w:themeColor="text1"/>
          <w:sz w:val="20"/>
          <w:szCs w:val="20"/>
        </w:rPr>
        <w:t>Histological examination of tissue biopsy was reviewed followed by IHC staining of tissue biopsy specimens using rabbit monoclonal antibody Anti- PD1 antibody and rabbit monoclonal antibody Anti- PD-L1 antibody.</w:t>
      </w:r>
      <w:r w:rsidR="009A0496">
        <w:rPr>
          <w:rFonts w:asciiTheme="majorBidi" w:eastAsia="Calibri" w:hAnsiTheme="majorBidi" w:cstheme="majorBidi"/>
          <w:b/>
          <w:bCs/>
          <w:color w:val="000000" w:themeColor="text1"/>
          <w:sz w:val="20"/>
          <w:szCs w:val="20"/>
        </w:rPr>
        <w:t xml:space="preserve"> </w:t>
      </w:r>
      <w:r w:rsidR="009A0496" w:rsidRPr="009A0496">
        <w:rPr>
          <w:rFonts w:asciiTheme="majorBidi" w:eastAsia="Calibri" w:hAnsiTheme="majorBidi" w:cstheme="majorBidi"/>
          <w:b/>
          <w:bCs/>
          <w:color w:val="000000" w:themeColor="text1"/>
          <w:sz w:val="20"/>
          <w:szCs w:val="20"/>
        </w:rPr>
        <w:t xml:space="preserve">Results: </w:t>
      </w:r>
      <w:r w:rsidR="009A0496" w:rsidRPr="009A0496">
        <w:rPr>
          <w:rFonts w:asciiTheme="majorBidi" w:eastAsia="Times New Roman" w:hAnsiTheme="majorBidi" w:cstheme="majorBidi"/>
          <w:color w:val="000000" w:themeColor="text1"/>
          <w:sz w:val="20"/>
          <w:szCs w:val="20"/>
        </w:rPr>
        <w:t xml:space="preserve">Out of 69 patients, 18.8% had high PD-1 ≥10% and 40.6 % had high PD-L1 ≥5. The patients with tumors with high proportions of PD-1 and PD-L1 had shorter PFS and shorter OS compared with patients with low proportions of PD-1 and PD-L1. </w:t>
      </w:r>
      <w:r w:rsidR="009A0496">
        <w:rPr>
          <w:rFonts w:asciiTheme="majorBidi" w:eastAsia="Calibri" w:hAnsiTheme="majorBidi" w:cstheme="majorBidi"/>
          <w:b/>
          <w:bCs/>
          <w:color w:val="000000" w:themeColor="text1"/>
          <w:sz w:val="20"/>
          <w:szCs w:val="20"/>
          <w:lang w:bidi="ar-EG"/>
        </w:rPr>
        <w:t xml:space="preserve"> </w:t>
      </w:r>
      <w:r w:rsidR="009A0496" w:rsidRPr="009A0496">
        <w:rPr>
          <w:rFonts w:asciiTheme="majorBidi" w:eastAsia="Calibri" w:hAnsiTheme="majorBidi" w:cstheme="majorBidi"/>
          <w:b/>
          <w:bCs/>
          <w:color w:val="000000" w:themeColor="text1"/>
          <w:sz w:val="20"/>
          <w:szCs w:val="20"/>
          <w:lang w:bidi="ar-EG"/>
        </w:rPr>
        <w:t>Conclusion</w:t>
      </w:r>
      <w:r w:rsidR="009A0496" w:rsidRPr="009A0496">
        <w:rPr>
          <w:rFonts w:asciiTheme="majorBidi" w:eastAsia="Calibri" w:hAnsiTheme="majorBidi" w:cstheme="majorBidi"/>
          <w:color w:val="000000" w:themeColor="text1"/>
          <w:sz w:val="20"/>
          <w:szCs w:val="20"/>
          <w:lang w:bidi="ar-EG"/>
        </w:rPr>
        <w:t xml:space="preserve">: PD1 and PDL1 have a prognostic value in </w:t>
      </w:r>
      <w:proofErr w:type="spellStart"/>
      <w:r w:rsidR="009A0496" w:rsidRPr="009A0496">
        <w:rPr>
          <w:rFonts w:asciiTheme="majorBidi" w:eastAsia="Calibri" w:hAnsiTheme="majorBidi" w:cstheme="majorBidi"/>
          <w:color w:val="000000" w:themeColor="text1"/>
          <w:sz w:val="20"/>
          <w:szCs w:val="20"/>
          <w:lang w:bidi="ar-EG"/>
        </w:rPr>
        <w:t>cHL</w:t>
      </w:r>
      <w:proofErr w:type="spellEnd"/>
      <w:r w:rsidR="009A0496" w:rsidRPr="009A0496">
        <w:rPr>
          <w:rFonts w:asciiTheme="majorBidi" w:eastAsia="Calibri" w:hAnsiTheme="majorBidi" w:cstheme="majorBidi"/>
          <w:color w:val="000000" w:themeColor="text1"/>
          <w:sz w:val="20"/>
          <w:szCs w:val="20"/>
          <w:lang w:bidi="ar-EG"/>
        </w:rPr>
        <w:t xml:space="preserve"> and this provides opportunities for novel targeted therapies,</w:t>
      </w:r>
      <w:r w:rsidR="009A0496" w:rsidRPr="009A0496">
        <w:rPr>
          <w:rFonts w:asciiTheme="majorBidi" w:eastAsia="Calibri" w:hAnsiTheme="majorBidi" w:cstheme="majorBidi"/>
          <w:b/>
          <w:bCs/>
          <w:color w:val="000000" w:themeColor="text1"/>
          <w:sz w:val="20"/>
          <w:szCs w:val="20"/>
          <w:lang w:bidi="ar-EG"/>
        </w:rPr>
        <w:t xml:space="preserve"> </w:t>
      </w:r>
      <w:r w:rsidR="009A0496" w:rsidRPr="009A0496">
        <w:rPr>
          <w:rFonts w:asciiTheme="majorBidi" w:eastAsia="Calibri" w:hAnsiTheme="majorBidi" w:cstheme="majorBidi"/>
          <w:color w:val="000000" w:themeColor="text1"/>
          <w:sz w:val="20"/>
          <w:szCs w:val="20"/>
          <w:lang w:bidi="ar-EG"/>
        </w:rPr>
        <w:t>targeting</w:t>
      </w:r>
      <w:r w:rsidR="009A0496" w:rsidRPr="009A0496">
        <w:rPr>
          <w:rFonts w:asciiTheme="majorBidi" w:eastAsia="Calibri" w:hAnsiTheme="majorBidi" w:cstheme="majorBidi"/>
          <w:b/>
          <w:bCs/>
          <w:color w:val="000000" w:themeColor="text1"/>
          <w:sz w:val="20"/>
          <w:szCs w:val="20"/>
          <w:lang w:bidi="ar-EG"/>
        </w:rPr>
        <w:t xml:space="preserve"> </w:t>
      </w:r>
      <w:r w:rsidR="009A0496" w:rsidRPr="009A0496">
        <w:rPr>
          <w:rFonts w:asciiTheme="majorBidi" w:eastAsia="Calibri" w:hAnsiTheme="majorBidi" w:cstheme="majorBidi"/>
          <w:color w:val="000000" w:themeColor="text1"/>
          <w:sz w:val="20"/>
          <w:szCs w:val="20"/>
          <w:lang w:bidi="ar-EG"/>
        </w:rPr>
        <w:t xml:space="preserve">these agents in earlier lines of therapy may improve the overall outcome of patients with </w:t>
      </w:r>
      <w:proofErr w:type="spellStart"/>
      <w:r w:rsidR="009A0496" w:rsidRPr="009A0496">
        <w:rPr>
          <w:rFonts w:asciiTheme="majorBidi" w:eastAsia="Calibri" w:hAnsiTheme="majorBidi" w:cstheme="majorBidi"/>
          <w:color w:val="000000" w:themeColor="text1"/>
          <w:sz w:val="20"/>
          <w:szCs w:val="20"/>
          <w:lang w:bidi="ar-EG"/>
        </w:rPr>
        <w:t>cHL.</w:t>
      </w:r>
      <w:proofErr w:type="spellEnd"/>
      <w:r w:rsidR="009A0496" w:rsidRPr="000E78AB">
        <w:rPr>
          <w:rFonts w:ascii="Times New Roman" w:hAnsi="Times New Roman" w:cs="Times New Roman" w:hint="eastAsia"/>
          <w:b/>
          <w:sz w:val="20"/>
          <w:szCs w:val="20"/>
          <w:lang w:val="en-GB"/>
        </w:rPr>
        <w:t xml:space="preserve"> </w:t>
      </w:r>
    </w:p>
    <w:p w:rsidR="003B3D6D" w:rsidRPr="000E78AB" w:rsidRDefault="003B3D6D" w:rsidP="00E642BF">
      <w:pPr>
        <w:bidi w:val="0"/>
        <w:spacing w:after="0" w:line="240" w:lineRule="auto"/>
        <w:jc w:val="both"/>
        <w:rPr>
          <w:rFonts w:ascii="Times New Roman" w:eastAsia="Calibri" w:hAnsi="Times New Roman" w:cs="Times New Roman"/>
          <w:b/>
          <w:bCs/>
          <w:color w:val="000000" w:themeColor="text1"/>
          <w:sz w:val="20"/>
          <w:szCs w:val="20"/>
          <w:lang w:bidi="ar-EG"/>
        </w:rPr>
      </w:pPr>
      <w:proofErr w:type="gramStart"/>
      <w:r w:rsidRPr="000E78AB">
        <w:rPr>
          <w:rFonts w:ascii="Times New Roman" w:hAnsi="Times New Roman" w:cs="Times New Roman" w:hint="eastAsia"/>
          <w:b/>
          <w:sz w:val="20"/>
          <w:szCs w:val="20"/>
          <w:lang w:val="en-GB"/>
        </w:rPr>
        <w:t>[</w:t>
      </w:r>
      <w:r w:rsidRPr="000E78AB">
        <w:rPr>
          <w:rFonts w:ascii="Times New Roman" w:eastAsia="Calibri" w:hAnsi="Times New Roman" w:cs="Times New Roman"/>
          <w:color w:val="000000" w:themeColor="text1"/>
          <w:sz w:val="20"/>
          <w:szCs w:val="20"/>
          <w:lang w:bidi="ar-EG"/>
        </w:rPr>
        <w:t xml:space="preserve">Omnia </w:t>
      </w:r>
      <w:proofErr w:type="spellStart"/>
      <w:r w:rsidRPr="000E78AB">
        <w:rPr>
          <w:rFonts w:ascii="Times New Roman" w:eastAsia="Calibri" w:hAnsi="Times New Roman" w:cs="Times New Roman"/>
          <w:color w:val="000000" w:themeColor="text1"/>
          <w:sz w:val="20"/>
          <w:szCs w:val="20"/>
          <w:lang w:bidi="ar-EG"/>
        </w:rPr>
        <w:t>Ab</w:t>
      </w:r>
      <w:r w:rsidR="008849AE" w:rsidRPr="000E78AB">
        <w:rPr>
          <w:rFonts w:ascii="Times New Roman" w:eastAsia="Calibri" w:hAnsi="Times New Roman" w:cs="Times New Roman"/>
          <w:color w:val="000000" w:themeColor="text1"/>
          <w:sz w:val="20"/>
          <w:szCs w:val="20"/>
          <w:lang w:bidi="ar-EG"/>
        </w:rPr>
        <w:t>d</w:t>
      </w:r>
      <w:proofErr w:type="spellEnd"/>
      <w:r w:rsidR="008849AE" w:rsidRPr="000E78AB">
        <w:rPr>
          <w:rFonts w:ascii="Times New Roman" w:eastAsia="Calibri" w:hAnsi="Times New Roman" w:cs="Times New Roman"/>
          <w:color w:val="000000" w:themeColor="text1"/>
          <w:sz w:val="20"/>
          <w:szCs w:val="20"/>
          <w:lang w:bidi="ar-EG"/>
        </w:rPr>
        <w:t xml:space="preserve"> </w:t>
      </w:r>
      <w:proofErr w:type="spellStart"/>
      <w:r w:rsidR="008849AE" w:rsidRPr="000E78AB">
        <w:rPr>
          <w:rFonts w:ascii="Times New Roman" w:eastAsia="Calibri" w:hAnsi="Times New Roman" w:cs="Times New Roman"/>
          <w:color w:val="000000" w:themeColor="text1"/>
          <w:sz w:val="20"/>
          <w:szCs w:val="20"/>
          <w:lang w:bidi="ar-EG"/>
        </w:rPr>
        <w:t>E</w:t>
      </w:r>
      <w:r w:rsidRPr="000E78AB">
        <w:rPr>
          <w:rFonts w:ascii="Times New Roman" w:eastAsia="Calibri" w:hAnsi="Times New Roman" w:cs="Times New Roman"/>
          <w:color w:val="000000" w:themeColor="text1"/>
          <w:sz w:val="20"/>
          <w:szCs w:val="20"/>
          <w:lang w:bidi="ar-EG"/>
        </w:rPr>
        <w:t>lfattah</w:t>
      </w:r>
      <w:proofErr w:type="spellEnd"/>
      <w:r w:rsidRPr="000E78AB">
        <w:rPr>
          <w:rFonts w:ascii="Times New Roman" w:eastAsia="Calibri" w:hAnsi="Times New Roman" w:cs="Times New Roman"/>
          <w:color w:val="000000" w:themeColor="text1"/>
          <w:sz w:val="20"/>
          <w:szCs w:val="20"/>
          <w:lang w:bidi="ar-EG"/>
        </w:rPr>
        <w:t>, Tamer A</w:t>
      </w:r>
      <w:r w:rsidR="008849AE" w:rsidRPr="000E78AB">
        <w:rPr>
          <w:rFonts w:ascii="Times New Roman" w:eastAsia="Calibri" w:hAnsi="Times New Roman" w:cs="Times New Roman"/>
          <w:color w:val="000000" w:themeColor="text1"/>
          <w:sz w:val="20"/>
          <w:szCs w:val="20"/>
          <w:lang w:bidi="ar-EG"/>
        </w:rPr>
        <w:t xml:space="preserve">. </w:t>
      </w:r>
      <w:proofErr w:type="spellStart"/>
      <w:r w:rsidR="008849AE" w:rsidRPr="000E78AB">
        <w:rPr>
          <w:rFonts w:ascii="Times New Roman" w:eastAsia="Calibri" w:hAnsi="Times New Roman" w:cs="Times New Roman"/>
          <w:color w:val="000000" w:themeColor="text1"/>
          <w:sz w:val="20"/>
          <w:szCs w:val="20"/>
          <w:lang w:bidi="ar-EG"/>
        </w:rPr>
        <w:t>E</w:t>
      </w:r>
      <w:r w:rsidRPr="000E78AB">
        <w:rPr>
          <w:rFonts w:ascii="Times New Roman" w:eastAsia="Calibri" w:hAnsi="Times New Roman" w:cs="Times New Roman"/>
          <w:color w:val="000000" w:themeColor="text1"/>
          <w:sz w:val="20"/>
          <w:szCs w:val="20"/>
          <w:lang w:bidi="ar-EG"/>
        </w:rPr>
        <w:t>lbedewy</w:t>
      </w:r>
      <w:proofErr w:type="spellEnd"/>
      <w:r w:rsidR="008849AE" w:rsidRPr="000E78AB">
        <w:rPr>
          <w:rFonts w:ascii="Times New Roman" w:eastAsia="Calibri" w:hAnsi="Times New Roman" w:cs="Times New Roman"/>
          <w:color w:val="000000" w:themeColor="text1"/>
          <w:sz w:val="20"/>
          <w:szCs w:val="20"/>
          <w:lang w:bidi="ar-EG"/>
        </w:rPr>
        <w:t xml:space="preserve">, </w:t>
      </w:r>
      <w:proofErr w:type="spellStart"/>
      <w:r w:rsidR="008849AE" w:rsidRPr="000E78AB">
        <w:rPr>
          <w:rFonts w:ascii="Times New Roman" w:eastAsia="Calibri" w:hAnsi="Times New Roman" w:cs="Times New Roman"/>
          <w:color w:val="000000" w:themeColor="text1"/>
          <w:sz w:val="20"/>
          <w:szCs w:val="20"/>
          <w:lang w:bidi="ar-EG"/>
        </w:rPr>
        <w:t>H</w:t>
      </w:r>
      <w:r w:rsidRPr="000E78AB">
        <w:rPr>
          <w:rFonts w:ascii="Times New Roman" w:eastAsia="Calibri" w:hAnsi="Times New Roman" w:cs="Times New Roman"/>
          <w:color w:val="000000" w:themeColor="text1"/>
          <w:sz w:val="20"/>
          <w:szCs w:val="20"/>
          <w:lang w:bidi="ar-EG"/>
        </w:rPr>
        <w:t>eba</w:t>
      </w:r>
      <w:proofErr w:type="spellEnd"/>
      <w:r w:rsidRPr="000E78AB">
        <w:rPr>
          <w:rFonts w:ascii="Times New Roman" w:eastAsia="Calibri" w:hAnsi="Times New Roman" w:cs="Times New Roman"/>
          <w:color w:val="000000" w:themeColor="text1"/>
          <w:sz w:val="20"/>
          <w:szCs w:val="20"/>
          <w:lang w:bidi="ar-EG"/>
        </w:rPr>
        <w:t xml:space="preserve"> F</w:t>
      </w:r>
      <w:r w:rsidR="008849AE" w:rsidRPr="000E78AB">
        <w:rPr>
          <w:rFonts w:ascii="Times New Roman" w:eastAsia="Calibri" w:hAnsi="Times New Roman" w:cs="Times New Roman"/>
          <w:color w:val="000000" w:themeColor="text1"/>
          <w:sz w:val="20"/>
          <w:szCs w:val="20"/>
          <w:lang w:bidi="ar-EG"/>
        </w:rPr>
        <w:t xml:space="preserve">. </w:t>
      </w:r>
      <w:proofErr w:type="spellStart"/>
      <w:r w:rsidR="008849AE" w:rsidRPr="000E78AB">
        <w:rPr>
          <w:rFonts w:ascii="Times New Roman" w:eastAsia="Calibri" w:hAnsi="Times New Roman" w:cs="Times New Roman"/>
          <w:color w:val="000000" w:themeColor="text1"/>
          <w:sz w:val="20"/>
          <w:szCs w:val="20"/>
          <w:lang w:bidi="ar-EG"/>
        </w:rPr>
        <w:t>H</w:t>
      </w:r>
      <w:r w:rsidRPr="000E78AB">
        <w:rPr>
          <w:rFonts w:ascii="Times New Roman" w:eastAsia="Calibri" w:hAnsi="Times New Roman" w:cs="Times New Roman"/>
          <w:color w:val="000000" w:themeColor="text1"/>
          <w:sz w:val="20"/>
          <w:szCs w:val="20"/>
          <w:lang w:bidi="ar-EG"/>
        </w:rPr>
        <w:t>arras</w:t>
      </w:r>
      <w:proofErr w:type="spellEnd"/>
      <w:r w:rsidR="008849AE" w:rsidRPr="000E78AB">
        <w:rPr>
          <w:rFonts w:ascii="Times New Roman" w:eastAsia="Calibri" w:hAnsi="Times New Roman" w:cs="Times New Roman"/>
          <w:color w:val="000000" w:themeColor="text1"/>
          <w:sz w:val="20"/>
          <w:szCs w:val="20"/>
          <w:lang w:bidi="ar-EG"/>
        </w:rPr>
        <w:t>, A</w:t>
      </w:r>
      <w:r w:rsidRPr="000E78AB">
        <w:rPr>
          <w:rFonts w:ascii="Times New Roman" w:eastAsia="Calibri" w:hAnsi="Times New Roman" w:cs="Times New Roman"/>
          <w:color w:val="000000" w:themeColor="text1"/>
          <w:sz w:val="20"/>
          <w:szCs w:val="20"/>
          <w:lang w:bidi="ar-EG"/>
        </w:rPr>
        <w:t xml:space="preserve">yman </w:t>
      </w:r>
      <w:proofErr w:type="spellStart"/>
      <w:r w:rsidRPr="000E78AB">
        <w:rPr>
          <w:rFonts w:ascii="Times New Roman" w:eastAsia="Calibri" w:hAnsi="Times New Roman" w:cs="Times New Roman"/>
          <w:color w:val="000000" w:themeColor="text1"/>
          <w:sz w:val="20"/>
          <w:szCs w:val="20"/>
          <w:lang w:bidi="ar-EG"/>
        </w:rPr>
        <w:t>Elsaka</w:t>
      </w:r>
      <w:proofErr w:type="spellEnd"/>
      <w:r w:rsidRPr="000E78AB">
        <w:rPr>
          <w:rFonts w:ascii="Times New Roman" w:eastAsia="Calibri" w:hAnsi="Times New Roman" w:cs="Times New Roman"/>
          <w:color w:val="000000" w:themeColor="text1"/>
          <w:sz w:val="20"/>
          <w:szCs w:val="20"/>
          <w:lang w:bidi="ar-EG"/>
        </w:rPr>
        <w:t xml:space="preserve"> and Mohamed </w:t>
      </w:r>
      <w:proofErr w:type="spellStart"/>
      <w:r w:rsidRPr="000E78AB">
        <w:rPr>
          <w:rFonts w:ascii="Times New Roman" w:eastAsia="Calibri" w:hAnsi="Times New Roman" w:cs="Times New Roman"/>
          <w:color w:val="000000" w:themeColor="text1"/>
          <w:sz w:val="20"/>
          <w:szCs w:val="20"/>
          <w:lang w:bidi="ar-EG"/>
        </w:rPr>
        <w:t>Elrashid</w:t>
      </w:r>
      <w:proofErr w:type="spellEnd"/>
      <w:r w:rsidRPr="000E78AB">
        <w:rPr>
          <w:rFonts w:ascii="Times New Roman" w:hAnsi="Times New Roman" w:cs="Times New Roman"/>
          <w:sz w:val="20"/>
          <w:szCs w:val="20"/>
        </w:rPr>
        <w:t>.</w:t>
      </w:r>
      <w:proofErr w:type="gramEnd"/>
      <w:r w:rsidRPr="000E78AB">
        <w:rPr>
          <w:rFonts w:ascii="Times New Roman" w:hAnsi="Times New Roman" w:cs="Times New Roman"/>
          <w:sz w:val="20"/>
          <w:szCs w:val="20"/>
        </w:rPr>
        <w:t xml:space="preserve"> </w:t>
      </w:r>
      <w:proofErr w:type="gramStart"/>
      <w:r w:rsidRPr="000E78AB">
        <w:rPr>
          <w:rFonts w:ascii="Times New Roman" w:eastAsia="Calibri" w:hAnsi="Times New Roman" w:cs="Times New Roman"/>
          <w:b/>
          <w:bCs/>
          <w:color w:val="000000" w:themeColor="text1"/>
          <w:sz w:val="20"/>
          <w:szCs w:val="20"/>
          <w:lang w:bidi="ar-EG"/>
        </w:rPr>
        <w:t xml:space="preserve">Prognostic impact of </w:t>
      </w:r>
      <w:proofErr w:type="spellStart"/>
      <w:r w:rsidRPr="000E78AB">
        <w:rPr>
          <w:rFonts w:ascii="Times New Roman" w:eastAsia="Calibri" w:hAnsi="Times New Roman" w:cs="Times New Roman"/>
          <w:b/>
          <w:bCs/>
          <w:color w:val="000000" w:themeColor="text1"/>
          <w:sz w:val="20"/>
          <w:szCs w:val="20"/>
          <w:lang w:bidi="ar-EG"/>
        </w:rPr>
        <w:t>immunohistochemical</w:t>
      </w:r>
      <w:proofErr w:type="spellEnd"/>
      <w:r w:rsidRPr="000E78AB">
        <w:rPr>
          <w:rFonts w:ascii="Times New Roman" w:eastAsia="Calibri" w:hAnsi="Times New Roman" w:cs="Times New Roman"/>
          <w:b/>
          <w:bCs/>
          <w:color w:val="000000" w:themeColor="text1"/>
          <w:sz w:val="20"/>
          <w:szCs w:val="20"/>
          <w:lang w:bidi="ar-EG"/>
        </w:rPr>
        <w:t xml:space="preserve"> expression of PD-1 and PD-L1</w:t>
      </w:r>
      <w:r w:rsidRPr="000E78AB">
        <w:rPr>
          <w:rFonts w:ascii="Times New Roman" w:hAnsi="Times New Roman" w:cs="Times New Roman" w:hint="eastAsia"/>
          <w:b/>
          <w:bCs/>
          <w:color w:val="000000" w:themeColor="text1"/>
          <w:sz w:val="20"/>
          <w:szCs w:val="20"/>
          <w:lang w:eastAsia="zh-CN" w:bidi="ar-EG"/>
        </w:rPr>
        <w:t xml:space="preserve"> </w:t>
      </w:r>
      <w:r w:rsidRPr="000E78AB">
        <w:rPr>
          <w:rFonts w:ascii="Times New Roman" w:eastAsia="Calibri" w:hAnsi="Times New Roman" w:cs="Times New Roman"/>
          <w:b/>
          <w:bCs/>
          <w:color w:val="000000" w:themeColor="text1"/>
          <w:sz w:val="20"/>
          <w:szCs w:val="20"/>
          <w:lang w:bidi="ar-EG"/>
        </w:rPr>
        <w:t>on outcomes in classic Hodgkin lymphoma patients</w:t>
      </w:r>
      <w:r w:rsidRPr="000E78AB">
        <w:rPr>
          <w:rFonts w:ascii="Times New Roman" w:eastAsia="Times New Roman" w:hAnsi="Times New Roman" w:cs="Times New Roman"/>
          <w:b/>
          <w:bCs/>
          <w:sz w:val="20"/>
          <w:szCs w:val="20"/>
          <w:lang w:bidi="fa-IR"/>
        </w:rPr>
        <w:t>.</w:t>
      </w:r>
      <w:proofErr w:type="gramEnd"/>
      <w:r w:rsidRPr="000E78AB">
        <w:rPr>
          <w:rFonts w:ascii="Times New Roman" w:hAnsi="Times New Roman" w:cs="Times New Roman"/>
          <w:i/>
          <w:sz w:val="20"/>
          <w:szCs w:val="20"/>
        </w:rPr>
        <w:t xml:space="preserve"> Cancer Biology</w:t>
      </w:r>
      <w:r w:rsidRPr="000E78AB">
        <w:rPr>
          <w:rFonts w:ascii="Times New Roman" w:hAnsi="Times New Roman" w:cs="Times New Roman"/>
          <w:sz w:val="20"/>
          <w:szCs w:val="20"/>
        </w:rPr>
        <w:t xml:space="preserve"> 201</w:t>
      </w:r>
      <w:r w:rsidR="00AB58F5">
        <w:rPr>
          <w:rFonts w:ascii="Times New Roman" w:hAnsi="Times New Roman" w:cs="Times New Roman" w:hint="eastAsia"/>
          <w:sz w:val="20"/>
          <w:szCs w:val="20"/>
          <w:lang w:eastAsia="zh-CN"/>
        </w:rPr>
        <w:t>8</w:t>
      </w:r>
      <w:proofErr w:type="gramStart"/>
      <w:r w:rsidRPr="000E78AB">
        <w:rPr>
          <w:rFonts w:ascii="Times New Roman" w:hAnsi="Times New Roman" w:cs="Times New Roman"/>
          <w:sz w:val="20"/>
          <w:szCs w:val="20"/>
        </w:rPr>
        <w:t>;</w:t>
      </w:r>
      <w:r w:rsidR="00AB58F5">
        <w:rPr>
          <w:rFonts w:ascii="Times New Roman" w:hAnsi="Times New Roman" w:cs="Times New Roman" w:hint="eastAsia"/>
          <w:sz w:val="20"/>
          <w:szCs w:val="20"/>
          <w:lang w:eastAsia="zh-CN"/>
        </w:rPr>
        <w:t>8</w:t>
      </w:r>
      <w:proofErr w:type="gramEnd"/>
      <w:r w:rsidRPr="000E78AB">
        <w:rPr>
          <w:rFonts w:ascii="Times New Roman" w:hAnsi="Times New Roman" w:cs="Times New Roman"/>
          <w:sz w:val="20"/>
          <w:szCs w:val="20"/>
        </w:rPr>
        <w:t>(</w:t>
      </w:r>
      <w:r w:rsidR="00AB58F5">
        <w:rPr>
          <w:rFonts w:ascii="Times New Roman" w:hAnsi="Times New Roman" w:cs="Times New Roman" w:hint="eastAsia"/>
          <w:sz w:val="20"/>
          <w:szCs w:val="20"/>
          <w:lang w:eastAsia="zh-CN"/>
        </w:rPr>
        <w:t>4</w:t>
      </w:r>
      <w:r w:rsidRPr="000E78AB">
        <w:rPr>
          <w:rFonts w:ascii="Times New Roman" w:hAnsi="Times New Roman" w:cs="Times New Roman"/>
          <w:sz w:val="20"/>
          <w:szCs w:val="20"/>
        </w:rPr>
        <w:t>):</w:t>
      </w:r>
      <w:r w:rsidR="00AB58F5">
        <w:rPr>
          <w:rFonts w:ascii="Times New Roman" w:hAnsi="Times New Roman" w:cs="Times New Roman" w:hint="eastAsia"/>
          <w:sz w:val="20"/>
          <w:szCs w:val="20"/>
          <w:lang w:eastAsia="zh-CN"/>
        </w:rPr>
        <w:t>159</w:t>
      </w:r>
      <w:r w:rsidR="00191786" w:rsidRPr="000E78AB">
        <w:rPr>
          <w:rFonts w:ascii="Times New Roman" w:hAnsi="Times New Roman" w:cs="Times New Roman"/>
          <w:noProof/>
          <w:color w:val="000000"/>
          <w:sz w:val="20"/>
          <w:szCs w:val="20"/>
        </w:rPr>
        <w:t>-</w:t>
      </w:r>
      <w:r w:rsidR="00AB58F5">
        <w:rPr>
          <w:rFonts w:ascii="Times New Roman" w:hAnsi="Times New Roman" w:cs="Times New Roman" w:hint="eastAsia"/>
          <w:noProof/>
          <w:color w:val="000000"/>
          <w:sz w:val="20"/>
          <w:szCs w:val="20"/>
          <w:lang w:eastAsia="zh-CN"/>
        </w:rPr>
        <w:t>166</w:t>
      </w:r>
      <w:r w:rsidRPr="000E78AB">
        <w:rPr>
          <w:rFonts w:ascii="Times New Roman" w:hAnsi="Times New Roman" w:cs="Times New Roman"/>
          <w:sz w:val="20"/>
          <w:szCs w:val="20"/>
        </w:rPr>
        <w:t xml:space="preserve">]. </w:t>
      </w:r>
      <w:r w:rsidRPr="000E78AB">
        <w:rPr>
          <w:rStyle w:val="msonormal0"/>
          <w:rFonts w:ascii="Times New Roman" w:eastAsia="宋" w:hAnsi="Times New Roman" w:cs="Times New Roman"/>
          <w:sz w:val="20"/>
          <w:szCs w:val="20"/>
        </w:rPr>
        <w:t>ISSN: 2150-1041 (print); ISSN: 2150-105X (online)</w:t>
      </w:r>
      <w:r w:rsidRPr="000E78AB">
        <w:rPr>
          <w:rFonts w:ascii="Times New Roman" w:hAnsi="Times New Roman" w:cs="Times New Roman"/>
          <w:sz w:val="20"/>
          <w:szCs w:val="20"/>
        </w:rPr>
        <w:t xml:space="preserve">. </w:t>
      </w:r>
      <w:hyperlink r:id="rId10" w:history="1">
        <w:r w:rsidRPr="000E78AB">
          <w:rPr>
            <w:rStyle w:val="Hyperlink"/>
            <w:rFonts w:ascii="Times New Roman" w:hAnsi="Times New Roman" w:cs="Times New Roman"/>
            <w:color w:val="0000FF"/>
            <w:sz w:val="20"/>
            <w:szCs w:val="20"/>
          </w:rPr>
          <w:t>http://www.cancerbio.net</w:t>
        </w:r>
      </w:hyperlink>
      <w:r w:rsidRPr="000E78AB">
        <w:rPr>
          <w:rFonts w:ascii="Times New Roman" w:hAnsi="Times New Roman" w:cs="Times New Roman"/>
          <w:sz w:val="20"/>
          <w:szCs w:val="20"/>
        </w:rPr>
        <w:t>.</w:t>
      </w:r>
      <w:r w:rsidRPr="000E78AB">
        <w:rPr>
          <w:rFonts w:ascii="Times New Roman" w:hAnsi="Times New Roman" w:cs="Times New Roman" w:hint="eastAsia"/>
          <w:sz w:val="20"/>
          <w:szCs w:val="20"/>
        </w:rPr>
        <w:t xml:space="preserve"> </w:t>
      </w:r>
      <w:r w:rsidR="00AB58F5">
        <w:rPr>
          <w:rFonts w:ascii="Times New Roman" w:hAnsi="Times New Roman" w:cs="Times New Roman" w:hint="eastAsia"/>
          <w:sz w:val="20"/>
          <w:szCs w:val="20"/>
          <w:lang w:eastAsia="zh-CN"/>
        </w:rPr>
        <w:t>14</w:t>
      </w:r>
      <w:r w:rsidRPr="000E78AB">
        <w:rPr>
          <w:rFonts w:ascii="Times New Roman" w:hAnsi="Times New Roman" w:cs="Times New Roman" w:hint="eastAsia"/>
          <w:sz w:val="20"/>
          <w:szCs w:val="20"/>
        </w:rPr>
        <w:t xml:space="preserve">. </w:t>
      </w:r>
      <w:proofErr w:type="gramStart"/>
      <w:r w:rsidRPr="000E78AB">
        <w:rPr>
          <w:rFonts w:ascii="Times New Roman" w:hAnsi="Times New Roman" w:cs="Times New Roman"/>
          <w:color w:val="000000"/>
          <w:sz w:val="20"/>
          <w:szCs w:val="20"/>
          <w:shd w:val="clear" w:color="auto" w:fill="FFFFFF"/>
        </w:rPr>
        <w:t>doi</w:t>
      </w:r>
      <w:proofErr w:type="gramEnd"/>
      <w:r w:rsidRPr="000E78AB">
        <w:rPr>
          <w:rFonts w:ascii="Times New Roman" w:hAnsi="Times New Roman" w:cs="Times New Roman"/>
          <w:color w:val="000000"/>
          <w:sz w:val="20"/>
          <w:szCs w:val="20"/>
          <w:shd w:val="clear" w:color="auto" w:fill="FFFFFF"/>
        </w:rPr>
        <w:t>:</w:t>
      </w:r>
      <w:hyperlink r:id="rId11" w:history="1">
        <w:r w:rsidRPr="000E78AB">
          <w:rPr>
            <w:rStyle w:val="Hyperlink"/>
            <w:rFonts w:ascii="Times New Roman" w:hAnsi="Times New Roman" w:cs="Times New Roman"/>
            <w:color w:val="0000FF"/>
            <w:sz w:val="20"/>
            <w:szCs w:val="20"/>
            <w:shd w:val="clear" w:color="auto" w:fill="FFFFFF"/>
          </w:rPr>
          <w:t>10.7537/mars</w:t>
        </w:r>
        <w:r w:rsidRPr="000E78AB">
          <w:rPr>
            <w:rStyle w:val="Hyperlink"/>
            <w:rFonts w:ascii="Times New Roman" w:hAnsi="Times New Roman" w:cs="Times New Roman" w:hint="eastAsia"/>
            <w:color w:val="0000FF"/>
            <w:sz w:val="20"/>
            <w:szCs w:val="20"/>
            <w:shd w:val="clear" w:color="auto" w:fill="FFFFFF"/>
          </w:rPr>
          <w:t>cbj0</w:t>
        </w:r>
        <w:r w:rsidR="00AB58F5">
          <w:rPr>
            <w:rStyle w:val="Hyperlink"/>
            <w:rFonts w:ascii="Times New Roman" w:hAnsi="Times New Roman" w:cs="Times New Roman" w:hint="eastAsia"/>
            <w:color w:val="0000FF"/>
            <w:sz w:val="20"/>
            <w:szCs w:val="20"/>
            <w:shd w:val="clear" w:color="auto" w:fill="FFFFFF"/>
            <w:lang w:eastAsia="zh-CN"/>
          </w:rPr>
          <w:t>8</w:t>
        </w:r>
        <w:r w:rsidRPr="000E78AB">
          <w:rPr>
            <w:rStyle w:val="Hyperlink"/>
            <w:rFonts w:ascii="Times New Roman" w:hAnsi="Times New Roman" w:cs="Times New Roman" w:hint="eastAsia"/>
            <w:color w:val="0000FF"/>
            <w:sz w:val="20"/>
            <w:szCs w:val="20"/>
            <w:shd w:val="clear" w:color="auto" w:fill="FFFFFF"/>
          </w:rPr>
          <w:t>0</w:t>
        </w:r>
        <w:r w:rsidR="00AB58F5">
          <w:rPr>
            <w:rStyle w:val="Hyperlink"/>
            <w:rFonts w:ascii="Times New Roman" w:hAnsi="Times New Roman" w:cs="Times New Roman" w:hint="eastAsia"/>
            <w:color w:val="0000FF"/>
            <w:sz w:val="20"/>
            <w:szCs w:val="20"/>
            <w:shd w:val="clear" w:color="auto" w:fill="FFFFFF"/>
            <w:lang w:eastAsia="zh-CN"/>
          </w:rPr>
          <w:t>4</w:t>
        </w:r>
        <w:r w:rsidRPr="000E78AB">
          <w:rPr>
            <w:rStyle w:val="Hyperlink"/>
            <w:rFonts w:ascii="Times New Roman" w:hAnsi="Times New Roman" w:cs="Times New Roman"/>
            <w:color w:val="0000FF"/>
            <w:sz w:val="20"/>
            <w:szCs w:val="20"/>
            <w:shd w:val="clear" w:color="auto" w:fill="FFFFFF"/>
          </w:rPr>
          <w:t>1</w:t>
        </w:r>
        <w:r w:rsidR="00AB58F5">
          <w:rPr>
            <w:rStyle w:val="Hyperlink"/>
            <w:rFonts w:ascii="Times New Roman" w:hAnsi="Times New Roman" w:cs="Times New Roman" w:hint="eastAsia"/>
            <w:color w:val="0000FF"/>
            <w:sz w:val="20"/>
            <w:szCs w:val="20"/>
            <w:shd w:val="clear" w:color="auto" w:fill="FFFFFF"/>
            <w:lang w:eastAsia="zh-CN"/>
          </w:rPr>
          <w:t>8</w:t>
        </w:r>
        <w:r w:rsidRPr="000E78AB">
          <w:rPr>
            <w:rStyle w:val="Hyperlink"/>
            <w:rFonts w:ascii="Times New Roman" w:hAnsi="Times New Roman" w:cs="Times New Roman" w:hint="eastAsia"/>
            <w:color w:val="0000FF"/>
            <w:sz w:val="20"/>
            <w:szCs w:val="20"/>
            <w:shd w:val="clear" w:color="auto" w:fill="FFFFFF"/>
          </w:rPr>
          <w:t>.</w:t>
        </w:r>
        <w:r w:rsidR="00AB58F5">
          <w:rPr>
            <w:rStyle w:val="Hyperlink"/>
            <w:rFonts w:ascii="Times New Roman" w:hAnsi="Times New Roman" w:cs="Times New Roman" w:hint="eastAsia"/>
            <w:color w:val="0000FF"/>
            <w:sz w:val="20"/>
            <w:szCs w:val="20"/>
            <w:shd w:val="clear" w:color="auto" w:fill="FFFFFF"/>
            <w:lang w:eastAsia="zh-CN"/>
          </w:rPr>
          <w:t>14</w:t>
        </w:r>
      </w:hyperlink>
      <w:r w:rsidRPr="000E78AB">
        <w:rPr>
          <w:rFonts w:ascii="Times New Roman" w:hAnsi="Times New Roman" w:cs="Times New Roman"/>
          <w:color w:val="000000"/>
          <w:sz w:val="20"/>
          <w:szCs w:val="20"/>
          <w:shd w:val="clear" w:color="auto" w:fill="FFFFFF"/>
        </w:rPr>
        <w:t>.</w:t>
      </w:r>
    </w:p>
    <w:p w:rsidR="00915F0B" w:rsidRPr="000E78AB" w:rsidRDefault="00915F0B" w:rsidP="003B3D6D">
      <w:pPr>
        <w:bidi w:val="0"/>
        <w:snapToGrid w:val="0"/>
        <w:spacing w:after="0" w:line="240" w:lineRule="auto"/>
        <w:jc w:val="both"/>
        <w:rPr>
          <w:rFonts w:ascii="Times New Roman" w:hAnsi="Times New Roman" w:cs="Times New Roman"/>
          <w:sz w:val="20"/>
          <w:szCs w:val="20"/>
          <w:lang w:eastAsia="zh-CN"/>
        </w:rPr>
      </w:pPr>
    </w:p>
    <w:p w:rsidR="00915F0B" w:rsidRPr="000E78AB" w:rsidRDefault="00915F0B" w:rsidP="003B3D6D">
      <w:pPr>
        <w:bidi w:val="0"/>
        <w:snapToGrid w:val="0"/>
        <w:spacing w:after="0" w:line="240" w:lineRule="auto"/>
        <w:jc w:val="both"/>
        <w:rPr>
          <w:rFonts w:ascii="Times New Roman" w:hAnsi="Times New Roman" w:cs="Times New Roman"/>
          <w:b/>
          <w:bCs/>
          <w:color w:val="000000" w:themeColor="text1"/>
          <w:sz w:val="20"/>
          <w:szCs w:val="20"/>
          <w:lang w:eastAsia="zh-CN" w:bidi="ar-EG"/>
        </w:rPr>
      </w:pPr>
      <w:r w:rsidRPr="000E78AB">
        <w:rPr>
          <w:rFonts w:ascii="Times New Roman" w:hAnsi="Times New Roman" w:cs="Times New Roman"/>
          <w:b/>
          <w:bCs/>
          <w:sz w:val="20"/>
          <w:szCs w:val="20"/>
        </w:rPr>
        <w:t>Keywords:</w:t>
      </w:r>
      <w:r w:rsidRPr="000E78AB">
        <w:rPr>
          <w:rFonts w:ascii="Times New Roman" w:hAnsi="Times New Roman" w:cs="Times New Roman" w:hint="eastAsia"/>
          <w:bCs/>
          <w:sz w:val="20"/>
          <w:szCs w:val="20"/>
          <w:lang w:eastAsia="zh-CN"/>
        </w:rPr>
        <w:t xml:space="preserve"> </w:t>
      </w:r>
      <w:r w:rsidRPr="009A0496">
        <w:rPr>
          <w:rFonts w:ascii="Times New Roman" w:eastAsia="Calibri" w:hAnsi="Times New Roman" w:cs="Times New Roman"/>
          <w:bCs/>
          <w:color w:val="000000" w:themeColor="text1"/>
          <w:sz w:val="18"/>
          <w:szCs w:val="18"/>
          <w:lang w:bidi="ar-EG"/>
        </w:rPr>
        <w:t>Prognostic impact</w:t>
      </w:r>
      <w:r w:rsidRPr="009A0496">
        <w:rPr>
          <w:rFonts w:ascii="Times New Roman" w:hAnsi="Times New Roman" w:cs="Times New Roman" w:hint="eastAsia"/>
          <w:bCs/>
          <w:color w:val="000000" w:themeColor="text1"/>
          <w:sz w:val="18"/>
          <w:szCs w:val="18"/>
          <w:lang w:eastAsia="zh-CN" w:bidi="ar-EG"/>
        </w:rPr>
        <w:t>;</w:t>
      </w:r>
      <w:r w:rsidRPr="009A0496">
        <w:rPr>
          <w:rFonts w:ascii="Times New Roman" w:eastAsia="Calibri" w:hAnsi="Times New Roman" w:cs="Times New Roman"/>
          <w:bCs/>
          <w:color w:val="000000" w:themeColor="text1"/>
          <w:sz w:val="18"/>
          <w:szCs w:val="18"/>
          <w:lang w:bidi="ar-EG"/>
        </w:rPr>
        <w:t xml:space="preserve"> </w:t>
      </w:r>
      <w:proofErr w:type="spellStart"/>
      <w:r w:rsidRPr="009A0496">
        <w:rPr>
          <w:rFonts w:ascii="Times New Roman" w:eastAsia="Calibri" w:hAnsi="Times New Roman" w:cs="Times New Roman"/>
          <w:bCs/>
          <w:color w:val="000000" w:themeColor="text1"/>
          <w:sz w:val="18"/>
          <w:szCs w:val="18"/>
          <w:lang w:bidi="ar-EG"/>
        </w:rPr>
        <w:t>immunohistochemical</w:t>
      </w:r>
      <w:proofErr w:type="spellEnd"/>
      <w:r w:rsidRPr="009A0496">
        <w:rPr>
          <w:rFonts w:ascii="Times New Roman" w:eastAsia="Calibri" w:hAnsi="Times New Roman" w:cs="Times New Roman"/>
          <w:bCs/>
          <w:color w:val="000000" w:themeColor="text1"/>
          <w:sz w:val="18"/>
          <w:szCs w:val="18"/>
          <w:lang w:bidi="ar-EG"/>
        </w:rPr>
        <w:t xml:space="preserve"> expression</w:t>
      </w:r>
      <w:r w:rsidRPr="009A0496">
        <w:rPr>
          <w:rFonts w:ascii="Times New Roman" w:hAnsi="Times New Roman" w:cs="Times New Roman" w:hint="eastAsia"/>
          <w:bCs/>
          <w:color w:val="000000" w:themeColor="text1"/>
          <w:sz w:val="18"/>
          <w:szCs w:val="18"/>
          <w:lang w:eastAsia="zh-CN" w:bidi="ar-EG"/>
        </w:rPr>
        <w:t>;</w:t>
      </w:r>
      <w:r w:rsidRPr="009A0496">
        <w:rPr>
          <w:rFonts w:ascii="Times New Roman" w:eastAsia="Calibri" w:hAnsi="Times New Roman" w:cs="Times New Roman"/>
          <w:bCs/>
          <w:color w:val="000000" w:themeColor="text1"/>
          <w:sz w:val="18"/>
          <w:szCs w:val="18"/>
          <w:lang w:bidi="ar-EG"/>
        </w:rPr>
        <w:t xml:space="preserve"> PD-1</w:t>
      </w:r>
      <w:r w:rsidRPr="009A0496">
        <w:rPr>
          <w:rFonts w:ascii="Times New Roman" w:hAnsi="Times New Roman" w:cs="Times New Roman" w:hint="eastAsia"/>
          <w:bCs/>
          <w:color w:val="000000" w:themeColor="text1"/>
          <w:sz w:val="18"/>
          <w:szCs w:val="18"/>
          <w:lang w:eastAsia="zh-CN" w:bidi="ar-EG"/>
        </w:rPr>
        <w:t>;</w:t>
      </w:r>
      <w:r w:rsidRPr="009A0496">
        <w:rPr>
          <w:rFonts w:ascii="Times New Roman" w:eastAsia="Calibri" w:hAnsi="Times New Roman" w:cs="Times New Roman"/>
          <w:bCs/>
          <w:color w:val="000000" w:themeColor="text1"/>
          <w:sz w:val="18"/>
          <w:szCs w:val="18"/>
          <w:lang w:bidi="ar-EG"/>
        </w:rPr>
        <w:t xml:space="preserve"> PD-L1</w:t>
      </w:r>
      <w:r w:rsidRPr="009A0496">
        <w:rPr>
          <w:rFonts w:ascii="Times New Roman" w:hAnsi="Times New Roman" w:cs="Times New Roman" w:hint="eastAsia"/>
          <w:bCs/>
          <w:color w:val="000000" w:themeColor="text1"/>
          <w:sz w:val="18"/>
          <w:szCs w:val="18"/>
          <w:lang w:eastAsia="zh-CN" w:bidi="ar-EG"/>
        </w:rPr>
        <w:t xml:space="preserve">; </w:t>
      </w:r>
      <w:r w:rsidRPr="009A0496">
        <w:rPr>
          <w:rFonts w:ascii="Times New Roman" w:eastAsia="Calibri" w:hAnsi="Times New Roman" w:cs="Times New Roman"/>
          <w:bCs/>
          <w:color w:val="000000" w:themeColor="text1"/>
          <w:sz w:val="18"/>
          <w:szCs w:val="18"/>
          <w:lang w:bidi="ar-EG"/>
        </w:rPr>
        <w:t>outcome</w:t>
      </w:r>
      <w:r w:rsidRPr="009A0496">
        <w:rPr>
          <w:rFonts w:ascii="Times New Roman" w:hAnsi="Times New Roman" w:cs="Times New Roman" w:hint="eastAsia"/>
          <w:bCs/>
          <w:color w:val="000000" w:themeColor="text1"/>
          <w:sz w:val="18"/>
          <w:szCs w:val="18"/>
          <w:lang w:eastAsia="zh-CN" w:bidi="ar-EG"/>
        </w:rPr>
        <w:t>;</w:t>
      </w:r>
      <w:r w:rsidRPr="009A0496">
        <w:rPr>
          <w:rFonts w:ascii="Times New Roman" w:eastAsia="Calibri" w:hAnsi="Times New Roman" w:cs="Times New Roman"/>
          <w:bCs/>
          <w:color w:val="000000" w:themeColor="text1"/>
          <w:sz w:val="18"/>
          <w:szCs w:val="18"/>
          <w:lang w:bidi="ar-EG"/>
        </w:rPr>
        <w:t xml:space="preserve"> classic Hodgkin</w:t>
      </w:r>
      <w:r w:rsidRPr="009A0496">
        <w:rPr>
          <w:rFonts w:ascii="Times New Roman" w:hAnsi="Times New Roman" w:cs="Times New Roman" w:hint="eastAsia"/>
          <w:bCs/>
          <w:color w:val="000000" w:themeColor="text1"/>
          <w:sz w:val="18"/>
          <w:szCs w:val="18"/>
          <w:lang w:eastAsia="zh-CN" w:bidi="ar-EG"/>
        </w:rPr>
        <w:t>;</w:t>
      </w:r>
      <w:r w:rsidRPr="009A0496">
        <w:rPr>
          <w:rFonts w:ascii="Times New Roman" w:eastAsia="Calibri" w:hAnsi="Times New Roman" w:cs="Times New Roman"/>
          <w:bCs/>
          <w:color w:val="000000" w:themeColor="text1"/>
          <w:sz w:val="18"/>
          <w:szCs w:val="18"/>
          <w:lang w:bidi="ar-EG"/>
        </w:rPr>
        <w:t xml:space="preserve"> lymphoma patient</w:t>
      </w:r>
    </w:p>
    <w:p w:rsidR="009A426B" w:rsidRPr="000E78AB" w:rsidRDefault="00C35610" w:rsidP="003B3D6D">
      <w:pPr>
        <w:bidi w:val="0"/>
        <w:snapToGrid w:val="0"/>
        <w:spacing w:after="0" w:line="240" w:lineRule="auto"/>
        <w:jc w:val="both"/>
        <w:rPr>
          <w:rFonts w:ascii="Times New Roman" w:eastAsia="Calibri" w:hAnsi="Times New Roman" w:cs="Times New Roman"/>
          <w:b/>
          <w:bCs/>
          <w:color w:val="000000" w:themeColor="text1"/>
          <w:sz w:val="20"/>
          <w:szCs w:val="20"/>
          <w:lang w:bidi="ar-EG"/>
        </w:rPr>
        <w:sectPr w:rsidR="009A426B" w:rsidRPr="000E78AB" w:rsidSect="00AB58F5">
          <w:headerReference w:type="default" r:id="rId12"/>
          <w:footerReference w:type="default" r:id="rId13"/>
          <w:type w:val="continuous"/>
          <w:pgSz w:w="12242" w:h="15842" w:code="1"/>
          <w:pgMar w:top="1440" w:right="1440" w:bottom="1440" w:left="1440" w:header="720" w:footer="720" w:gutter="0"/>
          <w:pgNumType w:start="159"/>
          <w:cols w:space="720"/>
          <w:bidi/>
          <w:docGrid w:linePitch="360"/>
        </w:sectPr>
      </w:pPr>
      <w:r w:rsidRPr="000E78AB">
        <w:rPr>
          <w:rFonts w:ascii="Times New Roman" w:eastAsia="Calibri" w:hAnsi="Times New Roman" w:cs="Times New Roman"/>
          <w:b/>
          <w:bCs/>
          <w:color w:val="000000" w:themeColor="text1"/>
          <w:sz w:val="20"/>
          <w:szCs w:val="20"/>
          <w:lang w:bidi="ar-EG"/>
        </w:rPr>
        <w:cr/>
      </w:r>
    </w:p>
    <w:p w:rsidR="0019557A" w:rsidRPr="000E78AB" w:rsidRDefault="00247A9B" w:rsidP="003B3D6D">
      <w:pPr>
        <w:bidi w:val="0"/>
        <w:snapToGrid w:val="0"/>
        <w:spacing w:after="0" w:line="240" w:lineRule="auto"/>
        <w:jc w:val="both"/>
        <w:rPr>
          <w:rFonts w:ascii="Times New Roman" w:eastAsia="Calibri" w:hAnsi="Times New Roman" w:cs="Times New Roman"/>
          <w:b/>
          <w:bCs/>
          <w:color w:val="000000" w:themeColor="text1"/>
          <w:sz w:val="20"/>
          <w:szCs w:val="20"/>
          <w:lang w:bidi="ar-EG"/>
        </w:rPr>
      </w:pPr>
      <w:r w:rsidRPr="000E78AB">
        <w:rPr>
          <w:rFonts w:ascii="Times New Roman" w:eastAsia="Calibri" w:hAnsi="Times New Roman" w:cs="Times New Roman"/>
          <w:b/>
          <w:bCs/>
          <w:color w:val="000000" w:themeColor="text1"/>
          <w:sz w:val="20"/>
          <w:szCs w:val="20"/>
          <w:lang w:bidi="ar-EG"/>
        </w:rPr>
        <w:lastRenderedPageBreak/>
        <w:t xml:space="preserve">1. Introduction: </w:t>
      </w:r>
    </w:p>
    <w:p w:rsidR="009A0496" w:rsidRPr="009A049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9A0496">
        <w:rPr>
          <w:rFonts w:asciiTheme="majorBidi" w:eastAsia="Calibri" w:hAnsiTheme="majorBidi" w:cstheme="majorBidi"/>
          <w:color w:val="000000" w:themeColor="text1"/>
          <w:sz w:val="20"/>
          <w:szCs w:val="20"/>
          <w:lang w:bidi="ar-EG"/>
        </w:rPr>
        <w:t xml:space="preserve">Hodgkin lymphoma (HL) constitutes for about 11% of all lymphoma and 0.5% of all cancers worldwide. </w:t>
      </w:r>
      <w:r w:rsidRPr="009A0496">
        <w:rPr>
          <w:rFonts w:asciiTheme="majorBidi" w:eastAsia="Calibri" w:hAnsiTheme="majorBidi" w:cstheme="majorBidi"/>
          <w:b/>
          <w:bCs/>
          <w:color w:val="000000" w:themeColor="text1"/>
          <w:sz w:val="20"/>
          <w:szCs w:val="20"/>
          <w:vertAlign w:val="superscript"/>
          <w:lang w:bidi="ar-EG"/>
        </w:rPr>
        <w:t>(1)</w:t>
      </w:r>
      <w:r w:rsidRPr="009A0496">
        <w:rPr>
          <w:rFonts w:asciiTheme="majorBidi" w:eastAsia="Calibri" w:hAnsiTheme="majorBidi" w:cstheme="majorBidi"/>
          <w:color w:val="000000" w:themeColor="text1"/>
          <w:sz w:val="20"/>
          <w:szCs w:val="20"/>
          <w:lang w:bidi="ar-EG"/>
        </w:rPr>
        <w:t xml:space="preserve"> Conventional treatment of newly diagnosed HL involves a combination of multi-agent therapy and, tailored to the stage of disease and the hazard of relapse; this treatment helps about eighty percent of patients to be recovered. </w:t>
      </w:r>
      <w:r w:rsidRPr="009A0496">
        <w:rPr>
          <w:rFonts w:asciiTheme="majorBidi" w:eastAsia="Calibri" w:hAnsiTheme="majorBidi" w:cstheme="majorBidi"/>
          <w:b/>
          <w:bCs/>
          <w:color w:val="000000" w:themeColor="text1"/>
          <w:sz w:val="20"/>
          <w:szCs w:val="20"/>
          <w:vertAlign w:val="superscript"/>
          <w:lang w:bidi="ar-EG"/>
        </w:rPr>
        <w:t>(2)</w:t>
      </w:r>
      <w:r w:rsidRPr="009A0496">
        <w:rPr>
          <w:rFonts w:asciiTheme="majorBidi" w:eastAsia="Calibri" w:hAnsiTheme="majorBidi" w:cstheme="majorBidi"/>
          <w:color w:val="000000" w:themeColor="text1"/>
          <w:sz w:val="20"/>
          <w:szCs w:val="20"/>
          <w:lang w:bidi="ar-EG"/>
        </w:rPr>
        <w:t xml:space="preserve"> Unfortunately, approximately 20% of HL patients developed relapse or still refractory, thus one effective treatment choice are restricted. </w:t>
      </w:r>
      <w:r w:rsidRPr="009A0496">
        <w:rPr>
          <w:rFonts w:asciiTheme="majorBidi" w:eastAsia="Calibri" w:hAnsiTheme="majorBidi" w:cstheme="majorBidi"/>
          <w:b/>
          <w:bCs/>
          <w:color w:val="000000" w:themeColor="text1"/>
          <w:sz w:val="20"/>
          <w:szCs w:val="20"/>
          <w:vertAlign w:val="superscript"/>
          <w:lang w:bidi="ar-EG"/>
        </w:rPr>
        <w:t>(3)</w:t>
      </w:r>
      <w:r w:rsidRPr="009A0496">
        <w:rPr>
          <w:rFonts w:asciiTheme="majorBidi" w:eastAsia="Calibri" w:hAnsiTheme="majorBidi" w:cstheme="majorBidi"/>
          <w:color w:val="000000" w:themeColor="text1"/>
          <w:sz w:val="20"/>
          <w:szCs w:val="20"/>
          <w:lang w:bidi="ar-EG"/>
        </w:rPr>
        <w:t xml:space="preserve"> So, substitutional    treatment, such as immune checkpoint blockade drugs </w:t>
      </w:r>
      <w:r w:rsidRPr="009A0496">
        <w:rPr>
          <w:rFonts w:asciiTheme="majorBidi" w:eastAsia="Calibri" w:hAnsiTheme="majorBidi" w:cstheme="majorBidi"/>
          <w:b/>
          <w:bCs/>
          <w:color w:val="000000" w:themeColor="text1"/>
          <w:sz w:val="20"/>
          <w:szCs w:val="20"/>
          <w:vertAlign w:val="superscript"/>
          <w:lang w:bidi="ar-EG"/>
        </w:rPr>
        <w:t>(4)</w:t>
      </w:r>
      <w:r w:rsidRPr="009A0496">
        <w:rPr>
          <w:rFonts w:asciiTheme="majorBidi" w:eastAsia="Calibri" w:hAnsiTheme="majorBidi" w:cstheme="majorBidi"/>
          <w:color w:val="000000" w:themeColor="text1"/>
          <w:sz w:val="20"/>
          <w:szCs w:val="20"/>
          <w:lang w:bidi="ar-EG"/>
        </w:rPr>
        <w:t xml:space="preserve"> may be needed.</w:t>
      </w:r>
    </w:p>
    <w:p w:rsidR="009A0496" w:rsidRPr="009A049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9A0496">
        <w:rPr>
          <w:rFonts w:asciiTheme="majorBidi" w:eastAsia="Calibri" w:hAnsiTheme="majorBidi" w:cstheme="majorBidi"/>
          <w:color w:val="000000" w:themeColor="text1"/>
          <w:sz w:val="20"/>
          <w:szCs w:val="20"/>
          <w:lang w:bidi="ar-EG"/>
        </w:rPr>
        <w:t>Moreover, recognition of patients with hazard of relapse is critical in management of HL.</w:t>
      </w:r>
    </w:p>
    <w:p w:rsidR="009A0496" w:rsidRPr="009A0496" w:rsidRDefault="009A0496" w:rsidP="009A0496">
      <w:pPr>
        <w:bidi w:val="0"/>
        <w:spacing w:after="0" w:line="240" w:lineRule="auto"/>
        <w:ind w:firstLine="426"/>
        <w:jc w:val="both"/>
        <w:rPr>
          <w:rFonts w:asciiTheme="majorBidi" w:eastAsia="Calibri" w:hAnsiTheme="majorBidi" w:cstheme="majorBidi"/>
          <w:color w:val="000000" w:themeColor="text1"/>
          <w:sz w:val="20"/>
          <w:szCs w:val="20"/>
        </w:rPr>
      </w:pPr>
      <w:r w:rsidRPr="009A0496">
        <w:rPr>
          <w:rFonts w:asciiTheme="majorBidi" w:eastAsia="Calibri" w:hAnsiTheme="majorBidi" w:cstheme="majorBidi"/>
          <w:color w:val="000000" w:themeColor="text1"/>
          <w:sz w:val="20"/>
          <w:szCs w:val="20"/>
          <w:lang w:bidi="ar-EG"/>
        </w:rPr>
        <w:t xml:space="preserve">The immune system plays an important double function in carcinogenesis by an effective procedure called </w:t>
      </w:r>
      <w:proofErr w:type="spellStart"/>
      <w:r w:rsidRPr="009A0496">
        <w:rPr>
          <w:rFonts w:asciiTheme="majorBidi" w:eastAsia="Calibri" w:hAnsiTheme="majorBidi" w:cstheme="majorBidi"/>
          <w:color w:val="000000" w:themeColor="text1"/>
          <w:sz w:val="20"/>
          <w:szCs w:val="20"/>
          <w:lang w:bidi="ar-EG"/>
        </w:rPr>
        <w:t>immunoediting</w:t>
      </w:r>
      <w:proofErr w:type="spellEnd"/>
      <w:r w:rsidRPr="009A0496">
        <w:rPr>
          <w:rFonts w:asciiTheme="majorBidi" w:eastAsia="Calibri" w:hAnsiTheme="majorBidi" w:cstheme="majorBidi"/>
          <w:color w:val="000000" w:themeColor="text1"/>
          <w:sz w:val="20"/>
          <w:szCs w:val="20"/>
          <w:lang w:bidi="ar-EG"/>
        </w:rPr>
        <w:t>.</w:t>
      </w:r>
      <w:r w:rsidRPr="009A0496">
        <w:rPr>
          <w:rFonts w:asciiTheme="majorBidi" w:eastAsia="Calibri" w:hAnsiTheme="majorBidi" w:cstheme="majorBidi"/>
          <w:b/>
          <w:bCs/>
          <w:color w:val="000000" w:themeColor="text1"/>
          <w:sz w:val="20"/>
          <w:szCs w:val="20"/>
          <w:vertAlign w:val="superscript"/>
          <w:lang w:bidi="ar-EG"/>
        </w:rPr>
        <w:t xml:space="preserve"> (5)</w:t>
      </w:r>
      <w:r w:rsidRPr="009A0496">
        <w:rPr>
          <w:rFonts w:asciiTheme="majorBidi" w:eastAsia="Calibri" w:hAnsiTheme="majorBidi" w:cstheme="majorBidi"/>
          <w:color w:val="000000" w:themeColor="text1"/>
          <w:sz w:val="20"/>
          <w:szCs w:val="20"/>
          <w:lang w:bidi="ar-EG"/>
        </w:rPr>
        <w:t xml:space="preserve"> Immune responses damage cancer cells through elimination phase</w:t>
      </w:r>
      <w:r w:rsidRPr="009A0496">
        <w:rPr>
          <w:rFonts w:asciiTheme="majorBidi" w:eastAsia="Calibri" w:hAnsiTheme="majorBidi" w:cstheme="majorBidi"/>
          <w:color w:val="000000" w:themeColor="text1"/>
          <w:sz w:val="20"/>
          <w:szCs w:val="20"/>
          <w:rtl/>
        </w:rPr>
        <w:t>.</w:t>
      </w:r>
      <w:r w:rsidRPr="009A0496">
        <w:rPr>
          <w:rFonts w:asciiTheme="majorBidi" w:eastAsia="Calibri" w:hAnsiTheme="majorBidi" w:cstheme="majorBidi"/>
          <w:color w:val="000000" w:themeColor="text1"/>
          <w:sz w:val="20"/>
          <w:szCs w:val="20"/>
          <w:lang w:bidi="ar-EG"/>
        </w:rPr>
        <w:t xml:space="preserve"> However, tumors pass to an escape phase through  different ways that  encouraging immunosuppressive cells, producing immunosuppressive cytokines producing  defects in tumor antigen presentation to T-cells or by expressing negative co-stimulatory molecules named T-cell checkpoint regulators, like  cytotoxic</w:t>
      </w:r>
      <w:r w:rsidRPr="009A0496">
        <w:rPr>
          <w:rFonts w:asciiTheme="majorBidi" w:eastAsia="Calibri" w:hAnsiTheme="majorBidi" w:cstheme="majorBidi"/>
          <w:color w:val="000000" w:themeColor="text1"/>
          <w:sz w:val="20"/>
          <w:szCs w:val="20"/>
        </w:rPr>
        <w:t xml:space="preserve"> </w:t>
      </w:r>
      <w:r w:rsidRPr="009A0496">
        <w:rPr>
          <w:rFonts w:asciiTheme="majorBidi" w:eastAsia="Calibri" w:hAnsiTheme="majorBidi" w:cstheme="majorBidi"/>
          <w:color w:val="000000" w:themeColor="text1"/>
          <w:sz w:val="20"/>
          <w:szCs w:val="20"/>
          <w:lang w:bidi="ar-EG"/>
        </w:rPr>
        <w:t xml:space="preserve">T-lymphocyte-associated antigen-4, programmed cell death-1 (PD-1) </w:t>
      </w:r>
      <w:r w:rsidRPr="009A0496">
        <w:rPr>
          <w:rFonts w:asciiTheme="majorBidi" w:eastAsia="Calibri" w:hAnsiTheme="majorBidi" w:cstheme="majorBidi"/>
          <w:color w:val="000000" w:themeColor="text1"/>
          <w:sz w:val="20"/>
          <w:szCs w:val="20"/>
          <w:lang w:bidi="ar-EG"/>
        </w:rPr>
        <w:lastRenderedPageBreak/>
        <w:t>and programmed</w:t>
      </w:r>
      <w:r w:rsidRPr="009A0496">
        <w:rPr>
          <w:rFonts w:asciiTheme="majorBidi" w:eastAsia="Calibri" w:hAnsiTheme="majorBidi" w:cstheme="majorBidi"/>
          <w:color w:val="000000" w:themeColor="text1"/>
          <w:sz w:val="20"/>
          <w:szCs w:val="20"/>
        </w:rPr>
        <w:t xml:space="preserve"> </w:t>
      </w:r>
      <w:r w:rsidRPr="009A0496">
        <w:rPr>
          <w:rFonts w:asciiTheme="majorBidi" w:eastAsia="Calibri" w:hAnsiTheme="majorBidi" w:cstheme="majorBidi"/>
          <w:color w:val="000000" w:themeColor="text1"/>
          <w:sz w:val="20"/>
          <w:szCs w:val="20"/>
          <w:lang w:bidi="ar-EG"/>
        </w:rPr>
        <w:t>cell death ligand-1 (PD-L1).</w:t>
      </w:r>
      <w:r w:rsidRPr="009A0496">
        <w:rPr>
          <w:rFonts w:asciiTheme="majorBidi" w:eastAsia="Calibri" w:hAnsiTheme="majorBidi" w:cstheme="majorBidi"/>
          <w:b/>
          <w:bCs/>
          <w:color w:val="000000" w:themeColor="text1"/>
          <w:sz w:val="20"/>
          <w:szCs w:val="20"/>
          <w:vertAlign w:val="superscript"/>
          <w:lang w:bidi="ar-EG"/>
        </w:rPr>
        <w:t>(6)</w:t>
      </w:r>
      <w:r w:rsidRPr="009A0496">
        <w:rPr>
          <w:rFonts w:asciiTheme="majorBidi" w:eastAsia="Calibri" w:hAnsiTheme="majorBidi" w:cstheme="majorBidi"/>
          <w:color w:val="000000" w:themeColor="text1"/>
          <w:sz w:val="20"/>
          <w:szCs w:val="20"/>
          <w:lang w:bidi="ar-EG"/>
        </w:rPr>
        <w:t xml:space="preserve"> The genes encoding the PD-1 ligands, PDL1 (CD274), are targets of chromosome 9p24.1 amplification,  genetic abnormality in the nodular-sclerosis HL.</w:t>
      </w:r>
      <w:r w:rsidRPr="009A0496">
        <w:rPr>
          <w:rFonts w:asciiTheme="majorBidi" w:eastAsia="Calibri" w:hAnsiTheme="majorBidi" w:cstheme="majorBidi"/>
          <w:b/>
          <w:bCs/>
          <w:color w:val="000000" w:themeColor="text1"/>
          <w:sz w:val="20"/>
          <w:szCs w:val="20"/>
          <w:vertAlign w:val="superscript"/>
          <w:lang w:bidi="ar-EG"/>
        </w:rPr>
        <w:t>(7)</w:t>
      </w:r>
      <w:r w:rsidRPr="009A0496">
        <w:rPr>
          <w:rFonts w:asciiTheme="majorBidi" w:eastAsia="Calibri" w:hAnsiTheme="majorBidi" w:cstheme="majorBidi"/>
          <w:color w:val="000000" w:themeColor="text1"/>
          <w:sz w:val="20"/>
          <w:szCs w:val="20"/>
          <w:lang w:bidi="ar-EG"/>
        </w:rPr>
        <w:t xml:space="preserve"> The 9p24.1 amplicon includes gene dose–dependent JAK-STAT activity moreover prompt PD-1 ligand transcription. These copy-number–dependent mechanisms and chromosomal </w:t>
      </w:r>
      <w:proofErr w:type="gramStart"/>
      <w:r w:rsidRPr="009A0496">
        <w:rPr>
          <w:rFonts w:asciiTheme="majorBidi" w:eastAsia="Calibri" w:hAnsiTheme="majorBidi" w:cstheme="majorBidi"/>
          <w:color w:val="000000" w:themeColor="text1"/>
          <w:sz w:val="20"/>
          <w:szCs w:val="20"/>
          <w:lang w:bidi="ar-EG"/>
        </w:rPr>
        <w:t>rearrangements</w:t>
      </w:r>
      <w:r w:rsidRPr="009A0496">
        <w:rPr>
          <w:rFonts w:asciiTheme="majorBidi" w:eastAsia="Calibri" w:hAnsiTheme="majorBidi" w:cstheme="majorBidi"/>
          <w:b/>
          <w:bCs/>
          <w:color w:val="000000" w:themeColor="text1"/>
          <w:sz w:val="20"/>
          <w:szCs w:val="20"/>
          <w:vertAlign w:val="superscript"/>
          <w:lang w:bidi="ar-EG"/>
        </w:rPr>
        <w:t>(</w:t>
      </w:r>
      <w:proofErr w:type="gramEnd"/>
      <w:r w:rsidRPr="009A0496">
        <w:rPr>
          <w:rFonts w:asciiTheme="majorBidi" w:eastAsia="Calibri" w:hAnsiTheme="majorBidi" w:cstheme="majorBidi"/>
          <w:b/>
          <w:bCs/>
          <w:color w:val="000000" w:themeColor="text1"/>
          <w:sz w:val="20"/>
          <w:szCs w:val="20"/>
          <w:vertAlign w:val="superscript"/>
          <w:lang w:bidi="ar-EG"/>
        </w:rPr>
        <w:t>8)</w:t>
      </w:r>
      <w:r w:rsidRPr="009A0496">
        <w:rPr>
          <w:rFonts w:asciiTheme="majorBidi" w:eastAsia="Calibri" w:hAnsiTheme="majorBidi" w:cstheme="majorBidi"/>
          <w:color w:val="000000" w:themeColor="text1"/>
          <w:sz w:val="20"/>
          <w:szCs w:val="20"/>
          <w:lang w:bidi="ar-EG"/>
        </w:rPr>
        <w:t xml:space="preserve"> lead to overexpression of the PD-1 ligands in HL. </w:t>
      </w:r>
    </w:p>
    <w:p w:rsidR="009A0496" w:rsidRPr="009A0496" w:rsidRDefault="009A0496" w:rsidP="009A0496">
      <w:pPr>
        <w:bidi w:val="0"/>
        <w:spacing w:after="0" w:line="240" w:lineRule="auto"/>
        <w:ind w:firstLine="426"/>
        <w:jc w:val="both"/>
        <w:rPr>
          <w:rFonts w:asciiTheme="majorBidi" w:eastAsia="Calibri" w:hAnsiTheme="majorBidi" w:cstheme="majorBidi"/>
          <w:b/>
          <w:bCs/>
          <w:color w:val="000000" w:themeColor="text1"/>
          <w:sz w:val="20"/>
          <w:szCs w:val="20"/>
          <w:vertAlign w:val="superscript"/>
        </w:rPr>
      </w:pPr>
      <w:r w:rsidRPr="009A0496">
        <w:rPr>
          <w:rFonts w:asciiTheme="majorBidi" w:eastAsia="Calibri" w:hAnsiTheme="majorBidi" w:cstheme="majorBidi"/>
          <w:color w:val="000000" w:themeColor="text1"/>
          <w:sz w:val="20"/>
          <w:szCs w:val="20"/>
          <w:lang w:bidi="ar-EG"/>
        </w:rPr>
        <w:t xml:space="preserve">The mechanisms of PD-1 ligand overexpression in HL suggest that this disease may have genetically determined vulnerability to PD-1 blockade. </w:t>
      </w:r>
      <w:proofErr w:type="spellStart"/>
      <w:r w:rsidRPr="009A0496">
        <w:rPr>
          <w:rFonts w:asciiTheme="majorBidi" w:eastAsia="Calibri" w:hAnsiTheme="majorBidi" w:cstheme="majorBidi"/>
          <w:color w:val="000000" w:themeColor="text1"/>
          <w:sz w:val="20"/>
          <w:szCs w:val="20"/>
          <w:lang w:bidi="ar-EG"/>
        </w:rPr>
        <w:t>Coamplification</w:t>
      </w:r>
      <w:proofErr w:type="spellEnd"/>
      <w:r w:rsidRPr="009A0496">
        <w:rPr>
          <w:rFonts w:asciiTheme="majorBidi" w:eastAsia="Calibri" w:hAnsiTheme="majorBidi" w:cstheme="majorBidi"/>
          <w:color w:val="000000" w:themeColor="text1"/>
          <w:sz w:val="20"/>
          <w:szCs w:val="20"/>
          <w:lang w:bidi="ar-EG"/>
        </w:rPr>
        <w:t xml:space="preserve"> of PDL1 on chromosome 9p24.1 indicates receptor rather than selective ligand blockade as a therapy design.</w:t>
      </w:r>
      <w:r w:rsidRPr="009A0496">
        <w:rPr>
          <w:rFonts w:asciiTheme="majorBidi" w:eastAsia="Calibri" w:hAnsiTheme="majorBidi" w:cstheme="majorBidi"/>
          <w:b/>
          <w:bCs/>
          <w:color w:val="000000" w:themeColor="text1"/>
          <w:sz w:val="20"/>
          <w:szCs w:val="20"/>
          <w:vertAlign w:val="superscript"/>
          <w:lang w:bidi="ar-EG"/>
        </w:rPr>
        <w:t>(7)</w:t>
      </w:r>
      <w:r w:rsidRPr="009A0496">
        <w:rPr>
          <w:rFonts w:asciiTheme="majorBidi" w:eastAsia="Calibri" w:hAnsiTheme="majorBidi" w:cstheme="majorBidi"/>
          <w:color w:val="000000" w:themeColor="text1"/>
          <w:sz w:val="20"/>
          <w:szCs w:val="20"/>
          <w:lang w:bidi="ar-EG"/>
        </w:rPr>
        <w:t xml:space="preserve"> Immune checkpoint inhibitors targeting the PD-1 pathway have shown encouraging results for management of  such patients.</w:t>
      </w:r>
      <w:r w:rsidRPr="009A0496">
        <w:rPr>
          <w:rFonts w:asciiTheme="majorBidi" w:eastAsia="Calibri" w:hAnsiTheme="majorBidi" w:cstheme="majorBidi"/>
          <w:b/>
          <w:bCs/>
          <w:color w:val="000000" w:themeColor="text1"/>
          <w:sz w:val="20"/>
          <w:szCs w:val="20"/>
          <w:vertAlign w:val="superscript"/>
          <w:lang w:bidi="ar-EG"/>
        </w:rPr>
        <w:t>(9)</w:t>
      </w:r>
      <w:r w:rsidRPr="009A0496">
        <w:rPr>
          <w:rFonts w:asciiTheme="majorBidi" w:eastAsia="Calibri" w:hAnsiTheme="majorBidi" w:cstheme="majorBidi"/>
          <w:color w:val="000000" w:themeColor="text1"/>
          <w:sz w:val="20"/>
          <w:szCs w:val="20"/>
          <w:lang w:bidi="ar-EG"/>
        </w:rPr>
        <w:t xml:space="preserve"> These drugs herald a novel therapeutic era in which the microenvironment is the primary goal. The patients may benefit from more intensive therapy at the time of diagnosis if they are at especially high risk of treatment failure, including immune checkpoint inhibitors as front-line treatment.</w:t>
      </w:r>
      <w:r w:rsidRPr="009A0496">
        <w:rPr>
          <w:rFonts w:asciiTheme="majorBidi" w:eastAsia="Calibri" w:hAnsiTheme="majorBidi" w:cstheme="majorBidi"/>
          <w:color w:val="000000" w:themeColor="text1"/>
          <w:sz w:val="20"/>
          <w:szCs w:val="20"/>
          <w:rtl/>
        </w:rPr>
        <w:t xml:space="preserve"> </w:t>
      </w:r>
      <w:r w:rsidRPr="009A0496">
        <w:rPr>
          <w:rFonts w:asciiTheme="majorBidi" w:eastAsia="Calibri" w:hAnsiTheme="majorBidi" w:cstheme="majorBidi"/>
          <w:color w:val="000000" w:themeColor="text1"/>
          <w:sz w:val="20"/>
          <w:szCs w:val="20"/>
          <w:lang w:bidi="ar-EG"/>
        </w:rPr>
        <w:t xml:space="preserve">Recognition of microenvironment-associated risk factors in </w:t>
      </w:r>
      <w:proofErr w:type="spellStart"/>
      <w:r w:rsidRPr="009A0496">
        <w:rPr>
          <w:rFonts w:asciiTheme="majorBidi" w:eastAsia="Calibri" w:hAnsiTheme="majorBidi" w:cstheme="majorBidi"/>
          <w:color w:val="000000" w:themeColor="text1"/>
          <w:sz w:val="20"/>
          <w:szCs w:val="20"/>
          <w:lang w:bidi="ar-EG"/>
        </w:rPr>
        <w:t>cHL</w:t>
      </w:r>
      <w:proofErr w:type="spellEnd"/>
      <w:r w:rsidRPr="009A0496">
        <w:rPr>
          <w:rFonts w:asciiTheme="majorBidi" w:eastAsia="Calibri" w:hAnsiTheme="majorBidi" w:cstheme="majorBidi"/>
          <w:color w:val="000000" w:themeColor="text1"/>
          <w:sz w:val="20"/>
          <w:szCs w:val="20"/>
          <w:lang w:bidi="ar-EG"/>
        </w:rPr>
        <w:t xml:space="preserve"> might allow for more</w:t>
      </w:r>
      <w:r w:rsidRPr="009A0496">
        <w:rPr>
          <w:rFonts w:asciiTheme="majorBidi" w:eastAsia="Calibri" w:hAnsiTheme="majorBidi" w:cstheme="majorBidi"/>
          <w:color w:val="000000" w:themeColor="text1"/>
          <w:sz w:val="20"/>
          <w:szCs w:val="20"/>
        </w:rPr>
        <w:t xml:space="preserve"> </w:t>
      </w:r>
      <w:r w:rsidRPr="009A0496">
        <w:rPr>
          <w:rFonts w:asciiTheme="majorBidi" w:eastAsia="Calibri" w:hAnsiTheme="majorBidi" w:cstheme="majorBidi"/>
          <w:color w:val="000000" w:themeColor="text1"/>
          <w:sz w:val="20"/>
          <w:szCs w:val="20"/>
          <w:lang w:bidi="ar-EG"/>
        </w:rPr>
        <w:t xml:space="preserve">perfect prediction of outcome in </w:t>
      </w:r>
      <w:r w:rsidRPr="009A0496">
        <w:rPr>
          <w:rFonts w:asciiTheme="majorBidi" w:eastAsia="Calibri" w:hAnsiTheme="majorBidi" w:cstheme="majorBidi"/>
          <w:color w:val="000000" w:themeColor="text1"/>
          <w:sz w:val="20"/>
          <w:szCs w:val="20"/>
          <w:lang w:bidi="ar-EG"/>
        </w:rPr>
        <w:lastRenderedPageBreak/>
        <w:t>contrast to traditional prognostic</w:t>
      </w:r>
      <w:r w:rsidRPr="009A0496">
        <w:rPr>
          <w:rFonts w:asciiTheme="majorBidi" w:eastAsia="Calibri" w:hAnsiTheme="majorBidi" w:cstheme="majorBidi"/>
          <w:color w:val="000000" w:themeColor="text1"/>
          <w:sz w:val="20"/>
          <w:szCs w:val="20"/>
        </w:rPr>
        <w:t xml:space="preserve"> </w:t>
      </w:r>
      <w:r w:rsidRPr="009A0496">
        <w:rPr>
          <w:rFonts w:asciiTheme="majorBidi" w:eastAsia="Calibri" w:hAnsiTheme="majorBidi" w:cstheme="majorBidi"/>
          <w:color w:val="000000" w:themeColor="text1"/>
          <w:sz w:val="20"/>
          <w:szCs w:val="20"/>
          <w:lang w:bidi="ar-EG"/>
        </w:rPr>
        <w:t xml:space="preserve">factors such as the International Prognostic Score. </w:t>
      </w:r>
      <w:r w:rsidRPr="009A0496">
        <w:rPr>
          <w:rFonts w:asciiTheme="majorBidi" w:eastAsia="Calibri" w:hAnsiTheme="majorBidi" w:cstheme="majorBidi"/>
          <w:b/>
          <w:bCs/>
          <w:color w:val="000000" w:themeColor="text1"/>
          <w:sz w:val="20"/>
          <w:szCs w:val="20"/>
          <w:vertAlign w:val="superscript"/>
          <w:lang w:bidi="ar-EG"/>
        </w:rPr>
        <w:t>(10)</w:t>
      </w:r>
      <w:r w:rsidRPr="009A0496">
        <w:rPr>
          <w:rFonts w:asciiTheme="majorBidi" w:eastAsia="Calibri" w:hAnsiTheme="majorBidi" w:cstheme="majorBidi"/>
          <w:b/>
          <w:bCs/>
          <w:color w:val="000000" w:themeColor="text1"/>
          <w:sz w:val="20"/>
          <w:szCs w:val="20"/>
          <w:vertAlign w:val="superscript"/>
        </w:rPr>
        <w:t xml:space="preserve"> </w:t>
      </w:r>
    </w:p>
    <w:p w:rsidR="009A0496" w:rsidRPr="009A049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9A0496">
        <w:rPr>
          <w:rFonts w:asciiTheme="majorBidi" w:eastAsia="Calibri" w:hAnsiTheme="majorBidi" w:cstheme="majorBidi"/>
          <w:color w:val="000000" w:themeColor="text1"/>
          <w:sz w:val="20"/>
          <w:szCs w:val="20"/>
        </w:rPr>
        <w:t xml:space="preserve">Our aim is to </w:t>
      </w:r>
      <w:r w:rsidRPr="009A0496">
        <w:rPr>
          <w:rFonts w:asciiTheme="majorBidi" w:eastAsia="Calibri" w:hAnsiTheme="majorBidi" w:cstheme="majorBidi"/>
          <w:color w:val="000000" w:themeColor="text1"/>
          <w:sz w:val="20"/>
          <w:szCs w:val="20"/>
          <w:lang w:bidi="ar-EG"/>
        </w:rPr>
        <w:t xml:space="preserve">investigate the </w:t>
      </w:r>
      <w:proofErr w:type="spellStart"/>
      <w:r w:rsidRPr="009A0496">
        <w:rPr>
          <w:rFonts w:asciiTheme="majorBidi" w:eastAsia="Calibri" w:hAnsiTheme="majorBidi" w:cstheme="majorBidi"/>
          <w:color w:val="000000" w:themeColor="text1"/>
          <w:sz w:val="20"/>
          <w:szCs w:val="20"/>
          <w:lang w:bidi="ar-EG"/>
        </w:rPr>
        <w:t>immunohistochemical</w:t>
      </w:r>
      <w:proofErr w:type="spellEnd"/>
      <w:r w:rsidRPr="009A0496">
        <w:rPr>
          <w:rFonts w:asciiTheme="majorBidi" w:eastAsia="Calibri" w:hAnsiTheme="majorBidi" w:cstheme="majorBidi"/>
          <w:color w:val="000000" w:themeColor="text1"/>
          <w:sz w:val="20"/>
          <w:szCs w:val="20"/>
          <w:lang w:bidi="ar-EG"/>
        </w:rPr>
        <w:t xml:space="preserve"> expression of PD-1 and PD-L1 in the </w:t>
      </w:r>
      <w:proofErr w:type="spellStart"/>
      <w:r w:rsidRPr="009A0496">
        <w:rPr>
          <w:rFonts w:asciiTheme="majorBidi" w:eastAsia="Calibri" w:hAnsiTheme="majorBidi" w:cstheme="majorBidi"/>
          <w:color w:val="000000" w:themeColor="text1"/>
          <w:sz w:val="20"/>
          <w:szCs w:val="20"/>
          <w:lang w:bidi="ar-EG"/>
        </w:rPr>
        <w:t>cHL</w:t>
      </w:r>
      <w:proofErr w:type="spellEnd"/>
      <w:r w:rsidRPr="009A0496">
        <w:rPr>
          <w:rFonts w:asciiTheme="majorBidi" w:eastAsia="Calibri" w:hAnsiTheme="majorBidi" w:cstheme="majorBidi"/>
          <w:color w:val="000000" w:themeColor="text1"/>
          <w:sz w:val="20"/>
          <w:szCs w:val="20"/>
          <w:lang w:bidi="ar-EG"/>
        </w:rPr>
        <w:t xml:space="preserve"> microenvironment along with their correlation with </w:t>
      </w:r>
      <w:proofErr w:type="spellStart"/>
      <w:r w:rsidRPr="009A0496">
        <w:rPr>
          <w:rFonts w:asciiTheme="majorBidi" w:eastAsia="Calibri" w:hAnsiTheme="majorBidi" w:cstheme="majorBidi"/>
          <w:color w:val="000000" w:themeColor="text1"/>
          <w:sz w:val="20"/>
          <w:szCs w:val="20"/>
          <w:lang w:bidi="ar-EG"/>
        </w:rPr>
        <w:t>clinicopathological</w:t>
      </w:r>
      <w:proofErr w:type="spellEnd"/>
      <w:r w:rsidRPr="009A0496">
        <w:rPr>
          <w:rFonts w:asciiTheme="majorBidi" w:eastAsia="Calibri" w:hAnsiTheme="majorBidi" w:cstheme="majorBidi"/>
          <w:color w:val="000000" w:themeColor="text1"/>
          <w:sz w:val="20"/>
          <w:szCs w:val="20"/>
          <w:lang w:bidi="ar-EG"/>
        </w:rPr>
        <w:t xml:space="preserve"> characteristics and focus on their prognostic impact on survival </w:t>
      </w:r>
    </w:p>
    <w:p w:rsidR="009A0496" w:rsidRPr="009A0496" w:rsidRDefault="009A0496" w:rsidP="009A0496">
      <w:pPr>
        <w:bidi w:val="0"/>
        <w:spacing w:after="0" w:line="240" w:lineRule="auto"/>
        <w:ind w:firstLine="426"/>
        <w:jc w:val="both"/>
        <w:rPr>
          <w:rFonts w:asciiTheme="majorBidi" w:eastAsia="Calibri" w:hAnsiTheme="majorBidi" w:cstheme="majorBidi"/>
          <w:color w:val="000000" w:themeColor="text1"/>
          <w:sz w:val="20"/>
          <w:szCs w:val="20"/>
        </w:rPr>
      </w:pPr>
    </w:p>
    <w:p w:rsidR="009A0496" w:rsidRPr="009A0496" w:rsidRDefault="009A0496" w:rsidP="009A0496">
      <w:pPr>
        <w:bidi w:val="0"/>
        <w:spacing w:after="0" w:line="240" w:lineRule="auto"/>
        <w:rPr>
          <w:rFonts w:asciiTheme="majorBidi" w:eastAsiaTheme="minorHAnsi" w:hAnsiTheme="majorBidi" w:cstheme="majorBidi"/>
          <w:b/>
          <w:bCs/>
          <w:color w:val="000000" w:themeColor="text1"/>
          <w:sz w:val="20"/>
          <w:szCs w:val="20"/>
          <w:lang w:bidi="ar-EG"/>
        </w:rPr>
      </w:pPr>
      <w:r>
        <w:rPr>
          <w:rFonts w:asciiTheme="majorBidi" w:eastAsiaTheme="minorHAnsi" w:hAnsiTheme="majorBidi" w:cstheme="majorBidi"/>
          <w:b/>
          <w:bCs/>
          <w:color w:val="000000" w:themeColor="text1"/>
          <w:sz w:val="20"/>
          <w:szCs w:val="20"/>
          <w:lang w:bidi="ar-EG"/>
        </w:rPr>
        <w:t xml:space="preserve">2. </w:t>
      </w:r>
      <w:r w:rsidRPr="009A0496">
        <w:rPr>
          <w:rFonts w:asciiTheme="majorBidi" w:eastAsiaTheme="minorHAnsi" w:hAnsiTheme="majorBidi" w:cstheme="majorBidi"/>
          <w:b/>
          <w:bCs/>
          <w:color w:val="000000" w:themeColor="text1"/>
          <w:sz w:val="20"/>
          <w:szCs w:val="20"/>
          <w:lang w:bidi="ar-EG"/>
        </w:rPr>
        <w:t xml:space="preserve">Patients </w:t>
      </w:r>
      <w:r>
        <w:rPr>
          <w:rFonts w:asciiTheme="majorBidi" w:eastAsiaTheme="minorHAnsi" w:hAnsiTheme="majorBidi" w:cstheme="majorBidi"/>
          <w:b/>
          <w:bCs/>
          <w:color w:val="000000" w:themeColor="text1"/>
          <w:sz w:val="20"/>
          <w:szCs w:val="20"/>
          <w:lang w:bidi="ar-EG"/>
        </w:rPr>
        <w:t>and</w:t>
      </w:r>
      <w:r w:rsidRPr="009A0496">
        <w:rPr>
          <w:rFonts w:asciiTheme="majorBidi" w:eastAsiaTheme="minorHAnsi" w:hAnsiTheme="majorBidi" w:cstheme="majorBidi"/>
          <w:b/>
          <w:bCs/>
          <w:color w:val="000000" w:themeColor="text1"/>
          <w:sz w:val="20"/>
          <w:szCs w:val="20"/>
          <w:lang w:bidi="ar-EG"/>
        </w:rPr>
        <w:t xml:space="preserve"> Methods</w:t>
      </w:r>
    </w:p>
    <w:p w:rsidR="009A0496" w:rsidRPr="009A0496" w:rsidRDefault="009A0496" w:rsidP="009A0496">
      <w:pPr>
        <w:bidi w:val="0"/>
        <w:spacing w:after="0" w:line="240" w:lineRule="auto"/>
        <w:ind w:firstLine="426"/>
        <w:jc w:val="both"/>
        <w:rPr>
          <w:rFonts w:asciiTheme="majorBidi" w:eastAsiaTheme="minorHAnsi" w:hAnsiTheme="majorBidi" w:cstheme="majorBidi"/>
          <w:color w:val="000000" w:themeColor="text1"/>
          <w:sz w:val="20"/>
          <w:szCs w:val="20"/>
          <w:lang w:bidi="ar-EG"/>
        </w:rPr>
      </w:pPr>
      <w:r w:rsidRPr="009A0496">
        <w:rPr>
          <w:rFonts w:asciiTheme="majorBidi" w:eastAsiaTheme="minorHAnsi" w:hAnsiTheme="majorBidi" w:cstheme="majorBidi"/>
          <w:color w:val="000000" w:themeColor="text1"/>
          <w:sz w:val="20"/>
          <w:szCs w:val="20"/>
          <w:lang w:bidi="ar-EG"/>
        </w:rPr>
        <w:t xml:space="preserve">This prospective study had been conducted in Tanta University Hospitals from September 2014 to June 2018. Sixty nine histologically confirmed newly diagnosed adult patients with </w:t>
      </w:r>
      <w:proofErr w:type="spellStart"/>
      <w:r w:rsidRPr="009A0496">
        <w:rPr>
          <w:rFonts w:asciiTheme="majorBidi" w:eastAsiaTheme="minorHAnsi" w:hAnsiTheme="majorBidi" w:cstheme="majorBidi"/>
          <w:color w:val="000000" w:themeColor="text1"/>
          <w:sz w:val="20"/>
          <w:szCs w:val="20"/>
          <w:lang w:bidi="ar-EG"/>
        </w:rPr>
        <w:t>cHL</w:t>
      </w:r>
      <w:proofErr w:type="spellEnd"/>
      <w:r w:rsidRPr="009A0496">
        <w:rPr>
          <w:rFonts w:asciiTheme="majorBidi" w:eastAsiaTheme="minorHAnsi" w:hAnsiTheme="majorBidi" w:cstheme="majorBidi"/>
          <w:color w:val="000000" w:themeColor="text1"/>
          <w:sz w:val="20"/>
          <w:szCs w:val="20"/>
          <w:lang w:bidi="ar-EG"/>
        </w:rPr>
        <w:t xml:space="preserve"> were enrolled in this study. </w:t>
      </w:r>
    </w:p>
    <w:p w:rsidR="009A0496" w:rsidRPr="009A0496" w:rsidRDefault="009A0496" w:rsidP="009A0496">
      <w:pPr>
        <w:bidi w:val="0"/>
        <w:spacing w:after="0" w:line="240" w:lineRule="auto"/>
        <w:ind w:firstLine="426"/>
        <w:jc w:val="both"/>
        <w:rPr>
          <w:rFonts w:asciiTheme="majorBidi" w:eastAsiaTheme="minorHAnsi" w:hAnsiTheme="majorBidi" w:cstheme="majorBidi"/>
          <w:color w:val="000000" w:themeColor="text1"/>
          <w:sz w:val="20"/>
          <w:szCs w:val="20"/>
          <w:lang w:bidi="ar-EG"/>
        </w:rPr>
      </w:pPr>
      <w:r w:rsidRPr="009A0496">
        <w:rPr>
          <w:rFonts w:asciiTheme="majorBidi" w:eastAsiaTheme="minorHAnsi" w:hAnsiTheme="majorBidi" w:cstheme="majorBidi"/>
          <w:color w:val="000000" w:themeColor="text1"/>
          <w:sz w:val="20"/>
          <w:szCs w:val="20"/>
          <w:lang w:bidi="ar-EG"/>
        </w:rPr>
        <w:t>All patients provided written informed consent prior to enrollment into the study. The Ethics Committee at our Faculty of Medicine, Tanta University granted protocol approval. To be eligible for participation in this study patients had to be greater than 18 years of age, have histologically confirmed evidence of classic Hodgkin's lymphoma, not received pervious chemotherapy or radiotherapy with normal cardiac functions, and adequate liver and kidney functions without comorbidity. Patients experiencing other malignancies were excluded from the study.</w:t>
      </w:r>
      <w:r w:rsidRPr="009A0496">
        <w:rPr>
          <w:rFonts w:asciiTheme="majorBidi" w:eastAsiaTheme="minorHAnsi" w:hAnsiTheme="majorBidi" w:cstheme="majorBidi"/>
          <w:color w:val="000000" w:themeColor="text1"/>
          <w:sz w:val="20"/>
          <w:szCs w:val="20"/>
        </w:rPr>
        <w:t xml:space="preserve"> </w:t>
      </w:r>
      <w:r w:rsidRPr="009A0496">
        <w:rPr>
          <w:rFonts w:asciiTheme="majorBidi" w:eastAsiaTheme="minorHAnsi" w:hAnsiTheme="majorBidi" w:cstheme="majorBidi"/>
          <w:color w:val="000000" w:themeColor="text1"/>
          <w:sz w:val="20"/>
          <w:szCs w:val="20"/>
          <w:lang w:bidi="ar-EG"/>
        </w:rPr>
        <w:t>The histological diagnosis was based on the currently used criteria defined by the World Health Organization 2008 classification.</w:t>
      </w:r>
      <w:r w:rsidRPr="009A0496">
        <w:rPr>
          <w:rFonts w:asciiTheme="majorBidi" w:eastAsiaTheme="minorHAnsi" w:hAnsiTheme="majorBidi" w:cstheme="majorBidi"/>
          <w:b/>
          <w:bCs/>
          <w:color w:val="000000" w:themeColor="text1"/>
          <w:sz w:val="20"/>
          <w:szCs w:val="20"/>
          <w:vertAlign w:val="superscript"/>
          <w:lang w:bidi="ar-EG"/>
        </w:rPr>
        <w:t xml:space="preserve"> (11)</w:t>
      </w:r>
    </w:p>
    <w:p w:rsidR="009A0496" w:rsidRPr="009A0496" w:rsidRDefault="009A0496" w:rsidP="009A0496">
      <w:pPr>
        <w:bidi w:val="0"/>
        <w:spacing w:after="0" w:line="240" w:lineRule="auto"/>
        <w:ind w:firstLine="426"/>
        <w:jc w:val="both"/>
        <w:rPr>
          <w:rFonts w:asciiTheme="majorBidi" w:eastAsiaTheme="minorHAnsi" w:hAnsiTheme="majorBidi" w:cstheme="majorBidi"/>
          <w:color w:val="000000" w:themeColor="text1"/>
          <w:sz w:val="20"/>
          <w:szCs w:val="20"/>
          <w:lang w:bidi="ar-EG"/>
        </w:rPr>
      </w:pPr>
      <w:r w:rsidRPr="009A0496">
        <w:rPr>
          <w:rFonts w:asciiTheme="majorBidi" w:eastAsiaTheme="minorHAnsi" w:hAnsiTheme="majorBidi" w:cstheme="majorBidi"/>
          <w:color w:val="000000" w:themeColor="text1"/>
          <w:sz w:val="20"/>
          <w:szCs w:val="20"/>
          <w:lang w:bidi="ar-EG"/>
        </w:rPr>
        <w:t xml:space="preserve">Patients were staged according to </w:t>
      </w:r>
      <w:proofErr w:type="spellStart"/>
      <w:r w:rsidRPr="009A0496">
        <w:rPr>
          <w:rFonts w:asciiTheme="majorBidi" w:eastAsiaTheme="minorHAnsi" w:hAnsiTheme="majorBidi" w:cstheme="majorBidi"/>
          <w:color w:val="000000" w:themeColor="text1"/>
          <w:sz w:val="20"/>
          <w:szCs w:val="20"/>
          <w:lang w:bidi="ar-EG"/>
        </w:rPr>
        <w:t>Cotswolds</w:t>
      </w:r>
      <w:proofErr w:type="spellEnd"/>
      <w:r w:rsidRPr="009A0496">
        <w:rPr>
          <w:rFonts w:asciiTheme="majorBidi" w:eastAsiaTheme="minorHAnsi" w:hAnsiTheme="majorBidi" w:cstheme="majorBidi"/>
          <w:color w:val="000000" w:themeColor="text1"/>
          <w:sz w:val="20"/>
          <w:szCs w:val="20"/>
          <w:lang w:bidi="ar-EG"/>
        </w:rPr>
        <w:t xml:space="preserve"> modified Ann Arbor staging system for Hodgkin lymphoma.</w:t>
      </w:r>
      <w:r w:rsidRPr="009A0496">
        <w:rPr>
          <w:rFonts w:asciiTheme="majorBidi" w:eastAsiaTheme="minorHAnsi" w:hAnsiTheme="majorBidi" w:cstheme="majorBidi"/>
          <w:b/>
          <w:bCs/>
          <w:color w:val="000000" w:themeColor="text1"/>
          <w:sz w:val="20"/>
          <w:szCs w:val="20"/>
          <w:vertAlign w:val="superscript"/>
          <w:lang w:bidi="ar-EG"/>
        </w:rPr>
        <w:t xml:space="preserve"> (12)</w:t>
      </w:r>
      <w:r w:rsidRPr="009A0496">
        <w:rPr>
          <w:rFonts w:asciiTheme="majorBidi" w:eastAsiaTheme="minorHAnsi" w:hAnsiTheme="majorBidi" w:cstheme="majorBidi"/>
          <w:color w:val="000000" w:themeColor="text1"/>
          <w:sz w:val="20"/>
          <w:szCs w:val="20"/>
          <w:lang w:bidi="ar-EG"/>
        </w:rPr>
        <w:t xml:space="preserve"> Patients’ performance status was assessed using Eastern Cooperative Oncology Group performance status.</w:t>
      </w:r>
      <w:r w:rsidRPr="009A0496">
        <w:rPr>
          <w:rFonts w:asciiTheme="majorBidi" w:eastAsiaTheme="minorHAnsi" w:hAnsiTheme="majorBidi" w:cstheme="majorBidi"/>
          <w:b/>
          <w:bCs/>
          <w:color w:val="000000" w:themeColor="text1"/>
          <w:sz w:val="20"/>
          <w:szCs w:val="20"/>
          <w:vertAlign w:val="superscript"/>
          <w:lang w:bidi="ar-EG"/>
        </w:rPr>
        <w:t>(13)</w:t>
      </w:r>
      <w:r w:rsidRPr="009A0496">
        <w:rPr>
          <w:rFonts w:asciiTheme="majorBidi" w:eastAsiaTheme="minorHAnsi" w:hAnsiTheme="majorBidi" w:cstheme="majorBidi"/>
          <w:color w:val="000000" w:themeColor="text1"/>
          <w:sz w:val="20"/>
          <w:szCs w:val="20"/>
          <w:lang w:bidi="ar-EG"/>
        </w:rPr>
        <w:t xml:space="preserve"> International Prognostic score (IPS) was used for determining the prognosis</w:t>
      </w:r>
      <w:bookmarkStart w:id="1" w:name="_Hlk536641081"/>
      <w:r w:rsidRPr="009A0496">
        <w:rPr>
          <w:rFonts w:asciiTheme="majorBidi" w:eastAsiaTheme="minorHAnsi" w:hAnsiTheme="majorBidi" w:cstheme="majorBidi"/>
          <w:color w:val="000000" w:themeColor="text1"/>
          <w:sz w:val="20"/>
          <w:szCs w:val="20"/>
          <w:lang w:bidi="ar-EG"/>
        </w:rPr>
        <w:t>.</w:t>
      </w:r>
      <w:r w:rsidRPr="009A0496">
        <w:rPr>
          <w:rFonts w:asciiTheme="majorBidi" w:eastAsiaTheme="minorHAnsi" w:hAnsiTheme="majorBidi" w:cstheme="majorBidi"/>
          <w:b/>
          <w:bCs/>
          <w:color w:val="000000" w:themeColor="text1"/>
          <w:sz w:val="20"/>
          <w:szCs w:val="20"/>
          <w:vertAlign w:val="superscript"/>
          <w:lang w:bidi="ar-EG"/>
        </w:rPr>
        <w:t>(14)</w:t>
      </w:r>
      <w:r w:rsidRPr="009A0496">
        <w:rPr>
          <w:rFonts w:asciiTheme="majorBidi" w:eastAsiaTheme="minorHAnsi" w:hAnsiTheme="majorBidi" w:cstheme="majorBidi"/>
          <w:color w:val="000000" w:themeColor="text1"/>
          <w:sz w:val="20"/>
          <w:szCs w:val="20"/>
          <w:lang w:bidi="ar-EG"/>
        </w:rPr>
        <w:t xml:space="preserve"> </w:t>
      </w:r>
      <w:bookmarkEnd w:id="1"/>
      <w:r w:rsidRPr="009A0496">
        <w:rPr>
          <w:rFonts w:asciiTheme="majorBidi" w:eastAsiaTheme="minorHAnsi" w:hAnsiTheme="majorBidi" w:cstheme="majorBidi"/>
          <w:color w:val="000000" w:themeColor="text1"/>
          <w:sz w:val="20"/>
          <w:szCs w:val="20"/>
          <w:lang w:bidi="ar-EG"/>
        </w:rPr>
        <w:t>Radiological assessment, including computed tomography (CT) scan of the neck, thorax, abdomen, and pelvis according to the site of involvement and echocardiography.</w:t>
      </w:r>
    </w:p>
    <w:p w:rsidR="009A0496" w:rsidRPr="009A0496" w:rsidRDefault="009A0496" w:rsidP="009A0496">
      <w:pPr>
        <w:bidi w:val="0"/>
        <w:spacing w:after="0" w:line="240" w:lineRule="auto"/>
        <w:jc w:val="both"/>
        <w:rPr>
          <w:rFonts w:asciiTheme="majorBidi" w:eastAsiaTheme="minorHAnsi" w:hAnsiTheme="majorBidi" w:cstheme="majorBidi"/>
          <w:color w:val="000000" w:themeColor="text1"/>
          <w:sz w:val="20"/>
          <w:szCs w:val="20"/>
          <w:lang w:bidi="ar-EG"/>
        </w:rPr>
      </w:pPr>
      <w:r w:rsidRPr="009A0496">
        <w:rPr>
          <w:rFonts w:asciiTheme="majorBidi" w:eastAsiaTheme="minorHAnsi" w:hAnsiTheme="majorBidi" w:cstheme="majorBidi"/>
          <w:b/>
          <w:bCs/>
          <w:sz w:val="20"/>
          <w:szCs w:val="20"/>
        </w:rPr>
        <w:t>Tissue preparation</w:t>
      </w:r>
    </w:p>
    <w:p w:rsidR="009A0496" w:rsidRPr="009A0496" w:rsidRDefault="009A0496" w:rsidP="009A0496">
      <w:pPr>
        <w:autoSpaceDE w:val="0"/>
        <w:autoSpaceDN w:val="0"/>
        <w:bidi w:val="0"/>
        <w:adjustRightInd w:val="0"/>
        <w:spacing w:after="0" w:line="240" w:lineRule="auto"/>
        <w:ind w:firstLine="426"/>
        <w:jc w:val="both"/>
        <w:rPr>
          <w:rFonts w:asciiTheme="majorBidi" w:eastAsiaTheme="minorHAnsi" w:hAnsiTheme="majorBidi" w:cstheme="majorBidi"/>
          <w:sz w:val="20"/>
          <w:szCs w:val="20"/>
        </w:rPr>
      </w:pPr>
      <w:r w:rsidRPr="009A0496">
        <w:rPr>
          <w:rFonts w:asciiTheme="majorBidi" w:eastAsiaTheme="minorHAnsi" w:hAnsiTheme="majorBidi" w:cstheme="majorBidi"/>
          <w:sz w:val="20"/>
          <w:szCs w:val="20"/>
        </w:rPr>
        <w:t>Formalin fixed paraffin embedded blocks of tumor tissue, taken from lymphoma cases</w:t>
      </w:r>
      <w:r w:rsidRPr="009A0496">
        <w:rPr>
          <w:rFonts w:asciiTheme="majorBidi" w:eastAsiaTheme="minorHAnsi" w:hAnsiTheme="majorBidi" w:cstheme="majorBidi" w:hint="cs"/>
          <w:sz w:val="20"/>
          <w:szCs w:val="20"/>
          <w:rtl/>
        </w:rPr>
        <w:t xml:space="preserve">. </w:t>
      </w:r>
      <w:r w:rsidRPr="009A0496">
        <w:rPr>
          <w:rFonts w:asciiTheme="majorBidi" w:eastAsiaTheme="minorHAnsi" w:hAnsiTheme="majorBidi" w:cstheme="majorBidi" w:hint="cs"/>
          <w:sz w:val="20"/>
          <w:szCs w:val="20"/>
        </w:rPr>
        <w:t>Histological</w:t>
      </w:r>
      <w:r w:rsidRPr="009A0496">
        <w:rPr>
          <w:rFonts w:asciiTheme="majorBidi" w:eastAsiaTheme="minorHAnsi" w:hAnsiTheme="majorBidi" w:cstheme="majorBidi"/>
          <w:sz w:val="20"/>
          <w:szCs w:val="20"/>
        </w:rPr>
        <w:t xml:space="preserve"> examination of tissue biopsy was done with selection of 69 Hodgkin lymphoma cases. They were classified </w:t>
      </w:r>
      <w:proofErr w:type="spellStart"/>
      <w:r w:rsidRPr="009A0496">
        <w:rPr>
          <w:rFonts w:asciiTheme="majorBidi" w:eastAsiaTheme="minorHAnsi" w:hAnsiTheme="majorBidi" w:cstheme="majorBidi"/>
          <w:sz w:val="20"/>
          <w:szCs w:val="20"/>
        </w:rPr>
        <w:t>histopathologically</w:t>
      </w:r>
      <w:proofErr w:type="spellEnd"/>
      <w:r w:rsidRPr="009A0496">
        <w:rPr>
          <w:rFonts w:asciiTheme="majorBidi" w:eastAsiaTheme="minorHAnsi" w:hAnsiTheme="majorBidi" w:cstheme="majorBidi"/>
          <w:sz w:val="20"/>
          <w:szCs w:val="20"/>
        </w:rPr>
        <w:t xml:space="preserve"> into nodular sclerosis, mixed cellularity, lymphocyte depleted and lymphocyte rich followed by IHC staining of tissue biopsy specimens using rabbit monoclonal antibody Anti- PD1 antibody [EPR4877(2)] (ab 137132); </w:t>
      </w:r>
      <w:proofErr w:type="spellStart"/>
      <w:r w:rsidRPr="009A0496">
        <w:rPr>
          <w:rFonts w:asciiTheme="majorBidi" w:eastAsiaTheme="minorHAnsi" w:hAnsiTheme="majorBidi" w:cstheme="majorBidi"/>
          <w:sz w:val="20"/>
          <w:szCs w:val="20"/>
        </w:rPr>
        <w:t>Abcam</w:t>
      </w:r>
      <w:proofErr w:type="spellEnd"/>
      <w:r w:rsidRPr="009A0496">
        <w:rPr>
          <w:rFonts w:asciiTheme="majorBidi" w:eastAsiaTheme="minorHAnsi" w:hAnsiTheme="majorBidi" w:cstheme="majorBidi"/>
          <w:sz w:val="20"/>
          <w:szCs w:val="20"/>
        </w:rPr>
        <w:t xml:space="preserve"> and rabbit monoclonal antibody Anti- PD-L1 antibody [clone 28-8] (ab205921) ; </w:t>
      </w:r>
    </w:p>
    <w:p w:rsidR="009A0496" w:rsidRPr="009A0496" w:rsidRDefault="009A0496" w:rsidP="009A0496">
      <w:pPr>
        <w:autoSpaceDE w:val="0"/>
        <w:autoSpaceDN w:val="0"/>
        <w:bidi w:val="0"/>
        <w:adjustRightInd w:val="0"/>
        <w:spacing w:after="0" w:line="240" w:lineRule="auto"/>
        <w:ind w:firstLine="426"/>
        <w:jc w:val="both"/>
        <w:rPr>
          <w:rFonts w:asciiTheme="majorBidi" w:eastAsiaTheme="minorHAnsi" w:hAnsiTheme="majorBidi" w:cstheme="majorBidi"/>
          <w:sz w:val="20"/>
          <w:szCs w:val="20"/>
        </w:rPr>
      </w:pPr>
      <w:proofErr w:type="spellStart"/>
      <w:proofErr w:type="gramStart"/>
      <w:r w:rsidRPr="009A0496">
        <w:rPr>
          <w:rFonts w:asciiTheme="majorBidi" w:eastAsiaTheme="minorHAnsi" w:hAnsiTheme="majorBidi" w:cstheme="majorBidi"/>
          <w:sz w:val="20"/>
          <w:szCs w:val="20"/>
        </w:rPr>
        <w:t>Abcam</w:t>
      </w:r>
      <w:proofErr w:type="spellEnd"/>
      <w:r w:rsidRPr="009A0496">
        <w:rPr>
          <w:rFonts w:asciiTheme="majorBidi" w:eastAsiaTheme="minorHAnsi" w:hAnsiTheme="majorBidi" w:cstheme="majorBidi"/>
          <w:sz w:val="20"/>
          <w:szCs w:val="20"/>
        </w:rPr>
        <w:t>.</w:t>
      </w:r>
      <w:proofErr w:type="gramEnd"/>
      <w:r w:rsidRPr="009A0496">
        <w:rPr>
          <w:rFonts w:asciiTheme="majorBidi" w:eastAsiaTheme="minorHAnsi" w:hAnsiTheme="majorBidi" w:cstheme="majorBidi"/>
          <w:sz w:val="20"/>
          <w:szCs w:val="20"/>
        </w:rPr>
        <w:t xml:space="preserve"> </w:t>
      </w:r>
      <w:r w:rsidRPr="009A0496">
        <w:rPr>
          <w:rFonts w:asciiTheme="majorBidi" w:eastAsiaTheme="minorHAnsi" w:hAnsiTheme="majorBidi" w:cstheme="majorBidi"/>
          <w:color w:val="000000" w:themeColor="text1"/>
          <w:sz w:val="20"/>
          <w:szCs w:val="20"/>
        </w:rPr>
        <w:t>Written consent was taken from the patients for use of the samples and publication.</w:t>
      </w:r>
    </w:p>
    <w:p w:rsidR="009A0496" w:rsidRDefault="009A0496" w:rsidP="009A0496">
      <w:pPr>
        <w:bidi w:val="0"/>
        <w:spacing w:after="0" w:line="240" w:lineRule="auto"/>
        <w:rPr>
          <w:rFonts w:asciiTheme="majorBidi" w:eastAsiaTheme="minorHAnsi" w:hAnsiTheme="majorBidi" w:cstheme="majorBidi"/>
          <w:b/>
          <w:bCs/>
          <w:sz w:val="20"/>
          <w:szCs w:val="20"/>
        </w:rPr>
      </w:pPr>
    </w:p>
    <w:p w:rsidR="009A0496" w:rsidRDefault="009A0496" w:rsidP="009A0496">
      <w:pPr>
        <w:bidi w:val="0"/>
        <w:spacing w:after="0" w:line="240" w:lineRule="auto"/>
        <w:rPr>
          <w:rFonts w:asciiTheme="majorBidi" w:eastAsiaTheme="minorHAnsi" w:hAnsiTheme="majorBidi" w:cstheme="majorBidi"/>
          <w:b/>
          <w:bCs/>
          <w:sz w:val="20"/>
          <w:szCs w:val="20"/>
        </w:rPr>
      </w:pPr>
    </w:p>
    <w:p w:rsidR="00262488" w:rsidRDefault="00262488" w:rsidP="009A0496">
      <w:pPr>
        <w:bidi w:val="0"/>
        <w:spacing w:after="0" w:line="240" w:lineRule="auto"/>
        <w:rPr>
          <w:rFonts w:asciiTheme="majorBidi" w:eastAsiaTheme="minorHAnsi" w:hAnsiTheme="majorBidi" w:cstheme="majorBidi"/>
          <w:b/>
          <w:bCs/>
          <w:sz w:val="20"/>
          <w:szCs w:val="20"/>
        </w:rPr>
      </w:pPr>
    </w:p>
    <w:p w:rsidR="00262488" w:rsidRDefault="00262488" w:rsidP="00262488">
      <w:pPr>
        <w:bidi w:val="0"/>
        <w:spacing w:after="0" w:line="240" w:lineRule="auto"/>
        <w:rPr>
          <w:rFonts w:asciiTheme="majorBidi" w:eastAsiaTheme="minorHAnsi" w:hAnsiTheme="majorBidi" w:cstheme="majorBidi"/>
          <w:b/>
          <w:bCs/>
          <w:sz w:val="20"/>
          <w:szCs w:val="20"/>
        </w:rPr>
      </w:pPr>
    </w:p>
    <w:p w:rsidR="00262488" w:rsidRDefault="00262488" w:rsidP="00262488">
      <w:pPr>
        <w:bidi w:val="0"/>
        <w:spacing w:after="0" w:line="240" w:lineRule="auto"/>
        <w:rPr>
          <w:rFonts w:asciiTheme="majorBidi" w:eastAsiaTheme="minorHAnsi" w:hAnsiTheme="majorBidi" w:cstheme="majorBidi"/>
          <w:b/>
          <w:bCs/>
          <w:sz w:val="20"/>
          <w:szCs w:val="20"/>
        </w:rPr>
      </w:pPr>
    </w:p>
    <w:p w:rsidR="00262488" w:rsidRDefault="00262488" w:rsidP="00262488">
      <w:pPr>
        <w:bidi w:val="0"/>
        <w:spacing w:after="0" w:line="240" w:lineRule="auto"/>
        <w:rPr>
          <w:rFonts w:asciiTheme="majorBidi" w:eastAsiaTheme="minorHAnsi" w:hAnsiTheme="majorBidi" w:cstheme="majorBidi"/>
          <w:b/>
          <w:bCs/>
          <w:sz w:val="20"/>
          <w:szCs w:val="20"/>
        </w:rPr>
      </w:pPr>
    </w:p>
    <w:p w:rsidR="009A0496" w:rsidRPr="009A0496" w:rsidRDefault="009A0496" w:rsidP="00262488">
      <w:pPr>
        <w:bidi w:val="0"/>
        <w:spacing w:after="0" w:line="240" w:lineRule="auto"/>
        <w:rPr>
          <w:rFonts w:asciiTheme="majorBidi" w:eastAsiaTheme="minorHAnsi" w:hAnsiTheme="majorBidi" w:cstheme="majorBidi"/>
          <w:b/>
          <w:bCs/>
          <w:sz w:val="20"/>
          <w:szCs w:val="20"/>
        </w:rPr>
      </w:pPr>
      <w:r w:rsidRPr="009A0496">
        <w:rPr>
          <w:rFonts w:asciiTheme="majorBidi" w:eastAsiaTheme="minorHAnsi" w:hAnsiTheme="majorBidi" w:cstheme="majorBidi"/>
          <w:b/>
          <w:bCs/>
          <w:sz w:val="20"/>
          <w:szCs w:val="20"/>
        </w:rPr>
        <w:t xml:space="preserve">PD-1 </w:t>
      </w:r>
      <w:proofErr w:type="spellStart"/>
      <w:r w:rsidRPr="009A0496">
        <w:rPr>
          <w:rFonts w:asciiTheme="majorBidi" w:eastAsiaTheme="minorHAnsi" w:hAnsiTheme="majorBidi" w:cstheme="majorBidi"/>
          <w:b/>
          <w:bCs/>
          <w:sz w:val="20"/>
          <w:szCs w:val="20"/>
        </w:rPr>
        <w:t>immunohistochemical</w:t>
      </w:r>
      <w:proofErr w:type="spellEnd"/>
      <w:r w:rsidRPr="009A0496">
        <w:rPr>
          <w:rFonts w:asciiTheme="majorBidi" w:eastAsiaTheme="minorHAnsi" w:hAnsiTheme="majorBidi" w:cstheme="majorBidi"/>
          <w:b/>
          <w:bCs/>
          <w:sz w:val="20"/>
          <w:szCs w:val="20"/>
        </w:rPr>
        <w:t xml:space="preserve"> expression:</w:t>
      </w:r>
    </w:p>
    <w:p w:rsidR="009A0496" w:rsidRPr="009A0496" w:rsidRDefault="009A0496" w:rsidP="009A0496">
      <w:pPr>
        <w:autoSpaceDE w:val="0"/>
        <w:autoSpaceDN w:val="0"/>
        <w:bidi w:val="0"/>
        <w:adjustRightInd w:val="0"/>
        <w:spacing w:after="0" w:line="240" w:lineRule="auto"/>
        <w:ind w:firstLine="426"/>
        <w:jc w:val="both"/>
        <w:rPr>
          <w:rFonts w:asciiTheme="majorBidi" w:eastAsiaTheme="minorHAnsi" w:hAnsiTheme="majorBidi" w:cstheme="majorBidi"/>
          <w:color w:val="000000" w:themeColor="text1"/>
          <w:sz w:val="20"/>
          <w:szCs w:val="20"/>
          <w:lang w:val="en-GB"/>
        </w:rPr>
      </w:pPr>
      <w:r w:rsidRPr="009A0496">
        <w:rPr>
          <w:rFonts w:asciiTheme="majorBidi" w:eastAsiaTheme="minorHAnsi" w:hAnsiTheme="majorBidi" w:cstheme="majorBidi"/>
          <w:sz w:val="20"/>
          <w:szCs w:val="20"/>
        </w:rPr>
        <w:t xml:space="preserve">Tumor microenvironment showing brown membranous PD-1 </w:t>
      </w:r>
      <w:proofErr w:type="spellStart"/>
      <w:r w:rsidRPr="009A0496">
        <w:rPr>
          <w:rFonts w:asciiTheme="majorBidi" w:eastAsiaTheme="minorHAnsi" w:hAnsiTheme="majorBidi" w:cstheme="majorBidi"/>
          <w:sz w:val="20"/>
          <w:szCs w:val="20"/>
        </w:rPr>
        <w:t>immunohistochemical</w:t>
      </w:r>
      <w:proofErr w:type="spellEnd"/>
      <w:r w:rsidRPr="009A0496">
        <w:rPr>
          <w:rFonts w:asciiTheme="majorBidi" w:eastAsiaTheme="minorHAnsi" w:hAnsiTheme="majorBidi" w:cstheme="majorBidi"/>
          <w:sz w:val="20"/>
          <w:szCs w:val="20"/>
        </w:rPr>
        <w:t xml:space="preserve"> staining was evaluated as positive. </w:t>
      </w:r>
      <w:r w:rsidRPr="009A0496">
        <w:rPr>
          <w:rFonts w:asciiTheme="majorBidi" w:eastAsiaTheme="minorHAnsi" w:hAnsiTheme="majorBidi" w:cstheme="majorBidi"/>
          <w:color w:val="000000" w:themeColor="text1"/>
          <w:sz w:val="20"/>
          <w:szCs w:val="20"/>
        </w:rPr>
        <w:t xml:space="preserve">Lymphocytes and monocytes were included in the estimates while reed </w:t>
      </w:r>
      <w:proofErr w:type="spellStart"/>
      <w:proofErr w:type="gramStart"/>
      <w:r w:rsidRPr="009A0496">
        <w:rPr>
          <w:rFonts w:asciiTheme="majorBidi" w:eastAsiaTheme="minorHAnsi" w:hAnsiTheme="majorBidi" w:cstheme="majorBidi"/>
          <w:color w:val="000000" w:themeColor="text1"/>
          <w:sz w:val="20"/>
          <w:szCs w:val="20"/>
        </w:rPr>
        <w:t>sternberg</w:t>
      </w:r>
      <w:proofErr w:type="spellEnd"/>
      <w:proofErr w:type="gramEnd"/>
      <w:r w:rsidRPr="009A0496">
        <w:rPr>
          <w:rFonts w:asciiTheme="majorBidi" w:eastAsiaTheme="minorHAnsi" w:hAnsiTheme="majorBidi" w:cstheme="majorBidi"/>
          <w:color w:val="000000" w:themeColor="text1"/>
          <w:sz w:val="20"/>
          <w:szCs w:val="20"/>
        </w:rPr>
        <w:t xml:space="preserve"> (RS) cells, granulocytes, and macrophages were excluded in the PD-1 analysis. </w:t>
      </w:r>
      <w:proofErr w:type="gramStart"/>
      <w:r w:rsidRPr="009A0496">
        <w:rPr>
          <w:rFonts w:asciiTheme="majorBidi" w:eastAsiaTheme="minorHAnsi" w:hAnsiTheme="majorBidi" w:cstheme="majorBidi"/>
          <w:color w:val="000000" w:themeColor="text1"/>
          <w:sz w:val="20"/>
          <w:szCs w:val="20"/>
        </w:rPr>
        <w:t xml:space="preserve">Expression of PD-1 </w:t>
      </w:r>
      <w:proofErr w:type="spellStart"/>
      <w:r w:rsidRPr="009A0496">
        <w:rPr>
          <w:rFonts w:asciiTheme="majorBidi" w:eastAsiaTheme="minorHAnsi" w:hAnsiTheme="majorBidi" w:cstheme="majorBidi"/>
          <w:color w:val="000000" w:themeColor="text1"/>
          <w:sz w:val="20"/>
          <w:szCs w:val="20"/>
        </w:rPr>
        <w:t>immunostain</w:t>
      </w:r>
      <w:proofErr w:type="spellEnd"/>
      <w:r w:rsidRPr="009A0496">
        <w:rPr>
          <w:rFonts w:asciiTheme="majorBidi" w:eastAsiaTheme="minorHAnsi" w:hAnsiTheme="majorBidi" w:cstheme="majorBidi"/>
          <w:color w:val="000000" w:themeColor="text1"/>
          <w:sz w:val="20"/>
          <w:szCs w:val="20"/>
        </w:rPr>
        <w:t xml:space="preserve"> in follicular T helper lymphocytes of the germinal centers were</w:t>
      </w:r>
      <w:proofErr w:type="gramEnd"/>
      <w:r w:rsidRPr="009A0496">
        <w:rPr>
          <w:rFonts w:asciiTheme="majorBidi" w:eastAsiaTheme="minorHAnsi" w:hAnsiTheme="majorBidi" w:cstheme="majorBidi"/>
          <w:color w:val="000000" w:themeColor="text1"/>
          <w:sz w:val="20"/>
          <w:szCs w:val="20"/>
        </w:rPr>
        <w:t xml:space="preserve"> excluded. </w:t>
      </w:r>
      <w:r w:rsidRPr="009A0496">
        <w:rPr>
          <w:rFonts w:asciiTheme="majorBidi" w:eastAsiaTheme="minorHAnsi" w:hAnsiTheme="majorBidi" w:cstheme="majorBidi"/>
          <w:b/>
          <w:bCs/>
          <w:color w:val="000000" w:themeColor="text1"/>
          <w:sz w:val="20"/>
          <w:szCs w:val="20"/>
          <w:vertAlign w:val="superscript"/>
          <w:lang w:bidi="ar-EG"/>
        </w:rPr>
        <w:t>(15)</w:t>
      </w:r>
    </w:p>
    <w:p w:rsidR="009A0496" w:rsidRPr="009A0496" w:rsidRDefault="009A0496" w:rsidP="009A0496">
      <w:pPr>
        <w:bidi w:val="0"/>
        <w:spacing w:after="0" w:line="240" w:lineRule="auto"/>
        <w:rPr>
          <w:rFonts w:asciiTheme="majorBidi" w:eastAsiaTheme="minorHAnsi" w:hAnsiTheme="majorBidi" w:cstheme="majorBidi"/>
          <w:color w:val="000000" w:themeColor="text1"/>
          <w:sz w:val="20"/>
          <w:szCs w:val="20"/>
        </w:rPr>
      </w:pPr>
      <w:r w:rsidRPr="009A0496">
        <w:rPr>
          <w:rFonts w:asciiTheme="majorBidi" w:eastAsiaTheme="minorHAnsi" w:hAnsiTheme="majorBidi" w:cstheme="majorBidi"/>
          <w:b/>
          <w:bCs/>
          <w:color w:val="000000" w:themeColor="text1"/>
          <w:sz w:val="20"/>
          <w:szCs w:val="20"/>
        </w:rPr>
        <w:t xml:space="preserve">PDL-1 </w:t>
      </w:r>
      <w:proofErr w:type="spellStart"/>
      <w:r w:rsidRPr="009A0496">
        <w:rPr>
          <w:rFonts w:asciiTheme="majorBidi" w:eastAsiaTheme="minorHAnsi" w:hAnsiTheme="majorBidi" w:cstheme="majorBidi"/>
          <w:b/>
          <w:bCs/>
          <w:color w:val="000000" w:themeColor="text1"/>
          <w:sz w:val="20"/>
          <w:szCs w:val="20"/>
        </w:rPr>
        <w:t>immunohistochemical</w:t>
      </w:r>
      <w:proofErr w:type="spellEnd"/>
      <w:r w:rsidRPr="009A0496">
        <w:rPr>
          <w:rFonts w:asciiTheme="majorBidi" w:eastAsiaTheme="minorHAnsi" w:hAnsiTheme="majorBidi" w:cstheme="majorBidi"/>
          <w:b/>
          <w:bCs/>
          <w:color w:val="000000" w:themeColor="text1"/>
          <w:sz w:val="20"/>
          <w:szCs w:val="20"/>
        </w:rPr>
        <w:t xml:space="preserve"> expression:</w:t>
      </w:r>
    </w:p>
    <w:p w:rsidR="009A0496" w:rsidRPr="009A0496" w:rsidRDefault="009A0496" w:rsidP="009A0496">
      <w:pPr>
        <w:autoSpaceDE w:val="0"/>
        <w:autoSpaceDN w:val="0"/>
        <w:bidi w:val="0"/>
        <w:adjustRightInd w:val="0"/>
        <w:spacing w:after="0" w:line="240" w:lineRule="auto"/>
        <w:ind w:firstLine="426"/>
        <w:jc w:val="both"/>
        <w:rPr>
          <w:rFonts w:asciiTheme="majorBidi" w:eastAsiaTheme="minorHAnsi" w:hAnsiTheme="majorBidi" w:cstheme="majorBidi"/>
          <w:color w:val="000000" w:themeColor="text1"/>
          <w:sz w:val="20"/>
          <w:szCs w:val="20"/>
        </w:rPr>
      </w:pPr>
      <w:r w:rsidRPr="009A0496">
        <w:rPr>
          <w:rFonts w:asciiTheme="majorBidi" w:eastAsiaTheme="minorHAnsi" w:hAnsiTheme="majorBidi" w:cstheme="majorBidi"/>
          <w:color w:val="000000" w:themeColor="text1"/>
          <w:sz w:val="20"/>
          <w:szCs w:val="20"/>
        </w:rPr>
        <w:t>RS cells and tumor microenvironment showing brown membranous PDL-1 staining were evaluated as positive. All cells were included in the PD-L1 analyses.</w:t>
      </w:r>
    </w:p>
    <w:p w:rsidR="009A0496" w:rsidRPr="009A0496" w:rsidRDefault="009A0496" w:rsidP="009A0496">
      <w:pPr>
        <w:autoSpaceDE w:val="0"/>
        <w:autoSpaceDN w:val="0"/>
        <w:bidi w:val="0"/>
        <w:adjustRightInd w:val="0"/>
        <w:spacing w:after="0" w:line="240" w:lineRule="auto"/>
        <w:jc w:val="both"/>
        <w:rPr>
          <w:rFonts w:asciiTheme="majorBidi" w:eastAsiaTheme="minorHAnsi" w:hAnsiTheme="majorBidi" w:cstheme="majorBidi"/>
          <w:color w:val="000000" w:themeColor="text1"/>
          <w:sz w:val="20"/>
          <w:szCs w:val="20"/>
        </w:rPr>
      </w:pPr>
      <w:r w:rsidRPr="009A0496">
        <w:rPr>
          <w:rFonts w:asciiTheme="majorBidi" w:eastAsiaTheme="minorHAnsi" w:hAnsiTheme="majorBidi" w:cstheme="majorBidi"/>
          <w:b/>
          <w:bCs/>
          <w:color w:val="000000" w:themeColor="text1"/>
          <w:sz w:val="20"/>
          <w:szCs w:val="20"/>
        </w:rPr>
        <w:t>PD1 and PDL1 immunostaining interpretation</w:t>
      </w:r>
      <w:r w:rsidRPr="009A0496">
        <w:rPr>
          <w:rFonts w:asciiTheme="majorBidi" w:eastAsiaTheme="minorHAnsi" w:hAnsiTheme="majorBidi" w:cstheme="majorBidi"/>
          <w:color w:val="000000" w:themeColor="text1"/>
          <w:sz w:val="20"/>
          <w:szCs w:val="20"/>
        </w:rPr>
        <w:t xml:space="preserve">: </w:t>
      </w:r>
    </w:p>
    <w:p w:rsidR="009A0496" w:rsidRPr="009A0496" w:rsidRDefault="009A0496" w:rsidP="009A0496">
      <w:pPr>
        <w:autoSpaceDE w:val="0"/>
        <w:autoSpaceDN w:val="0"/>
        <w:bidi w:val="0"/>
        <w:adjustRightInd w:val="0"/>
        <w:spacing w:after="0" w:line="240" w:lineRule="auto"/>
        <w:ind w:firstLine="426"/>
        <w:jc w:val="both"/>
        <w:rPr>
          <w:rFonts w:asciiTheme="majorBidi" w:eastAsiaTheme="minorHAnsi" w:hAnsiTheme="majorBidi" w:cstheme="majorBidi"/>
          <w:color w:val="000000" w:themeColor="text1"/>
          <w:sz w:val="20"/>
          <w:szCs w:val="20"/>
        </w:rPr>
      </w:pPr>
      <w:r w:rsidRPr="009A0496">
        <w:rPr>
          <w:rFonts w:asciiTheme="majorBidi" w:eastAsiaTheme="minorHAnsi" w:hAnsiTheme="majorBidi" w:cstheme="majorBidi"/>
          <w:color w:val="000000" w:themeColor="text1"/>
          <w:sz w:val="20"/>
          <w:szCs w:val="20"/>
        </w:rPr>
        <w:t>Proportions of PD1 and PDL1 were calculated by dividing the number of positive cells by combined number of positive and negative cells</w:t>
      </w:r>
    </w:p>
    <w:p w:rsidR="009A0496" w:rsidRPr="009A0496" w:rsidRDefault="009A0496" w:rsidP="009A0496">
      <w:pPr>
        <w:autoSpaceDE w:val="0"/>
        <w:autoSpaceDN w:val="0"/>
        <w:bidi w:val="0"/>
        <w:adjustRightInd w:val="0"/>
        <w:spacing w:after="0" w:line="240" w:lineRule="auto"/>
        <w:ind w:firstLine="426"/>
        <w:jc w:val="both"/>
        <w:rPr>
          <w:rFonts w:asciiTheme="majorBidi" w:eastAsiaTheme="minorHAnsi" w:hAnsiTheme="majorBidi" w:cstheme="majorBidi"/>
          <w:color w:val="000000" w:themeColor="text1"/>
          <w:sz w:val="20"/>
          <w:szCs w:val="20"/>
        </w:rPr>
      </w:pPr>
      <w:r w:rsidRPr="009A0496">
        <w:rPr>
          <w:rFonts w:asciiTheme="majorBidi" w:eastAsiaTheme="minorHAnsi" w:hAnsiTheme="majorBidi" w:cstheme="majorBidi"/>
          <w:color w:val="000000" w:themeColor="text1"/>
          <w:sz w:val="20"/>
          <w:szCs w:val="20"/>
        </w:rPr>
        <w:t>The proportions of PD-1, PD-L1 were calculated</w:t>
      </w:r>
      <w:r w:rsidRPr="009A0496">
        <w:rPr>
          <w:rFonts w:eastAsiaTheme="minorHAnsi"/>
          <w:sz w:val="20"/>
          <w:szCs w:val="20"/>
        </w:rPr>
        <w:t xml:space="preserve"> </w:t>
      </w:r>
      <w:r w:rsidRPr="009A0496">
        <w:rPr>
          <w:rFonts w:asciiTheme="majorBidi" w:eastAsiaTheme="minorHAnsi" w:hAnsiTheme="majorBidi" w:cstheme="majorBidi"/>
          <w:sz w:val="20"/>
          <w:szCs w:val="20"/>
        </w:rPr>
        <w:t xml:space="preserve">by using </w:t>
      </w:r>
      <w:proofErr w:type="spellStart"/>
      <w:r w:rsidRPr="009A0496">
        <w:rPr>
          <w:rFonts w:asciiTheme="majorBidi" w:eastAsiaTheme="minorHAnsi" w:hAnsiTheme="majorBidi" w:cstheme="majorBidi"/>
          <w:sz w:val="20"/>
          <w:szCs w:val="20"/>
        </w:rPr>
        <w:t>imageJ</w:t>
      </w:r>
      <w:proofErr w:type="spellEnd"/>
      <w:r w:rsidRPr="009A0496">
        <w:rPr>
          <w:rFonts w:asciiTheme="majorBidi" w:eastAsiaTheme="minorHAnsi" w:hAnsiTheme="majorBidi" w:cstheme="majorBidi"/>
          <w:sz w:val="20"/>
          <w:szCs w:val="20"/>
        </w:rPr>
        <w:t xml:space="preserve"> software [Java image processing program inspired by National institute of health (NIH), USA]. Counting was performed in two fields at X200 magnification. The mean of the two counts was calculated for each case.</w:t>
      </w:r>
    </w:p>
    <w:p w:rsidR="009A0496" w:rsidRPr="009A0496" w:rsidRDefault="009A0496" w:rsidP="009A0496">
      <w:pPr>
        <w:autoSpaceDE w:val="0"/>
        <w:autoSpaceDN w:val="0"/>
        <w:bidi w:val="0"/>
        <w:adjustRightInd w:val="0"/>
        <w:spacing w:after="0" w:line="240" w:lineRule="auto"/>
        <w:ind w:firstLine="426"/>
        <w:jc w:val="both"/>
        <w:rPr>
          <w:rFonts w:asciiTheme="majorBidi" w:eastAsiaTheme="minorHAnsi" w:hAnsiTheme="majorBidi" w:cstheme="majorBidi"/>
          <w:color w:val="000000" w:themeColor="text1"/>
          <w:sz w:val="20"/>
          <w:szCs w:val="20"/>
        </w:rPr>
      </w:pPr>
      <w:r w:rsidRPr="009A0496">
        <w:rPr>
          <w:rFonts w:asciiTheme="majorBidi" w:eastAsiaTheme="minorHAnsi" w:hAnsiTheme="majorBidi" w:cstheme="majorBidi"/>
          <w:color w:val="000000" w:themeColor="text1"/>
          <w:sz w:val="20"/>
          <w:szCs w:val="20"/>
        </w:rPr>
        <w:t>High vs low proportion of PD-1 was evaluated as ≥10% vs &lt;10% PD-1. High vs low proportion of PD-L1 leukocytes was evaluated as ≥5% vs &lt;5% PD-</w:t>
      </w:r>
      <w:proofErr w:type="gramStart"/>
      <w:r w:rsidRPr="009A0496">
        <w:rPr>
          <w:rFonts w:asciiTheme="majorBidi" w:eastAsiaTheme="minorHAnsi" w:hAnsiTheme="majorBidi" w:cstheme="majorBidi"/>
          <w:color w:val="000000" w:themeColor="text1"/>
          <w:sz w:val="20"/>
          <w:szCs w:val="20"/>
        </w:rPr>
        <w:t xml:space="preserve">L1 </w:t>
      </w:r>
      <w:r w:rsidRPr="009A0496">
        <w:rPr>
          <w:rFonts w:asciiTheme="majorBidi" w:eastAsiaTheme="minorHAnsi" w:hAnsiTheme="majorBidi" w:cstheme="majorBidi"/>
          <w:color w:val="000000" w:themeColor="text1"/>
          <w:sz w:val="20"/>
          <w:szCs w:val="20"/>
          <w:lang w:bidi="ar-EG"/>
        </w:rPr>
        <w:t>.</w:t>
      </w:r>
      <w:r w:rsidRPr="009A0496">
        <w:rPr>
          <w:rFonts w:asciiTheme="majorBidi" w:eastAsiaTheme="minorHAnsi" w:hAnsiTheme="majorBidi" w:cstheme="majorBidi"/>
          <w:b/>
          <w:bCs/>
          <w:color w:val="000000" w:themeColor="text1"/>
          <w:sz w:val="20"/>
          <w:szCs w:val="20"/>
          <w:vertAlign w:val="superscript"/>
          <w:lang w:bidi="ar-EG"/>
        </w:rPr>
        <w:t>(</w:t>
      </w:r>
      <w:proofErr w:type="gramEnd"/>
      <w:r w:rsidRPr="009A0496">
        <w:rPr>
          <w:rFonts w:asciiTheme="majorBidi" w:eastAsiaTheme="minorHAnsi" w:hAnsiTheme="majorBidi" w:cstheme="majorBidi"/>
          <w:b/>
          <w:bCs/>
          <w:color w:val="000000" w:themeColor="text1"/>
          <w:sz w:val="20"/>
          <w:szCs w:val="20"/>
          <w:vertAlign w:val="superscript"/>
          <w:lang w:bidi="ar-EG"/>
        </w:rPr>
        <w:t>10)</w:t>
      </w:r>
    </w:p>
    <w:p w:rsidR="009A0496" w:rsidRPr="009A0496" w:rsidRDefault="009A0496" w:rsidP="009A0496">
      <w:pPr>
        <w:autoSpaceDE w:val="0"/>
        <w:autoSpaceDN w:val="0"/>
        <w:bidi w:val="0"/>
        <w:adjustRightInd w:val="0"/>
        <w:spacing w:after="0" w:line="240" w:lineRule="auto"/>
        <w:ind w:firstLine="426"/>
        <w:jc w:val="both"/>
        <w:rPr>
          <w:rFonts w:asciiTheme="majorBidi" w:eastAsiaTheme="minorHAnsi" w:hAnsiTheme="majorBidi" w:cstheme="majorBidi"/>
          <w:color w:val="000000" w:themeColor="text1"/>
          <w:sz w:val="20"/>
          <w:szCs w:val="20"/>
        </w:rPr>
      </w:pPr>
      <w:r w:rsidRPr="009A0496">
        <w:rPr>
          <w:rFonts w:asciiTheme="majorBidi" w:eastAsiaTheme="minorHAnsi" w:hAnsiTheme="majorBidi" w:cstheme="majorBidi"/>
          <w:color w:val="000000" w:themeColor="text1"/>
          <w:sz w:val="20"/>
          <w:szCs w:val="20"/>
          <w:lang w:bidi="ar-EG"/>
        </w:rPr>
        <w:t>Follow-up period ranged between 3 and 36 months, with a median of 14 months.</w:t>
      </w:r>
    </w:p>
    <w:p w:rsidR="009A0496" w:rsidRPr="009A0496" w:rsidRDefault="009A0496" w:rsidP="009A0496">
      <w:pPr>
        <w:bidi w:val="0"/>
        <w:spacing w:after="0" w:line="240" w:lineRule="auto"/>
        <w:ind w:firstLine="426"/>
        <w:jc w:val="both"/>
        <w:rPr>
          <w:rFonts w:asciiTheme="majorBidi" w:eastAsiaTheme="minorHAnsi" w:hAnsiTheme="majorBidi" w:cstheme="majorBidi"/>
          <w:color w:val="000000" w:themeColor="text1"/>
          <w:sz w:val="20"/>
          <w:szCs w:val="20"/>
          <w:lang w:bidi="ar-EG"/>
        </w:rPr>
      </w:pPr>
      <w:r w:rsidRPr="009A0496">
        <w:rPr>
          <w:rFonts w:asciiTheme="majorBidi" w:eastAsiaTheme="minorHAnsi" w:hAnsiTheme="majorBidi" w:cstheme="majorBidi"/>
          <w:color w:val="000000" w:themeColor="text1"/>
          <w:sz w:val="20"/>
          <w:szCs w:val="20"/>
          <w:lang w:bidi="ar-EG"/>
        </w:rPr>
        <w:t>Patients were treated according to national guidelines.</w:t>
      </w:r>
      <w:r w:rsidRPr="009A0496">
        <w:rPr>
          <w:rFonts w:asciiTheme="majorBidi" w:eastAsiaTheme="minorHAnsi" w:hAnsiTheme="majorBidi" w:cstheme="majorBidi"/>
          <w:b/>
          <w:bCs/>
          <w:color w:val="000000" w:themeColor="text1"/>
          <w:sz w:val="20"/>
          <w:szCs w:val="20"/>
          <w:vertAlign w:val="superscript"/>
          <w:lang w:bidi="ar-EG"/>
        </w:rPr>
        <w:t xml:space="preserve"> (16)</w:t>
      </w:r>
    </w:p>
    <w:p w:rsidR="009A0496" w:rsidRPr="009A0496" w:rsidRDefault="009A0496" w:rsidP="009A0496">
      <w:pPr>
        <w:bidi w:val="0"/>
        <w:spacing w:after="0" w:line="240" w:lineRule="auto"/>
        <w:ind w:firstLine="426"/>
        <w:jc w:val="both"/>
        <w:rPr>
          <w:rFonts w:asciiTheme="majorBidi" w:eastAsiaTheme="minorHAnsi" w:hAnsiTheme="majorBidi" w:cstheme="majorBidi"/>
          <w:color w:val="000000" w:themeColor="text1"/>
          <w:sz w:val="20"/>
          <w:szCs w:val="20"/>
          <w:lang w:bidi="ar-EG"/>
        </w:rPr>
      </w:pPr>
      <w:r w:rsidRPr="009A0496">
        <w:rPr>
          <w:rFonts w:asciiTheme="majorBidi" w:eastAsiaTheme="minorHAnsi" w:hAnsiTheme="majorBidi" w:cstheme="majorBidi"/>
          <w:color w:val="000000" w:themeColor="text1"/>
          <w:sz w:val="20"/>
          <w:szCs w:val="20"/>
          <w:lang w:bidi="ar-EG"/>
        </w:rPr>
        <w:t>Before every cycle of chemotherapy complete clinical examination and complete hematological work up were done and toxicity was evaluated according to NCI toxicity criteria.</w:t>
      </w:r>
      <w:r w:rsidRPr="009A0496">
        <w:rPr>
          <w:rFonts w:asciiTheme="majorBidi" w:eastAsiaTheme="minorHAnsi" w:hAnsiTheme="majorBidi" w:cstheme="majorBidi"/>
          <w:b/>
          <w:bCs/>
          <w:color w:val="000000" w:themeColor="text1"/>
          <w:sz w:val="20"/>
          <w:szCs w:val="20"/>
          <w:vertAlign w:val="superscript"/>
          <w:lang w:bidi="ar-EG"/>
        </w:rPr>
        <w:t xml:space="preserve"> (17)</w:t>
      </w:r>
    </w:p>
    <w:p w:rsidR="009A0496" w:rsidRPr="009A0496" w:rsidRDefault="009A0496" w:rsidP="009A0496">
      <w:pPr>
        <w:bidi w:val="0"/>
        <w:spacing w:after="0" w:line="240" w:lineRule="auto"/>
        <w:ind w:firstLine="426"/>
        <w:jc w:val="both"/>
        <w:rPr>
          <w:rFonts w:asciiTheme="majorBidi" w:eastAsiaTheme="minorHAnsi" w:hAnsiTheme="majorBidi" w:cstheme="majorBidi"/>
          <w:color w:val="000000" w:themeColor="text1"/>
          <w:sz w:val="20"/>
          <w:szCs w:val="20"/>
          <w:lang w:bidi="ar-EG"/>
        </w:rPr>
      </w:pPr>
      <w:r w:rsidRPr="009A0496">
        <w:rPr>
          <w:rFonts w:asciiTheme="majorBidi" w:eastAsiaTheme="minorHAnsi" w:hAnsiTheme="majorBidi" w:cstheme="majorBidi"/>
          <w:color w:val="000000" w:themeColor="text1"/>
          <w:sz w:val="20"/>
          <w:szCs w:val="20"/>
          <w:lang w:bidi="ar-EG"/>
        </w:rPr>
        <w:t xml:space="preserve">All the investigations done during the pretreatment period were repeated at mid and end of treatment and properly assessed. </w:t>
      </w:r>
    </w:p>
    <w:p w:rsidR="009A0496" w:rsidRPr="009A0496" w:rsidRDefault="009A0496" w:rsidP="009A0496">
      <w:pPr>
        <w:autoSpaceDE w:val="0"/>
        <w:autoSpaceDN w:val="0"/>
        <w:bidi w:val="0"/>
        <w:adjustRightInd w:val="0"/>
        <w:spacing w:after="0" w:line="240" w:lineRule="auto"/>
        <w:ind w:firstLine="426"/>
        <w:jc w:val="both"/>
        <w:rPr>
          <w:rFonts w:asciiTheme="majorBidi" w:eastAsia="Calibri" w:hAnsiTheme="majorBidi" w:cstheme="majorBidi"/>
          <w:color w:val="000000" w:themeColor="text1"/>
          <w:sz w:val="20"/>
          <w:szCs w:val="20"/>
        </w:rPr>
      </w:pPr>
      <w:r w:rsidRPr="009A0496">
        <w:rPr>
          <w:rFonts w:asciiTheme="majorBidi" w:eastAsiaTheme="minorHAnsi" w:hAnsiTheme="majorBidi" w:cstheme="majorBidi"/>
          <w:color w:val="000000" w:themeColor="text1"/>
          <w:sz w:val="20"/>
          <w:szCs w:val="20"/>
          <w:lang w:bidi="ar-EG"/>
        </w:rPr>
        <w:t>The response to treatment and evaluation of end point {overall survival (OS) and progression free survival (PFS)} were assessed according to the International Workshop criteria.</w:t>
      </w:r>
      <w:r w:rsidRPr="009A0496">
        <w:rPr>
          <w:rFonts w:asciiTheme="majorBidi" w:eastAsiaTheme="minorHAnsi" w:hAnsiTheme="majorBidi" w:cstheme="majorBidi"/>
          <w:i/>
          <w:iCs/>
          <w:color w:val="000000" w:themeColor="text1"/>
          <w:sz w:val="20"/>
          <w:szCs w:val="20"/>
          <w:lang w:bidi="ar-EG"/>
        </w:rPr>
        <w:t xml:space="preserve"> </w:t>
      </w:r>
      <w:r w:rsidRPr="009A0496">
        <w:rPr>
          <w:rFonts w:asciiTheme="majorBidi" w:eastAsiaTheme="minorHAnsi" w:hAnsiTheme="majorBidi" w:cstheme="majorBidi"/>
          <w:b/>
          <w:bCs/>
          <w:color w:val="000000" w:themeColor="text1"/>
          <w:sz w:val="20"/>
          <w:szCs w:val="20"/>
          <w:vertAlign w:val="superscript"/>
          <w:lang w:bidi="ar-EG"/>
        </w:rPr>
        <w:t>(18)</w:t>
      </w:r>
    </w:p>
    <w:p w:rsidR="009A0496" w:rsidRPr="009A0496" w:rsidRDefault="009A0496" w:rsidP="009A0496">
      <w:pPr>
        <w:autoSpaceDE w:val="0"/>
        <w:autoSpaceDN w:val="0"/>
        <w:bidi w:val="0"/>
        <w:adjustRightInd w:val="0"/>
        <w:spacing w:after="0" w:line="240" w:lineRule="auto"/>
        <w:ind w:firstLine="426"/>
        <w:jc w:val="both"/>
        <w:rPr>
          <w:rFonts w:asciiTheme="majorBidi" w:eastAsia="Calibri" w:hAnsiTheme="majorBidi" w:cstheme="majorBidi"/>
          <w:color w:val="000000" w:themeColor="text1"/>
          <w:sz w:val="20"/>
          <w:szCs w:val="20"/>
        </w:rPr>
      </w:pPr>
      <w:r w:rsidRPr="009A0496">
        <w:rPr>
          <w:rFonts w:asciiTheme="majorBidi" w:eastAsia="Calibri" w:hAnsiTheme="majorBidi" w:cstheme="majorBidi"/>
          <w:color w:val="000000" w:themeColor="text1"/>
          <w:sz w:val="20"/>
          <w:szCs w:val="20"/>
        </w:rPr>
        <w:t>Overall-survival was defined as the time from diagnosis to the date of death from any cause or last follow-up. Progression-free survival, which was defined as the time from study to documented disease progression or death.</w:t>
      </w:r>
    </w:p>
    <w:p w:rsidR="009A0496" w:rsidRPr="009A0496" w:rsidRDefault="009A0496" w:rsidP="009A0496">
      <w:pPr>
        <w:autoSpaceDE w:val="0"/>
        <w:autoSpaceDN w:val="0"/>
        <w:bidi w:val="0"/>
        <w:adjustRightInd w:val="0"/>
        <w:spacing w:after="0" w:line="240" w:lineRule="auto"/>
        <w:jc w:val="both"/>
        <w:rPr>
          <w:rFonts w:asciiTheme="majorBidi" w:eastAsia="Calibri" w:hAnsiTheme="majorBidi" w:cstheme="majorBidi"/>
          <w:color w:val="000000" w:themeColor="text1"/>
          <w:sz w:val="20"/>
          <w:szCs w:val="20"/>
          <w:rtl/>
        </w:rPr>
      </w:pPr>
      <w:r w:rsidRPr="009A0496">
        <w:rPr>
          <w:rFonts w:asciiTheme="majorBidi" w:eastAsiaTheme="minorHAnsi" w:hAnsiTheme="majorBidi" w:cstheme="majorBidi"/>
          <w:b/>
          <w:bCs/>
          <w:color w:val="000000" w:themeColor="text1"/>
          <w:sz w:val="20"/>
          <w:szCs w:val="20"/>
          <w:lang w:bidi="ar-EG"/>
        </w:rPr>
        <w:t>Statistical analysis</w:t>
      </w:r>
    </w:p>
    <w:p w:rsidR="009A0496" w:rsidRPr="009A0496" w:rsidRDefault="009A0496" w:rsidP="009A0496">
      <w:pPr>
        <w:bidi w:val="0"/>
        <w:spacing w:after="0" w:line="240" w:lineRule="auto"/>
        <w:ind w:firstLine="426"/>
        <w:jc w:val="both"/>
        <w:rPr>
          <w:rFonts w:asciiTheme="majorBidi" w:eastAsia="Times New Roman" w:hAnsiTheme="majorBidi" w:cstheme="majorBidi"/>
          <w:color w:val="000000" w:themeColor="text1"/>
          <w:sz w:val="20"/>
          <w:szCs w:val="20"/>
          <w:lang w:bidi="ar-EG"/>
        </w:rPr>
      </w:pPr>
      <w:r w:rsidRPr="009A0496">
        <w:rPr>
          <w:rFonts w:asciiTheme="majorBidi" w:eastAsia="Times New Roman" w:hAnsiTheme="majorBidi" w:cstheme="majorBidi"/>
          <w:color w:val="000000" w:themeColor="text1"/>
          <w:sz w:val="20"/>
          <w:szCs w:val="20"/>
          <w:lang w:bidi="ar-EG"/>
        </w:rPr>
        <w:t>The data were analyzed using SPSS 21.0 software package. The correlation of</w:t>
      </w:r>
      <w:r w:rsidRPr="009A0496">
        <w:rPr>
          <w:rFonts w:asciiTheme="majorBidi" w:eastAsia="Times New Roman" w:hAnsiTheme="majorBidi" w:cstheme="majorBidi"/>
          <w:color w:val="000000" w:themeColor="text1"/>
          <w:sz w:val="20"/>
          <w:szCs w:val="20"/>
        </w:rPr>
        <w:t xml:space="preserve"> </w:t>
      </w:r>
      <w:r w:rsidRPr="009A0496">
        <w:rPr>
          <w:rFonts w:asciiTheme="majorBidi" w:eastAsia="Times New Roman" w:hAnsiTheme="majorBidi" w:cstheme="majorBidi"/>
          <w:color w:val="000000" w:themeColor="text1"/>
          <w:sz w:val="20"/>
          <w:szCs w:val="20"/>
          <w:lang w:bidi="ar-EG"/>
        </w:rPr>
        <w:t xml:space="preserve">PD-1 and PDL-1 expression with different </w:t>
      </w:r>
      <w:proofErr w:type="spellStart"/>
      <w:r w:rsidRPr="009A0496">
        <w:rPr>
          <w:rFonts w:asciiTheme="majorBidi" w:eastAsia="Times New Roman" w:hAnsiTheme="majorBidi" w:cstheme="majorBidi"/>
          <w:color w:val="000000" w:themeColor="text1"/>
          <w:sz w:val="20"/>
          <w:szCs w:val="20"/>
          <w:lang w:bidi="ar-EG"/>
        </w:rPr>
        <w:t>clinicopathologic</w:t>
      </w:r>
      <w:proofErr w:type="spellEnd"/>
      <w:r w:rsidRPr="009A0496">
        <w:rPr>
          <w:rFonts w:asciiTheme="majorBidi" w:eastAsia="Times New Roman" w:hAnsiTheme="majorBidi" w:cstheme="majorBidi"/>
          <w:color w:val="000000" w:themeColor="text1"/>
          <w:sz w:val="20"/>
          <w:szCs w:val="20"/>
          <w:lang w:bidi="ar-EG"/>
        </w:rPr>
        <w:t xml:space="preserve"> characteristics was analyzed with chi-square test. The Kaplan–Meier method and Log-rank test were used to </w:t>
      </w:r>
      <w:r w:rsidRPr="009A0496">
        <w:rPr>
          <w:rFonts w:asciiTheme="majorBidi" w:eastAsia="Times New Roman" w:hAnsiTheme="majorBidi" w:cstheme="majorBidi"/>
          <w:color w:val="000000" w:themeColor="text1"/>
          <w:sz w:val="20"/>
          <w:szCs w:val="20"/>
          <w:lang w:bidi="ar-EG"/>
        </w:rPr>
        <w:lastRenderedPageBreak/>
        <w:t>analyze the correlation of patient survival with PD-1 and PDL-1 expression. A significance level of P &lt; 0.05 was used.</w:t>
      </w:r>
    </w:p>
    <w:p w:rsidR="000E78AB" w:rsidRPr="000E78AB" w:rsidRDefault="000E78AB" w:rsidP="000E78AB">
      <w:pPr>
        <w:bidi w:val="0"/>
        <w:snapToGrid w:val="0"/>
        <w:spacing w:after="0" w:line="240" w:lineRule="auto"/>
        <w:ind w:firstLine="425"/>
        <w:jc w:val="both"/>
        <w:rPr>
          <w:rFonts w:ascii="Times New Roman" w:hAnsi="Times New Roman" w:cs="Times New Roman"/>
          <w:color w:val="000000" w:themeColor="text1"/>
          <w:sz w:val="20"/>
          <w:szCs w:val="20"/>
          <w:lang w:eastAsia="zh-CN" w:bidi="ar-EG"/>
        </w:rPr>
      </w:pPr>
    </w:p>
    <w:p w:rsidR="00A20805" w:rsidRPr="000E78AB" w:rsidRDefault="009A0496" w:rsidP="003B3D6D">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 </w:t>
      </w:r>
      <w:r w:rsidR="009A426B" w:rsidRPr="000E78AB">
        <w:rPr>
          <w:rFonts w:ascii="Times New Roman" w:hAnsi="Times New Roman" w:cs="Times New Roman"/>
          <w:b/>
          <w:bCs/>
          <w:color w:val="000000" w:themeColor="text1"/>
          <w:sz w:val="20"/>
          <w:szCs w:val="20"/>
        </w:rPr>
        <w:t>Results</w:t>
      </w:r>
    </w:p>
    <w:p w:rsidR="00247A9B" w:rsidRPr="009A0496" w:rsidRDefault="00247A9B" w:rsidP="003B3D6D">
      <w:pPr>
        <w:autoSpaceDE w:val="0"/>
        <w:autoSpaceDN w:val="0"/>
        <w:bidi w:val="0"/>
        <w:adjustRightInd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0E78AB">
        <w:rPr>
          <w:rFonts w:ascii="Times New Roman" w:hAnsi="Times New Roman" w:cs="Times New Roman"/>
          <w:b/>
          <w:bCs/>
          <w:color w:val="000000" w:themeColor="text1"/>
          <w:sz w:val="20"/>
          <w:szCs w:val="20"/>
        </w:rPr>
        <w:t>Clinicopathological</w:t>
      </w:r>
      <w:proofErr w:type="spellEnd"/>
      <w:r w:rsidR="000E78AB" w:rsidRPr="000E78AB">
        <w:rPr>
          <w:rFonts w:ascii="Times New Roman" w:hAnsi="Times New Roman" w:cs="Times New Roman" w:hint="eastAsia"/>
          <w:b/>
          <w:bCs/>
          <w:color w:val="000000" w:themeColor="text1"/>
          <w:sz w:val="20"/>
          <w:szCs w:val="20"/>
          <w:lang w:eastAsia="zh-CN"/>
        </w:rPr>
        <w:t xml:space="preserve"> </w:t>
      </w:r>
      <w:r w:rsidRPr="000E78AB">
        <w:rPr>
          <w:rFonts w:ascii="Times New Roman" w:hAnsi="Times New Roman" w:cs="Times New Roman"/>
          <w:b/>
          <w:bCs/>
          <w:color w:val="000000" w:themeColor="text1"/>
          <w:sz w:val="20"/>
          <w:szCs w:val="20"/>
        </w:rPr>
        <w:t>characteristics of the patients</w:t>
      </w:r>
      <w:r w:rsidR="008849AE" w:rsidRPr="000E78AB">
        <w:rPr>
          <w:rFonts w:ascii="Times New Roman" w:hAnsi="Times New Roman" w:cs="Times New Roman"/>
          <w:b/>
          <w:bCs/>
          <w:color w:val="000000" w:themeColor="text1"/>
          <w:sz w:val="20"/>
          <w:szCs w:val="20"/>
        </w:rPr>
        <w:t xml:space="preserve">: </w:t>
      </w:r>
      <w:r w:rsidR="008849AE" w:rsidRPr="009A0496">
        <w:rPr>
          <w:rFonts w:ascii="Times New Roman" w:hAnsi="Times New Roman" w:cs="Times New Roman"/>
          <w:b/>
          <w:bCs/>
          <w:color w:val="000000" w:themeColor="text1"/>
          <w:sz w:val="20"/>
          <w:szCs w:val="20"/>
        </w:rPr>
        <w:t>T</w:t>
      </w:r>
      <w:r w:rsidRPr="009A0496">
        <w:rPr>
          <w:rFonts w:ascii="Times New Roman" w:hAnsi="Times New Roman" w:cs="Times New Roman"/>
          <w:b/>
          <w:bCs/>
          <w:color w:val="000000" w:themeColor="text1"/>
          <w:sz w:val="20"/>
          <w:szCs w:val="20"/>
        </w:rPr>
        <w:t>able (1).</w:t>
      </w:r>
    </w:p>
    <w:p w:rsidR="00247A9B" w:rsidRPr="000E78AB" w:rsidRDefault="00247A9B" w:rsidP="003B3D6D">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0E78AB">
        <w:rPr>
          <w:rFonts w:ascii="Times New Roman" w:eastAsia="Times New Roman" w:hAnsi="Times New Roman" w:cs="Times New Roman"/>
          <w:color w:val="000000" w:themeColor="text1"/>
          <w:sz w:val="20"/>
          <w:szCs w:val="20"/>
        </w:rPr>
        <w:t xml:space="preserve">This study includes Sixty nine histologically confirmed newly diagnosed adult patients with </w:t>
      </w:r>
      <w:proofErr w:type="spellStart"/>
      <w:r w:rsidRPr="000E78AB">
        <w:rPr>
          <w:rFonts w:ascii="Times New Roman" w:eastAsia="Times New Roman" w:hAnsi="Times New Roman" w:cs="Times New Roman"/>
          <w:color w:val="000000" w:themeColor="text1"/>
          <w:sz w:val="20"/>
          <w:szCs w:val="20"/>
        </w:rPr>
        <w:t>cHL</w:t>
      </w:r>
      <w:proofErr w:type="spellEnd"/>
      <w:r w:rsidRPr="000E78AB">
        <w:rPr>
          <w:rFonts w:ascii="Times New Roman" w:eastAsia="Times New Roman" w:hAnsi="Times New Roman" w:cs="Times New Roman"/>
          <w:color w:val="000000" w:themeColor="text1"/>
          <w:sz w:val="20"/>
          <w:szCs w:val="20"/>
        </w:rPr>
        <w:t xml:space="preserve">, the age ranged between 18-73 years, </w:t>
      </w:r>
      <w:r w:rsidRPr="000E78AB">
        <w:rPr>
          <w:rFonts w:ascii="Times New Roman" w:eastAsia="Calibri" w:hAnsi="Times New Roman" w:cs="Times New Roman"/>
          <w:color w:val="000000" w:themeColor="text1"/>
          <w:sz w:val="20"/>
          <w:szCs w:val="20"/>
        </w:rPr>
        <w:t>most patients were males (62.32%)</w:t>
      </w:r>
      <w:r w:rsidRPr="000E78AB">
        <w:rPr>
          <w:rFonts w:ascii="Times New Roman" w:eastAsia="Calibri" w:hAnsi="Times New Roman" w:cs="Times New Roman"/>
          <w:color w:val="000000" w:themeColor="text1"/>
          <w:sz w:val="20"/>
          <w:szCs w:val="20"/>
          <w:lang w:bidi="ar-EG"/>
        </w:rPr>
        <w:t>.</w:t>
      </w:r>
      <w:r w:rsidRPr="000E78AB">
        <w:rPr>
          <w:rFonts w:ascii="Times New Roman" w:eastAsia="Times New Roman" w:hAnsi="Times New Roman" w:cs="Times New Roman"/>
          <w:color w:val="000000" w:themeColor="text1"/>
          <w:sz w:val="20"/>
          <w:szCs w:val="20"/>
          <w:lang w:bidi="ar-EG"/>
        </w:rPr>
        <w:t xml:space="preserve"> Performance status 0-1 by ECOG scale represented the majority of the patients. Nodular sclerosis constituted 60.86% of all patients followed by mixed cellularity</w:t>
      </w:r>
      <w:proofErr w:type="gramStart"/>
      <w:r w:rsidRPr="000E78AB">
        <w:rPr>
          <w:rFonts w:ascii="Times New Roman" w:eastAsia="Times New Roman" w:hAnsi="Times New Roman" w:cs="Times New Roman"/>
          <w:color w:val="000000" w:themeColor="text1"/>
          <w:sz w:val="20"/>
          <w:szCs w:val="20"/>
          <w:lang w:bidi="ar-EG"/>
        </w:rPr>
        <w:t>,</w:t>
      </w:r>
      <w:r w:rsidRPr="000E78AB">
        <w:rPr>
          <w:rFonts w:ascii="Times New Roman" w:eastAsia="Times New Roman" w:hAnsi="Times New Roman" w:cs="Times New Roman"/>
          <w:color w:val="000000" w:themeColor="text1"/>
          <w:sz w:val="20"/>
          <w:szCs w:val="20"/>
        </w:rPr>
        <w:t>38</w:t>
      </w:r>
      <w:proofErr w:type="gramEnd"/>
      <w:r w:rsidRPr="000E78AB">
        <w:rPr>
          <w:rFonts w:ascii="Times New Roman" w:eastAsia="Times New Roman" w:hAnsi="Times New Roman" w:cs="Times New Roman"/>
          <w:color w:val="000000" w:themeColor="text1"/>
          <w:sz w:val="20"/>
          <w:szCs w:val="20"/>
        </w:rPr>
        <w:t xml:space="preserve"> patients developed relapse and 28.9% of patients were died.</w:t>
      </w:r>
    </w:p>
    <w:p w:rsidR="008849AE" w:rsidRPr="000E78AB" w:rsidRDefault="008849AE" w:rsidP="008849AE">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0E78AB">
        <w:rPr>
          <w:rFonts w:ascii="Times New Roman" w:eastAsia="Times New Roman" w:hAnsi="Times New Roman" w:cs="Times New Roman"/>
          <w:color w:val="000000" w:themeColor="text1"/>
          <w:sz w:val="20"/>
          <w:szCs w:val="20"/>
        </w:rPr>
        <w:t>Out of 69 patients, 81.2% had low PD-1 &lt;10% and 41 patients (59.4%) had low PD-L1 &lt;5% while 13 patients (18.8%) had high PD-1 ≥10% and 28 patients (40.6 %) had high PD-L1 ≥5</w:t>
      </w:r>
      <w:r w:rsidR="009A0496">
        <w:rPr>
          <w:rFonts w:ascii="Times New Roman" w:eastAsia="Times New Roman" w:hAnsi="Times New Roman" w:cs="Times New Roman"/>
          <w:color w:val="000000" w:themeColor="text1"/>
          <w:sz w:val="20"/>
          <w:szCs w:val="20"/>
        </w:rPr>
        <w:t xml:space="preserve"> </w:t>
      </w:r>
      <w:r w:rsidRPr="000E78AB">
        <w:rPr>
          <w:rFonts w:ascii="Times New Roman" w:eastAsia="Times New Roman" w:hAnsi="Times New Roman" w:cs="Times New Roman"/>
          <w:color w:val="000000" w:themeColor="text1"/>
          <w:sz w:val="20"/>
          <w:szCs w:val="20"/>
        </w:rPr>
        <w:t>(Figure 1, 2).</w:t>
      </w:r>
    </w:p>
    <w:p w:rsidR="00C35610" w:rsidRPr="000E78AB" w:rsidRDefault="00C35610" w:rsidP="003B3D6D">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rPr>
      </w:pPr>
    </w:p>
    <w:p w:rsidR="008F247C" w:rsidRPr="000E78AB" w:rsidRDefault="009A0496" w:rsidP="009A426B">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lang w:eastAsia="zh-CN"/>
        </w:rPr>
      </w:pPr>
      <w:r>
        <w:rPr>
          <w:noProof/>
        </w:rPr>
        <w:drawing>
          <wp:inline distT="0" distB="0" distL="0" distR="0" wp14:anchorId="3E80BC30" wp14:editId="4BD89C5D">
            <wp:extent cx="2798859" cy="1988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04427" cy="1992002"/>
                    </a:xfrm>
                    <a:prstGeom prst="rect">
                      <a:avLst/>
                    </a:prstGeom>
                  </pic:spPr>
                </pic:pic>
              </a:graphicData>
            </a:graphic>
          </wp:inline>
        </w:drawing>
      </w:r>
    </w:p>
    <w:p w:rsidR="008F247C" w:rsidRPr="000E78AB" w:rsidRDefault="008F247C" w:rsidP="003B3D6D">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rPr>
      </w:pPr>
    </w:p>
    <w:p w:rsidR="00765454" w:rsidRPr="000E78AB" w:rsidRDefault="009A0496" w:rsidP="009A426B">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lang w:eastAsia="zh-CN"/>
        </w:rPr>
      </w:pPr>
      <w:r>
        <w:rPr>
          <w:noProof/>
        </w:rPr>
        <w:drawing>
          <wp:inline distT="0" distB="0" distL="0" distR="0" wp14:anchorId="34C2A560" wp14:editId="39E75F2C">
            <wp:extent cx="2797810" cy="18158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97810" cy="1815849"/>
                    </a:xfrm>
                    <a:prstGeom prst="rect">
                      <a:avLst/>
                    </a:prstGeom>
                  </pic:spPr>
                </pic:pic>
              </a:graphicData>
            </a:graphic>
          </wp:inline>
        </w:drawing>
      </w:r>
    </w:p>
    <w:p w:rsidR="00765454" w:rsidRPr="000E78AB" w:rsidRDefault="00FB7523" w:rsidP="009A426B">
      <w:pPr>
        <w:bidi w:val="0"/>
        <w:snapToGrid w:val="0"/>
        <w:spacing w:after="0" w:line="240" w:lineRule="auto"/>
        <w:jc w:val="both"/>
        <w:rPr>
          <w:rFonts w:ascii="Times New Roman" w:hAnsi="Times New Roman" w:cs="Times New Roman"/>
          <w:color w:val="000000" w:themeColor="text1"/>
          <w:sz w:val="20"/>
          <w:szCs w:val="20"/>
        </w:rPr>
      </w:pPr>
      <w:r w:rsidRPr="000E78AB">
        <w:rPr>
          <w:rFonts w:ascii="Times New Roman" w:hAnsi="Times New Roman" w:cs="Times New Roman"/>
          <w:b/>
          <w:bCs/>
          <w:color w:val="000000" w:themeColor="text1"/>
          <w:sz w:val="20"/>
          <w:szCs w:val="20"/>
        </w:rPr>
        <w:t>Figure</w:t>
      </w:r>
      <w:r w:rsidR="00AA6F64" w:rsidRPr="000E78AB">
        <w:rPr>
          <w:rFonts w:ascii="Times New Roman" w:hAnsi="Times New Roman" w:cs="Times New Roman"/>
          <w:b/>
          <w:bCs/>
          <w:color w:val="000000" w:themeColor="text1"/>
          <w:sz w:val="20"/>
          <w:szCs w:val="20"/>
        </w:rPr>
        <w:t xml:space="preserve"> (</w:t>
      </w:r>
      <w:r w:rsidRPr="000E78AB">
        <w:rPr>
          <w:rFonts w:ascii="Times New Roman" w:hAnsi="Times New Roman" w:cs="Times New Roman"/>
          <w:b/>
          <w:bCs/>
          <w:color w:val="000000" w:themeColor="text1"/>
          <w:sz w:val="20"/>
          <w:szCs w:val="20"/>
        </w:rPr>
        <w:t>1</w:t>
      </w:r>
      <w:r w:rsidR="00AA6F64" w:rsidRPr="000E78AB">
        <w:rPr>
          <w:rFonts w:ascii="Times New Roman" w:hAnsi="Times New Roman" w:cs="Times New Roman"/>
          <w:b/>
          <w:bCs/>
          <w:color w:val="000000" w:themeColor="text1"/>
          <w:sz w:val="20"/>
          <w:szCs w:val="20"/>
        </w:rPr>
        <w:t>)</w:t>
      </w:r>
      <w:r w:rsidR="00C35610" w:rsidRPr="000E78AB">
        <w:rPr>
          <w:rFonts w:ascii="Times New Roman" w:hAnsi="Times New Roman" w:cs="Times New Roman"/>
          <w:b/>
          <w:bCs/>
          <w:color w:val="000000" w:themeColor="text1"/>
          <w:sz w:val="20"/>
          <w:szCs w:val="20"/>
        </w:rPr>
        <w:t xml:space="preserve">: </w:t>
      </w:r>
      <w:r w:rsidR="00C35610" w:rsidRPr="000E78AB">
        <w:rPr>
          <w:rFonts w:ascii="Times New Roman" w:eastAsia="Calibri" w:hAnsi="Times New Roman" w:cs="Times New Roman"/>
          <w:color w:val="000000" w:themeColor="text1"/>
          <w:sz w:val="20"/>
          <w:szCs w:val="20"/>
        </w:rPr>
        <w:t>(</w:t>
      </w:r>
      <w:r w:rsidR="00765454" w:rsidRPr="000E78AB">
        <w:rPr>
          <w:rFonts w:ascii="Times New Roman" w:eastAsia="Calibri" w:hAnsi="Times New Roman" w:cs="Times New Roman"/>
          <w:color w:val="000000" w:themeColor="text1"/>
          <w:sz w:val="20"/>
          <w:szCs w:val="20"/>
        </w:rPr>
        <w:t xml:space="preserve">A) Hodgkin lymphoma showing high PD-1 </w:t>
      </w:r>
      <w:proofErr w:type="spellStart"/>
      <w:r w:rsidR="00765454" w:rsidRPr="000E78AB">
        <w:rPr>
          <w:rFonts w:ascii="Times New Roman" w:eastAsia="Calibri" w:hAnsi="Times New Roman" w:cs="Times New Roman"/>
          <w:color w:val="000000" w:themeColor="text1"/>
          <w:sz w:val="20"/>
          <w:szCs w:val="20"/>
        </w:rPr>
        <w:t>immunohistochemical</w:t>
      </w:r>
      <w:proofErr w:type="spellEnd"/>
      <w:r w:rsidR="00765454" w:rsidRPr="000E78AB">
        <w:rPr>
          <w:rFonts w:ascii="Times New Roman" w:eastAsia="Calibri" w:hAnsi="Times New Roman" w:cs="Times New Roman"/>
          <w:color w:val="000000" w:themeColor="text1"/>
          <w:sz w:val="20"/>
          <w:szCs w:val="20"/>
        </w:rPr>
        <w:t xml:space="preserve"> expression (Streptavidin Biotin× 200). (B) Hodgkin lymphoma showing low PD-1 </w:t>
      </w:r>
      <w:proofErr w:type="spellStart"/>
      <w:r w:rsidR="00765454" w:rsidRPr="000E78AB">
        <w:rPr>
          <w:rFonts w:ascii="Times New Roman" w:eastAsia="Calibri" w:hAnsi="Times New Roman" w:cs="Times New Roman"/>
          <w:color w:val="000000" w:themeColor="text1"/>
          <w:sz w:val="20"/>
          <w:szCs w:val="20"/>
        </w:rPr>
        <w:t>immunohistochemical</w:t>
      </w:r>
      <w:proofErr w:type="spellEnd"/>
      <w:r w:rsidR="00765454" w:rsidRPr="000E78AB">
        <w:rPr>
          <w:rFonts w:ascii="Times New Roman" w:eastAsia="Calibri" w:hAnsi="Times New Roman" w:cs="Times New Roman"/>
          <w:color w:val="000000" w:themeColor="text1"/>
          <w:sz w:val="20"/>
          <w:szCs w:val="20"/>
        </w:rPr>
        <w:t xml:space="preserve"> expression (Streptavidin Biotin× 400).</w:t>
      </w:r>
    </w:p>
    <w:p w:rsidR="00C35610" w:rsidRPr="000E78AB" w:rsidRDefault="00C35610" w:rsidP="003B3D6D">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themeColor="text1"/>
          <w:sz w:val="20"/>
          <w:szCs w:val="20"/>
        </w:rPr>
      </w:pPr>
    </w:p>
    <w:p w:rsidR="00765454" w:rsidRPr="000E78AB" w:rsidRDefault="009A0496" w:rsidP="009A426B">
      <w:pPr>
        <w:autoSpaceDE w:val="0"/>
        <w:autoSpaceDN w:val="0"/>
        <w:bidi w:val="0"/>
        <w:adjustRightInd w:val="0"/>
        <w:snapToGrid w:val="0"/>
        <w:spacing w:after="0" w:line="240" w:lineRule="auto"/>
        <w:jc w:val="both"/>
        <w:rPr>
          <w:rFonts w:ascii="Times New Roman" w:eastAsia="Calibri" w:hAnsi="Times New Roman" w:cs="Times New Roman"/>
          <w:b/>
          <w:color w:val="000000" w:themeColor="text1"/>
          <w:sz w:val="20"/>
          <w:szCs w:val="20"/>
        </w:rPr>
      </w:pPr>
      <w:r>
        <w:rPr>
          <w:noProof/>
        </w:rPr>
        <w:lastRenderedPageBreak/>
        <w:drawing>
          <wp:inline distT="0" distB="0" distL="0" distR="0" wp14:anchorId="652CE1CA" wp14:editId="05DF007E">
            <wp:extent cx="2797810" cy="2078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97810" cy="2078820"/>
                    </a:xfrm>
                    <a:prstGeom prst="rect">
                      <a:avLst/>
                    </a:prstGeom>
                  </pic:spPr>
                </pic:pic>
              </a:graphicData>
            </a:graphic>
          </wp:inline>
        </w:drawing>
      </w:r>
    </w:p>
    <w:p w:rsidR="008849AE" w:rsidRPr="000E78AB" w:rsidRDefault="008849AE" w:rsidP="008849AE">
      <w:pPr>
        <w:autoSpaceDE w:val="0"/>
        <w:autoSpaceDN w:val="0"/>
        <w:bidi w:val="0"/>
        <w:adjustRightInd w:val="0"/>
        <w:snapToGrid w:val="0"/>
        <w:spacing w:after="0" w:line="240" w:lineRule="auto"/>
        <w:jc w:val="center"/>
        <w:rPr>
          <w:rFonts w:ascii="Times New Roman" w:hAnsi="Times New Roman" w:cs="Times New Roman"/>
          <w:b/>
          <w:color w:val="000000" w:themeColor="text1"/>
          <w:sz w:val="20"/>
          <w:szCs w:val="20"/>
          <w:lang w:eastAsia="zh-CN"/>
        </w:rPr>
      </w:pPr>
    </w:p>
    <w:p w:rsidR="00765454" w:rsidRPr="000E78AB" w:rsidRDefault="009A0496" w:rsidP="009A426B">
      <w:pPr>
        <w:autoSpaceDE w:val="0"/>
        <w:autoSpaceDN w:val="0"/>
        <w:bidi w:val="0"/>
        <w:adjustRightInd w:val="0"/>
        <w:snapToGrid w:val="0"/>
        <w:spacing w:after="0" w:line="240" w:lineRule="auto"/>
        <w:jc w:val="both"/>
        <w:rPr>
          <w:rFonts w:ascii="Times New Roman" w:hAnsi="Times New Roman" w:cs="Times New Roman"/>
          <w:color w:val="000000" w:themeColor="text1"/>
          <w:sz w:val="20"/>
          <w:szCs w:val="20"/>
          <w:lang w:eastAsia="zh-CN"/>
        </w:rPr>
      </w:pPr>
      <w:r>
        <w:rPr>
          <w:noProof/>
        </w:rPr>
        <w:drawing>
          <wp:inline distT="0" distB="0" distL="0" distR="0" wp14:anchorId="66247F0A" wp14:editId="764F1B9E">
            <wp:extent cx="2797810" cy="19726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97810" cy="1972613"/>
                    </a:xfrm>
                    <a:prstGeom prst="rect">
                      <a:avLst/>
                    </a:prstGeom>
                  </pic:spPr>
                </pic:pic>
              </a:graphicData>
            </a:graphic>
          </wp:inline>
        </w:drawing>
      </w:r>
    </w:p>
    <w:p w:rsidR="00765454" w:rsidRPr="000E78AB" w:rsidRDefault="00FB7523" w:rsidP="009A426B">
      <w:pPr>
        <w:bidi w:val="0"/>
        <w:snapToGrid w:val="0"/>
        <w:spacing w:after="0" w:line="240" w:lineRule="auto"/>
        <w:jc w:val="both"/>
        <w:rPr>
          <w:rFonts w:ascii="Times New Roman" w:eastAsia="Calibri" w:hAnsi="Times New Roman" w:cs="Times New Roman"/>
          <w:color w:val="000000" w:themeColor="text1"/>
          <w:sz w:val="20"/>
          <w:szCs w:val="20"/>
        </w:rPr>
      </w:pPr>
      <w:r w:rsidRPr="000E78AB">
        <w:rPr>
          <w:rFonts w:ascii="Times New Roman" w:hAnsi="Times New Roman" w:cs="Times New Roman"/>
          <w:b/>
          <w:bCs/>
          <w:color w:val="000000" w:themeColor="text1"/>
          <w:sz w:val="20"/>
          <w:szCs w:val="20"/>
        </w:rPr>
        <w:t xml:space="preserve">Figure </w:t>
      </w:r>
      <w:r w:rsidR="00BC444C" w:rsidRPr="000E78AB">
        <w:rPr>
          <w:rFonts w:ascii="Times New Roman" w:hAnsi="Times New Roman" w:cs="Times New Roman"/>
          <w:b/>
          <w:bCs/>
          <w:color w:val="000000" w:themeColor="text1"/>
          <w:sz w:val="20"/>
          <w:szCs w:val="20"/>
        </w:rPr>
        <w:t>(</w:t>
      </w:r>
      <w:r w:rsidRPr="000E78AB">
        <w:rPr>
          <w:rFonts w:ascii="Times New Roman" w:hAnsi="Times New Roman" w:cs="Times New Roman"/>
          <w:b/>
          <w:bCs/>
          <w:color w:val="000000" w:themeColor="text1"/>
          <w:sz w:val="20"/>
          <w:szCs w:val="20"/>
        </w:rPr>
        <w:t>2</w:t>
      </w:r>
      <w:r w:rsidR="00BC444C" w:rsidRPr="000E78AB">
        <w:rPr>
          <w:rFonts w:ascii="Times New Roman" w:hAnsi="Times New Roman" w:cs="Times New Roman"/>
          <w:b/>
          <w:bCs/>
          <w:color w:val="000000" w:themeColor="text1"/>
          <w:sz w:val="20"/>
          <w:szCs w:val="20"/>
        </w:rPr>
        <w:t>)</w:t>
      </w:r>
      <w:r w:rsidRPr="000E78AB">
        <w:rPr>
          <w:rFonts w:ascii="Times New Roman" w:hAnsi="Times New Roman" w:cs="Times New Roman"/>
          <w:b/>
          <w:bCs/>
          <w:color w:val="000000" w:themeColor="text1"/>
          <w:sz w:val="20"/>
          <w:szCs w:val="20"/>
        </w:rPr>
        <w:t xml:space="preserve">: </w:t>
      </w:r>
      <w:r w:rsidR="001B50C4" w:rsidRPr="000E78AB">
        <w:rPr>
          <w:rFonts w:ascii="Times New Roman" w:hAnsi="Times New Roman" w:cs="Times New Roman"/>
          <w:b/>
          <w:bCs/>
          <w:color w:val="000000" w:themeColor="text1"/>
          <w:sz w:val="20"/>
          <w:szCs w:val="20"/>
        </w:rPr>
        <w:t>(</w:t>
      </w:r>
      <w:r w:rsidR="00765454" w:rsidRPr="000E78AB">
        <w:rPr>
          <w:rFonts w:ascii="Times New Roman" w:eastAsia="Calibri" w:hAnsi="Times New Roman" w:cs="Times New Roman"/>
          <w:color w:val="000000" w:themeColor="text1"/>
          <w:sz w:val="20"/>
          <w:szCs w:val="20"/>
        </w:rPr>
        <w:t xml:space="preserve">A) Hodgkin lymphoma showing high PDL-1 </w:t>
      </w:r>
      <w:proofErr w:type="spellStart"/>
      <w:r w:rsidR="00765454" w:rsidRPr="000E78AB">
        <w:rPr>
          <w:rFonts w:ascii="Times New Roman" w:eastAsia="Calibri" w:hAnsi="Times New Roman" w:cs="Times New Roman"/>
          <w:color w:val="000000" w:themeColor="text1"/>
          <w:sz w:val="20"/>
          <w:szCs w:val="20"/>
        </w:rPr>
        <w:t>immunohistochmical</w:t>
      </w:r>
      <w:proofErr w:type="spellEnd"/>
      <w:r w:rsidR="00765454" w:rsidRPr="000E78AB">
        <w:rPr>
          <w:rFonts w:ascii="Times New Roman" w:eastAsia="Calibri" w:hAnsi="Times New Roman" w:cs="Times New Roman"/>
          <w:color w:val="000000" w:themeColor="text1"/>
          <w:sz w:val="20"/>
          <w:szCs w:val="20"/>
        </w:rPr>
        <w:t xml:space="preserve"> expression (Streptavidin Biotin× 100)</w:t>
      </w:r>
      <w:r w:rsidR="00C35610" w:rsidRPr="000E78AB">
        <w:rPr>
          <w:rFonts w:ascii="Times New Roman" w:eastAsia="Calibri" w:hAnsi="Times New Roman" w:cs="Times New Roman"/>
          <w:color w:val="000000" w:themeColor="text1"/>
          <w:sz w:val="20"/>
          <w:szCs w:val="20"/>
        </w:rPr>
        <w:t>. (</w:t>
      </w:r>
      <w:r w:rsidR="00013844" w:rsidRPr="000E78AB">
        <w:rPr>
          <w:rFonts w:ascii="Times New Roman" w:eastAsia="Calibri" w:hAnsi="Times New Roman" w:cs="Times New Roman"/>
          <w:color w:val="000000" w:themeColor="text1"/>
          <w:sz w:val="20"/>
          <w:szCs w:val="20"/>
        </w:rPr>
        <w:t>B</w:t>
      </w:r>
      <w:r w:rsidR="008849AE" w:rsidRPr="000E78AB">
        <w:rPr>
          <w:rFonts w:ascii="Times New Roman" w:eastAsia="Calibri" w:hAnsi="Times New Roman" w:cs="Times New Roman"/>
          <w:color w:val="000000" w:themeColor="text1"/>
          <w:sz w:val="20"/>
          <w:szCs w:val="20"/>
        </w:rPr>
        <w:t>) A</w:t>
      </w:r>
      <w:r w:rsidR="00765454" w:rsidRPr="000E78AB">
        <w:rPr>
          <w:rFonts w:ascii="Times New Roman" w:eastAsia="Calibri" w:hAnsi="Times New Roman" w:cs="Times New Roman"/>
          <w:color w:val="000000" w:themeColor="text1"/>
          <w:sz w:val="20"/>
          <w:szCs w:val="20"/>
        </w:rPr>
        <w:t>nother case of Hodgkin lymphoma showing expression of PDL-1 on RS cells (Streptavidin Biotin× 200).</w:t>
      </w:r>
    </w:p>
    <w:p w:rsidR="009A426B" w:rsidRPr="000E78AB" w:rsidRDefault="009A426B" w:rsidP="003B3D6D">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p>
    <w:p w:rsidR="009A0496" w:rsidRPr="009A0496" w:rsidRDefault="009A0496" w:rsidP="009A0496">
      <w:pPr>
        <w:autoSpaceDE w:val="0"/>
        <w:autoSpaceDN w:val="0"/>
        <w:bidi w:val="0"/>
        <w:adjustRightInd w:val="0"/>
        <w:spacing w:after="0" w:line="240" w:lineRule="auto"/>
        <w:ind w:firstLine="426"/>
        <w:jc w:val="both"/>
        <w:rPr>
          <w:rFonts w:asciiTheme="majorBidi" w:eastAsia="Times New Roman" w:hAnsiTheme="majorBidi" w:cstheme="majorBidi"/>
          <w:sz w:val="20"/>
          <w:szCs w:val="20"/>
        </w:rPr>
      </w:pPr>
      <w:r w:rsidRPr="009A0496">
        <w:rPr>
          <w:rFonts w:asciiTheme="majorBidi" w:eastAsia="Times New Roman" w:hAnsiTheme="majorBidi" w:cstheme="majorBidi"/>
          <w:sz w:val="20"/>
          <w:szCs w:val="20"/>
        </w:rPr>
        <w:t>PD1 and PDL1 high expression was significantly related to</w:t>
      </w:r>
      <w:r w:rsidRPr="009A0496">
        <w:rPr>
          <w:rFonts w:asciiTheme="majorBidi" w:eastAsia="Times New Roman" w:hAnsiTheme="majorBidi" w:cstheme="majorBidi"/>
          <w:sz w:val="20"/>
          <w:szCs w:val="20"/>
          <w:lang w:bidi="ar-EG"/>
        </w:rPr>
        <w:t xml:space="preserve"> </w:t>
      </w:r>
      <w:r w:rsidRPr="009A0496">
        <w:rPr>
          <w:rFonts w:asciiTheme="majorBidi" w:eastAsia="Times New Roman" w:hAnsiTheme="majorBidi" w:cstheme="majorBidi"/>
          <w:sz w:val="20"/>
          <w:szCs w:val="20"/>
        </w:rPr>
        <w:t>nodular sclerosis    as a histopathological type, lymphocyte count, bone marrow involvement, advanced tumor stage and IPI score.</w:t>
      </w:r>
    </w:p>
    <w:p w:rsidR="009A0496" w:rsidRPr="009A0496" w:rsidRDefault="009A0496" w:rsidP="009A0496">
      <w:pPr>
        <w:autoSpaceDE w:val="0"/>
        <w:autoSpaceDN w:val="0"/>
        <w:bidi w:val="0"/>
        <w:adjustRightInd w:val="0"/>
        <w:spacing w:after="0" w:line="240" w:lineRule="auto"/>
        <w:ind w:firstLine="426"/>
        <w:jc w:val="both"/>
        <w:rPr>
          <w:rFonts w:asciiTheme="majorBidi" w:eastAsia="Times New Roman" w:hAnsiTheme="majorBidi" w:cstheme="majorBidi"/>
          <w:sz w:val="20"/>
          <w:szCs w:val="20"/>
        </w:rPr>
      </w:pPr>
    </w:p>
    <w:p w:rsidR="009A0496" w:rsidRPr="009A0496" w:rsidRDefault="009A0496" w:rsidP="009A0496">
      <w:pPr>
        <w:tabs>
          <w:tab w:val="left" w:pos="7242"/>
        </w:tabs>
        <w:bidi w:val="0"/>
        <w:spacing w:after="0" w:line="240" w:lineRule="auto"/>
        <w:jc w:val="both"/>
        <w:rPr>
          <w:rFonts w:asciiTheme="majorBidi" w:eastAsiaTheme="minorHAnsi" w:hAnsiTheme="majorBidi" w:cstheme="majorBidi"/>
          <w:b/>
          <w:bCs/>
          <w:sz w:val="20"/>
          <w:szCs w:val="20"/>
        </w:rPr>
      </w:pPr>
      <w:r w:rsidRPr="009A0496">
        <w:rPr>
          <w:rFonts w:asciiTheme="majorBidi" w:eastAsiaTheme="minorHAnsi" w:hAnsiTheme="majorBidi" w:cstheme="majorBidi"/>
          <w:b/>
          <w:bCs/>
          <w:sz w:val="20"/>
          <w:szCs w:val="20"/>
        </w:rPr>
        <w:t>Survival analysis: Table (2, 3)</w:t>
      </w:r>
    </w:p>
    <w:p w:rsidR="009A0496" w:rsidRPr="009A0496" w:rsidRDefault="009A0496" w:rsidP="009A0496">
      <w:pPr>
        <w:autoSpaceDE w:val="0"/>
        <w:autoSpaceDN w:val="0"/>
        <w:bidi w:val="0"/>
        <w:adjustRightInd w:val="0"/>
        <w:spacing w:after="0" w:line="240" w:lineRule="auto"/>
        <w:ind w:firstLine="426"/>
        <w:jc w:val="both"/>
        <w:rPr>
          <w:rFonts w:asciiTheme="majorBidi" w:eastAsia="Times New Roman" w:hAnsiTheme="majorBidi" w:cstheme="majorBidi"/>
          <w:sz w:val="20"/>
          <w:szCs w:val="20"/>
          <w:lang w:val="en-GB" w:bidi="ar-EG"/>
        </w:rPr>
      </w:pPr>
      <w:r w:rsidRPr="009A0496">
        <w:rPr>
          <w:rFonts w:asciiTheme="majorBidi" w:eastAsiaTheme="minorHAnsi" w:hAnsiTheme="majorBidi" w:cstheme="majorBidi"/>
          <w:sz w:val="20"/>
          <w:szCs w:val="20"/>
        </w:rPr>
        <w:t xml:space="preserve">Kaplan-Meier analyzes were conducted the progression free survival and overall survival curves for high vs. low proportion of PD-1 and high vs. low proportion of PD-L1, both presented in Figure 3,4 and  5,6 respectively. </w:t>
      </w:r>
    </w:p>
    <w:p w:rsidR="009A0496" w:rsidRPr="009A0496" w:rsidRDefault="009A0496" w:rsidP="009A0496">
      <w:pPr>
        <w:numPr>
          <w:ilvl w:val="1"/>
          <w:numId w:val="0"/>
        </w:numPr>
        <w:bidi w:val="0"/>
        <w:spacing w:after="0" w:line="240" w:lineRule="auto"/>
        <w:ind w:firstLine="426"/>
        <w:jc w:val="both"/>
        <w:rPr>
          <w:rFonts w:asciiTheme="majorBidi" w:eastAsia="Times New Roman" w:hAnsiTheme="majorBidi" w:cstheme="majorBidi"/>
          <w:spacing w:val="15"/>
          <w:sz w:val="20"/>
          <w:szCs w:val="20"/>
        </w:rPr>
      </w:pPr>
      <w:r w:rsidRPr="009A0496">
        <w:rPr>
          <w:rFonts w:asciiTheme="majorBidi" w:eastAsia="Times New Roman" w:hAnsiTheme="majorBidi" w:cstheme="majorBidi"/>
          <w:spacing w:val="15"/>
          <w:sz w:val="20"/>
          <w:szCs w:val="20"/>
        </w:rPr>
        <w:t xml:space="preserve">Thirteen patients (100%) with high proportions of PD-1 had progression of the disease compared with 6 patients (10.7%) with low proportions of PD-1. Seventeen patients (60.7%) with high proportions of PD-L1 had progression of the disease compared with 2 patients (4.9%) with low proportions of PD-L1. So the patients with tumors with high proportions of PD-1 and PD-L1 had </w:t>
      </w:r>
      <w:bookmarkStart w:id="2" w:name="_Hlk536639880"/>
      <w:r w:rsidRPr="009A0496">
        <w:rPr>
          <w:rFonts w:asciiTheme="majorBidi" w:eastAsia="Times New Roman" w:hAnsiTheme="majorBidi" w:cstheme="majorBidi"/>
          <w:spacing w:val="15"/>
          <w:sz w:val="20"/>
          <w:szCs w:val="20"/>
        </w:rPr>
        <w:lastRenderedPageBreak/>
        <w:t xml:space="preserve">shorter PFS </w:t>
      </w:r>
      <w:bookmarkEnd w:id="2"/>
      <w:r w:rsidRPr="009A0496">
        <w:rPr>
          <w:rFonts w:asciiTheme="majorBidi" w:eastAsia="Times New Roman" w:hAnsiTheme="majorBidi" w:cstheme="majorBidi"/>
          <w:spacing w:val="15"/>
          <w:sz w:val="20"/>
          <w:szCs w:val="20"/>
        </w:rPr>
        <w:t>compared with patients with low proportions of PD-1 and PD-L1.</w:t>
      </w:r>
    </w:p>
    <w:p w:rsidR="009A0496" w:rsidRPr="009A0496" w:rsidRDefault="009A0496" w:rsidP="009A0496">
      <w:pPr>
        <w:autoSpaceDE w:val="0"/>
        <w:autoSpaceDN w:val="0"/>
        <w:bidi w:val="0"/>
        <w:adjustRightInd w:val="0"/>
        <w:spacing w:after="0" w:line="240" w:lineRule="auto"/>
        <w:ind w:firstLine="426"/>
        <w:jc w:val="both"/>
        <w:rPr>
          <w:rFonts w:asciiTheme="majorBidi" w:eastAsia="Times New Roman" w:hAnsiTheme="majorBidi" w:cstheme="majorBidi"/>
          <w:sz w:val="20"/>
          <w:szCs w:val="20"/>
        </w:rPr>
      </w:pPr>
      <w:r w:rsidRPr="009A0496">
        <w:rPr>
          <w:rFonts w:asciiTheme="majorBidi" w:eastAsia="Times New Roman" w:hAnsiTheme="majorBidi" w:cstheme="majorBidi"/>
          <w:sz w:val="20"/>
          <w:szCs w:val="20"/>
        </w:rPr>
        <w:t xml:space="preserve">Also, six patients (46.1%) with high proportions of PD-1 died compared with 4 patients (7.1%) with low proportions of PD-1. Ten patients (35.7%) with high proportions of PD-L1 died compared with no death recorded among patients with lowPD-L1 proportions. patients with tumors with high </w:t>
      </w:r>
      <w:r w:rsidRPr="009A0496">
        <w:rPr>
          <w:rFonts w:asciiTheme="majorBidi" w:eastAsia="Times New Roman" w:hAnsiTheme="majorBidi" w:cstheme="majorBidi"/>
          <w:sz w:val="20"/>
          <w:szCs w:val="20"/>
        </w:rPr>
        <w:lastRenderedPageBreak/>
        <w:t>proportions of PD-1 and PD-L1 had shorter OS compared with patients with low proportions of PD-1 and PD-L1.</w:t>
      </w:r>
    </w:p>
    <w:p w:rsidR="009A0496" w:rsidRPr="009A0496" w:rsidRDefault="009A0496" w:rsidP="009A0496">
      <w:pPr>
        <w:autoSpaceDE w:val="0"/>
        <w:autoSpaceDN w:val="0"/>
        <w:bidi w:val="0"/>
        <w:adjustRightInd w:val="0"/>
        <w:spacing w:after="0" w:line="240" w:lineRule="auto"/>
        <w:ind w:firstLine="426"/>
        <w:jc w:val="both"/>
        <w:rPr>
          <w:rFonts w:asciiTheme="majorBidi" w:eastAsia="Times New Roman" w:hAnsiTheme="majorBidi" w:cstheme="majorBidi"/>
          <w:sz w:val="20"/>
          <w:szCs w:val="20"/>
        </w:rPr>
      </w:pPr>
      <w:r w:rsidRPr="009A0496">
        <w:rPr>
          <w:rFonts w:asciiTheme="majorBidi" w:eastAsia="Times New Roman" w:hAnsiTheme="majorBidi" w:cstheme="majorBidi"/>
          <w:sz w:val="20"/>
          <w:szCs w:val="20"/>
        </w:rPr>
        <w:t>The PFS and OS both show statistical significant difference between high vs. low proportion of PD-1 and high vs. low proportion of PD-L1 (P =0.000*).</w:t>
      </w:r>
    </w:p>
    <w:p w:rsidR="008849AE" w:rsidRPr="000E78AB" w:rsidRDefault="008849AE" w:rsidP="008849AE">
      <w:pPr>
        <w:autoSpaceDE w:val="0"/>
        <w:autoSpaceDN w:val="0"/>
        <w:bidi w:val="0"/>
        <w:adjustRightInd w:val="0"/>
        <w:snapToGrid w:val="0"/>
        <w:spacing w:after="0" w:line="240" w:lineRule="auto"/>
        <w:ind w:firstLine="425"/>
        <w:jc w:val="both"/>
        <w:rPr>
          <w:rFonts w:ascii="Times New Roman" w:hAnsi="Times New Roman" w:cs="Times New Roman"/>
          <w:b/>
          <w:bCs/>
          <w:color w:val="000000" w:themeColor="text1"/>
          <w:sz w:val="20"/>
          <w:szCs w:val="20"/>
        </w:rPr>
      </w:pPr>
    </w:p>
    <w:p w:rsidR="008849AE" w:rsidRPr="000E78AB" w:rsidRDefault="008849AE" w:rsidP="008849AE">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sectPr w:rsidR="008849AE" w:rsidRPr="000E78AB" w:rsidSect="009A426B">
          <w:type w:val="continuous"/>
          <w:pgSz w:w="12242" w:h="15842" w:code="1"/>
          <w:pgMar w:top="1440" w:right="1440" w:bottom="1440" w:left="1440" w:header="720" w:footer="720" w:gutter="0"/>
          <w:cols w:num="2" w:space="550"/>
          <w:docGrid w:linePitch="360"/>
        </w:sectPr>
      </w:pPr>
    </w:p>
    <w:p w:rsidR="00C35610" w:rsidRPr="000E78AB" w:rsidRDefault="00C35610" w:rsidP="008849AE">
      <w:pPr>
        <w:autoSpaceDE w:val="0"/>
        <w:autoSpaceDN w:val="0"/>
        <w:bidi w:val="0"/>
        <w:adjustRightInd w:val="0"/>
        <w:snapToGrid w:val="0"/>
        <w:spacing w:after="0" w:line="240" w:lineRule="auto"/>
        <w:jc w:val="center"/>
        <w:rPr>
          <w:rFonts w:ascii="Times New Roman" w:eastAsia="Times New Roman" w:hAnsi="Times New Roman" w:cs="Times New Roman"/>
          <w:color w:val="000000" w:themeColor="text1"/>
          <w:sz w:val="20"/>
          <w:szCs w:val="20"/>
        </w:rPr>
      </w:pPr>
    </w:p>
    <w:p w:rsidR="00FF5B70" w:rsidRPr="000E78AB" w:rsidRDefault="00FB7523" w:rsidP="000E78AB">
      <w:pPr>
        <w:bidi w:val="0"/>
        <w:snapToGrid w:val="0"/>
        <w:spacing w:after="0" w:line="240" w:lineRule="auto"/>
        <w:jc w:val="center"/>
        <w:rPr>
          <w:rFonts w:ascii="Times New Roman" w:hAnsi="Times New Roman" w:cs="Times New Roman"/>
          <w:color w:val="000000" w:themeColor="text1"/>
          <w:sz w:val="20"/>
          <w:szCs w:val="20"/>
          <w:lang w:bidi="ar-EG"/>
        </w:rPr>
      </w:pPr>
      <w:r w:rsidRPr="000E78AB">
        <w:rPr>
          <w:rFonts w:ascii="Times New Roman" w:eastAsia="Times New Roman" w:hAnsi="Times New Roman" w:cs="Times New Roman"/>
          <w:b/>
          <w:bCs/>
          <w:color w:val="000000" w:themeColor="text1"/>
          <w:sz w:val="20"/>
          <w:szCs w:val="20"/>
          <w:lang w:eastAsia="ar-SA"/>
        </w:rPr>
        <w:t>Table (1):</w:t>
      </w:r>
      <w:r w:rsidRPr="000E78AB">
        <w:rPr>
          <w:rFonts w:ascii="Times New Roman" w:eastAsia="Times New Roman" w:hAnsi="Times New Roman" w:cs="Times New Roman"/>
          <w:color w:val="000000" w:themeColor="text1"/>
          <w:sz w:val="20"/>
          <w:szCs w:val="20"/>
          <w:lang w:eastAsia="ar-SA"/>
        </w:rPr>
        <w:t xml:space="preserve"> Comparison between low and high (PD-1 and PD-L1)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0"/>
        <w:gridCol w:w="667"/>
        <w:gridCol w:w="372"/>
        <w:gridCol w:w="663"/>
        <w:gridCol w:w="369"/>
        <w:gridCol w:w="791"/>
        <w:gridCol w:w="664"/>
        <w:gridCol w:w="370"/>
        <w:gridCol w:w="659"/>
        <w:gridCol w:w="367"/>
        <w:gridCol w:w="609"/>
        <w:gridCol w:w="339"/>
        <w:gridCol w:w="1360"/>
        <w:gridCol w:w="1456"/>
      </w:tblGrid>
      <w:tr w:rsidR="00C35610" w:rsidRPr="000E78AB" w:rsidTr="008849AE">
        <w:trPr>
          <w:jc w:val="center"/>
        </w:trPr>
        <w:tc>
          <w:tcPr>
            <w:tcW w:w="0" w:type="auto"/>
            <w:vMerge w:val="restart"/>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P-value</w:t>
            </w:r>
          </w:p>
        </w:tc>
        <w:tc>
          <w:tcPr>
            <w:tcW w:w="0" w:type="auto"/>
            <w:gridSpan w:val="2"/>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High PD-L1 ≥</w:t>
            </w:r>
            <w:r w:rsidR="00004201" w:rsidRPr="000E78AB">
              <w:rPr>
                <w:rFonts w:ascii="Times New Roman" w:eastAsia="Times New Roman" w:hAnsi="Times New Roman" w:cs="Times New Roman"/>
                <w:b/>
                <w:bCs/>
                <w:color w:val="000000" w:themeColor="text1"/>
                <w:sz w:val="20"/>
                <w:szCs w:val="20"/>
                <w:lang w:eastAsia="ar-SA" w:bidi="ar-EG"/>
              </w:rPr>
              <w:t>5</w:t>
            </w:r>
            <w:r w:rsidRPr="000E78AB">
              <w:rPr>
                <w:rFonts w:ascii="Times New Roman" w:eastAsia="Times New Roman" w:hAnsi="Times New Roman" w:cs="Times New Roman"/>
                <w:b/>
                <w:bCs/>
                <w:color w:val="000000" w:themeColor="text1"/>
                <w:sz w:val="20"/>
                <w:szCs w:val="20"/>
                <w:lang w:eastAsia="ar-SA" w:bidi="ar-EG"/>
              </w:rPr>
              <w:t>%</w:t>
            </w:r>
          </w:p>
        </w:tc>
        <w:tc>
          <w:tcPr>
            <w:tcW w:w="0" w:type="auto"/>
            <w:gridSpan w:val="2"/>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Low PD-L1 &lt;</w:t>
            </w:r>
            <w:r w:rsidR="00004201" w:rsidRPr="000E78AB">
              <w:rPr>
                <w:rFonts w:ascii="Times New Roman" w:eastAsia="Times New Roman" w:hAnsi="Times New Roman" w:cs="Times New Roman"/>
                <w:b/>
                <w:bCs/>
                <w:color w:val="000000" w:themeColor="text1"/>
                <w:sz w:val="20"/>
                <w:szCs w:val="20"/>
                <w:lang w:eastAsia="ar-SA" w:bidi="ar-EG"/>
              </w:rPr>
              <w:t>5</w:t>
            </w:r>
            <w:r w:rsidRPr="000E78AB">
              <w:rPr>
                <w:rFonts w:ascii="Times New Roman" w:eastAsia="Times New Roman" w:hAnsi="Times New Roman" w:cs="Times New Roman"/>
                <w:b/>
                <w:bCs/>
                <w:color w:val="000000" w:themeColor="text1"/>
                <w:sz w:val="20"/>
                <w:szCs w:val="20"/>
                <w:lang w:eastAsia="ar-SA" w:bidi="ar-EG"/>
              </w:rPr>
              <w:t>%</w:t>
            </w:r>
          </w:p>
        </w:tc>
        <w:tc>
          <w:tcPr>
            <w:tcW w:w="0" w:type="auto"/>
            <w:vMerge w:val="restart"/>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P-value</w:t>
            </w:r>
          </w:p>
        </w:tc>
        <w:tc>
          <w:tcPr>
            <w:tcW w:w="0" w:type="auto"/>
            <w:gridSpan w:val="2"/>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High PD-1 ≥10%</w:t>
            </w:r>
          </w:p>
        </w:tc>
        <w:tc>
          <w:tcPr>
            <w:tcW w:w="0" w:type="auto"/>
            <w:gridSpan w:val="2"/>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Low PD-1 &lt;10%</w:t>
            </w:r>
          </w:p>
        </w:tc>
        <w:tc>
          <w:tcPr>
            <w:tcW w:w="0" w:type="auto"/>
            <w:gridSpan w:val="2"/>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All patients</w:t>
            </w:r>
          </w:p>
        </w:tc>
        <w:tc>
          <w:tcPr>
            <w:tcW w:w="0" w:type="auto"/>
            <w:gridSpan w:val="2"/>
            <w:vMerge w:val="restart"/>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Variables</w:t>
            </w:r>
          </w:p>
        </w:tc>
      </w:tr>
      <w:tr w:rsidR="00C35610" w:rsidRPr="000E78AB" w:rsidTr="008849AE">
        <w:trPr>
          <w:jc w:val="center"/>
        </w:trPr>
        <w:tc>
          <w:tcPr>
            <w:tcW w:w="0" w:type="auto"/>
            <w:vMerge/>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w:t>
            </w: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N</w:t>
            </w: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w:t>
            </w: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N</w:t>
            </w:r>
          </w:p>
        </w:tc>
        <w:tc>
          <w:tcPr>
            <w:tcW w:w="0" w:type="auto"/>
            <w:vMerge/>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w:t>
            </w: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N</w:t>
            </w: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w:t>
            </w: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N</w:t>
            </w: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w:t>
            </w:r>
          </w:p>
        </w:tc>
        <w:tc>
          <w:tcPr>
            <w:tcW w:w="0" w:type="auto"/>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N</w:t>
            </w:r>
          </w:p>
        </w:tc>
        <w:tc>
          <w:tcPr>
            <w:tcW w:w="0" w:type="auto"/>
            <w:gridSpan w:val="2"/>
            <w:vMerge/>
            <w:shd w:val="clear" w:color="auto" w:fill="auto"/>
            <w:vAlign w:val="center"/>
          </w:tcPr>
          <w:p w:rsidR="00FF5B70" w:rsidRPr="000E78AB" w:rsidRDefault="00FF5B70"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0.6977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24.39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0.2594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38.46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23.21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26.09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&lt; 45</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Age (years)</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71.43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75.61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31</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61.54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76.79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73.91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 45</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0.8202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60.71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63.41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26</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0.5681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69.23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60.71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62.33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Male</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Sex</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39.29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36.59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15</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30.77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39.29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37.68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Female</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0.047*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7.34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0.0203*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7.14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Lymphocyte rich</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Histological type</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64.29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58.54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24</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46.15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64.29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60.86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Nodular sclerosis</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17.86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34.17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14</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30.77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26.79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27.54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Mixed cellularity</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14.29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23.08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1.79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Lymphocyte depleted</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0.5406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53.57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60.98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25</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0.338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46.15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60.71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57.97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Absent</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B-symptoms</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46.43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39.02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16</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53.85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39.29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42.03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Present</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0.6967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70.73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29</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0.0754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92.31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67.86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72.46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&lt; 4</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Serum albumin (gm/</w:t>
            </w:r>
            <w:proofErr w:type="spellStart"/>
            <w:r w:rsidRPr="000E78AB">
              <w:rPr>
                <w:rFonts w:ascii="Times New Roman" w:eastAsia="Times New Roman" w:hAnsi="Times New Roman" w:cs="Times New Roman"/>
                <w:b/>
                <w:bCs/>
                <w:color w:val="000000" w:themeColor="text1"/>
                <w:sz w:val="20"/>
                <w:szCs w:val="20"/>
                <w:lang w:eastAsia="ar-SA"/>
              </w:rPr>
              <w:t>dL</w:t>
            </w:r>
            <w:proofErr w:type="spellEnd"/>
            <w:r w:rsidRPr="000E78AB">
              <w:rPr>
                <w:rFonts w:ascii="Times New Roman" w:eastAsia="Times New Roman" w:hAnsi="Times New Roman" w:cs="Times New Roman"/>
                <w:b/>
                <w:bCs/>
                <w:color w:val="000000" w:themeColor="text1"/>
                <w:sz w:val="20"/>
                <w:szCs w:val="20"/>
                <w:lang w:eastAsia="ar-SA"/>
              </w:rPr>
              <w:t>)</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29.27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12</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7.69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32.14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27.54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 4</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0.781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71.43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68.29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0.4851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61.54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71.43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69.57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&lt; 10.5</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Hemoglobin level (gm/dl)</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31.71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13</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38.46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28.57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30.43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 10.5</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0.106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42.86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24.39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0.5722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38.46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30.36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31.88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&gt; 15</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Total WBCs count (x 10</w:t>
            </w:r>
            <w:r w:rsidRPr="000E78AB">
              <w:rPr>
                <w:rFonts w:ascii="Times New Roman" w:eastAsia="Times New Roman" w:hAnsi="Times New Roman" w:cs="Times New Roman"/>
                <w:b/>
                <w:bCs/>
                <w:color w:val="000000" w:themeColor="text1"/>
                <w:sz w:val="20"/>
                <w:szCs w:val="20"/>
                <w:vertAlign w:val="superscript"/>
                <w:lang w:eastAsia="ar-SA" w:bidi="ar-EG"/>
              </w:rPr>
              <w:t>9</w:t>
            </w:r>
            <w:r w:rsidRPr="000E78AB">
              <w:rPr>
                <w:rFonts w:ascii="Times New Roman" w:eastAsia="Times New Roman" w:hAnsi="Times New Roman" w:cs="Times New Roman"/>
                <w:b/>
                <w:bCs/>
                <w:color w:val="000000" w:themeColor="text1"/>
                <w:sz w:val="20"/>
                <w:szCs w:val="20"/>
                <w:lang w:eastAsia="ar-SA" w:bidi="ar-EG"/>
              </w:rPr>
              <w:t>/L)</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57.14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75.61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31</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61.54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69.64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68.12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 15</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0.0059*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67.86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34.15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14</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0.0032*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84.62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39.29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47.83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&lt; 0.6</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 xml:space="preserve">Lymphocyte count </w:t>
            </w:r>
            <w:r w:rsidRPr="000E78AB">
              <w:rPr>
                <w:rFonts w:ascii="Times New Roman" w:eastAsia="Times New Roman" w:hAnsi="Times New Roman" w:cs="Times New Roman"/>
                <w:b/>
                <w:bCs/>
                <w:color w:val="000000" w:themeColor="text1"/>
                <w:sz w:val="20"/>
                <w:szCs w:val="20"/>
                <w:lang w:eastAsia="ar-SA" w:bidi="ar-EG"/>
              </w:rPr>
              <w:t>(x 10</w:t>
            </w:r>
            <w:r w:rsidRPr="000E78AB">
              <w:rPr>
                <w:rFonts w:ascii="Times New Roman" w:eastAsia="Times New Roman" w:hAnsi="Times New Roman" w:cs="Times New Roman"/>
                <w:b/>
                <w:bCs/>
                <w:color w:val="000000" w:themeColor="text1"/>
                <w:sz w:val="20"/>
                <w:szCs w:val="20"/>
                <w:vertAlign w:val="superscript"/>
                <w:lang w:eastAsia="ar-SA" w:bidi="ar-EG"/>
              </w:rPr>
              <w:t>9</w:t>
            </w:r>
            <w:r w:rsidRPr="000E78AB">
              <w:rPr>
                <w:rFonts w:ascii="Times New Roman" w:eastAsia="Times New Roman" w:hAnsi="Times New Roman" w:cs="Times New Roman"/>
                <w:b/>
                <w:bCs/>
                <w:color w:val="000000" w:themeColor="text1"/>
                <w:sz w:val="20"/>
                <w:szCs w:val="20"/>
                <w:lang w:eastAsia="ar-SA" w:bidi="ar-EG"/>
              </w:rPr>
              <w:t>/L)</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32.14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65.85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27</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15.38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60.71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52.17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 0.6</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0.9943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46.43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46.34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19</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0.2104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30.77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46.38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Normal</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LDH</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53.57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53.66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22</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69.23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53.62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High</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0.75.2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57.14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60.98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25</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0.2796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46.15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62.5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59.42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&lt; 50</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ESR (mm/hour)</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42.86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39.02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16</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53.83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37.5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40.58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 50</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0.4612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89.29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82.93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34</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0.0994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82.14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58.51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Absent</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Extra nodal involvement</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10.71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17.07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17.86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14.49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Present</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0.0405*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92.68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38</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0.00</w:t>
            </w:r>
            <w:r w:rsidR="00F906FE" w:rsidRPr="000E78AB">
              <w:rPr>
                <w:rFonts w:ascii="Times New Roman" w:eastAsia="Times New Roman" w:hAnsi="Times New Roman" w:cs="Times New Roman"/>
                <w:color w:val="000000" w:themeColor="text1"/>
                <w:sz w:val="20"/>
                <w:szCs w:val="20"/>
                <w:lang w:eastAsia="ar-SA"/>
              </w:rPr>
              <w:t>2</w:t>
            </w:r>
            <w:r w:rsidRPr="000E78AB">
              <w:rPr>
                <w:rFonts w:ascii="Times New Roman" w:eastAsia="Times New Roman" w:hAnsi="Times New Roman" w:cs="Times New Roman"/>
                <w:color w:val="000000" w:themeColor="text1"/>
                <w:sz w:val="20"/>
                <w:szCs w:val="20"/>
                <w:lang w:eastAsia="ar-SA"/>
              </w:rPr>
              <w:t>*</w:t>
            </w:r>
          </w:p>
        </w:tc>
        <w:tc>
          <w:tcPr>
            <w:tcW w:w="0" w:type="auto"/>
            <w:shd w:val="clear" w:color="auto" w:fill="auto"/>
            <w:vAlign w:val="center"/>
          </w:tcPr>
          <w:p w:rsidR="00650E72" w:rsidRPr="000E78AB" w:rsidRDefault="00F906FE"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60</w:t>
            </w:r>
          </w:p>
        </w:tc>
        <w:tc>
          <w:tcPr>
            <w:tcW w:w="0" w:type="auto"/>
            <w:shd w:val="clear" w:color="auto" w:fill="auto"/>
            <w:vAlign w:val="center"/>
          </w:tcPr>
          <w:p w:rsidR="00650E72" w:rsidRPr="000E78AB" w:rsidRDefault="003E1E27"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9</w:t>
            </w:r>
          </w:p>
        </w:tc>
        <w:tc>
          <w:tcPr>
            <w:tcW w:w="0" w:type="auto"/>
            <w:shd w:val="clear" w:color="auto" w:fill="auto"/>
            <w:vAlign w:val="center"/>
          </w:tcPr>
          <w:p w:rsidR="00650E72" w:rsidRPr="000E78AB" w:rsidRDefault="00054F5B"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92.59</w:t>
            </w:r>
          </w:p>
        </w:tc>
        <w:tc>
          <w:tcPr>
            <w:tcW w:w="0" w:type="auto"/>
            <w:shd w:val="clear" w:color="auto" w:fill="auto"/>
            <w:vAlign w:val="center"/>
          </w:tcPr>
          <w:p w:rsidR="00650E72" w:rsidRPr="000E78AB" w:rsidRDefault="00054F5B"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85.51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Absent</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Bone marrow involvement</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7.32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F906FE"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40</w:t>
            </w:r>
          </w:p>
        </w:tc>
        <w:tc>
          <w:tcPr>
            <w:tcW w:w="0" w:type="auto"/>
            <w:shd w:val="clear" w:color="auto" w:fill="auto"/>
            <w:vAlign w:val="center"/>
          </w:tcPr>
          <w:p w:rsidR="00650E72" w:rsidRPr="000E78AB" w:rsidRDefault="003E1E27"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w:t>
            </w:r>
          </w:p>
        </w:tc>
        <w:tc>
          <w:tcPr>
            <w:tcW w:w="0" w:type="auto"/>
            <w:shd w:val="clear" w:color="auto" w:fill="auto"/>
            <w:vAlign w:val="center"/>
          </w:tcPr>
          <w:p w:rsidR="00650E72" w:rsidRPr="000E78AB" w:rsidRDefault="00054F5B"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7.40</w:t>
            </w:r>
          </w:p>
        </w:tc>
        <w:tc>
          <w:tcPr>
            <w:tcW w:w="0" w:type="auto"/>
            <w:shd w:val="clear" w:color="auto" w:fill="auto"/>
            <w:vAlign w:val="center"/>
          </w:tcPr>
          <w:p w:rsidR="00650E72" w:rsidRPr="000E78AB" w:rsidRDefault="00054F5B"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14.49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Present</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0.738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85.71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80.49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33</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0.8322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84.62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82.14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82.61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Absent</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Bulky disease</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14.29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19.51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15.38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17.86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17.39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Present</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0.0299*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21.43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39.02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16</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0.0006*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39.28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31.88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I</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Stage</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43.9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18</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23.08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41.07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37.68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II</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21.43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4.88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30.77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7.14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11.59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III</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28.57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12.2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46.15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12.5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18.85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IV</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C35610" w:rsidRPr="000E78AB" w:rsidTr="008849AE">
        <w:trPr>
          <w:jc w:val="center"/>
        </w:trPr>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0.0031*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64.29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18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92.68</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38</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0.0052*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53.85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87.5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49</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bidi="ar-EG"/>
              </w:rPr>
              <w:t>81.16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0,1,2</w:t>
            </w:r>
          </w:p>
        </w:tc>
        <w:tc>
          <w:tcPr>
            <w:tcW w:w="0" w:type="auto"/>
            <w:vMerge w:val="restart"/>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IPI</w:t>
            </w:r>
          </w:p>
        </w:tc>
      </w:tr>
      <w:tr w:rsidR="00C35610" w:rsidRPr="000E78AB" w:rsidTr="008849AE">
        <w:trPr>
          <w:jc w:val="center"/>
        </w:trPr>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35.71</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7.32</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46.15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12.5</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18.84</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13</w:t>
            </w:r>
          </w:p>
        </w:tc>
        <w:tc>
          <w:tcPr>
            <w:tcW w:w="0" w:type="auto"/>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bidi="ar-EG"/>
              </w:rPr>
              <w:t>3,4</w:t>
            </w:r>
          </w:p>
        </w:tc>
        <w:tc>
          <w:tcPr>
            <w:tcW w:w="0" w:type="auto"/>
            <w:vMerge/>
            <w:shd w:val="clear" w:color="auto" w:fill="auto"/>
            <w:vAlign w:val="center"/>
          </w:tcPr>
          <w:p w:rsidR="00650E72" w:rsidRPr="000E78AB" w:rsidRDefault="00650E72" w:rsidP="000E78AB">
            <w:pPr>
              <w:bidi w:val="0"/>
              <w:snapToGrid w:val="0"/>
              <w:spacing w:after="0" w:line="240" w:lineRule="auto"/>
              <w:rPr>
                <w:rFonts w:ascii="Times New Roman" w:eastAsia="Times New Roman" w:hAnsi="Times New Roman" w:cs="Times New Roman"/>
                <w:b/>
                <w:bCs/>
                <w:color w:val="000000" w:themeColor="text1"/>
                <w:sz w:val="20"/>
                <w:szCs w:val="20"/>
                <w:lang w:eastAsia="ar-SA"/>
              </w:rPr>
            </w:pPr>
          </w:p>
        </w:tc>
      </w:tr>
      <w:tr w:rsidR="00EF641C" w:rsidRPr="000E78AB" w:rsidTr="008849AE">
        <w:trPr>
          <w:jc w:val="center"/>
        </w:trPr>
        <w:tc>
          <w:tcPr>
            <w:tcW w:w="0" w:type="auto"/>
            <w:gridSpan w:val="14"/>
            <w:shd w:val="clear" w:color="auto" w:fill="auto"/>
            <w:vAlign w:val="center"/>
          </w:tcPr>
          <w:p w:rsidR="00EF641C" w:rsidRPr="000E78AB" w:rsidRDefault="00EF641C" w:rsidP="000E78AB">
            <w:pPr>
              <w:bidi w:val="0"/>
              <w:snapToGrid w:val="0"/>
              <w:spacing w:after="0" w:line="240" w:lineRule="auto"/>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rPr>
              <w:t xml:space="preserve">*, </w:t>
            </w:r>
            <w:r w:rsidRPr="000E78AB">
              <w:rPr>
                <w:rFonts w:ascii="Times New Roman" w:eastAsia="Times New Roman" w:hAnsi="Times New Roman" w:cs="Times New Roman"/>
                <w:color w:val="000000" w:themeColor="text1"/>
                <w:sz w:val="20"/>
                <w:szCs w:val="20"/>
                <w:lang w:eastAsia="ar-SA"/>
              </w:rPr>
              <w:t>significant;</w:t>
            </w:r>
            <w:r w:rsidRPr="000E78AB">
              <w:rPr>
                <w:rFonts w:ascii="Times New Roman" w:eastAsia="Times New Roman" w:hAnsi="Times New Roman" w:cs="Times New Roman"/>
                <w:b/>
                <w:bCs/>
                <w:color w:val="000000" w:themeColor="text1"/>
                <w:sz w:val="20"/>
                <w:szCs w:val="20"/>
                <w:lang w:eastAsia="ar-SA"/>
              </w:rPr>
              <w:t xml:space="preserve"> ESR, </w:t>
            </w:r>
            <w:r w:rsidRPr="000E78AB">
              <w:rPr>
                <w:rFonts w:ascii="Times New Roman" w:eastAsia="Times New Roman" w:hAnsi="Times New Roman" w:cs="Times New Roman"/>
                <w:color w:val="000000" w:themeColor="text1"/>
                <w:sz w:val="20"/>
                <w:szCs w:val="20"/>
                <w:lang w:eastAsia="ar-SA"/>
              </w:rPr>
              <w:t>Erythrocyte sedimentation rate;</w:t>
            </w:r>
            <w:r w:rsidRPr="000E78AB">
              <w:rPr>
                <w:rFonts w:ascii="Times New Roman" w:eastAsia="Times New Roman" w:hAnsi="Times New Roman" w:cs="Times New Roman"/>
                <w:b/>
                <w:bCs/>
                <w:color w:val="000000" w:themeColor="text1"/>
                <w:sz w:val="20"/>
                <w:szCs w:val="20"/>
                <w:lang w:eastAsia="ar-SA"/>
              </w:rPr>
              <w:t xml:space="preserve"> IPI, </w:t>
            </w:r>
            <w:r w:rsidRPr="000E78AB">
              <w:rPr>
                <w:rFonts w:ascii="Times New Roman" w:eastAsia="Times New Roman" w:hAnsi="Times New Roman" w:cs="Times New Roman"/>
                <w:color w:val="000000" w:themeColor="text1"/>
                <w:sz w:val="20"/>
                <w:szCs w:val="20"/>
                <w:lang w:eastAsia="ar-SA"/>
              </w:rPr>
              <w:t>International prognostic index;</w:t>
            </w:r>
            <w:r w:rsidRPr="000E78AB">
              <w:rPr>
                <w:rFonts w:ascii="Times New Roman" w:eastAsia="Times New Roman" w:hAnsi="Times New Roman" w:cs="Times New Roman"/>
                <w:b/>
                <w:bCs/>
                <w:color w:val="000000" w:themeColor="text1"/>
                <w:sz w:val="20"/>
                <w:szCs w:val="20"/>
                <w:lang w:eastAsia="ar-SA"/>
              </w:rPr>
              <w:t xml:space="preserve"> LDH, </w:t>
            </w:r>
            <w:r w:rsidRPr="000E78AB">
              <w:rPr>
                <w:rFonts w:ascii="Times New Roman" w:eastAsia="Times New Roman" w:hAnsi="Times New Roman" w:cs="Times New Roman"/>
                <w:color w:val="000000" w:themeColor="text1"/>
                <w:sz w:val="20"/>
                <w:szCs w:val="20"/>
                <w:lang w:eastAsia="ar-SA"/>
              </w:rPr>
              <w:t xml:space="preserve">Lactate dehydrogenase; </w:t>
            </w:r>
            <w:r w:rsidRPr="000E78AB">
              <w:rPr>
                <w:rFonts w:ascii="Times New Roman" w:eastAsia="Times New Roman" w:hAnsi="Times New Roman" w:cs="Times New Roman"/>
                <w:b/>
                <w:bCs/>
                <w:color w:val="000000" w:themeColor="text1"/>
                <w:sz w:val="20"/>
                <w:szCs w:val="20"/>
                <w:lang w:eastAsia="ar-SA"/>
              </w:rPr>
              <w:t>N</w:t>
            </w:r>
            <w:r w:rsidRPr="000E78AB">
              <w:rPr>
                <w:rFonts w:ascii="Times New Roman" w:eastAsia="Times New Roman" w:hAnsi="Times New Roman" w:cs="Times New Roman"/>
                <w:color w:val="000000" w:themeColor="text1"/>
                <w:sz w:val="20"/>
                <w:szCs w:val="20"/>
                <w:lang w:eastAsia="ar-SA"/>
              </w:rPr>
              <w:t xml:space="preserve">, Number; </w:t>
            </w:r>
            <w:r w:rsidRPr="000E78AB">
              <w:rPr>
                <w:rFonts w:ascii="Times New Roman" w:eastAsia="Times New Roman" w:hAnsi="Times New Roman" w:cs="Times New Roman"/>
                <w:b/>
                <w:bCs/>
                <w:color w:val="000000" w:themeColor="text1"/>
                <w:sz w:val="20"/>
                <w:szCs w:val="20"/>
                <w:lang w:eastAsia="ar-SA"/>
              </w:rPr>
              <w:t>PD-1</w:t>
            </w:r>
            <w:r w:rsidRPr="000E78AB">
              <w:rPr>
                <w:rFonts w:ascii="Times New Roman" w:eastAsia="Times New Roman" w:hAnsi="Times New Roman" w:cs="Times New Roman"/>
                <w:color w:val="000000" w:themeColor="text1"/>
                <w:sz w:val="20"/>
                <w:szCs w:val="20"/>
                <w:lang w:eastAsia="ar-SA"/>
              </w:rPr>
              <w:t xml:space="preserve">, Programmed death receptor-1; </w:t>
            </w:r>
            <w:r w:rsidRPr="000E78AB">
              <w:rPr>
                <w:rFonts w:ascii="Times New Roman" w:eastAsia="Times New Roman" w:hAnsi="Times New Roman" w:cs="Times New Roman"/>
                <w:b/>
                <w:bCs/>
                <w:color w:val="000000" w:themeColor="text1"/>
                <w:sz w:val="20"/>
                <w:szCs w:val="20"/>
                <w:lang w:eastAsia="ar-SA"/>
              </w:rPr>
              <w:t>PD-L1</w:t>
            </w:r>
            <w:r w:rsidRPr="000E78AB">
              <w:rPr>
                <w:rFonts w:ascii="Times New Roman" w:eastAsia="Times New Roman" w:hAnsi="Times New Roman" w:cs="Times New Roman"/>
                <w:color w:val="000000" w:themeColor="text1"/>
                <w:sz w:val="20"/>
                <w:szCs w:val="20"/>
                <w:lang w:eastAsia="ar-SA"/>
              </w:rPr>
              <w:t>, Programmed death ligand-1</w:t>
            </w:r>
          </w:p>
        </w:tc>
      </w:tr>
    </w:tbl>
    <w:p w:rsidR="00AA4A86" w:rsidRPr="000E78AB" w:rsidRDefault="00AA4A86" w:rsidP="003B3D6D">
      <w:pPr>
        <w:bidi w:val="0"/>
        <w:snapToGrid w:val="0"/>
        <w:spacing w:after="0" w:line="240" w:lineRule="auto"/>
        <w:jc w:val="center"/>
        <w:rPr>
          <w:rFonts w:ascii="Times New Roman" w:hAnsi="Times New Roman" w:cs="Times New Roman"/>
          <w:color w:val="000000" w:themeColor="text1"/>
          <w:sz w:val="20"/>
          <w:szCs w:val="20"/>
          <w:lang w:bidi="ar-EG"/>
        </w:rPr>
      </w:pPr>
    </w:p>
    <w:p w:rsidR="00342DBB" w:rsidRPr="000E78AB" w:rsidRDefault="00FB7523" w:rsidP="000E78AB">
      <w:pPr>
        <w:bidi w:val="0"/>
        <w:snapToGrid w:val="0"/>
        <w:spacing w:after="0" w:line="240" w:lineRule="auto"/>
        <w:jc w:val="center"/>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rPr>
        <w:lastRenderedPageBreak/>
        <w:t>Table (2):</w:t>
      </w:r>
      <w:r w:rsidRPr="000E78AB">
        <w:rPr>
          <w:rFonts w:ascii="Times New Roman" w:eastAsia="Times New Roman" w:hAnsi="Times New Roman" w:cs="Times New Roman"/>
          <w:color w:val="000000" w:themeColor="text1"/>
          <w:sz w:val="20"/>
          <w:szCs w:val="20"/>
          <w:lang w:eastAsia="ar-SA"/>
        </w:rPr>
        <w:t xml:space="preserve"> Progression free survival probability for different groups of patients.</w:t>
      </w:r>
    </w:p>
    <w:tbl>
      <w:tblPr>
        <w:tblStyle w:val="TableGrid"/>
        <w:tblW w:w="0" w:type="auto"/>
        <w:jc w:val="center"/>
        <w:tblCellMar>
          <w:left w:w="57" w:type="dxa"/>
          <w:right w:w="57" w:type="dxa"/>
        </w:tblCellMar>
        <w:tblLook w:val="00A0" w:firstRow="1" w:lastRow="0" w:firstColumn="1" w:lastColumn="0" w:noHBand="0" w:noVBand="0"/>
      </w:tblPr>
      <w:tblGrid>
        <w:gridCol w:w="1073"/>
        <w:gridCol w:w="1125"/>
        <w:gridCol w:w="692"/>
        <w:gridCol w:w="1245"/>
        <w:gridCol w:w="1105"/>
        <w:gridCol w:w="903"/>
        <w:gridCol w:w="985"/>
        <w:gridCol w:w="400"/>
        <w:gridCol w:w="1948"/>
      </w:tblGrid>
      <w:tr w:rsidR="00C35610" w:rsidRPr="000E78AB" w:rsidTr="008849AE">
        <w:trPr>
          <w:jc w:val="center"/>
        </w:trPr>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Number of patients</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Events</w:t>
            </w:r>
          </w:p>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(N)</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Censored (N) (%)</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 xml:space="preserve">Median Survival </w:t>
            </w:r>
          </w:p>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(Months)</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 xml:space="preserve">Range </w:t>
            </w:r>
          </w:p>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(Months)</w:t>
            </w:r>
          </w:p>
        </w:tc>
        <w:tc>
          <w:tcPr>
            <w:tcW w:w="0" w:type="auto"/>
            <w:gridSpan w:val="3"/>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rPr>
              <w:t>Statistic test for equality of survival distributions (Log Rank)</w:t>
            </w:r>
          </w:p>
        </w:tc>
      </w:tr>
      <w:tr w:rsidR="00C35610" w:rsidRPr="000E78AB" w:rsidTr="008849AE">
        <w:trPr>
          <w:jc w:val="center"/>
        </w:trPr>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Statistic</w:t>
            </w:r>
          </w:p>
        </w:tc>
        <w:tc>
          <w:tcPr>
            <w:tcW w:w="0" w:type="auto"/>
            <w:vAlign w:val="center"/>
          </w:tcPr>
          <w:p w:rsidR="00342DBB" w:rsidRPr="000E78AB" w:rsidRDefault="002E61BC" w:rsidP="000E78AB">
            <w:pPr>
              <w:bidi w:val="0"/>
              <w:snapToGrid w:val="0"/>
              <w:rPr>
                <w:rFonts w:ascii="Times New Roman" w:eastAsia="Times New Roman" w:hAnsi="Times New Roman" w:cs="Times New Roman"/>
                <w:b/>
                <w:bCs/>
                <w:color w:val="000000" w:themeColor="text1"/>
                <w:sz w:val="20"/>
                <w:szCs w:val="20"/>
                <w:lang w:eastAsia="ar-SA"/>
              </w:rPr>
            </w:pPr>
            <w:proofErr w:type="spellStart"/>
            <w:r w:rsidRPr="000E78AB">
              <w:rPr>
                <w:rFonts w:ascii="Times New Roman" w:eastAsia="Times New Roman" w:hAnsi="Times New Roman" w:cs="Times New Roman"/>
                <w:b/>
                <w:bCs/>
                <w:color w:val="000000" w:themeColor="text1"/>
                <w:sz w:val="20"/>
                <w:szCs w:val="20"/>
                <w:lang w:eastAsia="ar-SA"/>
              </w:rPr>
              <w:t>D</w:t>
            </w:r>
            <w:r w:rsidR="00342DBB" w:rsidRPr="000E78AB">
              <w:rPr>
                <w:rFonts w:ascii="Times New Roman" w:eastAsia="Times New Roman" w:hAnsi="Times New Roman" w:cs="Times New Roman"/>
                <w:b/>
                <w:bCs/>
                <w:color w:val="000000" w:themeColor="text1"/>
                <w:sz w:val="20"/>
                <w:szCs w:val="20"/>
                <w:lang w:eastAsia="ar-SA"/>
              </w:rPr>
              <w:t>f</w:t>
            </w:r>
            <w:proofErr w:type="spellEnd"/>
          </w:p>
        </w:tc>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P-valu</w:t>
            </w:r>
            <w:r w:rsidR="00C35610" w:rsidRPr="000E78AB">
              <w:rPr>
                <w:rFonts w:ascii="Times New Roman" w:eastAsia="Times New Roman" w:hAnsi="Times New Roman" w:cs="Times New Roman"/>
                <w:b/>
                <w:bCs/>
                <w:color w:val="000000" w:themeColor="text1"/>
                <w:sz w:val="20"/>
                <w:szCs w:val="20"/>
                <w:lang w:eastAsia="ar-SA"/>
              </w:rPr>
              <w:t>e (</w:t>
            </w:r>
            <w:r w:rsidRPr="000E78AB">
              <w:rPr>
                <w:rFonts w:ascii="Times New Roman" w:eastAsia="Times New Roman" w:hAnsi="Times New Roman" w:cs="Times New Roman"/>
                <w:b/>
                <w:bCs/>
                <w:color w:val="000000" w:themeColor="text1"/>
                <w:sz w:val="20"/>
                <w:szCs w:val="20"/>
                <w:lang w:eastAsia="ar-SA"/>
              </w:rPr>
              <w:t>Significance)</w:t>
            </w:r>
          </w:p>
        </w:tc>
      </w:tr>
      <w:tr w:rsidR="00C35610" w:rsidRPr="000E78AB" w:rsidTr="008849AE">
        <w:trPr>
          <w:jc w:val="center"/>
        </w:trPr>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Low PD-1 (&lt;10%)</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56</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50(89.29%)</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11</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3-32</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59.447</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1</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 xml:space="preserve">0.000* </w:t>
            </w:r>
          </w:p>
        </w:tc>
      </w:tr>
      <w:tr w:rsidR="00C35610" w:rsidRPr="000E78AB" w:rsidTr="008849AE">
        <w:trPr>
          <w:jc w:val="center"/>
        </w:trPr>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High PD-1 (≥10%)</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13</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13</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Zero (0%)</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3</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3-16</w:t>
            </w: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r>
      <w:tr w:rsidR="00C35610" w:rsidRPr="000E78AB" w:rsidTr="008849AE">
        <w:trPr>
          <w:jc w:val="center"/>
        </w:trPr>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Low PD-L1 (&lt;5%)</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41</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39(95.12%)</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11</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3-32</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21.54</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1</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0.000*</w:t>
            </w:r>
          </w:p>
        </w:tc>
      </w:tr>
      <w:tr w:rsidR="00C35610" w:rsidRPr="000E78AB" w:rsidTr="008849AE">
        <w:trPr>
          <w:jc w:val="center"/>
        </w:trPr>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rPr>
              <w:t>High PD-L1 (≥5%)</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17</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11 (39.29%)</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7</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3-31</w:t>
            </w: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r>
      <w:tr w:rsidR="00342DBB" w:rsidRPr="000E78AB" w:rsidTr="008849AE">
        <w:trPr>
          <w:jc w:val="center"/>
        </w:trPr>
        <w:tc>
          <w:tcPr>
            <w:tcW w:w="0" w:type="auto"/>
            <w:gridSpan w:val="9"/>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rPr>
              <w:t xml:space="preserve">*, </w:t>
            </w:r>
            <w:r w:rsidRPr="000E78AB">
              <w:rPr>
                <w:rFonts w:ascii="Times New Roman" w:eastAsia="Times New Roman" w:hAnsi="Times New Roman" w:cs="Times New Roman"/>
                <w:color w:val="000000" w:themeColor="text1"/>
                <w:sz w:val="20"/>
                <w:szCs w:val="20"/>
                <w:lang w:eastAsia="ar-SA"/>
              </w:rPr>
              <w:t>significant</w:t>
            </w:r>
            <w:r w:rsidR="00F21148" w:rsidRPr="000E78AB">
              <w:rPr>
                <w:rFonts w:ascii="Times New Roman" w:eastAsia="Times New Roman" w:hAnsi="Times New Roman" w:cs="Times New Roman"/>
                <w:color w:val="000000" w:themeColor="text1"/>
                <w:sz w:val="20"/>
                <w:szCs w:val="20"/>
                <w:lang w:eastAsia="ar-SA"/>
              </w:rPr>
              <w:t>;</w:t>
            </w:r>
            <w:r w:rsidRPr="000E78AB">
              <w:rPr>
                <w:rFonts w:ascii="Times New Roman" w:eastAsia="Times New Roman" w:hAnsi="Times New Roman" w:cs="Times New Roman"/>
                <w:color w:val="000000" w:themeColor="text1"/>
                <w:sz w:val="20"/>
                <w:szCs w:val="20"/>
                <w:lang w:eastAsia="ar-SA"/>
              </w:rPr>
              <w:t xml:space="preserve"> N, Number</w:t>
            </w:r>
            <w:r w:rsidR="00F21148" w:rsidRPr="000E78AB">
              <w:rPr>
                <w:rFonts w:ascii="Times New Roman" w:eastAsia="Times New Roman" w:hAnsi="Times New Roman" w:cs="Times New Roman"/>
                <w:color w:val="000000" w:themeColor="text1"/>
                <w:sz w:val="20"/>
                <w:szCs w:val="20"/>
                <w:lang w:eastAsia="ar-SA"/>
              </w:rPr>
              <w:t>;</w:t>
            </w:r>
            <w:r w:rsidRPr="000E78AB">
              <w:rPr>
                <w:rFonts w:ascii="Times New Roman" w:eastAsia="Times New Roman" w:hAnsi="Times New Roman" w:cs="Times New Roman"/>
                <w:color w:val="000000" w:themeColor="text1"/>
                <w:sz w:val="20"/>
                <w:szCs w:val="20"/>
                <w:lang w:eastAsia="ar-SA"/>
              </w:rPr>
              <w:t xml:space="preserve"> PD-1, Programmed death receptor-1</w:t>
            </w:r>
            <w:r w:rsidR="00F21148" w:rsidRPr="000E78AB">
              <w:rPr>
                <w:rFonts w:ascii="Times New Roman" w:eastAsia="Times New Roman" w:hAnsi="Times New Roman" w:cs="Times New Roman"/>
                <w:color w:val="000000" w:themeColor="text1"/>
                <w:sz w:val="20"/>
                <w:szCs w:val="20"/>
                <w:lang w:eastAsia="ar-SA"/>
              </w:rPr>
              <w:t>;</w:t>
            </w:r>
            <w:r w:rsidRPr="000E78AB">
              <w:rPr>
                <w:rFonts w:ascii="Times New Roman" w:eastAsia="Times New Roman" w:hAnsi="Times New Roman" w:cs="Times New Roman"/>
                <w:color w:val="000000" w:themeColor="text1"/>
                <w:sz w:val="20"/>
                <w:szCs w:val="20"/>
                <w:lang w:eastAsia="ar-SA"/>
              </w:rPr>
              <w:t xml:space="preserve"> PD-L1, Programmed death ligand-1</w:t>
            </w:r>
          </w:p>
        </w:tc>
      </w:tr>
    </w:tbl>
    <w:p w:rsidR="008849AE" w:rsidRPr="000E78AB" w:rsidRDefault="008849AE">
      <w:pPr>
        <w:bidi w:val="0"/>
        <w:rPr>
          <w:rFonts w:ascii="Times New Roman" w:hAnsi="Times New Roman" w:cs="Times New Roman"/>
          <w:color w:val="000000" w:themeColor="text1"/>
          <w:sz w:val="20"/>
          <w:szCs w:val="20"/>
          <w:lang w:eastAsia="zh-CN"/>
        </w:rPr>
      </w:pPr>
    </w:p>
    <w:p w:rsidR="00342DBB" w:rsidRPr="000E78AB" w:rsidRDefault="00FB7523" w:rsidP="003B3D6D">
      <w:pPr>
        <w:bidi w:val="0"/>
        <w:snapToGrid w:val="0"/>
        <w:spacing w:after="0" w:line="240" w:lineRule="auto"/>
        <w:jc w:val="center"/>
        <w:rPr>
          <w:rFonts w:ascii="Times New Roman" w:eastAsia="Times New Roman" w:hAnsi="Times New Roman" w:cs="Times New Roman"/>
          <w:color w:val="000000" w:themeColor="text1"/>
          <w:sz w:val="20"/>
          <w:szCs w:val="20"/>
          <w:lang w:eastAsia="ar-SA"/>
        </w:rPr>
      </w:pPr>
      <w:proofErr w:type="gramStart"/>
      <w:r w:rsidRPr="000E78AB">
        <w:rPr>
          <w:rFonts w:ascii="Times New Roman" w:eastAsia="Times New Roman" w:hAnsi="Times New Roman" w:cs="Times New Roman"/>
          <w:b/>
          <w:bCs/>
          <w:color w:val="000000" w:themeColor="text1"/>
          <w:sz w:val="20"/>
          <w:szCs w:val="20"/>
          <w:lang w:eastAsia="ar-SA"/>
        </w:rPr>
        <w:t xml:space="preserve">Table </w:t>
      </w:r>
      <w:r w:rsidR="00AA6F64" w:rsidRPr="000E78AB">
        <w:rPr>
          <w:rFonts w:ascii="Times New Roman" w:eastAsia="Times New Roman" w:hAnsi="Times New Roman" w:cs="Times New Roman"/>
          <w:b/>
          <w:bCs/>
          <w:color w:val="000000" w:themeColor="text1"/>
          <w:sz w:val="20"/>
          <w:szCs w:val="20"/>
          <w:lang w:eastAsia="ar-SA"/>
        </w:rPr>
        <w:t>(</w:t>
      </w:r>
      <w:r w:rsidRPr="000E78AB">
        <w:rPr>
          <w:rFonts w:ascii="Times New Roman" w:eastAsia="Times New Roman" w:hAnsi="Times New Roman" w:cs="Times New Roman"/>
          <w:b/>
          <w:bCs/>
          <w:color w:val="000000" w:themeColor="text1"/>
          <w:sz w:val="20"/>
          <w:szCs w:val="20"/>
          <w:lang w:eastAsia="ar-SA"/>
        </w:rPr>
        <w:t>3</w:t>
      </w:r>
      <w:r w:rsidR="00AA6F64" w:rsidRPr="000E78AB">
        <w:rPr>
          <w:rFonts w:ascii="Times New Roman" w:eastAsia="Times New Roman" w:hAnsi="Times New Roman" w:cs="Times New Roman"/>
          <w:b/>
          <w:bCs/>
          <w:color w:val="000000" w:themeColor="text1"/>
          <w:sz w:val="20"/>
          <w:szCs w:val="20"/>
          <w:lang w:eastAsia="ar-SA"/>
        </w:rPr>
        <w:t>):</w:t>
      </w:r>
      <w:r w:rsidR="00C35610" w:rsidRPr="000E78AB">
        <w:rPr>
          <w:rFonts w:ascii="Times New Roman" w:eastAsia="Times New Roman" w:hAnsi="Times New Roman" w:cs="Times New Roman"/>
          <w:color w:val="000000" w:themeColor="text1"/>
          <w:sz w:val="20"/>
          <w:szCs w:val="20"/>
          <w:lang w:eastAsia="ar-SA"/>
        </w:rPr>
        <w:t xml:space="preserve"> </w:t>
      </w:r>
      <w:r w:rsidRPr="000E78AB">
        <w:rPr>
          <w:rFonts w:ascii="Times New Roman" w:eastAsia="Times New Roman" w:hAnsi="Times New Roman" w:cs="Times New Roman"/>
          <w:color w:val="000000" w:themeColor="text1"/>
          <w:sz w:val="20"/>
          <w:szCs w:val="20"/>
          <w:lang w:eastAsia="ar-SA"/>
        </w:rPr>
        <w:t>Overall survival probability for different groups of patients.</w:t>
      </w:r>
      <w:proofErr w:type="gramEnd"/>
    </w:p>
    <w:tbl>
      <w:tblPr>
        <w:tblStyle w:val="TableGrid"/>
        <w:tblW w:w="0" w:type="auto"/>
        <w:jc w:val="center"/>
        <w:tblCellMar>
          <w:left w:w="57" w:type="dxa"/>
          <w:right w:w="57" w:type="dxa"/>
        </w:tblCellMar>
        <w:tblLook w:val="00A0" w:firstRow="1" w:lastRow="0" w:firstColumn="1" w:lastColumn="0" w:noHBand="0" w:noVBand="0"/>
      </w:tblPr>
      <w:tblGrid>
        <w:gridCol w:w="1035"/>
        <w:gridCol w:w="1088"/>
        <w:gridCol w:w="692"/>
        <w:gridCol w:w="1223"/>
        <w:gridCol w:w="1314"/>
        <w:gridCol w:w="903"/>
        <w:gridCol w:w="963"/>
        <w:gridCol w:w="391"/>
        <w:gridCol w:w="1867"/>
      </w:tblGrid>
      <w:tr w:rsidR="00C35610" w:rsidRPr="000E78AB" w:rsidTr="008849AE">
        <w:trPr>
          <w:jc w:val="center"/>
        </w:trPr>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Number of patients</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Events</w:t>
            </w:r>
          </w:p>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(N)</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Censored (N) (%)</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Median Survival (Months)</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 xml:space="preserve">Range </w:t>
            </w:r>
          </w:p>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(Months)</w:t>
            </w:r>
          </w:p>
        </w:tc>
        <w:tc>
          <w:tcPr>
            <w:tcW w:w="0" w:type="auto"/>
            <w:gridSpan w:val="3"/>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rPr>
              <w:t>Statistic test for equality of survival distributions (Log Rank)</w:t>
            </w:r>
          </w:p>
        </w:tc>
      </w:tr>
      <w:tr w:rsidR="008849AE" w:rsidRPr="000E78AB" w:rsidTr="008849AE">
        <w:trPr>
          <w:jc w:val="center"/>
        </w:trPr>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p>
        </w:tc>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Statistic</w:t>
            </w:r>
          </w:p>
        </w:tc>
        <w:tc>
          <w:tcPr>
            <w:tcW w:w="0" w:type="auto"/>
            <w:vAlign w:val="center"/>
          </w:tcPr>
          <w:p w:rsidR="00342DBB" w:rsidRPr="000E78AB" w:rsidRDefault="002E61BC" w:rsidP="000E78AB">
            <w:pPr>
              <w:bidi w:val="0"/>
              <w:snapToGrid w:val="0"/>
              <w:rPr>
                <w:rFonts w:ascii="Times New Roman" w:eastAsia="Times New Roman" w:hAnsi="Times New Roman" w:cs="Times New Roman"/>
                <w:b/>
                <w:bCs/>
                <w:color w:val="000000" w:themeColor="text1"/>
                <w:sz w:val="20"/>
                <w:szCs w:val="20"/>
                <w:lang w:eastAsia="ar-SA"/>
              </w:rPr>
            </w:pPr>
            <w:proofErr w:type="spellStart"/>
            <w:r w:rsidRPr="000E78AB">
              <w:rPr>
                <w:rFonts w:ascii="Times New Roman" w:eastAsia="Times New Roman" w:hAnsi="Times New Roman" w:cs="Times New Roman"/>
                <w:b/>
                <w:bCs/>
                <w:color w:val="000000" w:themeColor="text1"/>
                <w:sz w:val="20"/>
                <w:szCs w:val="20"/>
                <w:lang w:eastAsia="ar-SA"/>
              </w:rPr>
              <w:t>D</w:t>
            </w:r>
            <w:r w:rsidR="00342DBB" w:rsidRPr="000E78AB">
              <w:rPr>
                <w:rFonts w:ascii="Times New Roman" w:eastAsia="Times New Roman" w:hAnsi="Times New Roman" w:cs="Times New Roman"/>
                <w:b/>
                <w:bCs/>
                <w:color w:val="000000" w:themeColor="text1"/>
                <w:sz w:val="20"/>
                <w:szCs w:val="20"/>
                <w:lang w:eastAsia="ar-SA"/>
              </w:rPr>
              <w:t>f</w:t>
            </w:r>
            <w:proofErr w:type="spellEnd"/>
          </w:p>
        </w:tc>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P-value</w:t>
            </w:r>
            <w:r w:rsidR="008849AE" w:rsidRPr="000E78AB">
              <w:rPr>
                <w:rFonts w:ascii="Times New Roman" w:hAnsi="Times New Roman" w:cs="Times New Roman" w:hint="eastAsia"/>
                <w:b/>
                <w:bCs/>
                <w:color w:val="000000" w:themeColor="text1"/>
                <w:sz w:val="20"/>
                <w:szCs w:val="20"/>
                <w:lang w:eastAsia="zh-CN"/>
              </w:rPr>
              <w:t xml:space="preserve"> </w:t>
            </w:r>
            <w:r w:rsidRPr="000E78AB">
              <w:rPr>
                <w:rFonts w:ascii="Times New Roman" w:eastAsia="Times New Roman" w:hAnsi="Times New Roman" w:cs="Times New Roman"/>
                <w:b/>
                <w:bCs/>
                <w:color w:val="000000" w:themeColor="text1"/>
                <w:sz w:val="20"/>
                <w:szCs w:val="20"/>
                <w:lang w:eastAsia="ar-SA"/>
              </w:rPr>
              <w:t>(Significance)</w:t>
            </w:r>
          </w:p>
        </w:tc>
      </w:tr>
      <w:tr w:rsidR="008849AE" w:rsidRPr="000E78AB" w:rsidTr="008849AE">
        <w:trPr>
          <w:jc w:val="center"/>
        </w:trPr>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Low PD-1 (&lt;10%)</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56</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52(92.86%)</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16</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7-36</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28.104</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0.000*</w:t>
            </w:r>
          </w:p>
        </w:tc>
      </w:tr>
      <w:tr w:rsidR="008849AE" w:rsidRPr="000E78AB" w:rsidTr="008849AE">
        <w:trPr>
          <w:jc w:val="center"/>
        </w:trPr>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rPr>
            </w:pPr>
            <w:r w:rsidRPr="000E78AB">
              <w:rPr>
                <w:rFonts w:ascii="Times New Roman" w:eastAsia="Times New Roman" w:hAnsi="Times New Roman" w:cs="Times New Roman"/>
                <w:b/>
                <w:bCs/>
                <w:color w:val="000000" w:themeColor="text1"/>
                <w:sz w:val="20"/>
                <w:szCs w:val="20"/>
                <w:lang w:eastAsia="ar-SA"/>
              </w:rPr>
              <w:t>High PD-1 (≥10%)</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13</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 (53.85%)</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8</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6-20</w:t>
            </w: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r>
      <w:tr w:rsidR="008849AE" w:rsidRPr="000E78AB" w:rsidTr="008849AE">
        <w:trPr>
          <w:jc w:val="center"/>
        </w:trPr>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rPr>
              <w:t>Low PD-L1 (&lt;5%)</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41</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 xml:space="preserve">Zero </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41(100%)</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15</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7-36</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15.549</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color w:val="000000" w:themeColor="text1"/>
                <w:sz w:val="20"/>
                <w:szCs w:val="20"/>
                <w:lang w:eastAsia="ar-SA"/>
              </w:rPr>
              <w:t>1</w:t>
            </w:r>
          </w:p>
        </w:tc>
        <w:tc>
          <w:tcPr>
            <w:tcW w:w="0" w:type="auto"/>
            <w:vMerge w:val="restart"/>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0.000*</w:t>
            </w:r>
          </w:p>
        </w:tc>
      </w:tr>
      <w:tr w:rsidR="008849AE" w:rsidRPr="000E78AB" w:rsidTr="008849AE">
        <w:trPr>
          <w:jc w:val="center"/>
        </w:trPr>
        <w:tc>
          <w:tcPr>
            <w:tcW w:w="0" w:type="auto"/>
            <w:vAlign w:val="center"/>
          </w:tcPr>
          <w:p w:rsidR="00342DBB" w:rsidRPr="000E78AB" w:rsidRDefault="00342DBB" w:rsidP="000E78AB">
            <w:pPr>
              <w:bidi w:val="0"/>
              <w:snapToGrid w:val="0"/>
              <w:rPr>
                <w:rFonts w:ascii="Times New Roman" w:eastAsia="Times New Roman" w:hAnsi="Times New Roman" w:cs="Times New Roman"/>
                <w:b/>
                <w:bCs/>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rPr>
              <w:t>High PD-L1 (≥5%)</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28</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18 (64.29%)</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10.5</w:t>
            </w:r>
          </w:p>
        </w:tc>
        <w:tc>
          <w:tcPr>
            <w:tcW w:w="0" w:type="auto"/>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r w:rsidRPr="000E78AB">
              <w:rPr>
                <w:rFonts w:ascii="Times New Roman" w:eastAsia="Times New Roman" w:hAnsi="Times New Roman" w:cs="Times New Roman"/>
                <w:color w:val="000000" w:themeColor="text1"/>
                <w:sz w:val="20"/>
                <w:szCs w:val="20"/>
                <w:lang w:eastAsia="ar-SA"/>
              </w:rPr>
              <w:t>6-36</w:t>
            </w: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c>
          <w:tcPr>
            <w:tcW w:w="0" w:type="auto"/>
            <w:vMerge/>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rPr>
            </w:pPr>
          </w:p>
        </w:tc>
      </w:tr>
      <w:tr w:rsidR="00342DBB" w:rsidRPr="000E78AB" w:rsidTr="008849AE">
        <w:trPr>
          <w:jc w:val="center"/>
        </w:trPr>
        <w:tc>
          <w:tcPr>
            <w:tcW w:w="0" w:type="auto"/>
            <w:gridSpan w:val="9"/>
            <w:vAlign w:val="center"/>
          </w:tcPr>
          <w:p w:rsidR="00342DBB" w:rsidRPr="000E78AB" w:rsidRDefault="00342DBB" w:rsidP="000E78AB">
            <w:pPr>
              <w:bidi w:val="0"/>
              <w:snapToGrid w:val="0"/>
              <w:rPr>
                <w:rFonts w:ascii="Times New Roman" w:eastAsia="Times New Roman" w:hAnsi="Times New Roman" w:cs="Times New Roman"/>
                <w:color w:val="000000" w:themeColor="text1"/>
                <w:sz w:val="20"/>
                <w:szCs w:val="20"/>
                <w:lang w:eastAsia="ar-SA" w:bidi="ar-EG"/>
              </w:rPr>
            </w:pPr>
            <w:r w:rsidRPr="000E78AB">
              <w:rPr>
                <w:rFonts w:ascii="Times New Roman" w:eastAsia="Times New Roman" w:hAnsi="Times New Roman" w:cs="Times New Roman"/>
                <w:b/>
                <w:bCs/>
                <w:color w:val="000000" w:themeColor="text1"/>
                <w:sz w:val="20"/>
                <w:szCs w:val="20"/>
                <w:lang w:eastAsia="ar-SA"/>
              </w:rPr>
              <w:t xml:space="preserve">*, </w:t>
            </w:r>
            <w:r w:rsidRPr="000E78AB">
              <w:rPr>
                <w:rFonts w:ascii="Times New Roman" w:eastAsia="Times New Roman" w:hAnsi="Times New Roman" w:cs="Times New Roman"/>
                <w:color w:val="000000" w:themeColor="text1"/>
                <w:sz w:val="20"/>
                <w:szCs w:val="20"/>
                <w:lang w:eastAsia="ar-SA"/>
              </w:rPr>
              <w:t>significant</w:t>
            </w:r>
            <w:r w:rsidR="00F21148" w:rsidRPr="000E78AB">
              <w:rPr>
                <w:rFonts w:ascii="Times New Roman" w:eastAsia="Times New Roman" w:hAnsi="Times New Roman" w:cs="Times New Roman"/>
                <w:color w:val="000000" w:themeColor="text1"/>
                <w:sz w:val="20"/>
                <w:szCs w:val="20"/>
                <w:lang w:eastAsia="ar-SA"/>
              </w:rPr>
              <w:t>;</w:t>
            </w:r>
            <w:r w:rsidRPr="000E78AB">
              <w:rPr>
                <w:rFonts w:ascii="Times New Roman" w:eastAsia="Times New Roman" w:hAnsi="Times New Roman" w:cs="Times New Roman"/>
                <w:color w:val="000000" w:themeColor="text1"/>
                <w:sz w:val="20"/>
                <w:szCs w:val="20"/>
                <w:lang w:eastAsia="ar-SA"/>
              </w:rPr>
              <w:t xml:space="preserve"> N, Number</w:t>
            </w:r>
            <w:r w:rsidR="00F21148" w:rsidRPr="000E78AB">
              <w:rPr>
                <w:rFonts w:ascii="Times New Roman" w:eastAsia="Times New Roman" w:hAnsi="Times New Roman" w:cs="Times New Roman"/>
                <w:color w:val="000000" w:themeColor="text1"/>
                <w:sz w:val="20"/>
                <w:szCs w:val="20"/>
                <w:lang w:eastAsia="ar-SA"/>
              </w:rPr>
              <w:t>;</w:t>
            </w:r>
            <w:r w:rsidRPr="000E78AB">
              <w:rPr>
                <w:rFonts w:ascii="Times New Roman" w:eastAsia="Times New Roman" w:hAnsi="Times New Roman" w:cs="Times New Roman"/>
                <w:color w:val="000000" w:themeColor="text1"/>
                <w:sz w:val="20"/>
                <w:szCs w:val="20"/>
                <w:lang w:eastAsia="ar-SA"/>
              </w:rPr>
              <w:t xml:space="preserve"> PD-1, Programmed death receptor-1</w:t>
            </w:r>
            <w:r w:rsidR="00F21148" w:rsidRPr="000E78AB">
              <w:rPr>
                <w:rFonts w:ascii="Times New Roman" w:eastAsia="Times New Roman" w:hAnsi="Times New Roman" w:cs="Times New Roman"/>
                <w:color w:val="000000" w:themeColor="text1"/>
                <w:sz w:val="20"/>
                <w:szCs w:val="20"/>
                <w:lang w:eastAsia="ar-SA"/>
              </w:rPr>
              <w:t>;</w:t>
            </w:r>
            <w:r w:rsidRPr="000E78AB">
              <w:rPr>
                <w:rFonts w:ascii="Times New Roman" w:eastAsia="Times New Roman" w:hAnsi="Times New Roman" w:cs="Times New Roman"/>
                <w:color w:val="000000" w:themeColor="text1"/>
                <w:sz w:val="20"/>
                <w:szCs w:val="20"/>
                <w:lang w:eastAsia="ar-SA"/>
              </w:rPr>
              <w:t xml:space="preserve"> PD-L1, Programmed death ligand-1</w:t>
            </w:r>
          </w:p>
        </w:tc>
      </w:tr>
    </w:tbl>
    <w:p w:rsidR="00C35610" w:rsidRDefault="00C35610" w:rsidP="003B3D6D">
      <w:pPr>
        <w:bidi w:val="0"/>
        <w:snapToGrid w:val="0"/>
        <w:spacing w:after="0" w:line="240" w:lineRule="auto"/>
        <w:jc w:val="both"/>
        <w:rPr>
          <w:rFonts w:ascii="Times New Roman" w:hAnsi="Times New Roman" w:cs="Times New Roman"/>
          <w:b/>
          <w:bCs/>
          <w:color w:val="000000" w:themeColor="text1"/>
          <w:sz w:val="20"/>
          <w:szCs w:val="20"/>
          <w:lang w:eastAsia="zh-CN" w:bidi="ar-EG"/>
        </w:rPr>
      </w:pPr>
    </w:p>
    <w:p w:rsidR="000E78AB" w:rsidRPr="000E78AB" w:rsidRDefault="000E78AB" w:rsidP="000E78AB">
      <w:pPr>
        <w:bidi w:val="0"/>
        <w:snapToGrid w:val="0"/>
        <w:spacing w:after="0" w:line="240" w:lineRule="auto"/>
        <w:jc w:val="both"/>
        <w:rPr>
          <w:rFonts w:ascii="Times New Roman" w:hAnsi="Times New Roman" w:cs="Times New Roman"/>
          <w:b/>
          <w:bCs/>
          <w:color w:val="000000" w:themeColor="text1"/>
          <w:sz w:val="20"/>
          <w:szCs w:val="20"/>
          <w:lang w:eastAsia="zh-CN" w:bidi="ar-EG"/>
        </w:rPr>
      </w:pPr>
    </w:p>
    <w:p w:rsidR="009A426B" w:rsidRPr="000E78AB" w:rsidRDefault="009A426B" w:rsidP="003B3D6D">
      <w:pPr>
        <w:bidi w:val="0"/>
        <w:snapToGrid w:val="0"/>
        <w:spacing w:after="0" w:line="240" w:lineRule="auto"/>
        <w:jc w:val="center"/>
        <w:rPr>
          <w:rFonts w:ascii="Times New Roman" w:eastAsia="Times New Roman" w:hAnsi="Times New Roman" w:cs="Times New Roman"/>
          <w:b/>
          <w:bCs/>
          <w:color w:val="000000" w:themeColor="text1"/>
          <w:sz w:val="20"/>
          <w:szCs w:val="20"/>
          <w:lang w:eastAsia="ar-SA" w:bidi="ar-EG"/>
        </w:rPr>
        <w:sectPr w:rsidR="009A426B" w:rsidRPr="000E78AB" w:rsidSect="00C35610">
          <w:type w:val="continuous"/>
          <w:pgSz w:w="12242" w:h="15842" w:code="1"/>
          <w:pgMar w:top="1440" w:right="1440" w:bottom="1440" w:left="1440" w:header="720" w:footer="720" w:gutter="0"/>
          <w:cols w:space="720"/>
          <w:bidi/>
          <w:docGrid w:linePitch="360"/>
        </w:sectPr>
      </w:pPr>
    </w:p>
    <w:p w:rsidR="00AA6F64" w:rsidRPr="000E78AB" w:rsidRDefault="00B304B6" w:rsidP="003B3D6D">
      <w:pPr>
        <w:bidi w:val="0"/>
        <w:snapToGrid w:val="0"/>
        <w:spacing w:after="0" w:line="240" w:lineRule="auto"/>
        <w:jc w:val="center"/>
        <w:rPr>
          <w:rFonts w:ascii="Times New Roman" w:hAnsi="Times New Roman" w:cs="Times New Roman"/>
          <w:b/>
          <w:bCs/>
          <w:color w:val="000000" w:themeColor="text1"/>
          <w:sz w:val="20"/>
          <w:szCs w:val="20"/>
          <w:lang w:bidi="ar-EG"/>
        </w:rPr>
      </w:pPr>
      <w:r w:rsidRPr="000E78AB">
        <w:rPr>
          <w:rFonts w:ascii="Times New Roman" w:hAnsi="Times New Roman" w:cs="Times New Roman"/>
          <w:noProof/>
          <w:color w:val="000000"/>
          <w:sz w:val="20"/>
          <w:szCs w:val="20"/>
        </w:rPr>
        <w:lastRenderedPageBreak/>
        <w:drawing>
          <wp:inline distT="0" distB="0" distL="0" distR="0">
            <wp:extent cx="2628734" cy="2573383"/>
            <wp:effectExtent l="19050" t="0" r="166" b="0"/>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8" cstate="print">
                      <a:extLst>
                        <a:ext uri="{28A0092B-C50C-407E-A947-70E740481C1C}">
                          <a14:useLocalDpi xmlns:a14="http://schemas.microsoft.com/office/drawing/2010/main" val="0"/>
                        </a:ext>
                      </a:extLst>
                    </a:blip>
                    <a:srcRect r="16422"/>
                    <a:stretch>
                      <a:fillRect/>
                    </a:stretch>
                  </pic:blipFill>
                  <pic:spPr bwMode="auto">
                    <a:xfrm>
                      <a:off x="0" y="0"/>
                      <a:ext cx="2636593" cy="2581076"/>
                    </a:xfrm>
                    <a:prstGeom prst="rect">
                      <a:avLst/>
                    </a:prstGeom>
                    <a:noFill/>
                    <a:ln>
                      <a:noFill/>
                    </a:ln>
                  </pic:spPr>
                </pic:pic>
              </a:graphicData>
            </a:graphic>
          </wp:inline>
        </w:drawing>
      </w:r>
    </w:p>
    <w:p w:rsidR="00342DBB" w:rsidRPr="000E78AB" w:rsidRDefault="00342DBB" w:rsidP="008849AE">
      <w:pPr>
        <w:bidi w:val="0"/>
        <w:snapToGrid w:val="0"/>
        <w:spacing w:after="0" w:line="240" w:lineRule="auto"/>
        <w:jc w:val="both"/>
        <w:rPr>
          <w:rFonts w:ascii="Times New Roman" w:hAnsi="Times New Roman" w:cs="Times New Roman"/>
          <w:color w:val="000000" w:themeColor="text1"/>
          <w:sz w:val="20"/>
          <w:szCs w:val="20"/>
          <w:lang w:eastAsia="zh-CN" w:bidi="ar-EG"/>
        </w:rPr>
      </w:pPr>
      <w:r w:rsidRPr="000E78AB">
        <w:rPr>
          <w:rFonts w:ascii="Times New Roman" w:hAnsi="Times New Roman" w:cs="Times New Roman"/>
          <w:b/>
          <w:bCs/>
          <w:color w:val="000000" w:themeColor="text1"/>
          <w:sz w:val="20"/>
          <w:szCs w:val="20"/>
          <w:lang w:bidi="ar-EG"/>
        </w:rPr>
        <w:t xml:space="preserve">Figure </w:t>
      </w:r>
      <w:r w:rsidR="00834D07" w:rsidRPr="000E78AB">
        <w:rPr>
          <w:rFonts w:ascii="Times New Roman" w:hAnsi="Times New Roman" w:cs="Times New Roman"/>
          <w:b/>
          <w:bCs/>
          <w:color w:val="000000" w:themeColor="text1"/>
          <w:sz w:val="20"/>
          <w:szCs w:val="20"/>
          <w:lang w:bidi="ar-EG"/>
        </w:rPr>
        <w:t>(</w:t>
      </w:r>
      <w:r w:rsidR="00A6062D" w:rsidRPr="000E78AB">
        <w:rPr>
          <w:rFonts w:ascii="Times New Roman" w:hAnsi="Times New Roman" w:cs="Times New Roman"/>
          <w:b/>
          <w:bCs/>
          <w:color w:val="000000" w:themeColor="text1"/>
          <w:sz w:val="20"/>
          <w:szCs w:val="20"/>
          <w:lang w:bidi="ar-EG"/>
        </w:rPr>
        <w:t>3</w:t>
      </w:r>
      <w:r w:rsidR="00834D07" w:rsidRPr="000E78AB">
        <w:rPr>
          <w:rFonts w:ascii="Times New Roman" w:hAnsi="Times New Roman" w:cs="Times New Roman"/>
          <w:b/>
          <w:bCs/>
          <w:color w:val="000000" w:themeColor="text1"/>
          <w:sz w:val="20"/>
          <w:szCs w:val="20"/>
          <w:lang w:bidi="ar-EG"/>
        </w:rPr>
        <w:t>)</w:t>
      </w:r>
      <w:r w:rsidRPr="000E78AB">
        <w:rPr>
          <w:rFonts w:ascii="Times New Roman" w:hAnsi="Times New Roman" w:cs="Times New Roman"/>
          <w:b/>
          <w:bCs/>
          <w:color w:val="000000" w:themeColor="text1"/>
          <w:sz w:val="20"/>
          <w:szCs w:val="20"/>
          <w:lang w:bidi="ar-EG"/>
        </w:rPr>
        <w:t xml:space="preserve">: </w:t>
      </w:r>
      <w:r w:rsidRPr="000E78AB">
        <w:rPr>
          <w:rFonts w:ascii="Times New Roman" w:hAnsi="Times New Roman" w:cs="Times New Roman"/>
          <w:color w:val="000000" w:themeColor="text1"/>
          <w:sz w:val="20"/>
          <w:szCs w:val="20"/>
          <w:lang w:bidi="ar-EG"/>
        </w:rPr>
        <w:t>Kaplan–Meier analysis of the progression free survival probability for low and high PD-1 groups.</w:t>
      </w:r>
    </w:p>
    <w:p w:rsidR="008849AE" w:rsidRPr="000E78AB" w:rsidRDefault="008849AE" w:rsidP="008849AE">
      <w:pPr>
        <w:bidi w:val="0"/>
        <w:snapToGrid w:val="0"/>
        <w:spacing w:after="0" w:line="240" w:lineRule="auto"/>
        <w:jc w:val="both"/>
        <w:rPr>
          <w:rFonts w:ascii="Times New Roman" w:hAnsi="Times New Roman" w:cs="Times New Roman"/>
          <w:color w:val="000000" w:themeColor="text1"/>
          <w:sz w:val="20"/>
          <w:szCs w:val="20"/>
          <w:lang w:eastAsia="zh-CN" w:bidi="ar-EG"/>
        </w:rPr>
      </w:pPr>
    </w:p>
    <w:p w:rsidR="001341CA" w:rsidRPr="000E78AB" w:rsidRDefault="001341CA" w:rsidP="003B3D6D">
      <w:pPr>
        <w:bidi w:val="0"/>
        <w:snapToGrid w:val="0"/>
        <w:spacing w:after="0" w:line="240" w:lineRule="auto"/>
        <w:jc w:val="center"/>
        <w:rPr>
          <w:rFonts w:ascii="Times New Roman" w:hAnsi="Times New Roman" w:cs="Times New Roman"/>
          <w:color w:val="000000" w:themeColor="text1"/>
          <w:sz w:val="20"/>
          <w:szCs w:val="20"/>
        </w:rPr>
      </w:pPr>
      <w:r w:rsidRPr="000E78AB">
        <w:rPr>
          <w:rFonts w:ascii="Times New Roman" w:hAnsi="Times New Roman" w:cs="Times New Roman"/>
          <w:b/>
          <w:bCs/>
          <w:noProof/>
          <w:color w:val="000000"/>
          <w:sz w:val="20"/>
          <w:szCs w:val="20"/>
        </w:rPr>
        <w:lastRenderedPageBreak/>
        <w:drawing>
          <wp:inline distT="0" distB="0" distL="0" distR="0">
            <wp:extent cx="2667368" cy="2544418"/>
            <wp:effectExtent l="19050" t="0" r="0" b="0"/>
            <wp:docPr id="10"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9" cstate="print">
                      <a:extLst>
                        <a:ext uri="{28A0092B-C50C-407E-A947-70E740481C1C}">
                          <a14:useLocalDpi xmlns:a14="http://schemas.microsoft.com/office/drawing/2010/main" val="0"/>
                        </a:ext>
                      </a:extLst>
                    </a:blip>
                    <a:srcRect r="15260"/>
                    <a:stretch>
                      <a:fillRect/>
                    </a:stretch>
                  </pic:blipFill>
                  <pic:spPr bwMode="auto">
                    <a:xfrm>
                      <a:off x="0" y="0"/>
                      <a:ext cx="2674782" cy="2551490"/>
                    </a:xfrm>
                    <a:prstGeom prst="rect">
                      <a:avLst/>
                    </a:prstGeom>
                    <a:noFill/>
                    <a:ln>
                      <a:noFill/>
                    </a:ln>
                  </pic:spPr>
                </pic:pic>
              </a:graphicData>
            </a:graphic>
          </wp:inline>
        </w:drawing>
      </w:r>
    </w:p>
    <w:p w:rsidR="00F66F71" w:rsidRDefault="00342DBB" w:rsidP="008849AE">
      <w:pPr>
        <w:bidi w:val="0"/>
        <w:snapToGrid w:val="0"/>
        <w:spacing w:after="0" w:line="240" w:lineRule="auto"/>
        <w:jc w:val="both"/>
        <w:rPr>
          <w:rFonts w:ascii="Times New Roman" w:hAnsi="Times New Roman" w:cs="Times New Roman"/>
          <w:color w:val="000000" w:themeColor="text1"/>
          <w:sz w:val="20"/>
          <w:szCs w:val="20"/>
          <w:lang w:eastAsia="zh-CN" w:bidi="ar-EG"/>
        </w:rPr>
      </w:pPr>
      <w:r w:rsidRPr="000E78AB">
        <w:rPr>
          <w:rFonts w:ascii="Times New Roman" w:hAnsi="Times New Roman" w:cs="Times New Roman"/>
          <w:b/>
          <w:bCs/>
          <w:color w:val="000000" w:themeColor="text1"/>
          <w:sz w:val="20"/>
          <w:szCs w:val="20"/>
          <w:lang w:bidi="ar-EG"/>
        </w:rPr>
        <w:t xml:space="preserve">Figure </w:t>
      </w:r>
      <w:r w:rsidR="00AA6F64" w:rsidRPr="000E78AB">
        <w:rPr>
          <w:rFonts w:ascii="Times New Roman" w:hAnsi="Times New Roman" w:cs="Times New Roman"/>
          <w:b/>
          <w:bCs/>
          <w:color w:val="000000" w:themeColor="text1"/>
          <w:sz w:val="20"/>
          <w:szCs w:val="20"/>
          <w:lang w:bidi="ar-EG"/>
        </w:rPr>
        <w:t>(</w:t>
      </w:r>
      <w:r w:rsidR="00A6062D" w:rsidRPr="000E78AB">
        <w:rPr>
          <w:rFonts w:ascii="Times New Roman" w:hAnsi="Times New Roman" w:cs="Times New Roman"/>
          <w:b/>
          <w:bCs/>
          <w:color w:val="000000" w:themeColor="text1"/>
          <w:sz w:val="20"/>
          <w:szCs w:val="20"/>
          <w:lang w:bidi="ar-EG"/>
        </w:rPr>
        <w:t>4</w:t>
      </w:r>
      <w:r w:rsidR="00AA6F64" w:rsidRPr="000E78AB">
        <w:rPr>
          <w:rFonts w:ascii="Times New Roman" w:hAnsi="Times New Roman" w:cs="Times New Roman"/>
          <w:b/>
          <w:bCs/>
          <w:color w:val="000000" w:themeColor="text1"/>
          <w:sz w:val="20"/>
          <w:szCs w:val="20"/>
          <w:lang w:bidi="ar-EG"/>
        </w:rPr>
        <w:t>)</w:t>
      </w:r>
      <w:r w:rsidRPr="000E78AB">
        <w:rPr>
          <w:rFonts w:ascii="Times New Roman" w:hAnsi="Times New Roman" w:cs="Times New Roman"/>
          <w:b/>
          <w:bCs/>
          <w:color w:val="000000" w:themeColor="text1"/>
          <w:sz w:val="20"/>
          <w:szCs w:val="20"/>
          <w:lang w:bidi="ar-EG"/>
        </w:rPr>
        <w:t xml:space="preserve">: </w:t>
      </w:r>
      <w:r w:rsidRPr="000E78AB">
        <w:rPr>
          <w:rFonts w:ascii="Times New Roman" w:hAnsi="Times New Roman" w:cs="Times New Roman"/>
          <w:color w:val="000000" w:themeColor="text1"/>
          <w:sz w:val="20"/>
          <w:szCs w:val="20"/>
          <w:lang w:bidi="ar-EG"/>
        </w:rPr>
        <w:t>Kaplan–Meier analysis of the progression free survival probability for low and high PD-L1 groups.</w:t>
      </w:r>
    </w:p>
    <w:p w:rsidR="000E78AB" w:rsidRDefault="000E78AB" w:rsidP="000E78AB">
      <w:pPr>
        <w:bidi w:val="0"/>
        <w:snapToGrid w:val="0"/>
        <w:spacing w:after="0" w:line="240" w:lineRule="auto"/>
        <w:jc w:val="both"/>
        <w:rPr>
          <w:rFonts w:ascii="Times New Roman" w:hAnsi="Times New Roman" w:cs="Times New Roman"/>
          <w:color w:val="000000" w:themeColor="text1"/>
          <w:sz w:val="20"/>
          <w:szCs w:val="20"/>
          <w:lang w:eastAsia="zh-CN" w:bidi="ar-EG"/>
        </w:rPr>
      </w:pPr>
    </w:p>
    <w:p w:rsidR="000E78AB" w:rsidRPr="000E78AB" w:rsidRDefault="000E78AB" w:rsidP="000E78AB">
      <w:pPr>
        <w:bidi w:val="0"/>
        <w:snapToGrid w:val="0"/>
        <w:spacing w:after="0" w:line="240" w:lineRule="auto"/>
        <w:jc w:val="both"/>
        <w:rPr>
          <w:rFonts w:ascii="Times New Roman" w:hAnsi="Times New Roman" w:cs="Times New Roman"/>
          <w:color w:val="000000" w:themeColor="text1"/>
          <w:sz w:val="20"/>
          <w:szCs w:val="20"/>
          <w:lang w:eastAsia="zh-CN" w:bidi="ar-EG"/>
        </w:rPr>
      </w:pPr>
    </w:p>
    <w:p w:rsidR="00F66F71" w:rsidRPr="000E78AB" w:rsidRDefault="00F66F71" w:rsidP="003B3D6D">
      <w:pPr>
        <w:bidi w:val="0"/>
        <w:snapToGrid w:val="0"/>
        <w:spacing w:after="0" w:line="240" w:lineRule="auto"/>
        <w:jc w:val="center"/>
        <w:rPr>
          <w:rFonts w:ascii="Times New Roman" w:hAnsi="Times New Roman" w:cs="Times New Roman"/>
          <w:color w:val="000000" w:themeColor="text1"/>
          <w:sz w:val="20"/>
          <w:szCs w:val="20"/>
          <w:lang w:bidi="ar-EG"/>
        </w:rPr>
      </w:pPr>
      <w:r w:rsidRPr="000E78AB">
        <w:rPr>
          <w:rFonts w:ascii="Times New Roman" w:hAnsi="Times New Roman" w:cs="Times New Roman"/>
          <w:noProof/>
          <w:color w:val="000000"/>
          <w:sz w:val="20"/>
          <w:szCs w:val="20"/>
        </w:rPr>
        <w:lastRenderedPageBreak/>
        <w:drawing>
          <wp:inline distT="0" distB="0" distL="0" distR="0">
            <wp:extent cx="2555903" cy="2361537"/>
            <wp:effectExtent l="19050" t="0" r="0" b="0"/>
            <wp:docPr id="11" name="Picture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20" cstate="print">
                      <a:extLst>
                        <a:ext uri="{28A0092B-C50C-407E-A947-70E740481C1C}">
                          <a14:useLocalDpi xmlns:a14="http://schemas.microsoft.com/office/drawing/2010/main" val="0"/>
                        </a:ext>
                      </a:extLst>
                    </a:blip>
                    <a:srcRect r="14958"/>
                    <a:stretch>
                      <a:fillRect/>
                    </a:stretch>
                  </pic:blipFill>
                  <pic:spPr bwMode="auto">
                    <a:xfrm>
                      <a:off x="0" y="0"/>
                      <a:ext cx="2555904" cy="2361538"/>
                    </a:xfrm>
                    <a:prstGeom prst="rect">
                      <a:avLst/>
                    </a:prstGeom>
                    <a:noFill/>
                    <a:ln>
                      <a:noFill/>
                    </a:ln>
                  </pic:spPr>
                </pic:pic>
              </a:graphicData>
            </a:graphic>
          </wp:inline>
        </w:drawing>
      </w:r>
    </w:p>
    <w:p w:rsidR="00342DBB" w:rsidRPr="000E78AB" w:rsidRDefault="00342DBB" w:rsidP="008849AE">
      <w:pPr>
        <w:bidi w:val="0"/>
        <w:snapToGrid w:val="0"/>
        <w:spacing w:after="0" w:line="240" w:lineRule="auto"/>
        <w:jc w:val="both"/>
        <w:rPr>
          <w:rFonts w:ascii="Times New Roman" w:hAnsi="Times New Roman" w:cs="Times New Roman"/>
          <w:b/>
          <w:bCs/>
          <w:color w:val="000000" w:themeColor="text1"/>
          <w:sz w:val="20"/>
          <w:szCs w:val="20"/>
          <w:lang w:bidi="ar-EG"/>
        </w:rPr>
      </w:pPr>
      <w:r w:rsidRPr="000E78AB">
        <w:rPr>
          <w:rFonts w:ascii="Times New Roman" w:hAnsi="Times New Roman" w:cs="Times New Roman"/>
          <w:b/>
          <w:bCs/>
          <w:color w:val="000000" w:themeColor="text1"/>
          <w:sz w:val="20"/>
          <w:szCs w:val="20"/>
          <w:lang w:bidi="ar-EG"/>
        </w:rPr>
        <w:t xml:space="preserve">Figure </w:t>
      </w:r>
      <w:r w:rsidR="00AA6F64" w:rsidRPr="000E78AB">
        <w:rPr>
          <w:rFonts w:ascii="Times New Roman" w:hAnsi="Times New Roman" w:cs="Times New Roman"/>
          <w:b/>
          <w:bCs/>
          <w:color w:val="000000" w:themeColor="text1"/>
          <w:sz w:val="20"/>
          <w:szCs w:val="20"/>
          <w:lang w:bidi="ar-EG"/>
        </w:rPr>
        <w:t>(</w:t>
      </w:r>
      <w:r w:rsidR="00A6062D" w:rsidRPr="000E78AB">
        <w:rPr>
          <w:rFonts w:ascii="Times New Roman" w:hAnsi="Times New Roman" w:cs="Times New Roman"/>
          <w:b/>
          <w:bCs/>
          <w:color w:val="000000" w:themeColor="text1"/>
          <w:sz w:val="20"/>
          <w:szCs w:val="20"/>
          <w:lang w:bidi="ar-EG"/>
        </w:rPr>
        <w:t>5</w:t>
      </w:r>
      <w:r w:rsidR="00AA6F64" w:rsidRPr="000E78AB">
        <w:rPr>
          <w:rFonts w:ascii="Times New Roman" w:hAnsi="Times New Roman" w:cs="Times New Roman"/>
          <w:b/>
          <w:bCs/>
          <w:color w:val="000000" w:themeColor="text1"/>
          <w:sz w:val="20"/>
          <w:szCs w:val="20"/>
          <w:lang w:bidi="ar-EG"/>
        </w:rPr>
        <w:t>)</w:t>
      </w:r>
      <w:r w:rsidR="008849AE" w:rsidRPr="000E78AB">
        <w:rPr>
          <w:rFonts w:ascii="Times New Roman" w:hAnsi="Times New Roman" w:cs="Times New Roman"/>
          <w:b/>
          <w:bCs/>
          <w:color w:val="000000" w:themeColor="text1"/>
          <w:sz w:val="20"/>
          <w:szCs w:val="20"/>
          <w:lang w:bidi="ar-EG"/>
        </w:rPr>
        <w:t xml:space="preserve">: </w:t>
      </w:r>
      <w:r w:rsidR="008849AE" w:rsidRPr="000E78AB">
        <w:rPr>
          <w:rFonts w:ascii="Times New Roman" w:hAnsi="Times New Roman" w:cs="Times New Roman"/>
          <w:color w:val="000000" w:themeColor="text1"/>
          <w:sz w:val="20"/>
          <w:szCs w:val="20"/>
          <w:lang w:bidi="ar-EG"/>
        </w:rPr>
        <w:t>K</w:t>
      </w:r>
      <w:r w:rsidRPr="000E78AB">
        <w:rPr>
          <w:rFonts w:ascii="Times New Roman" w:hAnsi="Times New Roman" w:cs="Times New Roman"/>
          <w:color w:val="000000" w:themeColor="text1"/>
          <w:sz w:val="20"/>
          <w:szCs w:val="20"/>
          <w:lang w:bidi="ar-EG"/>
        </w:rPr>
        <w:t>aplan–Meier analysis of the overall survival probability for low and high PD-1 groups.</w:t>
      </w:r>
    </w:p>
    <w:p w:rsidR="001E76B6" w:rsidRPr="000E78AB" w:rsidRDefault="001E76B6" w:rsidP="003B3D6D">
      <w:pPr>
        <w:tabs>
          <w:tab w:val="right" w:pos="4500"/>
        </w:tabs>
        <w:bidi w:val="0"/>
        <w:snapToGrid w:val="0"/>
        <w:spacing w:after="0" w:line="240" w:lineRule="auto"/>
        <w:jc w:val="both"/>
        <w:rPr>
          <w:rFonts w:ascii="Times New Roman" w:eastAsia="Times New Roman" w:hAnsi="Times New Roman" w:cs="Times New Roman"/>
          <w:b/>
          <w:bCs/>
          <w:noProof/>
          <w:color w:val="000000" w:themeColor="text1"/>
          <w:sz w:val="20"/>
          <w:szCs w:val="20"/>
        </w:rPr>
      </w:pPr>
    </w:p>
    <w:p w:rsidR="003915F9" w:rsidRPr="000E78AB" w:rsidRDefault="00984E6D" w:rsidP="003B3D6D">
      <w:pPr>
        <w:bidi w:val="0"/>
        <w:snapToGrid w:val="0"/>
        <w:spacing w:after="0" w:line="240" w:lineRule="auto"/>
        <w:jc w:val="center"/>
        <w:rPr>
          <w:rFonts w:ascii="Times New Roman" w:eastAsia="Times New Roman" w:hAnsi="Times New Roman" w:cs="Times New Roman"/>
          <w:b/>
          <w:bCs/>
          <w:noProof/>
          <w:color w:val="000000" w:themeColor="text1"/>
          <w:sz w:val="20"/>
          <w:szCs w:val="20"/>
        </w:rPr>
      </w:pPr>
      <w:r w:rsidRPr="000E78AB">
        <w:rPr>
          <w:rFonts w:ascii="Times New Roman" w:hAnsi="Times New Roman" w:cs="Times New Roman"/>
          <w:b/>
          <w:bCs/>
          <w:noProof/>
          <w:color w:val="000000"/>
          <w:sz w:val="20"/>
          <w:szCs w:val="20"/>
        </w:rPr>
        <w:drawing>
          <wp:inline distT="0" distB="0" distL="0" distR="0">
            <wp:extent cx="2588978" cy="2425148"/>
            <wp:effectExtent l="19050" t="0" r="1822" b="0"/>
            <wp:docPr id="16" name="Picture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21" cstate="print">
                      <a:extLst>
                        <a:ext uri="{28A0092B-C50C-407E-A947-70E740481C1C}">
                          <a14:useLocalDpi xmlns:a14="http://schemas.microsoft.com/office/drawing/2010/main" val="0"/>
                        </a:ext>
                      </a:extLst>
                    </a:blip>
                    <a:srcRect r="16218"/>
                    <a:stretch>
                      <a:fillRect/>
                    </a:stretch>
                  </pic:blipFill>
                  <pic:spPr bwMode="auto">
                    <a:xfrm>
                      <a:off x="0" y="0"/>
                      <a:ext cx="2591868" cy="2427855"/>
                    </a:xfrm>
                    <a:prstGeom prst="rect">
                      <a:avLst/>
                    </a:prstGeom>
                    <a:noFill/>
                    <a:ln>
                      <a:noFill/>
                    </a:ln>
                  </pic:spPr>
                </pic:pic>
              </a:graphicData>
            </a:graphic>
          </wp:inline>
        </w:drawing>
      </w:r>
    </w:p>
    <w:p w:rsidR="001E76B6" w:rsidRPr="000E78AB" w:rsidRDefault="001E76B6" w:rsidP="008849AE">
      <w:pPr>
        <w:bidi w:val="0"/>
        <w:snapToGrid w:val="0"/>
        <w:spacing w:after="0" w:line="240" w:lineRule="auto"/>
        <w:jc w:val="both"/>
        <w:rPr>
          <w:rFonts w:ascii="Times New Roman" w:hAnsi="Times New Roman" w:cs="Times New Roman"/>
          <w:noProof/>
          <w:color w:val="000000" w:themeColor="text1"/>
          <w:sz w:val="20"/>
          <w:szCs w:val="20"/>
        </w:rPr>
      </w:pPr>
      <w:r w:rsidRPr="000E78AB">
        <w:rPr>
          <w:rFonts w:ascii="Times New Roman" w:hAnsi="Times New Roman" w:cs="Times New Roman"/>
          <w:b/>
          <w:bCs/>
          <w:noProof/>
          <w:color w:val="000000" w:themeColor="text1"/>
          <w:sz w:val="20"/>
          <w:szCs w:val="20"/>
        </w:rPr>
        <w:t xml:space="preserve">Figure </w:t>
      </w:r>
      <w:r w:rsidR="00AA6F64" w:rsidRPr="000E78AB">
        <w:rPr>
          <w:rFonts w:ascii="Times New Roman" w:hAnsi="Times New Roman" w:cs="Times New Roman"/>
          <w:b/>
          <w:bCs/>
          <w:noProof/>
          <w:color w:val="000000" w:themeColor="text1"/>
          <w:sz w:val="20"/>
          <w:szCs w:val="20"/>
        </w:rPr>
        <w:t>(</w:t>
      </w:r>
      <w:r w:rsidR="00A6062D" w:rsidRPr="000E78AB">
        <w:rPr>
          <w:rFonts w:ascii="Times New Roman" w:hAnsi="Times New Roman" w:cs="Times New Roman"/>
          <w:b/>
          <w:bCs/>
          <w:noProof/>
          <w:color w:val="000000" w:themeColor="text1"/>
          <w:sz w:val="20"/>
          <w:szCs w:val="20"/>
        </w:rPr>
        <w:t>6</w:t>
      </w:r>
      <w:r w:rsidR="00AA6F64" w:rsidRPr="000E78AB">
        <w:rPr>
          <w:rFonts w:ascii="Times New Roman" w:hAnsi="Times New Roman" w:cs="Times New Roman"/>
          <w:b/>
          <w:bCs/>
          <w:noProof/>
          <w:color w:val="000000" w:themeColor="text1"/>
          <w:sz w:val="20"/>
          <w:szCs w:val="20"/>
        </w:rPr>
        <w:t>)</w:t>
      </w:r>
      <w:r w:rsidRPr="000E78AB">
        <w:rPr>
          <w:rFonts w:ascii="Times New Roman" w:hAnsi="Times New Roman" w:cs="Times New Roman"/>
          <w:b/>
          <w:bCs/>
          <w:noProof/>
          <w:color w:val="000000" w:themeColor="text1"/>
          <w:sz w:val="20"/>
          <w:szCs w:val="20"/>
        </w:rPr>
        <w:t xml:space="preserve">: </w:t>
      </w:r>
      <w:r w:rsidRPr="000E78AB">
        <w:rPr>
          <w:rFonts w:ascii="Times New Roman" w:hAnsi="Times New Roman" w:cs="Times New Roman"/>
          <w:noProof/>
          <w:color w:val="000000" w:themeColor="text1"/>
          <w:sz w:val="20"/>
          <w:szCs w:val="20"/>
        </w:rPr>
        <w:t>Kaplan–Meier analysis of the overall survival probability for low and high PD-L1 groups.</w:t>
      </w:r>
    </w:p>
    <w:p w:rsidR="000D45BD" w:rsidRPr="000E78AB" w:rsidRDefault="000D45BD" w:rsidP="003B3D6D">
      <w:pPr>
        <w:bidi w:val="0"/>
        <w:snapToGrid w:val="0"/>
        <w:spacing w:after="0" w:line="240" w:lineRule="auto"/>
        <w:jc w:val="both"/>
        <w:rPr>
          <w:rFonts w:ascii="Times New Roman" w:eastAsia="Calibri" w:hAnsi="Times New Roman" w:cs="Times New Roman"/>
          <w:b/>
          <w:bCs/>
          <w:color w:val="000000" w:themeColor="text1"/>
          <w:sz w:val="20"/>
          <w:szCs w:val="20"/>
          <w:lang w:bidi="ar-EG"/>
        </w:rPr>
      </w:pPr>
    </w:p>
    <w:p w:rsidR="00997C0F" w:rsidRPr="000E78AB" w:rsidRDefault="009A0496" w:rsidP="003B3D6D">
      <w:pPr>
        <w:bidi w:val="0"/>
        <w:snapToGrid w:val="0"/>
        <w:spacing w:after="0" w:line="240" w:lineRule="auto"/>
        <w:jc w:val="both"/>
        <w:rPr>
          <w:rFonts w:ascii="Times New Roman" w:eastAsia="Calibri" w:hAnsi="Times New Roman" w:cs="Times New Roman"/>
          <w:color w:val="000000" w:themeColor="text1"/>
          <w:sz w:val="20"/>
          <w:szCs w:val="20"/>
          <w:lang w:bidi="ar-EG"/>
        </w:rPr>
      </w:pPr>
      <w:r>
        <w:rPr>
          <w:rFonts w:ascii="Times New Roman" w:eastAsia="Calibri" w:hAnsi="Times New Roman" w:cs="Times New Roman"/>
          <w:b/>
          <w:bCs/>
          <w:color w:val="000000" w:themeColor="text1"/>
          <w:sz w:val="20"/>
          <w:szCs w:val="20"/>
          <w:lang w:bidi="ar-EG"/>
        </w:rPr>
        <w:t xml:space="preserve">4. </w:t>
      </w:r>
      <w:r w:rsidR="008849AE" w:rsidRPr="000E78AB">
        <w:rPr>
          <w:rFonts w:ascii="Times New Roman" w:eastAsia="Calibri" w:hAnsi="Times New Roman" w:cs="Times New Roman"/>
          <w:b/>
          <w:bCs/>
          <w:color w:val="000000" w:themeColor="text1"/>
          <w:sz w:val="20"/>
          <w:szCs w:val="20"/>
          <w:lang w:bidi="ar-EG"/>
        </w:rPr>
        <w:t>Discussion</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Classical HL is a unique tumor with malignant cells making up only a small portion of the overall tumor cellularity.</w:t>
      </w:r>
      <w:r w:rsidRPr="008C4E56">
        <w:rPr>
          <w:rFonts w:asciiTheme="majorBidi" w:eastAsia="Calibri" w:hAnsiTheme="majorBidi" w:cstheme="majorBidi"/>
          <w:b/>
          <w:bCs/>
          <w:color w:val="000000" w:themeColor="text1"/>
          <w:sz w:val="20"/>
          <w:szCs w:val="20"/>
          <w:vertAlign w:val="superscript"/>
          <w:lang w:bidi="ar-EG"/>
        </w:rPr>
        <w:t xml:space="preserve"> (19)</w:t>
      </w:r>
      <w:r w:rsidRPr="008C4E56">
        <w:rPr>
          <w:rFonts w:asciiTheme="majorBidi" w:eastAsia="Calibri" w:hAnsiTheme="majorBidi" w:cstheme="majorBidi"/>
          <w:color w:val="000000" w:themeColor="text1"/>
          <w:sz w:val="20"/>
          <w:szCs w:val="20"/>
          <w:lang w:bidi="ar-EG"/>
        </w:rPr>
        <w:t xml:space="preserve"> Reed-Sternberg cells are encompassed by dense, mixed inflammatory infiltrate. However, even with the recruitment of many immune cells to the tumor site, there is an insufficient </w:t>
      </w:r>
      <w:proofErr w:type="spellStart"/>
      <w:r w:rsidRPr="008C4E56">
        <w:rPr>
          <w:rFonts w:asciiTheme="majorBidi" w:eastAsia="Calibri" w:hAnsiTheme="majorBidi" w:cstheme="majorBidi"/>
          <w:color w:val="000000" w:themeColor="text1"/>
          <w:sz w:val="20"/>
          <w:szCs w:val="20"/>
          <w:lang w:bidi="ar-EG"/>
        </w:rPr>
        <w:t>antitumoral</w:t>
      </w:r>
      <w:proofErr w:type="spellEnd"/>
      <w:r w:rsidRPr="008C4E56">
        <w:rPr>
          <w:rFonts w:asciiTheme="majorBidi" w:eastAsia="Calibri" w:hAnsiTheme="majorBidi" w:cstheme="majorBidi"/>
          <w:color w:val="000000" w:themeColor="text1"/>
          <w:sz w:val="20"/>
          <w:szCs w:val="20"/>
          <w:lang w:bidi="ar-EG"/>
        </w:rPr>
        <w:t xml:space="preserve"> response</w:t>
      </w:r>
      <w:proofErr w:type="gramStart"/>
      <w:r w:rsidRPr="008C4E56">
        <w:rPr>
          <w:rFonts w:asciiTheme="majorBidi" w:eastAsia="Calibri" w:hAnsiTheme="majorBidi" w:cstheme="majorBidi"/>
          <w:color w:val="000000" w:themeColor="text1"/>
          <w:sz w:val="20"/>
          <w:szCs w:val="20"/>
          <w:lang w:bidi="ar-EG"/>
        </w:rPr>
        <w:t>.</w:t>
      </w:r>
      <w:r w:rsidRPr="008C4E56">
        <w:rPr>
          <w:rFonts w:asciiTheme="majorBidi" w:eastAsia="Calibri" w:hAnsiTheme="majorBidi" w:cstheme="majorBidi"/>
          <w:b/>
          <w:bCs/>
          <w:color w:val="000000" w:themeColor="text1"/>
          <w:sz w:val="20"/>
          <w:szCs w:val="20"/>
          <w:vertAlign w:val="superscript"/>
          <w:lang w:bidi="ar-EG"/>
        </w:rPr>
        <w:t>(</w:t>
      </w:r>
      <w:proofErr w:type="gramEnd"/>
      <w:r w:rsidRPr="008C4E56">
        <w:rPr>
          <w:rFonts w:asciiTheme="majorBidi" w:eastAsia="Calibri" w:hAnsiTheme="majorBidi" w:cstheme="majorBidi"/>
          <w:b/>
          <w:bCs/>
          <w:color w:val="000000" w:themeColor="text1"/>
          <w:sz w:val="20"/>
          <w:szCs w:val="20"/>
          <w:vertAlign w:val="superscript"/>
          <w:lang w:bidi="ar-EG"/>
        </w:rPr>
        <w:t>20)</w:t>
      </w:r>
      <w:r w:rsidRPr="008C4E56">
        <w:rPr>
          <w:rFonts w:asciiTheme="majorBidi" w:eastAsia="Calibri" w:hAnsiTheme="majorBidi" w:cstheme="majorBidi"/>
          <w:color w:val="000000" w:themeColor="text1"/>
          <w:sz w:val="20"/>
          <w:szCs w:val="20"/>
          <w:lang w:bidi="ar-EG"/>
        </w:rPr>
        <w:t xml:space="preserve"> 9p24.1 was characterized in classical HL tumor lines contains the locus for the </w:t>
      </w:r>
      <w:r w:rsidRPr="008C4E56">
        <w:rPr>
          <w:rFonts w:asciiTheme="majorBidi" w:eastAsia="Calibri" w:hAnsiTheme="majorBidi" w:cstheme="majorBidi"/>
          <w:i/>
          <w:iCs/>
          <w:color w:val="000000" w:themeColor="text1"/>
          <w:sz w:val="20"/>
          <w:szCs w:val="20"/>
          <w:lang w:bidi="ar-EG"/>
        </w:rPr>
        <w:t>PD-L1</w:t>
      </w:r>
      <w:r w:rsidRPr="008C4E56">
        <w:rPr>
          <w:rFonts w:asciiTheme="majorBidi" w:eastAsia="Calibri" w:hAnsiTheme="majorBidi" w:cstheme="majorBidi"/>
          <w:color w:val="000000" w:themeColor="text1"/>
          <w:sz w:val="20"/>
          <w:szCs w:val="20"/>
          <w:lang w:bidi="ar-EG"/>
        </w:rPr>
        <w:t xml:space="preserve">. Studies utilizing fluorescence in situ hybridization detected 9p24.1 abnormalities in almost all tumors collected from a group of patients with recently diagnosed </w:t>
      </w:r>
      <w:proofErr w:type="spellStart"/>
      <w:r w:rsidRPr="008C4E56">
        <w:rPr>
          <w:rFonts w:asciiTheme="majorBidi" w:eastAsia="Calibri" w:hAnsiTheme="majorBidi" w:cstheme="majorBidi"/>
          <w:color w:val="000000" w:themeColor="text1"/>
          <w:sz w:val="20"/>
          <w:szCs w:val="20"/>
          <w:lang w:bidi="ar-EG"/>
        </w:rPr>
        <w:t>cHL.</w:t>
      </w:r>
      <w:proofErr w:type="spellEnd"/>
      <w:r w:rsidRPr="008C4E56">
        <w:rPr>
          <w:rFonts w:asciiTheme="majorBidi" w:eastAsia="Calibri" w:hAnsiTheme="majorBidi" w:cstheme="majorBidi"/>
          <w:b/>
          <w:bCs/>
          <w:color w:val="000000" w:themeColor="text1"/>
          <w:sz w:val="20"/>
          <w:szCs w:val="20"/>
          <w:vertAlign w:val="superscript"/>
          <w:lang w:bidi="ar-EG"/>
        </w:rPr>
        <w:t>(21,22)</w:t>
      </w:r>
      <w:r w:rsidRPr="008C4E56">
        <w:rPr>
          <w:rFonts w:asciiTheme="majorBidi" w:eastAsia="Calibri" w:hAnsiTheme="majorBidi" w:cstheme="majorBidi"/>
          <w:color w:val="000000" w:themeColor="text1"/>
          <w:sz w:val="20"/>
          <w:szCs w:val="20"/>
          <w:lang w:bidi="ar-EG"/>
        </w:rPr>
        <w:t xml:space="preserve"> At the protein level, it can also be revealed that most </w:t>
      </w:r>
      <w:proofErr w:type="spellStart"/>
      <w:r w:rsidRPr="008C4E56">
        <w:rPr>
          <w:rFonts w:asciiTheme="majorBidi" w:eastAsia="Calibri" w:hAnsiTheme="majorBidi" w:cstheme="majorBidi"/>
          <w:color w:val="000000" w:themeColor="text1"/>
          <w:sz w:val="20"/>
          <w:szCs w:val="20"/>
          <w:lang w:bidi="ar-EG"/>
        </w:rPr>
        <w:t>cHL</w:t>
      </w:r>
      <w:proofErr w:type="spellEnd"/>
      <w:r w:rsidRPr="008C4E56">
        <w:rPr>
          <w:rFonts w:asciiTheme="majorBidi" w:eastAsia="Calibri" w:hAnsiTheme="majorBidi" w:cstheme="majorBidi"/>
          <w:color w:val="000000" w:themeColor="text1"/>
          <w:sz w:val="20"/>
          <w:szCs w:val="20"/>
          <w:lang w:bidi="ar-EG"/>
        </w:rPr>
        <w:t xml:space="preserve"> tumors show increased PD-L1 expression on the cell surface and on tumor-infiltrating macrophages.</w:t>
      </w:r>
      <w:r w:rsidRPr="008C4E56">
        <w:rPr>
          <w:rFonts w:asciiTheme="majorBidi" w:eastAsia="Calibri" w:hAnsiTheme="majorBidi" w:cstheme="majorBidi"/>
          <w:b/>
          <w:bCs/>
          <w:color w:val="000000" w:themeColor="text1"/>
          <w:sz w:val="20"/>
          <w:szCs w:val="20"/>
          <w:vertAlign w:val="superscript"/>
          <w:lang w:bidi="ar-EG"/>
        </w:rPr>
        <w:t>(23)</w:t>
      </w:r>
      <w:r w:rsidRPr="008C4E56">
        <w:rPr>
          <w:rFonts w:asciiTheme="majorBidi" w:eastAsia="Calibri" w:hAnsiTheme="majorBidi" w:cstheme="majorBidi"/>
          <w:color w:val="000000" w:themeColor="text1"/>
          <w:sz w:val="20"/>
          <w:szCs w:val="20"/>
          <w:lang w:bidi="ar-EG"/>
        </w:rPr>
        <w:t> </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vertAlign w:val="superscript"/>
          <w:lang w:bidi="ar-EG"/>
        </w:rPr>
      </w:pPr>
      <w:r w:rsidRPr="008C4E56">
        <w:rPr>
          <w:rFonts w:asciiTheme="majorBidi" w:eastAsia="Calibri" w:hAnsiTheme="majorBidi" w:cstheme="majorBidi"/>
          <w:color w:val="000000" w:themeColor="text1"/>
          <w:sz w:val="20"/>
          <w:szCs w:val="20"/>
          <w:lang w:bidi="ar-EG"/>
        </w:rPr>
        <w:lastRenderedPageBreak/>
        <w:t xml:space="preserve">The importance of the PD-1 and PD-L1 in </w:t>
      </w:r>
      <w:proofErr w:type="spellStart"/>
      <w:r w:rsidRPr="008C4E56">
        <w:rPr>
          <w:rFonts w:asciiTheme="majorBidi" w:eastAsia="Calibri" w:hAnsiTheme="majorBidi" w:cstheme="majorBidi"/>
          <w:color w:val="000000" w:themeColor="text1"/>
          <w:sz w:val="20"/>
          <w:szCs w:val="20"/>
          <w:lang w:bidi="ar-EG"/>
        </w:rPr>
        <w:t>cHL</w:t>
      </w:r>
      <w:proofErr w:type="spellEnd"/>
      <w:r w:rsidRPr="008C4E56">
        <w:rPr>
          <w:rFonts w:asciiTheme="majorBidi" w:eastAsia="Calibri" w:hAnsiTheme="majorBidi" w:cstheme="majorBidi"/>
          <w:color w:val="000000" w:themeColor="text1"/>
          <w:sz w:val="20"/>
          <w:szCs w:val="20"/>
          <w:lang w:bidi="ar-EG"/>
        </w:rPr>
        <w:t xml:space="preserve"> has previously been shown five studies reported.</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The first study by </w:t>
      </w:r>
      <w:proofErr w:type="spellStart"/>
      <w:r w:rsidRPr="008C4E56">
        <w:rPr>
          <w:rFonts w:asciiTheme="majorBidi" w:eastAsia="Calibri" w:hAnsiTheme="majorBidi" w:cstheme="majorBidi"/>
          <w:b/>
          <w:bCs/>
          <w:color w:val="000000" w:themeColor="text1"/>
          <w:sz w:val="20"/>
          <w:szCs w:val="20"/>
          <w:lang w:bidi="ar-EG"/>
        </w:rPr>
        <w:t>Muenst</w:t>
      </w:r>
      <w:proofErr w:type="spellEnd"/>
      <w:r w:rsidRPr="008C4E56">
        <w:rPr>
          <w:rFonts w:asciiTheme="majorBidi" w:eastAsia="Calibri" w:hAnsiTheme="majorBidi" w:cstheme="majorBidi"/>
          <w:b/>
          <w:bCs/>
          <w:color w:val="000000" w:themeColor="text1"/>
          <w:sz w:val="20"/>
          <w:szCs w:val="20"/>
          <w:lang w:bidi="ar-EG"/>
        </w:rPr>
        <w:t xml:space="preserve"> et al, </w:t>
      </w:r>
      <w:r w:rsidRPr="008C4E56">
        <w:rPr>
          <w:rFonts w:asciiTheme="majorBidi" w:eastAsia="Calibri" w:hAnsiTheme="majorBidi" w:cstheme="majorBidi"/>
          <w:b/>
          <w:bCs/>
          <w:color w:val="000000" w:themeColor="text1"/>
          <w:sz w:val="20"/>
          <w:szCs w:val="20"/>
          <w:vertAlign w:val="superscript"/>
          <w:lang w:bidi="ar-EG"/>
        </w:rPr>
        <w:t>(24)</w:t>
      </w:r>
      <w:r w:rsidRPr="008C4E56">
        <w:rPr>
          <w:rFonts w:asciiTheme="majorBidi" w:eastAsia="Calibri" w:hAnsiTheme="majorBidi" w:cstheme="majorBidi"/>
          <w:color w:val="000000" w:themeColor="text1"/>
          <w:sz w:val="20"/>
          <w:szCs w:val="20"/>
          <w:lang w:bidi="ar-EG"/>
        </w:rPr>
        <w:t xml:space="preserve"> who correlated the number of PD-1+ lymphocytes in HL with the remaining background lymphocyte populations using tissue microarray. Amount of PD-1+ tumor-infiltrating lymphocytes above the prognostic cutoff score (23 cells/mm</w:t>
      </w:r>
      <w:r w:rsidRPr="008C4E56">
        <w:rPr>
          <w:rFonts w:asciiTheme="majorBidi" w:eastAsia="Calibri" w:hAnsiTheme="majorBidi" w:cstheme="majorBidi"/>
          <w:color w:val="000000" w:themeColor="text1"/>
          <w:sz w:val="20"/>
          <w:szCs w:val="20"/>
          <w:vertAlign w:val="superscript"/>
          <w:lang w:bidi="ar-EG"/>
        </w:rPr>
        <w:t>2</w:t>
      </w:r>
      <w:r w:rsidRPr="008C4E56">
        <w:rPr>
          <w:rFonts w:asciiTheme="majorBidi" w:eastAsia="Calibri" w:hAnsiTheme="majorBidi" w:cstheme="majorBidi"/>
          <w:color w:val="000000" w:themeColor="text1"/>
          <w:sz w:val="20"/>
          <w:szCs w:val="20"/>
          <w:lang w:bidi="ar-EG"/>
        </w:rPr>
        <w:t>) was a prognostic factor of OS.</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The second study by </w:t>
      </w:r>
      <w:r w:rsidRPr="008C4E56">
        <w:rPr>
          <w:rFonts w:asciiTheme="majorBidi" w:eastAsia="Calibri" w:hAnsiTheme="majorBidi" w:cstheme="majorBidi"/>
          <w:b/>
          <w:bCs/>
          <w:color w:val="000000" w:themeColor="text1"/>
          <w:sz w:val="20"/>
          <w:szCs w:val="20"/>
          <w:lang w:bidi="ar-EG"/>
        </w:rPr>
        <w:t xml:space="preserve">Greaves et al, </w:t>
      </w:r>
      <w:r w:rsidRPr="008C4E56">
        <w:rPr>
          <w:rFonts w:asciiTheme="majorBidi" w:eastAsia="Calibri" w:hAnsiTheme="majorBidi" w:cstheme="majorBidi"/>
          <w:b/>
          <w:bCs/>
          <w:color w:val="000000" w:themeColor="text1"/>
          <w:sz w:val="20"/>
          <w:szCs w:val="20"/>
          <w:vertAlign w:val="superscript"/>
          <w:lang w:bidi="ar-EG"/>
        </w:rPr>
        <w:t xml:space="preserve">(25) </w:t>
      </w:r>
      <w:r w:rsidRPr="008C4E56">
        <w:rPr>
          <w:rFonts w:asciiTheme="majorBidi" w:eastAsia="Calibri" w:hAnsiTheme="majorBidi" w:cstheme="majorBidi"/>
          <w:color w:val="000000" w:themeColor="text1"/>
          <w:sz w:val="20"/>
          <w:szCs w:val="20"/>
          <w:lang w:bidi="ar-EG"/>
        </w:rPr>
        <w:t xml:space="preserve">IHC analysis was done using tissue microarrays from 122 previously untreated </w:t>
      </w:r>
      <w:proofErr w:type="spellStart"/>
      <w:r w:rsidRPr="008C4E56">
        <w:rPr>
          <w:rFonts w:asciiTheme="majorBidi" w:eastAsia="Calibri" w:hAnsiTheme="majorBidi" w:cstheme="majorBidi"/>
          <w:color w:val="000000" w:themeColor="text1"/>
          <w:sz w:val="20"/>
          <w:szCs w:val="20"/>
          <w:lang w:bidi="ar-EG"/>
        </w:rPr>
        <w:t>cHL</w:t>
      </w:r>
      <w:proofErr w:type="spellEnd"/>
      <w:r w:rsidRPr="008C4E56">
        <w:rPr>
          <w:rFonts w:asciiTheme="majorBidi" w:eastAsia="Calibri" w:hAnsiTheme="majorBidi" w:cstheme="majorBidi"/>
          <w:color w:val="000000" w:themeColor="text1"/>
          <w:sz w:val="20"/>
          <w:szCs w:val="20"/>
          <w:lang w:bidi="ar-EG"/>
        </w:rPr>
        <w:t xml:space="preserve"> patients. Outcomes of freedom from first-line treatment failure, disease-specific survival (DSS) and OS were assessed. PD-1 expression was strikingly low or absent in the microenvironment of the majority of patients. The rare patients with high expression of PD-1 had adverse outcomes. In contrast, PD-L1 was expressed at a high level in both HRS and the microenvironment in the majority of cases. Level of PD-L1 expression in the microenvironment was not associated with any clinical outcome.</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proofErr w:type="gramStart"/>
      <w:r w:rsidRPr="008C4E56">
        <w:rPr>
          <w:rFonts w:asciiTheme="majorBidi" w:eastAsia="Calibri" w:hAnsiTheme="majorBidi" w:cstheme="majorBidi"/>
          <w:color w:val="000000" w:themeColor="text1"/>
          <w:sz w:val="20"/>
          <w:szCs w:val="20"/>
          <w:lang w:bidi="ar-EG"/>
        </w:rPr>
        <w:t xml:space="preserve">The third study by </w:t>
      </w:r>
      <w:proofErr w:type="spellStart"/>
      <w:r w:rsidRPr="008C4E56">
        <w:rPr>
          <w:rFonts w:asciiTheme="majorBidi" w:eastAsia="Calibri" w:hAnsiTheme="majorBidi" w:cstheme="majorBidi"/>
          <w:b/>
          <w:bCs/>
          <w:color w:val="000000" w:themeColor="text1"/>
          <w:sz w:val="20"/>
          <w:szCs w:val="20"/>
          <w:lang w:bidi="ar-EG"/>
        </w:rPr>
        <w:t>Paydas</w:t>
      </w:r>
      <w:proofErr w:type="spellEnd"/>
      <w:r w:rsidRPr="008C4E56">
        <w:rPr>
          <w:rFonts w:asciiTheme="majorBidi" w:eastAsia="Calibri" w:hAnsiTheme="majorBidi" w:cstheme="majorBidi"/>
          <w:b/>
          <w:bCs/>
          <w:color w:val="000000" w:themeColor="text1"/>
          <w:sz w:val="20"/>
          <w:szCs w:val="20"/>
          <w:lang w:bidi="ar-EG"/>
        </w:rPr>
        <w:t xml:space="preserve"> et al, </w:t>
      </w:r>
      <w:r w:rsidRPr="008C4E56">
        <w:rPr>
          <w:rFonts w:asciiTheme="majorBidi" w:eastAsia="Calibri" w:hAnsiTheme="majorBidi" w:cstheme="majorBidi"/>
          <w:b/>
          <w:bCs/>
          <w:color w:val="000000" w:themeColor="text1"/>
          <w:sz w:val="20"/>
          <w:szCs w:val="20"/>
          <w:vertAlign w:val="superscript"/>
          <w:lang w:bidi="ar-EG"/>
        </w:rPr>
        <w:t>(26)</w:t>
      </w:r>
      <w:r w:rsidRPr="008C4E56">
        <w:rPr>
          <w:rFonts w:asciiTheme="majorBidi" w:eastAsia="Calibri" w:hAnsiTheme="majorBidi" w:cstheme="majorBidi"/>
          <w:color w:val="000000" w:themeColor="text1"/>
          <w:sz w:val="20"/>
          <w:szCs w:val="20"/>
          <w:lang w:bidi="ar-EG"/>
        </w:rPr>
        <w:t xml:space="preserve"> who used IHC staining to detect the PD-1 and PD-L1 expressions.</w:t>
      </w:r>
      <w:proofErr w:type="gramEnd"/>
      <w:r w:rsidRPr="008C4E56">
        <w:rPr>
          <w:rFonts w:asciiTheme="majorBidi" w:eastAsia="Calibri" w:hAnsiTheme="majorBidi" w:cstheme="majorBidi"/>
          <w:color w:val="000000" w:themeColor="text1"/>
          <w:sz w:val="20"/>
          <w:szCs w:val="20"/>
          <w:lang w:bidi="ar-EG"/>
        </w:rPr>
        <w:t xml:space="preserve"> </w:t>
      </w:r>
      <w:proofErr w:type="gramStart"/>
      <w:r w:rsidRPr="008C4E56">
        <w:rPr>
          <w:rFonts w:asciiTheme="majorBidi" w:eastAsia="Calibri" w:hAnsiTheme="majorBidi" w:cstheme="majorBidi"/>
          <w:color w:val="000000" w:themeColor="text1"/>
          <w:sz w:val="20"/>
          <w:szCs w:val="20"/>
          <w:lang w:bidi="ar-EG"/>
        </w:rPr>
        <w:t>Their  expressions</w:t>
      </w:r>
      <w:proofErr w:type="gramEnd"/>
      <w:r w:rsidRPr="008C4E56">
        <w:rPr>
          <w:rFonts w:asciiTheme="majorBidi" w:eastAsia="Calibri" w:hAnsiTheme="majorBidi" w:cstheme="majorBidi"/>
          <w:color w:val="000000" w:themeColor="text1"/>
          <w:sz w:val="20"/>
          <w:szCs w:val="20"/>
          <w:lang w:bidi="ar-EG"/>
        </w:rPr>
        <w:t xml:space="preserve"> were found in 20 % of the cases. It has been found that co-expression of PD-1 and PD-L1 was associated with shorter OS and disease-free survival. </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The fourth study by </w:t>
      </w:r>
      <w:proofErr w:type="spellStart"/>
      <w:r w:rsidRPr="008C4E56">
        <w:rPr>
          <w:rFonts w:asciiTheme="majorBidi" w:eastAsia="Calibri" w:hAnsiTheme="majorBidi" w:cstheme="majorBidi"/>
          <w:b/>
          <w:bCs/>
          <w:color w:val="000000" w:themeColor="text1"/>
          <w:sz w:val="20"/>
          <w:szCs w:val="20"/>
          <w:lang w:bidi="ar-EG"/>
        </w:rPr>
        <w:t>Koh</w:t>
      </w:r>
      <w:proofErr w:type="spellEnd"/>
      <w:r w:rsidRPr="008C4E56">
        <w:rPr>
          <w:rFonts w:asciiTheme="majorBidi" w:eastAsia="Calibri" w:hAnsiTheme="majorBidi" w:cstheme="majorBidi"/>
          <w:b/>
          <w:bCs/>
          <w:color w:val="000000" w:themeColor="text1"/>
          <w:sz w:val="20"/>
          <w:szCs w:val="20"/>
          <w:lang w:bidi="ar-EG"/>
        </w:rPr>
        <w:t xml:space="preserve"> et al, </w:t>
      </w:r>
      <w:r w:rsidRPr="008C4E56">
        <w:rPr>
          <w:rFonts w:asciiTheme="majorBidi" w:eastAsia="Calibri" w:hAnsiTheme="majorBidi" w:cstheme="majorBidi"/>
          <w:b/>
          <w:bCs/>
          <w:color w:val="000000" w:themeColor="text1"/>
          <w:sz w:val="20"/>
          <w:szCs w:val="20"/>
          <w:vertAlign w:val="superscript"/>
          <w:lang w:bidi="ar-EG"/>
        </w:rPr>
        <w:t>(27)</w:t>
      </w:r>
      <w:r w:rsidRPr="008C4E56">
        <w:rPr>
          <w:rFonts w:asciiTheme="majorBidi" w:eastAsia="Calibri" w:hAnsiTheme="majorBidi" w:cstheme="majorBidi"/>
          <w:color w:val="000000" w:themeColor="text1"/>
          <w:sz w:val="20"/>
          <w:szCs w:val="20"/>
          <w:lang w:bidi="ar-EG"/>
        </w:rPr>
        <w:t xml:space="preserve"> who used IHC for PD-L1, and PD-1 expressions from 109 classical HL patients,   PD-1 protein expressed in the </w:t>
      </w:r>
      <w:proofErr w:type="spellStart"/>
      <w:r w:rsidRPr="008C4E56">
        <w:rPr>
          <w:rFonts w:asciiTheme="majorBidi" w:eastAsia="Calibri" w:hAnsiTheme="majorBidi" w:cstheme="majorBidi"/>
          <w:color w:val="000000" w:themeColor="text1"/>
          <w:sz w:val="20"/>
          <w:szCs w:val="20"/>
          <w:lang w:bidi="ar-EG"/>
        </w:rPr>
        <w:t>peritumoral</w:t>
      </w:r>
      <w:proofErr w:type="spellEnd"/>
      <w:r w:rsidRPr="008C4E56">
        <w:rPr>
          <w:rFonts w:asciiTheme="majorBidi" w:eastAsia="Calibri" w:hAnsiTheme="majorBidi" w:cstheme="majorBidi"/>
          <w:color w:val="000000" w:themeColor="text1"/>
          <w:sz w:val="20"/>
          <w:szCs w:val="20"/>
          <w:lang w:bidi="ar-EG"/>
        </w:rPr>
        <w:t xml:space="preserve"> microenvironment in thirteen patients and was associated with OS while PD-L1 expression was not associated with OS. Multivariate analysis identified PD-1 protein as an independent prognostic factor for OS.</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The fifth study by </w:t>
      </w:r>
      <w:r w:rsidRPr="008C4E56">
        <w:rPr>
          <w:rFonts w:asciiTheme="majorBidi" w:eastAsia="Calibri" w:hAnsiTheme="majorBidi" w:cstheme="majorBidi"/>
          <w:b/>
          <w:bCs/>
          <w:color w:val="000000" w:themeColor="text1"/>
          <w:sz w:val="20"/>
          <w:szCs w:val="20"/>
          <w:lang w:bidi="ar-EG"/>
        </w:rPr>
        <w:t xml:space="preserve">Hollander et al, </w:t>
      </w:r>
      <w:r w:rsidRPr="008C4E56">
        <w:rPr>
          <w:rFonts w:asciiTheme="majorBidi" w:eastAsia="Calibri" w:hAnsiTheme="majorBidi" w:cstheme="majorBidi"/>
          <w:b/>
          <w:bCs/>
          <w:color w:val="000000" w:themeColor="text1"/>
          <w:sz w:val="20"/>
          <w:szCs w:val="20"/>
          <w:vertAlign w:val="superscript"/>
          <w:lang w:bidi="ar-EG"/>
        </w:rPr>
        <w:t xml:space="preserve">(10) </w:t>
      </w:r>
      <w:r w:rsidRPr="008C4E56">
        <w:rPr>
          <w:rFonts w:asciiTheme="majorBidi" w:eastAsia="Calibri" w:hAnsiTheme="majorBidi" w:cstheme="majorBidi"/>
          <w:color w:val="000000" w:themeColor="text1"/>
          <w:sz w:val="20"/>
          <w:szCs w:val="20"/>
          <w:lang w:bidi="ar-EG"/>
        </w:rPr>
        <w:t>who used IHC to detect PD-1, and PD-L1expression from 387 classical HL patients. Event-free survival (EFS) and OS were analyzed, their expression in the microenvironment were associated with poor EFS in a multivariate analysis. A high proportion of PD-L1</w:t>
      </w:r>
      <w:r w:rsidRPr="008C4E56">
        <w:rPr>
          <w:rFonts w:asciiTheme="majorBidi" w:eastAsia="Calibri" w:hAnsiTheme="majorBidi" w:cstheme="majorBidi"/>
          <w:color w:val="000000" w:themeColor="text1"/>
          <w:sz w:val="20"/>
          <w:szCs w:val="20"/>
          <w:vertAlign w:val="superscript"/>
          <w:lang w:bidi="ar-EG"/>
        </w:rPr>
        <w:t>+</w:t>
      </w:r>
      <w:r w:rsidRPr="008C4E56">
        <w:rPr>
          <w:rFonts w:asciiTheme="majorBidi" w:eastAsia="Calibri" w:hAnsiTheme="majorBidi" w:cstheme="majorBidi"/>
          <w:color w:val="000000" w:themeColor="text1"/>
          <w:sz w:val="20"/>
          <w:szCs w:val="20"/>
          <w:lang w:bidi="ar-EG"/>
        </w:rPr>
        <w:t> leukocytes were also associated with inferior OS in a multivariate analysis.</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Different results may be due to different cutoffs to predict outcome, different methods of statistical analysis, different pathological analysis for different tumor microenvironment cells (HRS, or leukocytes), and different number of patients with different clinical and pathological characters and variations of follow up periods </w:t>
      </w:r>
      <w:r w:rsidRPr="008C4E56">
        <w:rPr>
          <w:rFonts w:asciiTheme="majorBidi" w:eastAsia="Calibri" w:hAnsiTheme="majorBidi" w:cstheme="majorBidi"/>
          <w:b/>
          <w:bCs/>
          <w:color w:val="000000" w:themeColor="text1"/>
          <w:sz w:val="20"/>
          <w:szCs w:val="20"/>
          <w:vertAlign w:val="superscript"/>
          <w:lang w:bidi="ar-EG"/>
        </w:rPr>
        <w:t>(28, 29)</w:t>
      </w:r>
      <w:r w:rsidRPr="008C4E56">
        <w:rPr>
          <w:rFonts w:asciiTheme="majorBidi" w:eastAsia="Calibri" w:hAnsiTheme="majorBidi" w:cstheme="majorBidi"/>
          <w:color w:val="000000" w:themeColor="text1"/>
          <w:sz w:val="20"/>
          <w:szCs w:val="20"/>
          <w:lang w:bidi="ar-EG"/>
        </w:rPr>
        <w:t xml:space="preserve"> PD-L1 is probably the main inducer of immunosuppression in malignant conditions because of its inducible capacity.</w:t>
      </w:r>
      <w:r w:rsidRPr="008C4E56">
        <w:rPr>
          <w:rFonts w:asciiTheme="majorBidi" w:eastAsia="Calibri" w:hAnsiTheme="majorBidi" w:cstheme="majorBidi"/>
          <w:b/>
          <w:bCs/>
          <w:color w:val="000000" w:themeColor="text1"/>
          <w:sz w:val="20"/>
          <w:szCs w:val="20"/>
          <w:vertAlign w:val="superscript"/>
          <w:lang w:bidi="ar-EG"/>
        </w:rPr>
        <w:t xml:space="preserve"> (28)</w:t>
      </w:r>
      <w:r w:rsidRPr="008C4E56">
        <w:rPr>
          <w:rFonts w:asciiTheme="majorBidi" w:eastAsia="Calibri" w:hAnsiTheme="majorBidi" w:cstheme="majorBidi"/>
          <w:color w:val="000000" w:themeColor="text1"/>
          <w:sz w:val="20"/>
          <w:szCs w:val="20"/>
          <w:lang w:bidi="ar-EG"/>
        </w:rPr>
        <w:t xml:space="preserve"> </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Macrophages have been associated with inferior prognosis in </w:t>
      </w:r>
      <w:proofErr w:type="spellStart"/>
      <w:r w:rsidRPr="008C4E56">
        <w:rPr>
          <w:rFonts w:asciiTheme="majorBidi" w:eastAsia="Calibri" w:hAnsiTheme="majorBidi" w:cstheme="majorBidi"/>
          <w:color w:val="000000" w:themeColor="text1"/>
          <w:sz w:val="20"/>
          <w:szCs w:val="20"/>
          <w:lang w:bidi="ar-EG"/>
        </w:rPr>
        <w:t>cHL</w:t>
      </w:r>
      <w:proofErr w:type="spellEnd"/>
      <w:r w:rsidRPr="008C4E56">
        <w:rPr>
          <w:rFonts w:asciiTheme="majorBidi" w:eastAsia="Calibri" w:hAnsiTheme="majorBidi" w:cstheme="majorBidi"/>
          <w:color w:val="000000" w:themeColor="text1"/>
          <w:sz w:val="20"/>
          <w:szCs w:val="20"/>
          <w:lang w:bidi="ar-EG"/>
        </w:rPr>
        <w:t xml:space="preserve"> in several studies,</w:t>
      </w:r>
      <w:r w:rsidRPr="008C4E56">
        <w:rPr>
          <w:rFonts w:asciiTheme="majorBidi" w:eastAsia="Calibri" w:hAnsiTheme="majorBidi" w:cstheme="majorBidi"/>
          <w:b/>
          <w:bCs/>
          <w:color w:val="000000" w:themeColor="text1"/>
          <w:sz w:val="20"/>
          <w:szCs w:val="20"/>
          <w:vertAlign w:val="superscript"/>
          <w:lang w:bidi="ar-EG"/>
        </w:rPr>
        <w:t>(30,31)</w:t>
      </w:r>
      <w:r w:rsidRPr="008C4E56">
        <w:rPr>
          <w:rFonts w:asciiTheme="majorBidi" w:eastAsia="Calibri" w:hAnsiTheme="majorBidi" w:cstheme="majorBidi"/>
          <w:color w:val="000000" w:themeColor="text1"/>
          <w:sz w:val="20"/>
          <w:szCs w:val="20"/>
          <w:lang w:bidi="ar-EG"/>
        </w:rPr>
        <w:t> whereas other studies found no association with outcome.</w:t>
      </w:r>
      <w:r w:rsidRPr="008C4E56">
        <w:rPr>
          <w:rFonts w:asciiTheme="majorBidi" w:eastAsia="Calibri" w:hAnsiTheme="majorBidi" w:cstheme="majorBidi"/>
          <w:b/>
          <w:bCs/>
          <w:color w:val="000000" w:themeColor="text1"/>
          <w:sz w:val="20"/>
          <w:szCs w:val="20"/>
          <w:vertAlign w:val="superscript"/>
          <w:lang w:bidi="ar-EG"/>
        </w:rPr>
        <w:t xml:space="preserve">(32,33) </w:t>
      </w:r>
      <w:r w:rsidRPr="008C4E56">
        <w:rPr>
          <w:rFonts w:asciiTheme="majorBidi" w:eastAsia="Calibri" w:hAnsiTheme="majorBidi" w:cstheme="majorBidi"/>
          <w:color w:val="000000" w:themeColor="text1"/>
          <w:sz w:val="20"/>
          <w:szCs w:val="20"/>
          <w:lang w:bidi="ar-EG"/>
        </w:rPr>
        <w:lastRenderedPageBreak/>
        <w:t>Macrophages are able to express PD-L1</w:t>
      </w:r>
      <w:bookmarkStart w:id="3" w:name="_Hlk536641082"/>
      <w:r w:rsidRPr="008C4E56">
        <w:rPr>
          <w:rFonts w:asciiTheme="majorBidi" w:eastAsia="Calibri" w:hAnsiTheme="majorBidi" w:cstheme="majorBidi"/>
          <w:color w:val="000000" w:themeColor="text1"/>
          <w:sz w:val="20"/>
          <w:szCs w:val="20"/>
          <w:lang w:bidi="ar-EG"/>
        </w:rPr>
        <w:t>.</w:t>
      </w:r>
      <w:r w:rsidRPr="008C4E56">
        <w:rPr>
          <w:rFonts w:asciiTheme="majorBidi" w:eastAsia="Calibri" w:hAnsiTheme="majorBidi" w:cstheme="majorBidi"/>
          <w:b/>
          <w:bCs/>
          <w:color w:val="000000" w:themeColor="text1"/>
          <w:sz w:val="20"/>
          <w:szCs w:val="20"/>
          <w:vertAlign w:val="superscript"/>
          <w:lang w:bidi="ar-EG"/>
        </w:rPr>
        <w:t>(29)</w:t>
      </w:r>
      <w:r w:rsidRPr="008C4E56">
        <w:rPr>
          <w:rFonts w:asciiTheme="majorBidi" w:eastAsia="Calibri" w:hAnsiTheme="majorBidi" w:cstheme="majorBidi"/>
          <w:color w:val="000000" w:themeColor="text1"/>
          <w:sz w:val="20"/>
          <w:szCs w:val="20"/>
          <w:lang w:bidi="ar-EG"/>
        </w:rPr>
        <w:t xml:space="preserve"> </w:t>
      </w:r>
      <w:bookmarkEnd w:id="3"/>
      <w:r w:rsidRPr="008C4E56">
        <w:rPr>
          <w:rFonts w:asciiTheme="majorBidi" w:eastAsia="Calibri" w:hAnsiTheme="majorBidi" w:cstheme="majorBidi"/>
          <w:color w:val="000000" w:themeColor="text1"/>
          <w:sz w:val="20"/>
          <w:szCs w:val="20"/>
          <w:lang w:bidi="ar-EG"/>
        </w:rPr>
        <w:t>However, other leukocytes are also able to express PD-L1</w:t>
      </w:r>
      <w:r w:rsidRPr="008C4E56">
        <w:rPr>
          <w:rFonts w:asciiTheme="majorBidi" w:eastAsia="Calibri" w:hAnsiTheme="majorBidi" w:cstheme="majorBidi"/>
          <w:b/>
          <w:bCs/>
          <w:color w:val="000000" w:themeColor="text1"/>
          <w:sz w:val="20"/>
          <w:szCs w:val="20"/>
          <w:vertAlign w:val="superscript"/>
          <w:lang w:bidi="ar-EG"/>
        </w:rPr>
        <w:t>(34)</w:t>
      </w:r>
      <w:r w:rsidRPr="008C4E56">
        <w:rPr>
          <w:rFonts w:asciiTheme="majorBidi" w:eastAsia="Calibri" w:hAnsiTheme="majorBidi" w:cstheme="majorBidi"/>
          <w:color w:val="000000" w:themeColor="text1"/>
          <w:sz w:val="20"/>
          <w:szCs w:val="20"/>
          <w:lang w:bidi="ar-EG"/>
        </w:rPr>
        <w:t> and this probably contributes to making an immunologically crippled tumor milieu in cases with a high proportion of PD-L1</w:t>
      </w:r>
      <w:r w:rsidRPr="008C4E56">
        <w:rPr>
          <w:rFonts w:asciiTheme="majorBidi" w:eastAsia="Calibri" w:hAnsiTheme="majorBidi" w:cstheme="majorBidi"/>
          <w:color w:val="000000" w:themeColor="text1"/>
          <w:sz w:val="20"/>
          <w:szCs w:val="20"/>
          <w:vertAlign w:val="superscript"/>
          <w:lang w:bidi="ar-EG"/>
        </w:rPr>
        <w:t xml:space="preserve">+ </w:t>
      </w:r>
      <w:r w:rsidRPr="008C4E56">
        <w:rPr>
          <w:rFonts w:asciiTheme="majorBidi" w:eastAsia="Calibri" w:hAnsiTheme="majorBidi" w:cstheme="majorBidi"/>
          <w:color w:val="000000" w:themeColor="text1"/>
          <w:sz w:val="20"/>
          <w:szCs w:val="20"/>
          <w:lang w:bidi="ar-EG"/>
        </w:rPr>
        <w:t>leukocytes.</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PD-1 is expressed by regulatory T lymphocytes (</w:t>
      </w:r>
      <w:proofErr w:type="spellStart"/>
      <w:r w:rsidRPr="008C4E56">
        <w:rPr>
          <w:rFonts w:asciiTheme="majorBidi" w:eastAsia="Calibri" w:hAnsiTheme="majorBidi" w:cstheme="majorBidi"/>
          <w:color w:val="000000" w:themeColor="text1"/>
          <w:sz w:val="20"/>
          <w:szCs w:val="20"/>
          <w:lang w:bidi="ar-EG"/>
        </w:rPr>
        <w:t>Tregs</w:t>
      </w:r>
      <w:proofErr w:type="spellEnd"/>
      <w:r w:rsidRPr="008C4E56">
        <w:rPr>
          <w:rFonts w:asciiTheme="majorBidi" w:eastAsia="Calibri" w:hAnsiTheme="majorBidi" w:cstheme="majorBidi"/>
          <w:color w:val="000000" w:themeColor="text1"/>
          <w:sz w:val="20"/>
          <w:szCs w:val="20"/>
          <w:lang w:bidi="ar-EG"/>
        </w:rPr>
        <w:t>) and induces signals for proliferation rather than apoptosis</w:t>
      </w:r>
      <w:r w:rsidRPr="008C4E56">
        <w:rPr>
          <w:rFonts w:asciiTheme="majorBidi" w:eastAsia="Calibri" w:hAnsiTheme="majorBidi" w:cstheme="majorBidi"/>
          <w:b/>
          <w:bCs/>
          <w:color w:val="000000" w:themeColor="text1"/>
          <w:sz w:val="20"/>
          <w:szCs w:val="20"/>
          <w:vertAlign w:val="superscript"/>
          <w:lang w:bidi="ar-EG"/>
        </w:rPr>
        <w:t xml:space="preserve"> (35)</w:t>
      </w:r>
      <w:r w:rsidRPr="008C4E56">
        <w:rPr>
          <w:rFonts w:asciiTheme="majorBidi" w:eastAsia="Calibri" w:hAnsiTheme="majorBidi" w:cstheme="majorBidi"/>
          <w:color w:val="000000" w:themeColor="text1"/>
          <w:sz w:val="20"/>
          <w:szCs w:val="20"/>
          <w:lang w:bidi="ar-EG"/>
        </w:rPr>
        <w:t xml:space="preserve"> in these cells. </w:t>
      </w:r>
      <w:proofErr w:type="spellStart"/>
      <w:r w:rsidRPr="008C4E56">
        <w:rPr>
          <w:rFonts w:asciiTheme="majorBidi" w:eastAsia="Calibri" w:hAnsiTheme="majorBidi" w:cstheme="majorBidi"/>
          <w:color w:val="000000" w:themeColor="text1"/>
          <w:sz w:val="20"/>
          <w:szCs w:val="20"/>
          <w:lang w:bidi="ar-EG"/>
        </w:rPr>
        <w:t>Tregs</w:t>
      </w:r>
      <w:proofErr w:type="spellEnd"/>
      <w:r w:rsidRPr="008C4E56">
        <w:rPr>
          <w:rFonts w:asciiTheme="majorBidi" w:eastAsia="Calibri" w:hAnsiTheme="majorBidi" w:cstheme="majorBidi"/>
          <w:color w:val="000000" w:themeColor="text1"/>
          <w:sz w:val="20"/>
          <w:szCs w:val="20"/>
          <w:lang w:bidi="ar-EG"/>
        </w:rPr>
        <w:t xml:space="preserve"> are able to down regulate the actions of different leukocytes (including cytotoxic T lymphocytes, NK cells, and B lymphocytes) that may aid in tumor cell eradication.</w:t>
      </w:r>
      <w:r w:rsidRPr="008C4E56">
        <w:rPr>
          <w:rFonts w:asciiTheme="majorBidi" w:eastAsia="Calibri" w:hAnsiTheme="majorBidi" w:cstheme="majorBidi"/>
          <w:b/>
          <w:bCs/>
          <w:color w:val="000000" w:themeColor="text1"/>
          <w:sz w:val="20"/>
          <w:szCs w:val="20"/>
          <w:vertAlign w:val="superscript"/>
          <w:lang w:bidi="ar-EG"/>
        </w:rPr>
        <w:t>(34)</w:t>
      </w:r>
      <w:r w:rsidRPr="008C4E56">
        <w:rPr>
          <w:rFonts w:asciiTheme="majorBidi" w:eastAsia="Calibri" w:hAnsiTheme="majorBidi" w:cstheme="majorBidi"/>
          <w:color w:val="000000" w:themeColor="text1"/>
          <w:sz w:val="20"/>
          <w:szCs w:val="20"/>
          <w:lang w:bidi="ar-EG"/>
        </w:rPr>
        <w:t xml:space="preserve"> In line with this, blockade of </w:t>
      </w:r>
      <w:proofErr w:type="spellStart"/>
      <w:r w:rsidRPr="008C4E56">
        <w:rPr>
          <w:rFonts w:asciiTheme="majorBidi" w:eastAsia="Calibri" w:hAnsiTheme="majorBidi" w:cstheme="majorBidi"/>
          <w:color w:val="000000" w:themeColor="text1"/>
          <w:sz w:val="20"/>
          <w:szCs w:val="20"/>
          <w:lang w:bidi="ar-EG"/>
        </w:rPr>
        <w:t>Tregs</w:t>
      </w:r>
      <w:proofErr w:type="spellEnd"/>
      <w:r w:rsidRPr="008C4E56">
        <w:rPr>
          <w:rFonts w:asciiTheme="majorBidi" w:eastAsia="Calibri" w:hAnsiTheme="majorBidi" w:cstheme="majorBidi"/>
          <w:color w:val="000000" w:themeColor="text1"/>
          <w:sz w:val="20"/>
          <w:szCs w:val="20"/>
          <w:lang w:bidi="ar-EG"/>
        </w:rPr>
        <w:t xml:space="preserve"> might contribute to some extent to the success of treatment with PD-1–inhibiting drugs in various malignancies</w:t>
      </w:r>
      <w:r w:rsidRPr="008C4E56">
        <w:rPr>
          <w:rFonts w:asciiTheme="majorBidi" w:eastAsia="Calibri" w:hAnsiTheme="majorBidi" w:cstheme="majorBidi"/>
          <w:b/>
          <w:bCs/>
          <w:color w:val="000000" w:themeColor="text1"/>
          <w:sz w:val="20"/>
          <w:szCs w:val="20"/>
          <w:vertAlign w:val="superscript"/>
          <w:lang w:bidi="ar-EG"/>
        </w:rPr>
        <w:t>(35,36)</w:t>
      </w:r>
      <w:r w:rsidRPr="008C4E56">
        <w:rPr>
          <w:rFonts w:asciiTheme="majorBidi" w:eastAsia="Calibri" w:hAnsiTheme="majorBidi" w:cstheme="majorBidi"/>
          <w:color w:val="000000" w:themeColor="text1"/>
          <w:sz w:val="20"/>
          <w:szCs w:val="20"/>
          <w:lang w:bidi="ar-EG"/>
        </w:rPr>
        <w:t> by unblocking leukocytes with tumor eradicating capabilities.</w:t>
      </w:r>
    </w:p>
    <w:p w:rsidR="009A0496" w:rsidRDefault="009A0496" w:rsidP="009A0496">
      <w:pPr>
        <w:bidi w:val="0"/>
        <w:spacing w:after="0" w:line="240" w:lineRule="auto"/>
        <w:ind w:firstLine="426"/>
        <w:rPr>
          <w:rFonts w:asciiTheme="majorBidi" w:eastAsia="Calibri" w:hAnsiTheme="majorBidi" w:cstheme="majorBidi"/>
          <w:b/>
          <w:bCs/>
          <w:color w:val="000000" w:themeColor="text1"/>
          <w:sz w:val="20"/>
          <w:szCs w:val="20"/>
          <w:lang w:bidi="ar-EG"/>
        </w:rPr>
      </w:pPr>
    </w:p>
    <w:p w:rsidR="009A0496" w:rsidRPr="008C4E56" w:rsidRDefault="009A0496" w:rsidP="009A0496">
      <w:pPr>
        <w:bidi w:val="0"/>
        <w:spacing w:after="0" w:line="240" w:lineRule="auto"/>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b/>
          <w:bCs/>
          <w:color w:val="000000" w:themeColor="text1"/>
          <w:sz w:val="20"/>
          <w:szCs w:val="20"/>
          <w:lang w:bidi="ar-EG"/>
        </w:rPr>
        <w:t>Conclusion</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hAnsiTheme="majorBidi" w:cstheme="majorBidi"/>
          <w:sz w:val="20"/>
          <w:szCs w:val="20"/>
        </w:rPr>
        <w:t xml:space="preserve">PD1 and PDL1 high expression was significantly related to advanced tumor stage and bone marrow involvement </w:t>
      </w:r>
      <w:r w:rsidRPr="008C4E56">
        <w:rPr>
          <w:rFonts w:asciiTheme="majorBidi" w:eastAsia="Calibri" w:hAnsiTheme="majorBidi" w:cstheme="majorBidi"/>
          <w:color w:val="000000" w:themeColor="text1"/>
          <w:sz w:val="20"/>
          <w:szCs w:val="20"/>
          <w:lang w:bidi="ar-EG"/>
        </w:rPr>
        <w:t xml:space="preserve">and was associated with </w:t>
      </w:r>
      <w:r w:rsidRPr="008C4E56">
        <w:rPr>
          <w:rFonts w:asciiTheme="majorBidi" w:hAnsiTheme="majorBidi" w:cstheme="majorBidi"/>
          <w:sz w:val="20"/>
          <w:szCs w:val="20"/>
        </w:rPr>
        <w:t>shorter PFS and shorter OS</w:t>
      </w:r>
      <w:r w:rsidRPr="008C4E56">
        <w:rPr>
          <w:rFonts w:asciiTheme="majorBidi" w:eastAsia="Calibri" w:hAnsiTheme="majorBidi" w:cstheme="majorBidi"/>
          <w:color w:val="000000" w:themeColor="text1"/>
          <w:sz w:val="20"/>
          <w:szCs w:val="20"/>
          <w:lang w:bidi="ar-EG"/>
        </w:rPr>
        <w:t xml:space="preserve"> suggesting</w:t>
      </w:r>
      <w:r w:rsidRPr="008C4E56">
        <w:rPr>
          <w:rFonts w:asciiTheme="majorBidi" w:eastAsia="Calibri" w:hAnsiTheme="majorBidi" w:cstheme="majorBidi"/>
          <w:sz w:val="20"/>
          <w:szCs w:val="20"/>
          <w:lang w:bidi="ar-EG"/>
        </w:rPr>
        <w:t xml:space="preserve"> that they have a prognostic value in classical HL patients</w:t>
      </w:r>
      <w:r w:rsidRPr="008C4E56">
        <w:rPr>
          <w:rFonts w:asciiTheme="majorBidi" w:eastAsia="Calibri" w:hAnsiTheme="majorBidi" w:cstheme="majorBidi"/>
          <w:color w:val="000000" w:themeColor="text1"/>
          <w:sz w:val="20"/>
          <w:szCs w:val="20"/>
          <w:lang w:bidi="ar-EG"/>
        </w:rPr>
        <w:t>. This may provide opportunities for novel</w:t>
      </w:r>
      <w:r w:rsidR="00343A79" w:rsidRPr="00343A79">
        <w:rPr>
          <w:rFonts w:asciiTheme="majorBidi" w:eastAsia="Calibri" w:hAnsiTheme="majorBidi" w:cstheme="majorBidi"/>
          <w:color w:val="000000" w:themeColor="text1"/>
          <w:sz w:val="20"/>
          <w:szCs w:val="20"/>
          <w:lang w:bidi="ar-EG"/>
        </w:rPr>
        <w:t xml:space="preserve"> </w:t>
      </w:r>
      <w:r w:rsidR="00343A79" w:rsidRPr="009A0496">
        <w:rPr>
          <w:rFonts w:asciiTheme="majorBidi" w:eastAsia="Calibri" w:hAnsiTheme="majorBidi" w:cstheme="majorBidi"/>
          <w:color w:val="000000" w:themeColor="text1"/>
          <w:sz w:val="20"/>
          <w:szCs w:val="20"/>
          <w:lang w:bidi="ar-EG"/>
        </w:rPr>
        <w:t>targeted therapies</w:t>
      </w:r>
      <w:r w:rsidRPr="008C4E56">
        <w:rPr>
          <w:rFonts w:asciiTheme="majorBidi" w:eastAsia="Calibri" w:hAnsiTheme="majorBidi" w:cstheme="majorBidi"/>
          <w:color w:val="000000" w:themeColor="text1"/>
          <w:sz w:val="20"/>
          <w:szCs w:val="20"/>
          <w:lang w:bidi="ar-EG"/>
        </w:rPr>
        <w:t xml:space="preserve">. </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 Increasing the cure rates of frontline treatment by utilizing combinations that merge novel agents will improve disease outcome generally and spare patients from long-term toxicity from conventional therapy.</w:t>
      </w:r>
    </w:p>
    <w:p w:rsidR="009A0496" w:rsidRPr="008C4E56" w:rsidRDefault="009A0496" w:rsidP="009A0496">
      <w:pPr>
        <w:bidi w:val="0"/>
        <w:spacing w:after="0" w:line="240" w:lineRule="auto"/>
        <w:ind w:firstLine="426"/>
        <w:jc w:val="both"/>
        <w:rPr>
          <w:rFonts w:asciiTheme="majorBidi" w:eastAsia="Calibri" w:hAnsiTheme="majorBidi" w:cstheme="majorBidi"/>
          <w:color w:val="000000" w:themeColor="text1"/>
          <w:sz w:val="20"/>
          <w:szCs w:val="20"/>
          <w:lang w:bidi="ar-EG"/>
        </w:rPr>
      </w:pPr>
    </w:p>
    <w:p w:rsidR="009A0496" w:rsidRPr="008C4E56" w:rsidRDefault="009A0496" w:rsidP="009A0496">
      <w:pPr>
        <w:bidi w:val="0"/>
        <w:spacing w:after="0" w:line="240" w:lineRule="auto"/>
        <w:rPr>
          <w:rFonts w:asciiTheme="majorBidi" w:eastAsia="Calibri" w:hAnsiTheme="majorBidi" w:cstheme="majorBidi"/>
          <w:b/>
          <w:bCs/>
          <w:color w:val="000000" w:themeColor="text1"/>
          <w:sz w:val="20"/>
          <w:szCs w:val="20"/>
          <w:lang w:bidi="ar-EG"/>
        </w:rPr>
      </w:pPr>
      <w:r w:rsidRPr="008C4E56">
        <w:rPr>
          <w:rFonts w:asciiTheme="majorBidi" w:eastAsia="Calibri" w:hAnsiTheme="majorBidi" w:cstheme="majorBidi"/>
          <w:b/>
          <w:bCs/>
          <w:color w:val="000000" w:themeColor="text1"/>
          <w:sz w:val="20"/>
          <w:szCs w:val="20"/>
          <w:lang w:bidi="ar-EG"/>
        </w:rPr>
        <w:t>References</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proofErr w:type="gramStart"/>
      <w:r w:rsidRPr="008C4E56">
        <w:rPr>
          <w:rFonts w:asciiTheme="majorBidi" w:eastAsia="Calibri" w:hAnsiTheme="majorBidi" w:cstheme="majorBidi"/>
          <w:color w:val="000000" w:themeColor="text1"/>
          <w:sz w:val="20"/>
          <w:szCs w:val="20"/>
          <w:lang w:bidi="ar-EG"/>
        </w:rPr>
        <w:t xml:space="preserve">1. </w:t>
      </w:r>
      <w:r w:rsidRPr="008C4E56">
        <w:rPr>
          <w:rFonts w:asciiTheme="majorBidi" w:eastAsia="Calibri" w:hAnsiTheme="majorBidi" w:cstheme="majorBidi"/>
          <w:color w:val="000000" w:themeColor="text1"/>
          <w:sz w:val="20"/>
          <w:szCs w:val="20"/>
          <w:lang w:bidi="ar-EG"/>
        </w:rPr>
        <w:tab/>
        <w:t>Perez-</w:t>
      </w:r>
      <w:proofErr w:type="spellStart"/>
      <w:r w:rsidRPr="008C4E56">
        <w:rPr>
          <w:rFonts w:asciiTheme="majorBidi" w:eastAsia="Calibri" w:hAnsiTheme="majorBidi" w:cstheme="majorBidi"/>
          <w:color w:val="000000" w:themeColor="text1"/>
          <w:sz w:val="20"/>
          <w:szCs w:val="20"/>
          <w:lang w:bidi="ar-EG"/>
        </w:rPr>
        <w:t>Callejo</w:t>
      </w:r>
      <w:proofErr w:type="spellEnd"/>
      <w:r w:rsidRPr="008C4E56">
        <w:rPr>
          <w:rFonts w:asciiTheme="majorBidi" w:eastAsia="Calibri" w:hAnsiTheme="majorBidi" w:cstheme="majorBidi"/>
          <w:color w:val="000000" w:themeColor="text1"/>
          <w:sz w:val="20"/>
          <w:szCs w:val="20"/>
          <w:lang w:bidi="ar-EG"/>
        </w:rPr>
        <w:t xml:space="preserve"> D, </w:t>
      </w:r>
      <w:proofErr w:type="spellStart"/>
      <w:r w:rsidRPr="008C4E56">
        <w:rPr>
          <w:rFonts w:asciiTheme="majorBidi" w:eastAsia="Calibri" w:hAnsiTheme="majorBidi" w:cstheme="majorBidi"/>
          <w:color w:val="000000" w:themeColor="text1"/>
          <w:sz w:val="20"/>
          <w:szCs w:val="20"/>
          <w:lang w:bidi="ar-EG"/>
        </w:rPr>
        <w:t>Zurutuza</w:t>
      </w:r>
      <w:proofErr w:type="spellEnd"/>
      <w:r w:rsidRPr="008C4E56">
        <w:rPr>
          <w:rFonts w:asciiTheme="majorBidi" w:eastAsia="Calibri" w:hAnsiTheme="majorBidi" w:cstheme="majorBidi"/>
          <w:color w:val="000000" w:themeColor="text1"/>
          <w:sz w:val="20"/>
          <w:szCs w:val="20"/>
          <w:lang w:bidi="ar-EG"/>
        </w:rPr>
        <w:t xml:space="preserve"> L, </w:t>
      </w:r>
      <w:proofErr w:type="spellStart"/>
      <w:r w:rsidRPr="008C4E56">
        <w:rPr>
          <w:rFonts w:asciiTheme="majorBidi" w:eastAsia="Calibri" w:hAnsiTheme="majorBidi" w:cstheme="majorBidi"/>
          <w:color w:val="000000" w:themeColor="text1"/>
          <w:sz w:val="20"/>
          <w:szCs w:val="20"/>
          <w:lang w:bidi="ar-EG"/>
        </w:rPr>
        <w:t>Royuela</w:t>
      </w:r>
      <w:proofErr w:type="spellEnd"/>
      <w:r w:rsidRPr="008C4E56">
        <w:rPr>
          <w:rFonts w:asciiTheme="majorBidi" w:eastAsia="Calibri" w:hAnsiTheme="majorBidi" w:cstheme="majorBidi"/>
          <w:color w:val="000000" w:themeColor="text1"/>
          <w:sz w:val="20"/>
          <w:szCs w:val="20"/>
          <w:lang w:bidi="ar-EG"/>
        </w:rPr>
        <w:t xml:space="preserve"> A, Torrente M, </w:t>
      </w:r>
      <w:proofErr w:type="spellStart"/>
      <w:r w:rsidRPr="008C4E56">
        <w:rPr>
          <w:rFonts w:asciiTheme="majorBidi" w:eastAsia="Calibri" w:hAnsiTheme="majorBidi" w:cstheme="majorBidi"/>
          <w:color w:val="000000" w:themeColor="text1"/>
          <w:sz w:val="20"/>
          <w:szCs w:val="20"/>
          <w:lang w:bidi="ar-EG"/>
        </w:rPr>
        <w:t>Núñez</w:t>
      </w:r>
      <w:proofErr w:type="spellEnd"/>
      <w:r w:rsidRPr="008C4E56">
        <w:rPr>
          <w:rFonts w:asciiTheme="majorBidi" w:eastAsia="Calibri" w:hAnsiTheme="majorBidi" w:cstheme="majorBidi"/>
          <w:color w:val="000000" w:themeColor="text1"/>
          <w:sz w:val="20"/>
          <w:szCs w:val="20"/>
          <w:lang w:bidi="ar-EG"/>
        </w:rPr>
        <w:t xml:space="preserve"> B, </w:t>
      </w:r>
      <w:proofErr w:type="spellStart"/>
      <w:r w:rsidRPr="008C4E56">
        <w:rPr>
          <w:rFonts w:asciiTheme="majorBidi" w:eastAsia="Calibri" w:hAnsiTheme="majorBidi" w:cstheme="majorBidi"/>
          <w:color w:val="000000" w:themeColor="text1"/>
          <w:sz w:val="20"/>
          <w:szCs w:val="20"/>
          <w:lang w:bidi="ar-EG"/>
        </w:rPr>
        <w:t>Calvo</w:t>
      </w:r>
      <w:proofErr w:type="spellEnd"/>
      <w:r w:rsidRPr="008C4E56">
        <w:rPr>
          <w:rFonts w:asciiTheme="majorBidi" w:eastAsia="Calibri" w:hAnsiTheme="majorBidi" w:cstheme="majorBidi"/>
          <w:color w:val="000000" w:themeColor="text1"/>
          <w:sz w:val="20"/>
          <w:szCs w:val="20"/>
          <w:lang w:bidi="ar-EG"/>
        </w:rPr>
        <w:t xml:space="preserve"> V, Méndez M, Franco F, </w:t>
      </w:r>
      <w:proofErr w:type="spellStart"/>
      <w:r w:rsidRPr="008C4E56">
        <w:rPr>
          <w:rFonts w:asciiTheme="majorBidi" w:eastAsia="Calibri" w:hAnsiTheme="majorBidi" w:cstheme="majorBidi"/>
          <w:color w:val="000000" w:themeColor="text1"/>
          <w:sz w:val="20"/>
          <w:szCs w:val="20"/>
          <w:lang w:bidi="ar-EG"/>
        </w:rPr>
        <w:t>Brenes</w:t>
      </w:r>
      <w:proofErr w:type="spellEnd"/>
      <w:r w:rsidRPr="008C4E56">
        <w:rPr>
          <w:rFonts w:asciiTheme="majorBidi" w:eastAsia="Calibri" w:hAnsiTheme="majorBidi" w:cstheme="majorBidi"/>
          <w:color w:val="000000" w:themeColor="text1"/>
          <w:sz w:val="20"/>
          <w:szCs w:val="20"/>
          <w:lang w:bidi="ar-EG"/>
        </w:rPr>
        <w:t xml:space="preserve"> MA, Sánchez JC, </w:t>
      </w:r>
      <w:proofErr w:type="spellStart"/>
      <w:r w:rsidRPr="008C4E56">
        <w:rPr>
          <w:rFonts w:asciiTheme="majorBidi" w:eastAsia="Calibri" w:hAnsiTheme="majorBidi" w:cstheme="majorBidi"/>
          <w:color w:val="000000" w:themeColor="text1"/>
          <w:sz w:val="20"/>
          <w:szCs w:val="20"/>
          <w:lang w:bidi="ar-EG"/>
        </w:rPr>
        <w:t>Provencio</w:t>
      </w:r>
      <w:proofErr w:type="spellEnd"/>
      <w:r w:rsidRPr="008C4E56">
        <w:rPr>
          <w:rFonts w:asciiTheme="majorBidi" w:eastAsia="Calibri" w:hAnsiTheme="majorBidi" w:cstheme="majorBidi"/>
          <w:color w:val="000000" w:themeColor="text1"/>
          <w:sz w:val="20"/>
          <w:szCs w:val="20"/>
          <w:lang w:bidi="ar-EG"/>
        </w:rPr>
        <w:t xml:space="preserve"> M. Long-term follow up of Hodgkin lymphoma.</w:t>
      </w:r>
      <w:proofErr w:type="gramEnd"/>
      <w:r w:rsidRPr="008C4E56">
        <w:rPr>
          <w:rFonts w:asciiTheme="majorBidi" w:eastAsia="Calibri" w:hAnsiTheme="majorBidi" w:cstheme="majorBidi"/>
          <w:color w:val="000000" w:themeColor="text1"/>
          <w:sz w:val="20"/>
          <w:szCs w:val="20"/>
          <w:lang w:bidi="ar-EG"/>
        </w:rPr>
        <w:t xml:space="preserve"> </w:t>
      </w:r>
      <w:proofErr w:type="spellStart"/>
      <w:proofErr w:type="gramStart"/>
      <w:r w:rsidRPr="008C4E56">
        <w:rPr>
          <w:rFonts w:asciiTheme="majorBidi" w:eastAsia="Calibri" w:hAnsiTheme="majorBidi" w:cstheme="majorBidi"/>
          <w:color w:val="000000" w:themeColor="text1"/>
          <w:sz w:val="20"/>
          <w:szCs w:val="20"/>
          <w:lang w:bidi="ar-EG"/>
        </w:rPr>
        <w:t>Oncotarget</w:t>
      </w:r>
      <w:proofErr w:type="spellEnd"/>
      <w:r w:rsidRPr="008C4E56">
        <w:rPr>
          <w:rFonts w:asciiTheme="majorBidi" w:eastAsia="Calibri" w:hAnsiTheme="majorBidi" w:cstheme="majorBidi"/>
          <w:color w:val="000000" w:themeColor="text1"/>
          <w:sz w:val="20"/>
          <w:szCs w:val="20"/>
          <w:lang w:bidi="ar-EG"/>
        </w:rPr>
        <w:t>.</w:t>
      </w:r>
      <w:proofErr w:type="gramEnd"/>
      <w:r w:rsidRPr="008C4E56">
        <w:rPr>
          <w:rFonts w:asciiTheme="majorBidi" w:eastAsia="Calibri" w:hAnsiTheme="majorBidi" w:cstheme="majorBidi"/>
          <w:color w:val="000000" w:themeColor="text1"/>
          <w:sz w:val="20"/>
          <w:szCs w:val="20"/>
          <w:lang w:bidi="ar-EG"/>
        </w:rPr>
        <w:t xml:space="preserve"> 2018 Feb 3</w:t>
      </w:r>
      <w:proofErr w:type="gramStart"/>
      <w:r w:rsidRPr="008C4E56">
        <w:rPr>
          <w:rFonts w:asciiTheme="majorBidi" w:eastAsia="Calibri" w:hAnsiTheme="majorBidi" w:cstheme="majorBidi"/>
          <w:color w:val="000000" w:themeColor="text1"/>
          <w:sz w:val="20"/>
          <w:szCs w:val="20"/>
          <w:lang w:bidi="ar-EG"/>
        </w:rPr>
        <w:t>;9</w:t>
      </w:r>
      <w:proofErr w:type="gramEnd"/>
      <w:r w:rsidRPr="008C4E56">
        <w:rPr>
          <w:rFonts w:asciiTheme="majorBidi" w:eastAsia="Calibri" w:hAnsiTheme="majorBidi" w:cstheme="majorBidi"/>
          <w:color w:val="000000" w:themeColor="text1"/>
          <w:sz w:val="20"/>
          <w:szCs w:val="20"/>
          <w:lang w:bidi="ar-EG"/>
        </w:rPr>
        <w:t>(14):11638-11645.</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 Ali S, </w:t>
      </w:r>
      <w:proofErr w:type="spellStart"/>
      <w:r w:rsidRPr="008C4E56">
        <w:rPr>
          <w:rFonts w:asciiTheme="majorBidi" w:eastAsia="Calibri" w:hAnsiTheme="majorBidi" w:cstheme="majorBidi"/>
          <w:color w:val="000000" w:themeColor="text1"/>
          <w:sz w:val="20"/>
          <w:szCs w:val="20"/>
          <w:lang w:bidi="ar-EG"/>
        </w:rPr>
        <w:t>Basit</w:t>
      </w:r>
      <w:proofErr w:type="spellEnd"/>
      <w:r w:rsidRPr="008C4E56">
        <w:rPr>
          <w:rFonts w:asciiTheme="majorBidi" w:eastAsia="Calibri" w:hAnsiTheme="majorBidi" w:cstheme="majorBidi"/>
          <w:color w:val="000000" w:themeColor="text1"/>
          <w:sz w:val="20"/>
          <w:szCs w:val="20"/>
          <w:lang w:bidi="ar-EG"/>
        </w:rPr>
        <w:t xml:space="preserve"> A, </w:t>
      </w:r>
      <w:proofErr w:type="spellStart"/>
      <w:r w:rsidRPr="008C4E56">
        <w:rPr>
          <w:rFonts w:asciiTheme="majorBidi" w:eastAsia="Calibri" w:hAnsiTheme="majorBidi" w:cstheme="majorBidi"/>
          <w:color w:val="000000" w:themeColor="text1"/>
          <w:sz w:val="20"/>
          <w:szCs w:val="20"/>
          <w:lang w:bidi="ar-EG"/>
        </w:rPr>
        <w:t>Kazmi</w:t>
      </w:r>
      <w:proofErr w:type="spellEnd"/>
      <w:r w:rsidRPr="008C4E56">
        <w:rPr>
          <w:rFonts w:asciiTheme="majorBidi" w:eastAsia="Calibri" w:hAnsiTheme="majorBidi" w:cstheme="majorBidi"/>
          <w:color w:val="000000" w:themeColor="text1"/>
          <w:sz w:val="20"/>
          <w:szCs w:val="20"/>
          <w:lang w:bidi="ar-EG"/>
        </w:rPr>
        <w:t xml:space="preserve"> AS, Sidhu A, </w:t>
      </w:r>
      <w:proofErr w:type="spellStart"/>
      <w:r w:rsidRPr="008C4E56">
        <w:rPr>
          <w:rFonts w:asciiTheme="majorBidi" w:eastAsia="Calibri" w:hAnsiTheme="majorBidi" w:cstheme="majorBidi"/>
          <w:color w:val="000000" w:themeColor="text1"/>
          <w:sz w:val="20"/>
          <w:szCs w:val="20"/>
          <w:lang w:bidi="ar-EG"/>
        </w:rPr>
        <w:t>Badar</w:t>
      </w:r>
      <w:proofErr w:type="spellEnd"/>
      <w:r w:rsidRPr="008C4E56">
        <w:rPr>
          <w:rFonts w:asciiTheme="majorBidi" w:eastAsia="Calibri" w:hAnsiTheme="majorBidi" w:cstheme="majorBidi"/>
          <w:color w:val="000000" w:themeColor="text1"/>
          <w:sz w:val="20"/>
          <w:szCs w:val="20"/>
          <w:lang w:bidi="ar-EG"/>
        </w:rPr>
        <w:t xml:space="preserve"> F, Hameed A. Chemotherapy alone or combined chemotherapy and involved field radiotherapy in favorable risk early-stage classical Hodgkin lymphoma-a 10 </w:t>
      </w:r>
      <w:proofErr w:type="spellStart"/>
      <w:r w:rsidRPr="008C4E56">
        <w:rPr>
          <w:rFonts w:asciiTheme="majorBidi" w:eastAsia="Calibri" w:hAnsiTheme="majorBidi" w:cstheme="majorBidi"/>
          <w:color w:val="000000" w:themeColor="text1"/>
          <w:sz w:val="20"/>
          <w:szCs w:val="20"/>
          <w:lang w:bidi="ar-EG"/>
        </w:rPr>
        <w:t>years experience</w:t>
      </w:r>
      <w:proofErr w:type="spellEnd"/>
      <w:r w:rsidRPr="008C4E56">
        <w:rPr>
          <w:rFonts w:asciiTheme="majorBidi" w:eastAsia="Calibri" w:hAnsiTheme="majorBidi" w:cstheme="majorBidi"/>
          <w:color w:val="000000" w:themeColor="text1"/>
          <w:sz w:val="20"/>
          <w:szCs w:val="20"/>
          <w:lang w:bidi="ar-EG"/>
        </w:rPr>
        <w:t>. Pak J Med Sci. 2016 Nov-Dec</w:t>
      </w:r>
      <w:proofErr w:type="gramStart"/>
      <w:r w:rsidRPr="008C4E56">
        <w:rPr>
          <w:rFonts w:asciiTheme="majorBidi" w:eastAsia="Calibri" w:hAnsiTheme="majorBidi" w:cstheme="majorBidi"/>
          <w:color w:val="000000" w:themeColor="text1"/>
          <w:sz w:val="20"/>
          <w:szCs w:val="20"/>
          <w:lang w:bidi="ar-EG"/>
        </w:rPr>
        <w:t>;32</w:t>
      </w:r>
      <w:proofErr w:type="gramEnd"/>
      <w:r w:rsidRPr="008C4E56">
        <w:rPr>
          <w:rFonts w:asciiTheme="majorBidi" w:eastAsia="Calibri" w:hAnsiTheme="majorBidi" w:cstheme="majorBidi"/>
          <w:color w:val="000000" w:themeColor="text1"/>
          <w:sz w:val="20"/>
          <w:szCs w:val="20"/>
          <w:lang w:bidi="ar-EG"/>
        </w:rPr>
        <w:t>(6):1408-1413.</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3. </w:t>
      </w:r>
      <w:proofErr w:type="spellStart"/>
      <w:r w:rsidRPr="008C4E56">
        <w:rPr>
          <w:rFonts w:asciiTheme="majorBidi" w:eastAsia="Calibri" w:hAnsiTheme="majorBidi" w:cstheme="majorBidi"/>
          <w:color w:val="000000" w:themeColor="text1"/>
          <w:sz w:val="20"/>
          <w:szCs w:val="20"/>
          <w:lang w:bidi="ar-EG"/>
        </w:rPr>
        <w:t>Nikolaenko</w:t>
      </w:r>
      <w:proofErr w:type="spellEnd"/>
      <w:r w:rsidRPr="008C4E56">
        <w:rPr>
          <w:rFonts w:asciiTheme="majorBidi" w:eastAsia="Calibri" w:hAnsiTheme="majorBidi" w:cstheme="majorBidi"/>
          <w:color w:val="000000" w:themeColor="text1"/>
          <w:sz w:val="20"/>
          <w:szCs w:val="20"/>
          <w:lang w:bidi="ar-EG"/>
        </w:rPr>
        <w:t xml:space="preserve"> L, Chen R, Herrera AF. </w:t>
      </w:r>
      <w:proofErr w:type="gramStart"/>
      <w:r w:rsidRPr="008C4E56">
        <w:rPr>
          <w:rFonts w:asciiTheme="majorBidi" w:eastAsia="Calibri" w:hAnsiTheme="majorBidi" w:cstheme="majorBidi"/>
          <w:color w:val="000000" w:themeColor="text1"/>
          <w:sz w:val="20"/>
          <w:szCs w:val="20"/>
          <w:lang w:bidi="ar-EG"/>
        </w:rPr>
        <w:t>Current strategies for salvage treatment for relapsed classical Hodgkin lymphoma.</w:t>
      </w:r>
      <w:proofErr w:type="gram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Ther</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Adv</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Hematol</w:t>
      </w:r>
      <w:proofErr w:type="spellEnd"/>
      <w:r w:rsidRPr="008C4E56">
        <w:rPr>
          <w:rFonts w:asciiTheme="majorBidi" w:eastAsia="Calibri" w:hAnsiTheme="majorBidi" w:cstheme="majorBidi"/>
          <w:color w:val="000000" w:themeColor="text1"/>
          <w:sz w:val="20"/>
          <w:szCs w:val="20"/>
          <w:lang w:bidi="ar-EG"/>
        </w:rPr>
        <w:t>. 2017 Oct</w:t>
      </w:r>
      <w:proofErr w:type="gramStart"/>
      <w:r w:rsidRPr="008C4E56">
        <w:rPr>
          <w:rFonts w:asciiTheme="majorBidi" w:eastAsia="Calibri" w:hAnsiTheme="majorBidi" w:cstheme="majorBidi"/>
          <w:color w:val="000000" w:themeColor="text1"/>
          <w:sz w:val="20"/>
          <w:szCs w:val="20"/>
          <w:lang w:bidi="ar-EG"/>
        </w:rPr>
        <w:t>;8</w:t>
      </w:r>
      <w:proofErr w:type="gramEnd"/>
      <w:r w:rsidRPr="008C4E56">
        <w:rPr>
          <w:rFonts w:asciiTheme="majorBidi" w:eastAsia="Calibri" w:hAnsiTheme="majorBidi" w:cstheme="majorBidi"/>
          <w:color w:val="000000" w:themeColor="text1"/>
          <w:sz w:val="20"/>
          <w:szCs w:val="20"/>
          <w:lang w:bidi="ar-EG"/>
        </w:rPr>
        <w:t>(10):293-302.</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4. </w:t>
      </w:r>
      <w:proofErr w:type="spellStart"/>
      <w:r w:rsidRPr="008C4E56">
        <w:rPr>
          <w:rFonts w:asciiTheme="majorBidi" w:eastAsia="Calibri" w:hAnsiTheme="majorBidi" w:cstheme="majorBidi"/>
          <w:color w:val="000000" w:themeColor="text1"/>
          <w:sz w:val="20"/>
          <w:szCs w:val="20"/>
          <w:lang w:bidi="ar-EG"/>
        </w:rPr>
        <w:t>Ventola</w:t>
      </w:r>
      <w:proofErr w:type="spellEnd"/>
      <w:r w:rsidRPr="008C4E56">
        <w:rPr>
          <w:rFonts w:asciiTheme="majorBidi" w:eastAsia="Calibri" w:hAnsiTheme="majorBidi" w:cstheme="majorBidi"/>
          <w:color w:val="000000" w:themeColor="text1"/>
          <w:sz w:val="20"/>
          <w:szCs w:val="20"/>
          <w:lang w:bidi="ar-EG"/>
        </w:rPr>
        <w:t xml:space="preserve"> CL. Cancer Immunotherapy, Part 2: Efficacy, Safety, and Other Clinical Considerations. P T. 2017 Jul</w:t>
      </w:r>
      <w:proofErr w:type="gramStart"/>
      <w:r w:rsidRPr="008C4E56">
        <w:rPr>
          <w:rFonts w:asciiTheme="majorBidi" w:eastAsia="Calibri" w:hAnsiTheme="majorBidi" w:cstheme="majorBidi"/>
          <w:color w:val="000000" w:themeColor="text1"/>
          <w:sz w:val="20"/>
          <w:szCs w:val="20"/>
          <w:lang w:bidi="ar-EG"/>
        </w:rPr>
        <w:t>;42</w:t>
      </w:r>
      <w:proofErr w:type="gramEnd"/>
      <w:r w:rsidRPr="008C4E56">
        <w:rPr>
          <w:rFonts w:asciiTheme="majorBidi" w:eastAsia="Calibri" w:hAnsiTheme="majorBidi" w:cstheme="majorBidi"/>
          <w:color w:val="000000" w:themeColor="text1"/>
          <w:sz w:val="20"/>
          <w:szCs w:val="20"/>
          <w:lang w:bidi="ar-EG"/>
        </w:rPr>
        <w:t>(7):452-463.</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Pr>
      </w:pPr>
      <w:r w:rsidRPr="008C4E56">
        <w:rPr>
          <w:rFonts w:asciiTheme="majorBidi" w:eastAsia="Calibri" w:hAnsiTheme="majorBidi" w:cstheme="majorBidi"/>
          <w:color w:val="000000" w:themeColor="text1"/>
          <w:sz w:val="20"/>
          <w:szCs w:val="20"/>
          <w:lang w:bidi="ar-EG"/>
        </w:rPr>
        <w:t xml:space="preserve">5. Chen DS, </w:t>
      </w:r>
      <w:proofErr w:type="spellStart"/>
      <w:r w:rsidRPr="008C4E56">
        <w:rPr>
          <w:rFonts w:asciiTheme="majorBidi" w:eastAsia="Calibri" w:hAnsiTheme="majorBidi" w:cstheme="majorBidi"/>
          <w:color w:val="000000" w:themeColor="text1"/>
          <w:sz w:val="20"/>
          <w:szCs w:val="20"/>
          <w:lang w:bidi="ar-EG"/>
        </w:rPr>
        <w:t>Mellman</w:t>
      </w:r>
      <w:proofErr w:type="spellEnd"/>
      <w:r w:rsidRPr="008C4E56">
        <w:rPr>
          <w:rFonts w:asciiTheme="majorBidi" w:eastAsia="Calibri" w:hAnsiTheme="majorBidi" w:cstheme="majorBidi"/>
          <w:color w:val="000000" w:themeColor="text1"/>
          <w:sz w:val="20"/>
          <w:szCs w:val="20"/>
          <w:lang w:bidi="ar-EG"/>
        </w:rPr>
        <w:t xml:space="preserve"> I. Elements of cancer immunity and the cancer-immune set</w:t>
      </w:r>
      <w:r w:rsidRPr="008C4E56">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lang w:bidi="ar-EG"/>
        </w:rPr>
        <w:t xml:space="preserve">point. </w:t>
      </w:r>
      <w:proofErr w:type="gramStart"/>
      <w:r w:rsidRPr="008C4E56">
        <w:rPr>
          <w:rFonts w:asciiTheme="majorBidi" w:eastAsia="Calibri" w:hAnsiTheme="majorBidi" w:cstheme="majorBidi"/>
          <w:color w:val="000000" w:themeColor="text1"/>
          <w:sz w:val="20"/>
          <w:szCs w:val="20"/>
          <w:lang w:bidi="ar-EG"/>
        </w:rPr>
        <w:t>Nature.</w:t>
      </w:r>
      <w:proofErr w:type="gramEnd"/>
      <w:r w:rsidRPr="008C4E56">
        <w:rPr>
          <w:rFonts w:asciiTheme="majorBidi" w:eastAsia="Calibri" w:hAnsiTheme="majorBidi" w:cstheme="majorBidi"/>
          <w:color w:val="000000" w:themeColor="text1"/>
          <w:sz w:val="20"/>
          <w:szCs w:val="20"/>
          <w:lang w:bidi="ar-EG"/>
        </w:rPr>
        <w:t xml:space="preserve"> 2017 Jan 18; 541(7637):321-330.</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tl/>
          <w:lang w:bidi="ar-EG"/>
        </w:rPr>
      </w:pPr>
      <w:r w:rsidRPr="008C4E56">
        <w:rPr>
          <w:rFonts w:asciiTheme="majorBidi" w:eastAsia="Calibri" w:hAnsiTheme="majorBidi" w:cstheme="majorBidi"/>
          <w:color w:val="000000" w:themeColor="text1"/>
          <w:sz w:val="20"/>
          <w:szCs w:val="20"/>
          <w:lang w:bidi="ar-EG"/>
        </w:rPr>
        <w:t xml:space="preserve">6. </w:t>
      </w:r>
      <w:proofErr w:type="spellStart"/>
      <w:r w:rsidRPr="008C4E56">
        <w:rPr>
          <w:rFonts w:asciiTheme="majorBidi" w:eastAsia="Calibri" w:hAnsiTheme="majorBidi" w:cstheme="majorBidi"/>
          <w:color w:val="000000" w:themeColor="text1"/>
          <w:sz w:val="20"/>
          <w:szCs w:val="20"/>
          <w:lang w:bidi="ar-EG"/>
        </w:rPr>
        <w:t>Teixidó</w:t>
      </w:r>
      <w:proofErr w:type="spellEnd"/>
      <w:r w:rsidRPr="008C4E56">
        <w:rPr>
          <w:rFonts w:asciiTheme="majorBidi" w:eastAsia="Calibri" w:hAnsiTheme="majorBidi" w:cstheme="majorBidi"/>
          <w:color w:val="000000" w:themeColor="text1"/>
          <w:sz w:val="20"/>
          <w:szCs w:val="20"/>
          <w:lang w:bidi="ar-EG"/>
        </w:rPr>
        <w:t xml:space="preserve"> C, </w:t>
      </w:r>
      <w:proofErr w:type="spellStart"/>
      <w:r w:rsidRPr="008C4E56">
        <w:rPr>
          <w:rFonts w:asciiTheme="majorBidi" w:eastAsia="Calibri" w:hAnsiTheme="majorBidi" w:cstheme="majorBidi"/>
          <w:color w:val="000000" w:themeColor="text1"/>
          <w:sz w:val="20"/>
          <w:szCs w:val="20"/>
          <w:lang w:bidi="ar-EG"/>
        </w:rPr>
        <w:t>Vilariño</w:t>
      </w:r>
      <w:proofErr w:type="spellEnd"/>
      <w:r w:rsidRPr="008C4E56">
        <w:rPr>
          <w:rFonts w:asciiTheme="majorBidi" w:eastAsia="Calibri" w:hAnsiTheme="majorBidi" w:cstheme="majorBidi"/>
          <w:color w:val="000000" w:themeColor="text1"/>
          <w:sz w:val="20"/>
          <w:szCs w:val="20"/>
          <w:lang w:bidi="ar-EG"/>
        </w:rPr>
        <w:t xml:space="preserve"> N, Reyes R, </w:t>
      </w:r>
      <w:proofErr w:type="spellStart"/>
      <w:r w:rsidRPr="008C4E56">
        <w:rPr>
          <w:rFonts w:asciiTheme="majorBidi" w:eastAsia="Calibri" w:hAnsiTheme="majorBidi" w:cstheme="majorBidi"/>
          <w:color w:val="000000" w:themeColor="text1"/>
          <w:sz w:val="20"/>
          <w:szCs w:val="20"/>
          <w:lang w:bidi="ar-EG"/>
        </w:rPr>
        <w:t>Reguart</w:t>
      </w:r>
      <w:proofErr w:type="spellEnd"/>
      <w:r w:rsidRPr="008C4E56">
        <w:rPr>
          <w:rFonts w:asciiTheme="majorBidi" w:eastAsia="Calibri" w:hAnsiTheme="majorBidi" w:cstheme="majorBidi"/>
          <w:color w:val="000000" w:themeColor="text1"/>
          <w:sz w:val="20"/>
          <w:szCs w:val="20"/>
          <w:lang w:bidi="ar-EG"/>
        </w:rPr>
        <w:t xml:space="preserve"> N. PD-L1 expression testing in non-small cell lung cancer. </w:t>
      </w:r>
      <w:proofErr w:type="spellStart"/>
      <w:proofErr w:type="gramStart"/>
      <w:r w:rsidRPr="008C4E56">
        <w:rPr>
          <w:rFonts w:asciiTheme="majorBidi" w:eastAsia="Calibri" w:hAnsiTheme="majorBidi" w:cstheme="majorBidi"/>
          <w:color w:val="000000" w:themeColor="text1"/>
          <w:sz w:val="20"/>
          <w:szCs w:val="20"/>
          <w:lang w:bidi="ar-EG"/>
        </w:rPr>
        <w:t>Ther</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Adv</w:t>
      </w:r>
      <w:proofErr w:type="spellEnd"/>
      <w:r w:rsidRPr="008C4E56">
        <w:rPr>
          <w:rFonts w:asciiTheme="majorBidi" w:eastAsia="Calibri" w:hAnsiTheme="majorBidi" w:cstheme="majorBidi"/>
          <w:color w:val="000000" w:themeColor="text1"/>
          <w:sz w:val="20"/>
          <w:szCs w:val="20"/>
          <w:lang w:bidi="ar-EG"/>
        </w:rPr>
        <w:t xml:space="preserve"> Med </w:t>
      </w:r>
      <w:proofErr w:type="spellStart"/>
      <w:r w:rsidRPr="008C4E56">
        <w:rPr>
          <w:rFonts w:asciiTheme="majorBidi" w:eastAsia="Calibri" w:hAnsiTheme="majorBidi" w:cstheme="majorBidi"/>
          <w:color w:val="000000" w:themeColor="text1"/>
          <w:sz w:val="20"/>
          <w:szCs w:val="20"/>
          <w:lang w:bidi="ar-EG"/>
        </w:rPr>
        <w:t>Oncol</w:t>
      </w:r>
      <w:proofErr w:type="spellEnd"/>
      <w:r w:rsidRPr="008C4E56">
        <w:rPr>
          <w:rFonts w:asciiTheme="majorBidi" w:eastAsia="Calibri" w:hAnsiTheme="majorBidi" w:cstheme="majorBidi"/>
          <w:color w:val="000000" w:themeColor="text1"/>
          <w:sz w:val="20"/>
          <w:szCs w:val="20"/>
          <w:lang w:bidi="ar-EG"/>
        </w:rPr>
        <w:t>.</w:t>
      </w:r>
      <w:proofErr w:type="gramEnd"/>
      <w:r w:rsidRPr="008C4E56">
        <w:rPr>
          <w:rFonts w:asciiTheme="majorBidi" w:eastAsia="Calibri" w:hAnsiTheme="majorBidi" w:cstheme="majorBidi"/>
          <w:color w:val="000000" w:themeColor="text1"/>
          <w:sz w:val="20"/>
          <w:szCs w:val="20"/>
          <w:lang w:bidi="ar-EG"/>
        </w:rPr>
        <w:t xml:space="preserve"> 2018 Apr 11; 10: 1758835918763493.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tl/>
        </w:rPr>
      </w:pPr>
      <w:r w:rsidRPr="008C4E56">
        <w:rPr>
          <w:rFonts w:asciiTheme="majorBidi" w:eastAsia="Calibri" w:hAnsiTheme="majorBidi" w:cstheme="majorBidi"/>
          <w:color w:val="000000" w:themeColor="text1"/>
          <w:sz w:val="20"/>
          <w:szCs w:val="20"/>
          <w:lang w:bidi="ar-EG"/>
        </w:rPr>
        <w:lastRenderedPageBreak/>
        <w:t xml:space="preserve">7. Ansell SM, </w:t>
      </w:r>
      <w:proofErr w:type="spellStart"/>
      <w:r w:rsidRPr="008C4E56">
        <w:rPr>
          <w:rFonts w:asciiTheme="majorBidi" w:eastAsia="Calibri" w:hAnsiTheme="majorBidi" w:cstheme="majorBidi"/>
          <w:color w:val="000000" w:themeColor="text1"/>
          <w:sz w:val="20"/>
          <w:szCs w:val="20"/>
          <w:lang w:bidi="ar-EG"/>
        </w:rPr>
        <w:t>Lesokhin</w:t>
      </w:r>
      <w:proofErr w:type="spellEnd"/>
      <w:r w:rsidRPr="008C4E56">
        <w:rPr>
          <w:rFonts w:asciiTheme="majorBidi" w:eastAsia="Calibri" w:hAnsiTheme="majorBidi" w:cstheme="majorBidi"/>
          <w:color w:val="000000" w:themeColor="text1"/>
          <w:sz w:val="20"/>
          <w:szCs w:val="20"/>
          <w:lang w:bidi="ar-EG"/>
        </w:rPr>
        <w:t xml:space="preserve"> AM, </w:t>
      </w:r>
      <w:proofErr w:type="spellStart"/>
      <w:r w:rsidRPr="008C4E56">
        <w:rPr>
          <w:rFonts w:asciiTheme="majorBidi" w:eastAsia="Calibri" w:hAnsiTheme="majorBidi" w:cstheme="majorBidi"/>
          <w:color w:val="000000" w:themeColor="text1"/>
          <w:sz w:val="20"/>
          <w:szCs w:val="20"/>
          <w:lang w:bidi="ar-EG"/>
        </w:rPr>
        <w:t>Borrello</w:t>
      </w:r>
      <w:proofErr w:type="spellEnd"/>
      <w:r w:rsidRPr="008C4E56">
        <w:rPr>
          <w:rFonts w:asciiTheme="majorBidi" w:eastAsia="Calibri" w:hAnsiTheme="majorBidi" w:cstheme="majorBidi"/>
          <w:color w:val="000000" w:themeColor="text1"/>
          <w:sz w:val="20"/>
          <w:szCs w:val="20"/>
          <w:lang w:bidi="ar-EG"/>
        </w:rPr>
        <w:t xml:space="preserve"> I, </w:t>
      </w:r>
      <w:proofErr w:type="spellStart"/>
      <w:r w:rsidRPr="008C4E56">
        <w:rPr>
          <w:rFonts w:asciiTheme="majorBidi" w:eastAsia="Calibri" w:hAnsiTheme="majorBidi" w:cstheme="majorBidi"/>
          <w:color w:val="000000" w:themeColor="text1"/>
          <w:sz w:val="20"/>
          <w:szCs w:val="20"/>
          <w:lang w:bidi="ar-EG"/>
        </w:rPr>
        <w:t>Halwani</w:t>
      </w:r>
      <w:proofErr w:type="spellEnd"/>
      <w:r w:rsidRPr="008C4E56">
        <w:rPr>
          <w:rFonts w:asciiTheme="majorBidi" w:eastAsia="Calibri" w:hAnsiTheme="majorBidi" w:cstheme="majorBidi"/>
          <w:color w:val="000000" w:themeColor="text1"/>
          <w:sz w:val="20"/>
          <w:szCs w:val="20"/>
          <w:lang w:bidi="ar-EG"/>
        </w:rPr>
        <w:t xml:space="preserve"> A, Scott EC, Gutierrez M, Schuster</w:t>
      </w:r>
      <w:r w:rsidRPr="008C4E56">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lang w:bidi="ar-EG"/>
        </w:rPr>
        <w:t xml:space="preserve">SJ, </w:t>
      </w:r>
      <w:proofErr w:type="spellStart"/>
      <w:r w:rsidRPr="008C4E56">
        <w:rPr>
          <w:rFonts w:asciiTheme="majorBidi" w:eastAsia="Calibri" w:hAnsiTheme="majorBidi" w:cstheme="majorBidi"/>
          <w:color w:val="000000" w:themeColor="text1"/>
          <w:sz w:val="20"/>
          <w:szCs w:val="20"/>
          <w:lang w:bidi="ar-EG"/>
        </w:rPr>
        <w:t>Millenson</w:t>
      </w:r>
      <w:proofErr w:type="spellEnd"/>
      <w:r w:rsidRPr="008C4E56">
        <w:rPr>
          <w:rFonts w:asciiTheme="majorBidi" w:eastAsia="Calibri" w:hAnsiTheme="majorBidi" w:cstheme="majorBidi"/>
          <w:color w:val="000000" w:themeColor="text1"/>
          <w:sz w:val="20"/>
          <w:szCs w:val="20"/>
          <w:lang w:bidi="ar-EG"/>
        </w:rPr>
        <w:t xml:space="preserve"> MM, </w:t>
      </w:r>
      <w:proofErr w:type="spellStart"/>
      <w:r w:rsidRPr="008C4E56">
        <w:rPr>
          <w:rFonts w:asciiTheme="majorBidi" w:eastAsia="Calibri" w:hAnsiTheme="majorBidi" w:cstheme="majorBidi"/>
          <w:color w:val="000000" w:themeColor="text1"/>
          <w:sz w:val="20"/>
          <w:szCs w:val="20"/>
          <w:lang w:bidi="ar-EG"/>
        </w:rPr>
        <w:t>Cattry</w:t>
      </w:r>
      <w:proofErr w:type="spellEnd"/>
      <w:r w:rsidRPr="008C4E56">
        <w:rPr>
          <w:rFonts w:asciiTheme="majorBidi" w:eastAsia="Calibri" w:hAnsiTheme="majorBidi" w:cstheme="majorBidi"/>
          <w:color w:val="000000" w:themeColor="text1"/>
          <w:sz w:val="20"/>
          <w:szCs w:val="20"/>
          <w:lang w:bidi="ar-EG"/>
        </w:rPr>
        <w:t xml:space="preserve"> D, Freeman GJ, </w:t>
      </w:r>
      <w:proofErr w:type="spellStart"/>
      <w:r w:rsidRPr="008C4E56">
        <w:rPr>
          <w:rFonts w:asciiTheme="majorBidi" w:eastAsia="Calibri" w:hAnsiTheme="majorBidi" w:cstheme="majorBidi"/>
          <w:color w:val="000000" w:themeColor="text1"/>
          <w:sz w:val="20"/>
          <w:szCs w:val="20"/>
          <w:lang w:bidi="ar-EG"/>
        </w:rPr>
        <w:t>Rodig</w:t>
      </w:r>
      <w:proofErr w:type="spellEnd"/>
      <w:r w:rsidRPr="008C4E56">
        <w:rPr>
          <w:rFonts w:asciiTheme="majorBidi" w:eastAsia="Calibri" w:hAnsiTheme="majorBidi" w:cstheme="majorBidi"/>
          <w:color w:val="000000" w:themeColor="text1"/>
          <w:sz w:val="20"/>
          <w:szCs w:val="20"/>
          <w:lang w:bidi="ar-EG"/>
        </w:rPr>
        <w:t xml:space="preserve"> SJ, </w:t>
      </w:r>
      <w:proofErr w:type="spellStart"/>
      <w:r w:rsidRPr="008C4E56">
        <w:rPr>
          <w:rFonts w:asciiTheme="majorBidi" w:eastAsia="Calibri" w:hAnsiTheme="majorBidi" w:cstheme="majorBidi"/>
          <w:color w:val="000000" w:themeColor="text1"/>
          <w:sz w:val="20"/>
          <w:szCs w:val="20"/>
          <w:lang w:bidi="ar-EG"/>
        </w:rPr>
        <w:t>Chapuy</w:t>
      </w:r>
      <w:proofErr w:type="spellEnd"/>
      <w:r w:rsidRPr="008C4E56">
        <w:rPr>
          <w:rFonts w:asciiTheme="majorBidi" w:eastAsia="Calibri" w:hAnsiTheme="majorBidi" w:cstheme="majorBidi"/>
          <w:color w:val="000000" w:themeColor="text1"/>
          <w:sz w:val="20"/>
          <w:szCs w:val="20"/>
          <w:lang w:bidi="ar-EG"/>
        </w:rPr>
        <w:t xml:space="preserve"> B, </w:t>
      </w:r>
      <w:proofErr w:type="spellStart"/>
      <w:r w:rsidRPr="008C4E56">
        <w:rPr>
          <w:rFonts w:asciiTheme="majorBidi" w:eastAsia="Calibri" w:hAnsiTheme="majorBidi" w:cstheme="majorBidi"/>
          <w:color w:val="000000" w:themeColor="text1"/>
          <w:sz w:val="20"/>
          <w:szCs w:val="20"/>
          <w:lang w:bidi="ar-EG"/>
        </w:rPr>
        <w:t>Ligon</w:t>
      </w:r>
      <w:proofErr w:type="spellEnd"/>
      <w:r w:rsidRPr="008C4E56">
        <w:rPr>
          <w:rFonts w:asciiTheme="majorBidi" w:eastAsia="Calibri" w:hAnsiTheme="majorBidi" w:cstheme="majorBidi"/>
          <w:color w:val="000000" w:themeColor="text1"/>
          <w:sz w:val="20"/>
          <w:szCs w:val="20"/>
          <w:lang w:bidi="ar-EG"/>
        </w:rPr>
        <w:t xml:space="preserve"> AH, Zhu L,</w:t>
      </w:r>
      <w:r w:rsidRPr="008C4E56">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lang w:bidi="ar-EG"/>
        </w:rPr>
        <w:t xml:space="preserve">Grosso JF, Kim SY, Timmerman JM, Shipp MA, Armand P. PD-1 blockade with </w:t>
      </w:r>
      <w:proofErr w:type="spellStart"/>
      <w:r w:rsidRPr="008C4E56">
        <w:rPr>
          <w:rFonts w:asciiTheme="majorBidi" w:eastAsia="Calibri" w:hAnsiTheme="majorBidi" w:cstheme="majorBidi"/>
          <w:color w:val="000000" w:themeColor="text1"/>
          <w:sz w:val="20"/>
          <w:szCs w:val="20"/>
          <w:lang w:bidi="ar-EG"/>
        </w:rPr>
        <w:t>nivolumab</w:t>
      </w:r>
      <w:proofErr w:type="spellEnd"/>
      <w:r w:rsidRPr="008C4E56">
        <w:rPr>
          <w:rFonts w:asciiTheme="majorBidi" w:eastAsia="Calibri" w:hAnsiTheme="majorBidi" w:cstheme="majorBidi"/>
          <w:color w:val="000000" w:themeColor="text1"/>
          <w:sz w:val="20"/>
          <w:szCs w:val="20"/>
          <w:lang w:bidi="ar-EG"/>
        </w:rPr>
        <w:t xml:space="preserve"> in relapsed or refractory Hodgkin's lymphoma. N </w:t>
      </w:r>
      <w:proofErr w:type="spellStart"/>
      <w:r w:rsidRPr="008C4E56">
        <w:rPr>
          <w:rFonts w:asciiTheme="majorBidi" w:eastAsia="Calibri" w:hAnsiTheme="majorBidi" w:cstheme="majorBidi"/>
          <w:color w:val="000000" w:themeColor="text1"/>
          <w:sz w:val="20"/>
          <w:szCs w:val="20"/>
          <w:lang w:bidi="ar-EG"/>
        </w:rPr>
        <w:t>Engl</w:t>
      </w:r>
      <w:proofErr w:type="spellEnd"/>
      <w:r w:rsidRPr="008C4E56">
        <w:rPr>
          <w:rFonts w:asciiTheme="majorBidi" w:eastAsia="Calibri" w:hAnsiTheme="majorBidi" w:cstheme="majorBidi"/>
          <w:color w:val="000000" w:themeColor="text1"/>
          <w:sz w:val="20"/>
          <w:szCs w:val="20"/>
          <w:lang w:bidi="ar-EG"/>
        </w:rPr>
        <w:t xml:space="preserve"> J Med. 2015 Jan</w:t>
      </w:r>
      <w:r w:rsidRPr="008C4E56">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lang w:bidi="ar-EG"/>
        </w:rPr>
        <w:t>22; 372(4):311-9.</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8. </w:t>
      </w:r>
      <w:proofErr w:type="spellStart"/>
      <w:r w:rsidRPr="008C4E56">
        <w:rPr>
          <w:rFonts w:asciiTheme="majorBidi" w:eastAsia="Calibri" w:hAnsiTheme="majorBidi" w:cstheme="majorBidi"/>
          <w:color w:val="000000" w:themeColor="text1"/>
          <w:sz w:val="20"/>
          <w:szCs w:val="20"/>
          <w:lang w:bidi="ar-EG"/>
        </w:rPr>
        <w:t>Steidl</w:t>
      </w:r>
      <w:proofErr w:type="spellEnd"/>
      <w:r w:rsidRPr="008C4E56">
        <w:rPr>
          <w:rFonts w:asciiTheme="majorBidi" w:eastAsia="Calibri" w:hAnsiTheme="majorBidi" w:cstheme="majorBidi"/>
          <w:color w:val="000000" w:themeColor="text1"/>
          <w:sz w:val="20"/>
          <w:szCs w:val="20"/>
          <w:lang w:bidi="ar-EG"/>
        </w:rPr>
        <w:t xml:space="preserve"> C, Shah SP, </w:t>
      </w:r>
      <w:proofErr w:type="spellStart"/>
      <w:r w:rsidRPr="008C4E56">
        <w:rPr>
          <w:rFonts w:asciiTheme="majorBidi" w:eastAsia="Calibri" w:hAnsiTheme="majorBidi" w:cstheme="majorBidi"/>
          <w:color w:val="000000" w:themeColor="text1"/>
          <w:sz w:val="20"/>
          <w:szCs w:val="20"/>
          <w:lang w:bidi="ar-EG"/>
        </w:rPr>
        <w:t>Woolcock</w:t>
      </w:r>
      <w:proofErr w:type="spellEnd"/>
      <w:r w:rsidRPr="008C4E56">
        <w:rPr>
          <w:rFonts w:asciiTheme="majorBidi" w:eastAsia="Calibri" w:hAnsiTheme="majorBidi" w:cstheme="majorBidi"/>
          <w:color w:val="000000" w:themeColor="text1"/>
          <w:sz w:val="20"/>
          <w:szCs w:val="20"/>
          <w:lang w:bidi="ar-EG"/>
        </w:rPr>
        <w:t xml:space="preserve"> BW, et al. MHC class II </w:t>
      </w:r>
      <w:proofErr w:type="spellStart"/>
      <w:r w:rsidRPr="008C4E56">
        <w:rPr>
          <w:rFonts w:asciiTheme="majorBidi" w:eastAsia="Calibri" w:hAnsiTheme="majorBidi" w:cstheme="majorBidi"/>
          <w:color w:val="000000" w:themeColor="text1"/>
          <w:sz w:val="20"/>
          <w:szCs w:val="20"/>
          <w:lang w:bidi="ar-EG"/>
        </w:rPr>
        <w:t>transactivator</w:t>
      </w:r>
      <w:proofErr w:type="spellEnd"/>
      <w:r w:rsidRPr="008C4E56">
        <w:rPr>
          <w:rFonts w:asciiTheme="majorBidi" w:eastAsia="Calibri" w:hAnsiTheme="majorBidi" w:cstheme="majorBidi"/>
          <w:color w:val="000000" w:themeColor="text1"/>
          <w:sz w:val="20"/>
          <w:szCs w:val="20"/>
          <w:lang w:bidi="ar-EG"/>
        </w:rPr>
        <w:t xml:space="preserve"> CIITA is a recurrent gene fusion partner in lymphoid cancers. </w:t>
      </w:r>
      <w:proofErr w:type="gramStart"/>
      <w:r w:rsidRPr="008C4E56">
        <w:rPr>
          <w:rFonts w:asciiTheme="majorBidi" w:eastAsia="Calibri" w:hAnsiTheme="majorBidi" w:cstheme="majorBidi"/>
          <w:color w:val="000000" w:themeColor="text1"/>
          <w:sz w:val="20"/>
          <w:szCs w:val="20"/>
          <w:lang w:bidi="ar-EG"/>
        </w:rPr>
        <w:t>Nature.</w:t>
      </w:r>
      <w:proofErr w:type="gramEnd"/>
      <w:r w:rsidRPr="008C4E56">
        <w:rPr>
          <w:rFonts w:asciiTheme="majorBidi" w:eastAsia="Calibri" w:hAnsiTheme="majorBidi" w:cstheme="majorBidi"/>
          <w:color w:val="000000" w:themeColor="text1"/>
          <w:sz w:val="20"/>
          <w:szCs w:val="20"/>
          <w:lang w:bidi="ar-EG"/>
        </w:rPr>
        <w:t xml:space="preserve"> </w:t>
      </w:r>
      <w:proofErr w:type="gramStart"/>
      <w:r w:rsidRPr="008C4E56">
        <w:rPr>
          <w:rFonts w:asciiTheme="majorBidi" w:eastAsia="Calibri" w:hAnsiTheme="majorBidi" w:cstheme="majorBidi"/>
          <w:color w:val="000000" w:themeColor="text1"/>
          <w:sz w:val="20"/>
          <w:szCs w:val="20"/>
          <w:lang w:bidi="ar-EG"/>
        </w:rPr>
        <w:t>2011; 471:377–81</w:t>
      </w:r>
      <w:r w:rsidRPr="008C4E56">
        <w:rPr>
          <w:rFonts w:asciiTheme="majorBidi" w:eastAsia="Calibri" w:hAnsiTheme="majorBidi" w:cstheme="majorBidi"/>
          <w:color w:val="000000" w:themeColor="text1"/>
          <w:sz w:val="20"/>
          <w:szCs w:val="20"/>
          <w:rtl/>
        </w:rPr>
        <w:t>.</w:t>
      </w:r>
      <w:proofErr w:type="gramEnd"/>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tl/>
          <w:lang w:bidi="ar-EG"/>
        </w:rPr>
      </w:pPr>
      <w:r w:rsidRPr="008C4E56">
        <w:rPr>
          <w:rFonts w:asciiTheme="majorBidi" w:eastAsia="Calibri" w:hAnsiTheme="majorBidi" w:cstheme="majorBidi"/>
          <w:color w:val="000000" w:themeColor="text1"/>
          <w:sz w:val="20"/>
          <w:szCs w:val="20"/>
          <w:lang w:bidi="ar-EG"/>
        </w:rPr>
        <w:t xml:space="preserve">9. </w:t>
      </w:r>
      <w:proofErr w:type="spellStart"/>
      <w:r w:rsidRPr="008C4E56">
        <w:rPr>
          <w:rFonts w:asciiTheme="majorBidi" w:eastAsia="Calibri" w:hAnsiTheme="majorBidi" w:cstheme="majorBidi"/>
          <w:color w:val="000000" w:themeColor="text1"/>
          <w:sz w:val="20"/>
          <w:szCs w:val="20"/>
          <w:lang w:bidi="ar-EG"/>
        </w:rPr>
        <w:t>Glimelius</w:t>
      </w:r>
      <w:proofErr w:type="spellEnd"/>
      <w:r w:rsidRPr="008C4E56">
        <w:rPr>
          <w:rFonts w:asciiTheme="majorBidi" w:eastAsia="Calibri" w:hAnsiTheme="majorBidi" w:cstheme="majorBidi"/>
          <w:color w:val="000000" w:themeColor="text1"/>
          <w:sz w:val="20"/>
          <w:szCs w:val="20"/>
          <w:lang w:bidi="ar-EG"/>
        </w:rPr>
        <w:t xml:space="preserve"> I, </w:t>
      </w:r>
      <w:proofErr w:type="spellStart"/>
      <w:r w:rsidRPr="008C4E56">
        <w:rPr>
          <w:rFonts w:asciiTheme="majorBidi" w:eastAsia="Calibri" w:hAnsiTheme="majorBidi" w:cstheme="majorBidi"/>
          <w:color w:val="000000" w:themeColor="text1"/>
          <w:sz w:val="20"/>
          <w:szCs w:val="20"/>
          <w:lang w:bidi="ar-EG"/>
        </w:rPr>
        <w:t>Diepstra</w:t>
      </w:r>
      <w:proofErr w:type="spellEnd"/>
      <w:r w:rsidRPr="008C4E56">
        <w:rPr>
          <w:rFonts w:asciiTheme="majorBidi" w:eastAsia="Calibri" w:hAnsiTheme="majorBidi" w:cstheme="majorBidi"/>
          <w:color w:val="000000" w:themeColor="text1"/>
          <w:sz w:val="20"/>
          <w:szCs w:val="20"/>
          <w:lang w:bidi="ar-EG"/>
        </w:rPr>
        <w:t xml:space="preserve"> A. Novel treatment concepts in Hodgkin lymphoma. J Intern Med. 2017; 281(3):247-260</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tl/>
          <w:lang w:bidi="ar-EG"/>
        </w:rPr>
      </w:pPr>
      <w:r w:rsidRPr="008C4E56">
        <w:rPr>
          <w:rFonts w:asciiTheme="majorBidi" w:eastAsia="Calibri" w:hAnsiTheme="majorBidi" w:cstheme="majorBidi"/>
          <w:color w:val="000000" w:themeColor="text1"/>
          <w:sz w:val="20"/>
          <w:szCs w:val="20"/>
          <w:lang w:bidi="ar-EG"/>
        </w:rPr>
        <w:t xml:space="preserve">10. Hollander P, </w:t>
      </w:r>
      <w:proofErr w:type="spellStart"/>
      <w:r w:rsidRPr="008C4E56">
        <w:rPr>
          <w:rFonts w:asciiTheme="majorBidi" w:eastAsia="Calibri" w:hAnsiTheme="majorBidi" w:cstheme="majorBidi"/>
          <w:color w:val="000000" w:themeColor="text1"/>
          <w:sz w:val="20"/>
          <w:szCs w:val="20"/>
          <w:lang w:bidi="ar-EG"/>
        </w:rPr>
        <w:t>Kamper</w:t>
      </w:r>
      <w:proofErr w:type="spellEnd"/>
      <w:r w:rsidRPr="008C4E56">
        <w:rPr>
          <w:rFonts w:asciiTheme="majorBidi" w:eastAsia="Calibri" w:hAnsiTheme="majorBidi" w:cstheme="majorBidi"/>
          <w:color w:val="000000" w:themeColor="text1"/>
          <w:sz w:val="20"/>
          <w:szCs w:val="20"/>
          <w:lang w:bidi="ar-EG"/>
        </w:rPr>
        <w:t xml:space="preserve"> P, </w:t>
      </w:r>
      <w:proofErr w:type="spellStart"/>
      <w:r w:rsidRPr="008C4E56">
        <w:rPr>
          <w:rFonts w:asciiTheme="majorBidi" w:eastAsia="Calibri" w:hAnsiTheme="majorBidi" w:cstheme="majorBidi"/>
          <w:color w:val="000000" w:themeColor="text1"/>
          <w:sz w:val="20"/>
          <w:szCs w:val="20"/>
          <w:lang w:bidi="ar-EG"/>
        </w:rPr>
        <w:t>Smedby</w:t>
      </w:r>
      <w:proofErr w:type="spellEnd"/>
      <w:r w:rsidRPr="008C4E56">
        <w:rPr>
          <w:rFonts w:asciiTheme="majorBidi" w:eastAsia="Calibri" w:hAnsiTheme="majorBidi" w:cstheme="majorBidi"/>
          <w:color w:val="000000" w:themeColor="text1"/>
          <w:sz w:val="20"/>
          <w:szCs w:val="20"/>
          <w:lang w:bidi="ar-EG"/>
        </w:rPr>
        <w:t xml:space="preserve"> KE, </w:t>
      </w:r>
      <w:proofErr w:type="spellStart"/>
      <w:r w:rsidRPr="008C4E56">
        <w:rPr>
          <w:rFonts w:asciiTheme="majorBidi" w:eastAsia="Calibri" w:hAnsiTheme="majorBidi" w:cstheme="majorBidi"/>
          <w:color w:val="000000" w:themeColor="text1"/>
          <w:sz w:val="20"/>
          <w:szCs w:val="20"/>
          <w:lang w:bidi="ar-EG"/>
        </w:rPr>
        <w:t>Enblad</w:t>
      </w:r>
      <w:proofErr w:type="spellEnd"/>
      <w:r w:rsidRPr="008C4E56">
        <w:rPr>
          <w:rFonts w:asciiTheme="majorBidi" w:eastAsia="Calibri" w:hAnsiTheme="majorBidi" w:cstheme="majorBidi"/>
          <w:color w:val="000000" w:themeColor="text1"/>
          <w:sz w:val="20"/>
          <w:szCs w:val="20"/>
          <w:lang w:bidi="ar-EG"/>
        </w:rPr>
        <w:t xml:space="preserve"> G, </w:t>
      </w:r>
      <w:proofErr w:type="spellStart"/>
      <w:r w:rsidRPr="008C4E56">
        <w:rPr>
          <w:rFonts w:asciiTheme="majorBidi" w:eastAsia="Calibri" w:hAnsiTheme="majorBidi" w:cstheme="majorBidi"/>
          <w:color w:val="000000" w:themeColor="text1"/>
          <w:sz w:val="20"/>
          <w:szCs w:val="20"/>
          <w:lang w:bidi="ar-EG"/>
        </w:rPr>
        <w:t>Ludvigsen</w:t>
      </w:r>
      <w:proofErr w:type="spellEnd"/>
      <w:r w:rsidRPr="008C4E56">
        <w:rPr>
          <w:rFonts w:asciiTheme="majorBidi" w:eastAsia="Calibri" w:hAnsiTheme="majorBidi" w:cstheme="majorBidi"/>
          <w:color w:val="000000" w:themeColor="text1"/>
          <w:sz w:val="20"/>
          <w:szCs w:val="20"/>
          <w:lang w:bidi="ar-EG"/>
        </w:rPr>
        <w:t xml:space="preserve"> M, Mortensen J, </w:t>
      </w:r>
      <w:proofErr w:type="spellStart"/>
      <w:r w:rsidRPr="008C4E56">
        <w:rPr>
          <w:rFonts w:asciiTheme="majorBidi" w:eastAsia="Calibri" w:hAnsiTheme="majorBidi" w:cstheme="majorBidi"/>
          <w:color w:val="000000" w:themeColor="text1"/>
          <w:sz w:val="20"/>
          <w:szCs w:val="20"/>
          <w:lang w:bidi="ar-EG"/>
        </w:rPr>
        <w:t>Amini</w:t>
      </w:r>
      <w:proofErr w:type="spellEnd"/>
      <w:r w:rsidRPr="008C4E56">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lang w:bidi="ar-EG"/>
        </w:rPr>
        <w:t>RM, Hamilton-</w:t>
      </w:r>
      <w:proofErr w:type="spellStart"/>
      <w:r w:rsidRPr="008C4E56">
        <w:rPr>
          <w:rFonts w:asciiTheme="majorBidi" w:eastAsia="Calibri" w:hAnsiTheme="majorBidi" w:cstheme="majorBidi"/>
          <w:color w:val="000000" w:themeColor="text1"/>
          <w:sz w:val="20"/>
          <w:szCs w:val="20"/>
          <w:lang w:bidi="ar-EG"/>
        </w:rPr>
        <w:t>Dutoit</w:t>
      </w:r>
      <w:proofErr w:type="spellEnd"/>
      <w:r w:rsidRPr="008C4E56">
        <w:rPr>
          <w:rFonts w:asciiTheme="majorBidi" w:eastAsia="Calibri" w:hAnsiTheme="majorBidi" w:cstheme="majorBidi"/>
          <w:color w:val="000000" w:themeColor="text1"/>
          <w:sz w:val="20"/>
          <w:szCs w:val="20"/>
          <w:lang w:bidi="ar-EG"/>
        </w:rPr>
        <w:t xml:space="preserve"> S, </w:t>
      </w:r>
      <w:proofErr w:type="spellStart"/>
      <w:r w:rsidRPr="008C4E56">
        <w:rPr>
          <w:rFonts w:asciiTheme="majorBidi" w:eastAsia="Calibri" w:hAnsiTheme="majorBidi" w:cstheme="majorBidi"/>
          <w:color w:val="000000" w:themeColor="text1"/>
          <w:sz w:val="20"/>
          <w:szCs w:val="20"/>
          <w:lang w:bidi="ar-EG"/>
        </w:rPr>
        <w:t>d'Amore</w:t>
      </w:r>
      <w:proofErr w:type="spellEnd"/>
      <w:r w:rsidRPr="008C4E56">
        <w:rPr>
          <w:rFonts w:asciiTheme="majorBidi" w:eastAsia="Calibri" w:hAnsiTheme="majorBidi" w:cstheme="majorBidi"/>
          <w:color w:val="000000" w:themeColor="text1"/>
          <w:sz w:val="20"/>
          <w:szCs w:val="20"/>
          <w:lang w:bidi="ar-EG"/>
        </w:rPr>
        <w:t xml:space="preserve"> F, </w:t>
      </w:r>
      <w:proofErr w:type="spellStart"/>
      <w:r w:rsidRPr="008C4E56">
        <w:rPr>
          <w:rFonts w:asciiTheme="majorBidi" w:eastAsia="Calibri" w:hAnsiTheme="majorBidi" w:cstheme="majorBidi"/>
          <w:color w:val="000000" w:themeColor="text1"/>
          <w:sz w:val="20"/>
          <w:szCs w:val="20"/>
          <w:lang w:bidi="ar-EG"/>
        </w:rPr>
        <w:t>Molin</w:t>
      </w:r>
      <w:proofErr w:type="spellEnd"/>
      <w:r w:rsidRPr="008C4E56">
        <w:rPr>
          <w:rFonts w:asciiTheme="majorBidi" w:eastAsia="Calibri" w:hAnsiTheme="majorBidi" w:cstheme="majorBidi"/>
          <w:color w:val="000000" w:themeColor="text1"/>
          <w:sz w:val="20"/>
          <w:szCs w:val="20"/>
          <w:lang w:bidi="ar-EG"/>
        </w:rPr>
        <w:t xml:space="preserve"> D, </w:t>
      </w:r>
      <w:proofErr w:type="spellStart"/>
      <w:r w:rsidRPr="008C4E56">
        <w:rPr>
          <w:rFonts w:asciiTheme="majorBidi" w:eastAsia="Calibri" w:hAnsiTheme="majorBidi" w:cstheme="majorBidi"/>
          <w:color w:val="000000" w:themeColor="text1"/>
          <w:sz w:val="20"/>
          <w:szCs w:val="20"/>
          <w:lang w:bidi="ar-EG"/>
        </w:rPr>
        <w:t>Glimelius</w:t>
      </w:r>
      <w:proofErr w:type="spellEnd"/>
      <w:r w:rsidRPr="008C4E56">
        <w:rPr>
          <w:rFonts w:asciiTheme="majorBidi" w:eastAsia="Calibri" w:hAnsiTheme="majorBidi" w:cstheme="majorBidi"/>
          <w:color w:val="000000" w:themeColor="text1"/>
          <w:sz w:val="20"/>
          <w:szCs w:val="20"/>
          <w:lang w:bidi="ar-EG"/>
        </w:rPr>
        <w:t xml:space="preserve"> I. High proportions of</w:t>
      </w:r>
      <w:r w:rsidRPr="008C4E56">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lang w:bidi="ar-EG"/>
        </w:rPr>
        <w:t>PD-1(+) and PD-L1(+) leukocytes in classical Hodgkin lymphoma microenvironment</w:t>
      </w:r>
      <w:r w:rsidRPr="008C4E56">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lang w:bidi="ar-EG"/>
        </w:rPr>
        <w:t xml:space="preserve">are associated with inferior outcome. Blood Adv. 2017; 1(18):1427-1439.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rPr>
        <w:t>11. Harris NL, Campo E, Jaffe ES, et al</w:t>
      </w:r>
      <w:r>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rPr>
        <w:t xml:space="preserve">Introduction to the WHO classification   of </w:t>
      </w:r>
      <w:proofErr w:type="spellStart"/>
      <w:r w:rsidRPr="008C4E56">
        <w:rPr>
          <w:rFonts w:asciiTheme="majorBidi" w:eastAsia="Calibri" w:hAnsiTheme="majorBidi" w:cstheme="majorBidi"/>
          <w:color w:val="000000" w:themeColor="text1"/>
          <w:sz w:val="20"/>
          <w:szCs w:val="20"/>
        </w:rPr>
        <w:t>tumours</w:t>
      </w:r>
      <w:proofErr w:type="spellEnd"/>
      <w:r w:rsidRPr="008C4E56">
        <w:rPr>
          <w:rFonts w:asciiTheme="majorBidi" w:eastAsia="Calibri" w:hAnsiTheme="majorBidi" w:cstheme="majorBidi"/>
          <w:color w:val="000000" w:themeColor="text1"/>
          <w:sz w:val="20"/>
          <w:szCs w:val="20"/>
        </w:rPr>
        <w:t xml:space="preserve"> of </w:t>
      </w:r>
      <w:proofErr w:type="spellStart"/>
      <w:r w:rsidRPr="008C4E56">
        <w:rPr>
          <w:rFonts w:asciiTheme="majorBidi" w:eastAsia="Calibri" w:hAnsiTheme="majorBidi" w:cstheme="majorBidi"/>
          <w:color w:val="000000" w:themeColor="text1"/>
          <w:sz w:val="20"/>
          <w:szCs w:val="20"/>
        </w:rPr>
        <w:t>haematopoietic</w:t>
      </w:r>
      <w:proofErr w:type="spellEnd"/>
      <w:r w:rsidRPr="008C4E56">
        <w:rPr>
          <w:rFonts w:asciiTheme="majorBidi" w:eastAsia="Calibri" w:hAnsiTheme="majorBidi" w:cstheme="majorBidi"/>
          <w:color w:val="000000" w:themeColor="text1"/>
          <w:sz w:val="20"/>
          <w:szCs w:val="20"/>
        </w:rPr>
        <w:t xml:space="preserve"> and lymphoid tissues. In: </w:t>
      </w:r>
      <w:proofErr w:type="spellStart"/>
      <w:r w:rsidRPr="008C4E56">
        <w:rPr>
          <w:rFonts w:asciiTheme="majorBidi" w:eastAsia="Calibri" w:hAnsiTheme="majorBidi" w:cstheme="majorBidi"/>
          <w:color w:val="000000" w:themeColor="text1"/>
          <w:sz w:val="20"/>
          <w:szCs w:val="20"/>
        </w:rPr>
        <w:t>Swerdlow</w:t>
      </w:r>
      <w:proofErr w:type="spellEnd"/>
      <w:r w:rsidRPr="008C4E56">
        <w:rPr>
          <w:rFonts w:asciiTheme="majorBidi" w:eastAsia="Calibri" w:hAnsiTheme="majorBidi" w:cstheme="majorBidi"/>
          <w:color w:val="000000" w:themeColor="text1"/>
          <w:sz w:val="20"/>
          <w:szCs w:val="20"/>
        </w:rPr>
        <w:t xml:space="preserve"> SH, Campo E, Harris NL, et al., editors. </w:t>
      </w:r>
      <w:proofErr w:type="gramStart"/>
      <w:r w:rsidRPr="008C4E56">
        <w:rPr>
          <w:rFonts w:asciiTheme="majorBidi" w:eastAsia="Calibri" w:hAnsiTheme="majorBidi" w:cstheme="majorBidi"/>
          <w:color w:val="000000" w:themeColor="text1"/>
          <w:sz w:val="20"/>
          <w:szCs w:val="20"/>
        </w:rPr>
        <w:t>WHO</w:t>
      </w:r>
      <w:proofErr w:type="gramEnd"/>
      <w:r w:rsidRPr="008C4E56">
        <w:rPr>
          <w:rFonts w:asciiTheme="majorBidi" w:eastAsia="Calibri" w:hAnsiTheme="majorBidi" w:cstheme="majorBidi"/>
          <w:color w:val="000000" w:themeColor="text1"/>
          <w:sz w:val="20"/>
          <w:szCs w:val="20"/>
        </w:rPr>
        <w:t xml:space="preserve"> Classification of </w:t>
      </w:r>
      <w:proofErr w:type="spellStart"/>
      <w:r w:rsidRPr="008C4E56">
        <w:rPr>
          <w:rFonts w:asciiTheme="majorBidi" w:eastAsia="Calibri" w:hAnsiTheme="majorBidi" w:cstheme="majorBidi"/>
          <w:color w:val="000000" w:themeColor="text1"/>
          <w:sz w:val="20"/>
          <w:szCs w:val="20"/>
        </w:rPr>
        <w:t>Tumours</w:t>
      </w:r>
      <w:proofErr w:type="spellEnd"/>
      <w:r w:rsidRPr="008C4E56">
        <w:rPr>
          <w:rFonts w:asciiTheme="majorBidi" w:eastAsia="Calibri" w:hAnsiTheme="majorBidi" w:cstheme="majorBidi"/>
          <w:color w:val="000000" w:themeColor="text1"/>
          <w:sz w:val="20"/>
          <w:szCs w:val="20"/>
        </w:rPr>
        <w:t xml:space="preserve"> of </w:t>
      </w:r>
      <w:proofErr w:type="spellStart"/>
      <w:r w:rsidRPr="008C4E56">
        <w:rPr>
          <w:rFonts w:asciiTheme="majorBidi" w:eastAsia="Calibri" w:hAnsiTheme="majorBidi" w:cstheme="majorBidi"/>
          <w:color w:val="000000" w:themeColor="text1"/>
          <w:sz w:val="20"/>
          <w:szCs w:val="20"/>
        </w:rPr>
        <w:t>Haematopoietic</w:t>
      </w:r>
      <w:proofErr w:type="spellEnd"/>
      <w:r w:rsidRPr="008C4E56">
        <w:rPr>
          <w:rFonts w:asciiTheme="majorBidi" w:eastAsia="Calibri" w:hAnsiTheme="majorBidi" w:cstheme="majorBidi"/>
          <w:color w:val="000000" w:themeColor="text1"/>
          <w:sz w:val="20"/>
          <w:szCs w:val="20"/>
        </w:rPr>
        <w:t xml:space="preserve"> and Lymphoid Tissues. Lyon, France: IARC; 2008. p. 14-15.</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Pr>
      </w:pPr>
      <w:r w:rsidRPr="008C4E56">
        <w:rPr>
          <w:rFonts w:asciiTheme="majorBidi" w:eastAsia="Calibri" w:hAnsiTheme="majorBidi" w:cstheme="majorBidi"/>
          <w:color w:val="000000" w:themeColor="text1"/>
          <w:sz w:val="20"/>
          <w:szCs w:val="20"/>
        </w:rPr>
        <w:t xml:space="preserve">12. Lister TA, Crowther D, Sutcliffe SB, </w:t>
      </w:r>
      <w:proofErr w:type="spellStart"/>
      <w:r w:rsidRPr="008C4E56">
        <w:rPr>
          <w:rFonts w:asciiTheme="majorBidi" w:eastAsia="Calibri" w:hAnsiTheme="majorBidi" w:cstheme="majorBidi"/>
          <w:color w:val="000000" w:themeColor="text1"/>
          <w:sz w:val="20"/>
          <w:szCs w:val="20"/>
        </w:rPr>
        <w:t>Glatstein</w:t>
      </w:r>
      <w:proofErr w:type="spellEnd"/>
      <w:r w:rsidRPr="008C4E56">
        <w:rPr>
          <w:rFonts w:asciiTheme="majorBidi" w:eastAsia="Calibri" w:hAnsiTheme="majorBidi" w:cstheme="majorBidi"/>
          <w:color w:val="000000" w:themeColor="text1"/>
          <w:sz w:val="20"/>
          <w:szCs w:val="20"/>
        </w:rPr>
        <w:t xml:space="preserve"> E, </w:t>
      </w:r>
      <w:proofErr w:type="spellStart"/>
      <w:r w:rsidRPr="008C4E56">
        <w:rPr>
          <w:rFonts w:asciiTheme="majorBidi" w:eastAsia="Calibri" w:hAnsiTheme="majorBidi" w:cstheme="majorBidi"/>
          <w:color w:val="000000" w:themeColor="text1"/>
          <w:sz w:val="20"/>
          <w:szCs w:val="20"/>
        </w:rPr>
        <w:t>Canellos</w:t>
      </w:r>
      <w:proofErr w:type="spellEnd"/>
      <w:r w:rsidRPr="008C4E56">
        <w:rPr>
          <w:rFonts w:asciiTheme="majorBidi" w:eastAsia="Calibri" w:hAnsiTheme="majorBidi" w:cstheme="majorBidi"/>
          <w:color w:val="000000" w:themeColor="text1"/>
          <w:sz w:val="20"/>
          <w:szCs w:val="20"/>
        </w:rPr>
        <w:t xml:space="preserve"> GP, Young RC, et al. Report of a committee convened to discuss the evaluation and staging of patients with Hodgkin’s disease: </w:t>
      </w:r>
      <w:proofErr w:type="spellStart"/>
      <w:r w:rsidRPr="008C4E56">
        <w:rPr>
          <w:rFonts w:asciiTheme="majorBidi" w:eastAsia="Calibri" w:hAnsiTheme="majorBidi" w:cstheme="majorBidi"/>
          <w:color w:val="000000" w:themeColor="text1"/>
          <w:sz w:val="20"/>
          <w:szCs w:val="20"/>
        </w:rPr>
        <w:t>cotswolds</w:t>
      </w:r>
      <w:proofErr w:type="spellEnd"/>
      <w:r w:rsidRPr="008C4E56">
        <w:rPr>
          <w:rFonts w:asciiTheme="majorBidi" w:eastAsia="Calibri" w:hAnsiTheme="majorBidi" w:cstheme="majorBidi"/>
          <w:color w:val="000000" w:themeColor="text1"/>
          <w:sz w:val="20"/>
          <w:szCs w:val="20"/>
        </w:rPr>
        <w:t xml:space="preserve"> meeting. </w:t>
      </w:r>
      <w:proofErr w:type="gramStart"/>
      <w:r w:rsidRPr="008C4E56">
        <w:rPr>
          <w:rFonts w:asciiTheme="majorBidi" w:eastAsia="Calibri" w:hAnsiTheme="majorBidi" w:cstheme="majorBidi"/>
          <w:color w:val="000000" w:themeColor="text1"/>
          <w:sz w:val="20"/>
          <w:szCs w:val="20"/>
        </w:rPr>
        <w:t xml:space="preserve">J </w:t>
      </w:r>
      <w:proofErr w:type="spellStart"/>
      <w:r w:rsidRPr="008C4E56">
        <w:rPr>
          <w:rFonts w:asciiTheme="majorBidi" w:eastAsia="Calibri" w:hAnsiTheme="majorBidi" w:cstheme="majorBidi"/>
          <w:color w:val="000000" w:themeColor="text1"/>
          <w:sz w:val="20"/>
          <w:szCs w:val="20"/>
        </w:rPr>
        <w:t>Clin</w:t>
      </w:r>
      <w:proofErr w:type="spellEnd"/>
      <w:r w:rsidRPr="008C4E56">
        <w:rPr>
          <w:rFonts w:asciiTheme="majorBidi" w:eastAsia="Calibri" w:hAnsiTheme="majorBidi" w:cstheme="majorBidi"/>
          <w:color w:val="000000" w:themeColor="text1"/>
          <w:sz w:val="20"/>
          <w:szCs w:val="20"/>
        </w:rPr>
        <w:t xml:space="preserve"> </w:t>
      </w:r>
      <w:proofErr w:type="spellStart"/>
      <w:r w:rsidRPr="008C4E56">
        <w:rPr>
          <w:rFonts w:asciiTheme="majorBidi" w:eastAsia="Calibri" w:hAnsiTheme="majorBidi" w:cstheme="majorBidi"/>
          <w:color w:val="000000" w:themeColor="text1"/>
          <w:sz w:val="20"/>
          <w:szCs w:val="20"/>
        </w:rPr>
        <w:t>Oncol</w:t>
      </w:r>
      <w:proofErr w:type="spellEnd"/>
      <w:r w:rsidRPr="008C4E56">
        <w:rPr>
          <w:rFonts w:asciiTheme="majorBidi" w:eastAsia="Calibri" w:hAnsiTheme="majorBidi" w:cstheme="majorBidi"/>
          <w:color w:val="000000" w:themeColor="text1"/>
          <w:sz w:val="20"/>
          <w:szCs w:val="20"/>
        </w:rPr>
        <w:t xml:space="preserve"> 1989; 7:1630–1636.</w:t>
      </w:r>
      <w:proofErr w:type="gramEnd"/>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Pr>
      </w:pPr>
      <w:r w:rsidRPr="008C4E56">
        <w:rPr>
          <w:rFonts w:asciiTheme="majorBidi" w:eastAsia="Calibri" w:hAnsiTheme="majorBidi" w:cstheme="majorBidi"/>
          <w:color w:val="000000" w:themeColor="text1"/>
          <w:sz w:val="20"/>
          <w:szCs w:val="20"/>
        </w:rPr>
        <w:t xml:space="preserve">13. </w:t>
      </w:r>
      <w:proofErr w:type="spellStart"/>
      <w:r w:rsidRPr="008C4E56">
        <w:rPr>
          <w:rFonts w:asciiTheme="majorBidi" w:eastAsia="Calibri" w:hAnsiTheme="majorBidi" w:cstheme="majorBidi"/>
          <w:color w:val="000000" w:themeColor="text1"/>
          <w:sz w:val="20"/>
          <w:szCs w:val="20"/>
        </w:rPr>
        <w:t>Oken</w:t>
      </w:r>
      <w:proofErr w:type="spellEnd"/>
      <w:r w:rsidRPr="008C4E56">
        <w:rPr>
          <w:rFonts w:asciiTheme="majorBidi" w:eastAsia="Calibri" w:hAnsiTheme="majorBidi" w:cstheme="majorBidi"/>
          <w:color w:val="000000" w:themeColor="text1"/>
          <w:sz w:val="20"/>
          <w:szCs w:val="20"/>
        </w:rPr>
        <w:t xml:space="preserve"> MM, Creech RH, </w:t>
      </w:r>
      <w:proofErr w:type="spellStart"/>
      <w:r w:rsidRPr="008C4E56">
        <w:rPr>
          <w:rFonts w:asciiTheme="majorBidi" w:eastAsia="Calibri" w:hAnsiTheme="majorBidi" w:cstheme="majorBidi"/>
          <w:color w:val="000000" w:themeColor="text1"/>
          <w:sz w:val="20"/>
          <w:szCs w:val="20"/>
        </w:rPr>
        <w:t>Tormey</w:t>
      </w:r>
      <w:proofErr w:type="spellEnd"/>
      <w:r w:rsidRPr="008C4E56">
        <w:rPr>
          <w:rFonts w:asciiTheme="majorBidi" w:eastAsia="Calibri" w:hAnsiTheme="majorBidi" w:cstheme="majorBidi"/>
          <w:color w:val="000000" w:themeColor="text1"/>
          <w:sz w:val="20"/>
          <w:szCs w:val="20"/>
        </w:rPr>
        <w:t xml:space="preserve"> DC, Horton J, Davis TE, McFadden ET, Carbone PP. Toxicity and response criteria of the Eastern Cooperative Oncology Group. </w:t>
      </w:r>
      <w:proofErr w:type="gramStart"/>
      <w:r w:rsidRPr="008C4E56">
        <w:rPr>
          <w:rFonts w:asciiTheme="majorBidi" w:eastAsia="Calibri" w:hAnsiTheme="majorBidi" w:cstheme="majorBidi"/>
          <w:color w:val="000000" w:themeColor="text1"/>
          <w:sz w:val="20"/>
          <w:szCs w:val="20"/>
        </w:rPr>
        <w:t>Am</w:t>
      </w:r>
      <w:proofErr w:type="gramEnd"/>
      <w:r w:rsidRPr="008C4E56">
        <w:rPr>
          <w:rFonts w:asciiTheme="majorBidi" w:eastAsia="Calibri" w:hAnsiTheme="majorBidi" w:cstheme="majorBidi"/>
          <w:color w:val="000000" w:themeColor="text1"/>
          <w:sz w:val="20"/>
          <w:szCs w:val="20"/>
        </w:rPr>
        <w:t xml:space="preserve"> J </w:t>
      </w:r>
      <w:proofErr w:type="spellStart"/>
      <w:r w:rsidRPr="008C4E56">
        <w:rPr>
          <w:rFonts w:asciiTheme="majorBidi" w:eastAsia="Calibri" w:hAnsiTheme="majorBidi" w:cstheme="majorBidi"/>
          <w:color w:val="000000" w:themeColor="text1"/>
          <w:sz w:val="20"/>
          <w:szCs w:val="20"/>
        </w:rPr>
        <w:t>Clin</w:t>
      </w:r>
      <w:proofErr w:type="spellEnd"/>
      <w:r w:rsidRPr="008C4E56">
        <w:rPr>
          <w:rFonts w:asciiTheme="majorBidi" w:eastAsia="Calibri" w:hAnsiTheme="majorBidi" w:cstheme="majorBidi"/>
          <w:color w:val="000000" w:themeColor="text1"/>
          <w:sz w:val="20"/>
          <w:szCs w:val="20"/>
        </w:rPr>
        <w:t xml:space="preserve"> </w:t>
      </w:r>
      <w:proofErr w:type="spellStart"/>
      <w:r w:rsidRPr="008C4E56">
        <w:rPr>
          <w:rFonts w:asciiTheme="majorBidi" w:eastAsia="Calibri" w:hAnsiTheme="majorBidi" w:cstheme="majorBidi"/>
          <w:color w:val="000000" w:themeColor="text1"/>
          <w:sz w:val="20"/>
          <w:szCs w:val="20"/>
        </w:rPr>
        <w:t>Oncol</w:t>
      </w:r>
      <w:proofErr w:type="spellEnd"/>
      <w:r w:rsidRPr="008C4E56">
        <w:rPr>
          <w:rFonts w:asciiTheme="majorBidi" w:eastAsia="Calibri" w:hAnsiTheme="majorBidi" w:cstheme="majorBidi"/>
          <w:color w:val="000000" w:themeColor="text1"/>
          <w:sz w:val="20"/>
          <w:szCs w:val="20"/>
        </w:rPr>
        <w:t xml:space="preserve"> 1982; 5:649–655.</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Pr>
      </w:pPr>
      <w:r w:rsidRPr="008C4E56">
        <w:rPr>
          <w:rFonts w:asciiTheme="majorBidi" w:eastAsia="Calibri" w:hAnsiTheme="majorBidi" w:cstheme="majorBidi"/>
          <w:color w:val="000000" w:themeColor="text1"/>
          <w:sz w:val="20"/>
          <w:szCs w:val="20"/>
        </w:rPr>
        <w:t xml:space="preserve">14. </w:t>
      </w:r>
      <w:proofErr w:type="spellStart"/>
      <w:r w:rsidRPr="008C4E56">
        <w:rPr>
          <w:rFonts w:asciiTheme="majorBidi" w:eastAsia="Calibri" w:hAnsiTheme="majorBidi" w:cstheme="majorBidi"/>
          <w:color w:val="000000" w:themeColor="text1"/>
          <w:sz w:val="20"/>
          <w:szCs w:val="20"/>
        </w:rPr>
        <w:t>Hasenclever</w:t>
      </w:r>
      <w:proofErr w:type="spellEnd"/>
      <w:r w:rsidRPr="008C4E56">
        <w:rPr>
          <w:rFonts w:asciiTheme="majorBidi" w:eastAsia="Calibri" w:hAnsiTheme="majorBidi" w:cstheme="majorBidi"/>
          <w:color w:val="000000" w:themeColor="text1"/>
          <w:sz w:val="20"/>
          <w:szCs w:val="20"/>
        </w:rPr>
        <w:t xml:space="preserve"> D, Diehl V. </w:t>
      </w:r>
      <w:proofErr w:type="gramStart"/>
      <w:r w:rsidRPr="008C4E56">
        <w:rPr>
          <w:rFonts w:asciiTheme="majorBidi" w:eastAsia="Calibri" w:hAnsiTheme="majorBidi" w:cstheme="majorBidi"/>
          <w:color w:val="000000" w:themeColor="text1"/>
          <w:sz w:val="20"/>
          <w:szCs w:val="20"/>
        </w:rPr>
        <w:t>A prognostic score for advanced Hodgkin's disease</w:t>
      </w:r>
      <w:r w:rsidRPr="008C4E56">
        <w:rPr>
          <w:rFonts w:asciiTheme="majorBidi" w:eastAsia="Calibri" w:hAnsiTheme="majorBidi" w:cstheme="majorBidi"/>
          <w:color w:val="000000" w:themeColor="text1"/>
          <w:sz w:val="20"/>
          <w:szCs w:val="20"/>
          <w:rtl/>
        </w:rPr>
        <w:t xml:space="preserve"> .</w:t>
      </w:r>
      <w:r w:rsidRPr="008C4E56">
        <w:rPr>
          <w:rFonts w:asciiTheme="majorBidi" w:eastAsia="Calibri" w:hAnsiTheme="majorBidi" w:cstheme="majorBidi"/>
          <w:color w:val="000000" w:themeColor="text1"/>
          <w:sz w:val="20"/>
          <w:szCs w:val="20"/>
        </w:rPr>
        <w:t>International Prognostic Factors Project on Advanced Hodgkin's Disease.</w:t>
      </w:r>
      <w:proofErr w:type="gramEnd"/>
      <w:r w:rsidRPr="008C4E56">
        <w:rPr>
          <w:rFonts w:asciiTheme="majorBidi" w:eastAsia="Calibri" w:hAnsiTheme="majorBidi" w:cstheme="majorBidi"/>
          <w:color w:val="000000" w:themeColor="text1"/>
          <w:sz w:val="20"/>
          <w:szCs w:val="20"/>
        </w:rPr>
        <w:t xml:space="preserve"> N </w:t>
      </w:r>
      <w:proofErr w:type="spellStart"/>
      <w:r w:rsidRPr="008C4E56">
        <w:rPr>
          <w:rFonts w:asciiTheme="majorBidi" w:eastAsia="Calibri" w:hAnsiTheme="majorBidi" w:cstheme="majorBidi"/>
          <w:color w:val="000000" w:themeColor="text1"/>
          <w:sz w:val="20"/>
          <w:szCs w:val="20"/>
        </w:rPr>
        <w:t>Engl</w:t>
      </w:r>
      <w:proofErr w:type="spellEnd"/>
      <w:r w:rsidRPr="008C4E56">
        <w:rPr>
          <w:rFonts w:asciiTheme="majorBidi" w:eastAsia="Calibri" w:hAnsiTheme="majorBidi" w:cstheme="majorBidi"/>
          <w:color w:val="000000" w:themeColor="text1"/>
          <w:sz w:val="20"/>
          <w:szCs w:val="20"/>
        </w:rPr>
        <w:t xml:space="preserve"> J</w:t>
      </w:r>
      <w:r w:rsidRPr="008C4E56">
        <w:rPr>
          <w:rFonts w:asciiTheme="majorBidi" w:eastAsia="Calibri" w:hAnsiTheme="majorBidi" w:cstheme="majorBidi"/>
          <w:color w:val="000000" w:themeColor="text1"/>
          <w:sz w:val="20"/>
          <w:szCs w:val="20"/>
          <w:rtl/>
        </w:rPr>
        <w:t xml:space="preserve"> </w:t>
      </w:r>
      <w:r w:rsidRPr="008C4E56">
        <w:rPr>
          <w:rFonts w:asciiTheme="majorBidi" w:eastAsia="Calibri" w:hAnsiTheme="majorBidi" w:cstheme="majorBidi"/>
          <w:color w:val="000000" w:themeColor="text1"/>
          <w:sz w:val="20"/>
          <w:szCs w:val="20"/>
        </w:rPr>
        <w:t>Med. 1998 Nov 19; 339(21): 1506-14.</w:t>
      </w:r>
    </w:p>
    <w:p w:rsidR="009A0496" w:rsidRPr="008C4E56" w:rsidRDefault="009A0496" w:rsidP="009A0496">
      <w:pPr>
        <w:bidi w:val="0"/>
        <w:spacing w:after="0" w:line="240" w:lineRule="auto"/>
        <w:rPr>
          <w:rFonts w:ascii="Times New Roman" w:eastAsia="Calibri" w:hAnsi="Times New Roman" w:cs="Times New Roman"/>
          <w:sz w:val="20"/>
          <w:szCs w:val="20"/>
        </w:rPr>
      </w:pPr>
      <w:r w:rsidRPr="008C4E56">
        <w:rPr>
          <w:rFonts w:ascii="Times New Roman" w:eastAsia="Calibri" w:hAnsi="Times New Roman" w:cs="Times New Roman"/>
          <w:sz w:val="20"/>
          <w:szCs w:val="20"/>
        </w:rPr>
        <w:t xml:space="preserve">15. </w:t>
      </w:r>
      <w:r w:rsidRPr="008C4E56">
        <w:rPr>
          <w:rFonts w:asciiTheme="majorBidi" w:hAnsiTheme="majorBidi" w:cstheme="majorBidi"/>
          <w:color w:val="000000" w:themeColor="text1"/>
          <w:sz w:val="20"/>
          <w:szCs w:val="20"/>
        </w:rPr>
        <w:t xml:space="preserve">Crotty S. Follicular helper CD4 T cells   (TFH). </w:t>
      </w:r>
      <w:proofErr w:type="spellStart"/>
      <w:proofErr w:type="gramStart"/>
      <w:r w:rsidRPr="008C4E56">
        <w:rPr>
          <w:rFonts w:asciiTheme="majorBidi" w:hAnsiTheme="majorBidi" w:cstheme="majorBidi"/>
          <w:color w:val="000000" w:themeColor="text1"/>
          <w:sz w:val="20"/>
          <w:szCs w:val="20"/>
        </w:rPr>
        <w:t>Annu</w:t>
      </w:r>
      <w:proofErr w:type="spellEnd"/>
      <w:r w:rsidRPr="008C4E56">
        <w:rPr>
          <w:rFonts w:asciiTheme="majorBidi" w:hAnsiTheme="majorBidi" w:cstheme="majorBidi"/>
          <w:color w:val="000000" w:themeColor="text1"/>
          <w:sz w:val="20"/>
          <w:szCs w:val="20"/>
        </w:rPr>
        <w:t xml:space="preserve"> Rev </w:t>
      </w:r>
      <w:proofErr w:type="spellStart"/>
      <w:r w:rsidRPr="008C4E56">
        <w:rPr>
          <w:rFonts w:asciiTheme="majorBidi" w:hAnsiTheme="majorBidi" w:cstheme="majorBidi"/>
          <w:color w:val="000000" w:themeColor="text1"/>
          <w:sz w:val="20"/>
          <w:szCs w:val="20"/>
        </w:rPr>
        <w:t>Immunol</w:t>
      </w:r>
      <w:proofErr w:type="spellEnd"/>
      <w:r w:rsidRPr="008C4E56">
        <w:rPr>
          <w:rFonts w:asciiTheme="majorBidi" w:hAnsiTheme="majorBidi" w:cstheme="majorBidi"/>
          <w:color w:val="000000" w:themeColor="text1"/>
          <w:sz w:val="20"/>
          <w:szCs w:val="20"/>
        </w:rPr>
        <w:t>.</w:t>
      </w:r>
      <w:proofErr w:type="gramEnd"/>
      <w:r w:rsidRPr="008C4E56">
        <w:rPr>
          <w:rFonts w:asciiTheme="majorBidi" w:hAnsiTheme="majorBidi" w:cstheme="majorBidi"/>
          <w:color w:val="000000" w:themeColor="text1"/>
          <w:sz w:val="20"/>
          <w:szCs w:val="20"/>
        </w:rPr>
        <w:t xml:space="preserve"> </w:t>
      </w:r>
      <w:proofErr w:type="gramStart"/>
      <w:r w:rsidRPr="008C4E56">
        <w:rPr>
          <w:rFonts w:asciiTheme="majorBidi" w:hAnsiTheme="majorBidi" w:cstheme="majorBidi"/>
          <w:color w:val="000000" w:themeColor="text1"/>
          <w:sz w:val="20"/>
          <w:szCs w:val="20"/>
        </w:rPr>
        <w:t>2011; 29:621-663.</w:t>
      </w:r>
      <w:proofErr w:type="gramEnd"/>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Pr>
      </w:pPr>
      <w:r w:rsidRPr="008C4E56">
        <w:rPr>
          <w:rFonts w:asciiTheme="majorBidi" w:eastAsia="Calibri" w:hAnsiTheme="majorBidi" w:cstheme="majorBidi"/>
          <w:color w:val="000000" w:themeColor="text1"/>
          <w:sz w:val="20"/>
          <w:szCs w:val="20"/>
        </w:rPr>
        <w:t xml:space="preserve">16. National Comprehensive Cancer Network. Clinical practices guidelines in oncology, V.1. 2014. Available at: https://www.nccn.org/professionals/ </w:t>
      </w:r>
      <w:proofErr w:type="spellStart"/>
      <w:r w:rsidRPr="008C4E56">
        <w:rPr>
          <w:rFonts w:asciiTheme="majorBidi" w:eastAsia="Calibri" w:hAnsiTheme="majorBidi" w:cstheme="majorBidi"/>
          <w:color w:val="000000" w:themeColor="text1"/>
          <w:sz w:val="20"/>
          <w:szCs w:val="20"/>
        </w:rPr>
        <w:t>physician_gls</w:t>
      </w:r>
      <w:proofErr w:type="spellEnd"/>
      <w:r w:rsidRPr="008C4E56">
        <w:rPr>
          <w:rFonts w:asciiTheme="majorBidi" w:eastAsia="Calibri" w:hAnsiTheme="majorBidi" w:cstheme="majorBidi"/>
          <w:color w:val="000000" w:themeColor="text1"/>
          <w:sz w:val="20"/>
          <w:szCs w:val="20"/>
        </w:rPr>
        <w:t xml:space="preserve">/pdf/b-cell.pdf. </w:t>
      </w:r>
      <w:proofErr w:type="gramStart"/>
      <w:r w:rsidRPr="008C4E56">
        <w:rPr>
          <w:rFonts w:asciiTheme="majorBidi" w:eastAsia="Calibri" w:hAnsiTheme="majorBidi" w:cstheme="majorBidi"/>
          <w:color w:val="000000" w:themeColor="text1"/>
          <w:sz w:val="20"/>
          <w:szCs w:val="20"/>
        </w:rPr>
        <w:t>(Accessed 15 January 2014)</w:t>
      </w:r>
      <w:r w:rsidRPr="008C4E56">
        <w:rPr>
          <w:rFonts w:asciiTheme="majorBidi" w:eastAsia="Calibri" w:hAnsiTheme="majorBidi" w:cstheme="majorBidi"/>
          <w:color w:val="000000" w:themeColor="text1"/>
          <w:sz w:val="20"/>
          <w:szCs w:val="20"/>
          <w:rtl/>
        </w:rPr>
        <w:t>.</w:t>
      </w:r>
      <w:proofErr w:type="gramEnd"/>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Pr>
      </w:pPr>
      <w:r w:rsidRPr="008C4E56">
        <w:rPr>
          <w:rFonts w:asciiTheme="majorBidi" w:eastAsia="Calibri" w:hAnsiTheme="majorBidi" w:cstheme="majorBidi"/>
          <w:color w:val="000000" w:themeColor="text1"/>
          <w:sz w:val="20"/>
          <w:szCs w:val="20"/>
        </w:rPr>
        <w:t>17.</w:t>
      </w:r>
      <w:r w:rsidRPr="008C4E56">
        <w:rPr>
          <w:rFonts w:asciiTheme="majorBid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rPr>
        <w:t xml:space="preserve">National Cancer Institute. </w:t>
      </w:r>
      <w:proofErr w:type="gramStart"/>
      <w:r w:rsidRPr="008C4E56">
        <w:rPr>
          <w:rFonts w:asciiTheme="majorBidi" w:eastAsia="Calibri" w:hAnsiTheme="majorBidi" w:cstheme="majorBidi"/>
          <w:color w:val="000000" w:themeColor="text1"/>
          <w:sz w:val="20"/>
          <w:szCs w:val="20"/>
        </w:rPr>
        <w:t>Common terminology criteria for adverse) events index.version3.0).</w:t>
      </w:r>
      <w:proofErr w:type="gramEnd"/>
      <w:r>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rPr>
        <w:t>Available</w:t>
      </w:r>
      <w:r>
        <w:rPr>
          <w:rFonts w:asciiTheme="majorBidi" w:eastAsia="Calibri" w:hAnsiTheme="majorBidi" w:cstheme="majorBidi"/>
          <w:color w:val="000000" w:themeColor="text1"/>
          <w:sz w:val="20"/>
          <w:szCs w:val="20"/>
        </w:rPr>
        <w:t xml:space="preserve"> </w:t>
      </w:r>
      <w:r w:rsidRPr="008C4E56">
        <w:rPr>
          <w:rFonts w:asciiTheme="majorBidi" w:eastAsia="Calibri" w:hAnsiTheme="majorBidi" w:cstheme="majorBidi"/>
          <w:color w:val="000000" w:themeColor="text1"/>
          <w:sz w:val="20"/>
          <w:szCs w:val="20"/>
        </w:rPr>
        <w:t xml:space="preserve">at: </w:t>
      </w:r>
      <w:r w:rsidRPr="008C4E56">
        <w:rPr>
          <w:rFonts w:asciiTheme="majorBidi" w:eastAsia="Calibri" w:hAnsiTheme="majorBidi" w:cstheme="majorBidi"/>
          <w:color w:val="000000" w:themeColor="text1"/>
          <w:sz w:val="20"/>
          <w:szCs w:val="20"/>
        </w:rPr>
        <w:lastRenderedPageBreak/>
        <w:t xml:space="preserve">http://ctep.cancer.gov/forms/CTCAE_Index. </w:t>
      </w:r>
      <w:proofErr w:type="gramStart"/>
      <w:r w:rsidRPr="008C4E56">
        <w:rPr>
          <w:rFonts w:asciiTheme="majorBidi" w:eastAsia="Calibri" w:hAnsiTheme="majorBidi" w:cstheme="majorBidi"/>
          <w:color w:val="000000" w:themeColor="text1"/>
          <w:sz w:val="20"/>
          <w:szCs w:val="20"/>
        </w:rPr>
        <w:t>pdf</w:t>
      </w:r>
      <w:proofErr w:type="gramEnd"/>
      <w:r w:rsidRPr="008C4E56">
        <w:rPr>
          <w:rFonts w:asciiTheme="majorBidi" w:eastAsia="Calibri" w:hAnsiTheme="majorBidi" w:cstheme="majorBidi"/>
          <w:color w:val="000000" w:themeColor="text1"/>
          <w:sz w:val="20"/>
          <w:szCs w:val="20"/>
        </w:rPr>
        <w:t xml:space="preserve">. </w:t>
      </w:r>
      <w:proofErr w:type="gramStart"/>
      <w:r w:rsidRPr="008C4E56">
        <w:rPr>
          <w:rFonts w:asciiTheme="majorBidi" w:eastAsia="Calibri" w:hAnsiTheme="majorBidi" w:cstheme="majorBidi"/>
          <w:color w:val="000000" w:themeColor="text1"/>
          <w:sz w:val="20"/>
          <w:szCs w:val="20"/>
        </w:rPr>
        <w:t>(Accessed 15 June 2006).</w:t>
      </w:r>
      <w:proofErr w:type="gramEnd"/>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rPr>
      </w:pPr>
      <w:r w:rsidRPr="008C4E56">
        <w:rPr>
          <w:rFonts w:asciiTheme="majorBidi" w:eastAsia="Calibri" w:hAnsiTheme="majorBidi" w:cstheme="majorBidi"/>
          <w:color w:val="000000" w:themeColor="text1"/>
          <w:sz w:val="20"/>
          <w:szCs w:val="20"/>
        </w:rPr>
        <w:t xml:space="preserve">18. </w:t>
      </w:r>
      <w:proofErr w:type="spellStart"/>
      <w:r w:rsidRPr="008C4E56">
        <w:rPr>
          <w:rFonts w:asciiTheme="majorBidi" w:eastAsia="Calibri" w:hAnsiTheme="majorBidi" w:cstheme="majorBidi"/>
          <w:color w:val="000000" w:themeColor="text1"/>
          <w:sz w:val="20"/>
          <w:szCs w:val="20"/>
        </w:rPr>
        <w:t>Cheson</w:t>
      </w:r>
      <w:proofErr w:type="spellEnd"/>
      <w:r w:rsidRPr="008C4E56">
        <w:rPr>
          <w:rFonts w:asciiTheme="majorBidi" w:eastAsia="Calibri" w:hAnsiTheme="majorBidi" w:cstheme="majorBidi"/>
          <w:color w:val="000000" w:themeColor="text1"/>
          <w:sz w:val="20"/>
          <w:szCs w:val="20"/>
        </w:rPr>
        <w:t xml:space="preserve"> BD, Horning SJ, </w:t>
      </w:r>
      <w:proofErr w:type="spellStart"/>
      <w:r w:rsidRPr="008C4E56">
        <w:rPr>
          <w:rFonts w:asciiTheme="majorBidi" w:eastAsia="Calibri" w:hAnsiTheme="majorBidi" w:cstheme="majorBidi"/>
          <w:color w:val="000000" w:themeColor="text1"/>
          <w:sz w:val="20"/>
          <w:szCs w:val="20"/>
        </w:rPr>
        <w:t>Coiffier</w:t>
      </w:r>
      <w:proofErr w:type="spellEnd"/>
      <w:r w:rsidRPr="008C4E56">
        <w:rPr>
          <w:rFonts w:asciiTheme="majorBidi" w:eastAsia="Calibri" w:hAnsiTheme="majorBidi" w:cstheme="majorBidi"/>
          <w:color w:val="000000" w:themeColor="text1"/>
          <w:sz w:val="20"/>
          <w:szCs w:val="20"/>
        </w:rPr>
        <w:t xml:space="preserve"> B, Shipp MA, et al. Report of an international workshop to standardize response criteria for non-Hodgkin's lymphomas. NCI Sponsored International Working Group. J </w:t>
      </w:r>
      <w:proofErr w:type="spellStart"/>
      <w:r w:rsidRPr="008C4E56">
        <w:rPr>
          <w:rFonts w:asciiTheme="majorBidi" w:eastAsia="Calibri" w:hAnsiTheme="majorBidi" w:cstheme="majorBidi"/>
          <w:color w:val="000000" w:themeColor="text1"/>
          <w:sz w:val="20"/>
          <w:szCs w:val="20"/>
        </w:rPr>
        <w:t>Clin</w:t>
      </w:r>
      <w:proofErr w:type="spellEnd"/>
      <w:r w:rsidRPr="008C4E56">
        <w:rPr>
          <w:rFonts w:asciiTheme="majorBidi" w:eastAsia="Calibri" w:hAnsiTheme="majorBidi" w:cstheme="majorBidi"/>
          <w:color w:val="000000" w:themeColor="text1"/>
          <w:sz w:val="20"/>
          <w:szCs w:val="20"/>
        </w:rPr>
        <w:t xml:space="preserve"> </w:t>
      </w:r>
      <w:proofErr w:type="spellStart"/>
      <w:r w:rsidRPr="008C4E56">
        <w:rPr>
          <w:rFonts w:asciiTheme="majorBidi" w:eastAsia="Calibri" w:hAnsiTheme="majorBidi" w:cstheme="majorBidi"/>
          <w:color w:val="000000" w:themeColor="text1"/>
          <w:sz w:val="20"/>
          <w:szCs w:val="20"/>
        </w:rPr>
        <w:t>Oncol</w:t>
      </w:r>
      <w:proofErr w:type="spellEnd"/>
      <w:r w:rsidRPr="008C4E56">
        <w:rPr>
          <w:rFonts w:asciiTheme="majorBidi" w:eastAsia="Calibri" w:hAnsiTheme="majorBidi" w:cstheme="majorBidi"/>
          <w:color w:val="000000" w:themeColor="text1"/>
          <w:sz w:val="20"/>
          <w:szCs w:val="20"/>
        </w:rPr>
        <w:t>., 2000; 18(11):2351.</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rPr>
        <w:t xml:space="preserve">19. </w:t>
      </w:r>
      <w:r w:rsidRPr="008C4E56">
        <w:rPr>
          <w:rFonts w:asciiTheme="majorBidi" w:eastAsia="Calibri" w:hAnsiTheme="majorBidi" w:cstheme="majorBidi"/>
          <w:color w:val="000000" w:themeColor="text1"/>
          <w:sz w:val="20"/>
          <w:szCs w:val="20"/>
          <w:lang w:bidi="ar-EG"/>
        </w:rPr>
        <w:t> </w:t>
      </w:r>
      <w:proofErr w:type="spellStart"/>
      <w:r w:rsidRPr="008C4E56">
        <w:rPr>
          <w:rFonts w:asciiTheme="majorBidi" w:eastAsia="Calibri" w:hAnsiTheme="majorBidi" w:cstheme="majorBidi"/>
          <w:color w:val="000000" w:themeColor="text1"/>
          <w:sz w:val="20"/>
          <w:szCs w:val="20"/>
          <w:lang w:bidi="ar-EG"/>
        </w:rPr>
        <w:t>Küppers</w:t>
      </w:r>
      <w:proofErr w:type="spellEnd"/>
      <w:r w:rsidRPr="008C4E56">
        <w:rPr>
          <w:rFonts w:asciiTheme="majorBidi" w:eastAsia="Calibri" w:hAnsiTheme="majorBidi" w:cstheme="majorBidi"/>
          <w:color w:val="000000" w:themeColor="text1"/>
          <w:sz w:val="20"/>
          <w:szCs w:val="20"/>
          <w:lang w:bidi="ar-EG"/>
        </w:rPr>
        <w:t xml:space="preserve"> R. </w:t>
      </w:r>
      <w:proofErr w:type="gramStart"/>
      <w:r w:rsidRPr="008C4E56">
        <w:rPr>
          <w:rFonts w:asciiTheme="majorBidi" w:eastAsia="Calibri" w:hAnsiTheme="majorBidi" w:cstheme="majorBidi"/>
          <w:color w:val="000000" w:themeColor="text1"/>
          <w:sz w:val="20"/>
          <w:szCs w:val="20"/>
          <w:lang w:bidi="ar-EG"/>
        </w:rPr>
        <w:t>The biology of Hodgkin’s lymphoma.</w:t>
      </w:r>
      <w:proofErr w:type="gramEnd"/>
      <w:r w:rsidRPr="008C4E56">
        <w:rPr>
          <w:rFonts w:asciiTheme="majorBidi" w:eastAsia="Calibri" w:hAnsiTheme="majorBidi" w:cstheme="majorBidi"/>
          <w:color w:val="000000" w:themeColor="text1"/>
          <w:sz w:val="20"/>
          <w:szCs w:val="20"/>
          <w:lang w:bidi="ar-EG"/>
        </w:rPr>
        <w:t> </w:t>
      </w:r>
      <w:proofErr w:type="gramStart"/>
      <w:r w:rsidRPr="008C4E56">
        <w:rPr>
          <w:rFonts w:asciiTheme="majorBidi" w:eastAsia="Calibri" w:hAnsiTheme="majorBidi" w:cstheme="majorBidi"/>
          <w:color w:val="000000" w:themeColor="text1"/>
          <w:sz w:val="20"/>
          <w:szCs w:val="20"/>
          <w:lang w:bidi="ar-EG"/>
        </w:rPr>
        <w:t>Nat Rev Cancer.</w:t>
      </w:r>
      <w:proofErr w:type="gramEnd"/>
      <w:r w:rsidRPr="008C4E56">
        <w:rPr>
          <w:rFonts w:asciiTheme="majorBidi" w:eastAsia="Calibri" w:hAnsiTheme="majorBidi" w:cstheme="majorBidi"/>
          <w:color w:val="000000" w:themeColor="text1"/>
          <w:sz w:val="20"/>
          <w:szCs w:val="20"/>
          <w:lang w:bidi="ar-EG"/>
        </w:rPr>
        <w:t xml:space="preserve"> 2009; 9(1): 15-27.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20. Xing W, Mai N, Dresser K, Chen BJ. PD-L1 Immunohistochemistry Highlights Bone Marrow Involvement by Classic Hodgkin Lymphoma in Staging Biopsies: Implications for Diagnosis and Tumor Microenvironment Alterations. </w:t>
      </w:r>
      <w:proofErr w:type="spellStart"/>
      <w:proofErr w:type="gramStart"/>
      <w:r w:rsidRPr="008C4E56">
        <w:rPr>
          <w:rFonts w:asciiTheme="majorBidi" w:eastAsia="Calibri" w:hAnsiTheme="majorBidi" w:cstheme="majorBidi"/>
          <w:color w:val="000000" w:themeColor="text1"/>
          <w:sz w:val="20"/>
          <w:szCs w:val="20"/>
          <w:lang w:bidi="ar-EG"/>
        </w:rPr>
        <w:t>Appl</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Immunohistochem</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Mol</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Morphol</w:t>
      </w:r>
      <w:proofErr w:type="spellEnd"/>
      <w:r w:rsidRPr="008C4E56">
        <w:rPr>
          <w:rFonts w:asciiTheme="majorBidi" w:eastAsia="Calibri" w:hAnsiTheme="majorBidi" w:cstheme="majorBidi"/>
          <w:color w:val="000000" w:themeColor="text1"/>
          <w:sz w:val="20"/>
          <w:szCs w:val="20"/>
          <w:lang w:bidi="ar-EG"/>
        </w:rPr>
        <w:t>.</w:t>
      </w:r>
      <w:proofErr w:type="gramEnd"/>
      <w:r w:rsidRPr="008C4E56">
        <w:rPr>
          <w:rFonts w:asciiTheme="majorBidi" w:eastAsia="Calibri" w:hAnsiTheme="majorBidi" w:cstheme="majorBidi"/>
          <w:color w:val="000000" w:themeColor="text1"/>
          <w:sz w:val="20"/>
          <w:szCs w:val="20"/>
          <w:lang w:bidi="ar-EG"/>
        </w:rPr>
        <w:t xml:space="preserve"> </w:t>
      </w:r>
      <w:proofErr w:type="gramStart"/>
      <w:r w:rsidRPr="008C4E56">
        <w:rPr>
          <w:rFonts w:asciiTheme="majorBidi" w:eastAsia="Calibri" w:hAnsiTheme="majorBidi" w:cstheme="majorBidi"/>
          <w:color w:val="000000" w:themeColor="text1"/>
          <w:sz w:val="20"/>
          <w:szCs w:val="20"/>
          <w:lang w:bidi="ar-EG"/>
        </w:rPr>
        <w:t>2017 Dec 21.</w:t>
      </w:r>
      <w:proofErr w:type="gramEnd"/>
      <w:r w:rsidRPr="008C4E56">
        <w:rPr>
          <w:rFonts w:asciiTheme="majorBidi" w:eastAsia="Calibri" w:hAnsiTheme="majorBidi" w:cstheme="majorBidi"/>
          <w:color w:val="000000" w:themeColor="text1"/>
          <w:sz w:val="20"/>
          <w:szCs w:val="20"/>
          <w:lang w:bidi="ar-EG"/>
        </w:rPr>
        <w:t xml:space="preserve">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21. Green MR, Monti S, </w:t>
      </w:r>
      <w:proofErr w:type="spellStart"/>
      <w:r w:rsidRPr="008C4E56">
        <w:rPr>
          <w:rFonts w:asciiTheme="majorBidi" w:eastAsia="Calibri" w:hAnsiTheme="majorBidi" w:cstheme="majorBidi"/>
          <w:color w:val="000000" w:themeColor="text1"/>
          <w:sz w:val="20"/>
          <w:szCs w:val="20"/>
          <w:lang w:bidi="ar-EG"/>
        </w:rPr>
        <w:t>Rodig</w:t>
      </w:r>
      <w:proofErr w:type="spellEnd"/>
      <w:r w:rsidRPr="008C4E56">
        <w:rPr>
          <w:rFonts w:asciiTheme="majorBidi" w:eastAsia="Calibri" w:hAnsiTheme="majorBidi" w:cstheme="majorBidi"/>
          <w:color w:val="000000" w:themeColor="text1"/>
          <w:sz w:val="20"/>
          <w:szCs w:val="20"/>
          <w:lang w:bidi="ar-EG"/>
        </w:rPr>
        <w:t xml:space="preserve"> SJ, et al. Integrative analysis reveals selective 9p24.1 amplification, increased PD-1 ligand expression, and further induction via JAK2 in nodular </w:t>
      </w:r>
      <w:proofErr w:type="spellStart"/>
      <w:r w:rsidRPr="008C4E56">
        <w:rPr>
          <w:rFonts w:asciiTheme="majorBidi" w:eastAsia="Calibri" w:hAnsiTheme="majorBidi" w:cstheme="majorBidi"/>
          <w:color w:val="000000" w:themeColor="text1"/>
          <w:sz w:val="20"/>
          <w:szCs w:val="20"/>
          <w:lang w:bidi="ar-EG"/>
        </w:rPr>
        <w:t>sclerosing</w:t>
      </w:r>
      <w:proofErr w:type="spellEnd"/>
      <w:r w:rsidRPr="008C4E56">
        <w:rPr>
          <w:rFonts w:asciiTheme="majorBidi" w:eastAsia="Calibri" w:hAnsiTheme="majorBidi" w:cstheme="majorBidi"/>
          <w:color w:val="000000" w:themeColor="text1"/>
          <w:sz w:val="20"/>
          <w:szCs w:val="20"/>
          <w:lang w:bidi="ar-EG"/>
        </w:rPr>
        <w:t xml:space="preserve"> Hodgkin lymphoma and primary mediastinal large B-cell lymphoma. </w:t>
      </w:r>
      <w:proofErr w:type="gramStart"/>
      <w:r w:rsidRPr="008C4E56">
        <w:rPr>
          <w:rFonts w:asciiTheme="majorBidi" w:eastAsia="Calibri" w:hAnsiTheme="majorBidi" w:cstheme="majorBidi"/>
          <w:color w:val="000000" w:themeColor="text1"/>
          <w:sz w:val="20"/>
          <w:szCs w:val="20"/>
          <w:lang w:bidi="ar-EG"/>
        </w:rPr>
        <w:t>Blood.</w:t>
      </w:r>
      <w:proofErr w:type="gramEnd"/>
      <w:r w:rsidRPr="008C4E56">
        <w:rPr>
          <w:rFonts w:asciiTheme="majorBidi" w:eastAsia="Calibri" w:hAnsiTheme="majorBidi" w:cstheme="majorBidi"/>
          <w:color w:val="000000" w:themeColor="text1"/>
          <w:sz w:val="20"/>
          <w:szCs w:val="20"/>
          <w:lang w:bidi="ar-EG"/>
        </w:rPr>
        <w:t xml:space="preserve"> 2010; 116(17): 3268-3277.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22. Roemer MGM, </w:t>
      </w:r>
      <w:proofErr w:type="spellStart"/>
      <w:r w:rsidRPr="008C4E56">
        <w:rPr>
          <w:rFonts w:asciiTheme="majorBidi" w:eastAsia="Calibri" w:hAnsiTheme="majorBidi" w:cstheme="majorBidi"/>
          <w:color w:val="000000" w:themeColor="text1"/>
          <w:sz w:val="20"/>
          <w:szCs w:val="20"/>
          <w:lang w:bidi="ar-EG"/>
        </w:rPr>
        <w:t>Advani</w:t>
      </w:r>
      <w:proofErr w:type="spellEnd"/>
      <w:r w:rsidRPr="008C4E56">
        <w:rPr>
          <w:rFonts w:asciiTheme="majorBidi" w:eastAsia="Calibri" w:hAnsiTheme="majorBidi" w:cstheme="majorBidi"/>
          <w:color w:val="000000" w:themeColor="text1"/>
          <w:sz w:val="20"/>
          <w:szCs w:val="20"/>
          <w:lang w:bidi="ar-EG"/>
        </w:rPr>
        <w:t xml:space="preserve"> RH, </w:t>
      </w:r>
      <w:proofErr w:type="spellStart"/>
      <w:r w:rsidRPr="008C4E56">
        <w:rPr>
          <w:rFonts w:asciiTheme="majorBidi" w:eastAsia="Calibri" w:hAnsiTheme="majorBidi" w:cstheme="majorBidi"/>
          <w:color w:val="000000" w:themeColor="text1"/>
          <w:sz w:val="20"/>
          <w:szCs w:val="20"/>
          <w:lang w:bidi="ar-EG"/>
        </w:rPr>
        <w:t>Ligon</w:t>
      </w:r>
      <w:proofErr w:type="spellEnd"/>
      <w:r w:rsidRPr="008C4E56">
        <w:rPr>
          <w:rFonts w:asciiTheme="majorBidi" w:eastAsia="Calibri" w:hAnsiTheme="majorBidi" w:cstheme="majorBidi"/>
          <w:color w:val="000000" w:themeColor="text1"/>
          <w:sz w:val="20"/>
          <w:szCs w:val="20"/>
          <w:lang w:bidi="ar-EG"/>
        </w:rPr>
        <w:t xml:space="preserve"> AH, et al. PD-L1 and PD-L2 Genetic Alterations Define Classical Hodgkin Lymphoma and Predict Outcome. </w:t>
      </w:r>
      <w:proofErr w:type="gramStart"/>
      <w:r w:rsidRPr="008C4E56">
        <w:rPr>
          <w:rFonts w:asciiTheme="majorBidi" w:eastAsia="Calibri" w:hAnsiTheme="majorBidi" w:cstheme="majorBidi"/>
          <w:color w:val="000000" w:themeColor="text1"/>
          <w:sz w:val="20"/>
          <w:szCs w:val="20"/>
          <w:lang w:bidi="ar-EG"/>
        </w:rPr>
        <w:t xml:space="preserve">J </w:t>
      </w:r>
      <w:proofErr w:type="spellStart"/>
      <w:r w:rsidRPr="008C4E56">
        <w:rPr>
          <w:rFonts w:asciiTheme="majorBidi" w:eastAsia="Calibri" w:hAnsiTheme="majorBidi" w:cstheme="majorBidi"/>
          <w:color w:val="000000" w:themeColor="text1"/>
          <w:sz w:val="20"/>
          <w:szCs w:val="20"/>
          <w:lang w:bidi="ar-EG"/>
        </w:rPr>
        <w:t>Clin</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Oncol</w:t>
      </w:r>
      <w:proofErr w:type="spellEnd"/>
      <w:r w:rsidRPr="008C4E56">
        <w:rPr>
          <w:rFonts w:asciiTheme="majorBidi" w:eastAsia="Calibri" w:hAnsiTheme="majorBidi" w:cstheme="majorBidi"/>
          <w:color w:val="000000" w:themeColor="text1"/>
          <w:sz w:val="20"/>
          <w:szCs w:val="20"/>
          <w:lang w:bidi="ar-EG"/>
        </w:rPr>
        <w:t>.</w:t>
      </w:r>
      <w:proofErr w:type="gramEnd"/>
      <w:r w:rsidRPr="008C4E56">
        <w:rPr>
          <w:rFonts w:asciiTheme="majorBidi" w:eastAsia="Calibri" w:hAnsiTheme="majorBidi" w:cstheme="majorBidi"/>
          <w:color w:val="000000" w:themeColor="text1"/>
          <w:sz w:val="20"/>
          <w:szCs w:val="20"/>
          <w:lang w:bidi="ar-EG"/>
        </w:rPr>
        <w:t xml:space="preserve"> 2016; 34(23):2690-2697.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23. Chen BJ, </w:t>
      </w:r>
      <w:proofErr w:type="spellStart"/>
      <w:r w:rsidRPr="008C4E56">
        <w:rPr>
          <w:rFonts w:asciiTheme="majorBidi" w:eastAsia="Calibri" w:hAnsiTheme="majorBidi" w:cstheme="majorBidi"/>
          <w:color w:val="000000" w:themeColor="text1"/>
          <w:sz w:val="20"/>
          <w:szCs w:val="20"/>
          <w:lang w:bidi="ar-EG"/>
        </w:rPr>
        <w:t>Chapuy</w:t>
      </w:r>
      <w:proofErr w:type="spellEnd"/>
      <w:r w:rsidRPr="008C4E56">
        <w:rPr>
          <w:rFonts w:asciiTheme="majorBidi" w:eastAsia="Calibri" w:hAnsiTheme="majorBidi" w:cstheme="majorBidi"/>
          <w:color w:val="000000" w:themeColor="text1"/>
          <w:sz w:val="20"/>
          <w:szCs w:val="20"/>
          <w:lang w:bidi="ar-EG"/>
        </w:rPr>
        <w:t xml:space="preserve"> B, Ouyang J, et al. PD-L1 expression is characteristic of a subset of aggressive B-cell lymphomas and virus-associated malignancies. </w:t>
      </w:r>
      <w:proofErr w:type="spellStart"/>
      <w:r w:rsidRPr="008C4E56">
        <w:rPr>
          <w:rFonts w:asciiTheme="majorBidi" w:eastAsia="Calibri" w:hAnsiTheme="majorBidi" w:cstheme="majorBidi"/>
          <w:color w:val="000000" w:themeColor="text1"/>
          <w:sz w:val="20"/>
          <w:szCs w:val="20"/>
          <w:lang w:bidi="ar-EG"/>
        </w:rPr>
        <w:t>Clin</w:t>
      </w:r>
      <w:proofErr w:type="spellEnd"/>
      <w:r w:rsidRPr="008C4E56">
        <w:rPr>
          <w:rFonts w:asciiTheme="majorBidi" w:eastAsia="Calibri" w:hAnsiTheme="majorBidi" w:cstheme="majorBidi"/>
          <w:color w:val="000000" w:themeColor="text1"/>
          <w:sz w:val="20"/>
          <w:szCs w:val="20"/>
          <w:lang w:bidi="ar-EG"/>
        </w:rPr>
        <w:t xml:space="preserve"> Cancer Res. 2013; 19(13): 3462-3473.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24. </w:t>
      </w:r>
      <w:proofErr w:type="spellStart"/>
      <w:r w:rsidRPr="008C4E56">
        <w:rPr>
          <w:rFonts w:asciiTheme="majorBidi" w:eastAsia="Calibri" w:hAnsiTheme="majorBidi" w:cstheme="majorBidi"/>
          <w:color w:val="000000" w:themeColor="text1"/>
          <w:sz w:val="20"/>
          <w:szCs w:val="20"/>
          <w:lang w:bidi="ar-EG"/>
        </w:rPr>
        <w:t>Muenst</w:t>
      </w:r>
      <w:proofErr w:type="spellEnd"/>
      <w:r w:rsidRPr="008C4E56">
        <w:rPr>
          <w:rFonts w:asciiTheme="majorBidi" w:eastAsia="Calibri" w:hAnsiTheme="majorBidi" w:cstheme="majorBidi"/>
          <w:color w:val="000000" w:themeColor="text1"/>
          <w:sz w:val="20"/>
          <w:szCs w:val="20"/>
          <w:lang w:bidi="ar-EG"/>
        </w:rPr>
        <w:t xml:space="preserve"> S, </w:t>
      </w:r>
      <w:proofErr w:type="spellStart"/>
      <w:r w:rsidRPr="008C4E56">
        <w:rPr>
          <w:rFonts w:asciiTheme="majorBidi" w:eastAsia="Calibri" w:hAnsiTheme="majorBidi" w:cstheme="majorBidi"/>
          <w:color w:val="000000" w:themeColor="text1"/>
          <w:sz w:val="20"/>
          <w:szCs w:val="20"/>
          <w:lang w:bidi="ar-EG"/>
        </w:rPr>
        <w:t>Hoeller</w:t>
      </w:r>
      <w:proofErr w:type="spellEnd"/>
      <w:r w:rsidRPr="008C4E56">
        <w:rPr>
          <w:rFonts w:asciiTheme="majorBidi" w:eastAsia="Calibri" w:hAnsiTheme="majorBidi" w:cstheme="majorBidi"/>
          <w:color w:val="000000" w:themeColor="text1"/>
          <w:sz w:val="20"/>
          <w:szCs w:val="20"/>
          <w:lang w:bidi="ar-EG"/>
        </w:rPr>
        <w:t xml:space="preserve"> S, </w:t>
      </w:r>
      <w:proofErr w:type="spellStart"/>
      <w:r w:rsidRPr="008C4E56">
        <w:rPr>
          <w:rFonts w:asciiTheme="majorBidi" w:eastAsia="Calibri" w:hAnsiTheme="majorBidi" w:cstheme="majorBidi"/>
          <w:color w:val="000000" w:themeColor="text1"/>
          <w:sz w:val="20"/>
          <w:szCs w:val="20"/>
          <w:lang w:bidi="ar-EG"/>
        </w:rPr>
        <w:t>Dirnhofer</w:t>
      </w:r>
      <w:proofErr w:type="spellEnd"/>
      <w:r w:rsidRPr="008C4E56">
        <w:rPr>
          <w:rFonts w:asciiTheme="majorBidi" w:eastAsia="Calibri" w:hAnsiTheme="majorBidi" w:cstheme="majorBidi"/>
          <w:color w:val="000000" w:themeColor="text1"/>
          <w:sz w:val="20"/>
          <w:szCs w:val="20"/>
          <w:lang w:bidi="ar-EG"/>
        </w:rPr>
        <w:t xml:space="preserve"> S, </w:t>
      </w:r>
      <w:proofErr w:type="spellStart"/>
      <w:proofErr w:type="gramStart"/>
      <w:r w:rsidRPr="008C4E56">
        <w:rPr>
          <w:rFonts w:asciiTheme="majorBidi" w:eastAsia="Calibri" w:hAnsiTheme="majorBidi" w:cstheme="majorBidi"/>
          <w:color w:val="000000" w:themeColor="text1"/>
          <w:sz w:val="20"/>
          <w:szCs w:val="20"/>
          <w:lang w:bidi="ar-EG"/>
        </w:rPr>
        <w:t>Tzankov</w:t>
      </w:r>
      <w:proofErr w:type="spellEnd"/>
      <w:proofErr w:type="gramEnd"/>
      <w:r w:rsidRPr="008C4E56">
        <w:rPr>
          <w:rFonts w:asciiTheme="majorBidi" w:eastAsia="Calibri" w:hAnsiTheme="majorBidi" w:cstheme="majorBidi"/>
          <w:color w:val="000000" w:themeColor="text1"/>
          <w:sz w:val="20"/>
          <w:szCs w:val="20"/>
          <w:lang w:bidi="ar-EG"/>
        </w:rPr>
        <w:t xml:space="preserve"> A. Increased programmed death-1+ tumor-infiltrating lymphocytes in classical Hodgkin lymphoma substantiate reduced overall survival. Hum </w:t>
      </w:r>
      <w:proofErr w:type="spellStart"/>
      <w:r w:rsidRPr="008C4E56">
        <w:rPr>
          <w:rFonts w:asciiTheme="majorBidi" w:eastAsia="Calibri" w:hAnsiTheme="majorBidi" w:cstheme="majorBidi"/>
          <w:color w:val="000000" w:themeColor="text1"/>
          <w:sz w:val="20"/>
          <w:szCs w:val="20"/>
          <w:lang w:bidi="ar-EG"/>
        </w:rPr>
        <w:t>Pathol</w:t>
      </w:r>
      <w:proofErr w:type="spellEnd"/>
      <w:r w:rsidRPr="008C4E56">
        <w:rPr>
          <w:rFonts w:asciiTheme="majorBidi" w:eastAsia="Calibri" w:hAnsiTheme="majorBidi" w:cstheme="majorBidi"/>
          <w:color w:val="000000" w:themeColor="text1"/>
          <w:sz w:val="20"/>
          <w:szCs w:val="20"/>
          <w:lang w:bidi="ar-EG"/>
        </w:rPr>
        <w:t>. 2009; 40(12):1715-1722.</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25. Greaves </w:t>
      </w:r>
      <w:proofErr w:type="gramStart"/>
      <w:r w:rsidRPr="008C4E56">
        <w:rPr>
          <w:rFonts w:asciiTheme="majorBidi" w:eastAsia="Calibri" w:hAnsiTheme="majorBidi" w:cstheme="majorBidi"/>
          <w:color w:val="000000" w:themeColor="text1"/>
          <w:sz w:val="20"/>
          <w:szCs w:val="20"/>
          <w:lang w:bidi="ar-EG"/>
        </w:rPr>
        <w:t>P,</w:t>
      </w:r>
      <w:proofErr w:type="gramEnd"/>
      <w:r w:rsidRPr="008C4E56">
        <w:rPr>
          <w:rFonts w:asciiTheme="majorBidi" w:eastAsia="Calibri" w:hAnsiTheme="majorBidi" w:cstheme="majorBidi"/>
          <w:color w:val="000000" w:themeColor="text1"/>
          <w:sz w:val="20"/>
          <w:szCs w:val="20"/>
          <w:lang w:bidi="ar-EG"/>
        </w:rPr>
        <w:t xml:space="preserve"> Clear A, Owen A, et al. Defining characteristics of classical Hodgkin lymphoma microenvironment T-helper cells. </w:t>
      </w:r>
      <w:proofErr w:type="gramStart"/>
      <w:r w:rsidRPr="008C4E56">
        <w:rPr>
          <w:rFonts w:asciiTheme="majorBidi" w:eastAsia="Calibri" w:hAnsiTheme="majorBidi" w:cstheme="majorBidi"/>
          <w:color w:val="000000" w:themeColor="text1"/>
          <w:sz w:val="20"/>
          <w:szCs w:val="20"/>
          <w:lang w:bidi="ar-EG"/>
        </w:rPr>
        <w:t>Blood.</w:t>
      </w:r>
      <w:proofErr w:type="gramEnd"/>
      <w:r w:rsidRPr="008C4E56">
        <w:rPr>
          <w:rFonts w:asciiTheme="majorBidi" w:eastAsia="Calibri" w:hAnsiTheme="majorBidi" w:cstheme="majorBidi"/>
          <w:color w:val="000000" w:themeColor="text1"/>
          <w:sz w:val="20"/>
          <w:szCs w:val="20"/>
          <w:lang w:bidi="ar-EG"/>
        </w:rPr>
        <w:t xml:space="preserve"> 2013; 122(16): 2856-2863.</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26. </w:t>
      </w:r>
      <w:proofErr w:type="spellStart"/>
      <w:r w:rsidRPr="008C4E56">
        <w:rPr>
          <w:rFonts w:asciiTheme="majorBidi" w:eastAsia="Calibri" w:hAnsiTheme="majorBidi" w:cstheme="majorBidi"/>
          <w:color w:val="000000" w:themeColor="text1"/>
          <w:sz w:val="20"/>
          <w:szCs w:val="20"/>
          <w:lang w:bidi="ar-EG"/>
        </w:rPr>
        <w:t>Paydas</w:t>
      </w:r>
      <w:proofErr w:type="spellEnd"/>
      <w:r w:rsidRPr="008C4E56">
        <w:rPr>
          <w:rFonts w:asciiTheme="majorBidi" w:eastAsia="Calibri" w:hAnsiTheme="majorBidi" w:cstheme="majorBidi"/>
          <w:color w:val="000000" w:themeColor="text1"/>
          <w:sz w:val="20"/>
          <w:szCs w:val="20"/>
          <w:lang w:bidi="ar-EG"/>
        </w:rPr>
        <w:t xml:space="preserve"> S, </w:t>
      </w:r>
      <w:proofErr w:type="spellStart"/>
      <w:r w:rsidRPr="008C4E56">
        <w:rPr>
          <w:rFonts w:asciiTheme="majorBidi" w:eastAsia="Calibri" w:hAnsiTheme="majorBidi" w:cstheme="majorBidi"/>
          <w:color w:val="000000" w:themeColor="text1"/>
          <w:sz w:val="20"/>
          <w:szCs w:val="20"/>
          <w:lang w:bidi="ar-EG"/>
        </w:rPr>
        <w:t>Bağır</w:t>
      </w:r>
      <w:proofErr w:type="spellEnd"/>
      <w:r w:rsidRPr="008C4E56">
        <w:rPr>
          <w:rFonts w:asciiTheme="majorBidi" w:eastAsia="Calibri" w:hAnsiTheme="majorBidi" w:cstheme="majorBidi"/>
          <w:color w:val="000000" w:themeColor="text1"/>
          <w:sz w:val="20"/>
          <w:szCs w:val="20"/>
          <w:lang w:bidi="ar-EG"/>
        </w:rPr>
        <w:t xml:space="preserve"> E, </w:t>
      </w:r>
      <w:proofErr w:type="spellStart"/>
      <w:r w:rsidRPr="008C4E56">
        <w:rPr>
          <w:rFonts w:asciiTheme="majorBidi" w:eastAsia="Calibri" w:hAnsiTheme="majorBidi" w:cstheme="majorBidi"/>
          <w:color w:val="000000" w:themeColor="text1"/>
          <w:sz w:val="20"/>
          <w:szCs w:val="20"/>
          <w:lang w:bidi="ar-EG"/>
        </w:rPr>
        <w:t>Seydaoglu</w:t>
      </w:r>
      <w:proofErr w:type="spellEnd"/>
      <w:r w:rsidRPr="008C4E56">
        <w:rPr>
          <w:rFonts w:asciiTheme="majorBidi" w:eastAsia="Calibri" w:hAnsiTheme="majorBidi" w:cstheme="majorBidi"/>
          <w:color w:val="000000" w:themeColor="text1"/>
          <w:sz w:val="20"/>
          <w:szCs w:val="20"/>
          <w:lang w:bidi="ar-EG"/>
        </w:rPr>
        <w:t xml:space="preserve"> G, </w:t>
      </w:r>
      <w:proofErr w:type="spellStart"/>
      <w:r w:rsidRPr="008C4E56">
        <w:rPr>
          <w:rFonts w:asciiTheme="majorBidi" w:eastAsia="Calibri" w:hAnsiTheme="majorBidi" w:cstheme="majorBidi"/>
          <w:color w:val="000000" w:themeColor="text1"/>
          <w:sz w:val="20"/>
          <w:szCs w:val="20"/>
          <w:lang w:bidi="ar-EG"/>
        </w:rPr>
        <w:t>Ercolak</w:t>
      </w:r>
      <w:proofErr w:type="spellEnd"/>
      <w:r w:rsidRPr="008C4E56">
        <w:rPr>
          <w:rFonts w:asciiTheme="majorBidi" w:eastAsia="Calibri" w:hAnsiTheme="majorBidi" w:cstheme="majorBidi"/>
          <w:color w:val="000000" w:themeColor="text1"/>
          <w:sz w:val="20"/>
          <w:szCs w:val="20"/>
          <w:lang w:bidi="ar-EG"/>
        </w:rPr>
        <w:t xml:space="preserve"> V, </w:t>
      </w:r>
      <w:proofErr w:type="spellStart"/>
      <w:r w:rsidRPr="008C4E56">
        <w:rPr>
          <w:rFonts w:asciiTheme="majorBidi" w:eastAsia="Calibri" w:hAnsiTheme="majorBidi" w:cstheme="majorBidi"/>
          <w:color w:val="000000" w:themeColor="text1"/>
          <w:sz w:val="20"/>
          <w:szCs w:val="20"/>
          <w:lang w:bidi="ar-EG"/>
        </w:rPr>
        <w:t>Ergin</w:t>
      </w:r>
      <w:proofErr w:type="spellEnd"/>
      <w:r w:rsidRPr="008C4E56">
        <w:rPr>
          <w:rFonts w:asciiTheme="majorBidi" w:eastAsia="Calibri" w:hAnsiTheme="majorBidi" w:cstheme="majorBidi"/>
          <w:color w:val="000000" w:themeColor="text1"/>
          <w:sz w:val="20"/>
          <w:szCs w:val="20"/>
          <w:lang w:bidi="ar-EG"/>
        </w:rPr>
        <w:t xml:space="preserve"> M. Programmed death-1 (PD-1), programmed death-ligand 1 (PD-L1), and EBV-encoded RNA </w:t>
      </w:r>
      <w:r w:rsidRPr="008C4E56">
        <w:rPr>
          <w:rFonts w:asciiTheme="majorBidi" w:eastAsia="Calibri" w:hAnsiTheme="majorBidi" w:cstheme="majorBidi"/>
          <w:color w:val="000000" w:themeColor="text1"/>
          <w:sz w:val="20"/>
          <w:szCs w:val="20"/>
          <w:lang w:bidi="ar-EG"/>
        </w:rPr>
        <w:lastRenderedPageBreak/>
        <w:t xml:space="preserve">(EBER) expression in Hodgkin lymphoma. Ann </w:t>
      </w:r>
      <w:proofErr w:type="spellStart"/>
      <w:r w:rsidRPr="008C4E56">
        <w:rPr>
          <w:rFonts w:asciiTheme="majorBidi" w:eastAsia="Calibri" w:hAnsiTheme="majorBidi" w:cstheme="majorBidi"/>
          <w:color w:val="000000" w:themeColor="text1"/>
          <w:sz w:val="20"/>
          <w:szCs w:val="20"/>
          <w:lang w:bidi="ar-EG"/>
        </w:rPr>
        <w:t>Hematol</w:t>
      </w:r>
      <w:proofErr w:type="spellEnd"/>
      <w:r w:rsidRPr="008C4E56">
        <w:rPr>
          <w:rFonts w:asciiTheme="majorBidi" w:eastAsia="Calibri" w:hAnsiTheme="majorBidi" w:cstheme="majorBidi"/>
          <w:color w:val="000000" w:themeColor="text1"/>
          <w:sz w:val="20"/>
          <w:szCs w:val="20"/>
          <w:lang w:bidi="ar-EG"/>
        </w:rPr>
        <w:t>. 2015; 94(9): 1545-1552.</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27. </w:t>
      </w:r>
      <w:proofErr w:type="spellStart"/>
      <w:r w:rsidRPr="008C4E56">
        <w:rPr>
          <w:rFonts w:asciiTheme="majorBidi" w:eastAsia="Calibri" w:hAnsiTheme="majorBidi" w:cstheme="majorBidi"/>
          <w:color w:val="000000" w:themeColor="text1"/>
          <w:sz w:val="20"/>
          <w:szCs w:val="20"/>
          <w:lang w:bidi="ar-EG"/>
        </w:rPr>
        <w:t>Koh</w:t>
      </w:r>
      <w:proofErr w:type="spellEnd"/>
      <w:r w:rsidRPr="008C4E56">
        <w:rPr>
          <w:rFonts w:asciiTheme="majorBidi" w:eastAsia="Calibri" w:hAnsiTheme="majorBidi" w:cstheme="majorBidi"/>
          <w:color w:val="000000" w:themeColor="text1"/>
          <w:sz w:val="20"/>
          <w:szCs w:val="20"/>
          <w:lang w:bidi="ar-EG"/>
        </w:rPr>
        <w:t xml:space="preserve"> YW, Jeon YK, Yoon DH, Suh C, Huh J. Programmed death 1 expression in the </w:t>
      </w:r>
      <w:proofErr w:type="spellStart"/>
      <w:r w:rsidRPr="008C4E56">
        <w:rPr>
          <w:rFonts w:asciiTheme="majorBidi" w:eastAsia="Calibri" w:hAnsiTheme="majorBidi" w:cstheme="majorBidi"/>
          <w:color w:val="000000" w:themeColor="text1"/>
          <w:sz w:val="20"/>
          <w:szCs w:val="20"/>
          <w:lang w:bidi="ar-EG"/>
        </w:rPr>
        <w:t>peritumoral</w:t>
      </w:r>
      <w:proofErr w:type="spellEnd"/>
      <w:r w:rsidRPr="008C4E56">
        <w:rPr>
          <w:rFonts w:asciiTheme="majorBidi" w:eastAsia="Calibri" w:hAnsiTheme="majorBidi" w:cstheme="majorBidi"/>
          <w:color w:val="000000" w:themeColor="text1"/>
          <w:sz w:val="20"/>
          <w:szCs w:val="20"/>
          <w:lang w:bidi="ar-EG"/>
        </w:rPr>
        <w:t xml:space="preserve"> microenvironment is associated with a poorer prognosis in classical Hodgkin lymphoma. </w:t>
      </w:r>
      <w:proofErr w:type="spellStart"/>
      <w:r w:rsidRPr="008C4E56">
        <w:rPr>
          <w:rFonts w:asciiTheme="majorBidi" w:eastAsia="Calibri" w:hAnsiTheme="majorBidi" w:cstheme="majorBidi"/>
          <w:color w:val="000000" w:themeColor="text1"/>
          <w:sz w:val="20"/>
          <w:szCs w:val="20"/>
          <w:lang w:bidi="ar-EG"/>
        </w:rPr>
        <w:t>Tumour</w:t>
      </w:r>
      <w:proofErr w:type="spellEnd"/>
      <w:r w:rsidRPr="008C4E56">
        <w:rPr>
          <w:rFonts w:asciiTheme="majorBidi" w:eastAsia="Calibri" w:hAnsiTheme="majorBidi" w:cstheme="majorBidi"/>
          <w:color w:val="000000" w:themeColor="text1"/>
          <w:sz w:val="20"/>
          <w:szCs w:val="20"/>
          <w:lang w:bidi="ar-EG"/>
        </w:rPr>
        <w:t xml:space="preserve"> Biol. 2016; 37(6):7507-7514.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28. Yao S, Chen L. PD-1 as an immune modulatory receptor. Cancer J. 2014</w:t>
      </w:r>
      <w:proofErr w:type="gramStart"/>
      <w:r w:rsidRPr="008C4E56">
        <w:rPr>
          <w:rFonts w:asciiTheme="majorBidi" w:eastAsia="Calibri" w:hAnsiTheme="majorBidi" w:cstheme="majorBidi"/>
          <w:color w:val="000000" w:themeColor="text1"/>
          <w:sz w:val="20"/>
          <w:szCs w:val="20"/>
          <w:lang w:bidi="ar-EG"/>
        </w:rPr>
        <w:t>;20</w:t>
      </w:r>
      <w:proofErr w:type="gramEnd"/>
      <w:r w:rsidRPr="008C4E56">
        <w:rPr>
          <w:rFonts w:asciiTheme="majorBidi" w:eastAsia="Calibri" w:hAnsiTheme="majorBidi" w:cstheme="majorBidi"/>
          <w:color w:val="000000" w:themeColor="text1"/>
          <w:sz w:val="20"/>
          <w:szCs w:val="20"/>
          <w:lang w:bidi="ar-EG"/>
        </w:rPr>
        <w:t xml:space="preserve">(4):262-264.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29. </w:t>
      </w:r>
      <w:proofErr w:type="spellStart"/>
      <w:r w:rsidRPr="008C4E56">
        <w:rPr>
          <w:rFonts w:asciiTheme="majorBidi" w:eastAsia="Calibri" w:hAnsiTheme="majorBidi" w:cstheme="majorBidi"/>
          <w:color w:val="000000" w:themeColor="text1"/>
          <w:sz w:val="20"/>
          <w:szCs w:val="20"/>
          <w:lang w:bidi="ar-EG"/>
        </w:rPr>
        <w:t>Bardhan</w:t>
      </w:r>
      <w:proofErr w:type="spellEnd"/>
      <w:r w:rsidRPr="008C4E56">
        <w:rPr>
          <w:rFonts w:asciiTheme="majorBidi" w:eastAsia="Calibri" w:hAnsiTheme="majorBidi" w:cstheme="majorBidi"/>
          <w:color w:val="000000" w:themeColor="text1"/>
          <w:sz w:val="20"/>
          <w:szCs w:val="20"/>
          <w:lang w:bidi="ar-EG"/>
        </w:rPr>
        <w:t xml:space="preserve"> K, </w:t>
      </w:r>
      <w:proofErr w:type="spellStart"/>
      <w:r w:rsidRPr="008C4E56">
        <w:rPr>
          <w:rFonts w:asciiTheme="majorBidi" w:eastAsia="Calibri" w:hAnsiTheme="majorBidi" w:cstheme="majorBidi"/>
          <w:color w:val="000000" w:themeColor="text1"/>
          <w:sz w:val="20"/>
          <w:szCs w:val="20"/>
          <w:lang w:bidi="ar-EG"/>
        </w:rPr>
        <w:t>Anagnostou</w:t>
      </w:r>
      <w:proofErr w:type="spellEnd"/>
      <w:r w:rsidRPr="008C4E56">
        <w:rPr>
          <w:rFonts w:asciiTheme="majorBidi" w:eastAsia="Calibri" w:hAnsiTheme="majorBidi" w:cstheme="majorBidi"/>
          <w:color w:val="000000" w:themeColor="text1"/>
          <w:sz w:val="20"/>
          <w:szCs w:val="20"/>
          <w:lang w:bidi="ar-EG"/>
        </w:rPr>
        <w:t xml:space="preserve"> T, </w:t>
      </w:r>
      <w:proofErr w:type="spellStart"/>
      <w:r w:rsidRPr="008C4E56">
        <w:rPr>
          <w:rFonts w:asciiTheme="majorBidi" w:eastAsia="Calibri" w:hAnsiTheme="majorBidi" w:cstheme="majorBidi"/>
          <w:color w:val="000000" w:themeColor="text1"/>
          <w:sz w:val="20"/>
          <w:szCs w:val="20"/>
          <w:lang w:bidi="ar-EG"/>
        </w:rPr>
        <w:t>Boussiotis</w:t>
      </w:r>
      <w:proofErr w:type="spellEnd"/>
      <w:r w:rsidRPr="008C4E56">
        <w:rPr>
          <w:rFonts w:asciiTheme="majorBidi" w:eastAsia="Calibri" w:hAnsiTheme="majorBidi" w:cstheme="majorBidi"/>
          <w:color w:val="000000" w:themeColor="text1"/>
          <w:sz w:val="20"/>
          <w:szCs w:val="20"/>
          <w:lang w:bidi="ar-EG"/>
        </w:rPr>
        <w:t xml:space="preserve"> VA. The PD1</w:t>
      </w:r>
      <w:proofErr w:type="gramStart"/>
      <w:r w:rsidRPr="008C4E56">
        <w:rPr>
          <w:rFonts w:asciiTheme="majorBidi" w:eastAsia="Calibri" w:hAnsiTheme="majorBidi" w:cstheme="majorBidi"/>
          <w:color w:val="000000" w:themeColor="text1"/>
          <w:sz w:val="20"/>
          <w:szCs w:val="20"/>
          <w:lang w:bidi="ar-EG"/>
        </w:rPr>
        <w:t>:PD</w:t>
      </w:r>
      <w:proofErr w:type="gramEnd"/>
      <w:r w:rsidRPr="008C4E56">
        <w:rPr>
          <w:rFonts w:asciiTheme="majorBidi" w:eastAsia="Calibri" w:hAnsiTheme="majorBidi" w:cstheme="majorBidi"/>
          <w:color w:val="000000" w:themeColor="text1"/>
          <w:sz w:val="20"/>
          <w:szCs w:val="20"/>
          <w:lang w:bidi="ar-EG"/>
        </w:rPr>
        <w:t xml:space="preserve">-L1/2 pathway from discovery to clinical implementation. Front </w:t>
      </w:r>
      <w:proofErr w:type="spellStart"/>
      <w:r w:rsidRPr="008C4E56">
        <w:rPr>
          <w:rFonts w:asciiTheme="majorBidi" w:eastAsia="Calibri" w:hAnsiTheme="majorBidi" w:cstheme="majorBidi"/>
          <w:color w:val="000000" w:themeColor="text1"/>
          <w:sz w:val="20"/>
          <w:szCs w:val="20"/>
          <w:lang w:bidi="ar-EG"/>
        </w:rPr>
        <w:t>Immunol</w:t>
      </w:r>
      <w:proofErr w:type="spellEnd"/>
      <w:r w:rsidRPr="008C4E56">
        <w:rPr>
          <w:rFonts w:asciiTheme="majorBidi" w:eastAsia="Calibri" w:hAnsiTheme="majorBidi" w:cstheme="majorBidi"/>
          <w:color w:val="000000" w:themeColor="text1"/>
          <w:sz w:val="20"/>
          <w:szCs w:val="20"/>
          <w:lang w:bidi="ar-EG"/>
        </w:rPr>
        <w:t>. 2016</w:t>
      </w:r>
      <w:proofErr w:type="gramStart"/>
      <w:r w:rsidRPr="008C4E56">
        <w:rPr>
          <w:rFonts w:asciiTheme="majorBidi" w:eastAsia="Calibri" w:hAnsiTheme="majorBidi" w:cstheme="majorBidi"/>
          <w:color w:val="000000" w:themeColor="text1"/>
          <w:sz w:val="20"/>
          <w:szCs w:val="20"/>
          <w:lang w:bidi="ar-EG"/>
        </w:rPr>
        <w:t>;7:550</w:t>
      </w:r>
      <w:proofErr w:type="gramEnd"/>
      <w:r w:rsidRPr="008C4E56">
        <w:rPr>
          <w:rFonts w:asciiTheme="majorBidi" w:eastAsia="Calibri" w:hAnsiTheme="majorBidi" w:cstheme="majorBidi"/>
          <w:color w:val="000000" w:themeColor="text1"/>
          <w:sz w:val="20"/>
          <w:szCs w:val="20"/>
          <w:lang w:bidi="ar-EG"/>
        </w:rPr>
        <w:t xml:space="preserve">.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30. </w:t>
      </w:r>
      <w:proofErr w:type="spellStart"/>
      <w:r w:rsidRPr="008C4E56">
        <w:rPr>
          <w:rFonts w:asciiTheme="majorBidi" w:eastAsia="Calibri" w:hAnsiTheme="majorBidi" w:cstheme="majorBidi"/>
          <w:color w:val="000000" w:themeColor="text1"/>
          <w:sz w:val="20"/>
          <w:szCs w:val="20"/>
          <w:lang w:bidi="ar-EG"/>
        </w:rPr>
        <w:t>Steidl</w:t>
      </w:r>
      <w:proofErr w:type="spellEnd"/>
      <w:r w:rsidRPr="008C4E56">
        <w:rPr>
          <w:rFonts w:asciiTheme="majorBidi" w:eastAsia="Calibri" w:hAnsiTheme="majorBidi" w:cstheme="majorBidi"/>
          <w:color w:val="000000" w:themeColor="text1"/>
          <w:sz w:val="20"/>
          <w:szCs w:val="20"/>
          <w:lang w:bidi="ar-EG"/>
        </w:rPr>
        <w:t xml:space="preserve"> C, Lee T, Shah SP, et al. Tumor-associated macrophages and survival in classic Hodgkin’s lymphoma. N </w:t>
      </w:r>
      <w:proofErr w:type="spellStart"/>
      <w:r w:rsidRPr="008C4E56">
        <w:rPr>
          <w:rFonts w:asciiTheme="majorBidi" w:eastAsia="Calibri" w:hAnsiTheme="majorBidi" w:cstheme="majorBidi"/>
          <w:color w:val="000000" w:themeColor="text1"/>
          <w:sz w:val="20"/>
          <w:szCs w:val="20"/>
          <w:lang w:bidi="ar-EG"/>
        </w:rPr>
        <w:t>Engl</w:t>
      </w:r>
      <w:proofErr w:type="spellEnd"/>
      <w:r w:rsidRPr="008C4E56">
        <w:rPr>
          <w:rFonts w:asciiTheme="majorBidi" w:eastAsia="Calibri" w:hAnsiTheme="majorBidi" w:cstheme="majorBidi"/>
          <w:color w:val="000000" w:themeColor="text1"/>
          <w:sz w:val="20"/>
          <w:szCs w:val="20"/>
          <w:lang w:bidi="ar-EG"/>
        </w:rPr>
        <w:t xml:space="preserve"> J Med. 2010; 362(10):875-885.</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31. </w:t>
      </w:r>
      <w:proofErr w:type="spellStart"/>
      <w:r w:rsidRPr="008C4E56">
        <w:rPr>
          <w:rFonts w:asciiTheme="majorBidi" w:eastAsia="Calibri" w:hAnsiTheme="majorBidi" w:cstheme="majorBidi"/>
          <w:color w:val="000000" w:themeColor="text1"/>
          <w:sz w:val="20"/>
          <w:szCs w:val="20"/>
          <w:lang w:bidi="ar-EG"/>
        </w:rPr>
        <w:t>Kamper</w:t>
      </w:r>
      <w:proofErr w:type="spellEnd"/>
      <w:r w:rsidRPr="008C4E56">
        <w:rPr>
          <w:rFonts w:asciiTheme="majorBidi" w:eastAsia="Calibri" w:hAnsiTheme="majorBidi" w:cstheme="majorBidi"/>
          <w:color w:val="000000" w:themeColor="text1"/>
          <w:sz w:val="20"/>
          <w:szCs w:val="20"/>
          <w:lang w:bidi="ar-EG"/>
        </w:rPr>
        <w:t xml:space="preserve"> P, Bendix K, Hamilton-</w:t>
      </w:r>
      <w:proofErr w:type="spellStart"/>
      <w:r w:rsidRPr="008C4E56">
        <w:rPr>
          <w:rFonts w:asciiTheme="majorBidi" w:eastAsia="Calibri" w:hAnsiTheme="majorBidi" w:cstheme="majorBidi"/>
          <w:color w:val="000000" w:themeColor="text1"/>
          <w:sz w:val="20"/>
          <w:szCs w:val="20"/>
          <w:lang w:bidi="ar-EG"/>
        </w:rPr>
        <w:t>Dutoit</w:t>
      </w:r>
      <w:proofErr w:type="spellEnd"/>
      <w:r w:rsidRPr="008C4E56">
        <w:rPr>
          <w:rFonts w:asciiTheme="majorBidi" w:eastAsia="Calibri" w:hAnsiTheme="majorBidi" w:cstheme="majorBidi"/>
          <w:color w:val="000000" w:themeColor="text1"/>
          <w:sz w:val="20"/>
          <w:szCs w:val="20"/>
          <w:lang w:bidi="ar-EG"/>
        </w:rPr>
        <w:t xml:space="preserve"> S, </w:t>
      </w:r>
      <w:proofErr w:type="spellStart"/>
      <w:r w:rsidRPr="008C4E56">
        <w:rPr>
          <w:rFonts w:asciiTheme="majorBidi" w:eastAsia="Calibri" w:hAnsiTheme="majorBidi" w:cstheme="majorBidi"/>
          <w:color w:val="000000" w:themeColor="text1"/>
          <w:sz w:val="20"/>
          <w:szCs w:val="20"/>
          <w:lang w:bidi="ar-EG"/>
        </w:rPr>
        <w:t>Honor´e</w:t>
      </w:r>
      <w:proofErr w:type="spellEnd"/>
      <w:r w:rsidRPr="008C4E56">
        <w:rPr>
          <w:rFonts w:asciiTheme="majorBidi" w:eastAsia="Calibri" w:hAnsiTheme="majorBidi" w:cstheme="majorBidi"/>
          <w:color w:val="000000" w:themeColor="text1"/>
          <w:sz w:val="20"/>
          <w:szCs w:val="20"/>
          <w:lang w:bidi="ar-EG"/>
        </w:rPr>
        <w:t xml:space="preserve"> B, </w:t>
      </w:r>
      <w:proofErr w:type="spellStart"/>
      <w:r w:rsidRPr="008C4E56">
        <w:rPr>
          <w:rFonts w:asciiTheme="majorBidi" w:eastAsia="Calibri" w:hAnsiTheme="majorBidi" w:cstheme="majorBidi"/>
          <w:color w:val="000000" w:themeColor="text1"/>
          <w:sz w:val="20"/>
          <w:szCs w:val="20"/>
          <w:lang w:bidi="ar-EG"/>
        </w:rPr>
        <w:t>Nyengaard</w:t>
      </w:r>
      <w:proofErr w:type="spellEnd"/>
      <w:r w:rsidRPr="008C4E56">
        <w:rPr>
          <w:rFonts w:asciiTheme="majorBidi" w:eastAsia="Calibri" w:hAnsiTheme="majorBidi" w:cstheme="majorBidi"/>
          <w:color w:val="000000" w:themeColor="text1"/>
          <w:sz w:val="20"/>
          <w:szCs w:val="20"/>
          <w:lang w:bidi="ar-EG"/>
        </w:rPr>
        <w:t xml:space="preserve"> JR, </w:t>
      </w:r>
      <w:proofErr w:type="spellStart"/>
      <w:r w:rsidRPr="008C4E56">
        <w:rPr>
          <w:rFonts w:asciiTheme="majorBidi" w:eastAsia="Calibri" w:hAnsiTheme="majorBidi" w:cstheme="majorBidi"/>
          <w:color w:val="000000" w:themeColor="text1"/>
          <w:sz w:val="20"/>
          <w:szCs w:val="20"/>
          <w:lang w:bidi="ar-EG"/>
        </w:rPr>
        <w:t>d’Amore</w:t>
      </w:r>
      <w:proofErr w:type="spellEnd"/>
      <w:r w:rsidRPr="008C4E56">
        <w:rPr>
          <w:rFonts w:asciiTheme="majorBidi" w:eastAsia="Calibri" w:hAnsiTheme="majorBidi" w:cstheme="majorBidi"/>
          <w:color w:val="000000" w:themeColor="text1"/>
          <w:sz w:val="20"/>
          <w:szCs w:val="20"/>
          <w:lang w:bidi="ar-EG"/>
        </w:rPr>
        <w:t xml:space="preserve"> F. Tumor-infiltrating macrophages correlate with adverse prognosis and Epstein-Barr virus status in classical Hodgkin’s lymphoma. </w:t>
      </w:r>
      <w:proofErr w:type="spellStart"/>
      <w:proofErr w:type="gramStart"/>
      <w:r w:rsidRPr="008C4E56">
        <w:rPr>
          <w:rFonts w:asciiTheme="majorBidi" w:eastAsia="Calibri" w:hAnsiTheme="majorBidi" w:cstheme="majorBidi"/>
          <w:color w:val="000000" w:themeColor="text1"/>
          <w:sz w:val="20"/>
          <w:szCs w:val="20"/>
          <w:lang w:bidi="ar-EG"/>
        </w:rPr>
        <w:t>Haematologica</w:t>
      </w:r>
      <w:proofErr w:type="spellEnd"/>
      <w:r w:rsidRPr="008C4E56">
        <w:rPr>
          <w:rFonts w:asciiTheme="majorBidi" w:eastAsia="Calibri" w:hAnsiTheme="majorBidi" w:cstheme="majorBidi"/>
          <w:color w:val="000000" w:themeColor="text1"/>
          <w:sz w:val="20"/>
          <w:szCs w:val="20"/>
          <w:lang w:bidi="ar-EG"/>
        </w:rPr>
        <w:t>.</w:t>
      </w:r>
      <w:proofErr w:type="gramEnd"/>
      <w:r w:rsidRPr="008C4E56">
        <w:rPr>
          <w:rFonts w:asciiTheme="majorBidi" w:eastAsia="Calibri" w:hAnsiTheme="majorBidi" w:cstheme="majorBidi"/>
          <w:color w:val="000000" w:themeColor="text1"/>
          <w:sz w:val="20"/>
          <w:szCs w:val="20"/>
          <w:lang w:bidi="ar-EG"/>
        </w:rPr>
        <w:t xml:space="preserve"> 2011; 96(2):269-276.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32. </w:t>
      </w:r>
      <w:proofErr w:type="spellStart"/>
      <w:r w:rsidRPr="008C4E56">
        <w:rPr>
          <w:rFonts w:asciiTheme="majorBidi" w:eastAsia="Calibri" w:hAnsiTheme="majorBidi" w:cstheme="majorBidi"/>
          <w:color w:val="000000" w:themeColor="text1"/>
          <w:sz w:val="20"/>
          <w:szCs w:val="20"/>
          <w:lang w:bidi="ar-EG"/>
        </w:rPr>
        <w:t>Azambuja</w:t>
      </w:r>
      <w:proofErr w:type="spellEnd"/>
      <w:r w:rsidRPr="008C4E56">
        <w:rPr>
          <w:rFonts w:asciiTheme="majorBidi" w:eastAsia="Calibri" w:hAnsiTheme="majorBidi" w:cstheme="majorBidi"/>
          <w:color w:val="000000" w:themeColor="text1"/>
          <w:sz w:val="20"/>
          <w:szCs w:val="20"/>
          <w:lang w:bidi="ar-EG"/>
        </w:rPr>
        <w:t xml:space="preserve"> D, </w:t>
      </w:r>
      <w:proofErr w:type="spellStart"/>
      <w:r w:rsidRPr="008C4E56">
        <w:rPr>
          <w:rFonts w:asciiTheme="majorBidi" w:eastAsia="Calibri" w:hAnsiTheme="majorBidi" w:cstheme="majorBidi"/>
          <w:color w:val="000000" w:themeColor="text1"/>
          <w:sz w:val="20"/>
          <w:szCs w:val="20"/>
          <w:lang w:bidi="ar-EG"/>
        </w:rPr>
        <w:t>Natkunam</w:t>
      </w:r>
      <w:proofErr w:type="spellEnd"/>
      <w:r w:rsidRPr="008C4E56">
        <w:rPr>
          <w:rFonts w:asciiTheme="majorBidi" w:eastAsia="Calibri" w:hAnsiTheme="majorBidi" w:cstheme="majorBidi"/>
          <w:color w:val="000000" w:themeColor="text1"/>
          <w:sz w:val="20"/>
          <w:szCs w:val="20"/>
          <w:lang w:bidi="ar-EG"/>
        </w:rPr>
        <w:t xml:space="preserve"> Y, </w:t>
      </w:r>
      <w:proofErr w:type="spellStart"/>
      <w:r w:rsidRPr="008C4E56">
        <w:rPr>
          <w:rFonts w:asciiTheme="majorBidi" w:eastAsia="Calibri" w:hAnsiTheme="majorBidi" w:cstheme="majorBidi"/>
          <w:color w:val="000000" w:themeColor="text1"/>
          <w:sz w:val="20"/>
          <w:szCs w:val="20"/>
          <w:lang w:bidi="ar-EG"/>
        </w:rPr>
        <w:t>Biasoli</w:t>
      </w:r>
      <w:proofErr w:type="spellEnd"/>
      <w:r w:rsidRPr="008C4E56">
        <w:rPr>
          <w:rFonts w:asciiTheme="majorBidi" w:eastAsia="Calibri" w:hAnsiTheme="majorBidi" w:cstheme="majorBidi"/>
          <w:color w:val="000000" w:themeColor="text1"/>
          <w:sz w:val="20"/>
          <w:szCs w:val="20"/>
          <w:lang w:bidi="ar-EG"/>
        </w:rPr>
        <w:t xml:space="preserve"> I, et al. Lack of association of tumor-associated macrophages with clinical outcome in patients with classical Hodgkin’s lymphoma. Ann </w:t>
      </w:r>
      <w:proofErr w:type="spellStart"/>
      <w:r w:rsidRPr="008C4E56">
        <w:rPr>
          <w:rFonts w:asciiTheme="majorBidi" w:eastAsia="Calibri" w:hAnsiTheme="majorBidi" w:cstheme="majorBidi"/>
          <w:color w:val="000000" w:themeColor="text1"/>
          <w:sz w:val="20"/>
          <w:szCs w:val="20"/>
          <w:lang w:bidi="ar-EG"/>
        </w:rPr>
        <w:t>Oncol</w:t>
      </w:r>
      <w:proofErr w:type="spellEnd"/>
      <w:r w:rsidRPr="008C4E56">
        <w:rPr>
          <w:rFonts w:asciiTheme="majorBidi" w:eastAsia="Calibri" w:hAnsiTheme="majorBidi" w:cstheme="majorBidi"/>
          <w:color w:val="000000" w:themeColor="text1"/>
          <w:sz w:val="20"/>
          <w:szCs w:val="20"/>
          <w:lang w:bidi="ar-EG"/>
        </w:rPr>
        <w:t>. 2012; 23(3):736-742.</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33. </w:t>
      </w:r>
      <w:proofErr w:type="spellStart"/>
      <w:r w:rsidRPr="008C4E56">
        <w:rPr>
          <w:rFonts w:asciiTheme="majorBidi" w:eastAsia="Calibri" w:hAnsiTheme="majorBidi" w:cstheme="majorBidi"/>
          <w:color w:val="000000" w:themeColor="text1"/>
          <w:sz w:val="20"/>
          <w:szCs w:val="20"/>
          <w:lang w:bidi="ar-EG"/>
        </w:rPr>
        <w:t>Kayal</w:t>
      </w:r>
      <w:proofErr w:type="spellEnd"/>
      <w:r w:rsidRPr="008C4E56">
        <w:rPr>
          <w:rFonts w:asciiTheme="majorBidi" w:eastAsia="Calibri" w:hAnsiTheme="majorBidi" w:cstheme="majorBidi"/>
          <w:color w:val="000000" w:themeColor="text1"/>
          <w:sz w:val="20"/>
          <w:szCs w:val="20"/>
          <w:lang w:bidi="ar-EG"/>
        </w:rPr>
        <w:t xml:space="preserve"> S, </w:t>
      </w:r>
      <w:proofErr w:type="spellStart"/>
      <w:r w:rsidRPr="008C4E56">
        <w:rPr>
          <w:rFonts w:asciiTheme="majorBidi" w:eastAsia="Calibri" w:hAnsiTheme="majorBidi" w:cstheme="majorBidi"/>
          <w:color w:val="000000" w:themeColor="text1"/>
          <w:sz w:val="20"/>
          <w:szCs w:val="20"/>
          <w:lang w:bidi="ar-EG"/>
        </w:rPr>
        <w:t>Mathur</w:t>
      </w:r>
      <w:proofErr w:type="spellEnd"/>
      <w:r w:rsidRPr="008C4E56">
        <w:rPr>
          <w:rFonts w:asciiTheme="majorBidi" w:eastAsia="Calibri" w:hAnsiTheme="majorBidi" w:cstheme="majorBidi"/>
          <w:color w:val="000000" w:themeColor="text1"/>
          <w:sz w:val="20"/>
          <w:szCs w:val="20"/>
          <w:lang w:bidi="ar-EG"/>
        </w:rPr>
        <w:t xml:space="preserve"> S, </w:t>
      </w:r>
      <w:proofErr w:type="spellStart"/>
      <w:r w:rsidRPr="008C4E56">
        <w:rPr>
          <w:rFonts w:asciiTheme="majorBidi" w:eastAsia="Calibri" w:hAnsiTheme="majorBidi" w:cstheme="majorBidi"/>
          <w:color w:val="000000" w:themeColor="text1"/>
          <w:sz w:val="20"/>
          <w:szCs w:val="20"/>
          <w:lang w:bidi="ar-EG"/>
        </w:rPr>
        <w:t>Karak</w:t>
      </w:r>
      <w:proofErr w:type="spellEnd"/>
      <w:r w:rsidRPr="008C4E56">
        <w:rPr>
          <w:rFonts w:asciiTheme="majorBidi" w:eastAsia="Calibri" w:hAnsiTheme="majorBidi" w:cstheme="majorBidi"/>
          <w:color w:val="000000" w:themeColor="text1"/>
          <w:sz w:val="20"/>
          <w:szCs w:val="20"/>
          <w:lang w:bidi="ar-EG"/>
        </w:rPr>
        <w:t xml:space="preserve"> AK, et al. CD68 tumor-associated macrophage marker is not prognostic of clinical outcome in classical Hodgkin lymphoma. </w:t>
      </w:r>
      <w:proofErr w:type="spellStart"/>
      <w:r w:rsidRPr="008C4E56">
        <w:rPr>
          <w:rFonts w:asciiTheme="majorBidi" w:eastAsia="Calibri" w:hAnsiTheme="majorBidi" w:cstheme="majorBidi"/>
          <w:color w:val="000000" w:themeColor="text1"/>
          <w:sz w:val="20"/>
          <w:szCs w:val="20"/>
          <w:lang w:bidi="ar-EG"/>
        </w:rPr>
        <w:t>Leuk</w:t>
      </w:r>
      <w:proofErr w:type="spellEnd"/>
      <w:r w:rsidRPr="008C4E56">
        <w:rPr>
          <w:rFonts w:asciiTheme="majorBidi" w:eastAsia="Calibri" w:hAnsiTheme="majorBidi" w:cstheme="majorBidi"/>
          <w:color w:val="000000" w:themeColor="text1"/>
          <w:sz w:val="20"/>
          <w:szCs w:val="20"/>
          <w:lang w:bidi="ar-EG"/>
        </w:rPr>
        <w:t xml:space="preserve"> Lymphoma. 2014; 55(5): 1031-1037. </w:t>
      </w:r>
    </w:p>
    <w:p w:rsidR="009A0496" w:rsidRPr="008C4E5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34. Rodrıguez-</w:t>
      </w:r>
      <w:proofErr w:type="spellStart"/>
      <w:r w:rsidRPr="008C4E56">
        <w:rPr>
          <w:rFonts w:asciiTheme="majorBidi" w:eastAsia="Calibri" w:hAnsiTheme="majorBidi" w:cstheme="majorBidi"/>
          <w:color w:val="000000" w:themeColor="text1"/>
          <w:sz w:val="20"/>
          <w:szCs w:val="20"/>
          <w:lang w:bidi="ar-EG"/>
        </w:rPr>
        <w:t>Perea</w:t>
      </w:r>
      <w:proofErr w:type="spellEnd"/>
      <w:r w:rsidRPr="008C4E56">
        <w:rPr>
          <w:rFonts w:asciiTheme="majorBidi" w:eastAsia="Calibri" w:hAnsiTheme="majorBidi" w:cstheme="majorBidi"/>
          <w:color w:val="000000" w:themeColor="text1"/>
          <w:sz w:val="20"/>
          <w:szCs w:val="20"/>
          <w:lang w:bidi="ar-EG"/>
        </w:rPr>
        <w:t xml:space="preserve"> AL, </w:t>
      </w:r>
      <w:proofErr w:type="spellStart"/>
      <w:r w:rsidRPr="008C4E56">
        <w:rPr>
          <w:rFonts w:asciiTheme="majorBidi" w:eastAsia="Calibri" w:hAnsiTheme="majorBidi" w:cstheme="majorBidi"/>
          <w:color w:val="000000" w:themeColor="text1"/>
          <w:sz w:val="20"/>
          <w:szCs w:val="20"/>
          <w:lang w:bidi="ar-EG"/>
        </w:rPr>
        <w:t>Arcia</w:t>
      </w:r>
      <w:proofErr w:type="spellEnd"/>
      <w:r w:rsidRPr="008C4E56">
        <w:rPr>
          <w:rFonts w:asciiTheme="majorBidi" w:eastAsia="Calibri" w:hAnsiTheme="majorBidi" w:cstheme="majorBidi"/>
          <w:color w:val="000000" w:themeColor="text1"/>
          <w:sz w:val="20"/>
          <w:szCs w:val="20"/>
          <w:lang w:bidi="ar-EG"/>
        </w:rPr>
        <w:t xml:space="preserve"> ED, Rueda CM, </w:t>
      </w:r>
      <w:proofErr w:type="spellStart"/>
      <w:r w:rsidRPr="008C4E56">
        <w:rPr>
          <w:rFonts w:asciiTheme="majorBidi" w:eastAsia="Calibri" w:hAnsiTheme="majorBidi" w:cstheme="majorBidi"/>
          <w:color w:val="000000" w:themeColor="text1"/>
          <w:sz w:val="20"/>
          <w:szCs w:val="20"/>
          <w:lang w:bidi="ar-EG"/>
        </w:rPr>
        <w:t>Velilla</w:t>
      </w:r>
      <w:proofErr w:type="spellEnd"/>
      <w:r w:rsidRPr="008C4E56">
        <w:rPr>
          <w:rFonts w:asciiTheme="majorBidi" w:eastAsia="Calibri" w:hAnsiTheme="majorBidi" w:cstheme="majorBidi"/>
          <w:color w:val="000000" w:themeColor="text1"/>
          <w:sz w:val="20"/>
          <w:szCs w:val="20"/>
          <w:lang w:bidi="ar-EG"/>
        </w:rPr>
        <w:t xml:space="preserve"> PA. Phenotypical characterization of regulatory T cells in human sand rodents. </w:t>
      </w:r>
      <w:proofErr w:type="spellStart"/>
      <w:r w:rsidRPr="008C4E56">
        <w:rPr>
          <w:rFonts w:asciiTheme="majorBidi" w:eastAsia="Calibri" w:hAnsiTheme="majorBidi" w:cstheme="majorBidi"/>
          <w:color w:val="000000" w:themeColor="text1"/>
          <w:sz w:val="20"/>
          <w:szCs w:val="20"/>
          <w:lang w:bidi="ar-EG"/>
        </w:rPr>
        <w:t>Clin</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Exp</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Immunol</w:t>
      </w:r>
      <w:proofErr w:type="spellEnd"/>
      <w:r w:rsidRPr="008C4E56">
        <w:rPr>
          <w:rFonts w:asciiTheme="majorBidi" w:eastAsia="Calibri" w:hAnsiTheme="majorBidi" w:cstheme="majorBidi"/>
          <w:color w:val="000000" w:themeColor="text1"/>
          <w:sz w:val="20"/>
          <w:szCs w:val="20"/>
          <w:lang w:bidi="ar-EG"/>
        </w:rPr>
        <w:t>. 2016; 185(3):281-291.</w:t>
      </w:r>
    </w:p>
    <w:p w:rsidR="009A049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8C4E56">
        <w:rPr>
          <w:rFonts w:asciiTheme="majorBidi" w:eastAsia="Calibri" w:hAnsiTheme="majorBidi" w:cstheme="majorBidi"/>
          <w:color w:val="000000" w:themeColor="text1"/>
          <w:sz w:val="20"/>
          <w:szCs w:val="20"/>
          <w:lang w:bidi="ar-EG"/>
        </w:rPr>
        <w:t xml:space="preserve">35. </w:t>
      </w:r>
      <w:proofErr w:type="spellStart"/>
      <w:r w:rsidRPr="008C4E56">
        <w:rPr>
          <w:rFonts w:asciiTheme="majorBidi" w:eastAsia="Calibri" w:hAnsiTheme="majorBidi" w:cstheme="majorBidi"/>
          <w:color w:val="000000" w:themeColor="text1"/>
          <w:sz w:val="20"/>
          <w:szCs w:val="20"/>
          <w:lang w:bidi="ar-EG"/>
        </w:rPr>
        <w:t>Buchbinder</w:t>
      </w:r>
      <w:proofErr w:type="spellEnd"/>
      <w:r w:rsidRPr="008C4E56">
        <w:rPr>
          <w:rFonts w:asciiTheme="majorBidi" w:eastAsia="Calibri" w:hAnsiTheme="majorBidi" w:cstheme="majorBidi"/>
          <w:color w:val="000000" w:themeColor="text1"/>
          <w:sz w:val="20"/>
          <w:szCs w:val="20"/>
          <w:lang w:bidi="ar-EG"/>
        </w:rPr>
        <w:t xml:space="preserve"> EI, Desai A. CTLA-4 and PD-1 pathways: similarities, differences, and implications of their inhibition. </w:t>
      </w:r>
      <w:proofErr w:type="gramStart"/>
      <w:r w:rsidRPr="008C4E56">
        <w:rPr>
          <w:rFonts w:asciiTheme="majorBidi" w:eastAsia="Calibri" w:hAnsiTheme="majorBidi" w:cstheme="majorBidi"/>
          <w:color w:val="000000" w:themeColor="text1"/>
          <w:sz w:val="20"/>
          <w:szCs w:val="20"/>
          <w:lang w:bidi="ar-EG"/>
        </w:rPr>
        <w:t xml:space="preserve">Am J </w:t>
      </w:r>
      <w:proofErr w:type="spellStart"/>
      <w:r w:rsidRPr="008C4E56">
        <w:rPr>
          <w:rFonts w:asciiTheme="majorBidi" w:eastAsia="Calibri" w:hAnsiTheme="majorBidi" w:cstheme="majorBidi"/>
          <w:color w:val="000000" w:themeColor="text1"/>
          <w:sz w:val="20"/>
          <w:szCs w:val="20"/>
          <w:lang w:bidi="ar-EG"/>
        </w:rPr>
        <w:t>Clin</w:t>
      </w:r>
      <w:proofErr w:type="spellEnd"/>
      <w:r w:rsidRPr="008C4E56">
        <w:rPr>
          <w:rFonts w:asciiTheme="majorBidi" w:eastAsia="Calibri" w:hAnsiTheme="majorBidi" w:cstheme="majorBidi"/>
          <w:color w:val="000000" w:themeColor="text1"/>
          <w:sz w:val="20"/>
          <w:szCs w:val="20"/>
          <w:lang w:bidi="ar-EG"/>
        </w:rPr>
        <w:t xml:space="preserve"> </w:t>
      </w:r>
      <w:proofErr w:type="spellStart"/>
      <w:r w:rsidRPr="008C4E56">
        <w:rPr>
          <w:rFonts w:asciiTheme="majorBidi" w:eastAsia="Calibri" w:hAnsiTheme="majorBidi" w:cstheme="majorBidi"/>
          <w:color w:val="000000" w:themeColor="text1"/>
          <w:sz w:val="20"/>
          <w:szCs w:val="20"/>
          <w:lang w:bidi="ar-EG"/>
        </w:rPr>
        <w:t>Oncol</w:t>
      </w:r>
      <w:proofErr w:type="spellEnd"/>
      <w:r w:rsidRPr="008C4E56">
        <w:rPr>
          <w:rFonts w:asciiTheme="majorBidi" w:eastAsia="Calibri" w:hAnsiTheme="majorBidi" w:cstheme="majorBidi"/>
          <w:color w:val="000000" w:themeColor="text1"/>
          <w:sz w:val="20"/>
          <w:szCs w:val="20"/>
          <w:lang w:bidi="ar-EG"/>
        </w:rPr>
        <w:t>.</w:t>
      </w:r>
      <w:proofErr w:type="gramEnd"/>
      <w:r w:rsidRPr="008C4E56">
        <w:rPr>
          <w:rFonts w:asciiTheme="majorBidi" w:eastAsia="Calibri" w:hAnsiTheme="majorBidi" w:cstheme="majorBidi"/>
          <w:color w:val="000000" w:themeColor="text1"/>
          <w:sz w:val="20"/>
          <w:szCs w:val="20"/>
          <w:lang w:bidi="ar-EG"/>
        </w:rPr>
        <w:t xml:space="preserve"> 2016; 39(1): </w:t>
      </w:r>
      <w:r>
        <w:rPr>
          <w:rFonts w:asciiTheme="majorBidi" w:eastAsia="Calibri" w:hAnsiTheme="majorBidi" w:cstheme="majorBidi"/>
          <w:color w:val="000000" w:themeColor="text1"/>
          <w:sz w:val="20"/>
          <w:szCs w:val="20"/>
          <w:lang w:bidi="ar-EG"/>
        </w:rPr>
        <w:t xml:space="preserve">98-106. </w:t>
      </w:r>
    </w:p>
    <w:p w:rsidR="00C35610" w:rsidRPr="009A0496" w:rsidRDefault="009A0496" w:rsidP="009A0496">
      <w:pPr>
        <w:bidi w:val="0"/>
        <w:spacing w:after="0" w:line="240" w:lineRule="auto"/>
        <w:ind w:left="284" w:hanging="284"/>
        <w:jc w:val="both"/>
        <w:rPr>
          <w:rFonts w:asciiTheme="majorBidi" w:eastAsia="Calibri" w:hAnsiTheme="majorBidi" w:cstheme="majorBidi"/>
          <w:color w:val="000000" w:themeColor="text1"/>
          <w:sz w:val="20"/>
          <w:szCs w:val="20"/>
          <w:lang w:bidi="ar-EG"/>
        </w:rPr>
      </w:pPr>
      <w:r w:rsidRPr="009A0496">
        <w:rPr>
          <w:rFonts w:asciiTheme="majorBidi" w:eastAsia="Calibri" w:hAnsiTheme="majorBidi" w:cstheme="majorBidi"/>
          <w:color w:val="000000" w:themeColor="text1"/>
          <w:sz w:val="20"/>
          <w:szCs w:val="20"/>
          <w:lang w:bidi="ar-EG"/>
        </w:rPr>
        <w:t xml:space="preserve">36. Chaudhary B, </w:t>
      </w:r>
      <w:proofErr w:type="spellStart"/>
      <w:r w:rsidRPr="009A0496">
        <w:rPr>
          <w:rFonts w:asciiTheme="majorBidi" w:eastAsia="Calibri" w:hAnsiTheme="majorBidi" w:cstheme="majorBidi"/>
          <w:color w:val="000000" w:themeColor="text1"/>
          <w:sz w:val="20"/>
          <w:szCs w:val="20"/>
          <w:lang w:bidi="ar-EG"/>
        </w:rPr>
        <w:t>Elkord</w:t>
      </w:r>
      <w:proofErr w:type="spellEnd"/>
      <w:r w:rsidRPr="009A0496">
        <w:rPr>
          <w:rFonts w:asciiTheme="majorBidi" w:eastAsia="Calibri" w:hAnsiTheme="majorBidi" w:cstheme="majorBidi"/>
          <w:color w:val="000000" w:themeColor="text1"/>
          <w:sz w:val="20"/>
          <w:szCs w:val="20"/>
          <w:lang w:bidi="ar-EG"/>
        </w:rPr>
        <w:t xml:space="preserve"> E, Regulatory T. Regulatory T cells in the tumor microenvironment and cancer progression: role and therapeutic targeting. </w:t>
      </w:r>
      <w:proofErr w:type="gramStart"/>
      <w:r w:rsidRPr="009A0496">
        <w:rPr>
          <w:rFonts w:asciiTheme="majorBidi" w:eastAsia="Calibri" w:hAnsiTheme="majorBidi" w:cstheme="majorBidi"/>
          <w:color w:val="000000" w:themeColor="text1"/>
          <w:sz w:val="20"/>
          <w:szCs w:val="20"/>
          <w:lang w:bidi="ar-EG"/>
        </w:rPr>
        <w:t>Vaccines (Basel).</w:t>
      </w:r>
      <w:proofErr w:type="gramEnd"/>
      <w:r w:rsidRPr="009A0496">
        <w:rPr>
          <w:rFonts w:asciiTheme="majorBidi" w:eastAsia="Calibri" w:hAnsiTheme="majorBidi" w:cstheme="majorBidi"/>
          <w:color w:val="000000" w:themeColor="text1"/>
          <w:sz w:val="20"/>
          <w:szCs w:val="20"/>
          <w:lang w:bidi="ar-EG"/>
        </w:rPr>
        <w:t xml:space="preserve"> 2016; 4(3): E28.</w:t>
      </w:r>
    </w:p>
    <w:p w:rsidR="009A426B" w:rsidRPr="000E78AB" w:rsidRDefault="009A426B" w:rsidP="003B3D6D">
      <w:pPr>
        <w:bidi w:val="0"/>
        <w:snapToGrid w:val="0"/>
        <w:spacing w:after="0" w:line="240" w:lineRule="auto"/>
        <w:ind w:firstLine="425"/>
        <w:jc w:val="both"/>
        <w:rPr>
          <w:rFonts w:ascii="Times New Roman" w:eastAsia="Calibri" w:hAnsi="Times New Roman" w:cs="Times New Roman"/>
          <w:color w:val="000000" w:themeColor="text1"/>
          <w:sz w:val="20"/>
          <w:szCs w:val="20"/>
          <w:lang w:bidi="ar-EG"/>
        </w:rPr>
        <w:sectPr w:rsidR="009A426B" w:rsidRPr="000E78AB" w:rsidSect="009A426B">
          <w:type w:val="continuous"/>
          <w:pgSz w:w="12242" w:h="15842" w:code="1"/>
          <w:pgMar w:top="1440" w:right="1440" w:bottom="1440" w:left="1440" w:header="720" w:footer="720" w:gutter="0"/>
          <w:cols w:num="2" w:space="550"/>
          <w:docGrid w:linePitch="360"/>
        </w:sectPr>
      </w:pPr>
    </w:p>
    <w:p w:rsidR="00342DBB" w:rsidRPr="000E78AB" w:rsidRDefault="00C35610" w:rsidP="00470C4E">
      <w:pPr>
        <w:bidi w:val="0"/>
        <w:snapToGrid w:val="0"/>
        <w:spacing w:after="0" w:line="240" w:lineRule="auto"/>
        <w:ind w:firstLine="425"/>
        <w:jc w:val="both"/>
        <w:rPr>
          <w:rFonts w:ascii="Times New Roman" w:eastAsia="Calibri" w:hAnsi="Times New Roman" w:cs="Times New Roman"/>
          <w:color w:val="000000" w:themeColor="text1"/>
          <w:sz w:val="20"/>
          <w:szCs w:val="20"/>
          <w:lang w:bidi="ar-EG"/>
        </w:rPr>
      </w:pPr>
      <w:r w:rsidRPr="000E78AB">
        <w:rPr>
          <w:rFonts w:ascii="Times New Roman" w:eastAsia="Calibri" w:hAnsi="Times New Roman" w:cs="Times New Roman"/>
          <w:color w:val="000000" w:themeColor="text1"/>
          <w:sz w:val="20"/>
          <w:szCs w:val="20"/>
          <w:lang w:bidi="ar-EG"/>
        </w:rPr>
        <w:lastRenderedPageBreak/>
        <w:cr/>
        <w:t xml:space="preserve"> </w:t>
      </w:r>
      <w:r w:rsidRPr="000E78AB">
        <w:rPr>
          <w:rFonts w:ascii="Times New Roman" w:eastAsia="Calibri" w:hAnsi="Times New Roman" w:cs="Times New Roman"/>
          <w:color w:val="000000" w:themeColor="text1"/>
          <w:sz w:val="20"/>
          <w:szCs w:val="20"/>
          <w:lang w:bidi="ar-EG"/>
        </w:rPr>
        <w:cr/>
      </w:r>
    </w:p>
    <w:sectPr w:rsidR="00342DBB" w:rsidRPr="000E78AB" w:rsidSect="00C35610">
      <w:type w:val="continuous"/>
      <w:pgSz w:w="12242" w:h="15842" w:code="1"/>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40" w:rsidRDefault="00A34740" w:rsidP="00E44097">
      <w:pPr>
        <w:spacing w:after="0" w:line="240" w:lineRule="auto"/>
      </w:pPr>
      <w:r>
        <w:separator/>
      </w:r>
    </w:p>
  </w:endnote>
  <w:endnote w:type="continuationSeparator" w:id="0">
    <w:p w:rsidR="00A34740" w:rsidRDefault="00A34740" w:rsidP="00E4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Times">
    <w:panose1 w:val="00000000000000000000"/>
    <w:charset w:val="B2"/>
    <w:family w:val="auto"/>
    <w:notTrueType/>
    <w:pitch w:val="default"/>
    <w:sig w:usb0="00002001" w:usb1="00000000" w:usb2="00000000" w:usb3="00000000" w:csb0="00000040"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6D" w:rsidRPr="008503A3" w:rsidRDefault="004946AB" w:rsidP="008503A3">
    <w:pPr>
      <w:bidi w:val="0"/>
      <w:spacing w:after="0" w:line="240" w:lineRule="auto"/>
      <w:jc w:val="center"/>
      <w:rPr>
        <w:rFonts w:ascii="Times New Roman" w:hAnsi="Times New Roman" w:cs="Times New Roman"/>
        <w:sz w:val="20"/>
      </w:rPr>
    </w:pPr>
    <w:r w:rsidRPr="008503A3">
      <w:rPr>
        <w:rFonts w:ascii="Times New Roman" w:hAnsi="Times New Roman" w:cs="Times New Roman"/>
        <w:sz w:val="20"/>
      </w:rPr>
      <w:fldChar w:fldCharType="begin"/>
    </w:r>
    <w:r w:rsidR="008503A3" w:rsidRPr="008503A3">
      <w:rPr>
        <w:rFonts w:ascii="Times New Roman" w:hAnsi="Times New Roman" w:cs="Times New Roman"/>
        <w:sz w:val="20"/>
      </w:rPr>
      <w:instrText xml:space="preserve"> page </w:instrText>
    </w:r>
    <w:r w:rsidRPr="008503A3">
      <w:rPr>
        <w:rFonts w:ascii="Times New Roman" w:hAnsi="Times New Roman" w:cs="Times New Roman"/>
        <w:sz w:val="20"/>
      </w:rPr>
      <w:fldChar w:fldCharType="separate"/>
    </w:r>
    <w:r w:rsidR="009C3BFF">
      <w:rPr>
        <w:rFonts w:ascii="Times New Roman" w:hAnsi="Times New Roman" w:cs="Times New Roman"/>
        <w:noProof/>
        <w:sz w:val="20"/>
      </w:rPr>
      <w:t>159</w:t>
    </w:r>
    <w:r w:rsidRPr="008503A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40" w:rsidRDefault="00A34740" w:rsidP="00E44097">
      <w:pPr>
        <w:spacing w:after="0" w:line="240" w:lineRule="auto"/>
      </w:pPr>
      <w:r>
        <w:separator/>
      </w:r>
    </w:p>
  </w:footnote>
  <w:footnote w:type="continuationSeparator" w:id="0">
    <w:p w:rsidR="00A34740" w:rsidRDefault="00A34740" w:rsidP="00E44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Pr="008503A3" w:rsidRDefault="008503A3" w:rsidP="008503A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8503A3">
      <w:rPr>
        <w:rFonts w:ascii="Times New Roman" w:hAnsi="Times New Roman" w:cs="Times New Roman" w:hint="eastAsia"/>
        <w:iCs/>
        <w:color w:val="000000"/>
        <w:sz w:val="20"/>
      </w:rPr>
      <w:tab/>
    </w:r>
    <w:r w:rsidRPr="008503A3">
      <w:rPr>
        <w:rFonts w:ascii="Times New Roman" w:hAnsi="Times New Roman" w:cs="Times New Roman"/>
        <w:iCs/>
        <w:color w:val="000000"/>
        <w:sz w:val="20"/>
      </w:rPr>
      <w:t xml:space="preserve">Cancer Biology </w:t>
    </w:r>
    <w:r w:rsidRPr="008503A3">
      <w:rPr>
        <w:rFonts w:ascii="Times New Roman" w:hAnsi="Times New Roman" w:cs="Times New Roman"/>
        <w:iCs/>
        <w:sz w:val="20"/>
      </w:rPr>
      <w:t>201</w:t>
    </w:r>
    <w:r w:rsidR="00AB58F5">
      <w:rPr>
        <w:rFonts w:ascii="Times New Roman" w:hAnsi="Times New Roman" w:cs="Times New Roman" w:hint="eastAsia"/>
        <w:iCs/>
        <w:sz w:val="20"/>
        <w:lang w:eastAsia="zh-CN"/>
      </w:rPr>
      <w:t>8</w:t>
    </w:r>
    <w:proofErr w:type="gramStart"/>
    <w:r w:rsidRPr="008503A3">
      <w:rPr>
        <w:rFonts w:ascii="Times New Roman" w:hAnsi="Times New Roman" w:cs="Times New Roman"/>
        <w:iCs/>
        <w:sz w:val="20"/>
      </w:rPr>
      <w:t>;</w:t>
    </w:r>
    <w:r w:rsidR="00AB58F5">
      <w:rPr>
        <w:rFonts w:ascii="Times New Roman" w:hAnsi="Times New Roman" w:cs="Times New Roman" w:hint="eastAsia"/>
        <w:iCs/>
        <w:sz w:val="20"/>
        <w:lang w:eastAsia="zh-CN"/>
      </w:rPr>
      <w:t>8</w:t>
    </w:r>
    <w:proofErr w:type="gramEnd"/>
    <w:r w:rsidRPr="008503A3">
      <w:rPr>
        <w:rFonts w:ascii="Times New Roman" w:hAnsi="Times New Roman" w:cs="Times New Roman"/>
        <w:iCs/>
        <w:sz w:val="20"/>
      </w:rPr>
      <w:t>(</w:t>
    </w:r>
    <w:r w:rsidR="00AB58F5">
      <w:rPr>
        <w:rFonts w:ascii="Times New Roman" w:hAnsi="Times New Roman" w:cs="Times New Roman" w:hint="eastAsia"/>
        <w:iCs/>
        <w:sz w:val="20"/>
        <w:lang w:eastAsia="zh-CN"/>
      </w:rPr>
      <w:t>4</w:t>
    </w:r>
    <w:r w:rsidRPr="008503A3">
      <w:rPr>
        <w:rFonts w:ascii="Times New Roman" w:hAnsi="Times New Roman" w:cs="Times New Roman"/>
        <w:iCs/>
        <w:sz w:val="20"/>
      </w:rPr>
      <w:t xml:space="preserve">)  </w:t>
    </w:r>
    <w:r w:rsidRPr="008503A3">
      <w:rPr>
        <w:rFonts w:ascii="Times New Roman" w:hAnsi="Times New Roman" w:cs="Times New Roman" w:hint="eastAsia"/>
        <w:iCs/>
        <w:sz w:val="20"/>
      </w:rPr>
      <w:t xml:space="preserve">   </w:t>
    </w:r>
    <w:r w:rsidRPr="008503A3">
      <w:rPr>
        <w:rFonts w:ascii="Times New Roman" w:hAnsi="Times New Roman" w:cs="Times New Roman" w:hint="eastAsia"/>
        <w:iCs/>
        <w:sz w:val="20"/>
      </w:rPr>
      <w:tab/>
      <w:t xml:space="preserve">     </w:t>
    </w:r>
    <w:r w:rsidRPr="008503A3">
      <w:rPr>
        <w:rFonts w:ascii="Times New Roman" w:hAnsi="Times New Roman" w:cs="Times New Roman"/>
        <w:iCs/>
        <w:sz w:val="20"/>
      </w:rPr>
      <w:t xml:space="preserve"> </w:t>
    </w:r>
    <w:r w:rsidRPr="008503A3">
      <w:rPr>
        <w:rFonts w:ascii="Times New Roman" w:hAnsi="Times New Roman" w:cs="Times New Roman"/>
        <w:sz w:val="20"/>
      </w:rPr>
      <w:t xml:space="preserve">  </w:t>
    </w:r>
    <w:hyperlink r:id="rId1" w:history="1">
      <w:r w:rsidRPr="008503A3">
        <w:rPr>
          <w:rStyle w:val="Hyperlink"/>
          <w:rFonts w:ascii="Times New Roman" w:hAnsi="Times New Roman" w:cs="Times New Roman"/>
          <w:color w:val="0000FF"/>
          <w:sz w:val="20"/>
        </w:rPr>
        <w:t>http://www.cancerbio.net</w:t>
      </w:r>
    </w:hyperlink>
  </w:p>
  <w:p w:rsidR="008503A3" w:rsidRPr="008503A3" w:rsidRDefault="008503A3" w:rsidP="008503A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F1F"/>
    <w:multiLevelType w:val="hybridMultilevel"/>
    <w:tmpl w:val="BFC44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0A032D"/>
    <w:multiLevelType w:val="hybridMultilevel"/>
    <w:tmpl w:val="CA82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647F6"/>
    <w:multiLevelType w:val="hybridMultilevel"/>
    <w:tmpl w:val="0F3CE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C055CB"/>
    <w:multiLevelType w:val="hybridMultilevel"/>
    <w:tmpl w:val="0E02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A103E"/>
    <w:multiLevelType w:val="hybridMultilevel"/>
    <w:tmpl w:val="82FED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939C6"/>
    <w:multiLevelType w:val="hybridMultilevel"/>
    <w:tmpl w:val="4CEC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0118A5"/>
    <w:multiLevelType w:val="hybridMultilevel"/>
    <w:tmpl w:val="0A5821AE"/>
    <w:lvl w:ilvl="0" w:tplc="94564A34">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256082"/>
    <w:multiLevelType w:val="hybridMultilevel"/>
    <w:tmpl w:val="5CF45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70590"/>
    <w:multiLevelType w:val="hybridMultilevel"/>
    <w:tmpl w:val="0F4C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A43322"/>
    <w:multiLevelType w:val="hybridMultilevel"/>
    <w:tmpl w:val="A354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977DA8"/>
    <w:multiLevelType w:val="hybridMultilevel"/>
    <w:tmpl w:val="DBB2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9"/>
  </w:num>
  <w:num w:numId="5">
    <w:abstractNumId w:val="5"/>
  </w:num>
  <w:num w:numId="6">
    <w:abstractNumId w:val="1"/>
  </w:num>
  <w:num w:numId="7">
    <w:abstractNumId w:val="8"/>
  </w:num>
  <w:num w:numId="8">
    <w:abstractNumId w:val="3"/>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EA"/>
    <w:rsid w:val="00001628"/>
    <w:rsid w:val="00004201"/>
    <w:rsid w:val="00004522"/>
    <w:rsid w:val="00011191"/>
    <w:rsid w:val="00011945"/>
    <w:rsid w:val="00012990"/>
    <w:rsid w:val="00013844"/>
    <w:rsid w:val="00020339"/>
    <w:rsid w:val="00020989"/>
    <w:rsid w:val="00020ED7"/>
    <w:rsid w:val="0002228C"/>
    <w:rsid w:val="00027477"/>
    <w:rsid w:val="000276C8"/>
    <w:rsid w:val="0003215C"/>
    <w:rsid w:val="00041B3A"/>
    <w:rsid w:val="00046B39"/>
    <w:rsid w:val="00054F5B"/>
    <w:rsid w:val="000558D9"/>
    <w:rsid w:val="00055A7C"/>
    <w:rsid w:val="00057A57"/>
    <w:rsid w:val="00060A66"/>
    <w:rsid w:val="00073C4C"/>
    <w:rsid w:val="00074F98"/>
    <w:rsid w:val="00076809"/>
    <w:rsid w:val="0008736C"/>
    <w:rsid w:val="00093B18"/>
    <w:rsid w:val="00096B42"/>
    <w:rsid w:val="00096D5A"/>
    <w:rsid w:val="000A2B7D"/>
    <w:rsid w:val="000B1B85"/>
    <w:rsid w:val="000C0B24"/>
    <w:rsid w:val="000C46A7"/>
    <w:rsid w:val="000C52C4"/>
    <w:rsid w:val="000C5CCC"/>
    <w:rsid w:val="000C6812"/>
    <w:rsid w:val="000C695F"/>
    <w:rsid w:val="000D45BD"/>
    <w:rsid w:val="000D6914"/>
    <w:rsid w:val="000D6A69"/>
    <w:rsid w:val="000E1C5E"/>
    <w:rsid w:val="000E28A7"/>
    <w:rsid w:val="000E49E7"/>
    <w:rsid w:val="000E78AB"/>
    <w:rsid w:val="000F24F7"/>
    <w:rsid w:val="000F2ED2"/>
    <w:rsid w:val="000F308C"/>
    <w:rsid w:val="00105353"/>
    <w:rsid w:val="001277B5"/>
    <w:rsid w:val="001300B1"/>
    <w:rsid w:val="001341CA"/>
    <w:rsid w:val="00135B46"/>
    <w:rsid w:val="001469FB"/>
    <w:rsid w:val="001567B3"/>
    <w:rsid w:val="001608E5"/>
    <w:rsid w:val="00161596"/>
    <w:rsid w:val="00176CE5"/>
    <w:rsid w:val="00177D06"/>
    <w:rsid w:val="00183484"/>
    <w:rsid w:val="00185847"/>
    <w:rsid w:val="00185BCE"/>
    <w:rsid w:val="0018714A"/>
    <w:rsid w:val="00191786"/>
    <w:rsid w:val="0019557A"/>
    <w:rsid w:val="00197351"/>
    <w:rsid w:val="001A0C61"/>
    <w:rsid w:val="001A134A"/>
    <w:rsid w:val="001A2279"/>
    <w:rsid w:val="001B50C4"/>
    <w:rsid w:val="001B737F"/>
    <w:rsid w:val="001B7C76"/>
    <w:rsid w:val="001C2BD9"/>
    <w:rsid w:val="001C7EB5"/>
    <w:rsid w:val="001D17BC"/>
    <w:rsid w:val="001D1A3E"/>
    <w:rsid w:val="001E4794"/>
    <w:rsid w:val="001E59B7"/>
    <w:rsid w:val="001E76B6"/>
    <w:rsid w:val="001F005D"/>
    <w:rsid w:val="001F18C8"/>
    <w:rsid w:val="001F6A34"/>
    <w:rsid w:val="00200D28"/>
    <w:rsid w:val="00202E17"/>
    <w:rsid w:val="00204940"/>
    <w:rsid w:val="00207380"/>
    <w:rsid w:val="00210AC2"/>
    <w:rsid w:val="00211E4E"/>
    <w:rsid w:val="00224F44"/>
    <w:rsid w:val="00225C33"/>
    <w:rsid w:val="00227000"/>
    <w:rsid w:val="00233DE5"/>
    <w:rsid w:val="00235125"/>
    <w:rsid w:val="002374C8"/>
    <w:rsid w:val="002405DF"/>
    <w:rsid w:val="00243D25"/>
    <w:rsid w:val="00247A9B"/>
    <w:rsid w:val="0025333C"/>
    <w:rsid w:val="00254586"/>
    <w:rsid w:val="00262097"/>
    <w:rsid w:val="00262488"/>
    <w:rsid w:val="00263A40"/>
    <w:rsid w:val="0026501C"/>
    <w:rsid w:val="00267B70"/>
    <w:rsid w:val="002742CF"/>
    <w:rsid w:val="00274922"/>
    <w:rsid w:val="0029194B"/>
    <w:rsid w:val="00291CA4"/>
    <w:rsid w:val="00293CF6"/>
    <w:rsid w:val="00295563"/>
    <w:rsid w:val="00296442"/>
    <w:rsid w:val="002A4D57"/>
    <w:rsid w:val="002B2313"/>
    <w:rsid w:val="002C0DE9"/>
    <w:rsid w:val="002C2F45"/>
    <w:rsid w:val="002C3C0B"/>
    <w:rsid w:val="002C4B21"/>
    <w:rsid w:val="002D0DF6"/>
    <w:rsid w:val="002D3540"/>
    <w:rsid w:val="002D70FA"/>
    <w:rsid w:val="002E0A65"/>
    <w:rsid w:val="002E1EBB"/>
    <w:rsid w:val="002E2D12"/>
    <w:rsid w:val="002E61BC"/>
    <w:rsid w:val="002F3056"/>
    <w:rsid w:val="0030001B"/>
    <w:rsid w:val="0030335B"/>
    <w:rsid w:val="0030727C"/>
    <w:rsid w:val="003075EA"/>
    <w:rsid w:val="0030792E"/>
    <w:rsid w:val="0031235E"/>
    <w:rsid w:val="00333FB4"/>
    <w:rsid w:val="00342DBB"/>
    <w:rsid w:val="00343A79"/>
    <w:rsid w:val="00356C92"/>
    <w:rsid w:val="00362EC7"/>
    <w:rsid w:val="00374F1F"/>
    <w:rsid w:val="0037750B"/>
    <w:rsid w:val="00381004"/>
    <w:rsid w:val="00383CE9"/>
    <w:rsid w:val="0038764C"/>
    <w:rsid w:val="003878C1"/>
    <w:rsid w:val="00387F64"/>
    <w:rsid w:val="003910FA"/>
    <w:rsid w:val="003915F9"/>
    <w:rsid w:val="0039625C"/>
    <w:rsid w:val="003A342B"/>
    <w:rsid w:val="003A50FA"/>
    <w:rsid w:val="003B3D6D"/>
    <w:rsid w:val="003C0C77"/>
    <w:rsid w:val="003D6B66"/>
    <w:rsid w:val="003E1E27"/>
    <w:rsid w:val="003E68F3"/>
    <w:rsid w:val="003E7529"/>
    <w:rsid w:val="003F0841"/>
    <w:rsid w:val="003F1D5D"/>
    <w:rsid w:val="003F3763"/>
    <w:rsid w:val="003F4A08"/>
    <w:rsid w:val="00400D14"/>
    <w:rsid w:val="00423C73"/>
    <w:rsid w:val="00425B6D"/>
    <w:rsid w:val="0044382A"/>
    <w:rsid w:val="004452F4"/>
    <w:rsid w:val="004522FD"/>
    <w:rsid w:val="004629A3"/>
    <w:rsid w:val="00470C4E"/>
    <w:rsid w:val="0047512D"/>
    <w:rsid w:val="00486259"/>
    <w:rsid w:val="004946AB"/>
    <w:rsid w:val="004A1D8F"/>
    <w:rsid w:val="004A1E63"/>
    <w:rsid w:val="004A232F"/>
    <w:rsid w:val="004A4835"/>
    <w:rsid w:val="004B048D"/>
    <w:rsid w:val="004B0925"/>
    <w:rsid w:val="004B7619"/>
    <w:rsid w:val="004C08D9"/>
    <w:rsid w:val="004C5346"/>
    <w:rsid w:val="004D0015"/>
    <w:rsid w:val="004D1D49"/>
    <w:rsid w:val="004D20DE"/>
    <w:rsid w:val="004D4618"/>
    <w:rsid w:val="004D4CE1"/>
    <w:rsid w:val="004E4E61"/>
    <w:rsid w:val="004E6581"/>
    <w:rsid w:val="00503DEE"/>
    <w:rsid w:val="00505C90"/>
    <w:rsid w:val="00505F64"/>
    <w:rsid w:val="00516E9D"/>
    <w:rsid w:val="0052348A"/>
    <w:rsid w:val="005306AD"/>
    <w:rsid w:val="00543BB9"/>
    <w:rsid w:val="0056063F"/>
    <w:rsid w:val="005610FB"/>
    <w:rsid w:val="00566437"/>
    <w:rsid w:val="00572915"/>
    <w:rsid w:val="005B39BB"/>
    <w:rsid w:val="005B5D59"/>
    <w:rsid w:val="005B7225"/>
    <w:rsid w:val="005C0B92"/>
    <w:rsid w:val="005C1F38"/>
    <w:rsid w:val="005D13FD"/>
    <w:rsid w:val="005D232C"/>
    <w:rsid w:val="005F55C9"/>
    <w:rsid w:val="005F5772"/>
    <w:rsid w:val="00600147"/>
    <w:rsid w:val="00604F27"/>
    <w:rsid w:val="00625400"/>
    <w:rsid w:val="006261AC"/>
    <w:rsid w:val="00630B70"/>
    <w:rsid w:val="006320BC"/>
    <w:rsid w:val="00633F57"/>
    <w:rsid w:val="00643139"/>
    <w:rsid w:val="00650E72"/>
    <w:rsid w:val="00654D49"/>
    <w:rsid w:val="00662ED5"/>
    <w:rsid w:val="00674FBF"/>
    <w:rsid w:val="0067527A"/>
    <w:rsid w:val="0067554C"/>
    <w:rsid w:val="00675AAA"/>
    <w:rsid w:val="00676ABA"/>
    <w:rsid w:val="00677848"/>
    <w:rsid w:val="00681C54"/>
    <w:rsid w:val="00684370"/>
    <w:rsid w:val="0068481B"/>
    <w:rsid w:val="006855FF"/>
    <w:rsid w:val="006877AC"/>
    <w:rsid w:val="00694C54"/>
    <w:rsid w:val="0069799C"/>
    <w:rsid w:val="006A22FE"/>
    <w:rsid w:val="006A4F21"/>
    <w:rsid w:val="006A632E"/>
    <w:rsid w:val="006B2A8B"/>
    <w:rsid w:val="006B5B5F"/>
    <w:rsid w:val="006B74BF"/>
    <w:rsid w:val="006D0E65"/>
    <w:rsid w:val="006D2DEE"/>
    <w:rsid w:val="006D430F"/>
    <w:rsid w:val="006D632D"/>
    <w:rsid w:val="006F7774"/>
    <w:rsid w:val="006F79F4"/>
    <w:rsid w:val="00700FDB"/>
    <w:rsid w:val="00702360"/>
    <w:rsid w:val="00707A56"/>
    <w:rsid w:val="007219C6"/>
    <w:rsid w:val="0072255B"/>
    <w:rsid w:val="007229CD"/>
    <w:rsid w:val="00723775"/>
    <w:rsid w:val="0074640A"/>
    <w:rsid w:val="00747610"/>
    <w:rsid w:val="00752678"/>
    <w:rsid w:val="00762967"/>
    <w:rsid w:val="00765454"/>
    <w:rsid w:val="0076636A"/>
    <w:rsid w:val="00766827"/>
    <w:rsid w:val="0077590A"/>
    <w:rsid w:val="00791BF9"/>
    <w:rsid w:val="007A54B3"/>
    <w:rsid w:val="007B084E"/>
    <w:rsid w:val="007B0B42"/>
    <w:rsid w:val="007C0A91"/>
    <w:rsid w:val="007C3BE3"/>
    <w:rsid w:val="007C5F09"/>
    <w:rsid w:val="007C6336"/>
    <w:rsid w:val="007D0B24"/>
    <w:rsid w:val="007D0EAB"/>
    <w:rsid w:val="007E2A03"/>
    <w:rsid w:val="007F5573"/>
    <w:rsid w:val="007F6C0F"/>
    <w:rsid w:val="00802086"/>
    <w:rsid w:val="00802284"/>
    <w:rsid w:val="0080677B"/>
    <w:rsid w:val="00807B93"/>
    <w:rsid w:val="00813735"/>
    <w:rsid w:val="00821686"/>
    <w:rsid w:val="00834D07"/>
    <w:rsid w:val="00835574"/>
    <w:rsid w:val="00836163"/>
    <w:rsid w:val="00836553"/>
    <w:rsid w:val="008414EC"/>
    <w:rsid w:val="00847403"/>
    <w:rsid w:val="008503A3"/>
    <w:rsid w:val="00853F77"/>
    <w:rsid w:val="00865EE0"/>
    <w:rsid w:val="0086626D"/>
    <w:rsid w:val="008849AE"/>
    <w:rsid w:val="00885B9F"/>
    <w:rsid w:val="008862C2"/>
    <w:rsid w:val="00886F7B"/>
    <w:rsid w:val="0088744C"/>
    <w:rsid w:val="008A2751"/>
    <w:rsid w:val="008A326D"/>
    <w:rsid w:val="008A4B81"/>
    <w:rsid w:val="008B01D3"/>
    <w:rsid w:val="008B23CF"/>
    <w:rsid w:val="008B600D"/>
    <w:rsid w:val="008C06D7"/>
    <w:rsid w:val="008C4A44"/>
    <w:rsid w:val="008D0783"/>
    <w:rsid w:val="008D6419"/>
    <w:rsid w:val="008E2986"/>
    <w:rsid w:val="008F1880"/>
    <w:rsid w:val="008F247C"/>
    <w:rsid w:val="0090049C"/>
    <w:rsid w:val="009061F0"/>
    <w:rsid w:val="0091175F"/>
    <w:rsid w:val="009132D0"/>
    <w:rsid w:val="00915F0B"/>
    <w:rsid w:val="00923830"/>
    <w:rsid w:val="009251FE"/>
    <w:rsid w:val="009321FA"/>
    <w:rsid w:val="00935BE9"/>
    <w:rsid w:val="0094587B"/>
    <w:rsid w:val="0095478F"/>
    <w:rsid w:val="00957A21"/>
    <w:rsid w:val="00960065"/>
    <w:rsid w:val="009675E9"/>
    <w:rsid w:val="00971985"/>
    <w:rsid w:val="00973518"/>
    <w:rsid w:val="009737F4"/>
    <w:rsid w:val="00975003"/>
    <w:rsid w:val="00975049"/>
    <w:rsid w:val="00984E6D"/>
    <w:rsid w:val="00984F14"/>
    <w:rsid w:val="0099123B"/>
    <w:rsid w:val="00994D9A"/>
    <w:rsid w:val="00997C0F"/>
    <w:rsid w:val="009A0496"/>
    <w:rsid w:val="009A3581"/>
    <w:rsid w:val="009A426B"/>
    <w:rsid w:val="009A55C3"/>
    <w:rsid w:val="009B0344"/>
    <w:rsid w:val="009B6724"/>
    <w:rsid w:val="009C0569"/>
    <w:rsid w:val="009C3BFF"/>
    <w:rsid w:val="009D63A6"/>
    <w:rsid w:val="009D6B18"/>
    <w:rsid w:val="009E68FD"/>
    <w:rsid w:val="009F767B"/>
    <w:rsid w:val="00A063C3"/>
    <w:rsid w:val="00A121B9"/>
    <w:rsid w:val="00A12FFA"/>
    <w:rsid w:val="00A20805"/>
    <w:rsid w:val="00A215C5"/>
    <w:rsid w:val="00A2195B"/>
    <w:rsid w:val="00A34740"/>
    <w:rsid w:val="00A40D26"/>
    <w:rsid w:val="00A41F35"/>
    <w:rsid w:val="00A50010"/>
    <w:rsid w:val="00A55539"/>
    <w:rsid w:val="00A6062D"/>
    <w:rsid w:val="00A61475"/>
    <w:rsid w:val="00A63803"/>
    <w:rsid w:val="00A66C32"/>
    <w:rsid w:val="00A77C71"/>
    <w:rsid w:val="00A83214"/>
    <w:rsid w:val="00A94AB2"/>
    <w:rsid w:val="00AA1C10"/>
    <w:rsid w:val="00AA2CC3"/>
    <w:rsid w:val="00AA2DD9"/>
    <w:rsid w:val="00AA4A86"/>
    <w:rsid w:val="00AA6F64"/>
    <w:rsid w:val="00AA7C0C"/>
    <w:rsid w:val="00AB58F5"/>
    <w:rsid w:val="00AB731C"/>
    <w:rsid w:val="00AC4C25"/>
    <w:rsid w:val="00AD14BA"/>
    <w:rsid w:val="00AE1D88"/>
    <w:rsid w:val="00AE21F6"/>
    <w:rsid w:val="00AE478A"/>
    <w:rsid w:val="00AE7FBE"/>
    <w:rsid w:val="00AF0017"/>
    <w:rsid w:val="00AF015A"/>
    <w:rsid w:val="00AF0AD8"/>
    <w:rsid w:val="00AF3D58"/>
    <w:rsid w:val="00AF43E5"/>
    <w:rsid w:val="00AF5C90"/>
    <w:rsid w:val="00B02371"/>
    <w:rsid w:val="00B06D0F"/>
    <w:rsid w:val="00B13BE7"/>
    <w:rsid w:val="00B16B4D"/>
    <w:rsid w:val="00B204D3"/>
    <w:rsid w:val="00B24068"/>
    <w:rsid w:val="00B304B6"/>
    <w:rsid w:val="00B4240A"/>
    <w:rsid w:val="00B46C8C"/>
    <w:rsid w:val="00B47A32"/>
    <w:rsid w:val="00B622E9"/>
    <w:rsid w:val="00B6385D"/>
    <w:rsid w:val="00B65E5A"/>
    <w:rsid w:val="00B674A5"/>
    <w:rsid w:val="00B73F3B"/>
    <w:rsid w:val="00B81257"/>
    <w:rsid w:val="00B82D1C"/>
    <w:rsid w:val="00B85367"/>
    <w:rsid w:val="00B94906"/>
    <w:rsid w:val="00BA0D4B"/>
    <w:rsid w:val="00BA2000"/>
    <w:rsid w:val="00BA2580"/>
    <w:rsid w:val="00BB4D46"/>
    <w:rsid w:val="00BB7620"/>
    <w:rsid w:val="00BC2F59"/>
    <w:rsid w:val="00BC444C"/>
    <w:rsid w:val="00BD4F71"/>
    <w:rsid w:val="00BE240E"/>
    <w:rsid w:val="00BF0AF6"/>
    <w:rsid w:val="00BF0D00"/>
    <w:rsid w:val="00BF11F2"/>
    <w:rsid w:val="00BF2A83"/>
    <w:rsid w:val="00BF3C30"/>
    <w:rsid w:val="00BF69DD"/>
    <w:rsid w:val="00BF6B5D"/>
    <w:rsid w:val="00BF6F63"/>
    <w:rsid w:val="00C056E9"/>
    <w:rsid w:val="00C12195"/>
    <w:rsid w:val="00C159A8"/>
    <w:rsid w:val="00C163D6"/>
    <w:rsid w:val="00C26224"/>
    <w:rsid w:val="00C3148C"/>
    <w:rsid w:val="00C35610"/>
    <w:rsid w:val="00C46635"/>
    <w:rsid w:val="00C47B04"/>
    <w:rsid w:val="00C50211"/>
    <w:rsid w:val="00C51ACD"/>
    <w:rsid w:val="00C52353"/>
    <w:rsid w:val="00C5428B"/>
    <w:rsid w:val="00C64BC6"/>
    <w:rsid w:val="00C64C8F"/>
    <w:rsid w:val="00C71B28"/>
    <w:rsid w:val="00C72663"/>
    <w:rsid w:val="00C76FC3"/>
    <w:rsid w:val="00C817CD"/>
    <w:rsid w:val="00C81D22"/>
    <w:rsid w:val="00C874BA"/>
    <w:rsid w:val="00C91873"/>
    <w:rsid w:val="00CA2E08"/>
    <w:rsid w:val="00CA37DB"/>
    <w:rsid w:val="00CB02E5"/>
    <w:rsid w:val="00CB18C6"/>
    <w:rsid w:val="00CB2A73"/>
    <w:rsid w:val="00CB5031"/>
    <w:rsid w:val="00CC1DD9"/>
    <w:rsid w:val="00CC3D8B"/>
    <w:rsid w:val="00CC59AE"/>
    <w:rsid w:val="00CD1A93"/>
    <w:rsid w:val="00CD716E"/>
    <w:rsid w:val="00CE106E"/>
    <w:rsid w:val="00CF7118"/>
    <w:rsid w:val="00D00CD7"/>
    <w:rsid w:val="00D10185"/>
    <w:rsid w:val="00D16C54"/>
    <w:rsid w:val="00D3740B"/>
    <w:rsid w:val="00D43B54"/>
    <w:rsid w:val="00D54886"/>
    <w:rsid w:val="00D608FC"/>
    <w:rsid w:val="00D67E50"/>
    <w:rsid w:val="00D7690F"/>
    <w:rsid w:val="00D867B8"/>
    <w:rsid w:val="00DA47FA"/>
    <w:rsid w:val="00DA5DC2"/>
    <w:rsid w:val="00DA7309"/>
    <w:rsid w:val="00DB0CC2"/>
    <w:rsid w:val="00DB3E23"/>
    <w:rsid w:val="00DB490F"/>
    <w:rsid w:val="00DC0317"/>
    <w:rsid w:val="00DC66CF"/>
    <w:rsid w:val="00DC69D5"/>
    <w:rsid w:val="00DD4061"/>
    <w:rsid w:val="00DE0158"/>
    <w:rsid w:val="00DE4EB0"/>
    <w:rsid w:val="00E00CEA"/>
    <w:rsid w:val="00E03B79"/>
    <w:rsid w:val="00E153DF"/>
    <w:rsid w:val="00E20109"/>
    <w:rsid w:val="00E21FFB"/>
    <w:rsid w:val="00E22663"/>
    <w:rsid w:val="00E238F8"/>
    <w:rsid w:val="00E34EDD"/>
    <w:rsid w:val="00E44097"/>
    <w:rsid w:val="00E53AA1"/>
    <w:rsid w:val="00E642BF"/>
    <w:rsid w:val="00E70857"/>
    <w:rsid w:val="00E77099"/>
    <w:rsid w:val="00E77215"/>
    <w:rsid w:val="00E85ED2"/>
    <w:rsid w:val="00E91D82"/>
    <w:rsid w:val="00E95BE1"/>
    <w:rsid w:val="00E964CC"/>
    <w:rsid w:val="00EA04CD"/>
    <w:rsid w:val="00EA35C1"/>
    <w:rsid w:val="00EA5F00"/>
    <w:rsid w:val="00EB2974"/>
    <w:rsid w:val="00EB34E8"/>
    <w:rsid w:val="00EC5267"/>
    <w:rsid w:val="00EC7E11"/>
    <w:rsid w:val="00EC7FDD"/>
    <w:rsid w:val="00ED1923"/>
    <w:rsid w:val="00ED3FFC"/>
    <w:rsid w:val="00EE0462"/>
    <w:rsid w:val="00EE1DF4"/>
    <w:rsid w:val="00EE7286"/>
    <w:rsid w:val="00EF0462"/>
    <w:rsid w:val="00EF11BD"/>
    <w:rsid w:val="00EF5087"/>
    <w:rsid w:val="00EF641C"/>
    <w:rsid w:val="00F039B5"/>
    <w:rsid w:val="00F0484A"/>
    <w:rsid w:val="00F05F5A"/>
    <w:rsid w:val="00F066DB"/>
    <w:rsid w:val="00F111B9"/>
    <w:rsid w:val="00F12262"/>
    <w:rsid w:val="00F12448"/>
    <w:rsid w:val="00F17EBA"/>
    <w:rsid w:val="00F21148"/>
    <w:rsid w:val="00F211B0"/>
    <w:rsid w:val="00F22D4F"/>
    <w:rsid w:val="00F2553E"/>
    <w:rsid w:val="00F2688F"/>
    <w:rsid w:val="00F2787D"/>
    <w:rsid w:val="00F34A09"/>
    <w:rsid w:val="00F37ABC"/>
    <w:rsid w:val="00F42A9E"/>
    <w:rsid w:val="00F4355B"/>
    <w:rsid w:val="00F5625B"/>
    <w:rsid w:val="00F6565C"/>
    <w:rsid w:val="00F66728"/>
    <w:rsid w:val="00F66F71"/>
    <w:rsid w:val="00F74B24"/>
    <w:rsid w:val="00F76115"/>
    <w:rsid w:val="00F77598"/>
    <w:rsid w:val="00F832E9"/>
    <w:rsid w:val="00F906FE"/>
    <w:rsid w:val="00F97C55"/>
    <w:rsid w:val="00F97E18"/>
    <w:rsid w:val="00FA1555"/>
    <w:rsid w:val="00FA1840"/>
    <w:rsid w:val="00FA5A35"/>
    <w:rsid w:val="00FA5AB2"/>
    <w:rsid w:val="00FA5F81"/>
    <w:rsid w:val="00FA6F11"/>
    <w:rsid w:val="00FB1425"/>
    <w:rsid w:val="00FB170B"/>
    <w:rsid w:val="00FB38DB"/>
    <w:rsid w:val="00FB4BCA"/>
    <w:rsid w:val="00FB7523"/>
    <w:rsid w:val="00FC77C3"/>
    <w:rsid w:val="00FD5E64"/>
    <w:rsid w:val="00FD7F31"/>
    <w:rsid w:val="00FE4E6E"/>
    <w:rsid w:val="00FE4EF9"/>
    <w:rsid w:val="00FE61E8"/>
    <w:rsid w:val="00FE645B"/>
    <w:rsid w:val="00FF1E44"/>
    <w:rsid w:val="00FF2424"/>
    <w:rsid w:val="00FF5B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B02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B4"/>
    <w:pPr>
      <w:ind w:left="720"/>
      <w:contextualSpacing/>
    </w:pPr>
  </w:style>
  <w:style w:type="character" w:customStyle="1" w:styleId="Heading1Char">
    <w:name w:val="Heading 1 Char"/>
    <w:basedOn w:val="DefaultParagraphFont"/>
    <w:link w:val="Heading1"/>
    <w:uiPriority w:val="9"/>
    <w:rsid w:val="00CB02E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B02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02E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B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B02E5"/>
    <w:pPr>
      <w:spacing w:after="0" w:line="240" w:lineRule="auto"/>
    </w:pPr>
    <w:rPr>
      <w:color w:val="365F91" w:themeColor="accent1" w:themeShade="BF"/>
      <w:sz w:val="28"/>
      <w:szCs w:val="2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0C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2C4"/>
    <w:rPr>
      <w:rFonts w:ascii="Tahoma" w:hAnsi="Tahoma" w:cs="Tahoma"/>
      <w:sz w:val="16"/>
      <w:szCs w:val="16"/>
    </w:rPr>
  </w:style>
  <w:style w:type="character" w:styleId="Hyperlink">
    <w:name w:val="Hyperlink"/>
    <w:basedOn w:val="DefaultParagraphFont"/>
    <w:uiPriority w:val="99"/>
    <w:unhideWhenUsed/>
    <w:rsid w:val="008D0783"/>
    <w:rPr>
      <w:color w:val="0000FF" w:themeColor="hyperlink"/>
      <w:u w:val="single"/>
    </w:rPr>
  </w:style>
  <w:style w:type="paragraph" w:styleId="Header">
    <w:name w:val="header"/>
    <w:basedOn w:val="Normal"/>
    <w:link w:val="HeaderChar"/>
    <w:uiPriority w:val="99"/>
    <w:unhideWhenUsed/>
    <w:rsid w:val="00E440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4097"/>
  </w:style>
  <w:style w:type="paragraph" w:styleId="Footer">
    <w:name w:val="footer"/>
    <w:basedOn w:val="Normal"/>
    <w:link w:val="FooterChar"/>
    <w:uiPriority w:val="99"/>
    <w:unhideWhenUsed/>
    <w:rsid w:val="00E440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4097"/>
  </w:style>
  <w:style w:type="paragraph" w:styleId="Subtitle">
    <w:name w:val="Subtitle"/>
    <w:basedOn w:val="Normal"/>
    <w:next w:val="Normal"/>
    <w:link w:val="SubtitleChar"/>
    <w:uiPriority w:val="11"/>
    <w:qFormat/>
    <w:rsid w:val="009A358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9A3581"/>
    <w:rPr>
      <w:rFonts w:eastAsiaTheme="minorEastAsia"/>
      <w:color w:val="5A5A5A" w:themeColor="text1" w:themeTint="A5"/>
      <w:spacing w:val="15"/>
    </w:rPr>
  </w:style>
  <w:style w:type="paragraph" w:styleId="HTMLPreformatted">
    <w:name w:val="HTML Preformatted"/>
    <w:basedOn w:val="Normal"/>
    <w:link w:val="HTMLPreformattedChar"/>
    <w:uiPriority w:val="99"/>
    <w:semiHidden/>
    <w:unhideWhenUsed/>
    <w:rsid w:val="00604F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4F27"/>
    <w:rPr>
      <w:rFonts w:ascii="Consolas" w:hAnsi="Consolas"/>
      <w:sz w:val="20"/>
      <w:szCs w:val="20"/>
    </w:rPr>
  </w:style>
  <w:style w:type="character" w:customStyle="1" w:styleId="c4z2avtcy">
    <w:name w:val="c4_z2avtcy"/>
    <w:basedOn w:val="DefaultParagraphFont"/>
    <w:rsid w:val="00227000"/>
  </w:style>
  <w:style w:type="paragraph" w:styleId="NoSpacing">
    <w:name w:val="No Spacing"/>
    <w:basedOn w:val="Normal"/>
    <w:link w:val="NoSpacingChar"/>
    <w:qFormat/>
    <w:rsid w:val="003B3D6D"/>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3B3D6D"/>
    <w:rPr>
      <w:rFonts w:ascii="Times New Roman" w:eastAsia="SimSun" w:hAnsi="Times New Roman" w:cs="Times New Roman"/>
      <w:sz w:val="24"/>
      <w:szCs w:val="24"/>
      <w:lang w:eastAsia="zh-CN"/>
    </w:rPr>
  </w:style>
  <w:style w:type="character" w:customStyle="1" w:styleId="msonormal0">
    <w:name w:val="msonormal0"/>
    <w:basedOn w:val="DefaultParagraphFont"/>
    <w:rsid w:val="003B3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B02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B4"/>
    <w:pPr>
      <w:ind w:left="720"/>
      <w:contextualSpacing/>
    </w:pPr>
  </w:style>
  <w:style w:type="character" w:customStyle="1" w:styleId="Heading1Char">
    <w:name w:val="Heading 1 Char"/>
    <w:basedOn w:val="DefaultParagraphFont"/>
    <w:link w:val="Heading1"/>
    <w:uiPriority w:val="9"/>
    <w:rsid w:val="00CB02E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B02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02E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B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B02E5"/>
    <w:pPr>
      <w:spacing w:after="0" w:line="240" w:lineRule="auto"/>
    </w:pPr>
    <w:rPr>
      <w:color w:val="365F91" w:themeColor="accent1" w:themeShade="BF"/>
      <w:sz w:val="28"/>
      <w:szCs w:val="2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0C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2C4"/>
    <w:rPr>
      <w:rFonts w:ascii="Tahoma" w:hAnsi="Tahoma" w:cs="Tahoma"/>
      <w:sz w:val="16"/>
      <w:szCs w:val="16"/>
    </w:rPr>
  </w:style>
  <w:style w:type="character" w:styleId="Hyperlink">
    <w:name w:val="Hyperlink"/>
    <w:basedOn w:val="DefaultParagraphFont"/>
    <w:uiPriority w:val="99"/>
    <w:unhideWhenUsed/>
    <w:rsid w:val="008D0783"/>
    <w:rPr>
      <w:color w:val="0000FF" w:themeColor="hyperlink"/>
      <w:u w:val="single"/>
    </w:rPr>
  </w:style>
  <w:style w:type="paragraph" w:styleId="Header">
    <w:name w:val="header"/>
    <w:basedOn w:val="Normal"/>
    <w:link w:val="HeaderChar"/>
    <w:uiPriority w:val="99"/>
    <w:unhideWhenUsed/>
    <w:rsid w:val="00E440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4097"/>
  </w:style>
  <w:style w:type="paragraph" w:styleId="Footer">
    <w:name w:val="footer"/>
    <w:basedOn w:val="Normal"/>
    <w:link w:val="FooterChar"/>
    <w:uiPriority w:val="99"/>
    <w:unhideWhenUsed/>
    <w:rsid w:val="00E440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4097"/>
  </w:style>
  <w:style w:type="paragraph" w:styleId="Subtitle">
    <w:name w:val="Subtitle"/>
    <w:basedOn w:val="Normal"/>
    <w:next w:val="Normal"/>
    <w:link w:val="SubtitleChar"/>
    <w:uiPriority w:val="11"/>
    <w:qFormat/>
    <w:rsid w:val="009A358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9A3581"/>
    <w:rPr>
      <w:rFonts w:eastAsiaTheme="minorEastAsia"/>
      <w:color w:val="5A5A5A" w:themeColor="text1" w:themeTint="A5"/>
      <w:spacing w:val="15"/>
    </w:rPr>
  </w:style>
  <w:style w:type="paragraph" w:styleId="HTMLPreformatted">
    <w:name w:val="HTML Preformatted"/>
    <w:basedOn w:val="Normal"/>
    <w:link w:val="HTMLPreformattedChar"/>
    <w:uiPriority w:val="99"/>
    <w:semiHidden/>
    <w:unhideWhenUsed/>
    <w:rsid w:val="00604F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4F27"/>
    <w:rPr>
      <w:rFonts w:ascii="Consolas" w:hAnsi="Consolas"/>
      <w:sz w:val="20"/>
      <w:szCs w:val="20"/>
    </w:rPr>
  </w:style>
  <w:style w:type="character" w:customStyle="1" w:styleId="c4z2avtcy">
    <w:name w:val="c4_z2avtcy"/>
    <w:basedOn w:val="DefaultParagraphFont"/>
    <w:rsid w:val="00227000"/>
  </w:style>
  <w:style w:type="paragraph" w:styleId="NoSpacing">
    <w:name w:val="No Spacing"/>
    <w:basedOn w:val="Normal"/>
    <w:link w:val="NoSpacingChar"/>
    <w:qFormat/>
    <w:rsid w:val="003B3D6D"/>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3B3D6D"/>
    <w:rPr>
      <w:rFonts w:ascii="Times New Roman" w:eastAsia="SimSun" w:hAnsi="Times New Roman" w:cs="Times New Roman"/>
      <w:sz w:val="24"/>
      <w:szCs w:val="24"/>
      <w:lang w:eastAsia="zh-CN"/>
    </w:rPr>
  </w:style>
  <w:style w:type="character" w:customStyle="1" w:styleId="msonormal0">
    <w:name w:val="msonormal0"/>
    <w:basedOn w:val="DefaultParagraphFont"/>
    <w:rsid w:val="003B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24">
      <w:bodyDiv w:val="1"/>
      <w:marLeft w:val="0"/>
      <w:marRight w:val="0"/>
      <w:marTop w:val="0"/>
      <w:marBottom w:val="0"/>
      <w:divBdr>
        <w:top w:val="none" w:sz="0" w:space="0" w:color="auto"/>
        <w:left w:val="none" w:sz="0" w:space="0" w:color="auto"/>
        <w:bottom w:val="none" w:sz="0" w:space="0" w:color="auto"/>
        <w:right w:val="none" w:sz="0" w:space="0" w:color="auto"/>
      </w:divBdr>
    </w:div>
    <w:div w:id="68624965">
      <w:bodyDiv w:val="1"/>
      <w:marLeft w:val="0"/>
      <w:marRight w:val="0"/>
      <w:marTop w:val="0"/>
      <w:marBottom w:val="0"/>
      <w:divBdr>
        <w:top w:val="none" w:sz="0" w:space="0" w:color="auto"/>
        <w:left w:val="none" w:sz="0" w:space="0" w:color="auto"/>
        <w:bottom w:val="none" w:sz="0" w:space="0" w:color="auto"/>
        <w:right w:val="none" w:sz="0" w:space="0" w:color="auto"/>
      </w:divBdr>
    </w:div>
    <w:div w:id="151221047">
      <w:bodyDiv w:val="1"/>
      <w:marLeft w:val="0"/>
      <w:marRight w:val="0"/>
      <w:marTop w:val="0"/>
      <w:marBottom w:val="0"/>
      <w:divBdr>
        <w:top w:val="none" w:sz="0" w:space="0" w:color="auto"/>
        <w:left w:val="none" w:sz="0" w:space="0" w:color="auto"/>
        <w:bottom w:val="none" w:sz="0" w:space="0" w:color="auto"/>
        <w:right w:val="none" w:sz="0" w:space="0" w:color="auto"/>
      </w:divBdr>
    </w:div>
    <w:div w:id="377437474">
      <w:bodyDiv w:val="1"/>
      <w:marLeft w:val="0"/>
      <w:marRight w:val="0"/>
      <w:marTop w:val="0"/>
      <w:marBottom w:val="0"/>
      <w:divBdr>
        <w:top w:val="none" w:sz="0" w:space="0" w:color="auto"/>
        <w:left w:val="none" w:sz="0" w:space="0" w:color="auto"/>
        <w:bottom w:val="none" w:sz="0" w:space="0" w:color="auto"/>
        <w:right w:val="none" w:sz="0" w:space="0" w:color="auto"/>
      </w:divBdr>
    </w:div>
    <w:div w:id="580875611">
      <w:bodyDiv w:val="1"/>
      <w:marLeft w:val="0"/>
      <w:marRight w:val="0"/>
      <w:marTop w:val="0"/>
      <w:marBottom w:val="0"/>
      <w:divBdr>
        <w:top w:val="none" w:sz="0" w:space="0" w:color="auto"/>
        <w:left w:val="none" w:sz="0" w:space="0" w:color="auto"/>
        <w:bottom w:val="none" w:sz="0" w:space="0" w:color="auto"/>
        <w:right w:val="none" w:sz="0" w:space="0" w:color="auto"/>
      </w:divBdr>
    </w:div>
    <w:div w:id="861478830">
      <w:bodyDiv w:val="1"/>
      <w:marLeft w:val="0"/>
      <w:marRight w:val="0"/>
      <w:marTop w:val="0"/>
      <w:marBottom w:val="0"/>
      <w:divBdr>
        <w:top w:val="none" w:sz="0" w:space="0" w:color="auto"/>
        <w:left w:val="none" w:sz="0" w:space="0" w:color="auto"/>
        <w:bottom w:val="none" w:sz="0" w:space="0" w:color="auto"/>
        <w:right w:val="none" w:sz="0" w:space="0" w:color="auto"/>
      </w:divBdr>
    </w:div>
    <w:div w:id="883911320">
      <w:bodyDiv w:val="1"/>
      <w:marLeft w:val="0"/>
      <w:marRight w:val="0"/>
      <w:marTop w:val="0"/>
      <w:marBottom w:val="0"/>
      <w:divBdr>
        <w:top w:val="none" w:sz="0" w:space="0" w:color="auto"/>
        <w:left w:val="none" w:sz="0" w:space="0" w:color="auto"/>
        <w:bottom w:val="none" w:sz="0" w:space="0" w:color="auto"/>
        <w:right w:val="none" w:sz="0" w:space="0" w:color="auto"/>
      </w:divBdr>
    </w:div>
    <w:div w:id="972756606">
      <w:bodyDiv w:val="1"/>
      <w:marLeft w:val="0"/>
      <w:marRight w:val="0"/>
      <w:marTop w:val="0"/>
      <w:marBottom w:val="0"/>
      <w:divBdr>
        <w:top w:val="none" w:sz="0" w:space="0" w:color="auto"/>
        <w:left w:val="none" w:sz="0" w:space="0" w:color="auto"/>
        <w:bottom w:val="none" w:sz="0" w:space="0" w:color="auto"/>
        <w:right w:val="none" w:sz="0" w:space="0" w:color="auto"/>
      </w:divBdr>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
    <w:div w:id="1136803361">
      <w:bodyDiv w:val="1"/>
      <w:marLeft w:val="0"/>
      <w:marRight w:val="0"/>
      <w:marTop w:val="0"/>
      <w:marBottom w:val="0"/>
      <w:divBdr>
        <w:top w:val="none" w:sz="0" w:space="0" w:color="auto"/>
        <w:left w:val="none" w:sz="0" w:space="0" w:color="auto"/>
        <w:bottom w:val="none" w:sz="0" w:space="0" w:color="auto"/>
        <w:right w:val="none" w:sz="0" w:space="0" w:color="auto"/>
      </w:divBdr>
    </w:div>
    <w:div w:id="1174537196">
      <w:bodyDiv w:val="1"/>
      <w:marLeft w:val="0"/>
      <w:marRight w:val="0"/>
      <w:marTop w:val="0"/>
      <w:marBottom w:val="0"/>
      <w:divBdr>
        <w:top w:val="none" w:sz="0" w:space="0" w:color="auto"/>
        <w:left w:val="none" w:sz="0" w:space="0" w:color="auto"/>
        <w:bottom w:val="none" w:sz="0" w:space="0" w:color="auto"/>
        <w:right w:val="none" w:sz="0" w:space="0" w:color="auto"/>
      </w:divBdr>
    </w:div>
    <w:div w:id="1230531388">
      <w:bodyDiv w:val="1"/>
      <w:marLeft w:val="0"/>
      <w:marRight w:val="0"/>
      <w:marTop w:val="0"/>
      <w:marBottom w:val="0"/>
      <w:divBdr>
        <w:top w:val="none" w:sz="0" w:space="0" w:color="auto"/>
        <w:left w:val="none" w:sz="0" w:space="0" w:color="auto"/>
        <w:bottom w:val="none" w:sz="0" w:space="0" w:color="auto"/>
        <w:right w:val="none" w:sz="0" w:space="0" w:color="auto"/>
      </w:divBdr>
    </w:div>
    <w:div w:id="1290432236">
      <w:bodyDiv w:val="1"/>
      <w:marLeft w:val="0"/>
      <w:marRight w:val="0"/>
      <w:marTop w:val="0"/>
      <w:marBottom w:val="0"/>
      <w:divBdr>
        <w:top w:val="none" w:sz="0" w:space="0" w:color="auto"/>
        <w:left w:val="none" w:sz="0" w:space="0" w:color="auto"/>
        <w:bottom w:val="none" w:sz="0" w:space="0" w:color="auto"/>
        <w:right w:val="none" w:sz="0" w:space="0" w:color="auto"/>
      </w:divBdr>
    </w:div>
    <w:div w:id="1356923377">
      <w:bodyDiv w:val="1"/>
      <w:marLeft w:val="0"/>
      <w:marRight w:val="0"/>
      <w:marTop w:val="0"/>
      <w:marBottom w:val="0"/>
      <w:divBdr>
        <w:top w:val="none" w:sz="0" w:space="0" w:color="auto"/>
        <w:left w:val="none" w:sz="0" w:space="0" w:color="auto"/>
        <w:bottom w:val="none" w:sz="0" w:space="0" w:color="auto"/>
        <w:right w:val="none" w:sz="0" w:space="0" w:color="auto"/>
      </w:divBdr>
    </w:div>
    <w:div w:id="1372220322">
      <w:bodyDiv w:val="1"/>
      <w:marLeft w:val="0"/>
      <w:marRight w:val="0"/>
      <w:marTop w:val="0"/>
      <w:marBottom w:val="0"/>
      <w:divBdr>
        <w:top w:val="none" w:sz="0" w:space="0" w:color="auto"/>
        <w:left w:val="none" w:sz="0" w:space="0" w:color="auto"/>
        <w:bottom w:val="none" w:sz="0" w:space="0" w:color="auto"/>
        <w:right w:val="none" w:sz="0" w:space="0" w:color="auto"/>
      </w:divBdr>
    </w:div>
    <w:div w:id="1383404119">
      <w:bodyDiv w:val="1"/>
      <w:marLeft w:val="0"/>
      <w:marRight w:val="0"/>
      <w:marTop w:val="0"/>
      <w:marBottom w:val="0"/>
      <w:divBdr>
        <w:top w:val="none" w:sz="0" w:space="0" w:color="auto"/>
        <w:left w:val="none" w:sz="0" w:space="0" w:color="auto"/>
        <w:bottom w:val="none" w:sz="0" w:space="0" w:color="auto"/>
        <w:right w:val="none" w:sz="0" w:space="0" w:color="auto"/>
      </w:divBdr>
    </w:div>
    <w:div w:id="1472670229">
      <w:bodyDiv w:val="1"/>
      <w:marLeft w:val="0"/>
      <w:marRight w:val="0"/>
      <w:marTop w:val="0"/>
      <w:marBottom w:val="0"/>
      <w:divBdr>
        <w:top w:val="none" w:sz="0" w:space="0" w:color="auto"/>
        <w:left w:val="none" w:sz="0" w:space="0" w:color="auto"/>
        <w:bottom w:val="none" w:sz="0" w:space="0" w:color="auto"/>
        <w:right w:val="none" w:sz="0" w:space="0" w:color="auto"/>
      </w:divBdr>
    </w:div>
    <w:div w:id="1976331570">
      <w:bodyDiv w:val="1"/>
      <w:marLeft w:val="0"/>
      <w:marRight w:val="0"/>
      <w:marTop w:val="0"/>
      <w:marBottom w:val="0"/>
      <w:divBdr>
        <w:top w:val="none" w:sz="0" w:space="0" w:color="auto"/>
        <w:left w:val="none" w:sz="0" w:space="0" w:color="auto"/>
        <w:bottom w:val="none" w:sz="0" w:space="0" w:color="auto"/>
        <w:right w:val="none" w:sz="0" w:space="0" w:color="auto"/>
      </w:divBdr>
    </w:div>
    <w:div w:id="20598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80418.14"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cancerbio.net"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omniaabdelfattah@yahoo.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2A7A-0706-47AE-87B3-8CC8D34C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4195</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sico</cp:lastModifiedBy>
  <cp:revision>2</cp:revision>
  <cp:lastPrinted>2019-02-27T06:41:00Z</cp:lastPrinted>
  <dcterms:created xsi:type="dcterms:W3CDTF">2019-02-28T07:54:00Z</dcterms:created>
  <dcterms:modified xsi:type="dcterms:W3CDTF">2019-02-28T07:54:00Z</dcterms:modified>
</cp:coreProperties>
</file>