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36" w:rsidRPr="00CA7FF6" w:rsidRDefault="00E26E04" w:rsidP="00CA7FF6">
      <w:pPr>
        <w:snapToGrid w:val="0"/>
        <w:jc w:val="center"/>
        <w:rPr>
          <w:b/>
          <w:sz w:val="20"/>
          <w:szCs w:val="20"/>
        </w:rPr>
      </w:pPr>
      <w:bookmarkStart w:id="0" w:name="_GoBack"/>
      <w:bookmarkEnd w:id="0"/>
      <w:r w:rsidRPr="00CA7FF6">
        <w:rPr>
          <w:b/>
          <w:sz w:val="20"/>
          <w:szCs w:val="20"/>
        </w:rPr>
        <w:t>Post mastectomy adjuvant radiotherapy in breast Cancer: A comparison of cardiac toxicity in hypo-fractionated and normal fractionation protocols.</w:t>
      </w:r>
    </w:p>
    <w:p w:rsidR="00943136" w:rsidRPr="00CA7FF6" w:rsidRDefault="00943136" w:rsidP="00CA7FF6">
      <w:pPr>
        <w:snapToGrid w:val="0"/>
        <w:jc w:val="center"/>
        <w:rPr>
          <w:b/>
          <w:sz w:val="20"/>
          <w:szCs w:val="20"/>
        </w:rPr>
      </w:pPr>
    </w:p>
    <w:p w:rsidR="00943136" w:rsidRPr="00CA7FF6" w:rsidRDefault="00E26E04" w:rsidP="00CA7FF6">
      <w:pPr>
        <w:snapToGrid w:val="0"/>
        <w:jc w:val="center"/>
        <w:rPr>
          <w:sz w:val="20"/>
          <w:szCs w:val="20"/>
          <w:vertAlign w:val="superscript"/>
          <w:lang w:eastAsia="zh-CN"/>
        </w:rPr>
      </w:pPr>
      <w:r w:rsidRPr="00CA7FF6">
        <w:rPr>
          <w:color w:val="000000"/>
          <w:sz w:val="20"/>
          <w:szCs w:val="20"/>
        </w:rPr>
        <w:t>Hagar A. Al Agizy</w:t>
      </w:r>
      <w:r w:rsidR="00833E3D" w:rsidRPr="00CA7FF6">
        <w:rPr>
          <w:color w:val="000000"/>
          <w:sz w:val="20"/>
          <w:szCs w:val="20"/>
        </w:rPr>
        <w:t xml:space="preserve"> </w:t>
      </w:r>
      <w:r w:rsidRPr="00CA7FF6">
        <w:rPr>
          <w:color w:val="000000"/>
          <w:sz w:val="20"/>
          <w:szCs w:val="20"/>
        </w:rPr>
        <w:t>and Mahmoud A. Elshenawy</w:t>
      </w:r>
      <w:r w:rsidRPr="00CA7FF6">
        <w:rPr>
          <w:sz w:val="20"/>
          <w:szCs w:val="20"/>
          <w:vertAlign w:val="superscript"/>
        </w:rPr>
        <w:t>*</w:t>
      </w:r>
    </w:p>
    <w:p w:rsidR="00943136" w:rsidRPr="00CA7FF6" w:rsidRDefault="00943136" w:rsidP="00CA7FF6">
      <w:pPr>
        <w:snapToGrid w:val="0"/>
        <w:jc w:val="center"/>
        <w:rPr>
          <w:sz w:val="20"/>
          <w:szCs w:val="20"/>
          <w:vertAlign w:val="superscript"/>
          <w:lang w:eastAsia="zh-CN"/>
        </w:rPr>
      </w:pPr>
    </w:p>
    <w:p w:rsidR="004B3F67" w:rsidRPr="00CA7FF6" w:rsidRDefault="00E26E04" w:rsidP="00CA7FF6">
      <w:pPr>
        <w:widowControl w:val="0"/>
        <w:snapToGrid w:val="0"/>
        <w:jc w:val="center"/>
        <w:rPr>
          <w:color w:val="000000"/>
          <w:sz w:val="20"/>
          <w:szCs w:val="20"/>
        </w:rPr>
      </w:pPr>
      <w:r w:rsidRPr="00CA7FF6">
        <w:rPr>
          <w:color w:val="000000"/>
          <w:sz w:val="20"/>
          <w:szCs w:val="20"/>
        </w:rPr>
        <w:t xml:space="preserve">Clinical Oncology </w:t>
      </w:r>
      <w:r w:rsidRPr="00CA7FF6">
        <w:rPr>
          <w:sz w:val="20"/>
          <w:szCs w:val="20"/>
        </w:rPr>
        <w:t xml:space="preserve">and Nuclear Medicine </w:t>
      </w:r>
      <w:r w:rsidRPr="00CA7FF6">
        <w:rPr>
          <w:color w:val="000000"/>
          <w:sz w:val="20"/>
          <w:szCs w:val="20"/>
        </w:rPr>
        <w:t>Department, Faculty of Medicine, Menoufia University, Shebin El Kom 32511, Egypt.</w:t>
      </w:r>
    </w:p>
    <w:p w:rsidR="00943136" w:rsidRPr="00CA7FF6" w:rsidRDefault="00E4333C" w:rsidP="00CA7FF6">
      <w:pPr>
        <w:snapToGrid w:val="0"/>
        <w:jc w:val="center"/>
        <w:rPr>
          <w:color w:val="0000FF"/>
          <w:sz w:val="20"/>
          <w:szCs w:val="20"/>
        </w:rPr>
      </w:pPr>
      <w:hyperlink r:id="rId7">
        <w:r w:rsidR="00C54D55" w:rsidRPr="00CA7FF6">
          <w:rPr>
            <w:color w:val="0000FF"/>
            <w:sz w:val="20"/>
            <w:szCs w:val="20"/>
          </w:rPr>
          <w:t>Mahmoudelshenawy78@gmail.com</w:t>
        </w:r>
      </w:hyperlink>
      <w:r w:rsidR="00C54D55" w:rsidRPr="00CA7FF6">
        <w:rPr>
          <w:sz w:val="20"/>
          <w:szCs w:val="20"/>
        </w:rPr>
        <w:t xml:space="preserve">, </w:t>
      </w:r>
      <w:hyperlink r:id="rId8" w:history="1">
        <w:r w:rsidR="00C54D55" w:rsidRPr="00CA7FF6">
          <w:rPr>
            <w:rStyle w:val="Hyperlink"/>
            <w:sz w:val="20"/>
            <w:szCs w:val="20"/>
            <w:u w:val="none"/>
          </w:rPr>
          <w:t>Mahmoudelshenawy@med.menofia.edu.eg</w:t>
        </w:r>
      </w:hyperlink>
    </w:p>
    <w:p w:rsidR="00943136" w:rsidRPr="00CA7FF6" w:rsidRDefault="00943136" w:rsidP="00CA7FF6">
      <w:pPr>
        <w:snapToGrid w:val="0"/>
        <w:jc w:val="center"/>
        <w:rPr>
          <w:color w:val="0000FF"/>
          <w:sz w:val="20"/>
          <w:szCs w:val="20"/>
        </w:rPr>
      </w:pPr>
    </w:p>
    <w:p w:rsidR="004B3F67" w:rsidRPr="00CA7FF6" w:rsidRDefault="00C54D55" w:rsidP="00CA7FF6">
      <w:pPr>
        <w:snapToGrid w:val="0"/>
        <w:jc w:val="both"/>
        <w:rPr>
          <w:sz w:val="20"/>
          <w:szCs w:val="20"/>
        </w:rPr>
      </w:pPr>
      <w:r w:rsidRPr="00CA7FF6">
        <w:rPr>
          <w:b/>
          <w:sz w:val="20"/>
          <w:szCs w:val="20"/>
        </w:rPr>
        <w:t>Abstract</w:t>
      </w:r>
      <w:r w:rsidR="00E26E04" w:rsidRPr="00CA7FF6">
        <w:rPr>
          <w:b/>
          <w:sz w:val="20"/>
          <w:szCs w:val="20"/>
        </w:rPr>
        <w:t>:</w:t>
      </w:r>
      <w:r w:rsidR="00F64BE6" w:rsidRPr="00CA7FF6">
        <w:rPr>
          <w:b/>
          <w:sz w:val="20"/>
          <w:szCs w:val="20"/>
        </w:rPr>
        <w:t xml:space="preserve"> </w:t>
      </w:r>
      <w:r w:rsidR="00E26E04" w:rsidRPr="00CA7FF6">
        <w:rPr>
          <w:b/>
          <w:sz w:val="20"/>
          <w:szCs w:val="20"/>
        </w:rPr>
        <w:t xml:space="preserve">Background: </w:t>
      </w:r>
      <w:r w:rsidR="00E26E04" w:rsidRPr="00CA7FF6">
        <w:rPr>
          <w:sz w:val="20"/>
          <w:szCs w:val="20"/>
        </w:rPr>
        <w:t>Post mastectomy radiotherapy (PMRT) with hypo-fractionation protocols has been widely used because of less frequent treatment sessions with comparable efficacy to the conventional fractionation protocols. Late PMRT induced toxicities, especially cardiac toxicities, with hypo-fractionation protocols remained under investigation.</w:t>
      </w:r>
      <w:r w:rsidR="009A22B1" w:rsidRPr="00CA7FF6">
        <w:rPr>
          <w:sz w:val="20"/>
          <w:szCs w:val="20"/>
        </w:rPr>
        <w:t xml:space="preserve"> </w:t>
      </w:r>
      <w:r w:rsidR="00E26E04" w:rsidRPr="00CA7FF6">
        <w:rPr>
          <w:sz w:val="20"/>
          <w:szCs w:val="20"/>
        </w:rPr>
        <w:t>Purpose of our study was to compare risk of PMRT induced cardiac toxicities with hypofractionation and conventional fractionation protocols.</w:t>
      </w:r>
      <w:r w:rsidR="00833E3D" w:rsidRPr="00CA7FF6">
        <w:rPr>
          <w:b/>
          <w:sz w:val="20"/>
          <w:szCs w:val="20"/>
        </w:rPr>
        <w:t xml:space="preserve"> </w:t>
      </w:r>
      <w:r w:rsidR="00E26E04" w:rsidRPr="00CA7FF6">
        <w:rPr>
          <w:b/>
          <w:sz w:val="20"/>
          <w:szCs w:val="20"/>
        </w:rPr>
        <w:t>Patients and methods:</w:t>
      </w:r>
      <w:r w:rsidR="00E26E04" w:rsidRPr="00CA7FF6">
        <w:rPr>
          <w:sz w:val="20"/>
          <w:szCs w:val="20"/>
        </w:rPr>
        <w:t xml:space="preserve"> This was a prospective randomized clinical trial done in our department. Between August 2009 and June 2010, breast cancer female patients eligible for PMRT underwent 1:1 randomization into 2 groups; </w:t>
      </w:r>
      <w:r w:rsidR="00E26E04" w:rsidRPr="00CA7FF6">
        <w:rPr>
          <w:b/>
          <w:sz w:val="20"/>
          <w:szCs w:val="20"/>
        </w:rPr>
        <w:t>group A:</w:t>
      </w:r>
      <w:r w:rsidR="00E26E04" w:rsidRPr="00CA7FF6">
        <w:rPr>
          <w:sz w:val="20"/>
          <w:szCs w:val="20"/>
        </w:rPr>
        <w:t xml:space="preserve"> conventional fractionation (50 Gy/25fractions/5weeks;</w:t>
      </w:r>
      <w:r w:rsidR="00F64BE6" w:rsidRPr="00CA7FF6">
        <w:rPr>
          <w:sz w:val="20"/>
          <w:szCs w:val="20"/>
        </w:rPr>
        <w:t xml:space="preserve"> </w:t>
      </w:r>
      <w:r w:rsidR="00E26E04" w:rsidRPr="00CA7FF6">
        <w:rPr>
          <w:sz w:val="20"/>
          <w:szCs w:val="20"/>
        </w:rPr>
        <w:t xml:space="preserve">2Gy/fraction). </w:t>
      </w:r>
      <w:r w:rsidRPr="00CA7FF6">
        <w:rPr>
          <w:b/>
          <w:sz w:val="20"/>
          <w:szCs w:val="20"/>
        </w:rPr>
        <w:t>Group</w:t>
      </w:r>
      <w:r w:rsidR="00E26E04" w:rsidRPr="00CA7FF6">
        <w:rPr>
          <w:b/>
          <w:sz w:val="20"/>
          <w:szCs w:val="20"/>
        </w:rPr>
        <w:t xml:space="preserve"> B: </w:t>
      </w:r>
      <w:r w:rsidR="00E26E04" w:rsidRPr="00CA7FF6">
        <w:rPr>
          <w:sz w:val="20"/>
          <w:szCs w:val="20"/>
        </w:rPr>
        <w:t xml:space="preserve">Hypofractionation (40Gy/15 fractions/3 weeks; 2.67Gy/fraction). </w:t>
      </w:r>
    </w:p>
    <w:p w:rsidR="004B3F67" w:rsidRPr="00CA7FF6" w:rsidRDefault="00E26E04" w:rsidP="00CA7FF6">
      <w:pPr>
        <w:snapToGrid w:val="0"/>
        <w:ind w:firstLine="425"/>
        <w:jc w:val="both"/>
        <w:rPr>
          <w:sz w:val="20"/>
          <w:szCs w:val="20"/>
        </w:rPr>
      </w:pPr>
      <w:r w:rsidRPr="00CA7FF6">
        <w:rPr>
          <w:sz w:val="20"/>
          <w:szCs w:val="20"/>
        </w:rPr>
        <w:t xml:space="preserve">Echocardiography (ECHO) and Electrocardiography (ECG) were performed at base line before chemotherapy, at start of radiotherapy, after 6 months, then annually. </w:t>
      </w:r>
      <w:r w:rsidRPr="00CA7FF6">
        <w:rPr>
          <w:b/>
          <w:sz w:val="20"/>
          <w:szCs w:val="20"/>
        </w:rPr>
        <w:t>Results:</w:t>
      </w:r>
      <w:r w:rsidRPr="00CA7FF6">
        <w:rPr>
          <w:sz w:val="20"/>
          <w:szCs w:val="20"/>
        </w:rPr>
        <w:t xml:space="preserve"> At a median follow up duration of 60 months (range 25- 70),120 patients were randomized equally in both groups A</w:t>
      </w:r>
      <w:r w:rsidR="00943136" w:rsidRPr="00CA7FF6">
        <w:rPr>
          <w:sz w:val="20"/>
          <w:szCs w:val="20"/>
        </w:rPr>
        <w:t xml:space="preserve"> &amp; </w:t>
      </w:r>
      <w:r w:rsidRPr="00CA7FF6">
        <w:rPr>
          <w:sz w:val="20"/>
          <w:szCs w:val="20"/>
        </w:rPr>
        <w:t>B. Median age was 47 years in both groups [ranges (23-70)</w:t>
      </w:r>
      <w:r w:rsidR="00943136" w:rsidRPr="00CA7FF6">
        <w:rPr>
          <w:sz w:val="20"/>
          <w:szCs w:val="20"/>
        </w:rPr>
        <w:t xml:space="preserve"> &amp; </w:t>
      </w:r>
      <w:r w:rsidRPr="00CA7FF6">
        <w:rPr>
          <w:sz w:val="20"/>
          <w:szCs w:val="20"/>
        </w:rPr>
        <w:t>(25-68) in groups A</w:t>
      </w:r>
      <w:r w:rsidR="00943136" w:rsidRPr="00CA7FF6">
        <w:rPr>
          <w:sz w:val="20"/>
          <w:szCs w:val="20"/>
        </w:rPr>
        <w:t xml:space="preserve"> &amp; </w:t>
      </w:r>
      <w:r w:rsidRPr="00CA7FF6">
        <w:rPr>
          <w:sz w:val="20"/>
          <w:szCs w:val="20"/>
        </w:rPr>
        <w:t>B respectively]. No significant statistical difference was found between both groups regarding hypertension (25% vs 21.7% group A</w:t>
      </w:r>
      <w:r w:rsidR="00943136" w:rsidRPr="00CA7FF6">
        <w:rPr>
          <w:sz w:val="20"/>
          <w:szCs w:val="20"/>
        </w:rPr>
        <w:t xml:space="preserve"> &amp; </w:t>
      </w:r>
      <w:r w:rsidRPr="00CA7FF6">
        <w:rPr>
          <w:sz w:val="20"/>
          <w:szCs w:val="20"/>
        </w:rPr>
        <w:t>B respectively).</w:t>
      </w:r>
      <w:r w:rsidR="009A22B1" w:rsidRPr="00CA7FF6">
        <w:rPr>
          <w:sz w:val="20"/>
          <w:szCs w:val="20"/>
        </w:rPr>
        <w:t xml:space="preserve"> </w:t>
      </w:r>
      <w:r w:rsidRPr="00CA7FF6">
        <w:rPr>
          <w:sz w:val="20"/>
          <w:szCs w:val="20"/>
        </w:rPr>
        <w:t>Also, no difference was found between both groups regarding base line and follow up ECHO</w:t>
      </w:r>
      <w:r w:rsidR="00943136" w:rsidRPr="00CA7FF6">
        <w:rPr>
          <w:sz w:val="20"/>
          <w:szCs w:val="20"/>
        </w:rPr>
        <w:t xml:space="preserve"> &amp; </w:t>
      </w:r>
      <w:r w:rsidRPr="00CA7FF6">
        <w:rPr>
          <w:sz w:val="20"/>
          <w:szCs w:val="20"/>
        </w:rPr>
        <w:t xml:space="preserve">ECG. Patients with left sided breast cancer and/or hypertension showed significant decline in ejection fraction (EF) in both groups (p &lt;0.05). In </w:t>
      </w:r>
      <w:r w:rsidRPr="00CA7FF6">
        <w:rPr>
          <w:b/>
          <w:sz w:val="20"/>
          <w:szCs w:val="20"/>
        </w:rPr>
        <w:t>group A;</w:t>
      </w:r>
      <w:r w:rsidRPr="00CA7FF6">
        <w:rPr>
          <w:sz w:val="20"/>
          <w:szCs w:val="20"/>
        </w:rPr>
        <w:t xml:space="preserve"> hypertensive patients had a median base line EF 63% which declined to 54% at last follow up in comparison to non-hypertensive patients who had decline in baseline EF from 65% to 60%. In </w:t>
      </w:r>
      <w:r w:rsidRPr="00CA7FF6">
        <w:rPr>
          <w:b/>
          <w:sz w:val="20"/>
          <w:szCs w:val="20"/>
        </w:rPr>
        <w:t>group B</w:t>
      </w:r>
      <w:r w:rsidRPr="00CA7FF6">
        <w:rPr>
          <w:sz w:val="20"/>
          <w:szCs w:val="20"/>
        </w:rPr>
        <w:t>; hypertensive patients had a median baseline EF 62% which declined to 54 % at last follow up in comparison to non-hypertensive patients who had decline in baseline EF from 64% to 59%. Only 1 recorded death due to heart failure however, she was 70 years old and had history of hypertension and diabetes mellitus.</w:t>
      </w:r>
      <w:r w:rsidR="00732435" w:rsidRPr="00CA7FF6">
        <w:rPr>
          <w:rFonts w:hint="eastAsia"/>
          <w:sz w:val="20"/>
          <w:szCs w:val="20"/>
          <w:lang w:eastAsia="zh-CN"/>
        </w:rPr>
        <w:t xml:space="preserve"> </w:t>
      </w:r>
      <w:r w:rsidRPr="00CA7FF6">
        <w:rPr>
          <w:b/>
          <w:sz w:val="20"/>
          <w:szCs w:val="20"/>
        </w:rPr>
        <w:t>Conclusion:</w:t>
      </w:r>
      <w:r w:rsidRPr="00CA7FF6">
        <w:rPr>
          <w:sz w:val="20"/>
          <w:szCs w:val="20"/>
        </w:rPr>
        <w:t xml:space="preserve"> PMRT with hypofractionation protocols has no additional cardiac toxicity in comparison to conventional fractionation.</w:t>
      </w:r>
    </w:p>
    <w:p w:rsidR="00CA7FF6" w:rsidRPr="00CA7FF6" w:rsidRDefault="00CA7FF6" w:rsidP="00CA7FF6">
      <w:pPr>
        <w:snapToGrid w:val="0"/>
        <w:jc w:val="both"/>
        <w:rPr>
          <w:b/>
          <w:sz w:val="20"/>
          <w:szCs w:val="20"/>
        </w:rPr>
      </w:pPr>
      <w:r w:rsidRPr="00CA7FF6">
        <w:rPr>
          <w:rFonts w:hint="eastAsia"/>
          <w:b/>
          <w:sz w:val="20"/>
          <w:szCs w:val="20"/>
          <w:lang w:val="en-GB"/>
        </w:rPr>
        <w:t>[</w:t>
      </w:r>
      <w:r w:rsidRPr="00CA7FF6">
        <w:rPr>
          <w:color w:val="000000"/>
          <w:sz w:val="20"/>
          <w:szCs w:val="20"/>
        </w:rPr>
        <w:t xml:space="preserve">Hagar A. Al Agizy </w:t>
      </w:r>
      <w:r>
        <w:rPr>
          <w:color w:val="000000"/>
          <w:sz w:val="20"/>
          <w:szCs w:val="20"/>
        </w:rPr>
        <w:t>and Mahmoud A. Elshenaw</w:t>
      </w:r>
      <w:r w:rsidRPr="00CA7FF6">
        <w:rPr>
          <w:sz w:val="20"/>
          <w:szCs w:val="20"/>
        </w:rPr>
        <w:t xml:space="preserve">. </w:t>
      </w:r>
      <w:r w:rsidRPr="00CA7FF6">
        <w:rPr>
          <w:b/>
          <w:sz w:val="20"/>
          <w:szCs w:val="20"/>
        </w:rPr>
        <w:t>Post mastectomy adjuvant radiotherapy in breast Cancer: A comparison of cardiac toxicity in hypo-fractionated and normal fractionation protocols</w:t>
      </w:r>
      <w:r>
        <w:rPr>
          <w:rFonts w:hint="eastAsia"/>
          <w:b/>
          <w:sz w:val="20"/>
          <w:szCs w:val="20"/>
          <w:lang w:eastAsia="zh-CN"/>
        </w:rPr>
        <w:t>.</w:t>
      </w:r>
      <w:r w:rsidRPr="00CA7FF6">
        <w:rPr>
          <w:i/>
          <w:sz w:val="20"/>
          <w:szCs w:val="20"/>
        </w:rPr>
        <w:t xml:space="preserve"> Cancer Biology</w:t>
      </w:r>
      <w:r w:rsidRPr="00CA7FF6">
        <w:rPr>
          <w:sz w:val="20"/>
          <w:szCs w:val="20"/>
        </w:rPr>
        <w:t xml:space="preserve"> 201</w:t>
      </w:r>
      <w:r w:rsidRPr="00CA7FF6">
        <w:rPr>
          <w:rFonts w:hint="eastAsia"/>
          <w:sz w:val="20"/>
          <w:szCs w:val="20"/>
        </w:rPr>
        <w:t>9</w:t>
      </w:r>
      <w:r w:rsidRPr="00CA7FF6">
        <w:rPr>
          <w:sz w:val="20"/>
          <w:szCs w:val="20"/>
        </w:rPr>
        <w:t>;</w:t>
      </w:r>
      <w:r w:rsidRPr="00CA7FF6">
        <w:rPr>
          <w:rFonts w:hint="eastAsia"/>
          <w:sz w:val="20"/>
          <w:szCs w:val="20"/>
        </w:rPr>
        <w:t>9</w:t>
      </w:r>
      <w:r w:rsidRPr="00CA7FF6">
        <w:rPr>
          <w:sz w:val="20"/>
          <w:szCs w:val="20"/>
        </w:rPr>
        <w:t>(</w:t>
      </w:r>
      <w:r w:rsidRPr="00CA7FF6">
        <w:rPr>
          <w:rFonts w:hint="eastAsia"/>
          <w:sz w:val="20"/>
          <w:szCs w:val="20"/>
        </w:rPr>
        <w:t>1</w:t>
      </w:r>
      <w:r w:rsidRPr="00CA7FF6">
        <w:rPr>
          <w:sz w:val="20"/>
          <w:szCs w:val="20"/>
        </w:rPr>
        <w:t>):</w:t>
      </w:r>
      <w:r w:rsidR="00B34C49">
        <w:rPr>
          <w:noProof/>
          <w:color w:val="000000"/>
          <w:sz w:val="20"/>
          <w:szCs w:val="20"/>
        </w:rPr>
        <w:t>38-42</w:t>
      </w:r>
      <w:r w:rsidRPr="00CA7FF6">
        <w:rPr>
          <w:sz w:val="20"/>
          <w:szCs w:val="20"/>
        </w:rPr>
        <w:t xml:space="preserve">]. </w:t>
      </w:r>
      <w:r w:rsidRPr="00CA7FF6">
        <w:rPr>
          <w:rStyle w:val="msonormal0"/>
          <w:rFonts w:eastAsia="宋"/>
          <w:sz w:val="20"/>
          <w:szCs w:val="20"/>
        </w:rPr>
        <w:t>ISSN: 2150-1041 (print); ISSN: 2150-105X (online)</w:t>
      </w:r>
      <w:r w:rsidRPr="00CA7FF6">
        <w:rPr>
          <w:sz w:val="20"/>
          <w:szCs w:val="20"/>
        </w:rPr>
        <w:t xml:space="preserve">. </w:t>
      </w:r>
      <w:hyperlink r:id="rId9" w:history="1">
        <w:r w:rsidRPr="00CA7FF6">
          <w:rPr>
            <w:rStyle w:val="Hyperlink"/>
            <w:sz w:val="20"/>
            <w:szCs w:val="20"/>
          </w:rPr>
          <w:t>http://www.cancerbio.net</w:t>
        </w:r>
      </w:hyperlink>
      <w:r w:rsidRPr="00CA7FF6">
        <w:rPr>
          <w:sz w:val="20"/>
          <w:szCs w:val="20"/>
        </w:rPr>
        <w:t>.</w:t>
      </w:r>
      <w:r w:rsidRPr="00CA7FF6">
        <w:rPr>
          <w:rFonts w:hint="eastAsia"/>
          <w:sz w:val="20"/>
          <w:szCs w:val="20"/>
        </w:rPr>
        <w:t xml:space="preserve"> </w:t>
      </w:r>
      <w:r>
        <w:rPr>
          <w:rFonts w:hint="eastAsia"/>
          <w:sz w:val="20"/>
          <w:szCs w:val="20"/>
          <w:lang w:eastAsia="zh-CN"/>
        </w:rPr>
        <w:t>5</w:t>
      </w:r>
      <w:r w:rsidRPr="00CA7FF6">
        <w:rPr>
          <w:rFonts w:hint="eastAsia"/>
          <w:sz w:val="20"/>
          <w:szCs w:val="20"/>
        </w:rPr>
        <w:t xml:space="preserve">. </w:t>
      </w:r>
      <w:r w:rsidRPr="00CA7FF6">
        <w:rPr>
          <w:color w:val="000000"/>
          <w:sz w:val="20"/>
          <w:szCs w:val="20"/>
          <w:shd w:val="clear" w:color="auto" w:fill="FFFFFF"/>
        </w:rPr>
        <w:t>doi:</w:t>
      </w:r>
      <w:hyperlink r:id="rId10" w:history="1">
        <w:r w:rsidRPr="00CA7FF6">
          <w:rPr>
            <w:rStyle w:val="Hyperlink"/>
            <w:sz w:val="20"/>
            <w:szCs w:val="20"/>
            <w:shd w:val="clear" w:color="auto" w:fill="FFFFFF"/>
          </w:rPr>
          <w:t>10.7537/mars</w:t>
        </w:r>
        <w:r w:rsidRPr="00CA7FF6">
          <w:rPr>
            <w:rStyle w:val="Hyperlink"/>
            <w:rFonts w:hint="eastAsia"/>
            <w:sz w:val="20"/>
            <w:szCs w:val="20"/>
            <w:shd w:val="clear" w:color="auto" w:fill="FFFFFF"/>
          </w:rPr>
          <w:t>cbj0901</w:t>
        </w:r>
        <w:r w:rsidRPr="00CA7FF6">
          <w:rPr>
            <w:rStyle w:val="Hyperlink"/>
            <w:sz w:val="20"/>
            <w:szCs w:val="20"/>
            <w:shd w:val="clear" w:color="auto" w:fill="FFFFFF"/>
          </w:rPr>
          <w:t>1</w:t>
        </w:r>
        <w:r w:rsidRPr="00CA7FF6">
          <w:rPr>
            <w:rStyle w:val="Hyperlink"/>
            <w:rFonts w:hint="eastAsia"/>
            <w:sz w:val="20"/>
            <w:szCs w:val="20"/>
            <w:shd w:val="clear" w:color="auto" w:fill="FFFFFF"/>
          </w:rPr>
          <w:t>9.</w:t>
        </w:r>
        <w:r w:rsidRPr="00CA7FF6">
          <w:rPr>
            <w:rStyle w:val="Hyperlink"/>
            <w:sz w:val="20"/>
            <w:szCs w:val="20"/>
            <w:shd w:val="clear" w:color="auto" w:fill="FFFFFF"/>
          </w:rPr>
          <w:t>0</w:t>
        </w:r>
        <w:r>
          <w:rPr>
            <w:rStyle w:val="Hyperlink"/>
            <w:rFonts w:hint="eastAsia"/>
            <w:sz w:val="20"/>
            <w:szCs w:val="20"/>
            <w:shd w:val="clear" w:color="auto" w:fill="FFFFFF"/>
            <w:lang w:eastAsia="zh-CN"/>
          </w:rPr>
          <w:t>5</w:t>
        </w:r>
      </w:hyperlink>
      <w:r w:rsidRPr="00CA7FF6">
        <w:rPr>
          <w:color w:val="000000"/>
          <w:sz w:val="20"/>
          <w:szCs w:val="20"/>
          <w:shd w:val="clear" w:color="auto" w:fill="FFFFFF"/>
        </w:rPr>
        <w:t>.</w:t>
      </w:r>
    </w:p>
    <w:p w:rsidR="00C54D55" w:rsidRPr="00943136" w:rsidRDefault="00C54D55" w:rsidP="00CA7FF6">
      <w:pPr>
        <w:snapToGrid w:val="0"/>
        <w:jc w:val="both"/>
        <w:rPr>
          <w:b/>
          <w:sz w:val="20"/>
          <w:szCs w:val="20"/>
        </w:rPr>
      </w:pPr>
    </w:p>
    <w:p w:rsidR="004B3F67" w:rsidRPr="00943136" w:rsidRDefault="00E26E04" w:rsidP="00CA7FF6">
      <w:pPr>
        <w:snapToGrid w:val="0"/>
        <w:jc w:val="both"/>
        <w:rPr>
          <w:sz w:val="20"/>
          <w:szCs w:val="20"/>
        </w:rPr>
      </w:pPr>
      <w:r w:rsidRPr="00943136">
        <w:rPr>
          <w:b/>
          <w:sz w:val="20"/>
          <w:szCs w:val="20"/>
        </w:rPr>
        <w:t>Keywords:</w:t>
      </w:r>
      <w:r w:rsidRPr="00943136">
        <w:rPr>
          <w:sz w:val="20"/>
          <w:szCs w:val="20"/>
        </w:rPr>
        <w:t xml:space="preserve"> breast cancer, hypofractioned radiotherapy, cardiac toxicity.</w:t>
      </w:r>
    </w:p>
    <w:p w:rsidR="004B3F67" w:rsidRPr="00943136" w:rsidRDefault="004B3F67" w:rsidP="00CA7FF6">
      <w:pPr>
        <w:snapToGrid w:val="0"/>
        <w:jc w:val="both"/>
        <w:rPr>
          <w:b/>
          <w:sz w:val="20"/>
          <w:szCs w:val="20"/>
        </w:rPr>
      </w:pPr>
    </w:p>
    <w:p w:rsidR="00CA7FF6" w:rsidRDefault="00CA7FF6" w:rsidP="00CA7FF6">
      <w:pPr>
        <w:snapToGrid w:val="0"/>
        <w:jc w:val="both"/>
        <w:rPr>
          <w:b/>
          <w:sz w:val="20"/>
          <w:szCs w:val="20"/>
        </w:rPr>
        <w:sectPr w:rsidR="00CA7FF6" w:rsidSect="00B34C49">
          <w:headerReference w:type="default" r:id="rId11"/>
          <w:footerReference w:type="even" r:id="rId12"/>
          <w:footerReference w:type="default" r:id="rId13"/>
          <w:type w:val="continuous"/>
          <w:pgSz w:w="12240" w:h="15840" w:code="1"/>
          <w:pgMar w:top="1440" w:right="1440" w:bottom="1440" w:left="1440" w:header="720" w:footer="720" w:gutter="0"/>
          <w:pgNumType w:start="38"/>
          <w:cols w:space="720"/>
          <w:docGrid w:linePitch="326"/>
        </w:sectPr>
      </w:pPr>
    </w:p>
    <w:p w:rsidR="004B3F67" w:rsidRPr="00943136" w:rsidRDefault="00C54D55" w:rsidP="00CA7FF6">
      <w:pPr>
        <w:snapToGrid w:val="0"/>
        <w:jc w:val="both"/>
        <w:rPr>
          <w:b/>
          <w:sz w:val="20"/>
          <w:szCs w:val="20"/>
        </w:rPr>
      </w:pPr>
      <w:r w:rsidRPr="00943136">
        <w:rPr>
          <w:b/>
          <w:sz w:val="20"/>
          <w:szCs w:val="20"/>
        </w:rPr>
        <w:lastRenderedPageBreak/>
        <w:t>1. Introduction:</w:t>
      </w:r>
    </w:p>
    <w:p w:rsidR="004B3F67" w:rsidRPr="00943136" w:rsidRDefault="00E26E04" w:rsidP="00CA7FF6">
      <w:pPr>
        <w:snapToGrid w:val="0"/>
        <w:ind w:firstLine="425"/>
        <w:jc w:val="both"/>
        <w:rPr>
          <w:sz w:val="20"/>
          <w:szCs w:val="20"/>
        </w:rPr>
      </w:pPr>
      <w:r w:rsidRPr="00943136">
        <w:rPr>
          <w:sz w:val="20"/>
          <w:szCs w:val="20"/>
        </w:rPr>
        <w:t xml:space="preserve">The main concern of PMRT in breast cancer is late toxicities especially cardiac toxicities that might occur up to 15 years or more after finishing treatment, especially in women with a long-life expectancy and an unhealthy lifestyle (1). </w:t>
      </w:r>
    </w:p>
    <w:p w:rsidR="004B3F67" w:rsidRPr="00943136" w:rsidRDefault="00E26E04" w:rsidP="00CA7FF6">
      <w:pPr>
        <w:snapToGrid w:val="0"/>
        <w:ind w:firstLine="425"/>
        <w:jc w:val="both"/>
        <w:rPr>
          <w:sz w:val="20"/>
          <w:szCs w:val="20"/>
        </w:rPr>
      </w:pPr>
      <w:r w:rsidRPr="00943136">
        <w:rPr>
          <w:sz w:val="20"/>
          <w:szCs w:val="20"/>
        </w:rPr>
        <w:t>Patients with left sided breast cancer who received anthracycline based chemotherapy in the neoadjuvant or adjuvant setting are at higher risk of late life-threatening cardiac toxicities occurring 10 to 15 years after end of PMRT (2).</w:t>
      </w:r>
    </w:p>
    <w:p w:rsidR="004B3F67" w:rsidRPr="00943136" w:rsidRDefault="00E26E04" w:rsidP="00CA7FF6">
      <w:pPr>
        <w:snapToGrid w:val="0"/>
        <w:ind w:firstLine="425"/>
        <w:jc w:val="both"/>
        <w:rPr>
          <w:b/>
          <w:sz w:val="20"/>
          <w:szCs w:val="20"/>
        </w:rPr>
      </w:pPr>
      <w:r w:rsidRPr="00943136">
        <w:rPr>
          <w:sz w:val="20"/>
          <w:szCs w:val="20"/>
        </w:rPr>
        <w:t>Data supporting the use of PMRT with hypofractionation protocols are based mainly on results of 6 randomized clinical trials (RCTs) comparing hypofractionated to conventionally fractionated protocols; START A, START B, Spooner 2012, UK FAST</w:t>
      </w:r>
      <w:r w:rsidR="009A22B1" w:rsidRPr="00943136">
        <w:rPr>
          <w:sz w:val="20"/>
          <w:szCs w:val="20"/>
        </w:rPr>
        <w:t>,</w:t>
      </w:r>
      <w:r w:rsidRPr="00943136">
        <w:rPr>
          <w:sz w:val="20"/>
          <w:szCs w:val="20"/>
        </w:rPr>
        <w:t xml:space="preserve"> Canadian</w:t>
      </w:r>
      <w:r w:rsidR="009A22B1" w:rsidRPr="00943136">
        <w:rPr>
          <w:sz w:val="20"/>
          <w:szCs w:val="20"/>
        </w:rPr>
        <w:t xml:space="preserve"> </w:t>
      </w:r>
      <w:r w:rsidRPr="00943136">
        <w:rPr>
          <w:sz w:val="20"/>
          <w:szCs w:val="20"/>
        </w:rPr>
        <w:t>and RMH/GOC trials (3–6).</w:t>
      </w:r>
    </w:p>
    <w:p w:rsidR="004B3F67" w:rsidRPr="00943136" w:rsidRDefault="00E26E04" w:rsidP="00CA7FF6">
      <w:pPr>
        <w:snapToGrid w:val="0"/>
        <w:ind w:firstLine="425"/>
        <w:jc w:val="both"/>
        <w:rPr>
          <w:sz w:val="20"/>
          <w:szCs w:val="20"/>
        </w:rPr>
      </w:pPr>
      <w:r w:rsidRPr="00943136">
        <w:rPr>
          <w:sz w:val="20"/>
          <w:szCs w:val="20"/>
        </w:rPr>
        <w:lastRenderedPageBreak/>
        <w:t>After follow up duration of 15 years, there was no significant difference in incidence of cardiac toxicities between hypofractionation and conventional fractionation protocols in 5,334 patients with left-sided early breast cancer who received adjuvant breast or chest wall irradiation (7).</w:t>
      </w:r>
    </w:p>
    <w:p w:rsidR="004B3F67" w:rsidRPr="00943136" w:rsidRDefault="00E26E04" w:rsidP="00CA7FF6">
      <w:pPr>
        <w:snapToGrid w:val="0"/>
        <w:ind w:firstLine="425"/>
        <w:jc w:val="both"/>
        <w:rPr>
          <w:sz w:val="20"/>
          <w:szCs w:val="20"/>
        </w:rPr>
      </w:pPr>
      <w:r w:rsidRPr="00943136">
        <w:rPr>
          <w:sz w:val="20"/>
          <w:szCs w:val="20"/>
        </w:rPr>
        <w:t xml:space="preserve">The increasing use of modern radiotherapy techniques nowadays had led to increase safety of PMRT with </w:t>
      </w:r>
      <w:r w:rsidR="00C54D55" w:rsidRPr="00943136">
        <w:rPr>
          <w:sz w:val="20"/>
          <w:szCs w:val="20"/>
        </w:rPr>
        <w:t>fewer incidences</w:t>
      </w:r>
      <w:r w:rsidRPr="00943136">
        <w:rPr>
          <w:sz w:val="20"/>
          <w:szCs w:val="20"/>
        </w:rPr>
        <w:t xml:space="preserve"> of cardiac toxicities (1).</w:t>
      </w:r>
    </w:p>
    <w:p w:rsidR="004B3F67" w:rsidRPr="00943136" w:rsidRDefault="00E26E04" w:rsidP="00CA7FF6">
      <w:pPr>
        <w:snapToGrid w:val="0"/>
        <w:ind w:firstLine="425"/>
        <w:jc w:val="both"/>
        <w:rPr>
          <w:sz w:val="20"/>
          <w:szCs w:val="20"/>
        </w:rPr>
      </w:pPr>
      <w:r w:rsidRPr="00943136">
        <w:rPr>
          <w:sz w:val="20"/>
          <w:szCs w:val="20"/>
        </w:rPr>
        <w:t>The aim of this study was to compare the risk of PMRT induced cardiotoxicity with conventional and hypofractionation protocols.</w:t>
      </w:r>
    </w:p>
    <w:p w:rsidR="004B3F67" w:rsidRPr="00943136" w:rsidRDefault="004B3F67" w:rsidP="00CA7FF6">
      <w:pPr>
        <w:snapToGrid w:val="0"/>
        <w:ind w:firstLine="425"/>
        <w:jc w:val="both"/>
        <w:rPr>
          <w:sz w:val="20"/>
          <w:szCs w:val="20"/>
        </w:rPr>
      </w:pPr>
    </w:p>
    <w:p w:rsidR="004B3F67" w:rsidRPr="00943136" w:rsidRDefault="00C54D55" w:rsidP="00CA7FF6">
      <w:pPr>
        <w:snapToGrid w:val="0"/>
        <w:jc w:val="both"/>
        <w:rPr>
          <w:b/>
          <w:sz w:val="20"/>
          <w:szCs w:val="20"/>
        </w:rPr>
      </w:pPr>
      <w:r w:rsidRPr="00943136">
        <w:rPr>
          <w:b/>
          <w:sz w:val="20"/>
          <w:szCs w:val="20"/>
        </w:rPr>
        <w:t>2. Patient and Methods:</w:t>
      </w:r>
    </w:p>
    <w:p w:rsidR="004B3F67" w:rsidRPr="00943136" w:rsidRDefault="00E26E04" w:rsidP="00CA7FF6">
      <w:pPr>
        <w:snapToGrid w:val="0"/>
        <w:jc w:val="both"/>
        <w:rPr>
          <w:b/>
          <w:bCs/>
          <w:iCs/>
          <w:sz w:val="20"/>
          <w:szCs w:val="20"/>
        </w:rPr>
      </w:pPr>
      <w:r w:rsidRPr="00943136">
        <w:rPr>
          <w:b/>
          <w:bCs/>
          <w:iCs/>
          <w:sz w:val="20"/>
          <w:szCs w:val="20"/>
        </w:rPr>
        <w:t>Patients:</w:t>
      </w:r>
    </w:p>
    <w:p w:rsidR="004B3F67" w:rsidRPr="00943136" w:rsidRDefault="00E26E04" w:rsidP="00CA7FF6">
      <w:pPr>
        <w:snapToGrid w:val="0"/>
        <w:ind w:firstLine="425"/>
        <w:jc w:val="both"/>
        <w:rPr>
          <w:sz w:val="20"/>
          <w:szCs w:val="20"/>
        </w:rPr>
      </w:pPr>
      <w:r w:rsidRPr="00943136">
        <w:rPr>
          <w:sz w:val="20"/>
          <w:szCs w:val="20"/>
        </w:rPr>
        <w:t xml:space="preserve">Eligible patients were females between 18 and 75 years old. All have pathologically confirmed breast cancer (T2, T3 or T4 primary lesion and N1, N2, N3, Nx, N0 nodal status) and underwent modified radical </w:t>
      </w:r>
      <w:r w:rsidRPr="00943136">
        <w:rPr>
          <w:sz w:val="20"/>
          <w:szCs w:val="20"/>
        </w:rPr>
        <w:lastRenderedPageBreak/>
        <w:t>mastectomy (MRM). All the patients had complete metastatic work up including chest X-ray, abdominal ultrasound or computed tomography (CT) of chest, abdomen and pelvis if indicated and isotope bone scan. Patients with radiological evidence of metastasis were excluded from the study. Adjuvant chemotherapy was completed before start of radiation.</w:t>
      </w:r>
    </w:p>
    <w:p w:rsidR="004B3F67" w:rsidRPr="00943136" w:rsidRDefault="00E26E04" w:rsidP="00CA7FF6">
      <w:pPr>
        <w:snapToGrid w:val="0"/>
        <w:jc w:val="both"/>
        <w:rPr>
          <w:b/>
          <w:bCs/>
          <w:iCs/>
          <w:sz w:val="20"/>
          <w:szCs w:val="20"/>
        </w:rPr>
      </w:pPr>
      <w:r w:rsidRPr="00943136">
        <w:rPr>
          <w:b/>
          <w:bCs/>
          <w:iCs/>
          <w:sz w:val="20"/>
          <w:szCs w:val="20"/>
        </w:rPr>
        <w:t>Trial Design:</w:t>
      </w:r>
    </w:p>
    <w:p w:rsidR="004B3F67" w:rsidRPr="00943136" w:rsidRDefault="00E26E04" w:rsidP="00CA7FF6">
      <w:pPr>
        <w:snapToGrid w:val="0"/>
        <w:ind w:firstLine="425"/>
        <w:jc w:val="both"/>
        <w:rPr>
          <w:sz w:val="20"/>
          <w:szCs w:val="20"/>
        </w:rPr>
      </w:pPr>
      <w:r w:rsidRPr="00943136">
        <w:rPr>
          <w:sz w:val="20"/>
          <w:szCs w:val="20"/>
        </w:rPr>
        <w:t>This was a prospective randomized trial of PMRT using hypofractionation and conventional fractionation protocols. Randomization in a 1:1 ratio was performed and the patients were divided equally into 2 groups A and B. Group A patients received conventional fractionation; 50 gray (Gy),2 Gy per fraction in 25 fractions for 5 weeks and group Bpatients received hypofractionation; 40 Gy</w:t>
      </w:r>
      <w:r w:rsidR="009A22B1" w:rsidRPr="00943136">
        <w:rPr>
          <w:sz w:val="20"/>
          <w:szCs w:val="20"/>
        </w:rPr>
        <w:t>,</w:t>
      </w:r>
      <w:r w:rsidRPr="00943136">
        <w:rPr>
          <w:sz w:val="20"/>
          <w:szCs w:val="20"/>
        </w:rPr>
        <w:t xml:space="preserve">2.67 Gy per fraction in 15 fractions for 3 weeks. Patients in both groups were planned on 2D planning system and Treated on Linac machine 6 Mev. Two tangential portals for the chest wall were planned on simulator with central lung distance (CLD) not exceeding 2.5 cm. If indicated direct anterior field to the supraclavicular and axillary areas was planned. </w:t>
      </w:r>
    </w:p>
    <w:p w:rsidR="004B3F67" w:rsidRPr="00943136" w:rsidRDefault="00E26E04" w:rsidP="00CA7FF6">
      <w:pPr>
        <w:snapToGrid w:val="0"/>
        <w:ind w:firstLine="425"/>
        <w:jc w:val="both"/>
        <w:rPr>
          <w:sz w:val="20"/>
          <w:szCs w:val="20"/>
        </w:rPr>
      </w:pPr>
      <w:r w:rsidRPr="00943136">
        <w:rPr>
          <w:sz w:val="20"/>
          <w:szCs w:val="20"/>
        </w:rPr>
        <w:t xml:space="preserve">Echocardiography (ECHO), Electrocardiography (ECG) were performed for all patients in both groups at base line before chemotherapy, at start of PMRT, after 6 months, then annually. </w:t>
      </w:r>
    </w:p>
    <w:p w:rsidR="004B3F67" w:rsidRPr="00943136" w:rsidRDefault="00E26E04" w:rsidP="00CA7FF6">
      <w:pPr>
        <w:snapToGrid w:val="0"/>
        <w:ind w:firstLine="425"/>
        <w:jc w:val="both"/>
        <w:rPr>
          <w:sz w:val="20"/>
          <w:szCs w:val="20"/>
        </w:rPr>
      </w:pPr>
      <w:r w:rsidRPr="00943136">
        <w:rPr>
          <w:sz w:val="20"/>
          <w:szCs w:val="20"/>
        </w:rPr>
        <w:t>This trial was approved by the ethical committee in our faculty and all the patients provided a written informed consent.</w:t>
      </w:r>
    </w:p>
    <w:p w:rsidR="004B3F67" w:rsidRPr="00943136" w:rsidRDefault="00E26E04" w:rsidP="00CA7FF6">
      <w:pPr>
        <w:snapToGrid w:val="0"/>
        <w:jc w:val="both"/>
        <w:rPr>
          <w:b/>
          <w:bCs/>
          <w:iCs/>
          <w:sz w:val="20"/>
          <w:szCs w:val="20"/>
        </w:rPr>
      </w:pPr>
      <w:r w:rsidRPr="00943136">
        <w:rPr>
          <w:b/>
          <w:bCs/>
          <w:iCs/>
          <w:sz w:val="20"/>
          <w:szCs w:val="20"/>
        </w:rPr>
        <w:t>Statistical analysis:</w:t>
      </w:r>
    </w:p>
    <w:p w:rsidR="004B3F67" w:rsidRPr="00943136" w:rsidRDefault="00E26E04" w:rsidP="00CA7FF6">
      <w:pPr>
        <w:snapToGrid w:val="0"/>
        <w:ind w:firstLine="425"/>
        <w:jc w:val="both"/>
        <w:rPr>
          <w:sz w:val="20"/>
          <w:szCs w:val="20"/>
        </w:rPr>
      </w:pPr>
      <w:r w:rsidRPr="00943136">
        <w:rPr>
          <w:sz w:val="20"/>
          <w:szCs w:val="20"/>
        </w:rPr>
        <w:t>Data were statistically analyzed in terms of median, mean and percentages. Independent t and chi-square tests were used for comparing variables. SPSS program (Inc. Chicago, IL, USA) version 16 for windows was used for analysis.</w:t>
      </w:r>
    </w:p>
    <w:p w:rsidR="004B3F67" w:rsidRPr="00943136" w:rsidRDefault="004B3F67" w:rsidP="00CA7FF6">
      <w:pPr>
        <w:snapToGrid w:val="0"/>
        <w:ind w:firstLine="425"/>
        <w:jc w:val="both"/>
        <w:rPr>
          <w:color w:val="FF0000"/>
          <w:sz w:val="20"/>
          <w:szCs w:val="20"/>
        </w:rPr>
      </w:pPr>
    </w:p>
    <w:p w:rsidR="004B3F67" w:rsidRPr="00943136" w:rsidRDefault="00C54D55" w:rsidP="00CA7FF6">
      <w:pPr>
        <w:snapToGrid w:val="0"/>
        <w:jc w:val="both"/>
        <w:rPr>
          <w:b/>
          <w:sz w:val="20"/>
          <w:szCs w:val="20"/>
        </w:rPr>
      </w:pPr>
      <w:r w:rsidRPr="00943136">
        <w:rPr>
          <w:b/>
          <w:sz w:val="20"/>
          <w:szCs w:val="20"/>
        </w:rPr>
        <w:t>3. Results:</w:t>
      </w:r>
    </w:p>
    <w:p w:rsidR="004B3F67" w:rsidRPr="00943136" w:rsidRDefault="00E26E04" w:rsidP="00CA7FF6">
      <w:pPr>
        <w:snapToGrid w:val="0"/>
        <w:ind w:firstLine="425"/>
        <w:jc w:val="both"/>
        <w:rPr>
          <w:iCs/>
          <w:sz w:val="20"/>
          <w:szCs w:val="20"/>
        </w:rPr>
      </w:pPr>
      <w:r w:rsidRPr="00943136">
        <w:rPr>
          <w:iCs/>
          <w:sz w:val="20"/>
          <w:szCs w:val="20"/>
        </w:rPr>
        <w:t>Patients:</w:t>
      </w:r>
    </w:p>
    <w:p w:rsidR="004B3F67" w:rsidRPr="00943136" w:rsidRDefault="00E26E04" w:rsidP="00CA7FF6">
      <w:pPr>
        <w:snapToGrid w:val="0"/>
        <w:ind w:firstLine="425"/>
        <w:jc w:val="both"/>
        <w:rPr>
          <w:sz w:val="20"/>
          <w:szCs w:val="20"/>
        </w:rPr>
      </w:pPr>
      <w:r w:rsidRPr="00943136">
        <w:rPr>
          <w:sz w:val="20"/>
          <w:szCs w:val="20"/>
        </w:rPr>
        <w:t>From August 2009 and through June 2010, a total of 120 patients were randomly assigned to both treatment protocols with equal distribution between both groups A and B.</w:t>
      </w:r>
    </w:p>
    <w:p w:rsidR="004B3F67" w:rsidRPr="00943136" w:rsidRDefault="00E26E04" w:rsidP="00CA7FF6">
      <w:pPr>
        <w:snapToGrid w:val="0"/>
        <w:ind w:firstLine="425"/>
        <w:jc w:val="both"/>
        <w:rPr>
          <w:sz w:val="20"/>
          <w:szCs w:val="20"/>
        </w:rPr>
      </w:pPr>
      <w:r w:rsidRPr="00943136">
        <w:rPr>
          <w:sz w:val="20"/>
          <w:szCs w:val="20"/>
        </w:rPr>
        <w:t>Median age was 47.5 years (range: 23-70) for group A and 47 years (range</w:t>
      </w:r>
      <w:r w:rsidR="00E10BEC" w:rsidRPr="00943136">
        <w:rPr>
          <w:sz w:val="20"/>
          <w:szCs w:val="20"/>
        </w:rPr>
        <w:t>: 25</w:t>
      </w:r>
      <w:r w:rsidRPr="00943136">
        <w:rPr>
          <w:sz w:val="20"/>
          <w:szCs w:val="20"/>
        </w:rPr>
        <w:t xml:space="preserve">-68) for group B. Most of the patients were </w:t>
      </w:r>
      <w:r w:rsidR="00E10BEC" w:rsidRPr="00943136">
        <w:rPr>
          <w:sz w:val="20"/>
          <w:szCs w:val="20"/>
        </w:rPr>
        <w:t>post-menopausal; 70</w:t>
      </w:r>
      <w:r w:rsidRPr="00943136">
        <w:rPr>
          <w:sz w:val="20"/>
          <w:szCs w:val="20"/>
        </w:rPr>
        <w:t>% and 73.4% in groups A and B respectively. Both treatment groups were comparable regarding age, performance status, stage and menopausal status. Table 1 summarizes clinicopathological criteria of patients in both groups.</w:t>
      </w:r>
    </w:p>
    <w:p w:rsidR="00C54D55" w:rsidRPr="00943136" w:rsidRDefault="00C54D55" w:rsidP="00CA7FF6">
      <w:pPr>
        <w:snapToGrid w:val="0"/>
        <w:jc w:val="both"/>
        <w:rPr>
          <w:b/>
          <w:bCs/>
          <w:iCs/>
          <w:sz w:val="20"/>
          <w:szCs w:val="20"/>
        </w:rPr>
      </w:pPr>
      <w:r w:rsidRPr="00943136">
        <w:rPr>
          <w:b/>
          <w:bCs/>
          <w:iCs/>
          <w:sz w:val="20"/>
          <w:szCs w:val="20"/>
        </w:rPr>
        <w:t>Adjuvant systemic treatment:</w:t>
      </w:r>
    </w:p>
    <w:p w:rsidR="00C54D55" w:rsidRPr="00943136" w:rsidRDefault="00C54D55" w:rsidP="00CA7FF6">
      <w:pPr>
        <w:pBdr>
          <w:top w:val="nil"/>
          <w:left w:val="nil"/>
          <w:bottom w:val="nil"/>
          <w:right w:val="nil"/>
          <w:between w:val="nil"/>
        </w:pBdr>
        <w:snapToGrid w:val="0"/>
        <w:ind w:firstLine="425"/>
        <w:jc w:val="both"/>
        <w:rPr>
          <w:color w:val="000000"/>
          <w:sz w:val="20"/>
          <w:szCs w:val="20"/>
        </w:rPr>
      </w:pPr>
      <w:bookmarkStart w:id="1" w:name="_gjdgxs" w:colFirst="0" w:colLast="0"/>
      <w:bookmarkEnd w:id="1"/>
      <w:r w:rsidRPr="00943136">
        <w:rPr>
          <w:sz w:val="20"/>
          <w:szCs w:val="20"/>
        </w:rPr>
        <w:t>Adjuvant chemotherapy given to patients in both groups are summarized in table 2</w:t>
      </w:r>
      <w:r w:rsidR="00CA7FF6" w:rsidRPr="00943136">
        <w:rPr>
          <w:sz w:val="20"/>
          <w:szCs w:val="20"/>
        </w:rPr>
        <w:t>.</w:t>
      </w:r>
      <w:r w:rsidR="00CA7FF6">
        <w:rPr>
          <w:sz w:val="20"/>
          <w:szCs w:val="20"/>
        </w:rPr>
        <w:t xml:space="preserve"> </w:t>
      </w:r>
      <w:r w:rsidR="00CA7FF6" w:rsidRPr="00943136">
        <w:rPr>
          <w:sz w:val="20"/>
          <w:szCs w:val="20"/>
        </w:rPr>
        <w:t>A</w:t>
      </w:r>
      <w:r w:rsidRPr="00943136">
        <w:rPr>
          <w:sz w:val="20"/>
          <w:szCs w:val="20"/>
        </w:rPr>
        <w:t xml:space="preserve">t the time of the study, Trastuzumab was not available in our department due to governmental issues regarding </w:t>
      </w:r>
      <w:r w:rsidRPr="00943136">
        <w:rPr>
          <w:sz w:val="20"/>
          <w:szCs w:val="20"/>
        </w:rPr>
        <w:lastRenderedPageBreak/>
        <w:t>reimbursement, so that patients with positive HER2neu didn’t receive it. Patients with positive hormonal status were given 5 years adjuvant Tamoxifen or Aromatase inhibitors (AIs) if applicable. Table 2 summarizes different adjuvant systemic treatments given to patients in both groups.</w:t>
      </w:r>
    </w:p>
    <w:p w:rsidR="00CA7FF6" w:rsidRDefault="00CA7FF6" w:rsidP="00CA7FF6">
      <w:pPr>
        <w:pBdr>
          <w:top w:val="nil"/>
          <w:left w:val="nil"/>
          <w:bottom w:val="nil"/>
          <w:right w:val="nil"/>
          <w:between w:val="nil"/>
        </w:pBdr>
        <w:snapToGrid w:val="0"/>
        <w:jc w:val="center"/>
        <w:rPr>
          <w:color w:val="000000"/>
          <w:sz w:val="20"/>
          <w:szCs w:val="20"/>
          <w:lang w:eastAsia="zh-CN"/>
        </w:rPr>
      </w:pPr>
    </w:p>
    <w:p w:rsidR="00CA7FF6" w:rsidRPr="00CA7FF6" w:rsidRDefault="00CA7FF6" w:rsidP="00CA7FF6">
      <w:pPr>
        <w:pBdr>
          <w:top w:val="nil"/>
          <w:left w:val="nil"/>
          <w:bottom w:val="nil"/>
          <w:right w:val="nil"/>
          <w:between w:val="nil"/>
        </w:pBdr>
        <w:snapToGrid w:val="0"/>
        <w:jc w:val="center"/>
        <w:rPr>
          <w:color w:val="1F497D"/>
          <w:sz w:val="20"/>
          <w:szCs w:val="17"/>
        </w:rPr>
      </w:pPr>
      <w:r w:rsidRPr="00CA7FF6">
        <w:rPr>
          <w:color w:val="000000"/>
          <w:sz w:val="20"/>
          <w:szCs w:val="20"/>
        </w:rPr>
        <w:t>Table1. Clinico-pathological criteria of both groups.</w:t>
      </w:r>
    </w:p>
    <w:tbl>
      <w:tblPr>
        <w:tblStyle w:val="a"/>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7" w:type="dxa"/>
          <w:right w:w="57" w:type="dxa"/>
        </w:tblCellMar>
        <w:tblLook w:val="04A0"/>
      </w:tblPr>
      <w:tblGrid>
        <w:gridCol w:w="2449"/>
        <w:gridCol w:w="1023"/>
        <w:gridCol w:w="1022"/>
      </w:tblGrid>
      <w:tr w:rsidR="00CA7FF6" w:rsidRPr="00CA7FF6" w:rsidTr="00807046">
        <w:trPr>
          <w:cnfStyle w:val="100000000000"/>
          <w:jc w:val="center"/>
        </w:trPr>
        <w:tc>
          <w:tcPr>
            <w:cnfStyle w:val="001000000000"/>
            <w:tcW w:w="2725" w:type="pct"/>
            <w:vAlign w:val="center"/>
          </w:tcPr>
          <w:p w:rsidR="00CA7FF6" w:rsidRPr="00CA7FF6" w:rsidRDefault="00CA7FF6" w:rsidP="00CA7FF6">
            <w:pPr>
              <w:snapToGrid w:val="0"/>
              <w:jc w:val="both"/>
              <w:rPr>
                <w:sz w:val="20"/>
                <w:szCs w:val="17"/>
              </w:rPr>
            </w:pPr>
          </w:p>
        </w:tc>
        <w:tc>
          <w:tcPr>
            <w:tcW w:w="1138" w:type="pct"/>
            <w:vAlign w:val="center"/>
          </w:tcPr>
          <w:p w:rsidR="00CA7FF6" w:rsidRPr="00CA7FF6" w:rsidRDefault="00CA7FF6" w:rsidP="00CA7FF6">
            <w:pPr>
              <w:snapToGrid w:val="0"/>
              <w:jc w:val="both"/>
              <w:cnfStyle w:val="100000000000"/>
              <w:rPr>
                <w:sz w:val="20"/>
                <w:szCs w:val="17"/>
              </w:rPr>
            </w:pPr>
            <w:r w:rsidRPr="00CA7FF6">
              <w:rPr>
                <w:sz w:val="20"/>
                <w:szCs w:val="17"/>
              </w:rPr>
              <w:t>Group A</w:t>
            </w:r>
            <w:r w:rsidRPr="00CA7FF6">
              <w:rPr>
                <w:rFonts w:hint="eastAsia"/>
                <w:sz w:val="20"/>
                <w:szCs w:val="17"/>
                <w:lang w:eastAsia="zh-CN"/>
              </w:rPr>
              <w:t xml:space="preserve"> </w:t>
            </w:r>
            <w:r w:rsidRPr="00CA7FF6">
              <w:rPr>
                <w:b w:val="0"/>
                <w:sz w:val="20"/>
                <w:szCs w:val="17"/>
              </w:rPr>
              <w:t>(n=60)</w:t>
            </w:r>
          </w:p>
        </w:tc>
        <w:tc>
          <w:tcPr>
            <w:tcW w:w="1138" w:type="pct"/>
            <w:vAlign w:val="center"/>
          </w:tcPr>
          <w:p w:rsidR="00CA7FF6" w:rsidRPr="00CA7FF6" w:rsidRDefault="00CA7FF6" w:rsidP="00CA7FF6">
            <w:pPr>
              <w:snapToGrid w:val="0"/>
              <w:jc w:val="both"/>
              <w:cnfStyle w:val="100000000000"/>
              <w:rPr>
                <w:sz w:val="20"/>
                <w:szCs w:val="17"/>
              </w:rPr>
            </w:pPr>
            <w:r w:rsidRPr="00CA7FF6">
              <w:rPr>
                <w:sz w:val="20"/>
                <w:szCs w:val="17"/>
              </w:rPr>
              <w:t>Group B</w:t>
            </w:r>
            <w:r w:rsidRPr="00CA7FF6">
              <w:rPr>
                <w:rFonts w:hint="eastAsia"/>
                <w:sz w:val="20"/>
                <w:szCs w:val="17"/>
                <w:lang w:eastAsia="zh-CN"/>
              </w:rPr>
              <w:t xml:space="preserve"> </w:t>
            </w:r>
            <w:r w:rsidRPr="00CA7FF6">
              <w:rPr>
                <w:b w:val="0"/>
                <w:sz w:val="20"/>
                <w:szCs w:val="17"/>
              </w:rPr>
              <w:t>(n=60)</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sz w:val="20"/>
                <w:szCs w:val="17"/>
              </w:rPr>
              <w:t xml:space="preserve">Age (years) </w:t>
            </w:r>
          </w:p>
        </w:tc>
        <w:tc>
          <w:tcPr>
            <w:tcW w:w="1138" w:type="pct"/>
            <w:vAlign w:val="center"/>
          </w:tcPr>
          <w:p w:rsidR="00CA7FF6" w:rsidRPr="00CA7FF6" w:rsidRDefault="00CA7FF6" w:rsidP="00CA7FF6">
            <w:pPr>
              <w:snapToGrid w:val="0"/>
              <w:jc w:val="both"/>
              <w:cnfStyle w:val="000000100000"/>
              <w:rPr>
                <w:sz w:val="20"/>
                <w:szCs w:val="17"/>
              </w:rPr>
            </w:pPr>
          </w:p>
        </w:tc>
        <w:tc>
          <w:tcPr>
            <w:tcW w:w="1138" w:type="pct"/>
            <w:vAlign w:val="center"/>
          </w:tcPr>
          <w:p w:rsidR="00CA7FF6" w:rsidRPr="00CA7FF6" w:rsidRDefault="00CA7FF6" w:rsidP="00CA7FF6">
            <w:pPr>
              <w:snapToGrid w:val="0"/>
              <w:jc w:val="both"/>
              <w:cnfStyle w:val="000000100000"/>
              <w:rPr>
                <w:sz w:val="20"/>
                <w:szCs w:val="17"/>
              </w:rPr>
            </w:pP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Mean</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48.8</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48.5</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Median</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47.5</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47</w:t>
            </w: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Range</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(23-70)</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(25-68)</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sz w:val="20"/>
                <w:szCs w:val="17"/>
              </w:rPr>
              <w:t>Sidedness of primary tumor</w:t>
            </w:r>
          </w:p>
        </w:tc>
        <w:tc>
          <w:tcPr>
            <w:tcW w:w="1138" w:type="pct"/>
            <w:vAlign w:val="center"/>
          </w:tcPr>
          <w:p w:rsidR="00CA7FF6" w:rsidRPr="00CA7FF6" w:rsidRDefault="00CA7FF6" w:rsidP="00CA7FF6">
            <w:pPr>
              <w:snapToGrid w:val="0"/>
              <w:jc w:val="both"/>
              <w:cnfStyle w:val="000000100000"/>
              <w:rPr>
                <w:sz w:val="20"/>
                <w:szCs w:val="17"/>
              </w:rPr>
            </w:pPr>
          </w:p>
        </w:tc>
        <w:tc>
          <w:tcPr>
            <w:tcW w:w="1138" w:type="pct"/>
            <w:vAlign w:val="center"/>
          </w:tcPr>
          <w:p w:rsidR="00CA7FF6" w:rsidRPr="00CA7FF6" w:rsidRDefault="00CA7FF6" w:rsidP="00CA7FF6">
            <w:pPr>
              <w:snapToGrid w:val="0"/>
              <w:jc w:val="both"/>
              <w:cnfStyle w:val="000000100000"/>
              <w:rPr>
                <w:sz w:val="20"/>
                <w:szCs w:val="17"/>
              </w:rPr>
            </w:pP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Left breast</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32 (53.3%)</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35 (58.3%)</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Right breast</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28 (46.7%)</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25(41.7%)</w:t>
            </w: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sz w:val="20"/>
                <w:szCs w:val="17"/>
              </w:rPr>
              <w:t xml:space="preserve">Stage </w:t>
            </w:r>
          </w:p>
        </w:tc>
        <w:tc>
          <w:tcPr>
            <w:tcW w:w="1138" w:type="pct"/>
            <w:vAlign w:val="center"/>
          </w:tcPr>
          <w:p w:rsidR="00CA7FF6" w:rsidRPr="00CA7FF6" w:rsidRDefault="00CA7FF6" w:rsidP="00CA7FF6">
            <w:pPr>
              <w:snapToGrid w:val="0"/>
              <w:jc w:val="both"/>
              <w:cnfStyle w:val="000000000000"/>
              <w:rPr>
                <w:sz w:val="20"/>
                <w:szCs w:val="17"/>
              </w:rPr>
            </w:pPr>
          </w:p>
        </w:tc>
        <w:tc>
          <w:tcPr>
            <w:tcW w:w="1138" w:type="pct"/>
            <w:vAlign w:val="center"/>
          </w:tcPr>
          <w:p w:rsidR="00CA7FF6" w:rsidRPr="00CA7FF6" w:rsidRDefault="00CA7FF6" w:rsidP="00CA7FF6">
            <w:pPr>
              <w:snapToGrid w:val="0"/>
              <w:jc w:val="both"/>
              <w:cnfStyle w:val="000000000000"/>
              <w:rPr>
                <w:sz w:val="20"/>
                <w:szCs w:val="17"/>
              </w:rPr>
            </w:pP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 xml:space="preserve">II </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33 (55%)</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35 (58.3%)</w:t>
            </w:r>
          </w:p>
        </w:tc>
      </w:tr>
      <w:tr w:rsidR="00CA7FF6" w:rsidRPr="00CA7FF6" w:rsidTr="00807046">
        <w:trPr>
          <w:jc w:val="center"/>
        </w:trPr>
        <w:tc>
          <w:tcPr>
            <w:cnfStyle w:val="001000000000"/>
            <w:tcW w:w="2725" w:type="pct"/>
            <w:vAlign w:val="center"/>
          </w:tcPr>
          <w:p w:rsidR="00CA7FF6" w:rsidRPr="00CA7FF6" w:rsidRDefault="00CA7FF6" w:rsidP="00CA7FF6">
            <w:pPr>
              <w:widowControl w:val="0"/>
              <w:pBdr>
                <w:top w:val="nil"/>
                <w:left w:val="nil"/>
                <w:bottom w:val="nil"/>
                <w:right w:val="nil"/>
                <w:between w:val="nil"/>
              </w:pBdr>
              <w:snapToGrid w:val="0"/>
              <w:jc w:val="both"/>
              <w:rPr>
                <w:sz w:val="20"/>
                <w:szCs w:val="17"/>
              </w:rPr>
            </w:pPr>
            <w:r w:rsidRPr="00CA7FF6">
              <w:rPr>
                <w:b w:val="0"/>
                <w:sz w:val="20"/>
                <w:szCs w:val="17"/>
              </w:rPr>
              <w:t>III</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27 (45%)</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25 (41.7%)</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sz w:val="20"/>
                <w:szCs w:val="17"/>
              </w:rPr>
              <w:t>Menopausal Status</w:t>
            </w:r>
          </w:p>
        </w:tc>
        <w:tc>
          <w:tcPr>
            <w:tcW w:w="1138" w:type="pct"/>
            <w:vAlign w:val="center"/>
          </w:tcPr>
          <w:p w:rsidR="00CA7FF6" w:rsidRPr="00CA7FF6" w:rsidRDefault="00CA7FF6" w:rsidP="00CA7FF6">
            <w:pPr>
              <w:snapToGrid w:val="0"/>
              <w:jc w:val="both"/>
              <w:cnfStyle w:val="000000100000"/>
              <w:rPr>
                <w:sz w:val="20"/>
                <w:szCs w:val="17"/>
              </w:rPr>
            </w:pPr>
          </w:p>
        </w:tc>
        <w:tc>
          <w:tcPr>
            <w:tcW w:w="1138" w:type="pct"/>
            <w:vAlign w:val="center"/>
          </w:tcPr>
          <w:p w:rsidR="00CA7FF6" w:rsidRPr="00CA7FF6" w:rsidRDefault="00CA7FF6" w:rsidP="00CA7FF6">
            <w:pPr>
              <w:snapToGrid w:val="0"/>
              <w:jc w:val="both"/>
              <w:cnfStyle w:val="000000100000"/>
              <w:rPr>
                <w:sz w:val="20"/>
                <w:szCs w:val="17"/>
              </w:rPr>
            </w:pP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Pre-menopausal</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18 (30%)</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16 (26.6%)</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Post-menopausal</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42 (70%)</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44 (73.4%)</w:t>
            </w: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sz w:val="20"/>
                <w:szCs w:val="17"/>
              </w:rPr>
              <w:t>ER</w:t>
            </w:r>
          </w:p>
        </w:tc>
        <w:tc>
          <w:tcPr>
            <w:tcW w:w="1138" w:type="pct"/>
            <w:vAlign w:val="center"/>
          </w:tcPr>
          <w:p w:rsidR="00CA7FF6" w:rsidRPr="00CA7FF6" w:rsidRDefault="00CA7FF6" w:rsidP="00CA7FF6">
            <w:pPr>
              <w:snapToGrid w:val="0"/>
              <w:jc w:val="both"/>
              <w:cnfStyle w:val="000000000000"/>
              <w:rPr>
                <w:sz w:val="20"/>
                <w:szCs w:val="17"/>
              </w:rPr>
            </w:pPr>
          </w:p>
        </w:tc>
        <w:tc>
          <w:tcPr>
            <w:tcW w:w="1138" w:type="pct"/>
            <w:vAlign w:val="center"/>
          </w:tcPr>
          <w:p w:rsidR="00CA7FF6" w:rsidRPr="00CA7FF6" w:rsidRDefault="00CA7FF6" w:rsidP="00CA7FF6">
            <w:pPr>
              <w:snapToGrid w:val="0"/>
              <w:jc w:val="both"/>
              <w:cnfStyle w:val="000000000000"/>
              <w:rPr>
                <w:sz w:val="20"/>
                <w:szCs w:val="17"/>
              </w:rPr>
            </w:pP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 xml:space="preserve">Positive </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49 (82%)</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52 (87%)</w:t>
            </w: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Negative</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11(18%)</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8(135)</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sz w:val="20"/>
                <w:szCs w:val="17"/>
              </w:rPr>
              <w:t>HER 2neu</w:t>
            </w:r>
          </w:p>
        </w:tc>
        <w:tc>
          <w:tcPr>
            <w:tcW w:w="1138" w:type="pct"/>
            <w:vAlign w:val="center"/>
          </w:tcPr>
          <w:p w:rsidR="00CA7FF6" w:rsidRPr="00CA7FF6" w:rsidRDefault="00CA7FF6" w:rsidP="00CA7FF6">
            <w:pPr>
              <w:snapToGrid w:val="0"/>
              <w:jc w:val="both"/>
              <w:cnfStyle w:val="000000100000"/>
              <w:rPr>
                <w:sz w:val="20"/>
                <w:szCs w:val="17"/>
              </w:rPr>
            </w:pPr>
          </w:p>
        </w:tc>
        <w:tc>
          <w:tcPr>
            <w:tcW w:w="1138" w:type="pct"/>
            <w:vAlign w:val="center"/>
          </w:tcPr>
          <w:p w:rsidR="00CA7FF6" w:rsidRPr="00CA7FF6" w:rsidRDefault="00CA7FF6" w:rsidP="00CA7FF6">
            <w:pPr>
              <w:snapToGrid w:val="0"/>
              <w:jc w:val="both"/>
              <w:cnfStyle w:val="000000100000"/>
              <w:rPr>
                <w:sz w:val="20"/>
                <w:szCs w:val="17"/>
              </w:rPr>
            </w:pP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 xml:space="preserve">Positive </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8 (13%)</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10 (17%)</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Negative</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37 (62%)</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37 (61%)</w:t>
            </w: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Unknown</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15 (25%)</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13 (22%)</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sz w:val="20"/>
                <w:szCs w:val="17"/>
              </w:rPr>
              <w:t>Hypertension</w:t>
            </w:r>
          </w:p>
        </w:tc>
        <w:tc>
          <w:tcPr>
            <w:tcW w:w="1138" w:type="pct"/>
            <w:vAlign w:val="center"/>
          </w:tcPr>
          <w:p w:rsidR="00CA7FF6" w:rsidRPr="00CA7FF6" w:rsidRDefault="00CA7FF6" w:rsidP="00CA7FF6">
            <w:pPr>
              <w:snapToGrid w:val="0"/>
              <w:jc w:val="both"/>
              <w:cnfStyle w:val="000000100000"/>
              <w:rPr>
                <w:sz w:val="20"/>
                <w:szCs w:val="17"/>
              </w:rPr>
            </w:pPr>
          </w:p>
        </w:tc>
        <w:tc>
          <w:tcPr>
            <w:tcW w:w="1138" w:type="pct"/>
            <w:vAlign w:val="center"/>
          </w:tcPr>
          <w:p w:rsidR="00CA7FF6" w:rsidRPr="00CA7FF6" w:rsidRDefault="00CA7FF6" w:rsidP="00CA7FF6">
            <w:pPr>
              <w:snapToGrid w:val="0"/>
              <w:jc w:val="both"/>
              <w:cnfStyle w:val="000000100000"/>
              <w:rPr>
                <w:sz w:val="20"/>
                <w:szCs w:val="17"/>
              </w:rPr>
            </w:pPr>
          </w:p>
        </w:tc>
      </w:tr>
      <w:tr w:rsidR="00CA7FF6" w:rsidRPr="00CA7FF6" w:rsidTr="00807046">
        <w:trPr>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 xml:space="preserve">Yes </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13(21.7%)</w:t>
            </w:r>
          </w:p>
        </w:tc>
        <w:tc>
          <w:tcPr>
            <w:tcW w:w="1138" w:type="pct"/>
            <w:vAlign w:val="center"/>
          </w:tcPr>
          <w:p w:rsidR="00CA7FF6" w:rsidRPr="00CA7FF6" w:rsidRDefault="00CA7FF6" w:rsidP="00CA7FF6">
            <w:pPr>
              <w:snapToGrid w:val="0"/>
              <w:jc w:val="both"/>
              <w:cnfStyle w:val="000000000000"/>
              <w:rPr>
                <w:sz w:val="20"/>
                <w:szCs w:val="17"/>
              </w:rPr>
            </w:pPr>
            <w:r w:rsidRPr="00CA7FF6">
              <w:rPr>
                <w:sz w:val="20"/>
                <w:szCs w:val="17"/>
              </w:rPr>
              <w:t>15(25%)</w:t>
            </w:r>
          </w:p>
        </w:tc>
      </w:tr>
      <w:tr w:rsidR="00CA7FF6" w:rsidRPr="00CA7FF6" w:rsidTr="00807046">
        <w:trPr>
          <w:cnfStyle w:val="000000100000"/>
          <w:jc w:val="center"/>
        </w:trPr>
        <w:tc>
          <w:tcPr>
            <w:cnfStyle w:val="001000000000"/>
            <w:tcW w:w="2725" w:type="pct"/>
            <w:vAlign w:val="center"/>
          </w:tcPr>
          <w:p w:rsidR="00CA7FF6" w:rsidRPr="00CA7FF6" w:rsidRDefault="00CA7FF6" w:rsidP="00CA7FF6">
            <w:pPr>
              <w:snapToGrid w:val="0"/>
              <w:jc w:val="both"/>
              <w:rPr>
                <w:sz w:val="20"/>
                <w:szCs w:val="17"/>
              </w:rPr>
            </w:pPr>
            <w:r w:rsidRPr="00CA7FF6">
              <w:rPr>
                <w:b w:val="0"/>
                <w:sz w:val="20"/>
                <w:szCs w:val="17"/>
              </w:rPr>
              <w:t xml:space="preserve">No </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47(88.3%)</w:t>
            </w:r>
          </w:p>
        </w:tc>
        <w:tc>
          <w:tcPr>
            <w:tcW w:w="1138" w:type="pct"/>
            <w:vAlign w:val="center"/>
          </w:tcPr>
          <w:p w:rsidR="00CA7FF6" w:rsidRPr="00CA7FF6" w:rsidRDefault="00CA7FF6" w:rsidP="00CA7FF6">
            <w:pPr>
              <w:snapToGrid w:val="0"/>
              <w:jc w:val="both"/>
              <w:cnfStyle w:val="000000100000"/>
              <w:rPr>
                <w:sz w:val="20"/>
                <w:szCs w:val="17"/>
              </w:rPr>
            </w:pPr>
            <w:r w:rsidRPr="00CA7FF6">
              <w:rPr>
                <w:sz w:val="20"/>
                <w:szCs w:val="17"/>
              </w:rPr>
              <w:t>45(75%)</w:t>
            </w:r>
          </w:p>
        </w:tc>
      </w:tr>
    </w:tbl>
    <w:p w:rsidR="00CA7FF6" w:rsidRPr="00CA7FF6" w:rsidRDefault="00CA7FF6" w:rsidP="00CA7FF6">
      <w:pPr>
        <w:snapToGrid w:val="0"/>
        <w:jc w:val="both"/>
        <w:rPr>
          <w:sz w:val="20"/>
          <w:szCs w:val="17"/>
        </w:rPr>
      </w:pPr>
      <w:r w:rsidRPr="00CA7FF6">
        <w:rPr>
          <w:sz w:val="20"/>
          <w:szCs w:val="17"/>
        </w:rPr>
        <w:t>n: number; ER: estrogen receptor; HER2neu:</w:t>
      </w:r>
      <w:r>
        <w:rPr>
          <w:rFonts w:hint="eastAsia"/>
          <w:sz w:val="20"/>
          <w:szCs w:val="17"/>
          <w:lang w:eastAsia="zh-CN"/>
        </w:rPr>
        <w:t xml:space="preserve"> </w:t>
      </w:r>
      <w:r w:rsidRPr="00CA7FF6">
        <w:rPr>
          <w:sz w:val="20"/>
          <w:szCs w:val="17"/>
        </w:rPr>
        <w:t>epidermal growth factor receptor 2</w:t>
      </w:r>
    </w:p>
    <w:p w:rsidR="00CA7FF6" w:rsidRPr="00CA7FF6" w:rsidRDefault="00CA7FF6" w:rsidP="00CA7FF6">
      <w:pPr>
        <w:snapToGrid w:val="0"/>
        <w:ind w:firstLine="425"/>
        <w:jc w:val="both"/>
        <w:rPr>
          <w:sz w:val="20"/>
          <w:szCs w:val="20"/>
        </w:rPr>
      </w:pPr>
    </w:p>
    <w:p w:rsidR="00CA7FF6" w:rsidRPr="00943136" w:rsidRDefault="00CA7FF6" w:rsidP="00CA7FF6">
      <w:pPr>
        <w:snapToGrid w:val="0"/>
        <w:jc w:val="both"/>
        <w:rPr>
          <w:b/>
          <w:bCs/>
          <w:iCs/>
          <w:sz w:val="20"/>
          <w:szCs w:val="20"/>
        </w:rPr>
      </w:pPr>
      <w:r w:rsidRPr="00943136">
        <w:rPr>
          <w:b/>
          <w:bCs/>
          <w:iCs/>
          <w:sz w:val="20"/>
          <w:szCs w:val="20"/>
        </w:rPr>
        <w:t>Assessment of cardiac toxicity:</w:t>
      </w:r>
    </w:p>
    <w:p w:rsidR="00CA7FF6" w:rsidRPr="00943136" w:rsidRDefault="00CA7FF6" w:rsidP="00CA7FF6">
      <w:pPr>
        <w:snapToGrid w:val="0"/>
        <w:ind w:firstLine="425"/>
        <w:jc w:val="both"/>
        <w:rPr>
          <w:sz w:val="20"/>
          <w:szCs w:val="20"/>
        </w:rPr>
      </w:pPr>
      <w:r w:rsidRPr="00943136">
        <w:rPr>
          <w:sz w:val="20"/>
          <w:szCs w:val="20"/>
        </w:rPr>
        <w:t>There was no significant difference between both groups regarding EF during follow up; meanwhile decrease in EF didn’t exceed 10% in both groups. Table 3 summarizes results of EF in patients of both groups upon base line and in different follow up visits.</w:t>
      </w:r>
    </w:p>
    <w:p w:rsidR="00CA7FF6" w:rsidRPr="00943136" w:rsidRDefault="00CA7FF6" w:rsidP="00CA7FF6">
      <w:pPr>
        <w:snapToGrid w:val="0"/>
        <w:ind w:firstLine="425"/>
        <w:jc w:val="both"/>
        <w:rPr>
          <w:sz w:val="20"/>
          <w:szCs w:val="20"/>
        </w:rPr>
      </w:pPr>
      <w:r w:rsidRPr="00943136">
        <w:rPr>
          <w:sz w:val="20"/>
          <w:szCs w:val="20"/>
        </w:rPr>
        <w:t>Decline in median EF &gt;10 and &lt;20 was noticed in 5 patients with known history of hypertension (3 patients were in group A and 2 were in group B).</w:t>
      </w:r>
    </w:p>
    <w:p w:rsidR="00CA7FF6" w:rsidRPr="00943136" w:rsidRDefault="00CA7FF6" w:rsidP="00CA7FF6">
      <w:pPr>
        <w:snapToGrid w:val="0"/>
        <w:ind w:firstLine="425"/>
        <w:jc w:val="both"/>
        <w:rPr>
          <w:sz w:val="20"/>
          <w:szCs w:val="20"/>
        </w:rPr>
      </w:pPr>
      <w:r w:rsidRPr="00943136">
        <w:rPr>
          <w:sz w:val="20"/>
          <w:szCs w:val="20"/>
        </w:rPr>
        <w:t xml:space="preserve">Hypertension was an influencing factor in declining of EF in both treatment groups. In group A; hypertensive patients had a median base line EF 63% which declined to 54% at last follow up in comparison to non-hypertensive patients who had decline in baseline EF from 65% to 60%. In group B; hypertensive patients had a median baseline EF 62% which declined to 54 % at last follow up in </w:t>
      </w:r>
      <w:r w:rsidRPr="00943136">
        <w:rPr>
          <w:sz w:val="20"/>
          <w:szCs w:val="20"/>
        </w:rPr>
        <w:lastRenderedPageBreak/>
        <w:t xml:space="preserve">comparison to non-hypertensive patients who had decline in baseline EF from 64% to 59%. </w:t>
      </w:r>
    </w:p>
    <w:p w:rsidR="00CA7FF6" w:rsidRPr="00943136" w:rsidRDefault="00CA7FF6" w:rsidP="00CA7FF6">
      <w:pPr>
        <w:snapToGrid w:val="0"/>
        <w:ind w:firstLine="425"/>
        <w:jc w:val="both"/>
        <w:rPr>
          <w:sz w:val="20"/>
          <w:szCs w:val="20"/>
        </w:rPr>
      </w:pPr>
      <w:r w:rsidRPr="00943136">
        <w:rPr>
          <w:sz w:val="20"/>
          <w:szCs w:val="20"/>
        </w:rPr>
        <w:t>After 3 years of follow up, congestive heart failure was noticed in a 70 years old patient in group A who had history of uncontrolled hypertension.</w:t>
      </w:r>
    </w:p>
    <w:p w:rsidR="00CA7FF6" w:rsidRPr="00943136" w:rsidRDefault="00CA7FF6" w:rsidP="00CA7FF6">
      <w:pPr>
        <w:snapToGrid w:val="0"/>
        <w:ind w:firstLine="425"/>
        <w:jc w:val="both"/>
        <w:rPr>
          <w:sz w:val="20"/>
          <w:szCs w:val="20"/>
        </w:rPr>
      </w:pPr>
      <w:r w:rsidRPr="00943136">
        <w:rPr>
          <w:sz w:val="20"/>
          <w:szCs w:val="20"/>
        </w:rPr>
        <w:lastRenderedPageBreak/>
        <w:t>Patients with left sided breast cancer has a significant decrease in EF in correlation with right side in both groups however it didn’t exceed 10 % (Table 4).</w:t>
      </w:r>
    </w:p>
    <w:p w:rsidR="00CA7FF6" w:rsidRDefault="00CA7FF6" w:rsidP="00CA7FF6">
      <w:pPr>
        <w:pBdr>
          <w:top w:val="nil"/>
          <w:left w:val="nil"/>
          <w:bottom w:val="nil"/>
          <w:right w:val="nil"/>
          <w:between w:val="nil"/>
        </w:pBdr>
        <w:snapToGrid w:val="0"/>
        <w:jc w:val="center"/>
        <w:rPr>
          <w:color w:val="000000"/>
          <w:sz w:val="20"/>
          <w:szCs w:val="20"/>
          <w:lang w:eastAsia="zh-CN"/>
        </w:rPr>
        <w:sectPr w:rsidR="00CA7FF6" w:rsidSect="00062066">
          <w:type w:val="continuous"/>
          <w:pgSz w:w="12240" w:h="15840" w:code="1"/>
          <w:pgMar w:top="1440" w:right="1440" w:bottom="1440" w:left="1440" w:header="720" w:footer="720" w:gutter="0"/>
          <w:cols w:num="2" w:space="600"/>
          <w:docGrid w:linePitch="326"/>
        </w:sectPr>
      </w:pPr>
    </w:p>
    <w:p w:rsidR="004B3F67" w:rsidRPr="00943136" w:rsidRDefault="004B3F67" w:rsidP="00CA7FF6">
      <w:pPr>
        <w:snapToGrid w:val="0"/>
        <w:jc w:val="center"/>
        <w:rPr>
          <w:sz w:val="20"/>
          <w:szCs w:val="20"/>
        </w:rPr>
      </w:pPr>
    </w:p>
    <w:p w:rsidR="004B3F67" w:rsidRPr="00943136" w:rsidRDefault="00E26E04" w:rsidP="00CA7FF6">
      <w:pPr>
        <w:snapToGrid w:val="0"/>
        <w:jc w:val="center"/>
        <w:rPr>
          <w:color w:val="000000"/>
          <w:sz w:val="20"/>
          <w:szCs w:val="20"/>
        </w:rPr>
      </w:pPr>
      <w:r w:rsidRPr="00943136">
        <w:rPr>
          <w:b/>
          <w:color w:val="000000"/>
          <w:sz w:val="20"/>
          <w:szCs w:val="20"/>
        </w:rPr>
        <w:t>Table2</w:t>
      </w:r>
      <w:r w:rsidR="00CA7FF6" w:rsidRPr="00943136">
        <w:rPr>
          <w:b/>
          <w:color w:val="000000"/>
          <w:sz w:val="20"/>
          <w:szCs w:val="20"/>
        </w:rPr>
        <w:t>.</w:t>
      </w:r>
      <w:r w:rsidR="00CA7FF6">
        <w:rPr>
          <w:b/>
          <w:color w:val="000000"/>
          <w:sz w:val="20"/>
          <w:szCs w:val="20"/>
        </w:rPr>
        <w:t xml:space="preserve"> </w:t>
      </w:r>
      <w:r w:rsidR="00CA7FF6" w:rsidRPr="00943136">
        <w:rPr>
          <w:color w:val="000000"/>
          <w:sz w:val="20"/>
          <w:szCs w:val="20"/>
        </w:rPr>
        <w:t>T</w:t>
      </w:r>
      <w:r w:rsidRPr="00943136">
        <w:rPr>
          <w:color w:val="000000"/>
          <w:sz w:val="20"/>
          <w:szCs w:val="20"/>
        </w:rPr>
        <w:t>ypes of adjuvant systemic treatment received in both groups.</w:t>
      </w:r>
    </w:p>
    <w:tbl>
      <w:tblPr>
        <w:tblStyle w:val="a0"/>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7" w:type="dxa"/>
          <w:right w:w="57" w:type="dxa"/>
        </w:tblCellMar>
        <w:tblLook w:val="04A0"/>
      </w:tblPr>
      <w:tblGrid>
        <w:gridCol w:w="5823"/>
        <w:gridCol w:w="1855"/>
        <w:gridCol w:w="1796"/>
      </w:tblGrid>
      <w:tr w:rsidR="004B3F67" w:rsidRPr="00943136" w:rsidTr="00943136">
        <w:trPr>
          <w:cnfStyle w:val="100000000000"/>
          <w:jc w:val="center"/>
        </w:trPr>
        <w:tc>
          <w:tcPr>
            <w:cnfStyle w:val="001000000000"/>
            <w:tcW w:w="3073" w:type="pct"/>
            <w:vAlign w:val="center"/>
          </w:tcPr>
          <w:p w:rsidR="004B3F67" w:rsidRPr="00943136" w:rsidRDefault="004B3F67" w:rsidP="00CA7FF6">
            <w:pPr>
              <w:snapToGrid w:val="0"/>
              <w:jc w:val="both"/>
              <w:rPr>
                <w:sz w:val="20"/>
                <w:szCs w:val="18"/>
              </w:rPr>
            </w:pPr>
          </w:p>
        </w:tc>
        <w:tc>
          <w:tcPr>
            <w:tcW w:w="979" w:type="pct"/>
            <w:vAlign w:val="center"/>
          </w:tcPr>
          <w:p w:rsidR="004B3F67" w:rsidRPr="00943136" w:rsidRDefault="00E26E04" w:rsidP="00CA7FF6">
            <w:pPr>
              <w:snapToGrid w:val="0"/>
              <w:jc w:val="both"/>
              <w:cnfStyle w:val="100000000000"/>
              <w:rPr>
                <w:sz w:val="20"/>
                <w:szCs w:val="18"/>
              </w:rPr>
            </w:pPr>
            <w:r w:rsidRPr="00943136">
              <w:rPr>
                <w:sz w:val="20"/>
                <w:szCs w:val="18"/>
              </w:rPr>
              <w:t>Group A</w:t>
            </w:r>
            <w:r w:rsidR="00CA7FF6">
              <w:rPr>
                <w:rFonts w:hint="eastAsia"/>
                <w:sz w:val="20"/>
                <w:szCs w:val="18"/>
                <w:lang w:eastAsia="zh-CN"/>
              </w:rPr>
              <w:t xml:space="preserve"> </w:t>
            </w:r>
            <w:r w:rsidRPr="00943136">
              <w:rPr>
                <w:b w:val="0"/>
                <w:sz w:val="20"/>
                <w:szCs w:val="18"/>
              </w:rPr>
              <w:t>(n=60)</w:t>
            </w:r>
          </w:p>
        </w:tc>
        <w:tc>
          <w:tcPr>
            <w:tcW w:w="948" w:type="pct"/>
            <w:vAlign w:val="center"/>
          </w:tcPr>
          <w:p w:rsidR="004B3F67" w:rsidRPr="00943136" w:rsidRDefault="00E26E04" w:rsidP="00CA7FF6">
            <w:pPr>
              <w:snapToGrid w:val="0"/>
              <w:jc w:val="both"/>
              <w:cnfStyle w:val="100000000000"/>
              <w:rPr>
                <w:sz w:val="20"/>
                <w:szCs w:val="18"/>
              </w:rPr>
            </w:pPr>
            <w:r w:rsidRPr="00943136">
              <w:rPr>
                <w:sz w:val="20"/>
                <w:szCs w:val="18"/>
              </w:rPr>
              <w:t>Group B</w:t>
            </w:r>
            <w:r w:rsidR="00CA7FF6">
              <w:rPr>
                <w:rFonts w:hint="eastAsia"/>
                <w:sz w:val="20"/>
                <w:szCs w:val="18"/>
                <w:lang w:eastAsia="zh-CN"/>
              </w:rPr>
              <w:t xml:space="preserve"> </w:t>
            </w:r>
            <w:r w:rsidRPr="00943136">
              <w:rPr>
                <w:b w:val="0"/>
                <w:sz w:val="20"/>
                <w:szCs w:val="18"/>
              </w:rPr>
              <w:t>(n=60)</w:t>
            </w:r>
          </w:p>
        </w:tc>
      </w:tr>
      <w:tr w:rsidR="004B3F67" w:rsidRPr="00943136" w:rsidTr="00943136">
        <w:trPr>
          <w:cnfStyle w:val="000000100000"/>
          <w:jc w:val="center"/>
        </w:trPr>
        <w:tc>
          <w:tcPr>
            <w:cnfStyle w:val="001000000000"/>
            <w:tcW w:w="3073" w:type="pct"/>
            <w:vAlign w:val="center"/>
          </w:tcPr>
          <w:p w:rsidR="004B3F67" w:rsidRPr="00943136" w:rsidRDefault="00E26E04" w:rsidP="00CA7FF6">
            <w:pPr>
              <w:snapToGrid w:val="0"/>
              <w:jc w:val="both"/>
              <w:rPr>
                <w:sz w:val="20"/>
                <w:szCs w:val="18"/>
              </w:rPr>
            </w:pPr>
            <w:r w:rsidRPr="00943136">
              <w:rPr>
                <w:sz w:val="20"/>
                <w:szCs w:val="18"/>
              </w:rPr>
              <w:t xml:space="preserve">Chemotherapy </w:t>
            </w:r>
          </w:p>
        </w:tc>
        <w:tc>
          <w:tcPr>
            <w:tcW w:w="979" w:type="pct"/>
            <w:vAlign w:val="center"/>
          </w:tcPr>
          <w:p w:rsidR="004B3F67" w:rsidRPr="00943136" w:rsidRDefault="004B3F67" w:rsidP="00CA7FF6">
            <w:pPr>
              <w:snapToGrid w:val="0"/>
              <w:jc w:val="both"/>
              <w:cnfStyle w:val="000000100000"/>
              <w:rPr>
                <w:sz w:val="20"/>
                <w:szCs w:val="18"/>
              </w:rPr>
            </w:pPr>
          </w:p>
        </w:tc>
        <w:tc>
          <w:tcPr>
            <w:tcW w:w="948" w:type="pct"/>
            <w:vAlign w:val="center"/>
          </w:tcPr>
          <w:p w:rsidR="004B3F67" w:rsidRPr="00943136" w:rsidRDefault="004B3F67" w:rsidP="00CA7FF6">
            <w:pPr>
              <w:snapToGrid w:val="0"/>
              <w:jc w:val="both"/>
              <w:cnfStyle w:val="000000100000"/>
              <w:rPr>
                <w:sz w:val="20"/>
                <w:szCs w:val="18"/>
              </w:rPr>
            </w:pPr>
          </w:p>
        </w:tc>
      </w:tr>
      <w:tr w:rsidR="004B3F67" w:rsidRPr="00943136" w:rsidTr="00943136">
        <w:trPr>
          <w:jc w:val="center"/>
        </w:trPr>
        <w:tc>
          <w:tcPr>
            <w:cnfStyle w:val="001000000000"/>
            <w:tcW w:w="3073" w:type="pct"/>
            <w:vAlign w:val="center"/>
          </w:tcPr>
          <w:p w:rsidR="004B3F67" w:rsidRPr="00943136" w:rsidRDefault="00E26E04" w:rsidP="00CA7FF6">
            <w:pPr>
              <w:snapToGrid w:val="0"/>
              <w:jc w:val="both"/>
              <w:rPr>
                <w:sz w:val="20"/>
                <w:szCs w:val="18"/>
              </w:rPr>
            </w:pPr>
            <w:r w:rsidRPr="00943136">
              <w:rPr>
                <w:b w:val="0"/>
                <w:sz w:val="20"/>
                <w:szCs w:val="18"/>
              </w:rPr>
              <w:t>FE</w:t>
            </w:r>
            <w:r w:rsidR="009A22B1" w:rsidRPr="00943136">
              <w:rPr>
                <w:b w:val="0"/>
                <w:sz w:val="20"/>
                <w:szCs w:val="18"/>
              </w:rPr>
              <w:t>C (</w:t>
            </w:r>
            <w:r w:rsidRPr="00943136">
              <w:rPr>
                <w:b w:val="0"/>
                <w:sz w:val="20"/>
                <w:szCs w:val="18"/>
              </w:rPr>
              <w:t xml:space="preserve">6cycles) </w:t>
            </w:r>
          </w:p>
        </w:tc>
        <w:tc>
          <w:tcPr>
            <w:tcW w:w="979" w:type="pct"/>
            <w:vAlign w:val="center"/>
          </w:tcPr>
          <w:p w:rsidR="004B3F67" w:rsidRPr="00943136" w:rsidRDefault="00E26E04" w:rsidP="00CA7FF6">
            <w:pPr>
              <w:snapToGrid w:val="0"/>
              <w:jc w:val="both"/>
              <w:cnfStyle w:val="000000000000"/>
              <w:rPr>
                <w:color w:val="000000"/>
                <w:sz w:val="20"/>
                <w:szCs w:val="18"/>
              </w:rPr>
            </w:pPr>
            <w:r w:rsidRPr="00943136">
              <w:rPr>
                <w:color w:val="000000"/>
                <w:sz w:val="20"/>
                <w:szCs w:val="18"/>
              </w:rPr>
              <w:t>48 (80 %)</w:t>
            </w:r>
          </w:p>
        </w:tc>
        <w:tc>
          <w:tcPr>
            <w:tcW w:w="948" w:type="pct"/>
            <w:vAlign w:val="center"/>
          </w:tcPr>
          <w:p w:rsidR="004B3F67" w:rsidRPr="00943136" w:rsidRDefault="00E26E04" w:rsidP="00CA7FF6">
            <w:pPr>
              <w:snapToGrid w:val="0"/>
              <w:jc w:val="both"/>
              <w:cnfStyle w:val="000000000000"/>
              <w:rPr>
                <w:color w:val="000000"/>
                <w:sz w:val="20"/>
                <w:szCs w:val="18"/>
              </w:rPr>
            </w:pPr>
            <w:r w:rsidRPr="00943136">
              <w:rPr>
                <w:color w:val="000000"/>
                <w:sz w:val="20"/>
                <w:szCs w:val="18"/>
              </w:rPr>
              <w:t>45 (75%)</w:t>
            </w:r>
          </w:p>
        </w:tc>
      </w:tr>
      <w:tr w:rsidR="004B3F67" w:rsidRPr="00943136" w:rsidTr="00943136">
        <w:trPr>
          <w:cnfStyle w:val="000000100000"/>
          <w:jc w:val="center"/>
        </w:trPr>
        <w:tc>
          <w:tcPr>
            <w:cnfStyle w:val="001000000000"/>
            <w:tcW w:w="3073" w:type="pct"/>
            <w:vAlign w:val="center"/>
          </w:tcPr>
          <w:p w:rsidR="004B3F67" w:rsidRPr="00943136" w:rsidRDefault="00E26E04" w:rsidP="00CA7FF6">
            <w:pPr>
              <w:snapToGrid w:val="0"/>
              <w:jc w:val="both"/>
              <w:rPr>
                <w:sz w:val="20"/>
                <w:szCs w:val="18"/>
              </w:rPr>
            </w:pPr>
            <w:r w:rsidRPr="00943136">
              <w:rPr>
                <w:b w:val="0"/>
                <w:sz w:val="20"/>
                <w:szCs w:val="18"/>
              </w:rPr>
              <w:t>FEC (3cycles) followed by Docetaxel (3cyles)</w:t>
            </w:r>
          </w:p>
        </w:tc>
        <w:tc>
          <w:tcPr>
            <w:tcW w:w="979" w:type="pct"/>
            <w:vAlign w:val="center"/>
          </w:tcPr>
          <w:p w:rsidR="004B3F67" w:rsidRPr="00943136" w:rsidRDefault="00E26E04" w:rsidP="00CA7FF6">
            <w:pPr>
              <w:snapToGrid w:val="0"/>
              <w:jc w:val="both"/>
              <w:cnfStyle w:val="000000100000"/>
              <w:rPr>
                <w:color w:val="000000"/>
                <w:sz w:val="20"/>
                <w:szCs w:val="18"/>
              </w:rPr>
            </w:pPr>
            <w:r w:rsidRPr="00943136">
              <w:rPr>
                <w:color w:val="000000"/>
                <w:sz w:val="20"/>
                <w:szCs w:val="18"/>
              </w:rPr>
              <w:t>6 (10%)</w:t>
            </w:r>
          </w:p>
        </w:tc>
        <w:tc>
          <w:tcPr>
            <w:tcW w:w="948" w:type="pct"/>
            <w:vAlign w:val="center"/>
          </w:tcPr>
          <w:p w:rsidR="004B3F67" w:rsidRPr="00943136" w:rsidRDefault="00E26E04" w:rsidP="00CA7FF6">
            <w:pPr>
              <w:snapToGrid w:val="0"/>
              <w:jc w:val="both"/>
              <w:cnfStyle w:val="000000100000"/>
              <w:rPr>
                <w:color w:val="000000"/>
                <w:sz w:val="20"/>
                <w:szCs w:val="18"/>
              </w:rPr>
            </w:pPr>
            <w:r w:rsidRPr="00943136">
              <w:rPr>
                <w:color w:val="000000"/>
                <w:sz w:val="20"/>
                <w:szCs w:val="18"/>
              </w:rPr>
              <w:t>4 (7%)</w:t>
            </w:r>
          </w:p>
        </w:tc>
      </w:tr>
      <w:tr w:rsidR="004B3F67" w:rsidRPr="00943136" w:rsidTr="00943136">
        <w:trPr>
          <w:jc w:val="center"/>
        </w:trPr>
        <w:tc>
          <w:tcPr>
            <w:cnfStyle w:val="001000000000"/>
            <w:tcW w:w="3073" w:type="pct"/>
            <w:vAlign w:val="center"/>
          </w:tcPr>
          <w:p w:rsidR="004B3F67" w:rsidRPr="00943136" w:rsidRDefault="00E26E04" w:rsidP="00CA7FF6">
            <w:pPr>
              <w:snapToGrid w:val="0"/>
              <w:jc w:val="both"/>
              <w:rPr>
                <w:sz w:val="20"/>
                <w:szCs w:val="18"/>
              </w:rPr>
            </w:pPr>
            <w:r w:rsidRPr="00943136">
              <w:rPr>
                <w:sz w:val="20"/>
                <w:szCs w:val="18"/>
              </w:rPr>
              <w:t>Hormonal treatment</w:t>
            </w:r>
          </w:p>
        </w:tc>
        <w:tc>
          <w:tcPr>
            <w:tcW w:w="979" w:type="pct"/>
            <w:vAlign w:val="center"/>
          </w:tcPr>
          <w:p w:rsidR="004B3F67" w:rsidRPr="00943136" w:rsidRDefault="00E26E04" w:rsidP="00CA7FF6">
            <w:pPr>
              <w:snapToGrid w:val="0"/>
              <w:jc w:val="both"/>
              <w:cnfStyle w:val="000000000000"/>
              <w:rPr>
                <w:sz w:val="20"/>
                <w:szCs w:val="18"/>
              </w:rPr>
            </w:pPr>
            <w:r w:rsidRPr="00943136">
              <w:rPr>
                <w:sz w:val="20"/>
                <w:szCs w:val="18"/>
              </w:rPr>
              <w:t>(23-70)</w:t>
            </w:r>
          </w:p>
        </w:tc>
        <w:tc>
          <w:tcPr>
            <w:tcW w:w="948" w:type="pct"/>
            <w:vAlign w:val="center"/>
          </w:tcPr>
          <w:p w:rsidR="004B3F67" w:rsidRPr="00943136" w:rsidRDefault="00E26E04" w:rsidP="00CA7FF6">
            <w:pPr>
              <w:snapToGrid w:val="0"/>
              <w:jc w:val="both"/>
              <w:cnfStyle w:val="000000000000"/>
              <w:rPr>
                <w:sz w:val="20"/>
                <w:szCs w:val="18"/>
              </w:rPr>
            </w:pPr>
            <w:r w:rsidRPr="00943136">
              <w:rPr>
                <w:sz w:val="20"/>
                <w:szCs w:val="18"/>
              </w:rPr>
              <w:t>(25-68)</w:t>
            </w:r>
          </w:p>
        </w:tc>
      </w:tr>
      <w:tr w:rsidR="004B3F67" w:rsidRPr="00943136" w:rsidTr="00943136">
        <w:trPr>
          <w:cnfStyle w:val="000000100000"/>
          <w:jc w:val="center"/>
        </w:trPr>
        <w:tc>
          <w:tcPr>
            <w:cnfStyle w:val="001000000000"/>
            <w:tcW w:w="3073" w:type="pct"/>
            <w:vAlign w:val="center"/>
          </w:tcPr>
          <w:p w:rsidR="004B3F67" w:rsidRPr="00943136" w:rsidRDefault="00E26E04" w:rsidP="00CA7FF6">
            <w:pPr>
              <w:snapToGrid w:val="0"/>
              <w:jc w:val="both"/>
              <w:rPr>
                <w:sz w:val="20"/>
                <w:szCs w:val="18"/>
              </w:rPr>
            </w:pPr>
            <w:r w:rsidRPr="00943136">
              <w:rPr>
                <w:b w:val="0"/>
                <w:sz w:val="20"/>
                <w:szCs w:val="18"/>
              </w:rPr>
              <w:t>Tamoxifen</w:t>
            </w:r>
          </w:p>
        </w:tc>
        <w:tc>
          <w:tcPr>
            <w:tcW w:w="979" w:type="pct"/>
            <w:vAlign w:val="center"/>
          </w:tcPr>
          <w:p w:rsidR="004B3F67" w:rsidRPr="00943136" w:rsidRDefault="00E26E04" w:rsidP="00CA7FF6">
            <w:pPr>
              <w:snapToGrid w:val="0"/>
              <w:jc w:val="both"/>
              <w:cnfStyle w:val="000000100000"/>
              <w:rPr>
                <w:color w:val="000000"/>
                <w:sz w:val="20"/>
                <w:szCs w:val="18"/>
              </w:rPr>
            </w:pPr>
            <w:r w:rsidRPr="00943136">
              <w:rPr>
                <w:color w:val="000000"/>
                <w:sz w:val="20"/>
                <w:szCs w:val="18"/>
              </w:rPr>
              <w:t>15(31%)</w:t>
            </w:r>
          </w:p>
        </w:tc>
        <w:tc>
          <w:tcPr>
            <w:tcW w:w="948" w:type="pct"/>
            <w:vAlign w:val="center"/>
          </w:tcPr>
          <w:p w:rsidR="004B3F67" w:rsidRPr="00943136" w:rsidRDefault="00E26E04" w:rsidP="00CA7FF6">
            <w:pPr>
              <w:snapToGrid w:val="0"/>
              <w:jc w:val="both"/>
              <w:cnfStyle w:val="000000100000"/>
              <w:rPr>
                <w:color w:val="000000"/>
                <w:sz w:val="20"/>
                <w:szCs w:val="18"/>
              </w:rPr>
            </w:pPr>
            <w:r w:rsidRPr="00943136">
              <w:rPr>
                <w:color w:val="000000"/>
                <w:sz w:val="20"/>
                <w:szCs w:val="18"/>
              </w:rPr>
              <w:t>19(36%)</w:t>
            </w:r>
          </w:p>
        </w:tc>
      </w:tr>
      <w:tr w:rsidR="004B3F67" w:rsidRPr="00943136" w:rsidTr="00943136">
        <w:trPr>
          <w:jc w:val="center"/>
        </w:trPr>
        <w:tc>
          <w:tcPr>
            <w:cnfStyle w:val="001000000000"/>
            <w:tcW w:w="3073" w:type="pct"/>
            <w:vAlign w:val="center"/>
          </w:tcPr>
          <w:p w:rsidR="004B3F67" w:rsidRPr="00943136" w:rsidRDefault="00E26E04" w:rsidP="00CA7FF6">
            <w:pPr>
              <w:snapToGrid w:val="0"/>
              <w:jc w:val="both"/>
              <w:rPr>
                <w:sz w:val="20"/>
                <w:szCs w:val="18"/>
              </w:rPr>
            </w:pPr>
            <w:r w:rsidRPr="00943136">
              <w:rPr>
                <w:b w:val="0"/>
                <w:sz w:val="20"/>
                <w:szCs w:val="18"/>
              </w:rPr>
              <w:t>AIs</w:t>
            </w:r>
          </w:p>
        </w:tc>
        <w:tc>
          <w:tcPr>
            <w:tcW w:w="979" w:type="pct"/>
            <w:vAlign w:val="center"/>
          </w:tcPr>
          <w:p w:rsidR="004B3F67" w:rsidRPr="00943136" w:rsidRDefault="00E26E04" w:rsidP="00CA7FF6">
            <w:pPr>
              <w:snapToGrid w:val="0"/>
              <w:jc w:val="both"/>
              <w:cnfStyle w:val="000000000000"/>
              <w:rPr>
                <w:color w:val="000000"/>
                <w:sz w:val="20"/>
                <w:szCs w:val="18"/>
              </w:rPr>
            </w:pPr>
            <w:r w:rsidRPr="00943136">
              <w:rPr>
                <w:color w:val="000000"/>
                <w:sz w:val="20"/>
                <w:szCs w:val="18"/>
              </w:rPr>
              <w:t>34(69%)</w:t>
            </w:r>
          </w:p>
        </w:tc>
        <w:tc>
          <w:tcPr>
            <w:tcW w:w="948" w:type="pct"/>
            <w:vAlign w:val="center"/>
          </w:tcPr>
          <w:p w:rsidR="004B3F67" w:rsidRPr="00943136" w:rsidRDefault="00E26E04" w:rsidP="00CA7FF6">
            <w:pPr>
              <w:snapToGrid w:val="0"/>
              <w:jc w:val="both"/>
              <w:cnfStyle w:val="000000000000"/>
              <w:rPr>
                <w:color w:val="000000"/>
                <w:sz w:val="20"/>
                <w:szCs w:val="18"/>
              </w:rPr>
            </w:pPr>
            <w:r w:rsidRPr="00943136">
              <w:rPr>
                <w:color w:val="000000"/>
                <w:sz w:val="20"/>
                <w:szCs w:val="18"/>
              </w:rPr>
              <w:t>33(64%)</w:t>
            </w:r>
          </w:p>
        </w:tc>
      </w:tr>
    </w:tbl>
    <w:p w:rsidR="004B3F67" w:rsidRPr="00943136" w:rsidRDefault="00E26E04" w:rsidP="00CA7FF6">
      <w:pPr>
        <w:snapToGrid w:val="0"/>
        <w:jc w:val="both"/>
        <w:rPr>
          <w:color w:val="000000"/>
          <w:sz w:val="20"/>
          <w:szCs w:val="20"/>
        </w:rPr>
      </w:pPr>
      <w:r w:rsidRPr="00943136">
        <w:rPr>
          <w:color w:val="000000"/>
          <w:sz w:val="20"/>
          <w:szCs w:val="20"/>
        </w:rPr>
        <w:t>FEC</w:t>
      </w:r>
      <w:r w:rsidR="009A22B1" w:rsidRPr="00943136">
        <w:rPr>
          <w:color w:val="000000"/>
          <w:sz w:val="20"/>
          <w:szCs w:val="20"/>
        </w:rPr>
        <w:t>:</w:t>
      </w:r>
      <w:r w:rsidRPr="00943136">
        <w:rPr>
          <w:color w:val="000000"/>
          <w:sz w:val="20"/>
          <w:szCs w:val="20"/>
        </w:rPr>
        <w:t>5 Fluorouracil, Epirubcin, Cyclophosamide; AIs: Aromatase inhibitors</w:t>
      </w:r>
    </w:p>
    <w:p w:rsidR="004B3F67" w:rsidRPr="00943136" w:rsidRDefault="004B3F67" w:rsidP="00CA7FF6">
      <w:pPr>
        <w:snapToGrid w:val="0"/>
        <w:jc w:val="center"/>
        <w:rPr>
          <w:color w:val="000000"/>
          <w:sz w:val="20"/>
          <w:szCs w:val="20"/>
        </w:rPr>
      </w:pPr>
    </w:p>
    <w:p w:rsidR="004B3F67" w:rsidRPr="00943136" w:rsidRDefault="00E26E04" w:rsidP="00CA7FF6">
      <w:pPr>
        <w:snapToGrid w:val="0"/>
        <w:jc w:val="center"/>
        <w:rPr>
          <w:color w:val="000000"/>
          <w:sz w:val="20"/>
          <w:szCs w:val="20"/>
        </w:rPr>
      </w:pPr>
      <w:r w:rsidRPr="00943136">
        <w:rPr>
          <w:b/>
          <w:color w:val="000000"/>
          <w:sz w:val="20"/>
          <w:szCs w:val="20"/>
        </w:rPr>
        <w:t>Table 3</w:t>
      </w:r>
      <w:r w:rsidR="00CA7FF6" w:rsidRPr="00943136">
        <w:rPr>
          <w:b/>
          <w:color w:val="000000"/>
          <w:sz w:val="20"/>
          <w:szCs w:val="20"/>
        </w:rPr>
        <w:t>.</w:t>
      </w:r>
      <w:r w:rsidR="00CA7FF6">
        <w:rPr>
          <w:b/>
          <w:color w:val="000000"/>
          <w:sz w:val="20"/>
          <w:szCs w:val="20"/>
        </w:rPr>
        <w:t xml:space="preserve"> </w:t>
      </w:r>
      <w:r w:rsidR="00CA7FF6" w:rsidRPr="00943136">
        <w:rPr>
          <w:color w:val="000000"/>
          <w:sz w:val="20"/>
          <w:szCs w:val="20"/>
        </w:rPr>
        <w:t>C</w:t>
      </w:r>
      <w:r w:rsidRPr="00943136">
        <w:rPr>
          <w:color w:val="000000"/>
          <w:sz w:val="20"/>
          <w:szCs w:val="20"/>
        </w:rPr>
        <w:t>orrelation of ejection fraction (EF) during follow up between two groups.</w:t>
      </w:r>
    </w:p>
    <w:tbl>
      <w:tblPr>
        <w:tblStyle w:val="a1"/>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7" w:type="dxa"/>
          <w:right w:w="57" w:type="dxa"/>
        </w:tblCellMar>
        <w:tblLook w:val="0400"/>
      </w:tblPr>
      <w:tblGrid>
        <w:gridCol w:w="3732"/>
        <w:gridCol w:w="1990"/>
        <w:gridCol w:w="1965"/>
        <w:gridCol w:w="1787"/>
      </w:tblGrid>
      <w:tr w:rsidR="004B3F67" w:rsidRPr="00943136" w:rsidTr="00943136">
        <w:trPr>
          <w:cnfStyle w:val="000000100000"/>
          <w:jc w:val="center"/>
        </w:trPr>
        <w:tc>
          <w:tcPr>
            <w:tcW w:w="1970" w:type="pct"/>
            <w:vAlign w:val="center"/>
          </w:tcPr>
          <w:p w:rsidR="004B3F67" w:rsidRPr="00943136" w:rsidRDefault="004B3F67" w:rsidP="00CA7FF6">
            <w:pPr>
              <w:snapToGrid w:val="0"/>
              <w:jc w:val="both"/>
              <w:rPr>
                <w:color w:val="000000"/>
                <w:sz w:val="20"/>
                <w:szCs w:val="18"/>
              </w:rPr>
            </w:pPr>
          </w:p>
        </w:tc>
        <w:tc>
          <w:tcPr>
            <w:tcW w:w="1050" w:type="pct"/>
            <w:vAlign w:val="center"/>
          </w:tcPr>
          <w:p w:rsidR="004B3F67" w:rsidRPr="00943136" w:rsidRDefault="00E26E04" w:rsidP="00CA7FF6">
            <w:pPr>
              <w:snapToGrid w:val="0"/>
              <w:jc w:val="both"/>
              <w:rPr>
                <w:b/>
                <w:color w:val="000000"/>
                <w:sz w:val="20"/>
                <w:szCs w:val="18"/>
              </w:rPr>
            </w:pPr>
            <w:r w:rsidRPr="00943136">
              <w:rPr>
                <w:b/>
                <w:color w:val="000000"/>
                <w:sz w:val="20"/>
                <w:szCs w:val="18"/>
              </w:rPr>
              <w:t>Group A</w:t>
            </w:r>
          </w:p>
        </w:tc>
        <w:tc>
          <w:tcPr>
            <w:tcW w:w="1037" w:type="pct"/>
            <w:vAlign w:val="center"/>
          </w:tcPr>
          <w:p w:rsidR="004B3F67" w:rsidRPr="00943136" w:rsidRDefault="00E26E04" w:rsidP="00CA7FF6">
            <w:pPr>
              <w:snapToGrid w:val="0"/>
              <w:jc w:val="both"/>
              <w:rPr>
                <w:b/>
                <w:color w:val="000000"/>
                <w:sz w:val="20"/>
                <w:szCs w:val="18"/>
              </w:rPr>
            </w:pPr>
            <w:r w:rsidRPr="00943136">
              <w:rPr>
                <w:b/>
                <w:color w:val="000000"/>
                <w:sz w:val="20"/>
                <w:szCs w:val="18"/>
              </w:rPr>
              <w:t>Group B</w:t>
            </w:r>
          </w:p>
        </w:tc>
        <w:tc>
          <w:tcPr>
            <w:tcW w:w="943" w:type="pct"/>
            <w:vAlign w:val="center"/>
          </w:tcPr>
          <w:p w:rsidR="004B3F67" w:rsidRPr="00943136" w:rsidRDefault="00E26E04" w:rsidP="00CA7FF6">
            <w:pPr>
              <w:snapToGrid w:val="0"/>
              <w:jc w:val="both"/>
              <w:rPr>
                <w:b/>
                <w:color w:val="000000"/>
                <w:sz w:val="20"/>
                <w:szCs w:val="18"/>
              </w:rPr>
            </w:pPr>
            <w:r w:rsidRPr="00943136">
              <w:rPr>
                <w:b/>
                <w:color w:val="000000"/>
                <w:sz w:val="20"/>
                <w:szCs w:val="18"/>
              </w:rPr>
              <w:t>P Value</w:t>
            </w:r>
          </w:p>
        </w:tc>
      </w:tr>
      <w:tr w:rsidR="004B3F67" w:rsidRPr="00943136" w:rsidTr="00943136">
        <w:trPr>
          <w:jc w:val="center"/>
        </w:trPr>
        <w:tc>
          <w:tcPr>
            <w:tcW w:w="1970" w:type="pct"/>
            <w:vAlign w:val="center"/>
          </w:tcPr>
          <w:p w:rsidR="004B3F67" w:rsidRPr="00943136" w:rsidRDefault="00E26E04" w:rsidP="00CA7FF6">
            <w:pPr>
              <w:snapToGrid w:val="0"/>
              <w:jc w:val="both"/>
              <w:rPr>
                <w:b/>
                <w:color w:val="000000"/>
                <w:sz w:val="20"/>
                <w:szCs w:val="18"/>
              </w:rPr>
            </w:pPr>
            <w:r w:rsidRPr="00943136">
              <w:rPr>
                <w:b/>
                <w:color w:val="000000"/>
                <w:sz w:val="20"/>
                <w:szCs w:val="18"/>
              </w:rPr>
              <w:t>Base-line EF</w:t>
            </w:r>
          </w:p>
        </w:tc>
        <w:tc>
          <w:tcPr>
            <w:tcW w:w="1050" w:type="pct"/>
            <w:vAlign w:val="center"/>
          </w:tcPr>
          <w:p w:rsidR="004B3F67" w:rsidRPr="00943136" w:rsidRDefault="00E26E04" w:rsidP="00CA7FF6">
            <w:pPr>
              <w:snapToGrid w:val="0"/>
              <w:jc w:val="both"/>
              <w:rPr>
                <w:color w:val="000000"/>
                <w:sz w:val="20"/>
                <w:szCs w:val="18"/>
              </w:rPr>
            </w:pPr>
            <w:r w:rsidRPr="00943136">
              <w:rPr>
                <w:color w:val="000000"/>
                <w:sz w:val="20"/>
                <w:szCs w:val="18"/>
              </w:rPr>
              <w:t>63.3</w:t>
            </w:r>
          </w:p>
        </w:tc>
        <w:tc>
          <w:tcPr>
            <w:tcW w:w="1037" w:type="pct"/>
            <w:vAlign w:val="center"/>
          </w:tcPr>
          <w:p w:rsidR="004B3F67" w:rsidRPr="00943136" w:rsidRDefault="00E26E04" w:rsidP="00CA7FF6">
            <w:pPr>
              <w:snapToGrid w:val="0"/>
              <w:jc w:val="both"/>
              <w:rPr>
                <w:color w:val="000000"/>
                <w:sz w:val="20"/>
                <w:szCs w:val="18"/>
              </w:rPr>
            </w:pPr>
            <w:r w:rsidRPr="00943136">
              <w:rPr>
                <w:color w:val="000000"/>
                <w:sz w:val="20"/>
                <w:szCs w:val="18"/>
              </w:rPr>
              <w:t>64.9</w:t>
            </w:r>
          </w:p>
        </w:tc>
        <w:tc>
          <w:tcPr>
            <w:tcW w:w="943" w:type="pct"/>
            <w:vAlign w:val="center"/>
          </w:tcPr>
          <w:p w:rsidR="004B3F67" w:rsidRPr="00943136" w:rsidRDefault="00E26E04" w:rsidP="00CA7FF6">
            <w:pPr>
              <w:snapToGrid w:val="0"/>
              <w:jc w:val="both"/>
              <w:rPr>
                <w:color w:val="000000"/>
                <w:sz w:val="20"/>
                <w:szCs w:val="18"/>
              </w:rPr>
            </w:pPr>
            <w:r w:rsidRPr="00943136">
              <w:rPr>
                <w:color w:val="000000"/>
                <w:sz w:val="20"/>
                <w:szCs w:val="18"/>
              </w:rPr>
              <w:t>0.6</w:t>
            </w:r>
          </w:p>
        </w:tc>
      </w:tr>
      <w:tr w:rsidR="004B3F67" w:rsidRPr="00943136" w:rsidTr="00943136">
        <w:trPr>
          <w:cnfStyle w:val="000000100000"/>
          <w:jc w:val="center"/>
        </w:trPr>
        <w:tc>
          <w:tcPr>
            <w:tcW w:w="1970" w:type="pct"/>
            <w:vAlign w:val="center"/>
          </w:tcPr>
          <w:p w:rsidR="004B3F67" w:rsidRPr="00943136" w:rsidRDefault="00E26E04" w:rsidP="00CA7FF6">
            <w:pPr>
              <w:snapToGrid w:val="0"/>
              <w:jc w:val="both"/>
              <w:rPr>
                <w:b/>
                <w:color w:val="000000"/>
                <w:sz w:val="20"/>
                <w:szCs w:val="18"/>
              </w:rPr>
            </w:pPr>
            <w:r w:rsidRPr="00943136">
              <w:rPr>
                <w:b/>
                <w:color w:val="000000"/>
                <w:sz w:val="20"/>
                <w:szCs w:val="18"/>
              </w:rPr>
              <w:t>2</w:t>
            </w:r>
            <w:r w:rsidRPr="00943136">
              <w:rPr>
                <w:b/>
                <w:color w:val="000000"/>
                <w:sz w:val="20"/>
                <w:szCs w:val="18"/>
                <w:vertAlign w:val="superscript"/>
              </w:rPr>
              <w:t>nd</w:t>
            </w:r>
          </w:p>
        </w:tc>
        <w:tc>
          <w:tcPr>
            <w:tcW w:w="1050" w:type="pct"/>
            <w:vAlign w:val="center"/>
          </w:tcPr>
          <w:p w:rsidR="004B3F67" w:rsidRPr="00943136" w:rsidRDefault="00E26E04" w:rsidP="00CA7FF6">
            <w:pPr>
              <w:snapToGrid w:val="0"/>
              <w:jc w:val="both"/>
              <w:rPr>
                <w:color w:val="000000"/>
                <w:sz w:val="20"/>
                <w:szCs w:val="18"/>
              </w:rPr>
            </w:pPr>
            <w:r w:rsidRPr="00943136">
              <w:rPr>
                <w:color w:val="000000"/>
                <w:sz w:val="20"/>
                <w:szCs w:val="18"/>
              </w:rPr>
              <w:t>61.9</w:t>
            </w:r>
          </w:p>
        </w:tc>
        <w:tc>
          <w:tcPr>
            <w:tcW w:w="1037" w:type="pct"/>
            <w:vAlign w:val="center"/>
          </w:tcPr>
          <w:p w:rsidR="004B3F67" w:rsidRPr="00943136" w:rsidRDefault="00E26E04" w:rsidP="00CA7FF6">
            <w:pPr>
              <w:snapToGrid w:val="0"/>
              <w:jc w:val="both"/>
              <w:rPr>
                <w:color w:val="000000"/>
                <w:sz w:val="20"/>
                <w:szCs w:val="18"/>
              </w:rPr>
            </w:pPr>
            <w:r w:rsidRPr="00943136">
              <w:rPr>
                <w:color w:val="000000"/>
                <w:sz w:val="20"/>
                <w:szCs w:val="18"/>
              </w:rPr>
              <w:t>63.2</w:t>
            </w:r>
          </w:p>
        </w:tc>
        <w:tc>
          <w:tcPr>
            <w:tcW w:w="943" w:type="pct"/>
            <w:vAlign w:val="center"/>
          </w:tcPr>
          <w:p w:rsidR="004B3F67" w:rsidRPr="00943136" w:rsidRDefault="00E26E04" w:rsidP="00CA7FF6">
            <w:pPr>
              <w:snapToGrid w:val="0"/>
              <w:jc w:val="both"/>
              <w:rPr>
                <w:color w:val="000000"/>
                <w:sz w:val="20"/>
                <w:szCs w:val="18"/>
              </w:rPr>
            </w:pPr>
            <w:r w:rsidRPr="00943136">
              <w:rPr>
                <w:color w:val="000000"/>
                <w:sz w:val="20"/>
                <w:szCs w:val="18"/>
              </w:rPr>
              <w:t>0.1</w:t>
            </w:r>
          </w:p>
        </w:tc>
      </w:tr>
      <w:tr w:rsidR="004B3F67" w:rsidRPr="00943136" w:rsidTr="00943136">
        <w:trPr>
          <w:jc w:val="center"/>
        </w:trPr>
        <w:tc>
          <w:tcPr>
            <w:tcW w:w="1970" w:type="pct"/>
            <w:vAlign w:val="center"/>
          </w:tcPr>
          <w:p w:rsidR="004B3F67" w:rsidRPr="00943136" w:rsidRDefault="00E26E04" w:rsidP="00CA7FF6">
            <w:pPr>
              <w:snapToGrid w:val="0"/>
              <w:jc w:val="both"/>
              <w:rPr>
                <w:b/>
                <w:color w:val="000000"/>
                <w:sz w:val="20"/>
                <w:szCs w:val="18"/>
              </w:rPr>
            </w:pPr>
            <w:r w:rsidRPr="00943136">
              <w:rPr>
                <w:b/>
                <w:color w:val="000000"/>
                <w:sz w:val="20"/>
                <w:szCs w:val="18"/>
              </w:rPr>
              <w:t>3</w:t>
            </w:r>
            <w:r w:rsidRPr="00943136">
              <w:rPr>
                <w:b/>
                <w:color w:val="000000"/>
                <w:sz w:val="20"/>
                <w:szCs w:val="18"/>
                <w:vertAlign w:val="superscript"/>
              </w:rPr>
              <w:t>rd</w:t>
            </w:r>
          </w:p>
        </w:tc>
        <w:tc>
          <w:tcPr>
            <w:tcW w:w="1050" w:type="pct"/>
            <w:vAlign w:val="center"/>
          </w:tcPr>
          <w:p w:rsidR="004B3F67" w:rsidRPr="00943136" w:rsidRDefault="00E26E04" w:rsidP="00CA7FF6">
            <w:pPr>
              <w:snapToGrid w:val="0"/>
              <w:jc w:val="both"/>
              <w:rPr>
                <w:color w:val="000000"/>
                <w:sz w:val="20"/>
                <w:szCs w:val="18"/>
              </w:rPr>
            </w:pPr>
            <w:r w:rsidRPr="00943136">
              <w:rPr>
                <w:color w:val="000000"/>
                <w:sz w:val="20"/>
                <w:szCs w:val="18"/>
              </w:rPr>
              <w:t>60.9</w:t>
            </w:r>
          </w:p>
        </w:tc>
        <w:tc>
          <w:tcPr>
            <w:tcW w:w="1037" w:type="pct"/>
            <w:vAlign w:val="center"/>
          </w:tcPr>
          <w:p w:rsidR="004B3F67" w:rsidRPr="00943136" w:rsidRDefault="00E26E04" w:rsidP="00CA7FF6">
            <w:pPr>
              <w:snapToGrid w:val="0"/>
              <w:jc w:val="both"/>
              <w:rPr>
                <w:color w:val="000000"/>
                <w:sz w:val="20"/>
                <w:szCs w:val="18"/>
              </w:rPr>
            </w:pPr>
            <w:r w:rsidRPr="00943136">
              <w:rPr>
                <w:color w:val="000000"/>
                <w:sz w:val="20"/>
                <w:szCs w:val="18"/>
              </w:rPr>
              <w:t>62</w:t>
            </w:r>
          </w:p>
        </w:tc>
        <w:tc>
          <w:tcPr>
            <w:tcW w:w="943" w:type="pct"/>
            <w:vAlign w:val="center"/>
          </w:tcPr>
          <w:p w:rsidR="004B3F67" w:rsidRPr="00943136" w:rsidRDefault="00E26E04" w:rsidP="00CA7FF6">
            <w:pPr>
              <w:snapToGrid w:val="0"/>
              <w:jc w:val="both"/>
              <w:rPr>
                <w:color w:val="000000"/>
                <w:sz w:val="20"/>
                <w:szCs w:val="18"/>
              </w:rPr>
            </w:pPr>
            <w:r w:rsidRPr="00943136">
              <w:rPr>
                <w:color w:val="000000"/>
                <w:sz w:val="20"/>
                <w:szCs w:val="18"/>
              </w:rPr>
              <w:t>0.1</w:t>
            </w:r>
          </w:p>
        </w:tc>
      </w:tr>
      <w:tr w:rsidR="004B3F67" w:rsidRPr="00943136" w:rsidTr="00943136">
        <w:trPr>
          <w:cnfStyle w:val="000000100000"/>
          <w:jc w:val="center"/>
        </w:trPr>
        <w:tc>
          <w:tcPr>
            <w:tcW w:w="1970" w:type="pct"/>
            <w:vAlign w:val="center"/>
          </w:tcPr>
          <w:p w:rsidR="004B3F67" w:rsidRPr="00943136" w:rsidRDefault="00E26E04" w:rsidP="00CA7FF6">
            <w:pPr>
              <w:snapToGrid w:val="0"/>
              <w:jc w:val="both"/>
              <w:rPr>
                <w:b/>
                <w:color w:val="000000"/>
                <w:sz w:val="20"/>
                <w:szCs w:val="18"/>
              </w:rPr>
            </w:pPr>
            <w:r w:rsidRPr="00943136">
              <w:rPr>
                <w:b/>
                <w:color w:val="000000"/>
                <w:sz w:val="20"/>
                <w:szCs w:val="18"/>
              </w:rPr>
              <w:t>4</w:t>
            </w:r>
            <w:r w:rsidRPr="00943136">
              <w:rPr>
                <w:b/>
                <w:color w:val="000000"/>
                <w:sz w:val="20"/>
                <w:szCs w:val="18"/>
                <w:vertAlign w:val="superscript"/>
              </w:rPr>
              <w:t>th</w:t>
            </w:r>
          </w:p>
        </w:tc>
        <w:tc>
          <w:tcPr>
            <w:tcW w:w="1050" w:type="pct"/>
            <w:vAlign w:val="center"/>
          </w:tcPr>
          <w:p w:rsidR="004B3F67" w:rsidRPr="00943136" w:rsidRDefault="00E26E04" w:rsidP="00CA7FF6">
            <w:pPr>
              <w:snapToGrid w:val="0"/>
              <w:jc w:val="both"/>
              <w:rPr>
                <w:color w:val="000000"/>
                <w:sz w:val="20"/>
                <w:szCs w:val="18"/>
              </w:rPr>
            </w:pPr>
            <w:r w:rsidRPr="00943136">
              <w:rPr>
                <w:color w:val="000000"/>
                <w:sz w:val="20"/>
                <w:szCs w:val="18"/>
              </w:rPr>
              <w:t>60.2</w:t>
            </w:r>
          </w:p>
        </w:tc>
        <w:tc>
          <w:tcPr>
            <w:tcW w:w="1037" w:type="pct"/>
            <w:vAlign w:val="center"/>
          </w:tcPr>
          <w:p w:rsidR="004B3F67" w:rsidRPr="00943136" w:rsidRDefault="00E26E04" w:rsidP="00CA7FF6">
            <w:pPr>
              <w:snapToGrid w:val="0"/>
              <w:jc w:val="both"/>
              <w:rPr>
                <w:color w:val="000000"/>
                <w:sz w:val="20"/>
                <w:szCs w:val="18"/>
              </w:rPr>
            </w:pPr>
            <w:r w:rsidRPr="00943136">
              <w:rPr>
                <w:color w:val="000000"/>
                <w:sz w:val="20"/>
                <w:szCs w:val="18"/>
              </w:rPr>
              <w:t>60.7</w:t>
            </w:r>
          </w:p>
        </w:tc>
        <w:tc>
          <w:tcPr>
            <w:tcW w:w="943" w:type="pct"/>
            <w:vAlign w:val="center"/>
          </w:tcPr>
          <w:p w:rsidR="004B3F67" w:rsidRPr="00943136" w:rsidRDefault="00E26E04" w:rsidP="00CA7FF6">
            <w:pPr>
              <w:snapToGrid w:val="0"/>
              <w:jc w:val="both"/>
              <w:rPr>
                <w:color w:val="000000"/>
                <w:sz w:val="20"/>
                <w:szCs w:val="18"/>
              </w:rPr>
            </w:pPr>
            <w:r w:rsidRPr="00943136">
              <w:rPr>
                <w:color w:val="000000"/>
                <w:sz w:val="20"/>
                <w:szCs w:val="18"/>
              </w:rPr>
              <w:t>0.6</w:t>
            </w:r>
          </w:p>
        </w:tc>
      </w:tr>
      <w:tr w:rsidR="004B3F67" w:rsidRPr="00943136" w:rsidTr="00943136">
        <w:trPr>
          <w:jc w:val="center"/>
        </w:trPr>
        <w:tc>
          <w:tcPr>
            <w:tcW w:w="1970" w:type="pct"/>
            <w:vAlign w:val="center"/>
          </w:tcPr>
          <w:p w:rsidR="004B3F67" w:rsidRPr="00943136" w:rsidRDefault="00E26E04" w:rsidP="00CA7FF6">
            <w:pPr>
              <w:snapToGrid w:val="0"/>
              <w:jc w:val="both"/>
              <w:rPr>
                <w:b/>
                <w:color w:val="000000"/>
                <w:sz w:val="20"/>
                <w:szCs w:val="18"/>
              </w:rPr>
            </w:pPr>
            <w:r w:rsidRPr="00943136">
              <w:rPr>
                <w:b/>
                <w:color w:val="000000"/>
                <w:sz w:val="20"/>
                <w:szCs w:val="18"/>
              </w:rPr>
              <w:t>5</w:t>
            </w:r>
            <w:r w:rsidRPr="00943136">
              <w:rPr>
                <w:b/>
                <w:color w:val="000000"/>
                <w:sz w:val="20"/>
                <w:szCs w:val="18"/>
                <w:vertAlign w:val="superscript"/>
              </w:rPr>
              <w:t>th</w:t>
            </w:r>
          </w:p>
        </w:tc>
        <w:tc>
          <w:tcPr>
            <w:tcW w:w="1050" w:type="pct"/>
            <w:vAlign w:val="center"/>
          </w:tcPr>
          <w:p w:rsidR="004B3F67" w:rsidRPr="00943136" w:rsidRDefault="00E26E04" w:rsidP="00CA7FF6">
            <w:pPr>
              <w:snapToGrid w:val="0"/>
              <w:jc w:val="both"/>
              <w:rPr>
                <w:color w:val="000000"/>
                <w:sz w:val="20"/>
                <w:szCs w:val="18"/>
              </w:rPr>
            </w:pPr>
            <w:r w:rsidRPr="00943136">
              <w:rPr>
                <w:color w:val="000000"/>
                <w:sz w:val="20"/>
                <w:szCs w:val="18"/>
              </w:rPr>
              <w:t>59.4</w:t>
            </w:r>
          </w:p>
        </w:tc>
        <w:tc>
          <w:tcPr>
            <w:tcW w:w="1037" w:type="pct"/>
            <w:vAlign w:val="center"/>
          </w:tcPr>
          <w:p w:rsidR="004B3F67" w:rsidRPr="00943136" w:rsidRDefault="00E26E04" w:rsidP="00CA7FF6">
            <w:pPr>
              <w:snapToGrid w:val="0"/>
              <w:jc w:val="both"/>
              <w:rPr>
                <w:color w:val="000000"/>
                <w:sz w:val="20"/>
                <w:szCs w:val="18"/>
              </w:rPr>
            </w:pPr>
            <w:r w:rsidRPr="00943136">
              <w:rPr>
                <w:color w:val="000000"/>
                <w:sz w:val="20"/>
                <w:szCs w:val="18"/>
              </w:rPr>
              <w:t>59.3</w:t>
            </w:r>
          </w:p>
        </w:tc>
        <w:tc>
          <w:tcPr>
            <w:tcW w:w="943" w:type="pct"/>
            <w:vAlign w:val="center"/>
          </w:tcPr>
          <w:p w:rsidR="004B3F67" w:rsidRPr="00943136" w:rsidRDefault="00E26E04" w:rsidP="00CA7FF6">
            <w:pPr>
              <w:snapToGrid w:val="0"/>
              <w:jc w:val="both"/>
              <w:rPr>
                <w:color w:val="000000"/>
                <w:sz w:val="20"/>
                <w:szCs w:val="18"/>
              </w:rPr>
            </w:pPr>
            <w:r w:rsidRPr="00943136">
              <w:rPr>
                <w:color w:val="000000"/>
                <w:sz w:val="20"/>
                <w:szCs w:val="18"/>
              </w:rPr>
              <w:t>0.9</w:t>
            </w:r>
          </w:p>
        </w:tc>
      </w:tr>
      <w:tr w:rsidR="004B3F67" w:rsidRPr="00943136" w:rsidTr="00943136">
        <w:trPr>
          <w:cnfStyle w:val="000000100000"/>
          <w:jc w:val="center"/>
        </w:trPr>
        <w:tc>
          <w:tcPr>
            <w:tcW w:w="1970" w:type="pct"/>
            <w:vAlign w:val="center"/>
          </w:tcPr>
          <w:p w:rsidR="004B3F67" w:rsidRPr="00943136" w:rsidRDefault="00E26E04" w:rsidP="00CA7FF6">
            <w:pPr>
              <w:snapToGrid w:val="0"/>
              <w:jc w:val="both"/>
              <w:rPr>
                <w:b/>
                <w:color w:val="000000"/>
                <w:sz w:val="20"/>
                <w:szCs w:val="18"/>
              </w:rPr>
            </w:pPr>
            <w:r w:rsidRPr="00943136">
              <w:rPr>
                <w:b/>
                <w:color w:val="000000"/>
                <w:sz w:val="20"/>
                <w:szCs w:val="18"/>
              </w:rPr>
              <w:t>Last follow up EF</w:t>
            </w:r>
          </w:p>
        </w:tc>
        <w:tc>
          <w:tcPr>
            <w:tcW w:w="1050" w:type="pct"/>
            <w:vAlign w:val="center"/>
          </w:tcPr>
          <w:p w:rsidR="004B3F67" w:rsidRPr="00943136" w:rsidRDefault="00E26E04" w:rsidP="00CA7FF6">
            <w:pPr>
              <w:snapToGrid w:val="0"/>
              <w:jc w:val="both"/>
              <w:rPr>
                <w:color w:val="000000"/>
                <w:sz w:val="20"/>
                <w:szCs w:val="18"/>
              </w:rPr>
            </w:pPr>
            <w:r w:rsidRPr="00943136">
              <w:rPr>
                <w:color w:val="000000"/>
                <w:sz w:val="20"/>
                <w:szCs w:val="18"/>
              </w:rPr>
              <w:t>58.8</w:t>
            </w:r>
          </w:p>
        </w:tc>
        <w:tc>
          <w:tcPr>
            <w:tcW w:w="1037" w:type="pct"/>
            <w:vAlign w:val="center"/>
          </w:tcPr>
          <w:p w:rsidR="004B3F67" w:rsidRPr="00943136" w:rsidRDefault="00E26E04" w:rsidP="00CA7FF6">
            <w:pPr>
              <w:snapToGrid w:val="0"/>
              <w:jc w:val="both"/>
              <w:rPr>
                <w:color w:val="000000"/>
                <w:sz w:val="20"/>
                <w:szCs w:val="18"/>
              </w:rPr>
            </w:pPr>
            <w:r w:rsidRPr="00943136">
              <w:rPr>
                <w:color w:val="000000"/>
                <w:sz w:val="20"/>
                <w:szCs w:val="18"/>
              </w:rPr>
              <w:t>58.1</w:t>
            </w:r>
          </w:p>
        </w:tc>
        <w:tc>
          <w:tcPr>
            <w:tcW w:w="943" w:type="pct"/>
            <w:vAlign w:val="center"/>
          </w:tcPr>
          <w:p w:rsidR="004B3F67" w:rsidRPr="00943136" w:rsidRDefault="00E26E04" w:rsidP="00CA7FF6">
            <w:pPr>
              <w:snapToGrid w:val="0"/>
              <w:jc w:val="both"/>
              <w:rPr>
                <w:color w:val="000000"/>
                <w:sz w:val="20"/>
                <w:szCs w:val="18"/>
              </w:rPr>
            </w:pPr>
            <w:r w:rsidRPr="00943136">
              <w:rPr>
                <w:color w:val="000000"/>
                <w:sz w:val="20"/>
                <w:szCs w:val="18"/>
              </w:rPr>
              <w:t>0.6</w:t>
            </w:r>
          </w:p>
        </w:tc>
      </w:tr>
    </w:tbl>
    <w:p w:rsidR="004B3F67" w:rsidRPr="00943136" w:rsidRDefault="00E26E04" w:rsidP="00CA7FF6">
      <w:pPr>
        <w:snapToGrid w:val="0"/>
        <w:jc w:val="both"/>
        <w:rPr>
          <w:sz w:val="20"/>
          <w:szCs w:val="20"/>
        </w:rPr>
      </w:pPr>
      <w:r w:rsidRPr="00943136">
        <w:rPr>
          <w:sz w:val="20"/>
          <w:szCs w:val="20"/>
        </w:rPr>
        <w:t>EF: ejection fraction</w:t>
      </w:r>
    </w:p>
    <w:p w:rsidR="004B3F67" w:rsidRPr="00943136" w:rsidRDefault="004B3F67" w:rsidP="00CA7FF6">
      <w:pPr>
        <w:snapToGrid w:val="0"/>
        <w:jc w:val="center"/>
        <w:rPr>
          <w:color w:val="000000"/>
          <w:sz w:val="20"/>
          <w:szCs w:val="20"/>
        </w:rPr>
      </w:pPr>
    </w:p>
    <w:p w:rsidR="004B3F67" w:rsidRPr="00943136" w:rsidRDefault="00E26E04" w:rsidP="00CA7FF6">
      <w:pPr>
        <w:snapToGrid w:val="0"/>
        <w:jc w:val="center"/>
        <w:rPr>
          <w:sz w:val="20"/>
          <w:szCs w:val="20"/>
        </w:rPr>
      </w:pPr>
      <w:r w:rsidRPr="00943136">
        <w:rPr>
          <w:b/>
          <w:sz w:val="20"/>
          <w:szCs w:val="20"/>
        </w:rPr>
        <w:t>Table 4.</w:t>
      </w:r>
      <w:r w:rsidRPr="00943136">
        <w:rPr>
          <w:sz w:val="20"/>
          <w:szCs w:val="20"/>
        </w:rPr>
        <w:t>Correlation between right side and left side in both groups.</w:t>
      </w:r>
    </w:p>
    <w:tbl>
      <w:tblPr>
        <w:tblStyle w:val="a2"/>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7" w:type="dxa"/>
          <w:right w:w="57" w:type="dxa"/>
        </w:tblCellMar>
        <w:tblLook w:val="0400"/>
      </w:tblPr>
      <w:tblGrid>
        <w:gridCol w:w="2067"/>
        <w:gridCol w:w="1796"/>
        <w:gridCol w:w="1103"/>
        <w:gridCol w:w="1827"/>
        <w:gridCol w:w="1122"/>
        <w:gridCol w:w="1559"/>
      </w:tblGrid>
      <w:tr w:rsidR="004B3F67" w:rsidRPr="00943136" w:rsidTr="00943136">
        <w:trPr>
          <w:cnfStyle w:val="000000100000"/>
          <w:jc w:val="center"/>
        </w:trPr>
        <w:tc>
          <w:tcPr>
            <w:tcW w:w="1091" w:type="pct"/>
            <w:vAlign w:val="center"/>
          </w:tcPr>
          <w:p w:rsidR="004B3F67" w:rsidRPr="00943136" w:rsidRDefault="004B3F67" w:rsidP="00CA7FF6">
            <w:pPr>
              <w:snapToGrid w:val="0"/>
              <w:jc w:val="both"/>
              <w:rPr>
                <w:sz w:val="20"/>
                <w:szCs w:val="18"/>
              </w:rPr>
            </w:pPr>
          </w:p>
        </w:tc>
        <w:tc>
          <w:tcPr>
            <w:tcW w:w="1530" w:type="pct"/>
            <w:gridSpan w:val="2"/>
            <w:vAlign w:val="center"/>
          </w:tcPr>
          <w:p w:rsidR="004B3F67" w:rsidRPr="00943136" w:rsidRDefault="00E26E04" w:rsidP="00CA7FF6">
            <w:pPr>
              <w:snapToGrid w:val="0"/>
              <w:jc w:val="both"/>
              <w:rPr>
                <w:b/>
                <w:sz w:val="20"/>
                <w:szCs w:val="18"/>
              </w:rPr>
            </w:pPr>
            <w:r w:rsidRPr="00943136">
              <w:rPr>
                <w:b/>
                <w:sz w:val="20"/>
                <w:szCs w:val="18"/>
              </w:rPr>
              <w:t>Right SIDE (n=57)</w:t>
            </w:r>
          </w:p>
        </w:tc>
        <w:tc>
          <w:tcPr>
            <w:tcW w:w="1556" w:type="pct"/>
            <w:gridSpan w:val="2"/>
            <w:vAlign w:val="center"/>
          </w:tcPr>
          <w:p w:rsidR="004B3F67" w:rsidRPr="00943136" w:rsidRDefault="00E26E04" w:rsidP="00CA7FF6">
            <w:pPr>
              <w:snapToGrid w:val="0"/>
              <w:jc w:val="both"/>
              <w:rPr>
                <w:b/>
                <w:sz w:val="20"/>
                <w:szCs w:val="18"/>
              </w:rPr>
            </w:pPr>
            <w:r w:rsidRPr="00943136">
              <w:rPr>
                <w:b/>
                <w:sz w:val="20"/>
                <w:szCs w:val="18"/>
              </w:rPr>
              <w:t>LEFT SID</w:t>
            </w:r>
            <w:r w:rsidR="009A22B1" w:rsidRPr="00943136">
              <w:rPr>
                <w:b/>
                <w:sz w:val="20"/>
                <w:szCs w:val="18"/>
              </w:rPr>
              <w:t>E (</w:t>
            </w:r>
            <w:r w:rsidRPr="00943136">
              <w:rPr>
                <w:b/>
                <w:sz w:val="20"/>
                <w:szCs w:val="18"/>
              </w:rPr>
              <w:t xml:space="preserve">n=63) </w:t>
            </w:r>
          </w:p>
        </w:tc>
        <w:tc>
          <w:tcPr>
            <w:tcW w:w="823" w:type="pct"/>
            <w:vAlign w:val="center"/>
          </w:tcPr>
          <w:p w:rsidR="004B3F67" w:rsidRPr="00943136" w:rsidRDefault="00E26E04" w:rsidP="00CA7FF6">
            <w:pPr>
              <w:snapToGrid w:val="0"/>
              <w:jc w:val="both"/>
              <w:rPr>
                <w:b/>
                <w:sz w:val="20"/>
                <w:szCs w:val="18"/>
              </w:rPr>
            </w:pPr>
            <w:r w:rsidRPr="00943136">
              <w:rPr>
                <w:b/>
                <w:sz w:val="20"/>
                <w:szCs w:val="18"/>
              </w:rPr>
              <w:t>p.value</w:t>
            </w:r>
          </w:p>
        </w:tc>
      </w:tr>
      <w:tr w:rsidR="009A22B1" w:rsidRPr="00943136" w:rsidTr="00943136">
        <w:trPr>
          <w:jc w:val="center"/>
        </w:trPr>
        <w:tc>
          <w:tcPr>
            <w:tcW w:w="1091" w:type="pct"/>
            <w:vAlign w:val="center"/>
          </w:tcPr>
          <w:p w:rsidR="004B3F67" w:rsidRPr="00943136" w:rsidRDefault="00E26E04" w:rsidP="00CA7FF6">
            <w:pPr>
              <w:snapToGrid w:val="0"/>
              <w:jc w:val="both"/>
              <w:rPr>
                <w:b/>
                <w:sz w:val="20"/>
                <w:szCs w:val="18"/>
              </w:rPr>
            </w:pPr>
            <w:r w:rsidRPr="00943136">
              <w:rPr>
                <w:b/>
                <w:sz w:val="20"/>
                <w:szCs w:val="18"/>
              </w:rPr>
              <w:t>EF</w:t>
            </w:r>
          </w:p>
        </w:tc>
        <w:tc>
          <w:tcPr>
            <w:tcW w:w="948" w:type="pct"/>
            <w:vAlign w:val="center"/>
          </w:tcPr>
          <w:p w:rsidR="004B3F67" w:rsidRPr="00943136" w:rsidRDefault="00E26E04" w:rsidP="00CA7FF6">
            <w:pPr>
              <w:snapToGrid w:val="0"/>
              <w:jc w:val="both"/>
              <w:rPr>
                <w:b/>
                <w:sz w:val="20"/>
                <w:szCs w:val="18"/>
              </w:rPr>
            </w:pPr>
            <w:r w:rsidRPr="00943136">
              <w:rPr>
                <w:b/>
                <w:sz w:val="20"/>
                <w:szCs w:val="18"/>
              </w:rPr>
              <w:t>Mean</w:t>
            </w:r>
          </w:p>
        </w:tc>
        <w:tc>
          <w:tcPr>
            <w:tcW w:w="581" w:type="pct"/>
            <w:vAlign w:val="center"/>
          </w:tcPr>
          <w:p w:rsidR="004B3F67" w:rsidRPr="00943136" w:rsidRDefault="00E26E04" w:rsidP="00CA7FF6">
            <w:pPr>
              <w:snapToGrid w:val="0"/>
              <w:jc w:val="both"/>
              <w:rPr>
                <w:b/>
                <w:sz w:val="20"/>
                <w:szCs w:val="18"/>
              </w:rPr>
            </w:pPr>
            <w:r w:rsidRPr="00943136">
              <w:rPr>
                <w:b/>
                <w:sz w:val="20"/>
                <w:szCs w:val="18"/>
              </w:rPr>
              <w:t>SD</w:t>
            </w:r>
          </w:p>
        </w:tc>
        <w:tc>
          <w:tcPr>
            <w:tcW w:w="964" w:type="pct"/>
            <w:vAlign w:val="center"/>
          </w:tcPr>
          <w:p w:rsidR="004B3F67" w:rsidRPr="00943136" w:rsidRDefault="00E26E04" w:rsidP="00CA7FF6">
            <w:pPr>
              <w:snapToGrid w:val="0"/>
              <w:jc w:val="both"/>
              <w:rPr>
                <w:b/>
                <w:sz w:val="20"/>
                <w:szCs w:val="18"/>
              </w:rPr>
            </w:pPr>
            <w:r w:rsidRPr="00943136">
              <w:rPr>
                <w:b/>
                <w:sz w:val="20"/>
                <w:szCs w:val="18"/>
              </w:rPr>
              <w:t>Mean</w:t>
            </w:r>
          </w:p>
        </w:tc>
        <w:tc>
          <w:tcPr>
            <w:tcW w:w="591" w:type="pct"/>
            <w:vAlign w:val="center"/>
          </w:tcPr>
          <w:p w:rsidR="004B3F67" w:rsidRPr="00943136" w:rsidRDefault="00E26E04" w:rsidP="00CA7FF6">
            <w:pPr>
              <w:snapToGrid w:val="0"/>
              <w:jc w:val="both"/>
              <w:rPr>
                <w:b/>
                <w:sz w:val="20"/>
                <w:szCs w:val="18"/>
              </w:rPr>
            </w:pPr>
            <w:r w:rsidRPr="00943136">
              <w:rPr>
                <w:b/>
                <w:sz w:val="20"/>
                <w:szCs w:val="18"/>
              </w:rPr>
              <w:t>SD</w:t>
            </w:r>
          </w:p>
        </w:tc>
        <w:tc>
          <w:tcPr>
            <w:tcW w:w="823" w:type="pct"/>
            <w:vAlign w:val="center"/>
          </w:tcPr>
          <w:p w:rsidR="004B3F67" w:rsidRPr="00943136" w:rsidRDefault="004B3F67" w:rsidP="00CA7FF6">
            <w:pPr>
              <w:snapToGrid w:val="0"/>
              <w:jc w:val="both"/>
              <w:rPr>
                <w:b/>
                <w:sz w:val="20"/>
                <w:szCs w:val="18"/>
              </w:rPr>
            </w:pPr>
          </w:p>
        </w:tc>
      </w:tr>
      <w:tr w:rsidR="00943136" w:rsidRPr="00943136" w:rsidTr="00943136">
        <w:trPr>
          <w:cnfStyle w:val="000000100000"/>
          <w:jc w:val="center"/>
        </w:trPr>
        <w:tc>
          <w:tcPr>
            <w:tcW w:w="1091" w:type="pct"/>
            <w:vAlign w:val="center"/>
          </w:tcPr>
          <w:p w:rsidR="004B3F67" w:rsidRPr="00943136" w:rsidRDefault="00E26E04" w:rsidP="00CA7FF6">
            <w:pPr>
              <w:snapToGrid w:val="0"/>
              <w:jc w:val="both"/>
              <w:rPr>
                <w:color w:val="000000"/>
                <w:sz w:val="20"/>
                <w:szCs w:val="18"/>
              </w:rPr>
            </w:pPr>
            <w:r w:rsidRPr="00943136">
              <w:rPr>
                <w:color w:val="000000"/>
                <w:sz w:val="20"/>
                <w:szCs w:val="18"/>
              </w:rPr>
              <w:t>Base line</w:t>
            </w:r>
          </w:p>
        </w:tc>
        <w:tc>
          <w:tcPr>
            <w:tcW w:w="948" w:type="pct"/>
            <w:vAlign w:val="center"/>
          </w:tcPr>
          <w:p w:rsidR="004B3F67" w:rsidRPr="00943136" w:rsidRDefault="00E26E04" w:rsidP="00CA7FF6">
            <w:pPr>
              <w:snapToGrid w:val="0"/>
              <w:jc w:val="both"/>
              <w:rPr>
                <w:sz w:val="20"/>
                <w:szCs w:val="18"/>
              </w:rPr>
            </w:pPr>
            <w:r w:rsidRPr="00943136">
              <w:rPr>
                <w:sz w:val="20"/>
                <w:szCs w:val="18"/>
              </w:rPr>
              <w:t>64.5</w:t>
            </w:r>
          </w:p>
        </w:tc>
        <w:tc>
          <w:tcPr>
            <w:tcW w:w="581" w:type="pct"/>
            <w:vAlign w:val="center"/>
          </w:tcPr>
          <w:p w:rsidR="004B3F67" w:rsidRPr="00943136" w:rsidRDefault="00E26E04" w:rsidP="00CA7FF6">
            <w:pPr>
              <w:snapToGrid w:val="0"/>
              <w:jc w:val="both"/>
              <w:rPr>
                <w:sz w:val="20"/>
                <w:szCs w:val="18"/>
              </w:rPr>
            </w:pPr>
            <w:r w:rsidRPr="00943136">
              <w:rPr>
                <w:sz w:val="20"/>
                <w:szCs w:val="18"/>
              </w:rPr>
              <w:t>4.8</w:t>
            </w:r>
          </w:p>
        </w:tc>
        <w:tc>
          <w:tcPr>
            <w:tcW w:w="964" w:type="pct"/>
            <w:vAlign w:val="center"/>
          </w:tcPr>
          <w:p w:rsidR="004B3F67" w:rsidRPr="00943136" w:rsidRDefault="00E26E04" w:rsidP="00CA7FF6">
            <w:pPr>
              <w:snapToGrid w:val="0"/>
              <w:jc w:val="both"/>
              <w:rPr>
                <w:sz w:val="20"/>
                <w:szCs w:val="18"/>
              </w:rPr>
            </w:pPr>
            <w:r w:rsidRPr="00943136">
              <w:rPr>
                <w:sz w:val="20"/>
                <w:szCs w:val="18"/>
              </w:rPr>
              <w:t>63.8</w:t>
            </w:r>
          </w:p>
        </w:tc>
        <w:tc>
          <w:tcPr>
            <w:tcW w:w="591" w:type="pct"/>
            <w:vAlign w:val="center"/>
          </w:tcPr>
          <w:p w:rsidR="004B3F67" w:rsidRPr="00943136" w:rsidRDefault="00E26E04" w:rsidP="00CA7FF6">
            <w:pPr>
              <w:snapToGrid w:val="0"/>
              <w:jc w:val="both"/>
              <w:rPr>
                <w:sz w:val="20"/>
                <w:szCs w:val="18"/>
              </w:rPr>
            </w:pPr>
            <w:r w:rsidRPr="00943136">
              <w:rPr>
                <w:sz w:val="20"/>
                <w:szCs w:val="18"/>
              </w:rPr>
              <w:t>4.6</w:t>
            </w:r>
          </w:p>
        </w:tc>
        <w:tc>
          <w:tcPr>
            <w:tcW w:w="823" w:type="pct"/>
            <w:vAlign w:val="center"/>
          </w:tcPr>
          <w:p w:rsidR="004B3F67" w:rsidRPr="00943136" w:rsidRDefault="00E26E04" w:rsidP="00CA7FF6">
            <w:pPr>
              <w:snapToGrid w:val="0"/>
              <w:jc w:val="both"/>
              <w:rPr>
                <w:sz w:val="20"/>
                <w:szCs w:val="18"/>
              </w:rPr>
            </w:pPr>
            <w:r w:rsidRPr="00943136">
              <w:rPr>
                <w:sz w:val="20"/>
                <w:szCs w:val="18"/>
              </w:rPr>
              <w:t>0.4</w:t>
            </w:r>
          </w:p>
        </w:tc>
      </w:tr>
      <w:tr w:rsidR="009A22B1" w:rsidRPr="00943136" w:rsidTr="00943136">
        <w:trPr>
          <w:jc w:val="center"/>
        </w:trPr>
        <w:tc>
          <w:tcPr>
            <w:tcW w:w="1091" w:type="pct"/>
            <w:vAlign w:val="center"/>
          </w:tcPr>
          <w:p w:rsidR="004B3F67" w:rsidRPr="00943136" w:rsidRDefault="00E26E04" w:rsidP="00CA7FF6">
            <w:pPr>
              <w:snapToGrid w:val="0"/>
              <w:jc w:val="both"/>
              <w:rPr>
                <w:color w:val="000000"/>
                <w:sz w:val="20"/>
                <w:szCs w:val="18"/>
              </w:rPr>
            </w:pPr>
            <w:r w:rsidRPr="00943136">
              <w:rPr>
                <w:color w:val="000000"/>
                <w:sz w:val="20"/>
                <w:szCs w:val="18"/>
              </w:rPr>
              <w:t>2</w:t>
            </w:r>
            <w:r w:rsidRPr="00943136">
              <w:rPr>
                <w:color w:val="000000"/>
                <w:sz w:val="20"/>
                <w:szCs w:val="18"/>
                <w:vertAlign w:val="superscript"/>
              </w:rPr>
              <w:t>nd</w:t>
            </w:r>
            <w:r w:rsidR="009A22B1" w:rsidRPr="00943136">
              <w:rPr>
                <w:color w:val="000000"/>
                <w:sz w:val="20"/>
                <w:szCs w:val="18"/>
                <w:vertAlign w:val="superscript"/>
              </w:rPr>
              <w:t xml:space="preserve"> </w:t>
            </w:r>
            <w:r w:rsidRPr="00943136">
              <w:rPr>
                <w:color w:val="000000"/>
                <w:sz w:val="20"/>
                <w:szCs w:val="18"/>
              </w:rPr>
              <w:t>follow up</w:t>
            </w:r>
          </w:p>
        </w:tc>
        <w:tc>
          <w:tcPr>
            <w:tcW w:w="948" w:type="pct"/>
            <w:vAlign w:val="center"/>
          </w:tcPr>
          <w:p w:rsidR="004B3F67" w:rsidRPr="00943136" w:rsidRDefault="00E26E04" w:rsidP="00CA7FF6">
            <w:pPr>
              <w:snapToGrid w:val="0"/>
              <w:jc w:val="both"/>
              <w:rPr>
                <w:sz w:val="20"/>
                <w:szCs w:val="18"/>
              </w:rPr>
            </w:pPr>
            <w:r w:rsidRPr="00943136">
              <w:rPr>
                <w:sz w:val="20"/>
                <w:szCs w:val="18"/>
              </w:rPr>
              <w:t xml:space="preserve">63.4 </w:t>
            </w:r>
          </w:p>
        </w:tc>
        <w:tc>
          <w:tcPr>
            <w:tcW w:w="581" w:type="pct"/>
            <w:vAlign w:val="center"/>
          </w:tcPr>
          <w:p w:rsidR="004B3F67" w:rsidRPr="00943136" w:rsidRDefault="00E26E04" w:rsidP="00CA7FF6">
            <w:pPr>
              <w:snapToGrid w:val="0"/>
              <w:jc w:val="both"/>
              <w:rPr>
                <w:sz w:val="20"/>
                <w:szCs w:val="18"/>
              </w:rPr>
            </w:pPr>
            <w:r w:rsidRPr="00943136">
              <w:rPr>
                <w:sz w:val="20"/>
                <w:szCs w:val="18"/>
              </w:rPr>
              <w:t>4.8</w:t>
            </w:r>
          </w:p>
        </w:tc>
        <w:tc>
          <w:tcPr>
            <w:tcW w:w="964" w:type="pct"/>
            <w:vAlign w:val="center"/>
          </w:tcPr>
          <w:p w:rsidR="004B3F67" w:rsidRPr="00943136" w:rsidRDefault="00E26E04" w:rsidP="00CA7FF6">
            <w:pPr>
              <w:snapToGrid w:val="0"/>
              <w:jc w:val="both"/>
              <w:rPr>
                <w:sz w:val="20"/>
                <w:szCs w:val="18"/>
              </w:rPr>
            </w:pPr>
            <w:r w:rsidRPr="00943136">
              <w:rPr>
                <w:sz w:val="20"/>
                <w:szCs w:val="18"/>
              </w:rPr>
              <w:t>61.7</w:t>
            </w:r>
          </w:p>
        </w:tc>
        <w:tc>
          <w:tcPr>
            <w:tcW w:w="591" w:type="pct"/>
            <w:vAlign w:val="center"/>
          </w:tcPr>
          <w:p w:rsidR="004B3F67" w:rsidRPr="00943136" w:rsidRDefault="00E26E04" w:rsidP="00CA7FF6">
            <w:pPr>
              <w:snapToGrid w:val="0"/>
              <w:jc w:val="both"/>
              <w:rPr>
                <w:sz w:val="20"/>
                <w:szCs w:val="18"/>
              </w:rPr>
            </w:pPr>
            <w:r w:rsidRPr="00943136">
              <w:rPr>
                <w:sz w:val="20"/>
                <w:szCs w:val="18"/>
              </w:rPr>
              <w:t>4.5</w:t>
            </w:r>
          </w:p>
        </w:tc>
        <w:tc>
          <w:tcPr>
            <w:tcW w:w="823" w:type="pct"/>
            <w:vAlign w:val="center"/>
          </w:tcPr>
          <w:p w:rsidR="004B3F67" w:rsidRPr="00943136" w:rsidRDefault="00E26E04" w:rsidP="00CA7FF6">
            <w:pPr>
              <w:snapToGrid w:val="0"/>
              <w:jc w:val="both"/>
              <w:rPr>
                <w:sz w:val="20"/>
                <w:szCs w:val="18"/>
              </w:rPr>
            </w:pPr>
            <w:r w:rsidRPr="00943136">
              <w:rPr>
                <w:sz w:val="20"/>
                <w:szCs w:val="18"/>
              </w:rPr>
              <w:t>0.04</w:t>
            </w:r>
          </w:p>
        </w:tc>
      </w:tr>
      <w:tr w:rsidR="00943136" w:rsidRPr="00943136" w:rsidTr="00943136">
        <w:trPr>
          <w:cnfStyle w:val="000000100000"/>
          <w:jc w:val="center"/>
        </w:trPr>
        <w:tc>
          <w:tcPr>
            <w:tcW w:w="1091" w:type="pct"/>
            <w:vAlign w:val="center"/>
          </w:tcPr>
          <w:p w:rsidR="004B3F67" w:rsidRPr="00943136" w:rsidRDefault="00E26E04" w:rsidP="00CA7FF6">
            <w:pPr>
              <w:snapToGrid w:val="0"/>
              <w:jc w:val="both"/>
              <w:rPr>
                <w:color w:val="000000"/>
                <w:sz w:val="20"/>
                <w:szCs w:val="18"/>
              </w:rPr>
            </w:pPr>
            <w:r w:rsidRPr="00943136">
              <w:rPr>
                <w:color w:val="000000"/>
                <w:sz w:val="20"/>
                <w:szCs w:val="18"/>
              </w:rPr>
              <w:t>3</w:t>
            </w:r>
            <w:r w:rsidRPr="00943136">
              <w:rPr>
                <w:color w:val="000000"/>
                <w:sz w:val="20"/>
                <w:szCs w:val="18"/>
                <w:vertAlign w:val="superscript"/>
              </w:rPr>
              <w:t>rd</w:t>
            </w:r>
            <w:r w:rsidRPr="00943136">
              <w:rPr>
                <w:color w:val="000000"/>
                <w:sz w:val="20"/>
                <w:szCs w:val="18"/>
              </w:rPr>
              <w:t xml:space="preserve"> follow up</w:t>
            </w:r>
          </w:p>
        </w:tc>
        <w:tc>
          <w:tcPr>
            <w:tcW w:w="948" w:type="pct"/>
            <w:vAlign w:val="center"/>
          </w:tcPr>
          <w:p w:rsidR="004B3F67" w:rsidRPr="00943136" w:rsidRDefault="00E26E04" w:rsidP="00CA7FF6">
            <w:pPr>
              <w:snapToGrid w:val="0"/>
              <w:jc w:val="both"/>
              <w:rPr>
                <w:sz w:val="20"/>
                <w:szCs w:val="18"/>
              </w:rPr>
            </w:pPr>
            <w:r w:rsidRPr="00943136">
              <w:rPr>
                <w:sz w:val="20"/>
                <w:szCs w:val="18"/>
              </w:rPr>
              <w:t>62.6</w:t>
            </w:r>
          </w:p>
        </w:tc>
        <w:tc>
          <w:tcPr>
            <w:tcW w:w="581" w:type="pct"/>
            <w:vAlign w:val="center"/>
          </w:tcPr>
          <w:p w:rsidR="004B3F67" w:rsidRPr="00943136" w:rsidRDefault="00E26E04" w:rsidP="00CA7FF6">
            <w:pPr>
              <w:snapToGrid w:val="0"/>
              <w:jc w:val="both"/>
              <w:rPr>
                <w:sz w:val="20"/>
                <w:szCs w:val="18"/>
              </w:rPr>
            </w:pPr>
            <w:r w:rsidRPr="00943136">
              <w:rPr>
                <w:sz w:val="20"/>
                <w:szCs w:val="18"/>
              </w:rPr>
              <w:t>4.8</w:t>
            </w:r>
          </w:p>
        </w:tc>
        <w:tc>
          <w:tcPr>
            <w:tcW w:w="964" w:type="pct"/>
            <w:vAlign w:val="center"/>
          </w:tcPr>
          <w:p w:rsidR="004B3F67" w:rsidRPr="00943136" w:rsidRDefault="00E26E04" w:rsidP="00CA7FF6">
            <w:pPr>
              <w:snapToGrid w:val="0"/>
              <w:jc w:val="both"/>
              <w:rPr>
                <w:sz w:val="20"/>
                <w:szCs w:val="18"/>
              </w:rPr>
            </w:pPr>
            <w:r w:rsidRPr="00943136">
              <w:rPr>
                <w:sz w:val="20"/>
                <w:szCs w:val="18"/>
              </w:rPr>
              <w:t xml:space="preserve">60.6 </w:t>
            </w:r>
          </w:p>
        </w:tc>
        <w:tc>
          <w:tcPr>
            <w:tcW w:w="591" w:type="pct"/>
            <w:vAlign w:val="center"/>
          </w:tcPr>
          <w:p w:rsidR="004B3F67" w:rsidRPr="00943136" w:rsidRDefault="00E26E04" w:rsidP="00CA7FF6">
            <w:pPr>
              <w:snapToGrid w:val="0"/>
              <w:jc w:val="both"/>
              <w:rPr>
                <w:sz w:val="20"/>
                <w:szCs w:val="18"/>
              </w:rPr>
            </w:pPr>
            <w:r w:rsidRPr="00943136">
              <w:rPr>
                <w:sz w:val="20"/>
                <w:szCs w:val="18"/>
              </w:rPr>
              <w:t>4.4</w:t>
            </w:r>
          </w:p>
        </w:tc>
        <w:tc>
          <w:tcPr>
            <w:tcW w:w="823" w:type="pct"/>
            <w:vAlign w:val="center"/>
          </w:tcPr>
          <w:p w:rsidR="004B3F67" w:rsidRPr="00943136" w:rsidRDefault="00E26E04" w:rsidP="00CA7FF6">
            <w:pPr>
              <w:snapToGrid w:val="0"/>
              <w:jc w:val="both"/>
              <w:rPr>
                <w:sz w:val="20"/>
                <w:szCs w:val="18"/>
              </w:rPr>
            </w:pPr>
            <w:r w:rsidRPr="00943136">
              <w:rPr>
                <w:sz w:val="20"/>
                <w:szCs w:val="18"/>
              </w:rPr>
              <w:t>0.02</w:t>
            </w:r>
          </w:p>
        </w:tc>
      </w:tr>
      <w:tr w:rsidR="009A22B1" w:rsidRPr="00943136" w:rsidTr="00943136">
        <w:trPr>
          <w:jc w:val="center"/>
        </w:trPr>
        <w:tc>
          <w:tcPr>
            <w:tcW w:w="1091" w:type="pct"/>
            <w:vAlign w:val="center"/>
          </w:tcPr>
          <w:p w:rsidR="004B3F67" w:rsidRPr="00943136" w:rsidRDefault="00E26E04" w:rsidP="00CA7FF6">
            <w:pPr>
              <w:snapToGrid w:val="0"/>
              <w:jc w:val="both"/>
              <w:rPr>
                <w:color w:val="000000"/>
                <w:sz w:val="20"/>
                <w:szCs w:val="18"/>
              </w:rPr>
            </w:pPr>
            <w:r w:rsidRPr="00943136">
              <w:rPr>
                <w:color w:val="000000"/>
                <w:sz w:val="20"/>
                <w:szCs w:val="18"/>
              </w:rPr>
              <w:t>4</w:t>
            </w:r>
            <w:r w:rsidRPr="00943136">
              <w:rPr>
                <w:color w:val="000000"/>
                <w:sz w:val="20"/>
                <w:szCs w:val="18"/>
                <w:vertAlign w:val="superscript"/>
              </w:rPr>
              <w:t>th</w:t>
            </w:r>
            <w:r w:rsidRPr="00943136">
              <w:rPr>
                <w:color w:val="000000"/>
                <w:sz w:val="20"/>
                <w:szCs w:val="18"/>
              </w:rPr>
              <w:t xml:space="preserve"> follow up</w:t>
            </w:r>
          </w:p>
        </w:tc>
        <w:tc>
          <w:tcPr>
            <w:tcW w:w="948" w:type="pct"/>
            <w:vAlign w:val="center"/>
          </w:tcPr>
          <w:p w:rsidR="004B3F67" w:rsidRPr="00943136" w:rsidRDefault="00E26E04" w:rsidP="00CA7FF6">
            <w:pPr>
              <w:snapToGrid w:val="0"/>
              <w:jc w:val="both"/>
              <w:rPr>
                <w:sz w:val="20"/>
                <w:szCs w:val="18"/>
              </w:rPr>
            </w:pPr>
            <w:r w:rsidRPr="00943136">
              <w:rPr>
                <w:sz w:val="20"/>
                <w:szCs w:val="18"/>
              </w:rPr>
              <w:t>61.9</w:t>
            </w:r>
          </w:p>
        </w:tc>
        <w:tc>
          <w:tcPr>
            <w:tcW w:w="581" w:type="pct"/>
            <w:vAlign w:val="center"/>
          </w:tcPr>
          <w:p w:rsidR="004B3F67" w:rsidRPr="00943136" w:rsidRDefault="00E26E04" w:rsidP="00CA7FF6">
            <w:pPr>
              <w:snapToGrid w:val="0"/>
              <w:jc w:val="both"/>
              <w:rPr>
                <w:sz w:val="20"/>
                <w:szCs w:val="18"/>
              </w:rPr>
            </w:pPr>
            <w:r w:rsidRPr="00943136">
              <w:rPr>
                <w:sz w:val="20"/>
                <w:szCs w:val="18"/>
              </w:rPr>
              <w:t>5.2</w:t>
            </w:r>
          </w:p>
        </w:tc>
        <w:tc>
          <w:tcPr>
            <w:tcW w:w="964" w:type="pct"/>
            <w:vAlign w:val="center"/>
          </w:tcPr>
          <w:p w:rsidR="004B3F67" w:rsidRPr="00943136" w:rsidRDefault="00E26E04" w:rsidP="00CA7FF6">
            <w:pPr>
              <w:snapToGrid w:val="0"/>
              <w:jc w:val="both"/>
              <w:rPr>
                <w:sz w:val="20"/>
                <w:szCs w:val="18"/>
              </w:rPr>
            </w:pPr>
            <w:r w:rsidRPr="00943136">
              <w:rPr>
                <w:sz w:val="20"/>
                <w:szCs w:val="18"/>
              </w:rPr>
              <w:t>59.1</w:t>
            </w:r>
          </w:p>
        </w:tc>
        <w:tc>
          <w:tcPr>
            <w:tcW w:w="591" w:type="pct"/>
            <w:vAlign w:val="center"/>
          </w:tcPr>
          <w:p w:rsidR="004B3F67" w:rsidRPr="00943136" w:rsidRDefault="00E26E04" w:rsidP="00CA7FF6">
            <w:pPr>
              <w:snapToGrid w:val="0"/>
              <w:jc w:val="both"/>
              <w:rPr>
                <w:sz w:val="20"/>
                <w:szCs w:val="18"/>
              </w:rPr>
            </w:pPr>
            <w:r w:rsidRPr="00943136">
              <w:rPr>
                <w:sz w:val="20"/>
                <w:szCs w:val="18"/>
              </w:rPr>
              <w:t>4.6</w:t>
            </w:r>
          </w:p>
        </w:tc>
        <w:tc>
          <w:tcPr>
            <w:tcW w:w="823" w:type="pct"/>
            <w:vAlign w:val="center"/>
          </w:tcPr>
          <w:p w:rsidR="004B3F67" w:rsidRPr="00943136" w:rsidRDefault="00E26E04" w:rsidP="00CA7FF6">
            <w:pPr>
              <w:snapToGrid w:val="0"/>
              <w:jc w:val="both"/>
              <w:rPr>
                <w:sz w:val="20"/>
                <w:szCs w:val="18"/>
              </w:rPr>
            </w:pPr>
            <w:r w:rsidRPr="00943136">
              <w:rPr>
                <w:sz w:val="20"/>
                <w:szCs w:val="18"/>
              </w:rPr>
              <w:t>0.003</w:t>
            </w:r>
          </w:p>
        </w:tc>
      </w:tr>
      <w:tr w:rsidR="00943136" w:rsidRPr="00943136" w:rsidTr="00943136">
        <w:trPr>
          <w:cnfStyle w:val="000000100000"/>
          <w:jc w:val="center"/>
        </w:trPr>
        <w:tc>
          <w:tcPr>
            <w:tcW w:w="1091" w:type="pct"/>
            <w:vAlign w:val="center"/>
          </w:tcPr>
          <w:p w:rsidR="004B3F67" w:rsidRPr="00943136" w:rsidRDefault="00E26E04" w:rsidP="00CA7FF6">
            <w:pPr>
              <w:snapToGrid w:val="0"/>
              <w:jc w:val="both"/>
              <w:rPr>
                <w:color w:val="000000"/>
                <w:sz w:val="20"/>
                <w:szCs w:val="18"/>
              </w:rPr>
            </w:pPr>
            <w:r w:rsidRPr="00943136">
              <w:rPr>
                <w:color w:val="000000"/>
                <w:sz w:val="20"/>
                <w:szCs w:val="18"/>
              </w:rPr>
              <w:t>5</w:t>
            </w:r>
            <w:r w:rsidRPr="00943136">
              <w:rPr>
                <w:color w:val="000000"/>
                <w:sz w:val="20"/>
                <w:szCs w:val="18"/>
                <w:vertAlign w:val="superscript"/>
              </w:rPr>
              <w:t>th</w:t>
            </w:r>
            <w:r w:rsidRPr="00943136">
              <w:rPr>
                <w:color w:val="000000"/>
                <w:sz w:val="20"/>
                <w:szCs w:val="18"/>
              </w:rPr>
              <w:t xml:space="preserve"> follow up</w:t>
            </w:r>
          </w:p>
        </w:tc>
        <w:tc>
          <w:tcPr>
            <w:tcW w:w="948" w:type="pct"/>
            <w:vAlign w:val="center"/>
          </w:tcPr>
          <w:p w:rsidR="004B3F67" w:rsidRPr="00943136" w:rsidRDefault="00E26E04" w:rsidP="00CA7FF6">
            <w:pPr>
              <w:snapToGrid w:val="0"/>
              <w:jc w:val="both"/>
              <w:rPr>
                <w:sz w:val="20"/>
                <w:szCs w:val="18"/>
              </w:rPr>
            </w:pPr>
            <w:r w:rsidRPr="00943136">
              <w:rPr>
                <w:sz w:val="20"/>
                <w:szCs w:val="18"/>
              </w:rPr>
              <w:t>61.1</w:t>
            </w:r>
          </w:p>
        </w:tc>
        <w:tc>
          <w:tcPr>
            <w:tcW w:w="581" w:type="pct"/>
            <w:vAlign w:val="center"/>
          </w:tcPr>
          <w:p w:rsidR="004B3F67" w:rsidRPr="00943136" w:rsidRDefault="00E26E04" w:rsidP="00CA7FF6">
            <w:pPr>
              <w:snapToGrid w:val="0"/>
              <w:jc w:val="both"/>
              <w:rPr>
                <w:sz w:val="20"/>
                <w:szCs w:val="18"/>
              </w:rPr>
            </w:pPr>
            <w:r w:rsidRPr="00943136">
              <w:rPr>
                <w:sz w:val="20"/>
                <w:szCs w:val="18"/>
              </w:rPr>
              <w:t>5.6</w:t>
            </w:r>
          </w:p>
        </w:tc>
        <w:tc>
          <w:tcPr>
            <w:tcW w:w="964" w:type="pct"/>
            <w:vAlign w:val="center"/>
          </w:tcPr>
          <w:p w:rsidR="004B3F67" w:rsidRPr="00943136" w:rsidRDefault="00E26E04" w:rsidP="00CA7FF6">
            <w:pPr>
              <w:snapToGrid w:val="0"/>
              <w:jc w:val="both"/>
              <w:rPr>
                <w:sz w:val="20"/>
                <w:szCs w:val="18"/>
              </w:rPr>
            </w:pPr>
            <w:r w:rsidRPr="00943136">
              <w:rPr>
                <w:sz w:val="20"/>
                <w:szCs w:val="18"/>
              </w:rPr>
              <w:t xml:space="preserve">57.8 </w:t>
            </w:r>
          </w:p>
        </w:tc>
        <w:tc>
          <w:tcPr>
            <w:tcW w:w="591" w:type="pct"/>
            <w:vAlign w:val="center"/>
          </w:tcPr>
          <w:p w:rsidR="004B3F67" w:rsidRPr="00943136" w:rsidRDefault="00E26E04" w:rsidP="00CA7FF6">
            <w:pPr>
              <w:snapToGrid w:val="0"/>
              <w:jc w:val="both"/>
              <w:rPr>
                <w:sz w:val="20"/>
                <w:szCs w:val="18"/>
              </w:rPr>
            </w:pPr>
            <w:r w:rsidRPr="00943136">
              <w:rPr>
                <w:sz w:val="20"/>
                <w:szCs w:val="18"/>
              </w:rPr>
              <w:t>4.3</w:t>
            </w:r>
          </w:p>
        </w:tc>
        <w:tc>
          <w:tcPr>
            <w:tcW w:w="823" w:type="pct"/>
            <w:vAlign w:val="center"/>
          </w:tcPr>
          <w:p w:rsidR="004B3F67" w:rsidRPr="00943136" w:rsidRDefault="00E26E04" w:rsidP="00CA7FF6">
            <w:pPr>
              <w:snapToGrid w:val="0"/>
              <w:jc w:val="both"/>
              <w:rPr>
                <w:sz w:val="20"/>
                <w:szCs w:val="18"/>
              </w:rPr>
            </w:pPr>
            <w:r w:rsidRPr="00943136">
              <w:rPr>
                <w:sz w:val="20"/>
                <w:szCs w:val="18"/>
              </w:rPr>
              <w:t>0.01</w:t>
            </w:r>
          </w:p>
        </w:tc>
      </w:tr>
      <w:tr w:rsidR="009A22B1" w:rsidRPr="00943136" w:rsidTr="00943136">
        <w:trPr>
          <w:jc w:val="center"/>
        </w:trPr>
        <w:tc>
          <w:tcPr>
            <w:tcW w:w="1091" w:type="pct"/>
            <w:vAlign w:val="center"/>
          </w:tcPr>
          <w:p w:rsidR="004B3F67" w:rsidRPr="00943136" w:rsidRDefault="00E26E04" w:rsidP="00CA7FF6">
            <w:pPr>
              <w:snapToGrid w:val="0"/>
              <w:jc w:val="both"/>
              <w:rPr>
                <w:color w:val="000000"/>
                <w:sz w:val="20"/>
                <w:szCs w:val="18"/>
              </w:rPr>
            </w:pPr>
            <w:r w:rsidRPr="00943136">
              <w:rPr>
                <w:color w:val="000000"/>
                <w:sz w:val="20"/>
                <w:szCs w:val="18"/>
              </w:rPr>
              <w:t>Last follow up</w:t>
            </w:r>
          </w:p>
        </w:tc>
        <w:tc>
          <w:tcPr>
            <w:tcW w:w="948" w:type="pct"/>
            <w:vAlign w:val="center"/>
          </w:tcPr>
          <w:p w:rsidR="004B3F67" w:rsidRPr="00943136" w:rsidRDefault="00E26E04" w:rsidP="00CA7FF6">
            <w:pPr>
              <w:snapToGrid w:val="0"/>
              <w:jc w:val="both"/>
              <w:rPr>
                <w:sz w:val="20"/>
                <w:szCs w:val="18"/>
              </w:rPr>
            </w:pPr>
            <w:r w:rsidRPr="00943136">
              <w:rPr>
                <w:sz w:val="20"/>
                <w:szCs w:val="18"/>
              </w:rPr>
              <w:t xml:space="preserve">60.6 </w:t>
            </w:r>
          </w:p>
        </w:tc>
        <w:tc>
          <w:tcPr>
            <w:tcW w:w="581" w:type="pct"/>
            <w:vAlign w:val="center"/>
          </w:tcPr>
          <w:p w:rsidR="004B3F67" w:rsidRPr="00943136" w:rsidRDefault="00E26E04" w:rsidP="00CA7FF6">
            <w:pPr>
              <w:snapToGrid w:val="0"/>
              <w:jc w:val="both"/>
              <w:rPr>
                <w:sz w:val="20"/>
                <w:szCs w:val="18"/>
              </w:rPr>
            </w:pPr>
            <w:r w:rsidRPr="00943136">
              <w:rPr>
                <w:sz w:val="20"/>
                <w:szCs w:val="18"/>
              </w:rPr>
              <w:t>5.7</w:t>
            </w:r>
          </w:p>
        </w:tc>
        <w:tc>
          <w:tcPr>
            <w:tcW w:w="964" w:type="pct"/>
            <w:vAlign w:val="center"/>
          </w:tcPr>
          <w:p w:rsidR="004B3F67" w:rsidRPr="00943136" w:rsidRDefault="00E26E04" w:rsidP="00CA7FF6">
            <w:pPr>
              <w:snapToGrid w:val="0"/>
              <w:jc w:val="both"/>
              <w:rPr>
                <w:sz w:val="20"/>
                <w:szCs w:val="18"/>
              </w:rPr>
            </w:pPr>
            <w:r w:rsidRPr="00943136">
              <w:rPr>
                <w:sz w:val="20"/>
                <w:szCs w:val="18"/>
              </w:rPr>
              <w:t xml:space="preserve">56.5 </w:t>
            </w:r>
          </w:p>
        </w:tc>
        <w:tc>
          <w:tcPr>
            <w:tcW w:w="591" w:type="pct"/>
            <w:vAlign w:val="center"/>
          </w:tcPr>
          <w:p w:rsidR="004B3F67" w:rsidRPr="00943136" w:rsidRDefault="00E26E04" w:rsidP="00CA7FF6">
            <w:pPr>
              <w:snapToGrid w:val="0"/>
              <w:jc w:val="both"/>
              <w:rPr>
                <w:sz w:val="20"/>
                <w:szCs w:val="18"/>
              </w:rPr>
            </w:pPr>
            <w:r w:rsidRPr="00943136">
              <w:rPr>
                <w:sz w:val="20"/>
                <w:szCs w:val="18"/>
              </w:rPr>
              <w:t>4.5</w:t>
            </w:r>
          </w:p>
        </w:tc>
        <w:tc>
          <w:tcPr>
            <w:tcW w:w="823" w:type="pct"/>
            <w:vAlign w:val="center"/>
          </w:tcPr>
          <w:p w:rsidR="004B3F67" w:rsidRPr="00943136" w:rsidRDefault="00E26E04" w:rsidP="00CA7FF6">
            <w:pPr>
              <w:snapToGrid w:val="0"/>
              <w:jc w:val="both"/>
              <w:rPr>
                <w:sz w:val="20"/>
                <w:szCs w:val="18"/>
              </w:rPr>
            </w:pPr>
            <w:r w:rsidRPr="00943136">
              <w:rPr>
                <w:sz w:val="20"/>
                <w:szCs w:val="18"/>
              </w:rPr>
              <w:t>0.001</w:t>
            </w:r>
          </w:p>
        </w:tc>
      </w:tr>
    </w:tbl>
    <w:p w:rsidR="004B3F67" w:rsidRPr="00943136" w:rsidRDefault="00E26E04" w:rsidP="00CA7FF6">
      <w:pPr>
        <w:snapToGrid w:val="0"/>
        <w:jc w:val="both"/>
        <w:rPr>
          <w:sz w:val="20"/>
          <w:szCs w:val="20"/>
        </w:rPr>
      </w:pPr>
      <w:r w:rsidRPr="00943136">
        <w:rPr>
          <w:sz w:val="20"/>
          <w:szCs w:val="20"/>
        </w:rPr>
        <w:t>EF: ejection fraction; SD: standard deviation</w:t>
      </w:r>
    </w:p>
    <w:p w:rsidR="004B3F67" w:rsidRPr="00943136" w:rsidRDefault="004B3F67" w:rsidP="00CA7FF6">
      <w:pPr>
        <w:snapToGrid w:val="0"/>
        <w:ind w:firstLine="425"/>
        <w:jc w:val="both"/>
        <w:rPr>
          <w:sz w:val="20"/>
          <w:szCs w:val="20"/>
        </w:rPr>
      </w:pPr>
    </w:p>
    <w:p w:rsidR="00CA7FF6" w:rsidRDefault="00CA7FF6" w:rsidP="00CA7FF6">
      <w:pPr>
        <w:snapToGrid w:val="0"/>
        <w:jc w:val="both"/>
        <w:rPr>
          <w:b/>
          <w:sz w:val="20"/>
          <w:szCs w:val="20"/>
        </w:rPr>
        <w:sectPr w:rsidR="00CA7FF6" w:rsidSect="00062066">
          <w:type w:val="continuous"/>
          <w:pgSz w:w="12240" w:h="15840" w:code="1"/>
          <w:pgMar w:top="1440" w:right="1440" w:bottom="1440" w:left="1440" w:header="720" w:footer="720" w:gutter="0"/>
          <w:cols w:space="720"/>
          <w:docGrid w:linePitch="326"/>
        </w:sectPr>
      </w:pPr>
    </w:p>
    <w:p w:rsidR="004B3F67" w:rsidRPr="00943136" w:rsidRDefault="00C54D55" w:rsidP="00CA7FF6">
      <w:pPr>
        <w:snapToGrid w:val="0"/>
        <w:jc w:val="both"/>
        <w:rPr>
          <w:sz w:val="20"/>
          <w:szCs w:val="20"/>
        </w:rPr>
      </w:pPr>
      <w:r w:rsidRPr="00943136">
        <w:rPr>
          <w:b/>
          <w:sz w:val="20"/>
          <w:szCs w:val="20"/>
        </w:rPr>
        <w:lastRenderedPageBreak/>
        <w:t>4. Discussion:</w:t>
      </w:r>
    </w:p>
    <w:p w:rsidR="004B3F67" w:rsidRPr="00943136" w:rsidRDefault="00E26E04" w:rsidP="00CA7FF6">
      <w:pPr>
        <w:snapToGrid w:val="0"/>
        <w:ind w:firstLine="425"/>
        <w:jc w:val="both"/>
        <w:rPr>
          <w:sz w:val="20"/>
          <w:szCs w:val="20"/>
        </w:rPr>
      </w:pPr>
      <w:r w:rsidRPr="00943136">
        <w:rPr>
          <w:sz w:val="20"/>
          <w:szCs w:val="20"/>
        </w:rPr>
        <w:t>The use of PMRT hypofractionation protocols in breast cancer patients is rapidly growing in the last two decades because of its proven efficacy as per start A and B trials (4,5) and it is cost effective especially in developing countries that might not have adequate number of radiotherapy equipment.</w:t>
      </w:r>
      <w:r w:rsidR="009A22B1" w:rsidRPr="00943136">
        <w:rPr>
          <w:sz w:val="20"/>
          <w:szCs w:val="20"/>
        </w:rPr>
        <w:t xml:space="preserve"> </w:t>
      </w:r>
      <w:r w:rsidRPr="00943136">
        <w:rPr>
          <w:sz w:val="20"/>
          <w:szCs w:val="20"/>
        </w:rPr>
        <w:t>Clinical trials had been initiated to evaluate the efficacy of PMRT hypofractionation protocols in our department.</w:t>
      </w:r>
    </w:p>
    <w:p w:rsidR="004B3F67" w:rsidRPr="00943136" w:rsidRDefault="00E26E04" w:rsidP="00CA7FF6">
      <w:pPr>
        <w:snapToGrid w:val="0"/>
        <w:ind w:firstLine="425"/>
        <w:jc w:val="both"/>
        <w:rPr>
          <w:sz w:val="20"/>
          <w:szCs w:val="20"/>
        </w:rPr>
      </w:pPr>
      <w:r w:rsidRPr="00943136">
        <w:rPr>
          <w:sz w:val="20"/>
          <w:szCs w:val="20"/>
        </w:rPr>
        <w:t>There is a major concern regarding PMRT induced cardiac toxicity especially in patients with left sided breast cancer. This concern is mainly in 2 D planning contouring of the chest wall as some portion of the heart might be included in the tangential portals. Also, use of adjuvant anthracycline based chemotherapy protocols in our routine clinical practice and other comorbid conditions might carry additional risk of cardiac toxicities in those patients.</w:t>
      </w:r>
    </w:p>
    <w:p w:rsidR="004B3F67" w:rsidRPr="00943136" w:rsidRDefault="00E26E04" w:rsidP="00CA7FF6">
      <w:pPr>
        <w:snapToGrid w:val="0"/>
        <w:ind w:firstLine="425"/>
        <w:jc w:val="both"/>
        <w:rPr>
          <w:sz w:val="20"/>
          <w:szCs w:val="20"/>
        </w:rPr>
      </w:pPr>
      <w:r w:rsidRPr="00943136">
        <w:rPr>
          <w:sz w:val="20"/>
          <w:szCs w:val="20"/>
        </w:rPr>
        <w:lastRenderedPageBreak/>
        <w:t xml:space="preserve">Our study showed that Left breast cancer patients in both groups didn’t have a significant difference of PMRT induced cardiac toxicities. These findings coincide with results of a study done by </w:t>
      </w:r>
      <w:r w:rsidRPr="00943136">
        <w:rPr>
          <w:b/>
          <w:sz w:val="20"/>
          <w:szCs w:val="20"/>
        </w:rPr>
        <w:t xml:space="preserve">Haviland, et al in 2013 </w:t>
      </w:r>
      <w:r w:rsidRPr="00943136">
        <w:rPr>
          <w:sz w:val="20"/>
          <w:szCs w:val="20"/>
        </w:rPr>
        <w:t xml:space="preserve">that showedno major difference of incidence of adjuvant radiotherapy induced cardiac toxicities between both fractionation protocols in women with left breast cancer. It was also noted that there was a cardiac sensitivity to radiation whatever fractionation used with no lower dose threshold for adverse effects (7). </w:t>
      </w:r>
    </w:p>
    <w:p w:rsidR="004B3F67" w:rsidRPr="00943136" w:rsidRDefault="00E26E04" w:rsidP="00CA7FF6">
      <w:pPr>
        <w:snapToGrid w:val="0"/>
        <w:ind w:firstLine="425"/>
        <w:jc w:val="both"/>
        <w:rPr>
          <w:sz w:val="20"/>
          <w:szCs w:val="20"/>
        </w:rPr>
      </w:pPr>
      <w:r w:rsidRPr="00943136">
        <w:rPr>
          <w:sz w:val="20"/>
          <w:szCs w:val="20"/>
        </w:rPr>
        <w:t>A commentary on the 2013 START trial results agreed with the START trial authors that protection of the heart is important for both adjuvant conventional and hypofractionated radiotherapy protocols and the choice of fractionation should not be affected by whether the tumor is in the right or left breast (10).</w:t>
      </w:r>
    </w:p>
    <w:p w:rsidR="004B3F67" w:rsidRPr="00943136" w:rsidRDefault="00E26E04" w:rsidP="00CA7FF6">
      <w:pPr>
        <w:snapToGrid w:val="0"/>
        <w:ind w:firstLine="425"/>
        <w:jc w:val="both"/>
        <w:rPr>
          <w:sz w:val="20"/>
          <w:szCs w:val="20"/>
        </w:rPr>
      </w:pPr>
      <w:r w:rsidRPr="00943136">
        <w:rPr>
          <w:sz w:val="20"/>
          <w:szCs w:val="20"/>
        </w:rPr>
        <w:lastRenderedPageBreak/>
        <w:t>A retrospective study from Ontario with a median follow-up of 13.2 years aimed to compare cardiac toxicities in adjuvant radiotherapy for breast cancer patients with hypofractionation (40-44 Gy in 16 fractions) and conventional fractionation (45-50 Gy in 25 fractions or 50.4 Gy in 28 fractions). This study showed that 15-year cumulative hospital-related morbidity from cardiac causes was not different between the two radiotherapy protocols (both 21%, p=0.93). The difference was also not significant for right breast cancer (hypofractionation 18%, conventional 19%; p=0.76). The 15-year cumulative mortality before first cardiac hospitalization between hypofractionation and conventional fractionations protocols was not statistically different; 20.7% vs. 23.8% respectively (p= NR). Right breast cancer patients were also not significantly different.</w:t>
      </w:r>
      <w:r w:rsidRPr="00943136">
        <w:rPr>
          <w:color w:val="000000"/>
          <w:sz w:val="20"/>
          <w:szCs w:val="20"/>
        </w:rPr>
        <w:t xml:space="preserve"> The difference in cardiac mortality rates between both fractionation protocols was not statistically significant (4.8% and 4.2 % for hypofractionation and conventional fractionation, p = 0.74). Also, this difference was not significant for right breast cancer cases (4.9% and 3.2 % for hypofractionation and conventional fractionation, p = 0.21)</w:t>
      </w:r>
      <w:r w:rsidRPr="00943136">
        <w:rPr>
          <w:sz w:val="20"/>
          <w:szCs w:val="20"/>
        </w:rPr>
        <w:t xml:space="preserve"> (8).</w:t>
      </w:r>
    </w:p>
    <w:p w:rsidR="004B3F67" w:rsidRPr="00943136" w:rsidRDefault="00E26E04" w:rsidP="00CA7FF6">
      <w:pPr>
        <w:snapToGrid w:val="0"/>
        <w:ind w:firstLine="425"/>
        <w:jc w:val="both"/>
        <w:rPr>
          <w:color w:val="000000"/>
          <w:sz w:val="20"/>
          <w:szCs w:val="20"/>
        </w:rPr>
      </w:pPr>
      <w:r w:rsidRPr="00943136">
        <w:rPr>
          <w:color w:val="000000"/>
          <w:sz w:val="20"/>
          <w:szCs w:val="20"/>
        </w:rPr>
        <w:t>Although in our study there was a significant difference between EF regarding sidedness of the primary tumor (right vs left breast) there was no difference between both groups however, the cumulative long-term effect needs further follow up.</w:t>
      </w:r>
    </w:p>
    <w:p w:rsidR="004B3F67" w:rsidRPr="00943136" w:rsidRDefault="00E26E04" w:rsidP="00CA7FF6">
      <w:pPr>
        <w:snapToGrid w:val="0"/>
        <w:ind w:firstLine="425"/>
        <w:jc w:val="both"/>
        <w:rPr>
          <w:color w:val="000000"/>
          <w:sz w:val="20"/>
          <w:szCs w:val="20"/>
        </w:rPr>
      </w:pPr>
      <w:r w:rsidRPr="00943136">
        <w:rPr>
          <w:color w:val="000000"/>
          <w:sz w:val="20"/>
          <w:szCs w:val="20"/>
        </w:rPr>
        <w:t>A retrospective case-control study compared 20-year risk of death from ischemic heart disease (IHD) in two adjuvant radiotherapy hypofractionation protocols [4.3 Gy x 10 given as 2 weekly fractions (n=1107) and 2.5 Gy x 20 given as 4 weekly fractions (n=459)]. Multivariate analysis of this study showed that 4.3 Gy still had an associated increased risk of IHD but with borderline significance only (HR=2.90, 95% CI 0.97-8.76, p=0.057). Patients treated for left breast cancer did not have increased risk of dying from IHD compared with right breast cancer (9).</w:t>
      </w:r>
    </w:p>
    <w:p w:rsidR="004B3F67" w:rsidRPr="00943136" w:rsidRDefault="00E26E04" w:rsidP="00CA7FF6">
      <w:pPr>
        <w:snapToGrid w:val="0"/>
        <w:ind w:firstLine="425"/>
        <w:jc w:val="both"/>
        <w:rPr>
          <w:color w:val="000000"/>
          <w:sz w:val="20"/>
          <w:szCs w:val="20"/>
        </w:rPr>
      </w:pPr>
      <w:r w:rsidRPr="00943136">
        <w:rPr>
          <w:color w:val="000000"/>
          <w:sz w:val="20"/>
          <w:szCs w:val="20"/>
        </w:rPr>
        <w:t xml:space="preserve">In 2007 </w:t>
      </w:r>
      <w:r w:rsidRPr="00943136">
        <w:rPr>
          <w:b/>
          <w:color w:val="000000"/>
          <w:sz w:val="20"/>
          <w:szCs w:val="20"/>
        </w:rPr>
        <w:t>Marhin et al</w:t>
      </w:r>
      <w:r w:rsidRPr="00943136">
        <w:rPr>
          <w:color w:val="000000"/>
          <w:sz w:val="20"/>
          <w:szCs w:val="20"/>
        </w:rPr>
        <w:t xml:space="preserve"> reported no significant correlation in risk of PMRT cardiac mortality regarding age [≤60 vs. &gt;60 years], tumor sidedness [left vs. right breast] and dose per fraction [ ≤2 vs. &gt;2 Gy]. The relative risk of adjuvant radiotherapy induced cardiac mortality for left relative to right breast cancer with &gt;2 Gy fractions was 1.07 (95% CI 0.68-1.69) (10).</w:t>
      </w:r>
    </w:p>
    <w:p w:rsidR="004B3F67" w:rsidRPr="00943136" w:rsidRDefault="00E26E04" w:rsidP="00CA7FF6">
      <w:pPr>
        <w:snapToGrid w:val="0"/>
        <w:ind w:firstLine="425"/>
        <w:jc w:val="both"/>
        <w:rPr>
          <w:color w:val="000000"/>
          <w:sz w:val="20"/>
          <w:szCs w:val="20"/>
        </w:rPr>
      </w:pPr>
      <w:r w:rsidRPr="00943136">
        <w:rPr>
          <w:color w:val="000000"/>
          <w:sz w:val="20"/>
          <w:szCs w:val="20"/>
        </w:rPr>
        <w:t>Absence of a difference in PMRT induced cardiac mortality between women treated for breast cancer with hypo-fractionated vs. conventional fractionated radiotherapy adds further support to the efficacy of hypo-fractionated regimens in this clinical setting.</w:t>
      </w:r>
    </w:p>
    <w:p w:rsidR="004B3F67" w:rsidRPr="00943136" w:rsidRDefault="00E26E04" w:rsidP="00CA7FF6">
      <w:pPr>
        <w:snapToGrid w:val="0"/>
        <w:ind w:firstLine="425"/>
        <w:jc w:val="both"/>
        <w:rPr>
          <w:color w:val="000000"/>
          <w:sz w:val="20"/>
          <w:szCs w:val="20"/>
        </w:rPr>
      </w:pPr>
      <w:r w:rsidRPr="00943136">
        <w:rPr>
          <w:color w:val="000000"/>
          <w:sz w:val="20"/>
          <w:szCs w:val="20"/>
        </w:rPr>
        <w:t xml:space="preserve">In our study only one patient died due to congestive heart failure, she was 70 years old and had </w:t>
      </w:r>
      <w:r w:rsidRPr="00943136">
        <w:rPr>
          <w:color w:val="000000"/>
          <w:sz w:val="20"/>
          <w:szCs w:val="20"/>
        </w:rPr>
        <w:lastRenderedPageBreak/>
        <w:t>history of uncontrolled hypertension and diabetes mellitus. Although a Canadian trial did not report results for left- and right-sided breast cancers, the authors did note that at a median follow-up of 12 years few cardiac-related deaths were observed and no increase occurred in patients received the hypo-fractionation protocols (11).</w:t>
      </w:r>
    </w:p>
    <w:p w:rsidR="004B3F67" w:rsidRPr="00943136" w:rsidRDefault="00E26E04" w:rsidP="00CA7FF6">
      <w:pPr>
        <w:pBdr>
          <w:top w:val="nil"/>
          <w:left w:val="nil"/>
          <w:bottom w:val="nil"/>
          <w:right w:val="nil"/>
          <w:between w:val="nil"/>
        </w:pBdr>
        <w:snapToGrid w:val="0"/>
        <w:ind w:firstLine="425"/>
        <w:jc w:val="both"/>
        <w:rPr>
          <w:sz w:val="20"/>
          <w:szCs w:val="20"/>
        </w:rPr>
      </w:pPr>
      <w:r w:rsidRPr="00943136">
        <w:rPr>
          <w:sz w:val="20"/>
          <w:szCs w:val="20"/>
        </w:rPr>
        <w:t>In our study there was no significant correlation between cardiotoxicity and use of tamoxifenvs AIs, although patients above 50 years showed more reduction in EF which wasn’t statistically significant.</w:t>
      </w:r>
    </w:p>
    <w:p w:rsidR="004B3F67" w:rsidRPr="00943136" w:rsidRDefault="00E26E04" w:rsidP="00CA7FF6">
      <w:pPr>
        <w:pBdr>
          <w:top w:val="nil"/>
          <w:left w:val="nil"/>
          <w:bottom w:val="nil"/>
          <w:right w:val="nil"/>
          <w:between w:val="nil"/>
        </w:pBdr>
        <w:snapToGrid w:val="0"/>
        <w:ind w:firstLine="425"/>
        <w:jc w:val="both"/>
        <w:rPr>
          <w:sz w:val="20"/>
          <w:szCs w:val="20"/>
        </w:rPr>
      </w:pPr>
      <w:r w:rsidRPr="00943136">
        <w:rPr>
          <w:color w:val="000000"/>
          <w:sz w:val="20"/>
          <w:szCs w:val="20"/>
        </w:rPr>
        <w:t xml:space="preserve">Median </w:t>
      </w:r>
      <w:r w:rsidRPr="00943136">
        <w:rPr>
          <w:sz w:val="20"/>
          <w:szCs w:val="20"/>
        </w:rPr>
        <w:t>follow up duration of 60 months (range 25- 70) might be considered as a limitation of our study as late cardiac toxicities might take up to 15 years to be seen and most of trials addressing that issue had median follow up durations of more than 10 years. Other limitations to this study are small number of patients recruited in both treatment arms and the use 2D planning techniques that might add to cardiac toxicities because of higher possibility of involving portion of the heart in the radiation fields.</w:t>
      </w:r>
    </w:p>
    <w:p w:rsidR="004B3F67" w:rsidRPr="00943136" w:rsidRDefault="004B3F67" w:rsidP="00CA7FF6">
      <w:pPr>
        <w:pBdr>
          <w:top w:val="nil"/>
          <w:left w:val="nil"/>
          <w:bottom w:val="nil"/>
          <w:right w:val="nil"/>
          <w:between w:val="nil"/>
        </w:pBdr>
        <w:snapToGrid w:val="0"/>
        <w:ind w:firstLine="425"/>
        <w:jc w:val="both"/>
        <w:rPr>
          <w:color w:val="000000"/>
          <w:sz w:val="20"/>
          <w:szCs w:val="20"/>
        </w:rPr>
      </w:pPr>
    </w:p>
    <w:p w:rsidR="004B3F67" w:rsidRPr="00943136" w:rsidRDefault="00E26E04" w:rsidP="00CA7FF6">
      <w:pPr>
        <w:pBdr>
          <w:top w:val="nil"/>
          <w:left w:val="nil"/>
          <w:bottom w:val="nil"/>
          <w:right w:val="nil"/>
          <w:between w:val="nil"/>
        </w:pBdr>
        <w:snapToGrid w:val="0"/>
        <w:jc w:val="both"/>
        <w:rPr>
          <w:b/>
          <w:sz w:val="20"/>
          <w:szCs w:val="20"/>
        </w:rPr>
      </w:pPr>
      <w:r w:rsidRPr="00943136">
        <w:rPr>
          <w:b/>
          <w:sz w:val="20"/>
          <w:szCs w:val="20"/>
        </w:rPr>
        <w:t>Conclusion:</w:t>
      </w:r>
    </w:p>
    <w:p w:rsidR="004B3F67" w:rsidRPr="00943136" w:rsidRDefault="00E26E04" w:rsidP="00CA7FF6">
      <w:pPr>
        <w:pBdr>
          <w:top w:val="nil"/>
          <w:left w:val="nil"/>
          <w:bottom w:val="nil"/>
          <w:right w:val="nil"/>
          <w:between w:val="nil"/>
        </w:pBdr>
        <w:snapToGrid w:val="0"/>
        <w:ind w:firstLine="425"/>
        <w:jc w:val="both"/>
        <w:rPr>
          <w:sz w:val="20"/>
          <w:szCs w:val="20"/>
        </w:rPr>
      </w:pPr>
      <w:r w:rsidRPr="00943136">
        <w:rPr>
          <w:sz w:val="20"/>
          <w:szCs w:val="20"/>
        </w:rPr>
        <w:t>Data collected from multiple trials and from our study suggest that there is no difference between breast cancer adjuvant hypofractionation and conventional radiotherapy protocols in regard to cardiac toxicity. Longer follow up is mandatory to detect late effects. The use of more advanced high precision radiotherapy techniques can also reduce the risk of PMRT cardiac complications especially in left sided breast cancer.</w:t>
      </w:r>
    </w:p>
    <w:p w:rsidR="004B3F67" w:rsidRPr="00943136" w:rsidRDefault="004B3F67" w:rsidP="00CA7FF6">
      <w:pPr>
        <w:snapToGrid w:val="0"/>
        <w:ind w:firstLine="425"/>
        <w:jc w:val="both"/>
        <w:rPr>
          <w:sz w:val="20"/>
          <w:szCs w:val="20"/>
        </w:rPr>
      </w:pPr>
    </w:p>
    <w:p w:rsidR="004B3F67" w:rsidRPr="00943136" w:rsidRDefault="00E26E04" w:rsidP="00CA7FF6">
      <w:pPr>
        <w:snapToGrid w:val="0"/>
        <w:jc w:val="both"/>
        <w:rPr>
          <w:sz w:val="20"/>
          <w:szCs w:val="20"/>
        </w:rPr>
      </w:pPr>
      <w:r w:rsidRPr="00943136">
        <w:rPr>
          <w:b/>
          <w:sz w:val="20"/>
          <w:szCs w:val="20"/>
        </w:rPr>
        <w:t>Acknowledgement:</w:t>
      </w:r>
    </w:p>
    <w:p w:rsidR="004B3F67" w:rsidRPr="00943136" w:rsidRDefault="00E26E04" w:rsidP="00CA7FF6">
      <w:pPr>
        <w:snapToGrid w:val="0"/>
        <w:ind w:firstLine="425"/>
        <w:jc w:val="both"/>
        <w:rPr>
          <w:sz w:val="20"/>
          <w:szCs w:val="20"/>
        </w:rPr>
      </w:pPr>
      <w:r w:rsidRPr="00943136">
        <w:rPr>
          <w:sz w:val="20"/>
          <w:szCs w:val="20"/>
        </w:rPr>
        <w:t>We would thank all patients enrolled to this study and their families. We also thank all staff of radiation and physics unit in our department for their generous help in this study.</w:t>
      </w:r>
    </w:p>
    <w:p w:rsidR="004B3F67" w:rsidRPr="00943136" w:rsidRDefault="004B3F67" w:rsidP="00CA7FF6">
      <w:pPr>
        <w:snapToGrid w:val="0"/>
        <w:ind w:firstLine="425"/>
        <w:jc w:val="both"/>
        <w:rPr>
          <w:sz w:val="20"/>
          <w:szCs w:val="20"/>
        </w:rPr>
      </w:pPr>
    </w:p>
    <w:p w:rsidR="004B3F67" w:rsidRPr="00943136" w:rsidRDefault="00E26E04" w:rsidP="00CA7FF6">
      <w:pPr>
        <w:snapToGrid w:val="0"/>
        <w:jc w:val="both"/>
        <w:rPr>
          <w:sz w:val="20"/>
          <w:szCs w:val="20"/>
        </w:rPr>
      </w:pPr>
      <w:r w:rsidRPr="00943136">
        <w:rPr>
          <w:b/>
          <w:sz w:val="20"/>
          <w:szCs w:val="20"/>
        </w:rPr>
        <w:t>Conflict of interest:</w:t>
      </w:r>
    </w:p>
    <w:p w:rsidR="004B3F67" w:rsidRPr="00943136" w:rsidRDefault="00E26E04" w:rsidP="00CA7FF6">
      <w:pPr>
        <w:snapToGrid w:val="0"/>
        <w:ind w:firstLine="425"/>
        <w:jc w:val="both"/>
        <w:rPr>
          <w:sz w:val="20"/>
          <w:szCs w:val="20"/>
        </w:rPr>
      </w:pPr>
      <w:r w:rsidRPr="00943136">
        <w:rPr>
          <w:sz w:val="20"/>
          <w:szCs w:val="20"/>
        </w:rPr>
        <w:t xml:space="preserve">Both authors dedicated no potential conflicts of interest. </w:t>
      </w:r>
    </w:p>
    <w:p w:rsidR="004B3F67" w:rsidRPr="00943136" w:rsidRDefault="004B3F67" w:rsidP="00CA7FF6">
      <w:pPr>
        <w:snapToGrid w:val="0"/>
        <w:ind w:firstLine="425"/>
        <w:jc w:val="both"/>
        <w:rPr>
          <w:sz w:val="20"/>
          <w:szCs w:val="20"/>
        </w:rPr>
      </w:pPr>
    </w:p>
    <w:p w:rsidR="004B3F67" w:rsidRPr="00943136" w:rsidRDefault="00E26E04" w:rsidP="00CA7FF6">
      <w:pPr>
        <w:snapToGrid w:val="0"/>
        <w:jc w:val="both"/>
        <w:rPr>
          <w:sz w:val="20"/>
          <w:szCs w:val="20"/>
        </w:rPr>
      </w:pPr>
      <w:r w:rsidRPr="00943136">
        <w:rPr>
          <w:b/>
          <w:sz w:val="20"/>
          <w:szCs w:val="20"/>
        </w:rPr>
        <w:t>Authorship:</w:t>
      </w:r>
    </w:p>
    <w:p w:rsidR="004B3F67" w:rsidRPr="00943136" w:rsidRDefault="00E26E04" w:rsidP="00CA7FF6">
      <w:pPr>
        <w:snapToGrid w:val="0"/>
        <w:ind w:firstLine="425"/>
        <w:jc w:val="both"/>
        <w:rPr>
          <w:sz w:val="20"/>
          <w:szCs w:val="20"/>
        </w:rPr>
      </w:pPr>
      <w:r w:rsidRPr="00943136">
        <w:rPr>
          <w:sz w:val="20"/>
          <w:szCs w:val="20"/>
        </w:rPr>
        <w:t>Both authors whose names appear on the submission have contributed sufficiently to the scientific work and therefore share collective responsibility and accountability for the results.</w:t>
      </w:r>
    </w:p>
    <w:p w:rsidR="004B3F67" w:rsidRPr="00943136" w:rsidRDefault="004B3F67" w:rsidP="00CA7FF6">
      <w:pPr>
        <w:snapToGrid w:val="0"/>
        <w:ind w:firstLine="425"/>
        <w:jc w:val="both"/>
        <w:rPr>
          <w:sz w:val="20"/>
          <w:szCs w:val="20"/>
        </w:rPr>
      </w:pPr>
    </w:p>
    <w:p w:rsidR="004B3F67" w:rsidRPr="00943136" w:rsidRDefault="00C54D55" w:rsidP="00CA7FF6">
      <w:pPr>
        <w:snapToGrid w:val="0"/>
        <w:jc w:val="both"/>
        <w:rPr>
          <w:sz w:val="20"/>
          <w:szCs w:val="20"/>
        </w:rPr>
      </w:pPr>
      <w:r w:rsidRPr="00943136">
        <w:rPr>
          <w:b/>
          <w:sz w:val="20"/>
          <w:szCs w:val="20"/>
        </w:rPr>
        <w:t>Abbreviations:</w:t>
      </w:r>
    </w:p>
    <w:p w:rsidR="004B3F67" w:rsidRPr="00943136" w:rsidRDefault="00E26E04" w:rsidP="00CA7FF6">
      <w:pPr>
        <w:snapToGrid w:val="0"/>
        <w:ind w:firstLine="425"/>
        <w:jc w:val="both"/>
        <w:rPr>
          <w:sz w:val="20"/>
          <w:szCs w:val="20"/>
        </w:rPr>
      </w:pPr>
      <w:r w:rsidRPr="00943136">
        <w:rPr>
          <w:sz w:val="20"/>
          <w:szCs w:val="20"/>
        </w:rPr>
        <w:t>PMRT: post mastectomy radiotherapy; ECHO: echocardiography; ECG: electrocardiography; EF: Ejection fraction; RCT: randomized clinical trials; MRM: modified radical mastectomy; CT: computed tomography; CLD: central lungdistance</w:t>
      </w:r>
      <w:r w:rsidR="00CA7FF6" w:rsidRPr="00943136">
        <w:rPr>
          <w:sz w:val="20"/>
          <w:szCs w:val="20"/>
        </w:rPr>
        <w:t>;</w:t>
      </w:r>
      <w:r w:rsidR="00CA7FF6">
        <w:rPr>
          <w:sz w:val="20"/>
          <w:szCs w:val="20"/>
        </w:rPr>
        <w:t xml:space="preserve"> </w:t>
      </w:r>
      <w:r w:rsidR="00CA7FF6" w:rsidRPr="00943136">
        <w:rPr>
          <w:sz w:val="20"/>
          <w:szCs w:val="20"/>
        </w:rPr>
        <w:t>G</w:t>
      </w:r>
      <w:r w:rsidRPr="00943136">
        <w:rPr>
          <w:sz w:val="20"/>
          <w:szCs w:val="20"/>
        </w:rPr>
        <w:t>y</w:t>
      </w:r>
      <w:r w:rsidR="00CA7FF6" w:rsidRPr="00943136">
        <w:rPr>
          <w:sz w:val="20"/>
          <w:szCs w:val="20"/>
        </w:rPr>
        <w:t>:</w:t>
      </w:r>
      <w:r w:rsidR="00CA7FF6">
        <w:rPr>
          <w:sz w:val="20"/>
          <w:szCs w:val="20"/>
        </w:rPr>
        <w:t xml:space="preserve"> </w:t>
      </w:r>
      <w:r w:rsidR="00CA7FF6" w:rsidRPr="00943136">
        <w:rPr>
          <w:sz w:val="20"/>
          <w:szCs w:val="20"/>
        </w:rPr>
        <w:t>g</w:t>
      </w:r>
      <w:r w:rsidRPr="00943136">
        <w:rPr>
          <w:sz w:val="20"/>
          <w:szCs w:val="20"/>
        </w:rPr>
        <w:t>ray</w:t>
      </w:r>
      <w:r w:rsidR="00CA7FF6" w:rsidRPr="00943136">
        <w:rPr>
          <w:sz w:val="20"/>
          <w:szCs w:val="20"/>
        </w:rPr>
        <w:t>;</w:t>
      </w:r>
      <w:r w:rsidR="00CA7FF6">
        <w:rPr>
          <w:sz w:val="20"/>
          <w:szCs w:val="20"/>
        </w:rPr>
        <w:t xml:space="preserve"> </w:t>
      </w:r>
      <w:r w:rsidR="00CA7FF6" w:rsidRPr="00943136">
        <w:rPr>
          <w:sz w:val="20"/>
          <w:szCs w:val="20"/>
        </w:rPr>
        <w:t>E</w:t>
      </w:r>
      <w:r w:rsidRPr="00943136">
        <w:rPr>
          <w:sz w:val="20"/>
          <w:szCs w:val="20"/>
        </w:rPr>
        <w:t>R</w:t>
      </w:r>
      <w:r w:rsidR="00CA7FF6" w:rsidRPr="00943136">
        <w:rPr>
          <w:sz w:val="20"/>
          <w:szCs w:val="20"/>
        </w:rPr>
        <w:t>:</w:t>
      </w:r>
      <w:r w:rsidR="00CA7FF6">
        <w:rPr>
          <w:sz w:val="20"/>
          <w:szCs w:val="20"/>
        </w:rPr>
        <w:t xml:space="preserve"> </w:t>
      </w:r>
      <w:r w:rsidR="00CA7FF6" w:rsidRPr="00943136">
        <w:rPr>
          <w:sz w:val="20"/>
          <w:szCs w:val="20"/>
        </w:rPr>
        <w:t>e</w:t>
      </w:r>
      <w:r w:rsidRPr="00943136">
        <w:rPr>
          <w:sz w:val="20"/>
          <w:szCs w:val="20"/>
        </w:rPr>
        <w:t>strogen receptor</w:t>
      </w:r>
      <w:r w:rsidR="00CA7FF6" w:rsidRPr="00943136">
        <w:rPr>
          <w:sz w:val="20"/>
          <w:szCs w:val="20"/>
        </w:rPr>
        <w:t>;</w:t>
      </w:r>
      <w:r w:rsidR="00CA7FF6">
        <w:rPr>
          <w:sz w:val="20"/>
          <w:szCs w:val="20"/>
        </w:rPr>
        <w:t xml:space="preserve"> </w:t>
      </w:r>
      <w:r w:rsidR="00CA7FF6" w:rsidRPr="00943136">
        <w:rPr>
          <w:sz w:val="20"/>
          <w:szCs w:val="20"/>
        </w:rPr>
        <w:t>H</w:t>
      </w:r>
      <w:r w:rsidRPr="00943136">
        <w:rPr>
          <w:sz w:val="20"/>
          <w:szCs w:val="20"/>
        </w:rPr>
        <w:t>ER2neu</w:t>
      </w:r>
      <w:r w:rsidR="00CA7FF6" w:rsidRPr="00943136">
        <w:rPr>
          <w:sz w:val="20"/>
          <w:szCs w:val="20"/>
        </w:rPr>
        <w:t>:</w:t>
      </w:r>
      <w:r w:rsidR="00CA7FF6">
        <w:rPr>
          <w:sz w:val="20"/>
          <w:szCs w:val="20"/>
        </w:rPr>
        <w:t xml:space="preserve"> </w:t>
      </w:r>
      <w:r w:rsidR="00CA7FF6" w:rsidRPr="00943136">
        <w:rPr>
          <w:sz w:val="20"/>
          <w:szCs w:val="20"/>
        </w:rPr>
        <w:t>e</w:t>
      </w:r>
      <w:r w:rsidRPr="00943136">
        <w:rPr>
          <w:sz w:val="20"/>
          <w:szCs w:val="20"/>
        </w:rPr>
        <w:t xml:space="preserve">pidermal growth </w:t>
      </w:r>
      <w:r w:rsidRPr="00943136">
        <w:rPr>
          <w:sz w:val="20"/>
          <w:szCs w:val="20"/>
        </w:rPr>
        <w:lastRenderedPageBreak/>
        <w:t>factor receptor 2; AIs: aromatase inhibitors</w:t>
      </w:r>
      <w:r w:rsidR="00CA7FF6" w:rsidRPr="00943136">
        <w:rPr>
          <w:sz w:val="20"/>
          <w:szCs w:val="20"/>
        </w:rPr>
        <w:t>;</w:t>
      </w:r>
      <w:r w:rsidR="00CA7FF6">
        <w:rPr>
          <w:sz w:val="20"/>
          <w:szCs w:val="20"/>
        </w:rPr>
        <w:t xml:space="preserve"> </w:t>
      </w:r>
      <w:r w:rsidR="00CA7FF6" w:rsidRPr="00943136">
        <w:rPr>
          <w:sz w:val="20"/>
          <w:szCs w:val="20"/>
        </w:rPr>
        <w:t>I</w:t>
      </w:r>
      <w:r w:rsidRPr="00943136">
        <w:rPr>
          <w:sz w:val="20"/>
          <w:szCs w:val="20"/>
        </w:rPr>
        <w:t>HD: ischemic heart disease.</w:t>
      </w:r>
    </w:p>
    <w:p w:rsidR="004B3F67" w:rsidRPr="00943136" w:rsidRDefault="004B3F67" w:rsidP="00CA7FF6">
      <w:pPr>
        <w:snapToGrid w:val="0"/>
        <w:jc w:val="both"/>
        <w:rPr>
          <w:b/>
          <w:sz w:val="20"/>
          <w:szCs w:val="20"/>
        </w:rPr>
      </w:pPr>
    </w:p>
    <w:p w:rsidR="004B3F67" w:rsidRPr="00CA7FF6" w:rsidRDefault="00E26E04" w:rsidP="00CA7FF6">
      <w:pPr>
        <w:pStyle w:val="ListParagraph"/>
        <w:snapToGrid w:val="0"/>
        <w:ind w:left="0"/>
        <w:jc w:val="both"/>
        <w:rPr>
          <w:b/>
          <w:sz w:val="20"/>
          <w:szCs w:val="20"/>
        </w:rPr>
      </w:pPr>
      <w:r w:rsidRPr="00CA7FF6">
        <w:rPr>
          <w:b/>
          <w:sz w:val="20"/>
          <w:szCs w:val="20"/>
        </w:rPr>
        <w:t>References:</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Nitsche</w:t>
      </w:r>
      <w:r w:rsidR="00943136" w:rsidRPr="00CA7FF6">
        <w:rPr>
          <w:sz w:val="20"/>
          <w:szCs w:val="20"/>
        </w:rPr>
        <w:t xml:space="preserve"> </w:t>
      </w:r>
      <w:r w:rsidRPr="00CA7FF6">
        <w:rPr>
          <w:sz w:val="20"/>
          <w:szCs w:val="20"/>
        </w:rPr>
        <w:t>M,</w:t>
      </w:r>
      <w:r w:rsidR="00943136" w:rsidRPr="00CA7FF6">
        <w:rPr>
          <w:sz w:val="20"/>
          <w:szCs w:val="20"/>
        </w:rPr>
        <w:t xml:space="preserve"> </w:t>
      </w:r>
      <w:r w:rsidRPr="00CA7FF6">
        <w:rPr>
          <w:sz w:val="20"/>
          <w:szCs w:val="20"/>
        </w:rPr>
        <w:t>Pahl</w:t>
      </w:r>
      <w:r w:rsidR="00943136" w:rsidRPr="00CA7FF6">
        <w:rPr>
          <w:sz w:val="20"/>
          <w:szCs w:val="20"/>
        </w:rPr>
        <w:t xml:space="preserve"> </w:t>
      </w:r>
      <w:r w:rsidRPr="00CA7FF6">
        <w:rPr>
          <w:sz w:val="20"/>
          <w:szCs w:val="20"/>
        </w:rPr>
        <w:t>R,</w:t>
      </w:r>
      <w:r w:rsidR="00943136" w:rsidRPr="00CA7FF6">
        <w:rPr>
          <w:sz w:val="20"/>
          <w:szCs w:val="20"/>
        </w:rPr>
        <w:t xml:space="preserve"> </w:t>
      </w:r>
      <w:r w:rsidRPr="00CA7FF6">
        <w:rPr>
          <w:sz w:val="20"/>
          <w:szCs w:val="20"/>
        </w:rPr>
        <w:t>Huber</w:t>
      </w:r>
      <w:r w:rsidR="00943136" w:rsidRPr="00CA7FF6">
        <w:rPr>
          <w:sz w:val="20"/>
          <w:szCs w:val="20"/>
        </w:rPr>
        <w:t xml:space="preserve"> </w:t>
      </w:r>
      <w:r w:rsidRPr="00CA7FF6">
        <w:rPr>
          <w:sz w:val="20"/>
          <w:szCs w:val="20"/>
        </w:rPr>
        <w:t>K,</w:t>
      </w:r>
      <w:r w:rsidR="00943136" w:rsidRPr="00CA7FF6">
        <w:rPr>
          <w:sz w:val="20"/>
          <w:szCs w:val="20"/>
        </w:rPr>
        <w:t xml:space="preserve"> </w:t>
      </w:r>
      <w:r w:rsidRPr="00CA7FF6">
        <w:rPr>
          <w:sz w:val="20"/>
          <w:szCs w:val="20"/>
        </w:rPr>
        <w:t>Eilf</w:t>
      </w:r>
      <w:r w:rsidR="00943136" w:rsidRPr="00CA7FF6">
        <w:rPr>
          <w:sz w:val="20"/>
          <w:szCs w:val="20"/>
        </w:rPr>
        <w:t xml:space="preserve"> </w:t>
      </w:r>
      <w:r w:rsidRPr="00CA7FF6">
        <w:rPr>
          <w:sz w:val="20"/>
          <w:szCs w:val="20"/>
        </w:rPr>
        <w:t>K,</w:t>
      </w:r>
      <w:r w:rsidR="00943136" w:rsidRPr="00CA7FF6">
        <w:rPr>
          <w:sz w:val="20"/>
          <w:szCs w:val="20"/>
        </w:rPr>
        <w:t xml:space="preserve"> </w:t>
      </w:r>
      <w:r w:rsidRPr="00CA7FF6">
        <w:rPr>
          <w:sz w:val="20"/>
          <w:szCs w:val="20"/>
        </w:rPr>
        <w:t>Dunst</w:t>
      </w:r>
      <w:r w:rsidR="00943136" w:rsidRPr="00CA7FF6">
        <w:rPr>
          <w:sz w:val="20"/>
          <w:szCs w:val="20"/>
        </w:rPr>
        <w:t xml:space="preserve"> </w:t>
      </w:r>
      <w:r w:rsidRPr="00CA7FF6">
        <w:rPr>
          <w:sz w:val="20"/>
          <w:szCs w:val="20"/>
        </w:rPr>
        <w:t>J.</w:t>
      </w:r>
      <w:r w:rsidR="00943136" w:rsidRPr="00CA7FF6">
        <w:rPr>
          <w:sz w:val="20"/>
          <w:szCs w:val="20"/>
        </w:rPr>
        <w:t xml:space="preserve"> </w:t>
      </w:r>
      <w:r w:rsidRPr="00CA7FF6">
        <w:rPr>
          <w:sz w:val="20"/>
          <w:szCs w:val="20"/>
        </w:rPr>
        <w:t>Cardiac</w:t>
      </w:r>
      <w:r w:rsidR="00943136" w:rsidRPr="00CA7FF6">
        <w:rPr>
          <w:sz w:val="20"/>
          <w:szCs w:val="20"/>
        </w:rPr>
        <w:t xml:space="preserve"> </w:t>
      </w:r>
      <w:r w:rsidRPr="00CA7FF6">
        <w:rPr>
          <w:sz w:val="20"/>
          <w:szCs w:val="20"/>
        </w:rPr>
        <w:t>Toxicity</w:t>
      </w:r>
      <w:r w:rsidR="00943136" w:rsidRPr="00CA7FF6">
        <w:rPr>
          <w:sz w:val="20"/>
          <w:szCs w:val="20"/>
        </w:rPr>
        <w:t xml:space="preserve"> </w:t>
      </w:r>
      <w:r w:rsidRPr="00CA7FF6">
        <w:rPr>
          <w:sz w:val="20"/>
          <w:szCs w:val="20"/>
        </w:rPr>
        <w:t>after</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for</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Myths</w:t>
      </w:r>
      <w:r w:rsidR="00943136" w:rsidRPr="00CA7FF6">
        <w:rPr>
          <w:sz w:val="20"/>
          <w:szCs w:val="20"/>
        </w:rPr>
        <w:t xml:space="preserve"> </w:t>
      </w:r>
      <w:r w:rsidRPr="00CA7FF6">
        <w:rPr>
          <w:sz w:val="20"/>
          <w:szCs w:val="20"/>
        </w:rPr>
        <w:t>and</w:t>
      </w:r>
      <w:r w:rsidR="00943136" w:rsidRPr="00CA7FF6">
        <w:rPr>
          <w:sz w:val="20"/>
          <w:szCs w:val="20"/>
        </w:rPr>
        <w:t xml:space="preserve"> </w:t>
      </w:r>
      <w:r w:rsidRPr="00CA7FF6">
        <w:rPr>
          <w:sz w:val="20"/>
          <w:szCs w:val="20"/>
        </w:rPr>
        <w:t>Facts.</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Care</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2015;10(2):131–5.</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https://www.karger.com/Article/FullText/376560</w:t>
      </w:r>
      <w:r w:rsidR="009B2629">
        <w:rPr>
          <w:rFonts w:hint="eastAsia"/>
          <w:sz w:val="20"/>
          <w:szCs w:val="20"/>
          <w:lang w:eastAsia="zh-CN"/>
        </w:rPr>
        <w:t>.</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Paszat</w:t>
      </w:r>
      <w:r w:rsidR="00943136" w:rsidRPr="00CA7FF6">
        <w:rPr>
          <w:sz w:val="20"/>
          <w:szCs w:val="20"/>
        </w:rPr>
        <w:t xml:space="preserve"> </w:t>
      </w:r>
      <w:r w:rsidRPr="00CA7FF6">
        <w:rPr>
          <w:sz w:val="20"/>
          <w:szCs w:val="20"/>
        </w:rPr>
        <w:t>LF,</w:t>
      </w:r>
      <w:r w:rsidR="00943136" w:rsidRPr="00CA7FF6">
        <w:rPr>
          <w:sz w:val="20"/>
          <w:szCs w:val="20"/>
        </w:rPr>
        <w:t xml:space="preserve"> </w:t>
      </w:r>
      <w:r w:rsidRPr="00CA7FF6">
        <w:rPr>
          <w:sz w:val="20"/>
          <w:szCs w:val="20"/>
        </w:rPr>
        <w:t>Mackillop</w:t>
      </w:r>
      <w:r w:rsidR="00943136" w:rsidRPr="00CA7FF6">
        <w:rPr>
          <w:sz w:val="20"/>
          <w:szCs w:val="20"/>
        </w:rPr>
        <w:t xml:space="preserve"> </w:t>
      </w:r>
      <w:r w:rsidRPr="00CA7FF6">
        <w:rPr>
          <w:sz w:val="20"/>
          <w:szCs w:val="20"/>
        </w:rPr>
        <w:t>WJ,</w:t>
      </w:r>
      <w:r w:rsidR="00943136" w:rsidRPr="00CA7FF6">
        <w:rPr>
          <w:sz w:val="20"/>
          <w:szCs w:val="20"/>
        </w:rPr>
        <w:t xml:space="preserve"> </w:t>
      </w:r>
      <w:r w:rsidRPr="00CA7FF6">
        <w:rPr>
          <w:sz w:val="20"/>
          <w:szCs w:val="20"/>
        </w:rPr>
        <w:t>Groome</w:t>
      </w:r>
      <w:r w:rsidR="00943136" w:rsidRPr="00CA7FF6">
        <w:rPr>
          <w:sz w:val="20"/>
          <w:szCs w:val="20"/>
        </w:rPr>
        <w:t xml:space="preserve"> </w:t>
      </w:r>
      <w:r w:rsidRPr="00CA7FF6">
        <w:rPr>
          <w:sz w:val="20"/>
          <w:szCs w:val="20"/>
        </w:rPr>
        <w:t>PA,</w:t>
      </w:r>
      <w:r w:rsidR="00943136" w:rsidRPr="00CA7FF6">
        <w:rPr>
          <w:sz w:val="20"/>
          <w:szCs w:val="20"/>
        </w:rPr>
        <w:t xml:space="preserve"> </w:t>
      </w:r>
      <w:r w:rsidRPr="00CA7FF6">
        <w:rPr>
          <w:sz w:val="20"/>
          <w:szCs w:val="20"/>
        </w:rPr>
        <w:t>Schulze</w:t>
      </w:r>
      <w:r w:rsidR="00943136" w:rsidRPr="00CA7FF6">
        <w:rPr>
          <w:sz w:val="20"/>
          <w:szCs w:val="20"/>
        </w:rPr>
        <w:t xml:space="preserve"> </w:t>
      </w:r>
      <w:r w:rsidRPr="00CA7FF6">
        <w:rPr>
          <w:sz w:val="20"/>
          <w:szCs w:val="20"/>
        </w:rPr>
        <w:t>K,</w:t>
      </w:r>
      <w:r w:rsidR="00943136" w:rsidRPr="00CA7FF6">
        <w:rPr>
          <w:sz w:val="20"/>
          <w:szCs w:val="20"/>
        </w:rPr>
        <w:t xml:space="preserve"> </w:t>
      </w:r>
      <w:r w:rsidRPr="00CA7FF6">
        <w:rPr>
          <w:sz w:val="20"/>
          <w:szCs w:val="20"/>
        </w:rPr>
        <w:t>Holowaty</w:t>
      </w:r>
      <w:r w:rsidR="00943136" w:rsidRPr="00CA7FF6">
        <w:rPr>
          <w:sz w:val="20"/>
          <w:szCs w:val="20"/>
        </w:rPr>
        <w:t xml:space="preserve"> </w:t>
      </w:r>
      <w:r w:rsidRPr="00CA7FF6">
        <w:rPr>
          <w:sz w:val="20"/>
          <w:szCs w:val="20"/>
        </w:rPr>
        <w:t>E.</w:t>
      </w:r>
      <w:r w:rsidR="00943136" w:rsidRPr="00CA7FF6">
        <w:rPr>
          <w:sz w:val="20"/>
          <w:szCs w:val="20"/>
        </w:rPr>
        <w:t xml:space="preserve"> </w:t>
      </w:r>
      <w:r w:rsidRPr="00CA7FF6">
        <w:rPr>
          <w:sz w:val="20"/>
          <w:szCs w:val="20"/>
        </w:rPr>
        <w:t>Mortality</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myocardial</w:t>
      </w:r>
      <w:r w:rsidR="00943136" w:rsidRPr="00CA7FF6">
        <w:rPr>
          <w:sz w:val="20"/>
          <w:szCs w:val="20"/>
        </w:rPr>
        <w:t xml:space="preserve"> </w:t>
      </w:r>
      <w:r w:rsidRPr="00CA7FF6">
        <w:rPr>
          <w:sz w:val="20"/>
          <w:szCs w:val="20"/>
        </w:rPr>
        <w:t>infarction</w:t>
      </w:r>
      <w:r w:rsidR="00943136" w:rsidRPr="00CA7FF6">
        <w:rPr>
          <w:sz w:val="20"/>
          <w:szCs w:val="20"/>
        </w:rPr>
        <w:t xml:space="preserve"> </w:t>
      </w:r>
      <w:r w:rsidRPr="00CA7FF6">
        <w:rPr>
          <w:sz w:val="20"/>
          <w:szCs w:val="20"/>
        </w:rPr>
        <w:t>following</w:t>
      </w:r>
      <w:r w:rsidR="00943136" w:rsidRPr="00CA7FF6">
        <w:rPr>
          <w:sz w:val="20"/>
          <w:szCs w:val="20"/>
        </w:rPr>
        <w:t xml:space="preserve"> </w:t>
      </w:r>
      <w:r w:rsidRPr="00CA7FF6">
        <w:rPr>
          <w:sz w:val="20"/>
          <w:szCs w:val="20"/>
        </w:rPr>
        <w:t>postlumpectomy</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for</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a</w:t>
      </w:r>
      <w:r w:rsidR="00943136" w:rsidRPr="00CA7FF6">
        <w:rPr>
          <w:sz w:val="20"/>
          <w:szCs w:val="20"/>
        </w:rPr>
        <w:t xml:space="preserve"> </w:t>
      </w:r>
      <w:r w:rsidRPr="00CA7FF6">
        <w:rPr>
          <w:sz w:val="20"/>
          <w:szCs w:val="20"/>
        </w:rPr>
        <w:t>population-based</w:t>
      </w:r>
      <w:r w:rsidR="00943136" w:rsidRPr="00CA7FF6">
        <w:rPr>
          <w:sz w:val="20"/>
          <w:szCs w:val="20"/>
        </w:rPr>
        <w:t xml:space="preserve"> </w:t>
      </w:r>
      <w:r w:rsidRPr="00CA7FF6">
        <w:rPr>
          <w:sz w:val="20"/>
          <w:szCs w:val="20"/>
        </w:rPr>
        <w:t>study</w:t>
      </w:r>
      <w:r w:rsidR="00943136" w:rsidRPr="00CA7FF6">
        <w:rPr>
          <w:sz w:val="20"/>
          <w:szCs w:val="20"/>
        </w:rPr>
        <w:t xml:space="preserve"> </w:t>
      </w:r>
      <w:r w:rsidRPr="00CA7FF6">
        <w:rPr>
          <w:sz w:val="20"/>
          <w:szCs w:val="20"/>
        </w:rPr>
        <w:t>in</w:t>
      </w:r>
      <w:r w:rsidR="00943136" w:rsidRPr="00CA7FF6">
        <w:rPr>
          <w:sz w:val="20"/>
          <w:szCs w:val="20"/>
        </w:rPr>
        <w:t xml:space="preserve"> </w:t>
      </w:r>
      <w:r w:rsidRPr="00CA7FF6">
        <w:rPr>
          <w:sz w:val="20"/>
          <w:szCs w:val="20"/>
        </w:rPr>
        <w:t>Ontario,</w:t>
      </w:r>
      <w:r w:rsidR="00943136" w:rsidRPr="00CA7FF6">
        <w:rPr>
          <w:sz w:val="20"/>
          <w:szCs w:val="20"/>
        </w:rPr>
        <w:t xml:space="preserve"> </w:t>
      </w:r>
      <w:r w:rsidRPr="00CA7FF6">
        <w:rPr>
          <w:sz w:val="20"/>
          <w:szCs w:val="20"/>
        </w:rPr>
        <w:t>Canada.</w:t>
      </w:r>
      <w:r w:rsidR="00943136" w:rsidRPr="00CA7FF6">
        <w:rPr>
          <w:sz w:val="20"/>
          <w:szCs w:val="20"/>
        </w:rPr>
        <w:t xml:space="preserve"> </w:t>
      </w:r>
      <w:r w:rsidRPr="00CA7FF6">
        <w:rPr>
          <w:sz w:val="20"/>
          <w:szCs w:val="20"/>
        </w:rPr>
        <w:t>Int</w:t>
      </w:r>
      <w:r w:rsidR="00943136" w:rsidRPr="00CA7FF6">
        <w:rPr>
          <w:sz w:val="20"/>
          <w:szCs w:val="20"/>
        </w:rPr>
        <w:t xml:space="preserve"> </w:t>
      </w:r>
      <w:r w:rsidRPr="00CA7FF6">
        <w:rPr>
          <w:sz w:val="20"/>
          <w:szCs w:val="20"/>
        </w:rPr>
        <w:t>J</w:t>
      </w:r>
      <w:r w:rsidR="00943136" w:rsidRPr="00CA7FF6">
        <w:rPr>
          <w:sz w:val="20"/>
          <w:szCs w:val="20"/>
        </w:rPr>
        <w:t xml:space="preserve"> </w:t>
      </w:r>
      <w:r w:rsidRPr="00CA7FF6">
        <w:rPr>
          <w:sz w:val="20"/>
          <w:szCs w:val="20"/>
        </w:rPr>
        <w:t>Radia</w:t>
      </w:r>
      <w:r w:rsidR="00CA7FF6" w:rsidRPr="00CA7FF6">
        <w:rPr>
          <w:sz w:val="20"/>
          <w:szCs w:val="20"/>
        </w:rPr>
        <w:t>t</w:t>
      </w:r>
      <w:r w:rsidR="00CA7FF6">
        <w:rPr>
          <w:sz w:val="20"/>
          <w:szCs w:val="20"/>
        </w:rPr>
        <w:t xml:space="preserve"> </w:t>
      </w:r>
      <w:r w:rsidR="00CA7FF6" w:rsidRPr="00CA7FF6">
        <w:rPr>
          <w:sz w:val="20"/>
          <w:szCs w:val="20"/>
        </w:rPr>
        <w:t>O</w:t>
      </w:r>
      <w:r w:rsidRPr="00CA7FF6">
        <w:rPr>
          <w:sz w:val="20"/>
          <w:szCs w:val="20"/>
        </w:rPr>
        <w:t>nco</w:t>
      </w:r>
      <w:r w:rsidR="00CA7FF6" w:rsidRPr="00CA7FF6">
        <w:rPr>
          <w:sz w:val="20"/>
          <w:szCs w:val="20"/>
        </w:rPr>
        <w:t>l</w:t>
      </w:r>
      <w:r w:rsidR="00CA7FF6">
        <w:rPr>
          <w:sz w:val="20"/>
          <w:szCs w:val="20"/>
        </w:rPr>
        <w:t xml:space="preserve"> </w:t>
      </w:r>
      <w:r w:rsidR="00CA7FF6" w:rsidRPr="00CA7FF6">
        <w:rPr>
          <w:sz w:val="20"/>
          <w:szCs w:val="20"/>
        </w:rPr>
        <w:t>B</w:t>
      </w:r>
      <w:r w:rsidRPr="00CA7FF6">
        <w:rPr>
          <w:sz w:val="20"/>
          <w:szCs w:val="20"/>
        </w:rPr>
        <w:t>io</w:t>
      </w:r>
      <w:r w:rsidR="00CA7FF6" w:rsidRPr="00CA7FF6">
        <w:rPr>
          <w:sz w:val="20"/>
          <w:szCs w:val="20"/>
        </w:rPr>
        <w:t>l</w:t>
      </w:r>
      <w:r w:rsidR="00CA7FF6">
        <w:rPr>
          <w:sz w:val="20"/>
          <w:szCs w:val="20"/>
        </w:rPr>
        <w:t xml:space="preserve"> </w:t>
      </w:r>
      <w:r w:rsidR="00CA7FF6" w:rsidRPr="00CA7FF6">
        <w:rPr>
          <w:sz w:val="20"/>
          <w:szCs w:val="20"/>
        </w:rPr>
        <w:t>P</w:t>
      </w:r>
      <w:r w:rsidRPr="00CA7FF6">
        <w:rPr>
          <w:sz w:val="20"/>
          <w:szCs w:val="20"/>
        </w:rPr>
        <w:t>hys</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1999</w:t>
      </w:r>
      <w:r w:rsidR="00943136" w:rsidRPr="00CA7FF6">
        <w:rPr>
          <w:sz w:val="20"/>
          <w:szCs w:val="20"/>
        </w:rPr>
        <w:t xml:space="preserve"> </w:t>
      </w:r>
      <w:r w:rsidRPr="00CA7FF6">
        <w:rPr>
          <w:sz w:val="20"/>
          <w:szCs w:val="20"/>
        </w:rPr>
        <w:t>Mar</w:t>
      </w:r>
      <w:r w:rsidR="00943136" w:rsidRPr="00CA7FF6">
        <w:rPr>
          <w:sz w:val="20"/>
          <w:szCs w:val="20"/>
        </w:rPr>
        <w:t xml:space="preserve"> </w:t>
      </w:r>
      <w:r w:rsidRPr="00CA7FF6">
        <w:rPr>
          <w:sz w:val="20"/>
          <w:szCs w:val="20"/>
        </w:rPr>
        <w:t>1;43(4):755–62.</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http://www.ncbi.nlm.nih.gov/pubmed/10098430</w:t>
      </w:r>
      <w:r w:rsidR="009B2629">
        <w:rPr>
          <w:rFonts w:hint="eastAsia"/>
          <w:sz w:val="20"/>
          <w:szCs w:val="20"/>
          <w:lang w:eastAsia="zh-CN"/>
        </w:rPr>
        <w:t>.</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Owen</w:t>
      </w:r>
      <w:r w:rsidR="00943136" w:rsidRPr="00CA7FF6">
        <w:rPr>
          <w:sz w:val="20"/>
          <w:szCs w:val="20"/>
        </w:rPr>
        <w:t xml:space="preserve"> </w:t>
      </w:r>
      <w:r w:rsidRPr="00CA7FF6">
        <w:rPr>
          <w:sz w:val="20"/>
          <w:szCs w:val="20"/>
        </w:rPr>
        <w:t>JR,</w:t>
      </w:r>
      <w:r w:rsidR="00943136" w:rsidRPr="00CA7FF6">
        <w:rPr>
          <w:sz w:val="20"/>
          <w:szCs w:val="20"/>
        </w:rPr>
        <w:t xml:space="preserve"> </w:t>
      </w:r>
      <w:r w:rsidRPr="00CA7FF6">
        <w:rPr>
          <w:sz w:val="20"/>
          <w:szCs w:val="20"/>
        </w:rPr>
        <w:t>Ashton</w:t>
      </w:r>
      <w:r w:rsidR="00943136" w:rsidRPr="00CA7FF6">
        <w:rPr>
          <w:sz w:val="20"/>
          <w:szCs w:val="20"/>
        </w:rPr>
        <w:t xml:space="preserve"> </w:t>
      </w:r>
      <w:r w:rsidRPr="00CA7FF6">
        <w:rPr>
          <w:sz w:val="20"/>
          <w:szCs w:val="20"/>
        </w:rPr>
        <w:t>A,</w:t>
      </w:r>
      <w:r w:rsidR="00943136" w:rsidRPr="00CA7FF6">
        <w:rPr>
          <w:sz w:val="20"/>
          <w:szCs w:val="20"/>
        </w:rPr>
        <w:t xml:space="preserve"> </w:t>
      </w:r>
      <w:r w:rsidRPr="00CA7FF6">
        <w:rPr>
          <w:sz w:val="20"/>
          <w:szCs w:val="20"/>
        </w:rPr>
        <w:t>Bliss</w:t>
      </w:r>
      <w:r w:rsidR="00943136" w:rsidRPr="00CA7FF6">
        <w:rPr>
          <w:sz w:val="20"/>
          <w:szCs w:val="20"/>
        </w:rPr>
        <w:t xml:space="preserve"> </w:t>
      </w:r>
      <w:r w:rsidRPr="00CA7FF6">
        <w:rPr>
          <w:sz w:val="20"/>
          <w:szCs w:val="20"/>
        </w:rPr>
        <w:t>JM,</w:t>
      </w:r>
      <w:r w:rsidR="00943136" w:rsidRPr="00CA7FF6">
        <w:rPr>
          <w:sz w:val="20"/>
          <w:szCs w:val="20"/>
        </w:rPr>
        <w:t xml:space="preserve"> </w:t>
      </w:r>
      <w:r w:rsidRPr="00CA7FF6">
        <w:rPr>
          <w:sz w:val="20"/>
          <w:szCs w:val="20"/>
        </w:rPr>
        <w:t>Homewood</w:t>
      </w:r>
      <w:r w:rsidR="00943136" w:rsidRPr="00CA7FF6">
        <w:rPr>
          <w:sz w:val="20"/>
          <w:szCs w:val="20"/>
        </w:rPr>
        <w:t xml:space="preserve"> </w:t>
      </w:r>
      <w:r w:rsidRPr="00CA7FF6">
        <w:rPr>
          <w:sz w:val="20"/>
          <w:szCs w:val="20"/>
        </w:rPr>
        <w:t>J,</w:t>
      </w:r>
      <w:r w:rsidR="00943136" w:rsidRPr="00CA7FF6">
        <w:rPr>
          <w:sz w:val="20"/>
          <w:szCs w:val="20"/>
        </w:rPr>
        <w:t xml:space="preserve"> </w:t>
      </w:r>
      <w:r w:rsidRPr="00CA7FF6">
        <w:rPr>
          <w:sz w:val="20"/>
          <w:szCs w:val="20"/>
        </w:rPr>
        <w:t>Harper</w:t>
      </w:r>
      <w:r w:rsidR="00943136" w:rsidRPr="00CA7FF6">
        <w:rPr>
          <w:sz w:val="20"/>
          <w:szCs w:val="20"/>
        </w:rPr>
        <w:t xml:space="preserve"> </w:t>
      </w:r>
      <w:r w:rsidRPr="00CA7FF6">
        <w:rPr>
          <w:sz w:val="20"/>
          <w:szCs w:val="20"/>
        </w:rPr>
        <w:t>C,</w:t>
      </w:r>
      <w:r w:rsidR="00943136" w:rsidRPr="00CA7FF6">
        <w:rPr>
          <w:sz w:val="20"/>
          <w:szCs w:val="20"/>
        </w:rPr>
        <w:t xml:space="preserve"> </w:t>
      </w:r>
      <w:r w:rsidRPr="00CA7FF6">
        <w:rPr>
          <w:sz w:val="20"/>
          <w:szCs w:val="20"/>
        </w:rPr>
        <w:t>Hanson</w:t>
      </w:r>
      <w:r w:rsidR="00943136" w:rsidRPr="00CA7FF6">
        <w:rPr>
          <w:sz w:val="20"/>
          <w:szCs w:val="20"/>
        </w:rPr>
        <w:t xml:space="preserve"> </w:t>
      </w:r>
      <w:r w:rsidRPr="00CA7FF6">
        <w:rPr>
          <w:sz w:val="20"/>
          <w:szCs w:val="20"/>
        </w:rPr>
        <w:t>J,</w:t>
      </w:r>
      <w:r w:rsidR="00943136" w:rsidRPr="00CA7FF6">
        <w:rPr>
          <w:sz w:val="20"/>
          <w:szCs w:val="20"/>
        </w:rPr>
        <w:t xml:space="preserve"> </w:t>
      </w:r>
      <w:r w:rsidRPr="00CA7FF6">
        <w:rPr>
          <w:sz w:val="20"/>
          <w:szCs w:val="20"/>
        </w:rPr>
        <w:t>et</w:t>
      </w:r>
      <w:r w:rsidR="00943136" w:rsidRPr="00CA7FF6">
        <w:rPr>
          <w:sz w:val="20"/>
          <w:szCs w:val="20"/>
        </w:rPr>
        <w:t xml:space="preserve"> </w:t>
      </w:r>
      <w:r w:rsidRPr="00CA7FF6">
        <w:rPr>
          <w:sz w:val="20"/>
          <w:szCs w:val="20"/>
        </w:rPr>
        <w:t>al.</w:t>
      </w:r>
      <w:r w:rsidR="00943136" w:rsidRPr="00CA7FF6">
        <w:rPr>
          <w:sz w:val="20"/>
          <w:szCs w:val="20"/>
        </w:rPr>
        <w:t xml:space="preserve"> </w:t>
      </w:r>
      <w:r w:rsidRPr="00CA7FF6">
        <w:rPr>
          <w:sz w:val="20"/>
          <w:szCs w:val="20"/>
        </w:rPr>
        <w:t>Effect</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fraction</w:t>
      </w:r>
      <w:r w:rsidR="00943136" w:rsidRPr="00CA7FF6">
        <w:rPr>
          <w:sz w:val="20"/>
          <w:szCs w:val="20"/>
        </w:rPr>
        <w:t xml:space="preserve"> </w:t>
      </w:r>
      <w:r w:rsidRPr="00CA7FF6">
        <w:rPr>
          <w:sz w:val="20"/>
          <w:szCs w:val="20"/>
        </w:rPr>
        <w:t>size</w:t>
      </w:r>
      <w:r w:rsidR="00943136" w:rsidRPr="00CA7FF6">
        <w:rPr>
          <w:sz w:val="20"/>
          <w:szCs w:val="20"/>
        </w:rPr>
        <w:t xml:space="preserve"> </w:t>
      </w:r>
      <w:r w:rsidRPr="00CA7FF6">
        <w:rPr>
          <w:sz w:val="20"/>
          <w:szCs w:val="20"/>
        </w:rPr>
        <w:t>on</w:t>
      </w:r>
      <w:r w:rsidR="00943136" w:rsidRPr="00CA7FF6">
        <w:rPr>
          <w:sz w:val="20"/>
          <w:szCs w:val="20"/>
        </w:rPr>
        <w:t xml:space="preserve"> </w:t>
      </w:r>
      <w:r w:rsidRPr="00CA7FF6">
        <w:rPr>
          <w:sz w:val="20"/>
          <w:szCs w:val="20"/>
        </w:rPr>
        <w:t>tumour</w:t>
      </w:r>
      <w:r w:rsidR="00943136" w:rsidRPr="00CA7FF6">
        <w:rPr>
          <w:sz w:val="20"/>
          <w:szCs w:val="20"/>
        </w:rPr>
        <w:t xml:space="preserve"> </w:t>
      </w:r>
      <w:r w:rsidRPr="00CA7FF6">
        <w:rPr>
          <w:sz w:val="20"/>
          <w:szCs w:val="20"/>
        </w:rPr>
        <w:t>control</w:t>
      </w:r>
      <w:r w:rsidR="00943136" w:rsidRPr="00CA7FF6">
        <w:rPr>
          <w:sz w:val="20"/>
          <w:szCs w:val="20"/>
        </w:rPr>
        <w:t xml:space="preserve"> </w:t>
      </w:r>
      <w:r w:rsidRPr="00CA7FF6">
        <w:rPr>
          <w:sz w:val="20"/>
          <w:szCs w:val="20"/>
        </w:rPr>
        <w:t>in</w:t>
      </w:r>
      <w:r w:rsidR="00943136" w:rsidRPr="00CA7FF6">
        <w:rPr>
          <w:sz w:val="20"/>
          <w:szCs w:val="20"/>
        </w:rPr>
        <w:t xml:space="preserve"> </w:t>
      </w:r>
      <w:r w:rsidRPr="00CA7FF6">
        <w:rPr>
          <w:sz w:val="20"/>
          <w:szCs w:val="20"/>
        </w:rPr>
        <w:t>patients</w:t>
      </w:r>
      <w:r w:rsidR="00943136" w:rsidRPr="00CA7FF6">
        <w:rPr>
          <w:sz w:val="20"/>
          <w:szCs w:val="20"/>
        </w:rPr>
        <w:t xml:space="preserve"> </w:t>
      </w:r>
      <w:r w:rsidRPr="00CA7FF6">
        <w:rPr>
          <w:sz w:val="20"/>
          <w:szCs w:val="20"/>
        </w:rPr>
        <w:t>with</w:t>
      </w:r>
      <w:r w:rsidR="00943136" w:rsidRPr="00CA7FF6">
        <w:rPr>
          <w:sz w:val="20"/>
          <w:szCs w:val="20"/>
        </w:rPr>
        <w:t xml:space="preserve"> </w:t>
      </w:r>
      <w:r w:rsidRPr="00CA7FF6">
        <w:rPr>
          <w:sz w:val="20"/>
          <w:szCs w:val="20"/>
        </w:rPr>
        <w:t>early-stage</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after</w:t>
      </w:r>
      <w:r w:rsidR="00943136" w:rsidRPr="00CA7FF6">
        <w:rPr>
          <w:sz w:val="20"/>
          <w:szCs w:val="20"/>
        </w:rPr>
        <w:t xml:space="preserve"> </w:t>
      </w:r>
      <w:r w:rsidRPr="00CA7FF6">
        <w:rPr>
          <w:sz w:val="20"/>
          <w:szCs w:val="20"/>
        </w:rPr>
        <w:t>local</w:t>
      </w:r>
      <w:r w:rsidR="00943136" w:rsidRPr="00CA7FF6">
        <w:rPr>
          <w:sz w:val="20"/>
          <w:szCs w:val="20"/>
        </w:rPr>
        <w:t xml:space="preserve"> </w:t>
      </w:r>
      <w:r w:rsidRPr="00CA7FF6">
        <w:rPr>
          <w:sz w:val="20"/>
          <w:szCs w:val="20"/>
        </w:rPr>
        <w:t>tumour</w:t>
      </w:r>
      <w:r w:rsidR="00943136" w:rsidRPr="00CA7FF6">
        <w:rPr>
          <w:sz w:val="20"/>
          <w:szCs w:val="20"/>
        </w:rPr>
        <w:t xml:space="preserve"> </w:t>
      </w:r>
      <w:r w:rsidRPr="00CA7FF6">
        <w:rPr>
          <w:sz w:val="20"/>
          <w:szCs w:val="20"/>
        </w:rPr>
        <w:t>excision:</w:t>
      </w:r>
      <w:r w:rsidR="00943136" w:rsidRPr="00CA7FF6">
        <w:rPr>
          <w:sz w:val="20"/>
          <w:szCs w:val="20"/>
        </w:rPr>
        <w:t xml:space="preserve"> </w:t>
      </w:r>
      <w:r w:rsidRPr="00CA7FF6">
        <w:rPr>
          <w:sz w:val="20"/>
          <w:szCs w:val="20"/>
        </w:rPr>
        <w:t>long-term</w:t>
      </w:r>
      <w:r w:rsidR="00943136" w:rsidRPr="00CA7FF6">
        <w:rPr>
          <w:sz w:val="20"/>
          <w:szCs w:val="20"/>
        </w:rPr>
        <w:t xml:space="preserve"> </w:t>
      </w:r>
      <w:r w:rsidRPr="00CA7FF6">
        <w:rPr>
          <w:sz w:val="20"/>
          <w:szCs w:val="20"/>
        </w:rPr>
        <w:t>results</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a</w:t>
      </w:r>
      <w:r w:rsidR="00943136" w:rsidRPr="00CA7FF6">
        <w:rPr>
          <w:sz w:val="20"/>
          <w:szCs w:val="20"/>
        </w:rPr>
        <w:t xml:space="preserve"> </w:t>
      </w:r>
      <w:r w:rsidRPr="00CA7FF6">
        <w:rPr>
          <w:sz w:val="20"/>
          <w:szCs w:val="20"/>
        </w:rPr>
        <w:t>randomised</w:t>
      </w:r>
      <w:r w:rsidR="00943136" w:rsidRPr="00CA7FF6">
        <w:rPr>
          <w:sz w:val="20"/>
          <w:szCs w:val="20"/>
        </w:rPr>
        <w:t xml:space="preserve"> </w:t>
      </w:r>
      <w:r w:rsidRPr="00CA7FF6">
        <w:rPr>
          <w:sz w:val="20"/>
          <w:szCs w:val="20"/>
        </w:rPr>
        <w:t>trial.</w:t>
      </w:r>
      <w:r w:rsidR="00943136" w:rsidRPr="00CA7FF6">
        <w:rPr>
          <w:sz w:val="20"/>
          <w:szCs w:val="20"/>
        </w:rPr>
        <w:t xml:space="preserve"> </w:t>
      </w:r>
      <w:r w:rsidRPr="00CA7FF6">
        <w:rPr>
          <w:sz w:val="20"/>
          <w:szCs w:val="20"/>
        </w:rPr>
        <w:t>Lancet</w:t>
      </w:r>
      <w:r w:rsidR="00943136" w:rsidRPr="00CA7FF6">
        <w:rPr>
          <w:sz w:val="20"/>
          <w:szCs w:val="20"/>
        </w:rPr>
        <w:t xml:space="preserve"> </w:t>
      </w:r>
      <w:r w:rsidRPr="00CA7FF6">
        <w:rPr>
          <w:sz w:val="20"/>
          <w:szCs w:val="20"/>
        </w:rPr>
        <w:t>Oncol</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2006</w:t>
      </w:r>
      <w:r w:rsidR="00943136" w:rsidRPr="00CA7FF6">
        <w:rPr>
          <w:sz w:val="20"/>
          <w:szCs w:val="20"/>
        </w:rPr>
        <w:t xml:space="preserve"> </w:t>
      </w:r>
      <w:r w:rsidRPr="00CA7FF6">
        <w:rPr>
          <w:sz w:val="20"/>
          <w:szCs w:val="20"/>
        </w:rPr>
        <w:t>Jun;7(6):467–71.</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http://www.ncbi.nlm.nih.gov/pubmed/16750496</w:t>
      </w:r>
      <w:r w:rsidR="009B2629">
        <w:rPr>
          <w:rFonts w:hint="eastAsia"/>
          <w:sz w:val="20"/>
          <w:szCs w:val="20"/>
          <w:lang w:eastAsia="zh-CN"/>
        </w:rPr>
        <w:t>.</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START</w:t>
      </w:r>
      <w:r w:rsidR="00943136" w:rsidRPr="00CA7FF6">
        <w:rPr>
          <w:sz w:val="20"/>
          <w:szCs w:val="20"/>
        </w:rPr>
        <w:t xml:space="preserve"> </w:t>
      </w:r>
      <w:r w:rsidRPr="00CA7FF6">
        <w:rPr>
          <w:sz w:val="20"/>
          <w:szCs w:val="20"/>
        </w:rPr>
        <w:t>Trialists’</w:t>
      </w:r>
      <w:r w:rsidR="00943136" w:rsidRPr="00CA7FF6">
        <w:rPr>
          <w:sz w:val="20"/>
          <w:szCs w:val="20"/>
        </w:rPr>
        <w:t xml:space="preserve"> </w:t>
      </w:r>
      <w:r w:rsidRPr="00CA7FF6">
        <w:rPr>
          <w:sz w:val="20"/>
          <w:szCs w:val="20"/>
        </w:rPr>
        <w:t>Group,</w:t>
      </w:r>
      <w:r w:rsidR="00943136" w:rsidRPr="00CA7FF6">
        <w:rPr>
          <w:sz w:val="20"/>
          <w:szCs w:val="20"/>
        </w:rPr>
        <w:t xml:space="preserve"> </w:t>
      </w:r>
      <w:r w:rsidRPr="00CA7FF6">
        <w:rPr>
          <w:sz w:val="20"/>
          <w:szCs w:val="20"/>
        </w:rPr>
        <w:t>Bentzen</w:t>
      </w:r>
      <w:r w:rsidR="00943136" w:rsidRPr="00CA7FF6">
        <w:rPr>
          <w:sz w:val="20"/>
          <w:szCs w:val="20"/>
        </w:rPr>
        <w:t xml:space="preserve"> </w:t>
      </w:r>
      <w:r w:rsidRPr="00CA7FF6">
        <w:rPr>
          <w:sz w:val="20"/>
          <w:szCs w:val="20"/>
        </w:rPr>
        <w:t>SM,</w:t>
      </w:r>
      <w:r w:rsidR="00943136" w:rsidRPr="00CA7FF6">
        <w:rPr>
          <w:sz w:val="20"/>
          <w:szCs w:val="20"/>
        </w:rPr>
        <w:t xml:space="preserve"> </w:t>
      </w:r>
      <w:r w:rsidRPr="00CA7FF6">
        <w:rPr>
          <w:sz w:val="20"/>
          <w:szCs w:val="20"/>
        </w:rPr>
        <w:t>Agrawa</w:t>
      </w:r>
      <w:r w:rsidR="00CA7FF6" w:rsidRPr="00CA7FF6">
        <w:rPr>
          <w:sz w:val="20"/>
          <w:szCs w:val="20"/>
        </w:rPr>
        <w:t>l</w:t>
      </w:r>
      <w:r w:rsidR="00CA7FF6">
        <w:rPr>
          <w:sz w:val="20"/>
          <w:szCs w:val="20"/>
        </w:rPr>
        <w:t xml:space="preserve"> </w:t>
      </w:r>
      <w:r w:rsidR="00CA7FF6" w:rsidRPr="00CA7FF6">
        <w:rPr>
          <w:sz w:val="20"/>
          <w:szCs w:val="20"/>
        </w:rPr>
        <w:t>R</w:t>
      </w:r>
      <w:r w:rsidRPr="00CA7FF6">
        <w:rPr>
          <w:sz w:val="20"/>
          <w:szCs w:val="20"/>
        </w:rPr>
        <w:t>K,</w:t>
      </w:r>
      <w:r w:rsidR="00943136" w:rsidRPr="00CA7FF6">
        <w:rPr>
          <w:sz w:val="20"/>
          <w:szCs w:val="20"/>
        </w:rPr>
        <w:t xml:space="preserve"> </w:t>
      </w:r>
      <w:r w:rsidRPr="00CA7FF6">
        <w:rPr>
          <w:sz w:val="20"/>
          <w:szCs w:val="20"/>
        </w:rPr>
        <w:t>Aird</w:t>
      </w:r>
      <w:r w:rsidR="00943136" w:rsidRPr="00CA7FF6">
        <w:rPr>
          <w:sz w:val="20"/>
          <w:szCs w:val="20"/>
        </w:rPr>
        <w:t xml:space="preserve"> </w:t>
      </w:r>
      <w:r w:rsidRPr="00CA7FF6">
        <w:rPr>
          <w:sz w:val="20"/>
          <w:szCs w:val="20"/>
        </w:rPr>
        <w:t>EGA,</w:t>
      </w:r>
      <w:r w:rsidR="00943136" w:rsidRPr="00CA7FF6">
        <w:rPr>
          <w:sz w:val="20"/>
          <w:szCs w:val="20"/>
        </w:rPr>
        <w:t xml:space="preserve"> </w:t>
      </w:r>
      <w:r w:rsidRPr="00CA7FF6">
        <w:rPr>
          <w:sz w:val="20"/>
          <w:szCs w:val="20"/>
        </w:rPr>
        <w:t>Barrett</w:t>
      </w:r>
      <w:r w:rsidR="00943136" w:rsidRPr="00CA7FF6">
        <w:rPr>
          <w:sz w:val="20"/>
          <w:szCs w:val="20"/>
        </w:rPr>
        <w:t xml:space="preserve"> </w:t>
      </w:r>
      <w:r w:rsidRPr="00CA7FF6">
        <w:rPr>
          <w:sz w:val="20"/>
          <w:szCs w:val="20"/>
        </w:rPr>
        <w:t>JM,</w:t>
      </w:r>
      <w:r w:rsidR="00943136" w:rsidRPr="00CA7FF6">
        <w:rPr>
          <w:sz w:val="20"/>
          <w:szCs w:val="20"/>
        </w:rPr>
        <w:t xml:space="preserve"> </w:t>
      </w:r>
      <w:r w:rsidRPr="00CA7FF6">
        <w:rPr>
          <w:sz w:val="20"/>
          <w:szCs w:val="20"/>
        </w:rPr>
        <w:t>Barrett-Lee</w:t>
      </w:r>
      <w:r w:rsidR="00943136" w:rsidRPr="00CA7FF6">
        <w:rPr>
          <w:sz w:val="20"/>
          <w:szCs w:val="20"/>
        </w:rPr>
        <w:t xml:space="preserve"> </w:t>
      </w:r>
      <w:r w:rsidRPr="00CA7FF6">
        <w:rPr>
          <w:sz w:val="20"/>
          <w:szCs w:val="20"/>
        </w:rPr>
        <w:t>PJ,</w:t>
      </w:r>
      <w:r w:rsidR="00943136" w:rsidRPr="00CA7FF6">
        <w:rPr>
          <w:sz w:val="20"/>
          <w:szCs w:val="20"/>
        </w:rPr>
        <w:t xml:space="preserve"> </w:t>
      </w:r>
      <w:r w:rsidRPr="00CA7FF6">
        <w:rPr>
          <w:sz w:val="20"/>
          <w:szCs w:val="20"/>
        </w:rPr>
        <w:t>et</w:t>
      </w:r>
      <w:r w:rsidR="00943136" w:rsidRPr="00CA7FF6">
        <w:rPr>
          <w:sz w:val="20"/>
          <w:szCs w:val="20"/>
        </w:rPr>
        <w:t xml:space="preserve"> </w:t>
      </w:r>
      <w:r w:rsidRPr="00CA7FF6">
        <w:rPr>
          <w:sz w:val="20"/>
          <w:szCs w:val="20"/>
        </w:rPr>
        <w:t>al.</w:t>
      </w:r>
      <w:r w:rsidR="00943136" w:rsidRPr="00CA7FF6">
        <w:rPr>
          <w:sz w:val="20"/>
          <w:szCs w:val="20"/>
        </w:rPr>
        <w:t xml:space="preserve"> </w:t>
      </w:r>
      <w:r w:rsidRPr="00CA7FF6">
        <w:rPr>
          <w:sz w:val="20"/>
          <w:szCs w:val="20"/>
        </w:rPr>
        <w:t>The</w:t>
      </w:r>
      <w:r w:rsidR="00943136" w:rsidRPr="00CA7FF6">
        <w:rPr>
          <w:sz w:val="20"/>
          <w:szCs w:val="20"/>
        </w:rPr>
        <w:t xml:space="preserve"> </w:t>
      </w:r>
      <w:r w:rsidRPr="00CA7FF6">
        <w:rPr>
          <w:sz w:val="20"/>
          <w:szCs w:val="20"/>
        </w:rPr>
        <w:t>UK</w:t>
      </w:r>
      <w:r w:rsidR="00943136" w:rsidRPr="00CA7FF6">
        <w:rPr>
          <w:sz w:val="20"/>
          <w:szCs w:val="20"/>
        </w:rPr>
        <w:t xml:space="preserve"> </w:t>
      </w:r>
      <w:r w:rsidRPr="00CA7FF6">
        <w:rPr>
          <w:sz w:val="20"/>
          <w:szCs w:val="20"/>
        </w:rPr>
        <w:t>Standardisation</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(START)</w:t>
      </w:r>
      <w:r w:rsidR="00943136" w:rsidRPr="00CA7FF6">
        <w:rPr>
          <w:sz w:val="20"/>
          <w:szCs w:val="20"/>
        </w:rPr>
        <w:t xml:space="preserve"> </w:t>
      </w:r>
      <w:r w:rsidRPr="00CA7FF6">
        <w:rPr>
          <w:sz w:val="20"/>
          <w:szCs w:val="20"/>
        </w:rPr>
        <w:t>Trial</w:t>
      </w:r>
      <w:r w:rsidR="00943136" w:rsidRPr="00CA7FF6">
        <w:rPr>
          <w:sz w:val="20"/>
          <w:szCs w:val="20"/>
        </w:rPr>
        <w:t xml:space="preserve"> </w:t>
      </w:r>
      <w:r w:rsidRPr="00CA7FF6">
        <w:rPr>
          <w:sz w:val="20"/>
          <w:szCs w:val="20"/>
        </w:rPr>
        <w:t>B</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hypofractionation</w:t>
      </w:r>
      <w:r w:rsidR="00943136" w:rsidRPr="00CA7FF6">
        <w:rPr>
          <w:sz w:val="20"/>
          <w:szCs w:val="20"/>
        </w:rPr>
        <w:t xml:space="preserve"> </w:t>
      </w:r>
      <w:r w:rsidRPr="00CA7FF6">
        <w:rPr>
          <w:sz w:val="20"/>
          <w:szCs w:val="20"/>
        </w:rPr>
        <w:t>for</w:t>
      </w:r>
      <w:r w:rsidR="00943136" w:rsidRPr="00CA7FF6">
        <w:rPr>
          <w:sz w:val="20"/>
          <w:szCs w:val="20"/>
        </w:rPr>
        <w:t xml:space="preserve"> </w:t>
      </w:r>
      <w:r w:rsidRPr="00CA7FF6">
        <w:rPr>
          <w:sz w:val="20"/>
          <w:szCs w:val="20"/>
        </w:rPr>
        <w:t>treatment</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early</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a</w:t>
      </w:r>
      <w:r w:rsidR="00943136" w:rsidRPr="00CA7FF6">
        <w:rPr>
          <w:sz w:val="20"/>
          <w:szCs w:val="20"/>
        </w:rPr>
        <w:t xml:space="preserve"> </w:t>
      </w:r>
      <w:r w:rsidRPr="00CA7FF6">
        <w:rPr>
          <w:sz w:val="20"/>
          <w:szCs w:val="20"/>
        </w:rPr>
        <w:t>randomised</w:t>
      </w:r>
      <w:r w:rsidR="00943136" w:rsidRPr="00CA7FF6">
        <w:rPr>
          <w:sz w:val="20"/>
          <w:szCs w:val="20"/>
        </w:rPr>
        <w:t xml:space="preserve"> </w:t>
      </w:r>
      <w:r w:rsidRPr="00CA7FF6">
        <w:rPr>
          <w:sz w:val="20"/>
          <w:szCs w:val="20"/>
        </w:rPr>
        <w:t>trial.</w:t>
      </w:r>
      <w:r w:rsidR="00943136" w:rsidRPr="00CA7FF6">
        <w:rPr>
          <w:sz w:val="20"/>
          <w:szCs w:val="20"/>
        </w:rPr>
        <w:t xml:space="preserve"> </w:t>
      </w:r>
      <w:r w:rsidRPr="00CA7FF6">
        <w:rPr>
          <w:sz w:val="20"/>
          <w:szCs w:val="20"/>
        </w:rPr>
        <w:t>Lancet</w:t>
      </w:r>
      <w:r w:rsidR="00943136" w:rsidRPr="00CA7FF6">
        <w:rPr>
          <w:sz w:val="20"/>
          <w:szCs w:val="20"/>
        </w:rPr>
        <w:t xml:space="preserve"> </w:t>
      </w:r>
      <w:r w:rsidRPr="00CA7FF6">
        <w:rPr>
          <w:sz w:val="20"/>
          <w:szCs w:val="20"/>
        </w:rPr>
        <w:t>(London,</w:t>
      </w:r>
      <w:r w:rsidR="00943136" w:rsidRPr="00CA7FF6">
        <w:rPr>
          <w:sz w:val="20"/>
          <w:szCs w:val="20"/>
        </w:rPr>
        <w:t xml:space="preserve"> </w:t>
      </w:r>
      <w:r w:rsidRPr="00CA7FF6">
        <w:rPr>
          <w:sz w:val="20"/>
          <w:szCs w:val="20"/>
        </w:rPr>
        <w:t>England)</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2008</w:t>
      </w:r>
      <w:r w:rsidR="00943136" w:rsidRPr="00CA7FF6">
        <w:rPr>
          <w:sz w:val="20"/>
          <w:szCs w:val="20"/>
        </w:rPr>
        <w:t xml:space="preserve"> </w:t>
      </w:r>
      <w:r w:rsidRPr="00CA7FF6">
        <w:rPr>
          <w:sz w:val="20"/>
          <w:szCs w:val="20"/>
        </w:rPr>
        <w:t>Mar</w:t>
      </w:r>
      <w:r w:rsidR="00943136" w:rsidRPr="00CA7FF6">
        <w:rPr>
          <w:sz w:val="20"/>
          <w:szCs w:val="20"/>
        </w:rPr>
        <w:t xml:space="preserve"> </w:t>
      </w:r>
      <w:r w:rsidRPr="00CA7FF6">
        <w:rPr>
          <w:sz w:val="20"/>
          <w:szCs w:val="20"/>
        </w:rPr>
        <w:t>29;371(9618):1098–107.</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http://www.ncbi.nlm.nih.gov/pubmed/18355913</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START</w:t>
      </w:r>
      <w:r w:rsidR="00943136" w:rsidRPr="00CA7FF6">
        <w:rPr>
          <w:sz w:val="20"/>
          <w:szCs w:val="20"/>
        </w:rPr>
        <w:t xml:space="preserve"> </w:t>
      </w:r>
      <w:r w:rsidRPr="00CA7FF6">
        <w:rPr>
          <w:sz w:val="20"/>
          <w:szCs w:val="20"/>
        </w:rPr>
        <w:t>Trialists’</w:t>
      </w:r>
      <w:r w:rsidR="00943136" w:rsidRPr="00CA7FF6">
        <w:rPr>
          <w:sz w:val="20"/>
          <w:szCs w:val="20"/>
        </w:rPr>
        <w:t xml:space="preserve"> </w:t>
      </w:r>
      <w:r w:rsidRPr="00CA7FF6">
        <w:rPr>
          <w:sz w:val="20"/>
          <w:szCs w:val="20"/>
        </w:rPr>
        <w:t>Group,</w:t>
      </w:r>
      <w:r w:rsidR="00943136" w:rsidRPr="00CA7FF6">
        <w:rPr>
          <w:sz w:val="20"/>
          <w:szCs w:val="20"/>
        </w:rPr>
        <w:t xml:space="preserve"> </w:t>
      </w:r>
      <w:r w:rsidRPr="00CA7FF6">
        <w:rPr>
          <w:sz w:val="20"/>
          <w:szCs w:val="20"/>
        </w:rPr>
        <w:t>Bentzen</w:t>
      </w:r>
      <w:r w:rsidR="00943136" w:rsidRPr="00CA7FF6">
        <w:rPr>
          <w:sz w:val="20"/>
          <w:szCs w:val="20"/>
        </w:rPr>
        <w:t xml:space="preserve"> </w:t>
      </w:r>
      <w:r w:rsidRPr="00CA7FF6">
        <w:rPr>
          <w:sz w:val="20"/>
          <w:szCs w:val="20"/>
        </w:rPr>
        <w:t>SM,</w:t>
      </w:r>
      <w:r w:rsidR="00943136" w:rsidRPr="00CA7FF6">
        <w:rPr>
          <w:sz w:val="20"/>
          <w:szCs w:val="20"/>
        </w:rPr>
        <w:t xml:space="preserve"> </w:t>
      </w:r>
      <w:r w:rsidRPr="00CA7FF6">
        <w:rPr>
          <w:sz w:val="20"/>
          <w:szCs w:val="20"/>
        </w:rPr>
        <w:t>Agrawal</w:t>
      </w:r>
      <w:r w:rsidR="00943136" w:rsidRPr="00CA7FF6">
        <w:rPr>
          <w:sz w:val="20"/>
          <w:szCs w:val="20"/>
        </w:rPr>
        <w:t xml:space="preserve"> </w:t>
      </w:r>
      <w:r w:rsidRPr="00CA7FF6">
        <w:rPr>
          <w:sz w:val="20"/>
          <w:szCs w:val="20"/>
        </w:rPr>
        <w:t>RK,</w:t>
      </w:r>
      <w:r w:rsidR="00943136" w:rsidRPr="00CA7FF6">
        <w:rPr>
          <w:sz w:val="20"/>
          <w:szCs w:val="20"/>
        </w:rPr>
        <w:t xml:space="preserve"> </w:t>
      </w:r>
      <w:r w:rsidRPr="00CA7FF6">
        <w:rPr>
          <w:sz w:val="20"/>
          <w:szCs w:val="20"/>
        </w:rPr>
        <w:t>Aird</w:t>
      </w:r>
      <w:r w:rsidR="00943136" w:rsidRPr="00CA7FF6">
        <w:rPr>
          <w:sz w:val="20"/>
          <w:szCs w:val="20"/>
        </w:rPr>
        <w:t xml:space="preserve"> </w:t>
      </w:r>
      <w:r w:rsidRPr="00CA7FF6">
        <w:rPr>
          <w:sz w:val="20"/>
          <w:szCs w:val="20"/>
        </w:rPr>
        <w:t>EGA,</w:t>
      </w:r>
      <w:r w:rsidR="00943136" w:rsidRPr="00CA7FF6">
        <w:rPr>
          <w:sz w:val="20"/>
          <w:szCs w:val="20"/>
        </w:rPr>
        <w:t xml:space="preserve"> </w:t>
      </w:r>
      <w:r w:rsidRPr="00CA7FF6">
        <w:rPr>
          <w:sz w:val="20"/>
          <w:szCs w:val="20"/>
        </w:rPr>
        <w:t>Barrett</w:t>
      </w:r>
      <w:r w:rsidR="00943136" w:rsidRPr="00CA7FF6">
        <w:rPr>
          <w:sz w:val="20"/>
          <w:szCs w:val="20"/>
        </w:rPr>
        <w:t xml:space="preserve"> </w:t>
      </w:r>
      <w:r w:rsidRPr="00CA7FF6">
        <w:rPr>
          <w:sz w:val="20"/>
          <w:szCs w:val="20"/>
        </w:rPr>
        <w:t>JM,</w:t>
      </w:r>
      <w:r w:rsidR="00943136" w:rsidRPr="00CA7FF6">
        <w:rPr>
          <w:sz w:val="20"/>
          <w:szCs w:val="20"/>
        </w:rPr>
        <w:t xml:space="preserve"> </w:t>
      </w:r>
      <w:r w:rsidRPr="00CA7FF6">
        <w:rPr>
          <w:sz w:val="20"/>
          <w:szCs w:val="20"/>
        </w:rPr>
        <w:t>Barrett-Lee</w:t>
      </w:r>
      <w:r w:rsidR="00943136" w:rsidRPr="00CA7FF6">
        <w:rPr>
          <w:sz w:val="20"/>
          <w:szCs w:val="20"/>
        </w:rPr>
        <w:t xml:space="preserve"> </w:t>
      </w:r>
      <w:r w:rsidRPr="00CA7FF6">
        <w:rPr>
          <w:sz w:val="20"/>
          <w:szCs w:val="20"/>
        </w:rPr>
        <w:t>PJ,</w:t>
      </w:r>
      <w:r w:rsidR="00943136" w:rsidRPr="00CA7FF6">
        <w:rPr>
          <w:sz w:val="20"/>
          <w:szCs w:val="20"/>
        </w:rPr>
        <w:t xml:space="preserve"> </w:t>
      </w:r>
      <w:r w:rsidRPr="00CA7FF6">
        <w:rPr>
          <w:sz w:val="20"/>
          <w:szCs w:val="20"/>
        </w:rPr>
        <w:t>et</w:t>
      </w:r>
      <w:r w:rsidR="00943136" w:rsidRPr="00CA7FF6">
        <w:rPr>
          <w:sz w:val="20"/>
          <w:szCs w:val="20"/>
        </w:rPr>
        <w:t xml:space="preserve"> </w:t>
      </w:r>
      <w:r w:rsidRPr="00CA7FF6">
        <w:rPr>
          <w:sz w:val="20"/>
          <w:szCs w:val="20"/>
        </w:rPr>
        <w:t>al.</w:t>
      </w:r>
      <w:r w:rsidR="00943136" w:rsidRPr="00CA7FF6">
        <w:rPr>
          <w:sz w:val="20"/>
          <w:szCs w:val="20"/>
        </w:rPr>
        <w:t xml:space="preserve"> </w:t>
      </w:r>
      <w:r w:rsidRPr="00CA7FF6">
        <w:rPr>
          <w:sz w:val="20"/>
          <w:szCs w:val="20"/>
        </w:rPr>
        <w:t>The</w:t>
      </w:r>
      <w:r w:rsidR="00943136" w:rsidRPr="00CA7FF6">
        <w:rPr>
          <w:sz w:val="20"/>
          <w:szCs w:val="20"/>
        </w:rPr>
        <w:t xml:space="preserve"> </w:t>
      </w:r>
      <w:r w:rsidRPr="00CA7FF6">
        <w:rPr>
          <w:sz w:val="20"/>
          <w:szCs w:val="20"/>
        </w:rPr>
        <w:t>UK</w:t>
      </w:r>
      <w:r w:rsidR="00943136" w:rsidRPr="00CA7FF6">
        <w:rPr>
          <w:sz w:val="20"/>
          <w:szCs w:val="20"/>
        </w:rPr>
        <w:t xml:space="preserve"> </w:t>
      </w:r>
      <w:r w:rsidRPr="00CA7FF6">
        <w:rPr>
          <w:sz w:val="20"/>
          <w:szCs w:val="20"/>
        </w:rPr>
        <w:t>Standardisation</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(START)</w:t>
      </w:r>
      <w:r w:rsidR="00943136" w:rsidRPr="00CA7FF6">
        <w:rPr>
          <w:sz w:val="20"/>
          <w:szCs w:val="20"/>
        </w:rPr>
        <w:t xml:space="preserve"> </w:t>
      </w:r>
      <w:r w:rsidRPr="00CA7FF6">
        <w:rPr>
          <w:sz w:val="20"/>
          <w:szCs w:val="20"/>
        </w:rPr>
        <w:t>Trial</w:t>
      </w:r>
      <w:r w:rsidR="00943136" w:rsidRPr="00CA7FF6">
        <w:rPr>
          <w:sz w:val="20"/>
          <w:szCs w:val="20"/>
        </w:rPr>
        <w:t xml:space="preserve"> </w:t>
      </w:r>
      <w:r w:rsidRPr="00CA7FF6">
        <w:rPr>
          <w:sz w:val="20"/>
          <w:szCs w:val="20"/>
        </w:rPr>
        <w:t>A</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hypofractionation</w:t>
      </w:r>
      <w:r w:rsidR="00943136" w:rsidRPr="00CA7FF6">
        <w:rPr>
          <w:sz w:val="20"/>
          <w:szCs w:val="20"/>
        </w:rPr>
        <w:t xml:space="preserve"> </w:t>
      </w:r>
      <w:r w:rsidRPr="00CA7FF6">
        <w:rPr>
          <w:sz w:val="20"/>
          <w:szCs w:val="20"/>
        </w:rPr>
        <w:t>for</w:t>
      </w:r>
      <w:r w:rsidR="00943136" w:rsidRPr="00CA7FF6">
        <w:rPr>
          <w:sz w:val="20"/>
          <w:szCs w:val="20"/>
        </w:rPr>
        <w:t xml:space="preserve"> </w:t>
      </w:r>
      <w:r w:rsidRPr="00CA7FF6">
        <w:rPr>
          <w:sz w:val="20"/>
          <w:szCs w:val="20"/>
        </w:rPr>
        <w:t>treatment</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early</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a</w:t>
      </w:r>
      <w:r w:rsidR="00943136" w:rsidRPr="00CA7FF6">
        <w:rPr>
          <w:sz w:val="20"/>
          <w:szCs w:val="20"/>
        </w:rPr>
        <w:t xml:space="preserve"> </w:t>
      </w:r>
      <w:r w:rsidRPr="00CA7FF6">
        <w:rPr>
          <w:sz w:val="20"/>
          <w:szCs w:val="20"/>
        </w:rPr>
        <w:t>randomised</w:t>
      </w:r>
      <w:r w:rsidR="00943136" w:rsidRPr="00CA7FF6">
        <w:rPr>
          <w:sz w:val="20"/>
          <w:szCs w:val="20"/>
        </w:rPr>
        <w:t xml:space="preserve"> </w:t>
      </w:r>
      <w:r w:rsidRPr="00CA7FF6">
        <w:rPr>
          <w:sz w:val="20"/>
          <w:szCs w:val="20"/>
        </w:rPr>
        <w:t>trial.</w:t>
      </w:r>
      <w:r w:rsidR="00943136" w:rsidRPr="00CA7FF6">
        <w:rPr>
          <w:sz w:val="20"/>
          <w:szCs w:val="20"/>
        </w:rPr>
        <w:t xml:space="preserve"> </w:t>
      </w:r>
      <w:r w:rsidRPr="00CA7FF6">
        <w:rPr>
          <w:sz w:val="20"/>
          <w:szCs w:val="20"/>
        </w:rPr>
        <w:t>Lancet</w:t>
      </w:r>
      <w:r w:rsidR="00943136" w:rsidRPr="00CA7FF6">
        <w:rPr>
          <w:sz w:val="20"/>
          <w:szCs w:val="20"/>
        </w:rPr>
        <w:t xml:space="preserve"> </w:t>
      </w:r>
      <w:r w:rsidRPr="00CA7FF6">
        <w:rPr>
          <w:sz w:val="20"/>
          <w:szCs w:val="20"/>
        </w:rPr>
        <w:t>Oncol</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2008</w:t>
      </w:r>
      <w:r w:rsidR="00943136" w:rsidRPr="00CA7FF6">
        <w:rPr>
          <w:sz w:val="20"/>
          <w:szCs w:val="20"/>
        </w:rPr>
        <w:t xml:space="preserve"> </w:t>
      </w:r>
      <w:r w:rsidRPr="00CA7FF6">
        <w:rPr>
          <w:sz w:val="20"/>
          <w:szCs w:val="20"/>
        </w:rPr>
        <w:t>Apr;9(4):331–41.</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http://www.ncbi.nlm.nih.gov/pubmed/18356109</w:t>
      </w:r>
      <w:r w:rsidR="009B2629">
        <w:rPr>
          <w:rFonts w:hint="eastAsia"/>
          <w:sz w:val="20"/>
          <w:szCs w:val="20"/>
          <w:lang w:eastAsia="zh-CN"/>
        </w:rPr>
        <w:t>.</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Spooner</w:t>
      </w:r>
      <w:r w:rsidR="00943136" w:rsidRPr="00CA7FF6">
        <w:rPr>
          <w:sz w:val="20"/>
          <w:szCs w:val="20"/>
        </w:rPr>
        <w:t xml:space="preserve"> </w:t>
      </w:r>
      <w:r w:rsidRPr="00CA7FF6">
        <w:rPr>
          <w:sz w:val="20"/>
          <w:szCs w:val="20"/>
        </w:rPr>
        <w:t>D,</w:t>
      </w:r>
      <w:r w:rsidR="00943136" w:rsidRPr="00CA7FF6">
        <w:rPr>
          <w:sz w:val="20"/>
          <w:szCs w:val="20"/>
        </w:rPr>
        <w:t xml:space="preserve"> </w:t>
      </w:r>
      <w:r w:rsidRPr="00CA7FF6">
        <w:rPr>
          <w:sz w:val="20"/>
          <w:szCs w:val="20"/>
        </w:rPr>
        <w:t>Stocken</w:t>
      </w:r>
      <w:r w:rsidR="00943136" w:rsidRPr="00CA7FF6">
        <w:rPr>
          <w:sz w:val="20"/>
          <w:szCs w:val="20"/>
        </w:rPr>
        <w:t xml:space="preserve"> </w:t>
      </w:r>
      <w:r w:rsidRPr="00CA7FF6">
        <w:rPr>
          <w:sz w:val="20"/>
          <w:szCs w:val="20"/>
        </w:rPr>
        <w:t>DD,</w:t>
      </w:r>
      <w:r w:rsidR="00943136" w:rsidRPr="00CA7FF6">
        <w:rPr>
          <w:sz w:val="20"/>
          <w:szCs w:val="20"/>
        </w:rPr>
        <w:t xml:space="preserve"> </w:t>
      </w:r>
      <w:r w:rsidRPr="00CA7FF6">
        <w:rPr>
          <w:sz w:val="20"/>
          <w:szCs w:val="20"/>
        </w:rPr>
        <w:t>Jordan</w:t>
      </w:r>
      <w:r w:rsidR="00943136" w:rsidRPr="00CA7FF6">
        <w:rPr>
          <w:sz w:val="20"/>
          <w:szCs w:val="20"/>
        </w:rPr>
        <w:t xml:space="preserve"> </w:t>
      </w:r>
      <w:r w:rsidRPr="00CA7FF6">
        <w:rPr>
          <w:sz w:val="20"/>
          <w:szCs w:val="20"/>
        </w:rPr>
        <w:t>S,</w:t>
      </w:r>
      <w:r w:rsidR="00943136" w:rsidRPr="00CA7FF6">
        <w:rPr>
          <w:sz w:val="20"/>
          <w:szCs w:val="20"/>
        </w:rPr>
        <w:t xml:space="preserve"> </w:t>
      </w:r>
      <w:r w:rsidRPr="00CA7FF6">
        <w:rPr>
          <w:sz w:val="20"/>
          <w:szCs w:val="20"/>
        </w:rPr>
        <w:t>Bathers</w:t>
      </w:r>
      <w:r w:rsidR="00943136" w:rsidRPr="00CA7FF6">
        <w:rPr>
          <w:sz w:val="20"/>
          <w:szCs w:val="20"/>
        </w:rPr>
        <w:t xml:space="preserve"> </w:t>
      </w:r>
      <w:r w:rsidRPr="00CA7FF6">
        <w:rPr>
          <w:sz w:val="20"/>
          <w:szCs w:val="20"/>
        </w:rPr>
        <w:t>S,</w:t>
      </w:r>
      <w:r w:rsidR="00943136" w:rsidRPr="00CA7FF6">
        <w:rPr>
          <w:sz w:val="20"/>
          <w:szCs w:val="20"/>
        </w:rPr>
        <w:t xml:space="preserve"> </w:t>
      </w:r>
      <w:r w:rsidRPr="00CA7FF6">
        <w:rPr>
          <w:sz w:val="20"/>
          <w:szCs w:val="20"/>
        </w:rPr>
        <w:t>Dunn</w:t>
      </w:r>
      <w:r w:rsidR="00943136" w:rsidRPr="00CA7FF6">
        <w:rPr>
          <w:sz w:val="20"/>
          <w:szCs w:val="20"/>
        </w:rPr>
        <w:t xml:space="preserve"> </w:t>
      </w:r>
      <w:r w:rsidRPr="00CA7FF6">
        <w:rPr>
          <w:sz w:val="20"/>
          <w:szCs w:val="20"/>
        </w:rPr>
        <w:t>JA,</w:t>
      </w:r>
      <w:r w:rsidR="00943136" w:rsidRPr="00CA7FF6">
        <w:rPr>
          <w:sz w:val="20"/>
          <w:szCs w:val="20"/>
        </w:rPr>
        <w:t xml:space="preserve"> </w:t>
      </w:r>
      <w:r w:rsidRPr="00CA7FF6">
        <w:rPr>
          <w:sz w:val="20"/>
          <w:szCs w:val="20"/>
        </w:rPr>
        <w:t>Jevons</w:t>
      </w:r>
      <w:r w:rsidR="00943136" w:rsidRPr="00CA7FF6">
        <w:rPr>
          <w:sz w:val="20"/>
          <w:szCs w:val="20"/>
        </w:rPr>
        <w:t xml:space="preserve"> </w:t>
      </w:r>
      <w:r w:rsidRPr="00CA7FF6">
        <w:rPr>
          <w:sz w:val="20"/>
          <w:szCs w:val="20"/>
        </w:rPr>
        <w:t>C,</w:t>
      </w:r>
      <w:r w:rsidR="00943136" w:rsidRPr="00CA7FF6">
        <w:rPr>
          <w:sz w:val="20"/>
          <w:szCs w:val="20"/>
        </w:rPr>
        <w:t xml:space="preserve"> </w:t>
      </w:r>
      <w:r w:rsidRPr="00CA7FF6">
        <w:rPr>
          <w:sz w:val="20"/>
          <w:szCs w:val="20"/>
        </w:rPr>
        <w:t>et</w:t>
      </w:r>
      <w:r w:rsidR="00943136" w:rsidRPr="00CA7FF6">
        <w:rPr>
          <w:sz w:val="20"/>
          <w:szCs w:val="20"/>
        </w:rPr>
        <w:t xml:space="preserve"> </w:t>
      </w:r>
      <w:r w:rsidRPr="00CA7FF6">
        <w:rPr>
          <w:sz w:val="20"/>
          <w:szCs w:val="20"/>
        </w:rPr>
        <w:t>al.</w:t>
      </w:r>
      <w:r w:rsidR="00943136" w:rsidRPr="00CA7FF6">
        <w:rPr>
          <w:sz w:val="20"/>
          <w:szCs w:val="20"/>
        </w:rPr>
        <w:t xml:space="preserve"> </w:t>
      </w:r>
      <w:r w:rsidRPr="00CA7FF6">
        <w:rPr>
          <w:sz w:val="20"/>
          <w:szCs w:val="20"/>
        </w:rPr>
        <w:t>A</w:t>
      </w:r>
      <w:r w:rsidR="00943136" w:rsidRPr="00CA7FF6">
        <w:rPr>
          <w:sz w:val="20"/>
          <w:szCs w:val="20"/>
        </w:rPr>
        <w:t xml:space="preserve"> </w:t>
      </w:r>
      <w:r w:rsidRPr="00CA7FF6">
        <w:rPr>
          <w:sz w:val="20"/>
          <w:szCs w:val="20"/>
        </w:rPr>
        <w:t>randomised</w:t>
      </w:r>
      <w:r w:rsidR="00943136" w:rsidRPr="00CA7FF6">
        <w:rPr>
          <w:sz w:val="20"/>
          <w:szCs w:val="20"/>
        </w:rPr>
        <w:t xml:space="preserve"> </w:t>
      </w:r>
      <w:r w:rsidRPr="00CA7FF6">
        <w:rPr>
          <w:sz w:val="20"/>
          <w:szCs w:val="20"/>
        </w:rPr>
        <w:lastRenderedPageBreak/>
        <w:t>controlled</w:t>
      </w:r>
      <w:r w:rsidR="00943136" w:rsidRPr="00CA7FF6">
        <w:rPr>
          <w:sz w:val="20"/>
          <w:szCs w:val="20"/>
        </w:rPr>
        <w:t xml:space="preserve"> </w:t>
      </w:r>
      <w:r w:rsidRPr="00CA7FF6">
        <w:rPr>
          <w:sz w:val="20"/>
          <w:szCs w:val="20"/>
        </w:rPr>
        <w:t>trial</w:t>
      </w:r>
      <w:r w:rsidR="00943136" w:rsidRPr="00CA7FF6">
        <w:rPr>
          <w:sz w:val="20"/>
          <w:szCs w:val="20"/>
        </w:rPr>
        <w:t xml:space="preserve"> </w:t>
      </w:r>
      <w:r w:rsidRPr="00CA7FF6">
        <w:rPr>
          <w:sz w:val="20"/>
          <w:szCs w:val="20"/>
        </w:rPr>
        <w:t>to</w:t>
      </w:r>
      <w:r w:rsidR="00943136" w:rsidRPr="00CA7FF6">
        <w:rPr>
          <w:sz w:val="20"/>
          <w:szCs w:val="20"/>
        </w:rPr>
        <w:t xml:space="preserve"> </w:t>
      </w:r>
      <w:r w:rsidRPr="00CA7FF6">
        <w:rPr>
          <w:sz w:val="20"/>
          <w:szCs w:val="20"/>
        </w:rPr>
        <w:t>evaluate</w:t>
      </w:r>
      <w:r w:rsidR="00943136" w:rsidRPr="00CA7FF6">
        <w:rPr>
          <w:sz w:val="20"/>
          <w:szCs w:val="20"/>
        </w:rPr>
        <w:t xml:space="preserve"> </w:t>
      </w:r>
      <w:r w:rsidRPr="00CA7FF6">
        <w:rPr>
          <w:sz w:val="20"/>
          <w:szCs w:val="20"/>
        </w:rPr>
        <w:t>both</w:t>
      </w:r>
      <w:r w:rsidR="00943136" w:rsidRPr="00CA7FF6">
        <w:rPr>
          <w:sz w:val="20"/>
          <w:szCs w:val="20"/>
        </w:rPr>
        <w:t xml:space="preserve"> </w:t>
      </w:r>
      <w:r w:rsidRPr="00CA7FF6">
        <w:rPr>
          <w:sz w:val="20"/>
          <w:szCs w:val="20"/>
        </w:rPr>
        <w:t>the</w:t>
      </w:r>
      <w:r w:rsidR="00943136" w:rsidRPr="00CA7FF6">
        <w:rPr>
          <w:sz w:val="20"/>
          <w:szCs w:val="20"/>
        </w:rPr>
        <w:t xml:space="preserve"> </w:t>
      </w:r>
      <w:r w:rsidRPr="00CA7FF6">
        <w:rPr>
          <w:sz w:val="20"/>
          <w:szCs w:val="20"/>
        </w:rPr>
        <w:t>role</w:t>
      </w:r>
      <w:r w:rsidR="00943136" w:rsidRPr="00CA7FF6">
        <w:rPr>
          <w:sz w:val="20"/>
          <w:szCs w:val="20"/>
        </w:rPr>
        <w:t xml:space="preserve"> </w:t>
      </w:r>
      <w:r w:rsidRPr="00CA7FF6">
        <w:rPr>
          <w:sz w:val="20"/>
          <w:szCs w:val="20"/>
        </w:rPr>
        <w:t>and</w:t>
      </w:r>
      <w:r w:rsidR="00943136" w:rsidRPr="00CA7FF6">
        <w:rPr>
          <w:sz w:val="20"/>
          <w:szCs w:val="20"/>
        </w:rPr>
        <w:t xml:space="preserve"> </w:t>
      </w:r>
      <w:r w:rsidRPr="00CA7FF6">
        <w:rPr>
          <w:sz w:val="20"/>
          <w:szCs w:val="20"/>
        </w:rPr>
        <w:t>the</w:t>
      </w:r>
      <w:r w:rsidR="00943136" w:rsidRPr="00CA7FF6">
        <w:rPr>
          <w:sz w:val="20"/>
          <w:szCs w:val="20"/>
        </w:rPr>
        <w:t xml:space="preserve"> </w:t>
      </w:r>
      <w:r w:rsidRPr="00CA7FF6">
        <w:rPr>
          <w:sz w:val="20"/>
          <w:szCs w:val="20"/>
        </w:rPr>
        <w:t>optimal</w:t>
      </w:r>
      <w:r w:rsidR="00943136" w:rsidRPr="00CA7FF6">
        <w:rPr>
          <w:sz w:val="20"/>
          <w:szCs w:val="20"/>
        </w:rPr>
        <w:t xml:space="preserve"> </w:t>
      </w:r>
      <w:r w:rsidRPr="00CA7FF6">
        <w:rPr>
          <w:sz w:val="20"/>
          <w:szCs w:val="20"/>
        </w:rPr>
        <w:t>fractionation</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in</w:t>
      </w:r>
      <w:r w:rsidR="00943136" w:rsidRPr="00CA7FF6">
        <w:rPr>
          <w:sz w:val="20"/>
          <w:szCs w:val="20"/>
        </w:rPr>
        <w:t xml:space="preserve"> </w:t>
      </w:r>
      <w:r w:rsidRPr="00CA7FF6">
        <w:rPr>
          <w:sz w:val="20"/>
          <w:szCs w:val="20"/>
        </w:rPr>
        <w:t>the</w:t>
      </w:r>
      <w:r w:rsidR="00943136" w:rsidRPr="00CA7FF6">
        <w:rPr>
          <w:sz w:val="20"/>
          <w:szCs w:val="20"/>
        </w:rPr>
        <w:t xml:space="preserve"> </w:t>
      </w:r>
      <w:r w:rsidRPr="00CA7FF6">
        <w:rPr>
          <w:sz w:val="20"/>
          <w:szCs w:val="20"/>
        </w:rPr>
        <w:t>conservative</w:t>
      </w:r>
      <w:r w:rsidR="00943136" w:rsidRPr="00CA7FF6">
        <w:rPr>
          <w:sz w:val="20"/>
          <w:szCs w:val="20"/>
        </w:rPr>
        <w:t xml:space="preserve"> </w:t>
      </w:r>
      <w:r w:rsidRPr="00CA7FF6">
        <w:rPr>
          <w:sz w:val="20"/>
          <w:szCs w:val="20"/>
        </w:rPr>
        <w:t>management</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early</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CA7FF6" w:rsidRPr="00CA7FF6">
        <w:rPr>
          <w:sz w:val="20"/>
          <w:szCs w:val="20"/>
        </w:rPr>
        <w:t>.</w:t>
      </w:r>
      <w:r w:rsidR="00CA7FF6">
        <w:rPr>
          <w:sz w:val="20"/>
          <w:szCs w:val="20"/>
        </w:rPr>
        <w:t xml:space="preserve"> </w:t>
      </w:r>
      <w:r w:rsidR="00CA7FF6" w:rsidRPr="00CA7FF6">
        <w:rPr>
          <w:sz w:val="20"/>
          <w:szCs w:val="20"/>
        </w:rPr>
        <w:t>C</w:t>
      </w:r>
      <w:r w:rsidRPr="00CA7FF6">
        <w:rPr>
          <w:sz w:val="20"/>
          <w:szCs w:val="20"/>
        </w:rPr>
        <w:t>linOncol</w:t>
      </w:r>
      <w:r w:rsidR="00943136" w:rsidRPr="00CA7FF6">
        <w:rPr>
          <w:sz w:val="20"/>
          <w:szCs w:val="20"/>
        </w:rPr>
        <w:t xml:space="preserve"> </w:t>
      </w:r>
      <w:r w:rsidRPr="00CA7FF6">
        <w:rPr>
          <w:sz w:val="20"/>
          <w:szCs w:val="20"/>
        </w:rPr>
        <w:t>(R</w:t>
      </w:r>
      <w:r w:rsidR="00943136" w:rsidRPr="00CA7FF6">
        <w:rPr>
          <w:sz w:val="20"/>
          <w:szCs w:val="20"/>
        </w:rPr>
        <w:t xml:space="preserve"> </w:t>
      </w:r>
      <w:r w:rsidRPr="00CA7FF6">
        <w:rPr>
          <w:sz w:val="20"/>
          <w:szCs w:val="20"/>
        </w:rPr>
        <w:t>CollRadiol)</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2012</w:t>
      </w:r>
      <w:r w:rsidR="00943136" w:rsidRPr="00CA7FF6">
        <w:rPr>
          <w:sz w:val="20"/>
          <w:szCs w:val="20"/>
        </w:rPr>
        <w:t xml:space="preserve"> </w:t>
      </w:r>
      <w:r w:rsidRPr="00CA7FF6">
        <w:rPr>
          <w:sz w:val="20"/>
          <w:szCs w:val="20"/>
        </w:rPr>
        <w:t>Dec;24(10):697–706.</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http://www.ncbi.nlm.nih.gov/pubmed/23036277</w:t>
      </w:r>
      <w:r w:rsidR="009B2629">
        <w:rPr>
          <w:rFonts w:hint="eastAsia"/>
          <w:sz w:val="20"/>
          <w:szCs w:val="20"/>
          <w:lang w:eastAsia="zh-CN"/>
        </w:rPr>
        <w:t>.</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Haviland</w:t>
      </w:r>
      <w:r w:rsidR="00943136" w:rsidRPr="00CA7FF6">
        <w:rPr>
          <w:sz w:val="20"/>
          <w:szCs w:val="20"/>
        </w:rPr>
        <w:t xml:space="preserve"> </w:t>
      </w:r>
      <w:r w:rsidRPr="00CA7FF6">
        <w:rPr>
          <w:sz w:val="20"/>
          <w:szCs w:val="20"/>
        </w:rPr>
        <w:t>JS,</w:t>
      </w:r>
      <w:r w:rsidR="00943136" w:rsidRPr="00CA7FF6">
        <w:rPr>
          <w:sz w:val="20"/>
          <w:szCs w:val="20"/>
        </w:rPr>
        <w:t xml:space="preserve"> </w:t>
      </w:r>
      <w:r w:rsidRPr="00CA7FF6">
        <w:rPr>
          <w:sz w:val="20"/>
          <w:szCs w:val="20"/>
        </w:rPr>
        <w:t>Owen</w:t>
      </w:r>
      <w:r w:rsidR="00943136" w:rsidRPr="00CA7FF6">
        <w:rPr>
          <w:sz w:val="20"/>
          <w:szCs w:val="20"/>
        </w:rPr>
        <w:t xml:space="preserve"> </w:t>
      </w:r>
      <w:r w:rsidRPr="00CA7FF6">
        <w:rPr>
          <w:sz w:val="20"/>
          <w:szCs w:val="20"/>
        </w:rPr>
        <w:t>JR,</w:t>
      </w:r>
      <w:r w:rsidR="00943136" w:rsidRPr="00CA7FF6">
        <w:rPr>
          <w:sz w:val="20"/>
          <w:szCs w:val="20"/>
        </w:rPr>
        <w:t xml:space="preserve"> </w:t>
      </w:r>
      <w:r w:rsidRPr="00CA7FF6">
        <w:rPr>
          <w:sz w:val="20"/>
          <w:szCs w:val="20"/>
        </w:rPr>
        <w:t>Dewar</w:t>
      </w:r>
      <w:r w:rsidR="00943136" w:rsidRPr="00CA7FF6">
        <w:rPr>
          <w:sz w:val="20"/>
          <w:szCs w:val="20"/>
        </w:rPr>
        <w:t xml:space="preserve"> </w:t>
      </w:r>
      <w:r w:rsidRPr="00CA7FF6">
        <w:rPr>
          <w:sz w:val="20"/>
          <w:szCs w:val="20"/>
        </w:rPr>
        <w:t>JA,</w:t>
      </w:r>
      <w:r w:rsidR="00943136" w:rsidRPr="00CA7FF6">
        <w:rPr>
          <w:sz w:val="20"/>
          <w:szCs w:val="20"/>
        </w:rPr>
        <w:t xml:space="preserve"> </w:t>
      </w:r>
      <w:r w:rsidRPr="00CA7FF6">
        <w:rPr>
          <w:sz w:val="20"/>
          <w:szCs w:val="20"/>
        </w:rPr>
        <w:t>Agrawal</w:t>
      </w:r>
      <w:r w:rsidR="00943136" w:rsidRPr="00CA7FF6">
        <w:rPr>
          <w:sz w:val="20"/>
          <w:szCs w:val="20"/>
        </w:rPr>
        <w:t xml:space="preserve"> </w:t>
      </w:r>
      <w:r w:rsidRPr="00CA7FF6">
        <w:rPr>
          <w:sz w:val="20"/>
          <w:szCs w:val="20"/>
        </w:rPr>
        <w:t>RK,</w:t>
      </w:r>
      <w:r w:rsidR="00943136" w:rsidRPr="00CA7FF6">
        <w:rPr>
          <w:sz w:val="20"/>
          <w:szCs w:val="20"/>
        </w:rPr>
        <w:t xml:space="preserve"> </w:t>
      </w:r>
      <w:r w:rsidRPr="00CA7FF6">
        <w:rPr>
          <w:sz w:val="20"/>
          <w:szCs w:val="20"/>
        </w:rPr>
        <w:t>Barrett</w:t>
      </w:r>
      <w:r w:rsidR="00943136" w:rsidRPr="00CA7FF6">
        <w:rPr>
          <w:sz w:val="20"/>
          <w:szCs w:val="20"/>
        </w:rPr>
        <w:t xml:space="preserve"> </w:t>
      </w:r>
      <w:r w:rsidRPr="00CA7FF6">
        <w:rPr>
          <w:sz w:val="20"/>
          <w:szCs w:val="20"/>
        </w:rPr>
        <w:t>J,</w:t>
      </w:r>
      <w:r w:rsidR="00943136" w:rsidRPr="00CA7FF6">
        <w:rPr>
          <w:sz w:val="20"/>
          <w:szCs w:val="20"/>
        </w:rPr>
        <w:t xml:space="preserve"> </w:t>
      </w:r>
      <w:r w:rsidRPr="00CA7FF6">
        <w:rPr>
          <w:sz w:val="20"/>
          <w:szCs w:val="20"/>
        </w:rPr>
        <w:t>Barrett-Lee</w:t>
      </w:r>
      <w:r w:rsidR="00943136" w:rsidRPr="00CA7FF6">
        <w:rPr>
          <w:sz w:val="20"/>
          <w:szCs w:val="20"/>
        </w:rPr>
        <w:t xml:space="preserve"> </w:t>
      </w:r>
      <w:r w:rsidRPr="00CA7FF6">
        <w:rPr>
          <w:sz w:val="20"/>
          <w:szCs w:val="20"/>
        </w:rPr>
        <w:t>PJ,</w:t>
      </w:r>
      <w:r w:rsidR="00943136" w:rsidRPr="00CA7FF6">
        <w:rPr>
          <w:sz w:val="20"/>
          <w:szCs w:val="20"/>
        </w:rPr>
        <w:t xml:space="preserve"> </w:t>
      </w:r>
      <w:r w:rsidRPr="00CA7FF6">
        <w:rPr>
          <w:sz w:val="20"/>
          <w:szCs w:val="20"/>
        </w:rPr>
        <w:t>et</w:t>
      </w:r>
      <w:r w:rsidR="00943136" w:rsidRPr="00CA7FF6">
        <w:rPr>
          <w:sz w:val="20"/>
          <w:szCs w:val="20"/>
        </w:rPr>
        <w:t xml:space="preserve"> </w:t>
      </w:r>
      <w:r w:rsidRPr="00CA7FF6">
        <w:rPr>
          <w:sz w:val="20"/>
          <w:szCs w:val="20"/>
        </w:rPr>
        <w:t>al.</w:t>
      </w:r>
      <w:r w:rsidR="00943136" w:rsidRPr="00CA7FF6">
        <w:rPr>
          <w:sz w:val="20"/>
          <w:szCs w:val="20"/>
        </w:rPr>
        <w:t xml:space="preserve"> </w:t>
      </w:r>
      <w:r w:rsidRPr="00CA7FF6">
        <w:rPr>
          <w:sz w:val="20"/>
          <w:szCs w:val="20"/>
        </w:rPr>
        <w:t>The</w:t>
      </w:r>
      <w:r w:rsidR="00943136" w:rsidRPr="00CA7FF6">
        <w:rPr>
          <w:sz w:val="20"/>
          <w:szCs w:val="20"/>
        </w:rPr>
        <w:t xml:space="preserve"> </w:t>
      </w:r>
      <w:r w:rsidRPr="00CA7FF6">
        <w:rPr>
          <w:sz w:val="20"/>
          <w:szCs w:val="20"/>
        </w:rPr>
        <w:t>UK</w:t>
      </w:r>
      <w:r w:rsidR="00943136" w:rsidRPr="00CA7FF6">
        <w:rPr>
          <w:sz w:val="20"/>
          <w:szCs w:val="20"/>
        </w:rPr>
        <w:t xml:space="preserve"> </w:t>
      </w:r>
      <w:r w:rsidRPr="00CA7FF6">
        <w:rPr>
          <w:sz w:val="20"/>
          <w:szCs w:val="20"/>
        </w:rPr>
        <w:t>Standardisation</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(START)</w:t>
      </w:r>
      <w:r w:rsidR="00943136" w:rsidRPr="00CA7FF6">
        <w:rPr>
          <w:sz w:val="20"/>
          <w:szCs w:val="20"/>
        </w:rPr>
        <w:t xml:space="preserve"> </w:t>
      </w:r>
      <w:r w:rsidRPr="00CA7FF6">
        <w:rPr>
          <w:sz w:val="20"/>
          <w:szCs w:val="20"/>
        </w:rPr>
        <w:t>trials</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hypofractionation</w:t>
      </w:r>
      <w:r w:rsidR="00943136" w:rsidRPr="00CA7FF6">
        <w:rPr>
          <w:sz w:val="20"/>
          <w:szCs w:val="20"/>
        </w:rPr>
        <w:t xml:space="preserve"> </w:t>
      </w:r>
      <w:r w:rsidRPr="00CA7FF6">
        <w:rPr>
          <w:sz w:val="20"/>
          <w:szCs w:val="20"/>
        </w:rPr>
        <w:t>for</w:t>
      </w:r>
      <w:r w:rsidR="00943136" w:rsidRPr="00CA7FF6">
        <w:rPr>
          <w:sz w:val="20"/>
          <w:szCs w:val="20"/>
        </w:rPr>
        <w:t xml:space="preserve"> </w:t>
      </w:r>
      <w:r w:rsidRPr="00CA7FF6">
        <w:rPr>
          <w:sz w:val="20"/>
          <w:szCs w:val="20"/>
        </w:rPr>
        <w:t>treatment</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early</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10-year</w:t>
      </w:r>
      <w:r w:rsidR="00943136" w:rsidRPr="00CA7FF6">
        <w:rPr>
          <w:sz w:val="20"/>
          <w:szCs w:val="20"/>
        </w:rPr>
        <w:t xml:space="preserve"> </w:t>
      </w:r>
      <w:r w:rsidRPr="00CA7FF6">
        <w:rPr>
          <w:sz w:val="20"/>
          <w:szCs w:val="20"/>
        </w:rPr>
        <w:t>follow-up</w:t>
      </w:r>
      <w:r w:rsidR="00943136" w:rsidRPr="00CA7FF6">
        <w:rPr>
          <w:sz w:val="20"/>
          <w:szCs w:val="20"/>
        </w:rPr>
        <w:t xml:space="preserve"> </w:t>
      </w:r>
      <w:r w:rsidRPr="00CA7FF6">
        <w:rPr>
          <w:sz w:val="20"/>
          <w:szCs w:val="20"/>
        </w:rPr>
        <w:t>results</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two</w:t>
      </w:r>
      <w:r w:rsidR="00943136" w:rsidRPr="00CA7FF6">
        <w:rPr>
          <w:sz w:val="20"/>
          <w:szCs w:val="20"/>
        </w:rPr>
        <w:t xml:space="preserve"> </w:t>
      </w:r>
      <w:r w:rsidRPr="00CA7FF6">
        <w:rPr>
          <w:sz w:val="20"/>
          <w:szCs w:val="20"/>
        </w:rPr>
        <w:t>randomised</w:t>
      </w:r>
      <w:r w:rsidR="00943136" w:rsidRPr="00CA7FF6">
        <w:rPr>
          <w:sz w:val="20"/>
          <w:szCs w:val="20"/>
        </w:rPr>
        <w:t xml:space="preserve"> </w:t>
      </w:r>
      <w:r w:rsidRPr="00CA7FF6">
        <w:rPr>
          <w:sz w:val="20"/>
          <w:szCs w:val="20"/>
        </w:rPr>
        <w:t>controlled</w:t>
      </w:r>
      <w:r w:rsidR="00943136" w:rsidRPr="00CA7FF6">
        <w:rPr>
          <w:sz w:val="20"/>
          <w:szCs w:val="20"/>
        </w:rPr>
        <w:t xml:space="preserve"> </w:t>
      </w:r>
      <w:r w:rsidRPr="00CA7FF6">
        <w:rPr>
          <w:sz w:val="20"/>
          <w:szCs w:val="20"/>
        </w:rPr>
        <w:t>trials.</w:t>
      </w:r>
      <w:r w:rsidR="00943136" w:rsidRPr="00CA7FF6">
        <w:rPr>
          <w:sz w:val="20"/>
          <w:szCs w:val="20"/>
        </w:rPr>
        <w:t xml:space="preserve"> </w:t>
      </w:r>
      <w:r w:rsidRPr="00CA7FF6">
        <w:rPr>
          <w:sz w:val="20"/>
          <w:szCs w:val="20"/>
        </w:rPr>
        <w:t>Lancet</w:t>
      </w:r>
      <w:r w:rsidR="00943136" w:rsidRPr="00CA7FF6">
        <w:rPr>
          <w:sz w:val="20"/>
          <w:szCs w:val="20"/>
        </w:rPr>
        <w:t xml:space="preserve"> </w:t>
      </w:r>
      <w:r w:rsidRPr="00CA7FF6">
        <w:rPr>
          <w:sz w:val="20"/>
          <w:szCs w:val="20"/>
        </w:rPr>
        <w:t>Oncol</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2013</w:t>
      </w:r>
      <w:r w:rsidR="00943136" w:rsidRPr="00CA7FF6">
        <w:rPr>
          <w:sz w:val="20"/>
          <w:szCs w:val="20"/>
        </w:rPr>
        <w:t xml:space="preserve"> </w:t>
      </w:r>
      <w:r w:rsidRPr="00CA7FF6">
        <w:rPr>
          <w:sz w:val="20"/>
          <w:szCs w:val="20"/>
        </w:rPr>
        <w:t>Oct;14(11):1086–94.</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http://www.ncbi.nlm.nih.gov/pubmed/24055415</w:t>
      </w:r>
      <w:r w:rsidR="009B2629">
        <w:rPr>
          <w:rFonts w:hint="eastAsia"/>
          <w:sz w:val="20"/>
          <w:szCs w:val="20"/>
          <w:lang w:eastAsia="zh-CN"/>
        </w:rPr>
        <w:t>.</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Chan</w:t>
      </w:r>
      <w:r w:rsidR="00943136" w:rsidRPr="00CA7FF6">
        <w:rPr>
          <w:sz w:val="20"/>
          <w:szCs w:val="20"/>
        </w:rPr>
        <w:t xml:space="preserve"> </w:t>
      </w:r>
      <w:r w:rsidRPr="00CA7FF6">
        <w:rPr>
          <w:sz w:val="20"/>
          <w:szCs w:val="20"/>
        </w:rPr>
        <w:t>EK,</w:t>
      </w:r>
      <w:r w:rsidR="00943136" w:rsidRPr="00CA7FF6">
        <w:rPr>
          <w:sz w:val="20"/>
          <w:szCs w:val="20"/>
        </w:rPr>
        <w:t xml:space="preserve"> </w:t>
      </w:r>
      <w:r w:rsidRPr="00CA7FF6">
        <w:rPr>
          <w:sz w:val="20"/>
          <w:szCs w:val="20"/>
        </w:rPr>
        <w:t>Woods</w:t>
      </w:r>
      <w:r w:rsidR="00943136" w:rsidRPr="00CA7FF6">
        <w:rPr>
          <w:sz w:val="20"/>
          <w:szCs w:val="20"/>
        </w:rPr>
        <w:t xml:space="preserve"> </w:t>
      </w:r>
      <w:r w:rsidRPr="00CA7FF6">
        <w:rPr>
          <w:sz w:val="20"/>
          <w:szCs w:val="20"/>
        </w:rPr>
        <w:t>R,</w:t>
      </w:r>
      <w:r w:rsidR="00943136" w:rsidRPr="00CA7FF6">
        <w:rPr>
          <w:sz w:val="20"/>
          <w:szCs w:val="20"/>
        </w:rPr>
        <w:t xml:space="preserve"> </w:t>
      </w:r>
      <w:r w:rsidRPr="00CA7FF6">
        <w:rPr>
          <w:sz w:val="20"/>
          <w:szCs w:val="20"/>
        </w:rPr>
        <w:t>McBride</w:t>
      </w:r>
      <w:r w:rsidR="00943136" w:rsidRPr="00CA7FF6">
        <w:rPr>
          <w:sz w:val="20"/>
          <w:szCs w:val="20"/>
        </w:rPr>
        <w:t xml:space="preserve"> </w:t>
      </w:r>
      <w:r w:rsidRPr="00CA7FF6">
        <w:rPr>
          <w:sz w:val="20"/>
          <w:szCs w:val="20"/>
        </w:rPr>
        <w:t>ML,</w:t>
      </w:r>
      <w:r w:rsidR="00943136" w:rsidRPr="00CA7FF6">
        <w:rPr>
          <w:sz w:val="20"/>
          <w:szCs w:val="20"/>
        </w:rPr>
        <w:t xml:space="preserve"> </w:t>
      </w:r>
      <w:r w:rsidRPr="00CA7FF6">
        <w:rPr>
          <w:sz w:val="20"/>
          <w:szCs w:val="20"/>
        </w:rPr>
        <w:t>Virani</w:t>
      </w:r>
      <w:r w:rsidR="00943136" w:rsidRPr="00CA7FF6">
        <w:rPr>
          <w:sz w:val="20"/>
          <w:szCs w:val="20"/>
        </w:rPr>
        <w:t xml:space="preserve"> </w:t>
      </w:r>
      <w:r w:rsidRPr="00CA7FF6">
        <w:rPr>
          <w:sz w:val="20"/>
          <w:szCs w:val="20"/>
        </w:rPr>
        <w:t>S,</w:t>
      </w:r>
      <w:r w:rsidR="00943136" w:rsidRPr="00CA7FF6">
        <w:rPr>
          <w:sz w:val="20"/>
          <w:szCs w:val="20"/>
        </w:rPr>
        <w:t xml:space="preserve"> </w:t>
      </w:r>
      <w:r w:rsidRPr="00CA7FF6">
        <w:rPr>
          <w:sz w:val="20"/>
          <w:szCs w:val="20"/>
        </w:rPr>
        <w:t>Nichol</w:t>
      </w:r>
      <w:r w:rsidR="00943136" w:rsidRPr="00CA7FF6">
        <w:rPr>
          <w:sz w:val="20"/>
          <w:szCs w:val="20"/>
        </w:rPr>
        <w:t xml:space="preserve"> </w:t>
      </w:r>
      <w:r w:rsidRPr="00CA7FF6">
        <w:rPr>
          <w:sz w:val="20"/>
          <w:szCs w:val="20"/>
        </w:rPr>
        <w:t>A,</w:t>
      </w:r>
      <w:r w:rsidR="00943136" w:rsidRPr="00CA7FF6">
        <w:rPr>
          <w:sz w:val="20"/>
          <w:szCs w:val="20"/>
        </w:rPr>
        <w:t xml:space="preserve"> </w:t>
      </w:r>
      <w:r w:rsidRPr="00CA7FF6">
        <w:rPr>
          <w:sz w:val="20"/>
          <w:szCs w:val="20"/>
        </w:rPr>
        <w:t>Speers</w:t>
      </w:r>
      <w:r w:rsidR="00943136" w:rsidRPr="00CA7FF6">
        <w:rPr>
          <w:sz w:val="20"/>
          <w:szCs w:val="20"/>
        </w:rPr>
        <w:t xml:space="preserve"> </w:t>
      </w:r>
      <w:r w:rsidRPr="00CA7FF6">
        <w:rPr>
          <w:sz w:val="20"/>
          <w:szCs w:val="20"/>
        </w:rPr>
        <w:t>C,</w:t>
      </w:r>
      <w:r w:rsidR="00943136" w:rsidRPr="00CA7FF6">
        <w:rPr>
          <w:sz w:val="20"/>
          <w:szCs w:val="20"/>
        </w:rPr>
        <w:t xml:space="preserve"> </w:t>
      </w:r>
      <w:r w:rsidRPr="00CA7FF6">
        <w:rPr>
          <w:sz w:val="20"/>
          <w:szCs w:val="20"/>
        </w:rPr>
        <w:t>et</w:t>
      </w:r>
      <w:r w:rsidR="00943136" w:rsidRPr="00CA7FF6">
        <w:rPr>
          <w:sz w:val="20"/>
          <w:szCs w:val="20"/>
        </w:rPr>
        <w:t xml:space="preserve"> </w:t>
      </w:r>
      <w:r w:rsidRPr="00CA7FF6">
        <w:rPr>
          <w:sz w:val="20"/>
          <w:szCs w:val="20"/>
        </w:rPr>
        <w:t>al.</w:t>
      </w:r>
      <w:r w:rsidR="00943136" w:rsidRPr="00CA7FF6">
        <w:rPr>
          <w:sz w:val="20"/>
          <w:szCs w:val="20"/>
        </w:rPr>
        <w:t xml:space="preserve"> </w:t>
      </w:r>
      <w:r w:rsidRPr="00CA7FF6">
        <w:rPr>
          <w:sz w:val="20"/>
          <w:szCs w:val="20"/>
        </w:rPr>
        <w:t>Adjuvant</w:t>
      </w:r>
      <w:r w:rsidR="00943136" w:rsidRPr="00CA7FF6">
        <w:rPr>
          <w:sz w:val="20"/>
          <w:szCs w:val="20"/>
        </w:rPr>
        <w:t xml:space="preserve"> </w:t>
      </w:r>
      <w:r w:rsidRPr="00CA7FF6">
        <w:rPr>
          <w:sz w:val="20"/>
          <w:szCs w:val="20"/>
        </w:rPr>
        <w:t>hypofractionated</w:t>
      </w:r>
      <w:r w:rsidR="00943136" w:rsidRPr="00CA7FF6">
        <w:rPr>
          <w:sz w:val="20"/>
          <w:szCs w:val="20"/>
        </w:rPr>
        <w:t xml:space="preserve"> </w:t>
      </w:r>
      <w:r w:rsidRPr="00CA7FF6">
        <w:rPr>
          <w:sz w:val="20"/>
          <w:szCs w:val="20"/>
        </w:rPr>
        <w:t>versus</w:t>
      </w:r>
      <w:r w:rsidR="00943136" w:rsidRPr="00CA7FF6">
        <w:rPr>
          <w:sz w:val="20"/>
          <w:szCs w:val="20"/>
        </w:rPr>
        <w:t xml:space="preserve"> </w:t>
      </w:r>
      <w:r w:rsidRPr="00CA7FF6">
        <w:rPr>
          <w:sz w:val="20"/>
          <w:szCs w:val="20"/>
        </w:rPr>
        <w:t>conventional</w:t>
      </w:r>
      <w:r w:rsidR="00943136" w:rsidRPr="00CA7FF6">
        <w:rPr>
          <w:sz w:val="20"/>
          <w:szCs w:val="20"/>
        </w:rPr>
        <w:t xml:space="preserve"> </w:t>
      </w:r>
      <w:r w:rsidRPr="00CA7FF6">
        <w:rPr>
          <w:sz w:val="20"/>
          <w:szCs w:val="20"/>
        </w:rPr>
        <w:t>whole</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radiation</w:t>
      </w:r>
      <w:r w:rsidR="00943136" w:rsidRPr="00CA7FF6">
        <w:rPr>
          <w:sz w:val="20"/>
          <w:szCs w:val="20"/>
        </w:rPr>
        <w:t xml:space="preserve"> </w:t>
      </w:r>
      <w:r w:rsidRPr="00CA7FF6">
        <w:rPr>
          <w:sz w:val="20"/>
          <w:szCs w:val="20"/>
        </w:rPr>
        <w:t>therapy</w:t>
      </w:r>
      <w:r w:rsidR="00943136" w:rsidRPr="00CA7FF6">
        <w:rPr>
          <w:sz w:val="20"/>
          <w:szCs w:val="20"/>
        </w:rPr>
        <w:t xml:space="preserve"> </w:t>
      </w:r>
      <w:r w:rsidRPr="00CA7FF6">
        <w:rPr>
          <w:sz w:val="20"/>
          <w:szCs w:val="20"/>
        </w:rPr>
        <w:t>for</w:t>
      </w:r>
      <w:r w:rsidR="00943136" w:rsidRPr="00CA7FF6">
        <w:rPr>
          <w:sz w:val="20"/>
          <w:szCs w:val="20"/>
        </w:rPr>
        <w:t xml:space="preserve"> </w:t>
      </w:r>
      <w:r w:rsidRPr="00CA7FF6">
        <w:rPr>
          <w:sz w:val="20"/>
          <w:szCs w:val="20"/>
        </w:rPr>
        <w:t>early-stage</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long-term</w:t>
      </w:r>
      <w:r w:rsidR="00943136" w:rsidRPr="00CA7FF6">
        <w:rPr>
          <w:sz w:val="20"/>
          <w:szCs w:val="20"/>
        </w:rPr>
        <w:t xml:space="preserve"> </w:t>
      </w:r>
      <w:r w:rsidRPr="00CA7FF6">
        <w:rPr>
          <w:sz w:val="20"/>
          <w:szCs w:val="20"/>
        </w:rPr>
        <w:t>hospital-related</w:t>
      </w:r>
      <w:r w:rsidR="00943136" w:rsidRPr="00CA7FF6">
        <w:rPr>
          <w:sz w:val="20"/>
          <w:szCs w:val="20"/>
        </w:rPr>
        <w:t xml:space="preserve"> </w:t>
      </w:r>
      <w:r w:rsidRPr="00CA7FF6">
        <w:rPr>
          <w:sz w:val="20"/>
          <w:szCs w:val="20"/>
        </w:rPr>
        <w:t>morbidity</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cardiac</w:t>
      </w:r>
      <w:r w:rsidR="00943136" w:rsidRPr="00CA7FF6">
        <w:rPr>
          <w:sz w:val="20"/>
          <w:szCs w:val="20"/>
        </w:rPr>
        <w:t xml:space="preserve"> </w:t>
      </w:r>
      <w:r w:rsidRPr="00CA7FF6">
        <w:rPr>
          <w:sz w:val="20"/>
          <w:szCs w:val="20"/>
        </w:rPr>
        <w:t>causes.</w:t>
      </w:r>
      <w:r w:rsidR="00943136" w:rsidRPr="00CA7FF6">
        <w:rPr>
          <w:sz w:val="20"/>
          <w:szCs w:val="20"/>
        </w:rPr>
        <w:t xml:space="preserve"> </w:t>
      </w:r>
      <w:r w:rsidRPr="00CA7FF6">
        <w:rPr>
          <w:sz w:val="20"/>
          <w:szCs w:val="20"/>
        </w:rPr>
        <w:t>Int</w:t>
      </w:r>
      <w:r w:rsidR="00943136" w:rsidRPr="00CA7FF6">
        <w:rPr>
          <w:sz w:val="20"/>
          <w:szCs w:val="20"/>
        </w:rPr>
        <w:t xml:space="preserve"> </w:t>
      </w:r>
      <w:r w:rsidRPr="00CA7FF6">
        <w:rPr>
          <w:sz w:val="20"/>
          <w:szCs w:val="20"/>
        </w:rPr>
        <w:t>J</w:t>
      </w:r>
      <w:r w:rsidR="00943136" w:rsidRPr="00CA7FF6">
        <w:rPr>
          <w:sz w:val="20"/>
          <w:szCs w:val="20"/>
        </w:rPr>
        <w:t xml:space="preserve"> </w:t>
      </w:r>
      <w:r w:rsidRPr="00CA7FF6">
        <w:rPr>
          <w:sz w:val="20"/>
          <w:szCs w:val="20"/>
        </w:rPr>
        <w:t>Radia</w:t>
      </w:r>
      <w:r w:rsidR="00CA7FF6" w:rsidRPr="00CA7FF6">
        <w:rPr>
          <w:sz w:val="20"/>
          <w:szCs w:val="20"/>
        </w:rPr>
        <w:t>t</w:t>
      </w:r>
      <w:r w:rsidR="00CA7FF6">
        <w:rPr>
          <w:sz w:val="20"/>
          <w:szCs w:val="20"/>
        </w:rPr>
        <w:t xml:space="preserve"> </w:t>
      </w:r>
      <w:r w:rsidR="00CA7FF6" w:rsidRPr="00CA7FF6">
        <w:rPr>
          <w:sz w:val="20"/>
          <w:szCs w:val="20"/>
        </w:rPr>
        <w:t>O</w:t>
      </w:r>
      <w:r w:rsidRPr="00CA7FF6">
        <w:rPr>
          <w:sz w:val="20"/>
          <w:szCs w:val="20"/>
        </w:rPr>
        <w:t>nco</w:t>
      </w:r>
      <w:r w:rsidR="00CA7FF6" w:rsidRPr="00CA7FF6">
        <w:rPr>
          <w:sz w:val="20"/>
          <w:szCs w:val="20"/>
        </w:rPr>
        <w:t>l</w:t>
      </w:r>
      <w:r w:rsidR="00CA7FF6">
        <w:rPr>
          <w:sz w:val="20"/>
          <w:szCs w:val="20"/>
        </w:rPr>
        <w:t xml:space="preserve"> </w:t>
      </w:r>
      <w:r w:rsidR="00CA7FF6" w:rsidRPr="00CA7FF6">
        <w:rPr>
          <w:sz w:val="20"/>
          <w:szCs w:val="20"/>
        </w:rPr>
        <w:t>B</w:t>
      </w:r>
      <w:r w:rsidRPr="00CA7FF6">
        <w:rPr>
          <w:sz w:val="20"/>
          <w:szCs w:val="20"/>
        </w:rPr>
        <w:t>io</w:t>
      </w:r>
      <w:r w:rsidR="00CA7FF6" w:rsidRPr="00CA7FF6">
        <w:rPr>
          <w:sz w:val="20"/>
          <w:szCs w:val="20"/>
        </w:rPr>
        <w:t>l</w:t>
      </w:r>
      <w:r w:rsidR="00CA7FF6">
        <w:rPr>
          <w:sz w:val="20"/>
          <w:szCs w:val="20"/>
        </w:rPr>
        <w:t xml:space="preserve"> </w:t>
      </w:r>
      <w:r w:rsidR="00CA7FF6" w:rsidRPr="00CA7FF6">
        <w:rPr>
          <w:sz w:val="20"/>
          <w:szCs w:val="20"/>
        </w:rPr>
        <w:t>P</w:t>
      </w:r>
      <w:r w:rsidRPr="00CA7FF6">
        <w:rPr>
          <w:sz w:val="20"/>
          <w:szCs w:val="20"/>
        </w:rPr>
        <w:t>hys</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2014</w:t>
      </w:r>
      <w:r w:rsidR="00943136" w:rsidRPr="00CA7FF6">
        <w:rPr>
          <w:sz w:val="20"/>
          <w:szCs w:val="20"/>
        </w:rPr>
        <w:t xml:space="preserve"> </w:t>
      </w:r>
      <w:r w:rsidRPr="00CA7FF6">
        <w:rPr>
          <w:sz w:val="20"/>
          <w:szCs w:val="20"/>
        </w:rPr>
        <w:t>Mar</w:t>
      </w:r>
      <w:r w:rsidR="00943136" w:rsidRPr="00CA7FF6">
        <w:rPr>
          <w:sz w:val="20"/>
          <w:szCs w:val="20"/>
        </w:rPr>
        <w:t xml:space="preserve"> </w:t>
      </w:r>
      <w:r w:rsidRPr="00CA7FF6">
        <w:rPr>
          <w:sz w:val="20"/>
          <w:szCs w:val="20"/>
        </w:rPr>
        <w:t>15;88(4):786–92.</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http://www.ncbi.nlm.nih.gov/pubmed/24606848</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Tjessem</w:t>
      </w:r>
      <w:r w:rsidR="00943136" w:rsidRPr="00CA7FF6">
        <w:rPr>
          <w:sz w:val="20"/>
          <w:szCs w:val="20"/>
        </w:rPr>
        <w:t xml:space="preserve"> </w:t>
      </w:r>
      <w:r w:rsidRPr="00CA7FF6">
        <w:rPr>
          <w:sz w:val="20"/>
          <w:szCs w:val="20"/>
        </w:rPr>
        <w:t>KH,</w:t>
      </w:r>
      <w:r w:rsidR="00943136" w:rsidRPr="00CA7FF6">
        <w:rPr>
          <w:sz w:val="20"/>
          <w:szCs w:val="20"/>
        </w:rPr>
        <w:t xml:space="preserve"> </w:t>
      </w:r>
      <w:r w:rsidRPr="00CA7FF6">
        <w:rPr>
          <w:sz w:val="20"/>
          <w:szCs w:val="20"/>
        </w:rPr>
        <w:t>Johansen</w:t>
      </w:r>
      <w:r w:rsidR="00943136" w:rsidRPr="00CA7FF6">
        <w:rPr>
          <w:sz w:val="20"/>
          <w:szCs w:val="20"/>
        </w:rPr>
        <w:t xml:space="preserve"> </w:t>
      </w:r>
      <w:r w:rsidRPr="00CA7FF6">
        <w:rPr>
          <w:sz w:val="20"/>
          <w:szCs w:val="20"/>
        </w:rPr>
        <w:t>S,</w:t>
      </w:r>
      <w:r w:rsidR="00943136" w:rsidRPr="00CA7FF6">
        <w:rPr>
          <w:sz w:val="20"/>
          <w:szCs w:val="20"/>
        </w:rPr>
        <w:t xml:space="preserve"> </w:t>
      </w:r>
      <w:r w:rsidRPr="00CA7FF6">
        <w:rPr>
          <w:sz w:val="20"/>
          <w:szCs w:val="20"/>
        </w:rPr>
        <w:t>Malinen</w:t>
      </w:r>
      <w:r w:rsidR="00943136" w:rsidRPr="00CA7FF6">
        <w:rPr>
          <w:sz w:val="20"/>
          <w:szCs w:val="20"/>
        </w:rPr>
        <w:t xml:space="preserve"> </w:t>
      </w:r>
      <w:r w:rsidRPr="00CA7FF6">
        <w:rPr>
          <w:sz w:val="20"/>
          <w:szCs w:val="20"/>
        </w:rPr>
        <w:t>E,</w:t>
      </w:r>
      <w:r w:rsidR="00943136" w:rsidRPr="00CA7FF6">
        <w:rPr>
          <w:sz w:val="20"/>
          <w:szCs w:val="20"/>
        </w:rPr>
        <w:t xml:space="preserve"> </w:t>
      </w:r>
      <w:r w:rsidRPr="00CA7FF6">
        <w:rPr>
          <w:sz w:val="20"/>
          <w:szCs w:val="20"/>
        </w:rPr>
        <w:t>Reinertsen</w:t>
      </w:r>
      <w:r w:rsidR="00943136" w:rsidRPr="00CA7FF6">
        <w:rPr>
          <w:sz w:val="20"/>
          <w:szCs w:val="20"/>
        </w:rPr>
        <w:t xml:space="preserve"> </w:t>
      </w:r>
      <w:r w:rsidRPr="00CA7FF6">
        <w:rPr>
          <w:sz w:val="20"/>
          <w:szCs w:val="20"/>
        </w:rPr>
        <w:t>K</w:t>
      </w:r>
      <w:r w:rsidR="00943136" w:rsidRPr="00CA7FF6">
        <w:rPr>
          <w:sz w:val="20"/>
          <w:szCs w:val="20"/>
        </w:rPr>
        <w:t xml:space="preserve"> </w:t>
      </w:r>
      <w:r w:rsidRPr="00CA7FF6">
        <w:rPr>
          <w:sz w:val="20"/>
          <w:szCs w:val="20"/>
        </w:rPr>
        <w:t>V,</w:t>
      </w:r>
      <w:r w:rsidR="00943136" w:rsidRPr="00CA7FF6">
        <w:rPr>
          <w:sz w:val="20"/>
          <w:szCs w:val="20"/>
        </w:rPr>
        <w:t xml:space="preserve"> </w:t>
      </w:r>
      <w:r w:rsidRPr="00CA7FF6">
        <w:rPr>
          <w:sz w:val="20"/>
          <w:szCs w:val="20"/>
        </w:rPr>
        <w:t>Danielsen</w:t>
      </w:r>
      <w:r w:rsidR="00943136" w:rsidRPr="00CA7FF6">
        <w:rPr>
          <w:sz w:val="20"/>
          <w:szCs w:val="20"/>
        </w:rPr>
        <w:t xml:space="preserve"> </w:t>
      </w:r>
      <w:r w:rsidRPr="00CA7FF6">
        <w:rPr>
          <w:sz w:val="20"/>
          <w:szCs w:val="20"/>
        </w:rPr>
        <w:t>T,</w:t>
      </w:r>
      <w:r w:rsidR="00943136" w:rsidRPr="00CA7FF6">
        <w:rPr>
          <w:sz w:val="20"/>
          <w:szCs w:val="20"/>
        </w:rPr>
        <w:t xml:space="preserve"> </w:t>
      </w:r>
      <w:r w:rsidRPr="00CA7FF6">
        <w:rPr>
          <w:sz w:val="20"/>
          <w:szCs w:val="20"/>
        </w:rPr>
        <w:t>Fosså</w:t>
      </w:r>
      <w:r w:rsidR="00943136" w:rsidRPr="00CA7FF6">
        <w:rPr>
          <w:sz w:val="20"/>
          <w:szCs w:val="20"/>
        </w:rPr>
        <w:t xml:space="preserve"> </w:t>
      </w:r>
      <w:r w:rsidRPr="00CA7FF6">
        <w:rPr>
          <w:sz w:val="20"/>
          <w:szCs w:val="20"/>
        </w:rPr>
        <w:t>SD,</w:t>
      </w:r>
      <w:r w:rsidR="00943136" w:rsidRPr="00CA7FF6">
        <w:rPr>
          <w:sz w:val="20"/>
          <w:szCs w:val="20"/>
        </w:rPr>
        <w:t xml:space="preserve"> </w:t>
      </w:r>
      <w:r w:rsidRPr="00CA7FF6">
        <w:rPr>
          <w:sz w:val="20"/>
          <w:szCs w:val="20"/>
        </w:rPr>
        <w:t>et</w:t>
      </w:r>
      <w:r w:rsidR="00943136" w:rsidRPr="00CA7FF6">
        <w:rPr>
          <w:sz w:val="20"/>
          <w:szCs w:val="20"/>
        </w:rPr>
        <w:t xml:space="preserve"> </w:t>
      </w:r>
      <w:r w:rsidRPr="00CA7FF6">
        <w:rPr>
          <w:sz w:val="20"/>
          <w:szCs w:val="20"/>
        </w:rPr>
        <w:t>al.</w:t>
      </w:r>
      <w:r w:rsidR="00943136" w:rsidRPr="00CA7FF6">
        <w:rPr>
          <w:sz w:val="20"/>
          <w:szCs w:val="20"/>
        </w:rPr>
        <w:t xml:space="preserve"> </w:t>
      </w:r>
      <w:r w:rsidRPr="00CA7FF6">
        <w:rPr>
          <w:sz w:val="20"/>
          <w:szCs w:val="20"/>
        </w:rPr>
        <w:t>Long-term</w:t>
      </w:r>
      <w:r w:rsidR="00943136" w:rsidRPr="00CA7FF6">
        <w:rPr>
          <w:sz w:val="20"/>
          <w:szCs w:val="20"/>
        </w:rPr>
        <w:t xml:space="preserve"> </w:t>
      </w:r>
      <w:r w:rsidRPr="00CA7FF6">
        <w:rPr>
          <w:sz w:val="20"/>
          <w:szCs w:val="20"/>
        </w:rPr>
        <w:t>cardiac</w:t>
      </w:r>
      <w:r w:rsidR="00943136" w:rsidRPr="00CA7FF6">
        <w:rPr>
          <w:sz w:val="20"/>
          <w:szCs w:val="20"/>
        </w:rPr>
        <w:t xml:space="preserve"> </w:t>
      </w:r>
      <w:r w:rsidRPr="00CA7FF6">
        <w:rPr>
          <w:sz w:val="20"/>
          <w:szCs w:val="20"/>
        </w:rPr>
        <w:t>mortality</w:t>
      </w:r>
      <w:r w:rsidR="00943136" w:rsidRPr="00CA7FF6">
        <w:rPr>
          <w:sz w:val="20"/>
          <w:szCs w:val="20"/>
        </w:rPr>
        <w:t xml:space="preserve"> </w:t>
      </w:r>
      <w:r w:rsidRPr="00CA7FF6">
        <w:rPr>
          <w:sz w:val="20"/>
          <w:szCs w:val="20"/>
        </w:rPr>
        <w:t>after</w:t>
      </w:r>
      <w:r w:rsidR="00943136" w:rsidRPr="00CA7FF6">
        <w:rPr>
          <w:sz w:val="20"/>
          <w:szCs w:val="20"/>
        </w:rPr>
        <w:t xml:space="preserve"> </w:t>
      </w:r>
      <w:r w:rsidRPr="00CA7FF6">
        <w:rPr>
          <w:sz w:val="20"/>
          <w:szCs w:val="20"/>
        </w:rPr>
        <w:t>hypofractionated</w:t>
      </w:r>
      <w:r w:rsidR="00943136" w:rsidRPr="00CA7FF6">
        <w:rPr>
          <w:sz w:val="20"/>
          <w:szCs w:val="20"/>
        </w:rPr>
        <w:t xml:space="preserve"> </w:t>
      </w:r>
      <w:r w:rsidRPr="00CA7FF6">
        <w:rPr>
          <w:sz w:val="20"/>
          <w:szCs w:val="20"/>
        </w:rPr>
        <w:t>radiation</w:t>
      </w:r>
      <w:r w:rsidR="00943136" w:rsidRPr="00CA7FF6">
        <w:rPr>
          <w:sz w:val="20"/>
          <w:szCs w:val="20"/>
        </w:rPr>
        <w:t xml:space="preserve"> </w:t>
      </w:r>
      <w:r w:rsidRPr="00CA7FF6">
        <w:rPr>
          <w:sz w:val="20"/>
          <w:szCs w:val="20"/>
        </w:rPr>
        <w:t>therapy</w:t>
      </w:r>
      <w:r w:rsidR="00943136" w:rsidRPr="00CA7FF6">
        <w:rPr>
          <w:sz w:val="20"/>
          <w:szCs w:val="20"/>
        </w:rPr>
        <w:t xml:space="preserve"> </w:t>
      </w:r>
      <w:r w:rsidRPr="00CA7FF6">
        <w:rPr>
          <w:sz w:val="20"/>
          <w:szCs w:val="20"/>
        </w:rPr>
        <w:t>in</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Int</w:t>
      </w:r>
      <w:r w:rsidR="00943136" w:rsidRPr="00CA7FF6">
        <w:rPr>
          <w:sz w:val="20"/>
          <w:szCs w:val="20"/>
        </w:rPr>
        <w:t xml:space="preserve"> </w:t>
      </w:r>
      <w:r w:rsidRPr="00CA7FF6">
        <w:rPr>
          <w:sz w:val="20"/>
          <w:szCs w:val="20"/>
        </w:rPr>
        <w:t>J</w:t>
      </w:r>
      <w:r w:rsidR="00943136" w:rsidRPr="00CA7FF6">
        <w:rPr>
          <w:sz w:val="20"/>
          <w:szCs w:val="20"/>
        </w:rPr>
        <w:t xml:space="preserve"> </w:t>
      </w:r>
      <w:r w:rsidRPr="00CA7FF6">
        <w:rPr>
          <w:sz w:val="20"/>
          <w:szCs w:val="20"/>
        </w:rPr>
        <w:t>Radia</w:t>
      </w:r>
      <w:r w:rsidR="00CA7FF6" w:rsidRPr="00CA7FF6">
        <w:rPr>
          <w:sz w:val="20"/>
          <w:szCs w:val="20"/>
        </w:rPr>
        <w:t>t</w:t>
      </w:r>
      <w:r w:rsidR="00CA7FF6">
        <w:rPr>
          <w:sz w:val="20"/>
          <w:szCs w:val="20"/>
        </w:rPr>
        <w:t xml:space="preserve"> </w:t>
      </w:r>
      <w:r w:rsidR="00CA7FF6" w:rsidRPr="00CA7FF6">
        <w:rPr>
          <w:sz w:val="20"/>
          <w:szCs w:val="20"/>
        </w:rPr>
        <w:t>O</w:t>
      </w:r>
      <w:r w:rsidRPr="00CA7FF6">
        <w:rPr>
          <w:sz w:val="20"/>
          <w:szCs w:val="20"/>
        </w:rPr>
        <w:t>nco</w:t>
      </w:r>
      <w:r w:rsidR="00CA7FF6" w:rsidRPr="00CA7FF6">
        <w:rPr>
          <w:sz w:val="20"/>
          <w:szCs w:val="20"/>
        </w:rPr>
        <w:t>l</w:t>
      </w:r>
      <w:r w:rsidR="00CA7FF6">
        <w:rPr>
          <w:sz w:val="20"/>
          <w:szCs w:val="20"/>
        </w:rPr>
        <w:t xml:space="preserve"> </w:t>
      </w:r>
      <w:r w:rsidR="00CA7FF6" w:rsidRPr="00CA7FF6">
        <w:rPr>
          <w:sz w:val="20"/>
          <w:szCs w:val="20"/>
        </w:rPr>
        <w:t>B</w:t>
      </w:r>
      <w:r w:rsidRPr="00CA7FF6">
        <w:rPr>
          <w:sz w:val="20"/>
          <w:szCs w:val="20"/>
        </w:rPr>
        <w:t>io</w:t>
      </w:r>
      <w:r w:rsidR="00CA7FF6" w:rsidRPr="00CA7FF6">
        <w:rPr>
          <w:sz w:val="20"/>
          <w:szCs w:val="20"/>
        </w:rPr>
        <w:t>l</w:t>
      </w:r>
      <w:r w:rsidR="00CA7FF6">
        <w:rPr>
          <w:sz w:val="20"/>
          <w:szCs w:val="20"/>
        </w:rPr>
        <w:t xml:space="preserve"> </w:t>
      </w:r>
      <w:r w:rsidR="00CA7FF6" w:rsidRPr="00CA7FF6">
        <w:rPr>
          <w:sz w:val="20"/>
          <w:szCs w:val="20"/>
        </w:rPr>
        <w:t>P</w:t>
      </w:r>
      <w:r w:rsidRPr="00CA7FF6">
        <w:rPr>
          <w:sz w:val="20"/>
          <w:szCs w:val="20"/>
        </w:rPr>
        <w:t>hys</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2013</w:t>
      </w:r>
      <w:r w:rsidR="00943136" w:rsidRPr="00CA7FF6">
        <w:rPr>
          <w:sz w:val="20"/>
          <w:szCs w:val="20"/>
        </w:rPr>
        <w:t xml:space="preserve"> </w:t>
      </w:r>
      <w:r w:rsidRPr="00CA7FF6">
        <w:rPr>
          <w:sz w:val="20"/>
          <w:szCs w:val="20"/>
        </w:rPr>
        <w:t>Oct</w:t>
      </w:r>
      <w:r w:rsidR="00943136" w:rsidRPr="00CA7FF6">
        <w:rPr>
          <w:sz w:val="20"/>
          <w:szCs w:val="20"/>
        </w:rPr>
        <w:t xml:space="preserve"> </w:t>
      </w:r>
      <w:r w:rsidRPr="00CA7FF6">
        <w:rPr>
          <w:sz w:val="20"/>
          <w:szCs w:val="20"/>
        </w:rPr>
        <w:t>1;87(2):337–43.</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http://www.ncbi.nlm.nih.gov/pubmed/23886416</w:t>
      </w:r>
      <w:r w:rsidR="009B2629">
        <w:rPr>
          <w:rFonts w:hint="eastAsia"/>
          <w:sz w:val="20"/>
          <w:szCs w:val="20"/>
          <w:lang w:eastAsia="zh-CN"/>
        </w:rPr>
        <w:t>.</w:t>
      </w:r>
    </w:p>
    <w:p w:rsidR="004B3F67"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Marhin</w:t>
      </w:r>
      <w:r w:rsidR="00943136" w:rsidRPr="00CA7FF6">
        <w:rPr>
          <w:sz w:val="20"/>
          <w:szCs w:val="20"/>
        </w:rPr>
        <w:t xml:space="preserve"> </w:t>
      </w:r>
      <w:r w:rsidRPr="00CA7FF6">
        <w:rPr>
          <w:sz w:val="20"/>
          <w:szCs w:val="20"/>
        </w:rPr>
        <w:t>W,</w:t>
      </w:r>
      <w:r w:rsidR="00943136" w:rsidRPr="00CA7FF6">
        <w:rPr>
          <w:sz w:val="20"/>
          <w:szCs w:val="20"/>
        </w:rPr>
        <w:t xml:space="preserve"> </w:t>
      </w:r>
      <w:r w:rsidRPr="00CA7FF6">
        <w:rPr>
          <w:sz w:val="20"/>
          <w:szCs w:val="20"/>
        </w:rPr>
        <w:t>Wai</w:t>
      </w:r>
      <w:r w:rsidR="00943136" w:rsidRPr="00CA7FF6">
        <w:rPr>
          <w:sz w:val="20"/>
          <w:szCs w:val="20"/>
        </w:rPr>
        <w:t xml:space="preserve"> </w:t>
      </w:r>
      <w:r w:rsidRPr="00CA7FF6">
        <w:rPr>
          <w:sz w:val="20"/>
          <w:szCs w:val="20"/>
        </w:rPr>
        <w:t>E,</w:t>
      </w:r>
      <w:r w:rsidR="00943136" w:rsidRPr="00CA7FF6">
        <w:rPr>
          <w:sz w:val="20"/>
          <w:szCs w:val="20"/>
        </w:rPr>
        <w:t xml:space="preserve"> </w:t>
      </w:r>
      <w:r w:rsidRPr="00CA7FF6">
        <w:rPr>
          <w:sz w:val="20"/>
          <w:szCs w:val="20"/>
        </w:rPr>
        <w:t>Tyldesley</w:t>
      </w:r>
      <w:r w:rsidR="00943136" w:rsidRPr="00CA7FF6">
        <w:rPr>
          <w:sz w:val="20"/>
          <w:szCs w:val="20"/>
        </w:rPr>
        <w:t xml:space="preserve"> </w:t>
      </w:r>
      <w:r w:rsidRPr="00CA7FF6">
        <w:rPr>
          <w:sz w:val="20"/>
          <w:szCs w:val="20"/>
        </w:rPr>
        <w:t>S.</w:t>
      </w:r>
      <w:r w:rsidR="00943136" w:rsidRPr="00CA7FF6">
        <w:rPr>
          <w:sz w:val="20"/>
          <w:szCs w:val="20"/>
        </w:rPr>
        <w:t xml:space="preserve"> </w:t>
      </w:r>
      <w:r w:rsidRPr="00CA7FF6">
        <w:rPr>
          <w:sz w:val="20"/>
          <w:szCs w:val="20"/>
        </w:rPr>
        <w:t>Impact</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fraction</w:t>
      </w:r>
      <w:r w:rsidR="00943136" w:rsidRPr="00CA7FF6">
        <w:rPr>
          <w:sz w:val="20"/>
          <w:szCs w:val="20"/>
        </w:rPr>
        <w:t xml:space="preserve"> </w:t>
      </w:r>
      <w:r w:rsidRPr="00CA7FF6">
        <w:rPr>
          <w:sz w:val="20"/>
          <w:szCs w:val="20"/>
        </w:rPr>
        <w:t>size</w:t>
      </w:r>
      <w:r w:rsidR="00943136" w:rsidRPr="00CA7FF6">
        <w:rPr>
          <w:sz w:val="20"/>
          <w:szCs w:val="20"/>
        </w:rPr>
        <w:t xml:space="preserve"> </w:t>
      </w:r>
      <w:r w:rsidRPr="00CA7FF6">
        <w:rPr>
          <w:sz w:val="20"/>
          <w:szCs w:val="20"/>
        </w:rPr>
        <w:t>on</w:t>
      </w:r>
      <w:r w:rsidR="00943136" w:rsidRPr="00CA7FF6">
        <w:rPr>
          <w:sz w:val="20"/>
          <w:szCs w:val="20"/>
        </w:rPr>
        <w:t xml:space="preserve"> </w:t>
      </w:r>
      <w:r w:rsidRPr="00CA7FF6">
        <w:rPr>
          <w:sz w:val="20"/>
          <w:szCs w:val="20"/>
        </w:rPr>
        <w:t>cardiac</w:t>
      </w:r>
      <w:r w:rsidR="00943136" w:rsidRPr="00CA7FF6">
        <w:rPr>
          <w:sz w:val="20"/>
          <w:szCs w:val="20"/>
        </w:rPr>
        <w:t xml:space="preserve"> </w:t>
      </w:r>
      <w:r w:rsidRPr="00CA7FF6">
        <w:rPr>
          <w:sz w:val="20"/>
          <w:szCs w:val="20"/>
        </w:rPr>
        <w:t>mortality</w:t>
      </w:r>
      <w:r w:rsidR="00943136" w:rsidRPr="00CA7FF6">
        <w:rPr>
          <w:sz w:val="20"/>
          <w:szCs w:val="20"/>
        </w:rPr>
        <w:t xml:space="preserve"> </w:t>
      </w:r>
      <w:r w:rsidRPr="00CA7FF6">
        <w:rPr>
          <w:sz w:val="20"/>
          <w:szCs w:val="20"/>
        </w:rPr>
        <w:t>in</w:t>
      </w:r>
      <w:r w:rsidR="00943136" w:rsidRPr="00CA7FF6">
        <w:rPr>
          <w:sz w:val="20"/>
          <w:szCs w:val="20"/>
        </w:rPr>
        <w:t xml:space="preserve"> </w:t>
      </w:r>
      <w:r w:rsidRPr="00CA7FF6">
        <w:rPr>
          <w:sz w:val="20"/>
          <w:szCs w:val="20"/>
        </w:rPr>
        <w:t>women</w:t>
      </w:r>
      <w:r w:rsidR="00943136" w:rsidRPr="00CA7FF6">
        <w:rPr>
          <w:sz w:val="20"/>
          <w:szCs w:val="20"/>
        </w:rPr>
        <w:t xml:space="preserve"> </w:t>
      </w:r>
      <w:r w:rsidRPr="00CA7FF6">
        <w:rPr>
          <w:sz w:val="20"/>
          <w:szCs w:val="20"/>
        </w:rPr>
        <w:t>treated</w:t>
      </w:r>
      <w:r w:rsidR="00943136" w:rsidRPr="00CA7FF6">
        <w:rPr>
          <w:sz w:val="20"/>
          <w:szCs w:val="20"/>
        </w:rPr>
        <w:t xml:space="preserve"> </w:t>
      </w:r>
      <w:r w:rsidRPr="00CA7FF6">
        <w:rPr>
          <w:sz w:val="20"/>
          <w:szCs w:val="20"/>
        </w:rPr>
        <w:t>with</w:t>
      </w:r>
      <w:r w:rsidR="00943136" w:rsidRPr="00CA7FF6">
        <w:rPr>
          <w:sz w:val="20"/>
          <w:szCs w:val="20"/>
        </w:rPr>
        <w:t xml:space="preserve"> </w:t>
      </w:r>
      <w:r w:rsidRPr="00CA7FF6">
        <w:rPr>
          <w:sz w:val="20"/>
          <w:szCs w:val="20"/>
        </w:rPr>
        <w:t>tangential</w:t>
      </w:r>
      <w:r w:rsidR="00943136" w:rsidRPr="00CA7FF6">
        <w:rPr>
          <w:sz w:val="20"/>
          <w:szCs w:val="20"/>
        </w:rPr>
        <w:t xml:space="preserve"> </w:t>
      </w:r>
      <w:r w:rsidRPr="00CA7FF6">
        <w:rPr>
          <w:sz w:val="20"/>
          <w:szCs w:val="20"/>
        </w:rPr>
        <w:t>radiotherapy</w:t>
      </w:r>
      <w:r w:rsidR="00943136" w:rsidRPr="00CA7FF6">
        <w:rPr>
          <w:sz w:val="20"/>
          <w:szCs w:val="20"/>
        </w:rPr>
        <w:t xml:space="preserve"> </w:t>
      </w:r>
      <w:r w:rsidRPr="00CA7FF6">
        <w:rPr>
          <w:sz w:val="20"/>
          <w:szCs w:val="20"/>
        </w:rPr>
        <w:t>for</w:t>
      </w:r>
      <w:r w:rsidR="00943136" w:rsidRPr="00CA7FF6">
        <w:rPr>
          <w:sz w:val="20"/>
          <w:szCs w:val="20"/>
        </w:rPr>
        <w:t xml:space="preserve"> </w:t>
      </w:r>
      <w:r w:rsidRPr="00CA7FF6">
        <w:rPr>
          <w:sz w:val="20"/>
          <w:szCs w:val="20"/>
        </w:rPr>
        <w:t>localized</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Int</w:t>
      </w:r>
      <w:r w:rsidR="00943136" w:rsidRPr="00CA7FF6">
        <w:rPr>
          <w:sz w:val="20"/>
          <w:szCs w:val="20"/>
        </w:rPr>
        <w:t xml:space="preserve"> </w:t>
      </w:r>
      <w:r w:rsidRPr="00CA7FF6">
        <w:rPr>
          <w:sz w:val="20"/>
          <w:szCs w:val="20"/>
        </w:rPr>
        <w:t>J</w:t>
      </w:r>
      <w:r w:rsidR="00943136" w:rsidRPr="00CA7FF6">
        <w:rPr>
          <w:sz w:val="20"/>
          <w:szCs w:val="20"/>
        </w:rPr>
        <w:t xml:space="preserve"> </w:t>
      </w:r>
      <w:r w:rsidRPr="00CA7FF6">
        <w:rPr>
          <w:sz w:val="20"/>
          <w:szCs w:val="20"/>
        </w:rPr>
        <w:t>Radia</w:t>
      </w:r>
      <w:r w:rsidR="00CA7FF6" w:rsidRPr="00CA7FF6">
        <w:rPr>
          <w:sz w:val="20"/>
          <w:szCs w:val="20"/>
        </w:rPr>
        <w:t>t</w:t>
      </w:r>
      <w:r w:rsidR="00CA7FF6">
        <w:rPr>
          <w:sz w:val="20"/>
          <w:szCs w:val="20"/>
        </w:rPr>
        <w:t xml:space="preserve"> </w:t>
      </w:r>
      <w:r w:rsidR="00CA7FF6" w:rsidRPr="00CA7FF6">
        <w:rPr>
          <w:sz w:val="20"/>
          <w:szCs w:val="20"/>
        </w:rPr>
        <w:t>O</w:t>
      </w:r>
      <w:r w:rsidRPr="00CA7FF6">
        <w:rPr>
          <w:sz w:val="20"/>
          <w:szCs w:val="20"/>
        </w:rPr>
        <w:t>nco</w:t>
      </w:r>
      <w:r w:rsidR="00CA7FF6" w:rsidRPr="00CA7FF6">
        <w:rPr>
          <w:sz w:val="20"/>
          <w:szCs w:val="20"/>
        </w:rPr>
        <w:t>l</w:t>
      </w:r>
      <w:r w:rsidR="00CA7FF6">
        <w:rPr>
          <w:sz w:val="20"/>
          <w:szCs w:val="20"/>
        </w:rPr>
        <w:t xml:space="preserve"> </w:t>
      </w:r>
      <w:r w:rsidR="00CA7FF6" w:rsidRPr="00CA7FF6">
        <w:rPr>
          <w:sz w:val="20"/>
          <w:szCs w:val="20"/>
        </w:rPr>
        <w:t>B</w:t>
      </w:r>
      <w:r w:rsidRPr="00CA7FF6">
        <w:rPr>
          <w:sz w:val="20"/>
          <w:szCs w:val="20"/>
        </w:rPr>
        <w:t>io</w:t>
      </w:r>
      <w:r w:rsidR="00CA7FF6" w:rsidRPr="00CA7FF6">
        <w:rPr>
          <w:sz w:val="20"/>
          <w:szCs w:val="20"/>
        </w:rPr>
        <w:t>l</w:t>
      </w:r>
      <w:r w:rsidR="00CA7FF6">
        <w:rPr>
          <w:sz w:val="20"/>
          <w:szCs w:val="20"/>
        </w:rPr>
        <w:t xml:space="preserve"> </w:t>
      </w:r>
      <w:r w:rsidR="00CA7FF6" w:rsidRPr="00CA7FF6">
        <w:rPr>
          <w:sz w:val="20"/>
          <w:szCs w:val="20"/>
        </w:rPr>
        <w:t>P</w:t>
      </w:r>
      <w:r w:rsidRPr="00CA7FF6">
        <w:rPr>
          <w:sz w:val="20"/>
          <w:szCs w:val="20"/>
        </w:rPr>
        <w:t>hys</w:t>
      </w:r>
      <w:r w:rsidR="00943136" w:rsidRPr="00CA7FF6">
        <w:rPr>
          <w:sz w:val="20"/>
          <w:szCs w:val="20"/>
        </w:rPr>
        <w:t xml:space="preserve"> </w:t>
      </w:r>
      <w:r w:rsidRPr="00CA7FF6">
        <w:rPr>
          <w:sz w:val="20"/>
          <w:szCs w:val="20"/>
        </w:rPr>
        <w:t>[Internet].</w:t>
      </w:r>
      <w:r w:rsidR="00943136" w:rsidRPr="00CA7FF6">
        <w:rPr>
          <w:sz w:val="20"/>
          <w:szCs w:val="20"/>
        </w:rPr>
        <w:t xml:space="preserve"> </w:t>
      </w:r>
      <w:r w:rsidRPr="00CA7FF6">
        <w:rPr>
          <w:sz w:val="20"/>
          <w:szCs w:val="20"/>
        </w:rPr>
        <w:t>2007</w:t>
      </w:r>
      <w:r w:rsidR="00943136" w:rsidRPr="00CA7FF6">
        <w:rPr>
          <w:sz w:val="20"/>
          <w:szCs w:val="20"/>
        </w:rPr>
        <w:t xml:space="preserve"> </w:t>
      </w:r>
      <w:r w:rsidRPr="00CA7FF6">
        <w:rPr>
          <w:sz w:val="20"/>
          <w:szCs w:val="20"/>
        </w:rPr>
        <w:t>Oct</w:t>
      </w:r>
      <w:r w:rsidR="00943136" w:rsidRPr="00CA7FF6">
        <w:rPr>
          <w:sz w:val="20"/>
          <w:szCs w:val="20"/>
        </w:rPr>
        <w:t xml:space="preserve"> </w:t>
      </w:r>
      <w:r w:rsidRPr="00CA7FF6">
        <w:rPr>
          <w:sz w:val="20"/>
          <w:szCs w:val="20"/>
        </w:rPr>
        <w:t>1;69(2):483–9.</w:t>
      </w:r>
      <w:r w:rsidR="00943136" w:rsidRPr="00CA7FF6">
        <w:rPr>
          <w:sz w:val="20"/>
          <w:szCs w:val="20"/>
        </w:rPr>
        <w:t xml:space="preserve"> </w:t>
      </w:r>
      <w:r w:rsidRPr="00CA7FF6">
        <w:rPr>
          <w:sz w:val="20"/>
          <w:szCs w:val="20"/>
        </w:rPr>
        <w:t>Available</w:t>
      </w:r>
      <w:r w:rsidR="00943136" w:rsidRPr="00CA7FF6">
        <w:rPr>
          <w:sz w:val="20"/>
          <w:szCs w:val="20"/>
        </w:rPr>
        <w:t xml:space="preserve"> </w:t>
      </w:r>
      <w:r w:rsidRPr="00CA7FF6">
        <w:rPr>
          <w:sz w:val="20"/>
          <w:szCs w:val="20"/>
        </w:rPr>
        <w:t>from:</w:t>
      </w:r>
      <w:r w:rsidR="00943136" w:rsidRPr="00CA7FF6">
        <w:rPr>
          <w:sz w:val="20"/>
          <w:szCs w:val="20"/>
        </w:rPr>
        <w:t xml:space="preserve"> </w:t>
      </w:r>
      <w:r w:rsidRPr="00CA7FF6">
        <w:rPr>
          <w:sz w:val="20"/>
          <w:szCs w:val="20"/>
        </w:rPr>
        <w:t>http://www.ncbi.nlm.nih.gov/pubmed/17601680</w:t>
      </w:r>
      <w:r w:rsidR="009B2629">
        <w:rPr>
          <w:rFonts w:hint="eastAsia"/>
          <w:sz w:val="20"/>
          <w:szCs w:val="20"/>
          <w:lang w:eastAsia="zh-CN"/>
        </w:rPr>
        <w:t>.</w:t>
      </w:r>
    </w:p>
    <w:p w:rsidR="009A22B1" w:rsidRPr="00CA7FF6" w:rsidRDefault="00E26E04" w:rsidP="00CA7FF6">
      <w:pPr>
        <w:pStyle w:val="ListParagraph"/>
        <w:widowControl w:val="0"/>
        <w:numPr>
          <w:ilvl w:val="0"/>
          <w:numId w:val="2"/>
        </w:numPr>
        <w:snapToGrid w:val="0"/>
        <w:ind w:left="425" w:hanging="425"/>
        <w:jc w:val="both"/>
        <w:rPr>
          <w:sz w:val="20"/>
          <w:szCs w:val="20"/>
        </w:rPr>
      </w:pPr>
      <w:r w:rsidRPr="00CA7FF6">
        <w:rPr>
          <w:sz w:val="20"/>
          <w:szCs w:val="20"/>
        </w:rPr>
        <w:t>Whelan</w:t>
      </w:r>
      <w:r w:rsidR="00943136" w:rsidRPr="00CA7FF6">
        <w:rPr>
          <w:sz w:val="20"/>
          <w:szCs w:val="20"/>
        </w:rPr>
        <w:t xml:space="preserve"> </w:t>
      </w:r>
      <w:r w:rsidRPr="00CA7FF6">
        <w:rPr>
          <w:sz w:val="20"/>
          <w:szCs w:val="20"/>
        </w:rPr>
        <w:t>TJ,</w:t>
      </w:r>
      <w:r w:rsidR="00943136" w:rsidRPr="00CA7FF6">
        <w:rPr>
          <w:sz w:val="20"/>
          <w:szCs w:val="20"/>
        </w:rPr>
        <w:t xml:space="preserve"> </w:t>
      </w:r>
      <w:r w:rsidRPr="00CA7FF6">
        <w:rPr>
          <w:sz w:val="20"/>
          <w:szCs w:val="20"/>
        </w:rPr>
        <w:t>Pignol</w:t>
      </w:r>
      <w:r w:rsidR="00943136" w:rsidRPr="00CA7FF6">
        <w:rPr>
          <w:sz w:val="20"/>
          <w:szCs w:val="20"/>
        </w:rPr>
        <w:t xml:space="preserve"> </w:t>
      </w:r>
      <w:r w:rsidRPr="00CA7FF6">
        <w:rPr>
          <w:sz w:val="20"/>
          <w:szCs w:val="20"/>
        </w:rPr>
        <w:t>J-P,</w:t>
      </w:r>
      <w:r w:rsidR="00943136" w:rsidRPr="00CA7FF6">
        <w:rPr>
          <w:sz w:val="20"/>
          <w:szCs w:val="20"/>
        </w:rPr>
        <w:t xml:space="preserve"> </w:t>
      </w:r>
      <w:r w:rsidRPr="00CA7FF6">
        <w:rPr>
          <w:sz w:val="20"/>
          <w:szCs w:val="20"/>
        </w:rPr>
        <w:t>Levine</w:t>
      </w:r>
      <w:r w:rsidR="00943136" w:rsidRPr="00CA7FF6">
        <w:rPr>
          <w:sz w:val="20"/>
          <w:szCs w:val="20"/>
        </w:rPr>
        <w:t xml:space="preserve"> </w:t>
      </w:r>
      <w:r w:rsidRPr="00CA7FF6">
        <w:rPr>
          <w:sz w:val="20"/>
          <w:szCs w:val="20"/>
        </w:rPr>
        <w:t>MN,</w:t>
      </w:r>
      <w:r w:rsidR="00943136" w:rsidRPr="00CA7FF6">
        <w:rPr>
          <w:sz w:val="20"/>
          <w:szCs w:val="20"/>
        </w:rPr>
        <w:t xml:space="preserve"> </w:t>
      </w:r>
      <w:r w:rsidRPr="00CA7FF6">
        <w:rPr>
          <w:sz w:val="20"/>
          <w:szCs w:val="20"/>
        </w:rPr>
        <w:t>Julian</w:t>
      </w:r>
      <w:r w:rsidR="00943136" w:rsidRPr="00CA7FF6">
        <w:rPr>
          <w:sz w:val="20"/>
          <w:szCs w:val="20"/>
        </w:rPr>
        <w:t xml:space="preserve"> </w:t>
      </w:r>
      <w:r w:rsidRPr="00CA7FF6">
        <w:rPr>
          <w:sz w:val="20"/>
          <w:szCs w:val="20"/>
        </w:rPr>
        <w:t>JA,</w:t>
      </w:r>
      <w:r w:rsidR="00943136" w:rsidRPr="00CA7FF6">
        <w:rPr>
          <w:sz w:val="20"/>
          <w:szCs w:val="20"/>
        </w:rPr>
        <w:t xml:space="preserve"> </w:t>
      </w:r>
      <w:r w:rsidRPr="00CA7FF6">
        <w:rPr>
          <w:sz w:val="20"/>
          <w:szCs w:val="20"/>
        </w:rPr>
        <w:t>MacKenzie</w:t>
      </w:r>
      <w:r w:rsidR="00943136" w:rsidRPr="00CA7FF6">
        <w:rPr>
          <w:sz w:val="20"/>
          <w:szCs w:val="20"/>
        </w:rPr>
        <w:t xml:space="preserve"> </w:t>
      </w:r>
      <w:r w:rsidRPr="00CA7FF6">
        <w:rPr>
          <w:sz w:val="20"/>
          <w:szCs w:val="20"/>
        </w:rPr>
        <w:t>R,</w:t>
      </w:r>
      <w:r w:rsidR="00943136" w:rsidRPr="00CA7FF6">
        <w:rPr>
          <w:sz w:val="20"/>
          <w:szCs w:val="20"/>
        </w:rPr>
        <w:t xml:space="preserve"> </w:t>
      </w:r>
      <w:r w:rsidRPr="00CA7FF6">
        <w:rPr>
          <w:sz w:val="20"/>
          <w:szCs w:val="20"/>
        </w:rPr>
        <w:t>Parpia</w:t>
      </w:r>
      <w:r w:rsidR="00943136" w:rsidRPr="00CA7FF6">
        <w:rPr>
          <w:sz w:val="20"/>
          <w:szCs w:val="20"/>
        </w:rPr>
        <w:t xml:space="preserve"> </w:t>
      </w:r>
      <w:r w:rsidRPr="00CA7FF6">
        <w:rPr>
          <w:sz w:val="20"/>
          <w:szCs w:val="20"/>
        </w:rPr>
        <w:t>S,</w:t>
      </w:r>
      <w:r w:rsidR="00943136" w:rsidRPr="00CA7FF6">
        <w:rPr>
          <w:sz w:val="20"/>
          <w:szCs w:val="20"/>
        </w:rPr>
        <w:t xml:space="preserve"> </w:t>
      </w:r>
      <w:r w:rsidRPr="00CA7FF6">
        <w:rPr>
          <w:sz w:val="20"/>
          <w:szCs w:val="20"/>
        </w:rPr>
        <w:t>et</w:t>
      </w:r>
      <w:r w:rsidR="00943136" w:rsidRPr="00CA7FF6">
        <w:rPr>
          <w:sz w:val="20"/>
          <w:szCs w:val="20"/>
        </w:rPr>
        <w:t xml:space="preserve"> </w:t>
      </w:r>
      <w:r w:rsidRPr="00CA7FF6">
        <w:rPr>
          <w:sz w:val="20"/>
          <w:szCs w:val="20"/>
        </w:rPr>
        <w:t>al.</w:t>
      </w:r>
      <w:r w:rsidR="00943136" w:rsidRPr="00CA7FF6">
        <w:rPr>
          <w:sz w:val="20"/>
          <w:szCs w:val="20"/>
        </w:rPr>
        <w:t xml:space="preserve"> </w:t>
      </w:r>
      <w:r w:rsidRPr="00CA7FF6">
        <w:rPr>
          <w:sz w:val="20"/>
          <w:szCs w:val="20"/>
        </w:rPr>
        <w:t>Long-term</w:t>
      </w:r>
      <w:r w:rsidR="00943136" w:rsidRPr="00CA7FF6">
        <w:rPr>
          <w:sz w:val="20"/>
          <w:szCs w:val="20"/>
        </w:rPr>
        <w:t xml:space="preserve"> </w:t>
      </w:r>
      <w:r w:rsidRPr="00CA7FF6">
        <w:rPr>
          <w:sz w:val="20"/>
          <w:szCs w:val="20"/>
        </w:rPr>
        <w:t>results</w:t>
      </w:r>
      <w:r w:rsidR="00943136" w:rsidRPr="00CA7FF6">
        <w:rPr>
          <w:sz w:val="20"/>
          <w:szCs w:val="20"/>
        </w:rPr>
        <w:t xml:space="preserve"> </w:t>
      </w:r>
      <w:r w:rsidRPr="00CA7FF6">
        <w:rPr>
          <w:sz w:val="20"/>
          <w:szCs w:val="20"/>
        </w:rPr>
        <w:t>of</w:t>
      </w:r>
      <w:r w:rsidR="00943136" w:rsidRPr="00CA7FF6">
        <w:rPr>
          <w:sz w:val="20"/>
          <w:szCs w:val="20"/>
        </w:rPr>
        <w:t xml:space="preserve"> </w:t>
      </w:r>
      <w:r w:rsidRPr="00CA7FF6">
        <w:rPr>
          <w:sz w:val="20"/>
          <w:szCs w:val="20"/>
        </w:rPr>
        <w:t>hypofractionated</w:t>
      </w:r>
      <w:r w:rsidR="00943136" w:rsidRPr="00CA7FF6">
        <w:rPr>
          <w:sz w:val="20"/>
          <w:szCs w:val="20"/>
        </w:rPr>
        <w:t xml:space="preserve"> </w:t>
      </w:r>
      <w:r w:rsidRPr="00CA7FF6">
        <w:rPr>
          <w:sz w:val="20"/>
          <w:szCs w:val="20"/>
        </w:rPr>
        <w:t>radiation</w:t>
      </w:r>
      <w:r w:rsidR="00943136" w:rsidRPr="00CA7FF6">
        <w:rPr>
          <w:sz w:val="20"/>
          <w:szCs w:val="20"/>
        </w:rPr>
        <w:t xml:space="preserve"> </w:t>
      </w:r>
      <w:r w:rsidRPr="00CA7FF6">
        <w:rPr>
          <w:sz w:val="20"/>
          <w:szCs w:val="20"/>
        </w:rPr>
        <w:t>therapy</w:t>
      </w:r>
      <w:r w:rsidR="00943136" w:rsidRPr="00CA7FF6">
        <w:rPr>
          <w:sz w:val="20"/>
          <w:szCs w:val="20"/>
        </w:rPr>
        <w:t xml:space="preserve"> </w:t>
      </w:r>
      <w:r w:rsidRPr="00CA7FF6">
        <w:rPr>
          <w:sz w:val="20"/>
          <w:szCs w:val="20"/>
        </w:rPr>
        <w:t>for</w:t>
      </w:r>
      <w:r w:rsidR="00943136" w:rsidRPr="00CA7FF6">
        <w:rPr>
          <w:sz w:val="20"/>
          <w:szCs w:val="20"/>
        </w:rPr>
        <w:t xml:space="preserve"> </w:t>
      </w:r>
      <w:r w:rsidRPr="00CA7FF6">
        <w:rPr>
          <w:sz w:val="20"/>
          <w:szCs w:val="20"/>
        </w:rPr>
        <w:t>breast</w:t>
      </w:r>
      <w:r w:rsidR="00943136" w:rsidRPr="00CA7FF6">
        <w:rPr>
          <w:sz w:val="20"/>
          <w:szCs w:val="20"/>
        </w:rPr>
        <w:t xml:space="preserve"> </w:t>
      </w:r>
      <w:r w:rsidRPr="00CA7FF6">
        <w:rPr>
          <w:sz w:val="20"/>
          <w:szCs w:val="20"/>
        </w:rPr>
        <w:t>cancer.</w:t>
      </w:r>
      <w:r w:rsidR="00943136" w:rsidRPr="00CA7FF6">
        <w:rPr>
          <w:sz w:val="20"/>
          <w:szCs w:val="20"/>
        </w:rPr>
        <w:t xml:space="preserve"> </w:t>
      </w:r>
      <w:r w:rsidRPr="00CA7FF6">
        <w:rPr>
          <w:sz w:val="20"/>
          <w:szCs w:val="20"/>
        </w:rPr>
        <w:t>N</w:t>
      </w:r>
      <w:r w:rsidR="00943136" w:rsidRPr="00CA7FF6">
        <w:rPr>
          <w:sz w:val="20"/>
          <w:szCs w:val="20"/>
        </w:rPr>
        <w:t xml:space="preserve"> </w:t>
      </w:r>
      <w:r w:rsidRPr="00CA7FF6">
        <w:rPr>
          <w:sz w:val="20"/>
          <w:szCs w:val="20"/>
        </w:rPr>
        <w:t>Engl</w:t>
      </w:r>
      <w:r w:rsidR="00943136" w:rsidRPr="00CA7FF6">
        <w:rPr>
          <w:sz w:val="20"/>
          <w:szCs w:val="20"/>
        </w:rPr>
        <w:t xml:space="preserve"> </w:t>
      </w:r>
      <w:r w:rsidRPr="00CA7FF6">
        <w:rPr>
          <w:sz w:val="20"/>
          <w:szCs w:val="20"/>
        </w:rPr>
        <w:t>J</w:t>
      </w:r>
      <w:r w:rsidR="00943136" w:rsidRPr="00CA7FF6">
        <w:rPr>
          <w:sz w:val="20"/>
          <w:szCs w:val="20"/>
        </w:rPr>
        <w:t xml:space="preserve"> </w:t>
      </w:r>
      <w:r w:rsidRPr="00CA7FF6">
        <w:rPr>
          <w:sz w:val="20"/>
          <w:szCs w:val="20"/>
        </w:rPr>
        <w:t>Med</w:t>
      </w:r>
      <w:r w:rsidR="00943136" w:rsidRPr="00CA7FF6">
        <w:rPr>
          <w:sz w:val="20"/>
          <w:szCs w:val="20"/>
        </w:rPr>
        <w:t xml:space="preserve"> </w:t>
      </w:r>
      <w:r w:rsidRPr="00CA7FF6">
        <w:rPr>
          <w:sz w:val="20"/>
          <w:szCs w:val="20"/>
        </w:rPr>
        <w:t>[Intern</w:t>
      </w:r>
      <w:r w:rsidR="00F874BC" w:rsidRPr="00CA7FF6">
        <w:rPr>
          <w:sz w:val="20"/>
          <w:szCs w:val="20"/>
        </w:rPr>
        <w:t>et].</w:t>
      </w:r>
      <w:r w:rsidR="00943136" w:rsidRPr="00CA7FF6">
        <w:rPr>
          <w:sz w:val="20"/>
          <w:szCs w:val="20"/>
        </w:rPr>
        <w:t xml:space="preserve"> </w:t>
      </w:r>
      <w:r w:rsidR="00F874BC" w:rsidRPr="00CA7FF6">
        <w:rPr>
          <w:sz w:val="20"/>
          <w:szCs w:val="20"/>
        </w:rPr>
        <w:t>2010</w:t>
      </w:r>
      <w:r w:rsidR="00943136" w:rsidRPr="00CA7FF6">
        <w:rPr>
          <w:sz w:val="20"/>
          <w:szCs w:val="20"/>
        </w:rPr>
        <w:t xml:space="preserve"> </w:t>
      </w:r>
      <w:r w:rsidR="00F874BC" w:rsidRPr="00CA7FF6">
        <w:rPr>
          <w:sz w:val="20"/>
          <w:szCs w:val="20"/>
        </w:rPr>
        <w:t>Feb</w:t>
      </w:r>
      <w:r w:rsidR="00943136" w:rsidRPr="00CA7FF6">
        <w:rPr>
          <w:sz w:val="20"/>
          <w:szCs w:val="20"/>
        </w:rPr>
        <w:t xml:space="preserve"> </w:t>
      </w:r>
      <w:r w:rsidR="00F874BC" w:rsidRPr="00CA7FF6">
        <w:rPr>
          <w:sz w:val="20"/>
          <w:szCs w:val="20"/>
        </w:rPr>
        <w:t>11;362(6):513–20.</w:t>
      </w:r>
    </w:p>
    <w:p w:rsidR="00CA7FF6" w:rsidRDefault="00CA7FF6" w:rsidP="00CA7FF6">
      <w:pPr>
        <w:widowControl w:val="0"/>
        <w:snapToGrid w:val="0"/>
        <w:ind w:left="425" w:hanging="425"/>
        <w:jc w:val="both"/>
        <w:rPr>
          <w:sz w:val="20"/>
          <w:szCs w:val="20"/>
        </w:rPr>
        <w:sectPr w:rsidR="00CA7FF6" w:rsidSect="00062066">
          <w:type w:val="continuous"/>
          <w:pgSz w:w="12240" w:h="15840" w:code="1"/>
          <w:pgMar w:top="1440" w:right="1440" w:bottom="1440" w:left="1440" w:header="720" w:footer="720" w:gutter="0"/>
          <w:cols w:num="2" w:space="600"/>
          <w:docGrid w:linePitch="326"/>
        </w:sectPr>
      </w:pPr>
    </w:p>
    <w:p w:rsidR="00943136" w:rsidRPr="00943136" w:rsidRDefault="00943136" w:rsidP="00CA7FF6">
      <w:pPr>
        <w:widowControl w:val="0"/>
        <w:snapToGrid w:val="0"/>
        <w:ind w:left="425" w:hanging="425"/>
        <w:jc w:val="both"/>
        <w:rPr>
          <w:sz w:val="20"/>
          <w:szCs w:val="20"/>
        </w:rPr>
      </w:pPr>
    </w:p>
    <w:p w:rsidR="004B3F67" w:rsidRDefault="00CA7FF6" w:rsidP="00CA7FF6">
      <w:pPr>
        <w:snapToGrid w:val="0"/>
        <w:ind w:left="425" w:hanging="425"/>
        <w:jc w:val="both"/>
        <w:rPr>
          <w:color w:val="000000"/>
          <w:sz w:val="20"/>
          <w:szCs w:val="20"/>
          <w:lang w:eastAsia="zh-CN"/>
        </w:rPr>
      </w:pPr>
      <w:r>
        <w:rPr>
          <w:rFonts w:hint="eastAsia"/>
          <w:color w:val="000000"/>
          <w:sz w:val="20"/>
          <w:szCs w:val="20"/>
          <w:lang w:eastAsia="zh-CN"/>
        </w:rPr>
        <w:t xml:space="preserve"> </w:t>
      </w:r>
    </w:p>
    <w:p w:rsidR="00CA7FF6" w:rsidRPr="00943136" w:rsidRDefault="00CA7FF6" w:rsidP="00CA7FF6">
      <w:pPr>
        <w:snapToGrid w:val="0"/>
        <w:ind w:left="425" w:hanging="425"/>
        <w:jc w:val="both"/>
        <w:rPr>
          <w:color w:val="000000"/>
          <w:sz w:val="20"/>
          <w:szCs w:val="20"/>
          <w:lang w:eastAsia="zh-CN"/>
        </w:rPr>
      </w:pPr>
    </w:p>
    <w:p w:rsidR="00943136" w:rsidRPr="00943136" w:rsidRDefault="009A22B1" w:rsidP="00CA7FF6">
      <w:pPr>
        <w:snapToGrid w:val="0"/>
        <w:jc w:val="both"/>
        <w:rPr>
          <w:color w:val="000000"/>
          <w:sz w:val="20"/>
          <w:szCs w:val="20"/>
        </w:rPr>
      </w:pPr>
      <w:r w:rsidRPr="00943136">
        <w:rPr>
          <w:rFonts w:hint="eastAsia"/>
          <w:color w:val="000000"/>
          <w:sz w:val="20"/>
          <w:szCs w:val="20"/>
          <w:lang w:eastAsia="zh-CN"/>
        </w:rPr>
        <w:t>1</w:t>
      </w:r>
      <w:r w:rsidRPr="00943136">
        <w:rPr>
          <w:color w:val="000000"/>
          <w:sz w:val="20"/>
          <w:szCs w:val="20"/>
        </w:rPr>
        <w:t>/</w:t>
      </w:r>
      <w:r w:rsidRPr="00943136">
        <w:rPr>
          <w:rFonts w:hint="eastAsia"/>
          <w:color w:val="000000"/>
          <w:sz w:val="20"/>
          <w:szCs w:val="20"/>
          <w:lang w:eastAsia="zh-CN"/>
        </w:rPr>
        <w:t>25</w:t>
      </w:r>
      <w:r w:rsidRPr="00943136">
        <w:rPr>
          <w:color w:val="000000"/>
          <w:sz w:val="20"/>
          <w:szCs w:val="20"/>
        </w:rPr>
        <w:t>/2019</w:t>
      </w:r>
    </w:p>
    <w:sectPr w:rsidR="00943136" w:rsidRPr="00943136" w:rsidSect="00062066">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7C" w:rsidRDefault="0034557C" w:rsidP="004B3F67">
      <w:r>
        <w:separator/>
      </w:r>
    </w:p>
  </w:endnote>
  <w:endnote w:type="continuationSeparator" w:id="0">
    <w:p w:rsidR="0034557C" w:rsidRDefault="0034557C" w:rsidP="004B3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7" w:rsidRDefault="00E4333C">
    <w:pPr>
      <w:pBdr>
        <w:top w:val="nil"/>
        <w:left w:val="nil"/>
        <w:bottom w:val="nil"/>
        <w:right w:val="nil"/>
        <w:between w:val="nil"/>
      </w:pBdr>
      <w:tabs>
        <w:tab w:val="center" w:pos="4680"/>
        <w:tab w:val="right" w:pos="9360"/>
      </w:tabs>
      <w:jc w:val="right"/>
      <w:rPr>
        <w:color w:val="000000"/>
      </w:rPr>
    </w:pPr>
    <w:r>
      <w:rPr>
        <w:color w:val="000000"/>
      </w:rPr>
      <w:fldChar w:fldCharType="begin"/>
    </w:r>
    <w:r w:rsidR="00E26E04">
      <w:rPr>
        <w:color w:val="000000"/>
      </w:rPr>
      <w:instrText>PAGE</w:instrText>
    </w:r>
    <w:r>
      <w:rPr>
        <w:color w:val="000000"/>
      </w:rPr>
      <w:fldChar w:fldCharType="end"/>
    </w:r>
  </w:p>
  <w:p w:rsidR="004B3F67" w:rsidRDefault="004B3F67">
    <w:pPr>
      <w:pBdr>
        <w:top w:val="nil"/>
        <w:left w:val="nil"/>
        <w:bottom w:val="nil"/>
        <w:right w:val="nil"/>
        <w:between w:val="nil"/>
      </w:pBdr>
      <w:tabs>
        <w:tab w:val="center" w:pos="4680"/>
        <w:tab w:val="right" w:pos="936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7" w:rsidRPr="00062066" w:rsidRDefault="00E4333C" w:rsidP="00062066">
    <w:pPr>
      <w:jc w:val="center"/>
      <w:rPr>
        <w:sz w:val="20"/>
      </w:rPr>
    </w:pPr>
    <w:r w:rsidRPr="00062066">
      <w:rPr>
        <w:sz w:val="20"/>
      </w:rPr>
      <w:fldChar w:fldCharType="begin"/>
    </w:r>
    <w:r w:rsidR="00062066" w:rsidRPr="00062066">
      <w:rPr>
        <w:sz w:val="20"/>
      </w:rPr>
      <w:instrText xml:space="preserve"> page </w:instrText>
    </w:r>
    <w:r w:rsidRPr="00062066">
      <w:rPr>
        <w:sz w:val="20"/>
      </w:rPr>
      <w:fldChar w:fldCharType="separate"/>
    </w:r>
    <w:r w:rsidR="009B2629">
      <w:rPr>
        <w:noProof/>
        <w:sz w:val="20"/>
      </w:rPr>
      <w:t>42</w:t>
    </w:r>
    <w:r w:rsidRPr="0006206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7C" w:rsidRDefault="0034557C" w:rsidP="004B3F67">
      <w:r>
        <w:separator/>
      </w:r>
    </w:p>
  </w:footnote>
  <w:footnote w:type="continuationSeparator" w:id="0">
    <w:p w:rsidR="0034557C" w:rsidRDefault="0034557C" w:rsidP="004B3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66" w:rsidRPr="00062066" w:rsidRDefault="00062066" w:rsidP="00062066">
    <w:pPr>
      <w:pBdr>
        <w:bottom w:val="thinThickMediumGap" w:sz="12" w:space="1" w:color="auto"/>
      </w:pBdr>
      <w:tabs>
        <w:tab w:val="left" w:pos="851"/>
        <w:tab w:val="right" w:pos="8364"/>
      </w:tabs>
      <w:adjustRightInd w:val="0"/>
      <w:snapToGrid w:val="0"/>
      <w:jc w:val="both"/>
      <w:rPr>
        <w:iCs/>
        <w:color w:val="0000FF"/>
        <w:sz w:val="20"/>
      </w:rPr>
    </w:pPr>
    <w:r w:rsidRPr="00062066">
      <w:rPr>
        <w:rFonts w:hint="eastAsia"/>
        <w:iCs/>
        <w:color w:val="000000"/>
        <w:sz w:val="20"/>
      </w:rPr>
      <w:tab/>
    </w:r>
    <w:r w:rsidRPr="00062066">
      <w:rPr>
        <w:iCs/>
        <w:color w:val="000000"/>
        <w:sz w:val="20"/>
      </w:rPr>
      <w:t xml:space="preserve">Cancer Biology </w:t>
    </w:r>
    <w:r w:rsidRPr="00062066">
      <w:rPr>
        <w:iCs/>
        <w:sz w:val="20"/>
      </w:rPr>
      <w:t>201</w:t>
    </w:r>
    <w:r w:rsidRPr="00062066">
      <w:rPr>
        <w:rFonts w:hint="eastAsia"/>
        <w:iCs/>
        <w:sz w:val="20"/>
      </w:rPr>
      <w:t>9</w:t>
    </w:r>
    <w:r w:rsidRPr="00062066">
      <w:rPr>
        <w:iCs/>
        <w:sz w:val="20"/>
      </w:rPr>
      <w:t>;</w:t>
    </w:r>
    <w:r w:rsidRPr="00062066">
      <w:rPr>
        <w:rFonts w:hint="eastAsia"/>
        <w:iCs/>
        <w:sz w:val="20"/>
      </w:rPr>
      <w:t>9</w:t>
    </w:r>
    <w:r w:rsidRPr="00062066">
      <w:rPr>
        <w:iCs/>
        <w:sz w:val="20"/>
      </w:rPr>
      <w:t>(</w:t>
    </w:r>
    <w:r w:rsidRPr="00062066">
      <w:rPr>
        <w:rFonts w:hint="eastAsia"/>
        <w:iCs/>
        <w:sz w:val="20"/>
      </w:rPr>
      <w:t>1</w:t>
    </w:r>
    <w:r w:rsidRPr="00062066">
      <w:rPr>
        <w:iCs/>
        <w:sz w:val="20"/>
      </w:rPr>
      <w:t xml:space="preserve">)  </w:t>
    </w:r>
    <w:r w:rsidRPr="00062066">
      <w:rPr>
        <w:rFonts w:hint="eastAsia"/>
        <w:iCs/>
        <w:sz w:val="20"/>
      </w:rPr>
      <w:t xml:space="preserve">   </w:t>
    </w:r>
    <w:r w:rsidRPr="00062066">
      <w:rPr>
        <w:rFonts w:hint="eastAsia"/>
        <w:iCs/>
        <w:sz w:val="20"/>
      </w:rPr>
      <w:tab/>
      <w:t xml:space="preserve">     </w:t>
    </w:r>
    <w:r w:rsidRPr="00062066">
      <w:rPr>
        <w:iCs/>
        <w:sz w:val="20"/>
      </w:rPr>
      <w:t xml:space="preserve"> </w:t>
    </w:r>
    <w:r w:rsidRPr="00062066">
      <w:rPr>
        <w:sz w:val="20"/>
      </w:rPr>
      <w:t xml:space="preserve">  </w:t>
    </w:r>
    <w:hyperlink r:id="rId1" w:history="1">
      <w:r w:rsidRPr="00062066">
        <w:rPr>
          <w:rStyle w:val="Hyperlink"/>
          <w:sz w:val="20"/>
        </w:rPr>
        <w:t>http://www.cancerbio.net</w:t>
      </w:r>
    </w:hyperlink>
  </w:p>
  <w:p w:rsidR="00062066" w:rsidRPr="00062066" w:rsidRDefault="00062066" w:rsidP="0006206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47AF8"/>
    <w:multiLevelType w:val="hybridMultilevel"/>
    <w:tmpl w:val="5484E4B8"/>
    <w:lvl w:ilvl="0" w:tplc="49A4B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D046DB"/>
    <w:multiLevelType w:val="hybridMultilevel"/>
    <w:tmpl w:val="058655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4B3F67"/>
    <w:rsid w:val="00062066"/>
    <w:rsid w:val="000B0341"/>
    <w:rsid w:val="000B091D"/>
    <w:rsid w:val="00131C87"/>
    <w:rsid w:val="00160B75"/>
    <w:rsid w:val="001E535B"/>
    <w:rsid w:val="0034557C"/>
    <w:rsid w:val="003B5395"/>
    <w:rsid w:val="00441812"/>
    <w:rsid w:val="004A6884"/>
    <w:rsid w:val="004B3F67"/>
    <w:rsid w:val="004D0BA4"/>
    <w:rsid w:val="00506761"/>
    <w:rsid w:val="0051708F"/>
    <w:rsid w:val="00593F54"/>
    <w:rsid w:val="006372D5"/>
    <w:rsid w:val="006E167F"/>
    <w:rsid w:val="006E29EB"/>
    <w:rsid w:val="00732435"/>
    <w:rsid w:val="00794832"/>
    <w:rsid w:val="00833E3D"/>
    <w:rsid w:val="00926E53"/>
    <w:rsid w:val="009319C4"/>
    <w:rsid w:val="00943136"/>
    <w:rsid w:val="00951AA3"/>
    <w:rsid w:val="009A22B1"/>
    <w:rsid w:val="009B2629"/>
    <w:rsid w:val="009F567E"/>
    <w:rsid w:val="00A77DEE"/>
    <w:rsid w:val="00A91108"/>
    <w:rsid w:val="00AC6CF1"/>
    <w:rsid w:val="00B34C49"/>
    <w:rsid w:val="00B37BF1"/>
    <w:rsid w:val="00B62910"/>
    <w:rsid w:val="00C54D55"/>
    <w:rsid w:val="00C837F9"/>
    <w:rsid w:val="00CA7FF6"/>
    <w:rsid w:val="00D557A2"/>
    <w:rsid w:val="00D71390"/>
    <w:rsid w:val="00DB0BF3"/>
    <w:rsid w:val="00E10BEC"/>
    <w:rsid w:val="00E26E04"/>
    <w:rsid w:val="00E4333C"/>
    <w:rsid w:val="00E935D2"/>
    <w:rsid w:val="00EF543E"/>
    <w:rsid w:val="00F64BE6"/>
    <w:rsid w:val="00F8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E5"/>
  </w:style>
  <w:style w:type="paragraph" w:styleId="Heading1">
    <w:name w:val="heading 1"/>
    <w:basedOn w:val="Normal"/>
    <w:next w:val="Normal"/>
    <w:link w:val="Heading1Char"/>
    <w:qFormat/>
    <w:rsid w:val="00DF38D1"/>
    <w:pPr>
      <w:keepNext/>
      <w:spacing w:before="240" w:after="60"/>
      <w:outlineLvl w:val="0"/>
    </w:pPr>
    <w:rPr>
      <w:rFonts w:ascii="Arial" w:hAnsi="Arial" w:cs="Arial"/>
      <w:b/>
      <w:bCs/>
      <w:kern w:val="32"/>
      <w:sz w:val="32"/>
      <w:szCs w:val="32"/>
    </w:rPr>
  </w:style>
  <w:style w:type="paragraph" w:styleId="Heading2">
    <w:name w:val="heading 2"/>
    <w:basedOn w:val="Normal1"/>
    <w:next w:val="Normal1"/>
    <w:rsid w:val="004B3F67"/>
    <w:pPr>
      <w:keepNext/>
      <w:keepLines/>
      <w:spacing w:before="360" w:after="80"/>
      <w:outlineLvl w:val="1"/>
    </w:pPr>
    <w:rPr>
      <w:b/>
      <w:sz w:val="36"/>
      <w:szCs w:val="36"/>
    </w:rPr>
  </w:style>
  <w:style w:type="paragraph" w:styleId="Heading3">
    <w:name w:val="heading 3"/>
    <w:basedOn w:val="Normal1"/>
    <w:next w:val="Normal1"/>
    <w:rsid w:val="004B3F67"/>
    <w:pPr>
      <w:keepNext/>
      <w:keepLines/>
      <w:spacing w:before="280" w:after="80"/>
      <w:outlineLvl w:val="2"/>
    </w:pPr>
    <w:rPr>
      <w:b/>
      <w:sz w:val="28"/>
      <w:szCs w:val="28"/>
    </w:rPr>
  </w:style>
  <w:style w:type="paragraph" w:styleId="Heading4">
    <w:name w:val="heading 4"/>
    <w:basedOn w:val="Normal1"/>
    <w:next w:val="Normal1"/>
    <w:rsid w:val="004B3F67"/>
    <w:pPr>
      <w:keepNext/>
      <w:keepLines/>
      <w:spacing w:before="240" w:after="40"/>
      <w:outlineLvl w:val="3"/>
    </w:pPr>
    <w:rPr>
      <w:b/>
    </w:rPr>
  </w:style>
  <w:style w:type="paragraph" w:styleId="Heading5">
    <w:name w:val="heading 5"/>
    <w:basedOn w:val="Normal1"/>
    <w:next w:val="Normal1"/>
    <w:rsid w:val="004B3F67"/>
    <w:pPr>
      <w:keepNext/>
      <w:keepLines/>
      <w:spacing w:before="220" w:after="40"/>
      <w:outlineLvl w:val="4"/>
    </w:pPr>
    <w:rPr>
      <w:b/>
      <w:sz w:val="22"/>
      <w:szCs w:val="22"/>
    </w:rPr>
  </w:style>
  <w:style w:type="paragraph" w:styleId="Heading6">
    <w:name w:val="heading 6"/>
    <w:basedOn w:val="Normal1"/>
    <w:next w:val="Normal1"/>
    <w:rsid w:val="004B3F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3F67"/>
  </w:style>
  <w:style w:type="paragraph" w:styleId="Title">
    <w:name w:val="Title"/>
    <w:basedOn w:val="Normal1"/>
    <w:next w:val="Normal1"/>
    <w:rsid w:val="004B3F67"/>
    <w:pPr>
      <w:keepNext/>
      <w:keepLines/>
      <w:spacing w:before="480" w:after="120"/>
    </w:pPr>
    <w:rPr>
      <w:b/>
      <w:sz w:val="72"/>
      <w:szCs w:val="72"/>
    </w:rPr>
  </w:style>
  <w:style w:type="character" w:customStyle="1" w:styleId="Heading1Char">
    <w:name w:val="Heading 1 Char"/>
    <w:basedOn w:val="DefaultParagraphFont"/>
    <w:link w:val="Heading1"/>
    <w:rsid w:val="00DF38D1"/>
    <w:rPr>
      <w:rFonts w:ascii="Arial" w:eastAsia="MS Mincho" w:hAnsi="Arial" w:cs="Arial"/>
      <w:b/>
      <w:bCs/>
      <w:kern w:val="32"/>
      <w:sz w:val="32"/>
      <w:szCs w:val="32"/>
      <w:lang w:eastAsia="ja-JP"/>
    </w:rPr>
  </w:style>
  <w:style w:type="character" w:styleId="Hyperlink">
    <w:name w:val="Hyperlink"/>
    <w:uiPriority w:val="99"/>
    <w:rsid w:val="00DF38D1"/>
    <w:rPr>
      <w:color w:val="0000FF"/>
      <w:u w:val="single"/>
    </w:rPr>
  </w:style>
  <w:style w:type="character" w:styleId="Emphasis">
    <w:name w:val="Emphasis"/>
    <w:qFormat/>
    <w:rsid w:val="00DF38D1"/>
    <w:rPr>
      <w:i/>
      <w:iCs/>
    </w:rPr>
  </w:style>
  <w:style w:type="paragraph" w:styleId="ListParagraph">
    <w:name w:val="List Paragraph"/>
    <w:basedOn w:val="Normal"/>
    <w:uiPriority w:val="34"/>
    <w:qFormat/>
    <w:rsid w:val="00A12490"/>
    <w:pPr>
      <w:ind w:left="720"/>
      <w:contextualSpacing/>
    </w:pPr>
  </w:style>
  <w:style w:type="character" w:customStyle="1" w:styleId="highlight2">
    <w:name w:val="highlight2"/>
    <w:basedOn w:val="DefaultParagraphFont"/>
    <w:rsid w:val="00913228"/>
  </w:style>
  <w:style w:type="paragraph" w:styleId="BalloonText">
    <w:name w:val="Balloon Text"/>
    <w:basedOn w:val="Normal"/>
    <w:link w:val="BalloonTextChar"/>
    <w:uiPriority w:val="99"/>
    <w:semiHidden/>
    <w:unhideWhenUsed/>
    <w:rsid w:val="007A7C63"/>
    <w:rPr>
      <w:rFonts w:ascii="Tahoma" w:hAnsi="Tahoma" w:cs="Tahoma"/>
      <w:sz w:val="16"/>
      <w:szCs w:val="16"/>
    </w:rPr>
  </w:style>
  <w:style w:type="character" w:customStyle="1" w:styleId="BalloonTextChar">
    <w:name w:val="Balloon Text Char"/>
    <w:basedOn w:val="DefaultParagraphFont"/>
    <w:link w:val="BalloonText"/>
    <w:uiPriority w:val="99"/>
    <w:semiHidden/>
    <w:rsid w:val="007A7C63"/>
    <w:rPr>
      <w:rFonts w:ascii="Tahoma" w:eastAsia="MS Mincho" w:hAnsi="Tahoma" w:cs="Tahoma"/>
      <w:sz w:val="16"/>
      <w:szCs w:val="16"/>
      <w:lang w:eastAsia="ja-JP"/>
    </w:rPr>
  </w:style>
  <w:style w:type="table" w:styleId="TableGrid">
    <w:name w:val="Table Grid"/>
    <w:basedOn w:val="TableNormal"/>
    <w:uiPriority w:val="59"/>
    <w:rsid w:val="00193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EE7A0D"/>
  </w:style>
  <w:style w:type="paragraph" w:styleId="NormalWeb">
    <w:name w:val="Normal (Web)"/>
    <w:basedOn w:val="Normal"/>
    <w:uiPriority w:val="99"/>
    <w:unhideWhenUsed/>
    <w:rsid w:val="007071B4"/>
    <w:pPr>
      <w:spacing w:before="100" w:beforeAutospacing="1" w:after="100" w:afterAutospacing="1"/>
    </w:pPr>
  </w:style>
  <w:style w:type="paragraph" w:customStyle="1" w:styleId="details">
    <w:name w:val="details"/>
    <w:basedOn w:val="Normal"/>
    <w:rsid w:val="00B5795B"/>
    <w:pPr>
      <w:spacing w:before="100" w:beforeAutospacing="1" w:after="100" w:afterAutospacing="1"/>
    </w:pPr>
  </w:style>
  <w:style w:type="character" w:customStyle="1" w:styleId="jrnl">
    <w:name w:val="jrnl"/>
    <w:basedOn w:val="DefaultParagraphFont"/>
    <w:rsid w:val="00B5795B"/>
  </w:style>
  <w:style w:type="table" w:customStyle="1" w:styleId="PlainTable51">
    <w:name w:val="Plain Table 51"/>
    <w:basedOn w:val="TableNormal"/>
    <w:uiPriority w:val="45"/>
    <w:rsid w:val="009030B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9030B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8C211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8C2111"/>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2543F"/>
    <w:pPr>
      <w:tabs>
        <w:tab w:val="center" w:pos="4680"/>
        <w:tab w:val="right" w:pos="9360"/>
      </w:tabs>
    </w:pPr>
  </w:style>
  <w:style w:type="character" w:customStyle="1" w:styleId="HeaderChar">
    <w:name w:val="Header Char"/>
    <w:basedOn w:val="DefaultParagraphFont"/>
    <w:link w:val="Header"/>
    <w:uiPriority w:val="99"/>
    <w:rsid w:val="00F2543F"/>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F2543F"/>
    <w:pPr>
      <w:tabs>
        <w:tab w:val="center" w:pos="4680"/>
        <w:tab w:val="right" w:pos="9360"/>
      </w:tabs>
    </w:pPr>
  </w:style>
  <w:style w:type="character" w:customStyle="1" w:styleId="FooterChar">
    <w:name w:val="Footer Char"/>
    <w:basedOn w:val="DefaultParagraphFont"/>
    <w:link w:val="Footer"/>
    <w:uiPriority w:val="99"/>
    <w:rsid w:val="00F2543F"/>
    <w:rPr>
      <w:rFonts w:ascii="Times New Roman" w:eastAsia="MS Mincho" w:hAnsi="Times New Roman" w:cs="Times New Roman"/>
      <w:sz w:val="24"/>
      <w:szCs w:val="24"/>
      <w:lang w:eastAsia="ja-JP"/>
    </w:rPr>
  </w:style>
  <w:style w:type="character" w:styleId="FollowedHyperlink">
    <w:name w:val="FollowedHyperlink"/>
    <w:basedOn w:val="DefaultParagraphFont"/>
    <w:uiPriority w:val="99"/>
    <w:semiHidden/>
    <w:unhideWhenUsed/>
    <w:rsid w:val="000125E5"/>
    <w:rPr>
      <w:color w:val="800080" w:themeColor="followedHyperlink"/>
      <w:u w:val="single"/>
    </w:rPr>
  </w:style>
  <w:style w:type="character" w:customStyle="1" w:styleId="rpc41">
    <w:name w:val="_rpc_41"/>
    <w:basedOn w:val="DefaultParagraphFont"/>
    <w:rsid w:val="000125E5"/>
  </w:style>
  <w:style w:type="character" w:customStyle="1" w:styleId="UnresolvedMention1">
    <w:name w:val="Unresolved Mention1"/>
    <w:basedOn w:val="DefaultParagraphFont"/>
    <w:uiPriority w:val="99"/>
    <w:semiHidden/>
    <w:unhideWhenUsed/>
    <w:rsid w:val="000125E5"/>
    <w:rPr>
      <w:color w:val="605E5C"/>
      <w:shd w:val="clear" w:color="auto" w:fill="E1DFDD"/>
    </w:rPr>
  </w:style>
  <w:style w:type="table" w:customStyle="1" w:styleId="PlainTable41">
    <w:name w:val="Plain Table 41"/>
    <w:basedOn w:val="TableNormal"/>
    <w:uiPriority w:val="44"/>
    <w:rsid w:val="00117D8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2D0ABB"/>
    <w:pPr>
      <w:spacing w:after="200"/>
    </w:pPr>
    <w:rPr>
      <w:i/>
      <w:iCs/>
      <w:color w:val="1F497D" w:themeColor="text2"/>
      <w:sz w:val="18"/>
      <w:szCs w:val="18"/>
    </w:rPr>
  </w:style>
  <w:style w:type="character" w:styleId="PageNumber">
    <w:name w:val="page number"/>
    <w:basedOn w:val="DefaultParagraphFont"/>
    <w:uiPriority w:val="99"/>
    <w:semiHidden/>
    <w:unhideWhenUsed/>
    <w:rsid w:val="00174287"/>
  </w:style>
  <w:style w:type="character" w:customStyle="1" w:styleId="UnresolvedMention">
    <w:name w:val="Unresolved Mention"/>
    <w:basedOn w:val="DefaultParagraphFont"/>
    <w:uiPriority w:val="99"/>
    <w:semiHidden/>
    <w:unhideWhenUsed/>
    <w:rsid w:val="004579FB"/>
    <w:rPr>
      <w:color w:val="605E5C"/>
      <w:shd w:val="clear" w:color="auto" w:fill="E1DFDD"/>
    </w:rPr>
  </w:style>
  <w:style w:type="table" w:customStyle="1" w:styleId="PlainTable1">
    <w:name w:val="Plain Table 1"/>
    <w:basedOn w:val="TableNormal"/>
    <w:uiPriority w:val="41"/>
    <w:rsid w:val="003D7BA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rsid w:val="004B3F67"/>
    <w:pPr>
      <w:keepNext/>
      <w:keepLines/>
      <w:spacing w:before="360" w:after="80"/>
    </w:pPr>
    <w:rPr>
      <w:rFonts w:ascii="Georgia" w:eastAsia="Georgia" w:hAnsi="Georgia" w:cs="Georgia"/>
      <w:i/>
      <w:color w:val="666666"/>
      <w:sz w:val="48"/>
      <w:szCs w:val="48"/>
    </w:rPr>
  </w:style>
  <w:style w:type="table" w:customStyle="1" w:styleId="a">
    <w:basedOn w:val="TableNormal"/>
    <w:rsid w:val="004B3F67"/>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4B3F67"/>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rsid w:val="004B3F67"/>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rsid w:val="004B3F67"/>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NoSpacing">
    <w:name w:val="No Spacing"/>
    <w:basedOn w:val="Normal"/>
    <w:link w:val="NoSpacingChar"/>
    <w:qFormat/>
    <w:rsid w:val="00CA7FF6"/>
    <w:pPr>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CA7FF6"/>
    <w:rPr>
      <w:rFonts w:eastAsia="宋体"/>
      <w:lang w:eastAsia="zh-CN"/>
    </w:rPr>
  </w:style>
  <w:style w:type="character" w:customStyle="1" w:styleId="msonormal0">
    <w:name w:val="msonormal0"/>
    <w:basedOn w:val="DefaultParagraphFont"/>
    <w:rsid w:val="00CA7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E5"/>
  </w:style>
  <w:style w:type="paragraph" w:styleId="Heading1">
    <w:name w:val="heading 1"/>
    <w:basedOn w:val="Normal"/>
    <w:next w:val="Normal"/>
    <w:link w:val="Heading1Char"/>
    <w:qFormat/>
    <w:rsid w:val="00DF38D1"/>
    <w:pPr>
      <w:keepNext/>
      <w:spacing w:before="240" w:after="60"/>
      <w:outlineLvl w:val="0"/>
    </w:pPr>
    <w:rPr>
      <w:rFonts w:ascii="Arial" w:hAnsi="Arial" w:cs="Arial"/>
      <w:b/>
      <w:bCs/>
      <w:kern w:val="32"/>
      <w:sz w:val="32"/>
      <w:szCs w:val="32"/>
    </w:rPr>
  </w:style>
  <w:style w:type="paragraph" w:styleId="Heading2">
    <w:name w:val="heading 2"/>
    <w:basedOn w:val="Normal1"/>
    <w:next w:val="Normal1"/>
    <w:rsid w:val="004B3F67"/>
    <w:pPr>
      <w:keepNext/>
      <w:keepLines/>
      <w:spacing w:before="360" w:after="80"/>
      <w:outlineLvl w:val="1"/>
    </w:pPr>
    <w:rPr>
      <w:b/>
      <w:sz w:val="36"/>
      <w:szCs w:val="36"/>
    </w:rPr>
  </w:style>
  <w:style w:type="paragraph" w:styleId="Heading3">
    <w:name w:val="heading 3"/>
    <w:basedOn w:val="Normal1"/>
    <w:next w:val="Normal1"/>
    <w:rsid w:val="004B3F67"/>
    <w:pPr>
      <w:keepNext/>
      <w:keepLines/>
      <w:spacing w:before="280" w:after="80"/>
      <w:outlineLvl w:val="2"/>
    </w:pPr>
    <w:rPr>
      <w:b/>
      <w:sz w:val="28"/>
      <w:szCs w:val="28"/>
    </w:rPr>
  </w:style>
  <w:style w:type="paragraph" w:styleId="Heading4">
    <w:name w:val="heading 4"/>
    <w:basedOn w:val="Normal1"/>
    <w:next w:val="Normal1"/>
    <w:rsid w:val="004B3F67"/>
    <w:pPr>
      <w:keepNext/>
      <w:keepLines/>
      <w:spacing w:before="240" w:after="40"/>
      <w:outlineLvl w:val="3"/>
    </w:pPr>
    <w:rPr>
      <w:b/>
    </w:rPr>
  </w:style>
  <w:style w:type="paragraph" w:styleId="Heading5">
    <w:name w:val="heading 5"/>
    <w:basedOn w:val="Normal1"/>
    <w:next w:val="Normal1"/>
    <w:rsid w:val="004B3F67"/>
    <w:pPr>
      <w:keepNext/>
      <w:keepLines/>
      <w:spacing w:before="220" w:after="40"/>
      <w:outlineLvl w:val="4"/>
    </w:pPr>
    <w:rPr>
      <w:b/>
      <w:sz w:val="22"/>
      <w:szCs w:val="22"/>
    </w:rPr>
  </w:style>
  <w:style w:type="paragraph" w:styleId="Heading6">
    <w:name w:val="heading 6"/>
    <w:basedOn w:val="Normal1"/>
    <w:next w:val="Normal1"/>
    <w:rsid w:val="004B3F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3F67"/>
  </w:style>
  <w:style w:type="paragraph" w:styleId="Title">
    <w:name w:val="Title"/>
    <w:basedOn w:val="Normal1"/>
    <w:next w:val="Normal1"/>
    <w:rsid w:val="004B3F67"/>
    <w:pPr>
      <w:keepNext/>
      <w:keepLines/>
      <w:spacing w:before="480" w:after="120"/>
    </w:pPr>
    <w:rPr>
      <w:b/>
      <w:sz w:val="72"/>
      <w:szCs w:val="72"/>
    </w:rPr>
  </w:style>
  <w:style w:type="character" w:customStyle="1" w:styleId="Heading1Char">
    <w:name w:val="Heading 1 Char"/>
    <w:basedOn w:val="DefaultParagraphFont"/>
    <w:link w:val="Heading1"/>
    <w:rsid w:val="00DF38D1"/>
    <w:rPr>
      <w:rFonts w:ascii="Arial" w:eastAsia="MS Mincho" w:hAnsi="Arial" w:cs="Arial"/>
      <w:b/>
      <w:bCs/>
      <w:kern w:val="32"/>
      <w:sz w:val="32"/>
      <w:szCs w:val="32"/>
      <w:lang w:eastAsia="ja-JP"/>
    </w:rPr>
  </w:style>
  <w:style w:type="character" w:styleId="Hyperlink">
    <w:name w:val="Hyperlink"/>
    <w:uiPriority w:val="99"/>
    <w:rsid w:val="00DF38D1"/>
    <w:rPr>
      <w:color w:val="0000FF"/>
      <w:u w:val="single"/>
    </w:rPr>
  </w:style>
  <w:style w:type="character" w:styleId="Emphasis">
    <w:name w:val="Emphasis"/>
    <w:qFormat/>
    <w:rsid w:val="00DF38D1"/>
    <w:rPr>
      <w:i/>
      <w:iCs/>
    </w:rPr>
  </w:style>
  <w:style w:type="paragraph" w:styleId="ListParagraph">
    <w:name w:val="List Paragraph"/>
    <w:basedOn w:val="Normal"/>
    <w:uiPriority w:val="34"/>
    <w:qFormat/>
    <w:rsid w:val="00A12490"/>
    <w:pPr>
      <w:ind w:left="720"/>
      <w:contextualSpacing/>
    </w:pPr>
  </w:style>
  <w:style w:type="character" w:customStyle="1" w:styleId="highlight2">
    <w:name w:val="highlight2"/>
    <w:basedOn w:val="DefaultParagraphFont"/>
    <w:rsid w:val="00913228"/>
  </w:style>
  <w:style w:type="paragraph" w:styleId="BalloonText">
    <w:name w:val="Balloon Text"/>
    <w:basedOn w:val="Normal"/>
    <w:link w:val="BalloonTextChar"/>
    <w:uiPriority w:val="99"/>
    <w:semiHidden/>
    <w:unhideWhenUsed/>
    <w:rsid w:val="007A7C63"/>
    <w:rPr>
      <w:rFonts w:ascii="Tahoma" w:hAnsi="Tahoma" w:cs="Tahoma"/>
      <w:sz w:val="16"/>
      <w:szCs w:val="16"/>
    </w:rPr>
  </w:style>
  <w:style w:type="character" w:customStyle="1" w:styleId="BalloonTextChar">
    <w:name w:val="Balloon Text Char"/>
    <w:basedOn w:val="DefaultParagraphFont"/>
    <w:link w:val="BalloonText"/>
    <w:uiPriority w:val="99"/>
    <w:semiHidden/>
    <w:rsid w:val="007A7C63"/>
    <w:rPr>
      <w:rFonts w:ascii="Tahoma" w:eastAsia="MS Mincho" w:hAnsi="Tahoma" w:cs="Tahoma"/>
      <w:sz w:val="16"/>
      <w:szCs w:val="16"/>
      <w:lang w:eastAsia="ja-JP"/>
    </w:rPr>
  </w:style>
  <w:style w:type="table" w:styleId="TableGrid">
    <w:name w:val="Table Grid"/>
    <w:basedOn w:val="TableNormal"/>
    <w:uiPriority w:val="59"/>
    <w:rsid w:val="00193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EE7A0D"/>
  </w:style>
  <w:style w:type="paragraph" w:styleId="NormalWeb">
    <w:name w:val="Normal (Web)"/>
    <w:basedOn w:val="Normal"/>
    <w:uiPriority w:val="99"/>
    <w:unhideWhenUsed/>
    <w:rsid w:val="007071B4"/>
    <w:pPr>
      <w:spacing w:before="100" w:beforeAutospacing="1" w:after="100" w:afterAutospacing="1"/>
    </w:pPr>
    <w:rPr>
      <w:rFonts w:eastAsiaTheme="minorEastAsia"/>
    </w:rPr>
  </w:style>
  <w:style w:type="paragraph" w:customStyle="1" w:styleId="details">
    <w:name w:val="details"/>
    <w:basedOn w:val="Normal"/>
    <w:rsid w:val="00B5795B"/>
    <w:pPr>
      <w:spacing w:before="100" w:beforeAutospacing="1" w:after="100" w:afterAutospacing="1"/>
    </w:pPr>
  </w:style>
  <w:style w:type="character" w:customStyle="1" w:styleId="jrnl">
    <w:name w:val="jrnl"/>
    <w:basedOn w:val="DefaultParagraphFont"/>
    <w:rsid w:val="00B5795B"/>
  </w:style>
  <w:style w:type="table" w:customStyle="1" w:styleId="PlainTable51">
    <w:name w:val="Plain Table 51"/>
    <w:basedOn w:val="TableNormal"/>
    <w:uiPriority w:val="45"/>
    <w:rsid w:val="009030B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9030B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8C211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8C2111"/>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2543F"/>
    <w:pPr>
      <w:tabs>
        <w:tab w:val="center" w:pos="4680"/>
        <w:tab w:val="right" w:pos="9360"/>
      </w:tabs>
    </w:pPr>
  </w:style>
  <w:style w:type="character" w:customStyle="1" w:styleId="HeaderChar">
    <w:name w:val="Header Char"/>
    <w:basedOn w:val="DefaultParagraphFont"/>
    <w:link w:val="Header"/>
    <w:uiPriority w:val="99"/>
    <w:rsid w:val="00F2543F"/>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F2543F"/>
    <w:pPr>
      <w:tabs>
        <w:tab w:val="center" w:pos="4680"/>
        <w:tab w:val="right" w:pos="9360"/>
      </w:tabs>
    </w:pPr>
  </w:style>
  <w:style w:type="character" w:customStyle="1" w:styleId="FooterChar">
    <w:name w:val="Footer Char"/>
    <w:basedOn w:val="DefaultParagraphFont"/>
    <w:link w:val="Footer"/>
    <w:uiPriority w:val="99"/>
    <w:rsid w:val="00F2543F"/>
    <w:rPr>
      <w:rFonts w:ascii="Times New Roman" w:eastAsia="MS Mincho" w:hAnsi="Times New Roman" w:cs="Times New Roman"/>
      <w:sz w:val="24"/>
      <w:szCs w:val="24"/>
      <w:lang w:eastAsia="ja-JP"/>
    </w:rPr>
  </w:style>
  <w:style w:type="character" w:styleId="FollowedHyperlink">
    <w:name w:val="FollowedHyperlink"/>
    <w:basedOn w:val="DefaultParagraphFont"/>
    <w:uiPriority w:val="99"/>
    <w:semiHidden/>
    <w:unhideWhenUsed/>
    <w:rsid w:val="000125E5"/>
    <w:rPr>
      <w:color w:val="800080" w:themeColor="followedHyperlink"/>
      <w:u w:val="single"/>
    </w:rPr>
  </w:style>
  <w:style w:type="character" w:customStyle="1" w:styleId="rpc41">
    <w:name w:val="_rpc_41"/>
    <w:basedOn w:val="DefaultParagraphFont"/>
    <w:rsid w:val="000125E5"/>
  </w:style>
  <w:style w:type="character" w:customStyle="1" w:styleId="UnresolvedMention1">
    <w:name w:val="Unresolved Mention1"/>
    <w:basedOn w:val="DefaultParagraphFont"/>
    <w:uiPriority w:val="99"/>
    <w:semiHidden/>
    <w:unhideWhenUsed/>
    <w:rsid w:val="000125E5"/>
    <w:rPr>
      <w:color w:val="605E5C"/>
      <w:shd w:val="clear" w:color="auto" w:fill="E1DFDD"/>
    </w:rPr>
  </w:style>
  <w:style w:type="table" w:customStyle="1" w:styleId="PlainTable41">
    <w:name w:val="Plain Table 41"/>
    <w:basedOn w:val="TableNormal"/>
    <w:uiPriority w:val="44"/>
    <w:rsid w:val="00117D8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2D0ABB"/>
    <w:pPr>
      <w:spacing w:after="200"/>
    </w:pPr>
    <w:rPr>
      <w:i/>
      <w:iCs/>
      <w:color w:val="1F497D" w:themeColor="text2"/>
      <w:sz w:val="18"/>
      <w:szCs w:val="18"/>
    </w:rPr>
  </w:style>
  <w:style w:type="character" w:styleId="PageNumber">
    <w:name w:val="page number"/>
    <w:basedOn w:val="DefaultParagraphFont"/>
    <w:uiPriority w:val="99"/>
    <w:semiHidden/>
    <w:unhideWhenUsed/>
    <w:rsid w:val="00174287"/>
  </w:style>
  <w:style w:type="character" w:customStyle="1" w:styleId="UnresolvedMention">
    <w:name w:val="Unresolved Mention"/>
    <w:basedOn w:val="DefaultParagraphFont"/>
    <w:uiPriority w:val="99"/>
    <w:semiHidden/>
    <w:unhideWhenUsed/>
    <w:rsid w:val="004579FB"/>
    <w:rPr>
      <w:color w:val="605E5C"/>
      <w:shd w:val="clear" w:color="auto" w:fill="E1DFDD"/>
    </w:rPr>
  </w:style>
  <w:style w:type="table" w:customStyle="1" w:styleId="PlainTable1">
    <w:name w:val="Plain Table 1"/>
    <w:basedOn w:val="TableNormal"/>
    <w:uiPriority w:val="41"/>
    <w:rsid w:val="003D7BA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rsid w:val="004B3F67"/>
    <w:pPr>
      <w:keepNext/>
      <w:keepLines/>
      <w:spacing w:before="360" w:after="80"/>
    </w:pPr>
    <w:rPr>
      <w:rFonts w:ascii="Georgia" w:eastAsia="Georgia" w:hAnsi="Georgia" w:cs="Georgia"/>
      <w:i/>
      <w:color w:val="666666"/>
      <w:sz w:val="48"/>
      <w:szCs w:val="48"/>
    </w:rPr>
  </w:style>
  <w:style w:type="table" w:customStyle="1" w:styleId="a">
    <w:basedOn w:val="TableNormal"/>
    <w:rsid w:val="004B3F67"/>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4B3F67"/>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rsid w:val="004B3F67"/>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rsid w:val="004B3F67"/>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elshenawy@med.menofia.edu.e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hmoudelshenawy78@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x.doi.org/10.7537/marscbj090119.05"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fontTable" Target="fontTable.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3</cp:revision>
  <dcterms:created xsi:type="dcterms:W3CDTF">2019-02-08T13:43:00Z</dcterms:created>
  <dcterms:modified xsi:type="dcterms:W3CDTF">2019-02-09T17:02:00Z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79415c05-6319-3722-9c06-4296511e9073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http://www.zotero.org/styles/international-journal-of-cancer</vt:lpwstr>
  </property>
  <property fmtid="{D5CDD505-2E9C-101B-9397-08002B2CF9AE}" pid="17" name="Mendeley Recent Style Name 6_1">
    <vt:lpwstr>International Journal of Cancer</vt:lpwstr>
  </property>
  <property fmtid="{D5CDD505-2E9C-101B-9397-08002B2CF9AE}" pid="18" name="Mendeley Recent Style Id 7_1">
    <vt:lpwstr>http://www.zotero.org/styles/jama</vt:lpwstr>
  </property>
  <property fmtid="{D5CDD505-2E9C-101B-9397-08002B2CF9AE}" pid="19" name="Mendeley Recent Style Name 7_1">
    <vt:lpwstr>JAMA (The Journal of the American Medical Association)</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http://www.zotero.org/styles/national-library-of-medicine</vt:lpwstr>
  </property>
  <property fmtid="{D5CDD505-2E9C-101B-9397-08002B2CF9AE}" pid="23" name="Mendeley Recent Style Name 9_1">
    <vt:lpwstr>National Library of Medicine</vt:lpwstr>
  </property>
  <property fmtid="{D5CDD505-2E9C-101B-9397-08002B2CF9AE}" pid="24" name="Mendeley Citation Style_1">
    <vt:lpwstr>http://www.zotero.org/styles/national-library-of-medicine</vt:lpwstr>
  </property>
</Properties>
</file>