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C75" w:rsidRPr="00331E80" w:rsidRDefault="00C55CDB" w:rsidP="00331E80">
      <w:pPr>
        <w:bidi w:val="0"/>
        <w:snapToGrid w:val="0"/>
        <w:jc w:val="center"/>
        <w:rPr>
          <w:b/>
          <w:bCs/>
          <w:sz w:val="20"/>
          <w:szCs w:val="20"/>
        </w:rPr>
      </w:pPr>
      <w:r w:rsidRPr="00331E80">
        <w:rPr>
          <w:b/>
          <w:bCs/>
          <w:sz w:val="20"/>
          <w:szCs w:val="20"/>
        </w:rPr>
        <w:t>Retrospective Analysis of Prognostic Value of Neutrophils to lymphocyte Ratio and Platelet Count in Patients with Colorectal Carcinoma</w:t>
      </w:r>
    </w:p>
    <w:p w:rsidR="00801C75" w:rsidRPr="00331E80" w:rsidRDefault="00801C75" w:rsidP="00331E80">
      <w:pPr>
        <w:bidi w:val="0"/>
        <w:snapToGrid w:val="0"/>
        <w:jc w:val="center"/>
        <w:rPr>
          <w:b/>
          <w:bCs/>
          <w:sz w:val="20"/>
          <w:szCs w:val="20"/>
        </w:rPr>
      </w:pPr>
    </w:p>
    <w:p w:rsidR="00801C75" w:rsidRPr="00331E80" w:rsidRDefault="00C55CDB" w:rsidP="00331E80">
      <w:pPr>
        <w:bidi w:val="0"/>
        <w:snapToGrid w:val="0"/>
        <w:jc w:val="center"/>
        <w:rPr>
          <w:sz w:val="20"/>
          <w:szCs w:val="20"/>
          <w:lang w:eastAsia="zh-CN"/>
        </w:rPr>
      </w:pPr>
      <w:r w:rsidRPr="00331E80">
        <w:rPr>
          <w:rFonts w:eastAsia="Arial Unicode MS"/>
          <w:sz w:val="20"/>
          <w:szCs w:val="20"/>
          <w:lang w:val="en-GB"/>
        </w:rPr>
        <w:t>Mohamed Elbassiouny</w:t>
      </w:r>
      <w:r w:rsidR="00023298" w:rsidRPr="00331E80">
        <w:rPr>
          <w:rFonts w:eastAsia="Arial Unicode MS"/>
          <w:sz w:val="20"/>
          <w:szCs w:val="20"/>
          <w:lang w:val="en-GB"/>
        </w:rPr>
        <w:t>,</w:t>
      </w:r>
      <w:r w:rsidR="0094756F" w:rsidRPr="00331E80">
        <w:rPr>
          <w:rFonts w:eastAsia="Arial Unicode MS"/>
          <w:sz w:val="20"/>
          <w:szCs w:val="20"/>
          <w:lang w:val="en-GB"/>
        </w:rPr>
        <w:t xml:space="preserve"> </w:t>
      </w:r>
      <w:r w:rsidR="00023298" w:rsidRPr="00331E80">
        <w:rPr>
          <w:rFonts w:eastAsia="Arial Unicode MS"/>
          <w:sz w:val="20"/>
          <w:szCs w:val="20"/>
          <w:lang w:val="en-GB"/>
        </w:rPr>
        <w:t>Dina Ragab,</w:t>
      </w:r>
      <w:r w:rsidR="00786B4C" w:rsidRPr="00331E80">
        <w:rPr>
          <w:rFonts w:hint="eastAsia"/>
          <w:sz w:val="20"/>
          <w:szCs w:val="20"/>
          <w:lang w:val="en-GB" w:eastAsia="zh-CN"/>
        </w:rPr>
        <w:t xml:space="preserve"> </w:t>
      </w:r>
      <w:r w:rsidRPr="00331E80">
        <w:rPr>
          <w:rFonts w:eastAsia="Arial Unicode MS"/>
          <w:sz w:val="20"/>
          <w:szCs w:val="20"/>
          <w:lang w:val="en-GB"/>
        </w:rPr>
        <w:t>Ghada Refaat</w:t>
      </w:r>
      <w:bookmarkStart w:id="0" w:name="_GoBack"/>
      <w:bookmarkEnd w:id="0"/>
      <w:r w:rsidR="00FC0DD6" w:rsidRPr="00331E80">
        <w:rPr>
          <w:rFonts w:eastAsia="Arial Unicode MS"/>
          <w:sz w:val="20"/>
          <w:szCs w:val="20"/>
          <w:lang w:val="en-GB"/>
        </w:rPr>
        <w:t xml:space="preserve">, </w:t>
      </w:r>
      <w:r w:rsidR="00023298" w:rsidRPr="00331E80">
        <w:rPr>
          <w:sz w:val="20"/>
          <w:szCs w:val="20"/>
        </w:rPr>
        <w:t>Suhad A. Ali</w:t>
      </w:r>
    </w:p>
    <w:p w:rsidR="00801C75" w:rsidRPr="00331E80" w:rsidRDefault="00801C75" w:rsidP="00331E80">
      <w:pPr>
        <w:bidi w:val="0"/>
        <w:snapToGrid w:val="0"/>
        <w:jc w:val="center"/>
        <w:rPr>
          <w:sz w:val="20"/>
          <w:szCs w:val="20"/>
          <w:lang w:eastAsia="zh-CN"/>
        </w:rPr>
      </w:pPr>
    </w:p>
    <w:p w:rsidR="00C55CDB" w:rsidRPr="00331E80" w:rsidRDefault="00023298" w:rsidP="00331E80">
      <w:pPr>
        <w:bidi w:val="0"/>
        <w:snapToGrid w:val="0"/>
        <w:jc w:val="center"/>
        <w:rPr>
          <w:sz w:val="20"/>
          <w:szCs w:val="20"/>
          <w:lang w:bidi="ar-EG"/>
        </w:rPr>
      </w:pPr>
      <w:r w:rsidRPr="00331E80">
        <w:rPr>
          <w:sz w:val="20"/>
          <w:szCs w:val="20"/>
          <w:lang w:bidi="ar-EG"/>
        </w:rPr>
        <w:t xml:space="preserve">Department of </w:t>
      </w:r>
      <w:r w:rsidR="00C55CDB" w:rsidRPr="00331E80">
        <w:rPr>
          <w:sz w:val="20"/>
          <w:szCs w:val="20"/>
          <w:lang w:bidi="ar-EG"/>
        </w:rPr>
        <w:t>Clinical Oncology and Nuclear Medicine</w:t>
      </w:r>
    </w:p>
    <w:p w:rsidR="00981714" w:rsidRPr="00331E80" w:rsidRDefault="00C55CDB" w:rsidP="00331E80">
      <w:pPr>
        <w:bidi w:val="0"/>
        <w:snapToGrid w:val="0"/>
        <w:jc w:val="center"/>
        <w:rPr>
          <w:sz w:val="20"/>
          <w:szCs w:val="20"/>
          <w:lang w:bidi="ar-EG"/>
        </w:rPr>
      </w:pPr>
      <w:r w:rsidRPr="00331E80">
        <w:rPr>
          <w:sz w:val="20"/>
          <w:szCs w:val="20"/>
          <w:lang w:bidi="ar-EG"/>
        </w:rPr>
        <w:t>Faculty of Medicine – Ain Shams University</w:t>
      </w:r>
    </w:p>
    <w:p w:rsidR="00801C75" w:rsidRPr="00331E80" w:rsidRDefault="0014198C" w:rsidP="00331E80">
      <w:pPr>
        <w:bidi w:val="0"/>
        <w:snapToGrid w:val="0"/>
        <w:jc w:val="center"/>
        <w:rPr>
          <w:sz w:val="20"/>
          <w:szCs w:val="20"/>
          <w:lang w:bidi="ar-EG"/>
        </w:rPr>
      </w:pPr>
      <w:hyperlink r:id="rId8" w:history="1">
        <w:r w:rsidR="00C47D1C" w:rsidRPr="00331E80">
          <w:rPr>
            <w:rStyle w:val="Hyperlink"/>
            <w:iCs/>
            <w:sz w:val="20"/>
            <w:szCs w:val="20"/>
          </w:rPr>
          <w:t>suhadmaidan89@gmail.com</w:t>
        </w:r>
      </w:hyperlink>
      <w:r w:rsidR="00C47D1C" w:rsidRPr="00331E80">
        <w:rPr>
          <w:sz w:val="20"/>
          <w:szCs w:val="20"/>
          <w:lang w:bidi="ar-EG"/>
        </w:rPr>
        <w:t xml:space="preserve"> </w:t>
      </w:r>
    </w:p>
    <w:p w:rsidR="00801C75" w:rsidRPr="00331E80" w:rsidRDefault="00801C75" w:rsidP="00331E80">
      <w:pPr>
        <w:bidi w:val="0"/>
        <w:snapToGrid w:val="0"/>
        <w:jc w:val="center"/>
        <w:rPr>
          <w:sz w:val="20"/>
          <w:szCs w:val="20"/>
          <w:lang w:bidi="ar-EG"/>
        </w:rPr>
      </w:pPr>
    </w:p>
    <w:p w:rsidR="0094756F" w:rsidRPr="00331E80" w:rsidRDefault="0094756F" w:rsidP="00331E80">
      <w:pPr>
        <w:bidi w:val="0"/>
        <w:snapToGrid w:val="0"/>
        <w:jc w:val="both"/>
        <w:rPr>
          <w:sz w:val="20"/>
          <w:szCs w:val="20"/>
          <w:lang w:val="en-GB" w:bidi="ar-EG"/>
        </w:rPr>
      </w:pPr>
      <w:r w:rsidRPr="00331E80">
        <w:rPr>
          <w:b/>
          <w:iCs/>
          <w:sz w:val="20"/>
          <w:szCs w:val="20"/>
        </w:rPr>
        <w:t xml:space="preserve">Abstract: Background: </w:t>
      </w:r>
      <w:r w:rsidRPr="00331E80">
        <w:rPr>
          <w:bCs/>
          <w:iCs/>
          <w:sz w:val="20"/>
          <w:szCs w:val="20"/>
        </w:rPr>
        <w:t>Colorectal</w:t>
      </w:r>
      <w:r w:rsidRPr="00331E80">
        <w:rPr>
          <w:iCs/>
          <w:sz w:val="20"/>
          <w:szCs w:val="20"/>
        </w:rPr>
        <w:t xml:space="preserve"> cancer (CRC) is the third most common cancer in men and second in women with 1.8 million new cases (1,026,000 men and 823, 3 women) and almost 881.000 deaths. </w:t>
      </w:r>
      <w:r w:rsidRPr="00331E80">
        <w:rPr>
          <w:iCs/>
          <w:color w:val="000000" w:themeColor="text1"/>
          <w:sz w:val="20"/>
          <w:szCs w:val="20"/>
        </w:rPr>
        <w:t>Rates are substantially higher in males than in females Worldwide in 2018</w:t>
      </w:r>
      <w:r w:rsidRPr="00331E80">
        <w:rPr>
          <w:b/>
          <w:bCs/>
          <w:i/>
          <w:color w:val="000000" w:themeColor="text1"/>
          <w:sz w:val="20"/>
          <w:szCs w:val="20"/>
        </w:rPr>
        <w:t xml:space="preserve">. </w:t>
      </w:r>
      <w:r w:rsidRPr="00331E80">
        <w:rPr>
          <w:b/>
          <w:bCs/>
          <w:sz w:val="20"/>
          <w:szCs w:val="20"/>
          <w:lang w:val="en-GB" w:bidi="ar-EG"/>
        </w:rPr>
        <w:t>Aim of the work:</w:t>
      </w:r>
      <w:r w:rsidRPr="00331E80">
        <w:rPr>
          <w:rStyle w:val="CharAttribute0"/>
          <w:rFonts w:eastAsia="Batang"/>
          <w:color w:val="000000"/>
          <w:sz w:val="20"/>
          <w:szCs w:val="20"/>
        </w:rPr>
        <w:t xml:space="preserve"> In this retrospective study we aimed to evaluate the prognostic impact of baseline NLR and platelet count on the clinicopathological factors and outcome in patients of all stages Colorectal cancer treated from1</w:t>
      </w:r>
      <w:r w:rsidRPr="00331E80">
        <w:rPr>
          <w:rStyle w:val="CharAttribute0"/>
          <w:rFonts w:eastAsia="Batang"/>
          <w:color w:val="000000"/>
          <w:sz w:val="20"/>
          <w:szCs w:val="20"/>
          <w:vertAlign w:val="superscript"/>
        </w:rPr>
        <w:t>st</w:t>
      </w:r>
      <w:r w:rsidRPr="00331E80">
        <w:rPr>
          <w:rStyle w:val="CharAttribute0"/>
          <w:rFonts w:eastAsia="Batang"/>
          <w:color w:val="000000"/>
          <w:sz w:val="20"/>
          <w:szCs w:val="20"/>
        </w:rPr>
        <w:t xml:space="preserve"> of January 2014 to the end of</w:t>
      </w:r>
      <w:r w:rsidR="00F326A1" w:rsidRPr="00331E80">
        <w:rPr>
          <w:rStyle w:val="CharAttribute0"/>
          <w:rFonts w:eastAsiaTheme="minorEastAsia" w:hint="eastAsia"/>
          <w:color w:val="000000"/>
          <w:sz w:val="20"/>
          <w:szCs w:val="20"/>
          <w:lang w:eastAsia="zh-CN"/>
        </w:rPr>
        <w:t xml:space="preserve"> </w:t>
      </w:r>
      <w:r w:rsidRPr="00331E80">
        <w:rPr>
          <w:rStyle w:val="CharAttribute0"/>
          <w:rFonts w:eastAsia="Batang"/>
          <w:color w:val="000000"/>
          <w:sz w:val="20"/>
          <w:szCs w:val="20"/>
        </w:rPr>
        <w:t xml:space="preserve">December 2016 in Department of Clinical Oncology and Nuclear Medicine, Ain Shams University hospitals, Cairo, Egypt. </w:t>
      </w:r>
      <w:r w:rsidRPr="00331E80">
        <w:rPr>
          <w:b/>
          <w:bCs/>
          <w:sz w:val="20"/>
          <w:szCs w:val="20"/>
          <w:lang w:val="en-GB" w:bidi="ar-EG"/>
        </w:rPr>
        <w:t>Patients and methods:</w:t>
      </w:r>
      <w:r w:rsidRPr="00331E80">
        <w:rPr>
          <w:color w:val="000000" w:themeColor="text1"/>
          <w:sz w:val="20"/>
          <w:szCs w:val="20"/>
          <w:lang w:val="en-GB"/>
        </w:rPr>
        <w:t xml:space="preserve"> Out of 409 patient's medical records in the GI oncology unit, Ain Shams Clinical Oncology Department were reviewed from the period between 1</w:t>
      </w:r>
      <w:r w:rsidRPr="00331E80">
        <w:rPr>
          <w:color w:val="000000" w:themeColor="text1"/>
          <w:sz w:val="20"/>
          <w:szCs w:val="20"/>
          <w:vertAlign w:val="superscript"/>
          <w:lang w:val="en-GB"/>
        </w:rPr>
        <w:t>st</w:t>
      </w:r>
      <w:r w:rsidRPr="00331E80">
        <w:rPr>
          <w:color w:val="000000" w:themeColor="text1"/>
          <w:sz w:val="20"/>
          <w:szCs w:val="20"/>
          <w:lang w:val="en-GB"/>
        </w:rPr>
        <w:t xml:space="preserve"> of January 2014 to 30 December 2016. Total neutrophils, lymphocytic, and platelets' counts were available for only 169 patients. Study ended in 1</w:t>
      </w:r>
      <w:r w:rsidRPr="00331E80">
        <w:rPr>
          <w:color w:val="000000" w:themeColor="text1"/>
          <w:sz w:val="20"/>
          <w:szCs w:val="20"/>
          <w:vertAlign w:val="superscript"/>
          <w:lang w:val="en-GB"/>
        </w:rPr>
        <w:t>st</w:t>
      </w:r>
      <w:r w:rsidRPr="00331E80">
        <w:rPr>
          <w:color w:val="000000" w:themeColor="text1"/>
          <w:sz w:val="20"/>
          <w:szCs w:val="20"/>
          <w:lang w:val="en-GB"/>
        </w:rPr>
        <w:t xml:space="preserve"> of August 2018 with median period of follow up of 27.5 month, ranging between 1/1/2014 to 1/8/2018</w:t>
      </w:r>
      <w:r w:rsidR="00331E80" w:rsidRPr="00331E80">
        <w:rPr>
          <w:color w:val="000000" w:themeColor="text1"/>
          <w:sz w:val="20"/>
          <w:szCs w:val="20"/>
          <w:lang w:val="en-GB"/>
        </w:rPr>
        <w:t>.</w:t>
      </w:r>
      <w:r w:rsidR="00331E80">
        <w:rPr>
          <w:color w:val="000000" w:themeColor="text1"/>
          <w:sz w:val="20"/>
          <w:szCs w:val="20"/>
          <w:lang w:val="en-GB"/>
        </w:rPr>
        <w:t xml:space="preserve"> </w:t>
      </w:r>
      <w:r w:rsidR="00331E80" w:rsidRPr="00331E80">
        <w:rPr>
          <w:color w:val="000000" w:themeColor="text1"/>
          <w:sz w:val="20"/>
          <w:szCs w:val="20"/>
          <w:lang w:val="en-GB"/>
        </w:rPr>
        <w:t>A</w:t>
      </w:r>
      <w:r w:rsidRPr="00331E80">
        <w:rPr>
          <w:color w:val="000000" w:themeColor="text1"/>
          <w:sz w:val="20"/>
          <w:szCs w:val="20"/>
          <w:lang w:val="en-GB"/>
        </w:rPr>
        <w:t>ll patients (169) were pathologically proven colorectal adenocarcinoma, with age ranging from 18-75 years old</w:t>
      </w:r>
      <w:r w:rsidRPr="00331E80">
        <w:rPr>
          <w:color w:val="000000" w:themeColor="text1"/>
          <w:sz w:val="20"/>
          <w:szCs w:val="20"/>
        </w:rPr>
        <w:t xml:space="preserve"> (median age: 55.5 yrs)</w:t>
      </w:r>
      <w:r w:rsidR="00786B4C" w:rsidRPr="00331E80">
        <w:rPr>
          <w:rFonts w:hint="eastAsia"/>
          <w:color w:val="000000" w:themeColor="text1"/>
          <w:sz w:val="20"/>
          <w:szCs w:val="20"/>
          <w:lang w:eastAsia="zh-CN"/>
        </w:rPr>
        <w:t xml:space="preserve">. </w:t>
      </w:r>
      <w:r w:rsidRPr="00331E80">
        <w:rPr>
          <w:b/>
          <w:bCs/>
          <w:sz w:val="20"/>
          <w:szCs w:val="20"/>
          <w:lang w:val="en-GB" w:bidi="ar-EG"/>
        </w:rPr>
        <w:t>Results</w:t>
      </w:r>
      <w:r w:rsidR="00331E80" w:rsidRPr="00331E80">
        <w:rPr>
          <w:b/>
          <w:bCs/>
          <w:sz w:val="20"/>
          <w:szCs w:val="20"/>
          <w:lang w:val="en-GB" w:bidi="ar-EG"/>
        </w:rPr>
        <w:t>:</w:t>
      </w:r>
      <w:r w:rsidR="00331E80">
        <w:rPr>
          <w:b/>
          <w:bCs/>
          <w:sz w:val="20"/>
          <w:szCs w:val="20"/>
          <w:lang w:val="en-GB" w:bidi="ar-EG"/>
        </w:rPr>
        <w:t xml:space="preserve"> </w:t>
      </w:r>
      <w:r w:rsidR="00331E80" w:rsidRPr="00331E80">
        <w:rPr>
          <w:sz w:val="20"/>
          <w:szCs w:val="20"/>
          <w:lang w:bidi="ar-EG"/>
        </w:rPr>
        <w:t>O</w:t>
      </w:r>
      <w:r w:rsidRPr="00331E80">
        <w:rPr>
          <w:sz w:val="20"/>
          <w:szCs w:val="20"/>
          <w:lang w:bidi="ar-EG"/>
        </w:rPr>
        <w:t xml:space="preserve">ut of </w:t>
      </w:r>
      <w:r w:rsidRPr="00331E80">
        <w:rPr>
          <w:sz w:val="20"/>
          <w:szCs w:val="20"/>
          <w:lang w:val="en-GB"/>
        </w:rPr>
        <w:t>169 patients enrolled in this study</w:t>
      </w:r>
      <w:r w:rsidRPr="00331E80">
        <w:rPr>
          <w:sz w:val="20"/>
          <w:szCs w:val="20"/>
          <w:lang w:bidi="ar-EG"/>
        </w:rPr>
        <w:t>, 124 patients were res</w:t>
      </w:r>
      <w:r w:rsidR="00786B4C" w:rsidRPr="00331E80">
        <w:rPr>
          <w:rFonts w:hint="eastAsia"/>
          <w:sz w:val="20"/>
          <w:szCs w:val="20"/>
          <w:lang w:eastAsia="zh-CN" w:bidi="ar-EG"/>
        </w:rPr>
        <w:t>p</w:t>
      </w:r>
      <w:r w:rsidRPr="00331E80">
        <w:rPr>
          <w:sz w:val="20"/>
          <w:szCs w:val="20"/>
          <w:lang w:bidi="ar-EG"/>
        </w:rPr>
        <w:t xml:space="preserve">ectable and underwent curative surgeries, </w:t>
      </w:r>
      <w:r w:rsidRPr="00331E80">
        <w:rPr>
          <w:sz w:val="20"/>
          <w:szCs w:val="20"/>
          <w:lang w:val="en-GB" w:bidi="ar-EG"/>
        </w:rPr>
        <w:t>44 patients tumour was right located and 80 patient's tumour located in the left sided colon.</w:t>
      </w:r>
      <w:r w:rsidRPr="00331E80">
        <w:rPr>
          <w:sz w:val="20"/>
          <w:szCs w:val="20"/>
          <w:lang w:bidi="ar-EG"/>
        </w:rPr>
        <w:t xml:space="preserve"> 45 </w:t>
      </w:r>
      <w:r w:rsidRPr="00331E80">
        <w:rPr>
          <w:sz w:val="20"/>
          <w:szCs w:val="20"/>
          <w:lang w:val="en-GB" w:bidi="ar-EG"/>
        </w:rPr>
        <w:t xml:space="preserve">patients were metastatic from the start. Postoperative </w:t>
      </w:r>
      <w:r w:rsidRPr="00331E80">
        <w:rPr>
          <w:sz w:val="20"/>
          <w:szCs w:val="20"/>
        </w:rPr>
        <w:t>Platelets≥</w:t>
      </w:r>
      <w:r w:rsidRPr="00331E80">
        <w:rPr>
          <w:sz w:val="20"/>
          <w:szCs w:val="20"/>
          <w:lang w:val="en-GB"/>
        </w:rPr>
        <w:t xml:space="preserve"> 310 in our study was statistically significant regardin</w:t>
      </w:r>
      <w:r w:rsidR="00166A00" w:rsidRPr="00331E80">
        <w:rPr>
          <w:sz w:val="20"/>
          <w:szCs w:val="20"/>
          <w:lang w:val="en-GB"/>
        </w:rPr>
        <w:t>g</w:t>
      </w:r>
      <w:r w:rsidR="00166A00">
        <w:rPr>
          <w:sz w:val="20"/>
          <w:szCs w:val="20"/>
          <w:lang w:val="en-GB"/>
        </w:rPr>
        <w:t xml:space="preserve"> </w:t>
      </w:r>
      <w:r w:rsidR="00166A00" w:rsidRPr="00331E80">
        <w:rPr>
          <w:sz w:val="20"/>
          <w:szCs w:val="20"/>
        </w:rPr>
        <w:t>O</w:t>
      </w:r>
      <w:r w:rsidRPr="00331E80">
        <w:rPr>
          <w:sz w:val="20"/>
          <w:szCs w:val="20"/>
        </w:rPr>
        <w:t xml:space="preserve">S, PFS </w:t>
      </w:r>
      <w:r w:rsidRPr="00331E80">
        <w:rPr>
          <w:sz w:val="20"/>
          <w:szCs w:val="20"/>
          <w:lang w:val="en-GB"/>
        </w:rPr>
        <w:t xml:space="preserve">and DFS </w:t>
      </w:r>
      <w:r w:rsidRPr="00331E80">
        <w:rPr>
          <w:sz w:val="20"/>
          <w:szCs w:val="20"/>
        </w:rPr>
        <w:t>(P values &lt;.001, &lt;.001 and 0.007) respectively. Pre-treatment platelet revealed more frequent thrombocytosis in metastatic group than locally advanced group, yet statistically was not significant (P Value=.066)</w:t>
      </w:r>
      <w:r w:rsidRPr="00331E80">
        <w:rPr>
          <w:sz w:val="20"/>
          <w:szCs w:val="20"/>
          <w:lang w:val="en-GB"/>
        </w:rPr>
        <w:t>.</w:t>
      </w:r>
      <w:r w:rsidR="00786B4C" w:rsidRPr="00331E80">
        <w:rPr>
          <w:rFonts w:hint="eastAsia"/>
          <w:sz w:val="20"/>
          <w:szCs w:val="20"/>
          <w:lang w:val="en-GB" w:eastAsia="zh-CN"/>
        </w:rPr>
        <w:t xml:space="preserve"> </w:t>
      </w:r>
      <w:r w:rsidRPr="00331E80">
        <w:rPr>
          <w:sz w:val="20"/>
          <w:szCs w:val="20"/>
        </w:rPr>
        <w:t xml:space="preserve">Postoperative NLR ≥2 was significant regarding OS, PFS </w:t>
      </w:r>
      <w:r w:rsidRPr="00331E80">
        <w:rPr>
          <w:sz w:val="20"/>
          <w:szCs w:val="20"/>
          <w:lang w:val="en-GB"/>
        </w:rPr>
        <w:t>and DFS</w:t>
      </w:r>
      <w:r w:rsidR="00786B4C" w:rsidRPr="00331E80">
        <w:rPr>
          <w:rFonts w:hint="eastAsia"/>
          <w:sz w:val="20"/>
          <w:szCs w:val="20"/>
          <w:lang w:val="en-GB" w:eastAsia="zh-CN"/>
        </w:rPr>
        <w:t xml:space="preserve"> </w:t>
      </w:r>
      <w:r w:rsidRPr="00331E80">
        <w:rPr>
          <w:sz w:val="20"/>
          <w:szCs w:val="20"/>
        </w:rPr>
        <w:t>a</w:t>
      </w:r>
      <w:r w:rsidRPr="00331E80">
        <w:rPr>
          <w:sz w:val="20"/>
          <w:szCs w:val="20"/>
          <w:lang w:val="en-GB"/>
        </w:rPr>
        <w:t>mong 169 enrolled patient</w:t>
      </w:r>
      <w:r w:rsidR="00801C75" w:rsidRPr="00331E80">
        <w:rPr>
          <w:sz w:val="20"/>
          <w:szCs w:val="20"/>
          <w:lang w:val="en-GB"/>
        </w:rPr>
        <w:t xml:space="preserve">s </w:t>
      </w:r>
      <w:r w:rsidR="00801C75" w:rsidRPr="00331E80">
        <w:rPr>
          <w:sz w:val="20"/>
          <w:szCs w:val="20"/>
        </w:rPr>
        <w:t>(</w:t>
      </w:r>
      <w:r w:rsidRPr="00331E80">
        <w:rPr>
          <w:sz w:val="20"/>
          <w:szCs w:val="20"/>
        </w:rPr>
        <w:t>P values &lt;.001,</w:t>
      </w:r>
      <w:r w:rsidR="00801C75" w:rsidRPr="00331E80">
        <w:rPr>
          <w:sz w:val="20"/>
          <w:szCs w:val="20"/>
        </w:rPr>
        <w:t>.</w:t>
      </w:r>
      <w:r w:rsidRPr="00331E80">
        <w:rPr>
          <w:sz w:val="20"/>
          <w:szCs w:val="20"/>
        </w:rPr>
        <w:t xml:space="preserve">002 and &lt;.001) respectively. In the multivariate analysis, elevated postoperative </w:t>
      </w:r>
      <w:r w:rsidRPr="00331E80">
        <w:rPr>
          <w:sz w:val="20"/>
          <w:szCs w:val="20"/>
          <w:lang w:val="en-GB"/>
        </w:rPr>
        <w:t>NLR was proven as both independent prognostic and predictor factor for DFS, PFS and OAS. (sig. =.03,</w:t>
      </w:r>
      <w:r w:rsidR="00801C75" w:rsidRPr="00331E80">
        <w:rPr>
          <w:sz w:val="20"/>
          <w:szCs w:val="20"/>
          <w:lang w:val="en-GB"/>
        </w:rPr>
        <w:t>.</w:t>
      </w:r>
      <w:r w:rsidRPr="00331E80">
        <w:rPr>
          <w:sz w:val="20"/>
          <w:szCs w:val="20"/>
          <w:lang w:val="en-GB"/>
        </w:rPr>
        <w:t xml:space="preserve">03, ≤0.001 respectively). And platelet count is both independent prognostic factor and predictor for </w:t>
      </w:r>
      <w:r w:rsidRPr="00331E80">
        <w:rPr>
          <w:sz w:val="20"/>
          <w:szCs w:val="20"/>
        </w:rPr>
        <w:t>both PFS, OS</w:t>
      </w:r>
      <w:r w:rsidRPr="00331E80">
        <w:rPr>
          <w:sz w:val="20"/>
          <w:szCs w:val="20"/>
          <w:lang w:val="en-GB"/>
        </w:rPr>
        <w:t>with significance =.04, =.03 respectively).</w:t>
      </w:r>
      <w:r w:rsidRPr="00331E80">
        <w:rPr>
          <w:b/>
          <w:bCs/>
          <w:sz w:val="20"/>
          <w:szCs w:val="20"/>
          <w:lang w:val="en-GB" w:bidi="ar-EG"/>
        </w:rPr>
        <w:t xml:space="preserve"> Conclusion:</w:t>
      </w:r>
      <w:r w:rsidRPr="00331E80">
        <w:rPr>
          <w:sz w:val="20"/>
          <w:szCs w:val="20"/>
          <w:lang w:val="en-GB" w:bidi="ar-EG"/>
        </w:rPr>
        <w:t xml:space="preserve"> Abnormal NLR ratio (≥2) acting as a prognostic and predictor of decrease in DFS, PFS and OS in all patients groups.</w:t>
      </w:r>
      <w:r w:rsidRPr="00331E80">
        <w:rPr>
          <w:sz w:val="20"/>
          <w:szCs w:val="20"/>
        </w:rPr>
        <w:t xml:space="preserve"> It also showed that abnormal platelet count (</w:t>
      </w:r>
      <w:r w:rsidRPr="00331E80">
        <w:rPr>
          <w:sz w:val="20"/>
          <w:szCs w:val="20"/>
          <w:lang w:val="en-GB"/>
        </w:rPr>
        <w:t>≥310</w:t>
      </w:r>
      <w:r w:rsidRPr="00331E80">
        <w:rPr>
          <w:sz w:val="20"/>
          <w:szCs w:val="20"/>
        </w:rPr>
        <w:t xml:space="preserve">) is prognostic and predictor of significant decrease in PFS and OS. </w:t>
      </w:r>
      <w:r w:rsidRPr="00331E80">
        <w:rPr>
          <w:sz w:val="20"/>
          <w:szCs w:val="20"/>
          <w:lang w:val="en-GB" w:bidi="ar-EG"/>
        </w:rPr>
        <w:t>Multidisciplinary management is needed to aware surgeons about importance of adequate lymph node dissection, our study showed a statistically significant decrease in OAS in patients underwent inadequate LNs dissection.</w:t>
      </w:r>
    </w:p>
    <w:p w:rsidR="00331E80" w:rsidRPr="00331E80" w:rsidRDefault="00331E80" w:rsidP="00331E80">
      <w:pPr>
        <w:bidi w:val="0"/>
        <w:snapToGrid w:val="0"/>
        <w:jc w:val="both"/>
        <w:rPr>
          <w:sz w:val="20"/>
          <w:szCs w:val="20"/>
          <w:lang w:eastAsia="zh-CN"/>
        </w:rPr>
      </w:pPr>
      <w:r w:rsidRPr="00331E80">
        <w:rPr>
          <w:rFonts w:hint="eastAsia"/>
          <w:b/>
          <w:sz w:val="20"/>
          <w:szCs w:val="20"/>
          <w:lang w:val="en-GB"/>
        </w:rPr>
        <w:t>[</w:t>
      </w:r>
      <w:r w:rsidRPr="00331E80">
        <w:rPr>
          <w:rFonts w:eastAsia="Arial Unicode MS"/>
          <w:sz w:val="20"/>
          <w:szCs w:val="20"/>
          <w:lang w:val="en-GB"/>
        </w:rPr>
        <w:t>Mohamed Elbassiouny, Dina Ragab,</w:t>
      </w:r>
      <w:r w:rsidRPr="00331E80">
        <w:rPr>
          <w:rFonts w:hint="eastAsia"/>
          <w:sz w:val="20"/>
          <w:szCs w:val="20"/>
          <w:lang w:val="en-GB" w:eastAsia="zh-CN"/>
        </w:rPr>
        <w:t xml:space="preserve"> </w:t>
      </w:r>
      <w:r w:rsidRPr="00331E80">
        <w:rPr>
          <w:rFonts w:eastAsia="Arial Unicode MS"/>
          <w:sz w:val="20"/>
          <w:szCs w:val="20"/>
          <w:lang w:val="en-GB"/>
        </w:rPr>
        <w:t xml:space="preserve">Ghada Refaat, </w:t>
      </w:r>
      <w:r w:rsidRPr="00331E80">
        <w:rPr>
          <w:sz w:val="20"/>
          <w:szCs w:val="20"/>
        </w:rPr>
        <w:t xml:space="preserve">Suhad A. Ali. </w:t>
      </w:r>
      <w:r w:rsidRPr="00331E80">
        <w:rPr>
          <w:b/>
          <w:bCs/>
          <w:sz w:val="20"/>
          <w:szCs w:val="20"/>
        </w:rPr>
        <w:t>Retrospective Analysis of Prognostic Value of Neutrophils to lymphocyte Ratio and Platelet Count in Patients with Colorectal Carcinoma</w:t>
      </w:r>
      <w:r w:rsidRPr="00331E80">
        <w:rPr>
          <w:rFonts w:eastAsia="Times New Roman"/>
          <w:b/>
          <w:bCs/>
          <w:sz w:val="20"/>
          <w:szCs w:val="20"/>
          <w:lang w:bidi="fa-IR"/>
        </w:rPr>
        <w:t>.</w:t>
      </w:r>
      <w:r w:rsidRPr="00331E80">
        <w:rPr>
          <w:i/>
          <w:sz w:val="20"/>
          <w:szCs w:val="20"/>
        </w:rPr>
        <w:t xml:space="preserve"> Cancer Biology</w:t>
      </w:r>
      <w:r w:rsidRPr="00331E80">
        <w:rPr>
          <w:sz w:val="20"/>
          <w:szCs w:val="20"/>
        </w:rPr>
        <w:t xml:space="preserve"> 201</w:t>
      </w:r>
      <w:r w:rsidRPr="00331E80">
        <w:rPr>
          <w:rFonts w:hint="eastAsia"/>
          <w:sz w:val="20"/>
          <w:szCs w:val="20"/>
        </w:rPr>
        <w:t>9</w:t>
      </w:r>
      <w:r w:rsidRPr="00331E80">
        <w:rPr>
          <w:sz w:val="20"/>
          <w:szCs w:val="20"/>
        </w:rPr>
        <w:t>;</w:t>
      </w:r>
      <w:r w:rsidRPr="00331E80">
        <w:rPr>
          <w:rFonts w:hint="eastAsia"/>
          <w:sz w:val="20"/>
          <w:szCs w:val="20"/>
        </w:rPr>
        <w:t>9</w:t>
      </w:r>
      <w:r w:rsidRPr="00331E80">
        <w:rPr>
          <w:sz w:val="20"/>
          <w:szCs w:val="20"/>
        </w:rPr>
        <w:t>(</w:t>
      </w:r>
      <w:r w:rsidRPr="00331E80">
        <w:rPr>
          <w:rFonts w:hint="eastAsia"/>
          <w:sz w:val="20"/>
          <w:szCs w:val="20"/>
        </w:rPr>
        <w:t>3</w:t>
      </w:r>
      <w:r w:rsidRPr="00331E80">
        <w:rPr>
          <w:sz w:val="20"/>
          <w:szCs w:val="20"/>
        </w:rPr>
        <w:t>):</w:t>
      </w:r>
      <w:r w:rsidR="00323F80">
        <w:rPr>
          <w:noProof/>
          <w:color w:val="000000"/>
          <w:sz w:val="20"/>
          <w:szCs w:val="20"/>
        </w:rPr>
        <w:t>39-51</w:t>
      </w:r>
      <w:r w:rsidRPr="00331E80">
        <w:rPr>
          <w:sz w:val="20"/>
          <w:szCs w:val="20"/>
        </w:rPr>
        <w:t xml:space="preserve">]. </w:t>
      </w:r>
      <w:r w:rsidRPr="00331E80">
        <w:rPr>
          <w:rStyle w:val="msonormal0"/>
          <w:rFonts w:eastAsia="宋"/>
          <w:sz w:val="20"/>
          <w:szCs w:val="20"/>
        </w:rPr>
        <w:t>ISSN: 2150-1041 (print); ISSN: 2150-105X (online)</w:t>
      </w:r>
      <w:r w:rsidRPr="00331E80">
        <w:rPr>
          <w:sz w:val="20"/>
          <w:szCs w:val="20"/>
        </w:rPr>
        <w:t xml:space="preserve">. </w:t>
      </w:r>
      <w:hyperlink r:id="rId9" w:history="1">
        <w:r w:rsidRPr="00331E80">
          <w:rPr>
            <w:rStyle w:val="Hyperlink"/>
            <w:color w:val="0000FF"/>
            <w:sz w:val="20"/>
            <w:szCs w:val="20"/>
          </w:rPr>
          <w:t>http://www.cancerbio.net</w:t>
        </w:r>
      </w:hyperlink>
      <w:r w:rsidRPr="00331E80">
        <w:rPr>
          <w:sz w:val="20"/>
          <w:szCs w:val="20"/>
        </w:rPr>
        <w:t>.</w:t>
      </w:r>
      <w:r w:rsidRPr="00331E80">
        <w:rPr>
          <w:rFonts w:hint="eastAsia"/>
          <w:sz w:val="20"/>
          <w:szCs w:val="20"/>
        </w:rPr>
        <w:t xml:space="preserve"> </w:t>
      </w:r>
      <w:r>
        <w:rPr>
          <w:rFonts w:hint="eastAsia"/>
          <w:sz w:val="20"/>
          <w:szCs w:val="20"/>
          <w:lang w:eastAsia="zh-CN"/>
        </w:rPr>
        <w:t>6</w:t>
      </w:r>
      <w:r w:rsidRPr="00331E80">
        <w:rPr>
          <w:rFonts w:hint="eastAsia"/>
          <w:sz w:val="20"/>
          <w:szCs w:val="20"/>
        </w:rPr>
        <w:t xml:space="preserve">. </w:t>
      </w:r>
      <w:r w:rsidRPr="00331E80">
        <w:rPr>
          <w:color w:val="000000"/>
          <w:sz w:val="20"/>
          <w:szCs w:val="20"/>
          <w:shd w:val="clear" w:color="auto" w:fill="FFFFFF"/>
        </w:rPr>
        <w:t>doi:</w:t>
      </w:r>
      <w:hyperlink r:id="rId10" w:history="1">
        <w:r w:rsidRPr="00331E80">
          <w:rPr>
            <w:rStyle w:val="Hyperlink"/>
            <w:color w:val="0000FF"/>
            <w:sz w:val="20"/>
            <w:szCs w:val="20"/>
            <w:shd w:val="clear" w:color="auto" w:fill="FFFFFF"/>
          </w:rPr>
          <w:t>10.7537/mars</w:t>
        </w:r>
        <w:r w:rsidRPr="00331E80">
          <w:rPr>
            <w:rStyle w:val="Hyperlink"/>
            <w:rFonts w:hint="eastAsia"/>
            <w:color w:val="0000FF"/>
            <w:sz w:val="20"/>
            <w:szCs w:val="20"/>
            <w:shd w:val="clear" w:color="auto" w:fill="FFFFFF"/>
          </w:rPr>
          <w:t>cbj0903</w:t>
        </w:r>
        <w:r w:rsidRPr="00331E80">
          <w:rPr>
            <w:rStyle w:val="Hyperlink"/>
            <w:color w:val="0000FF"/>
            <w:sz w:val="20"/>
            <w:szCs w:val="20"/>
            <w:shd w:val="clear" w:color="auto" w:fill="FFFFFF"/>
          </w:rPr>
          <w:t>1</w:t>
        </w:r>
        <w:r w:rsidRPr="00331E80">
          <w:rPr>
            <w:rStyle w:val="Hyperlink"/>
            <w:rFonts w:hint="eastAsia"/>
            <w:color w:val="0000FF"/>
            <w:sz w:val="20"/>
            <w:szCs w:val="20"/>
            <w:shd w:val="clear" w:color="auto" w:fill="FFFFFF"/>
          </w:rPr>
          <w:t>9.</w:t>
        </w:r>
        <w:r w:rsidRPr="00331E80">
          <w:rPr>
            <w:rStyle w:val="Hyperlink"/>
            <w:color w:val="0000FF"/>
            <w:sz w:val="20"/>
            <w:szCs w:val="20"/>
            <w:shd w:val="clear" w:color="auto" w:fill="FFFFFF"/>
          </w:rPr>
          <w:t>0</w:t>
        </w:r>
        <w:r>
          <w:rPr>
            <w:rStyle w:val="Hyperlink"/>
            <w:rFonts w:hint="eastAsia"/>
            <w:color w:val="0000FF"/>
            <w:sz w:val="20"/>
            <w:szCs w:val="20"/>
            <w:shd w:val="clear" w:color="auto" w:fill="FFFFFF"/>
            <w:lang w:eastAsia="zh-CN"/>
          </w:rPr>
          <w:t>6</w:t>
        </w:r>
      </w:hyperlink>
      <w:r w:rsidRPr="00331E80">
        <w:rPr>
          <w:color w:val="000000"/>
          <w:sz w:val="20"/>
          <w:szCs w:val="20"/>
          <w:shd w:val="clear" w:color="auto" w:fill="FFFFFF"/>
        </w:rPr>
        <w:t>.</w:t>
      </w:r>
    </w:p>
    <w:p w:rsidR="0094756F" w:rsidRPr="00801C75" w:rsidRDefault="0094756F" w:rsidP="00331E80">
      <w:pPr>
        <w:bidi w:val="0"/>
        <w:snapToGrid w:val="0"/>
        <w:jc w:val="both"/>
        <w:rPr>
          <w:b/>
          <w:bCs/>
          <w:sz w:val="20"/>
          <w:szCs w:val="20"/>
          <w:lang w:bidi="ar-EG"/>
        </w:rPr>
      </w:pPr>
    </w:p>
    <w:p w:rsidR="0094756F" w:rsidRPr="00801C75" w:rsidRDefault="0094756F" w:rsidP="00331E80">
      <w:pPr>
        <w:bidi w:val="0"/>
        <w:snapToGrid w:val="0"/>
        <w:jc w:val="both"/>
        <w:rPr>
          <w:b/>
          <w:iCs/>
          <w:sz w:val="20"/>
          <w:szCs w:val="20"/>
        </w:rPr>
      </w:pPr>
      <w:r w:rsidRPr="00801C75">
        <w:rPr>
          <w:b/>
          <w:bCs/>
          <w:sz w:val="20"/>
          <w:szCs w:val="20"/>
          <w:lang w:val="en-GB" w:bidi="ar-EG"/>
        </w:rPr>
        <w:t>Key words:</w:t>
      </w:r>
      <w:r w:rsidRPr="00801C75">
        <w:rPr>
          <w:sz w:val="20"/>
          <w:szCs w:val="20"/>
          <w:lang w:bidi="ar-EG"/>
        </w:rPr>
        <w:t xml:space="preserve"> Neutrophils, lymphocyte, platelet Count, Colorectal Carcinoma</w:t>
      </w:r>
    </w:p>
    <w:p w:rsidR="00023298" w:rsidRPr="00801C75" w:rsidRDefault="00023298" w:rsidP="00331E80">
      <w:pPr>
        <w:bidi w:val="0"/>
        <w:snapToGrid w:val="0"/>
        <w:jc w:val="both"/>
        <w:rPr>
          <w:b/>
          <w:iCs/>
          <w:sz w:val="20"/>
          <w:szCs w:val="20"/>
        </w:rPr>
      </w:pPr>
    </w:p>
    <w:p w:rsidR="00331E80" w:rsidRDefault="00331E80" w:rsidP="00331E80">
      <w:pPr>
        <w:pStyle w:val="Heading1"/>
        <w:keepNext w:val="0"/>
        <w:keepLines w:val="0"/>
        <w:bidi w:val="0"/>
        <w:snapToGrid w:val="0"/>
        <w:spacing w:before="0"/>
        <w:jc w:val="both"/>
        <w:rPr>
          <w:rFonts w:ascii="Times New Roman" w:eastAsia="Times New Roman" w:hAnsi="Times New Roman" w:cs="Times New Roman"/>
          <w:color w:val="auto"/>
          <w:sz w:val="20"/>
          <w:szCs w:val="20"/>
          <w:lang w:bidi="ar-EG"/>
        </w:rPr>
        <w:sectPr w:rsidR="00331E80" w:rsidSect="00323F80">
          <w:headerReference w:type="default" r:id="rId11"/>
          <w:footerReference w:type="even" r:id="rId12"/>
          <w:footerReference w:type="default" r:id="rId13"/>
          <w:type w:val="continuous"/>
          <w:pgSz w:w="12240" w:h="15840" w:code="9"/>
          <w:pgMar w:top="1440" w:right="1440" w:bottom="1440" w:left="1440" w:header="720" w:footer="720" w:gutter="0"/>
          <w:pgBorders w:offsetFrom="page">
            <w:top w:val="none" w:sz="0" w:space="13" w:color="000000" w:shadow="1"/>
            <w:left w:val="none" w:sz="0" w:space="13" w:color="000000" w:shadow="1"/>
            <w:bottom w:val="none" w:sz="0" w:space="13" w:color="000000" w:shadow="1"/>
            <w:right w:val="none" w:sz="0" w:space="0" w:color="000000" w:shadow="1"/>
          </w:pgBorders>
          <w:pgNumType w:start="39"/>
          <w:cols w:space="720"/>
          <w:noEndnote/>
          <w:rtlGutter/>
          <w:docGrid w:linePitch="326"/>
        </w:sectPr>
      </w:pPr>
    </w:p>
    <w:p w:rsidR="001E5ABF" w:rsidRPr="00801C75" w:rsidRDefault="0094756F" w:rsidP="00331E80">
      <w:pPr>
        <w:pStyle w:val="Heading1"/>
        <w:keepNext w:val="0"/>
        <w:keepLines w:val="0"/>
        <w:bidi w:val="0"/>
        <w:snapToGrid w:val="0"/>
        <w:spacing w:before="0"/>
        <w:jc w:val="both"/>
        <w:rPr>
          <w:rFonts w:ascii="Times New Roman" w:eastAsia="Times New Roman" w:hAnsi="Times New Roman" w:cs="Times New Roman"/>
          <w:color w:val="auto"/>
          <w:sz w:val="20"/>
          <w:szCs w:val="20"/>
          <w:lang w:bidi="ar-EG"/>
        </w:rPr>
      </w:pPr>
      <w:r w:rsidRPr="00801C75">
        <w:rPr>
          <w:rFonts w:ascii="Times New Roman" w:eastAsia="Times New Roman" w:hAnsi="Times New Roman" w:cs="Times New Roman"/>
          <w:color w:val="auto"/>
          <w:sz w:val="20"/>
          <w:szCs w:val="20"/>
          <w:lang w:bidi="ar-EG"/>
        </w:rPr>
        <w:lastRenderedPageBreak/>
        <w:t xml:space="preserve">1. </w:t>
      </w:r>
      <w:r w:rsidR="00761402" w:rsidRPr="00801C75">
        <w:rPr>
          <w:rFonts w:ascii="Times New Roman" w:eastAsia="Times New Roman" w:hAnsi="Times New Roman" w:cs="Times New Roman"/>
          <w:color w:val="auto"/>
          <w:sz w:val="20"/>
          <w:szCs w:val="20"/>
          <w:lang w:bidi="ar-EG"/>
        </w:rPr>
        <w:t>Introduction</w:t>
      </w:r>
    </w:p>
    <w:p w:rsidR="00D25C55" w:rsidRPr="00801C75" w:rsidRDefault="00D25C55" w:rsidP="00331E80">
      <w:pPr>
        <w:bidi w:val="0"/>
        <w:snapToGrid w:val="0"/>
        <w:ind w:firstLine="425"/>
        <w:jc w:val="both"/>
        <w:rPr>
          <w:rStyle w:val="CharAttribute0"/>
          <w:rFonts w:eastAsia="Batang"/>
          <w:b/>
          <w:i/>
          <w:iCs/>
          <w:sz w:val="20"/>
          <w:szCs w:val="20"/>
        </w:rPr>
      </w:pPr>
      <w:r w:rsidRPr="00801C75">
        <w:rPr>
          <w:rStyle w:val="CharAttribute0"/>
          <w:rFonts w:eastAsia="Batang"/>
          <w:sz w:val="20"/>
          <w:szCs w:val="20"/>
        </w:rPr>
        <w:t>Colorectal Cancer (CRC) is the third most common cancer worldwide and the fourth after breast, lung and prostate cancers in males, the 3</w:t>
      </w:r>
      <w:r w:rsidRPr="00801C75">
        <w:rPr>
          <w:rStyle w:val="CharAttribute0"/>
          <w:rFonts w:eastAsia="Batang"/>
          <w:sz w:val="20"/>
          <w:szCs w:val="20"/>
          <w:vertAlign w:val="superscript"/>
        </w:rPr>
        <w:t>rd</w:t>
      </w:r>
      <w:r w:rsidRPr="00801C75">
        <w:rPr>
          <w:rStyle w:val="CharAttribute0"/>
          <w:rFonts w:eastAsia="Batang"/>
          <w:sz w:val="20"/>
          <w:szCs w:val="20"/>
          <w:lang w:val="en-GB" w:bidi="ar-EG"/>
        </w:rPr>
        <w:t>in females</w:t>
      </w:r>
      <w:r w:rsidRPr="00801C75">
        <w:rPr>
          <w:rStyle w:val="CharAttribute0"/>
          <w:rFonts w:eastAsia="Batang"/>
          <w:sz w:val="20"/>
          <w:szCs w:val="20"/>
        </w:rPr>
        <w:t xml:space="preserve"> according to latest Surveillance, Epidemiology, and End Results (SEER) data in United States </w:t>
      </w:r>
      <w:r w:rsidRPr="00801C75">
        <w:rPr>
          <w:rStyle w:val="CharAttribute0"/>
          <w:rFonts w:eastAsia="Batang"/>
          <w:b/>
          <w:sz w:val="20"/>
          <w:szCs w:val="20"/>
          <w:vertAlign w:val="superscript"/>
        </w:rPr>
        <w:t>(</w:t>
      </w:r>
      <w:r w:rsidR="00494077" w:rsidRPr="00801C75">
        <w:rPr>
          <w:rStyle w:val="CharAttribute0"/>
          <w:rFonts w:eastAsia="Batang"/>
          <w:b/>
          <w:sz w:val="20"/>
          <w:szCs w:val="20"/>
          <w:vertAlign w:val="superscript"/>
        </w:rPr>
        <w:t>1</w:t>
      </w:r>
      <w:r w:rsidRPr="00801C75">
        <w:rPr>
          <w:rStyle w:val="CharAttribute0"/>
          <w:rFonts w:eastAsia="Batang"/>
          <w:b/>
          <w:sz w:val="20"/>
          <w:szCs w:val="20"/>
          <w:vertAlign w:val="superscript"/>
        </w:rPr>
        <w:t>)</w:t>
      </w:r>
      <w:r w:rsidRPr="00801C75">
        <w:rPr>
          <w:rStyle w:val="CharAttribute0"/>
          <w:rFonts w:eastAsia="Batang"/>
          <w:b/>
          <w:i/>
          <w:iCs/>
          <w:sz w:val="20"/>
          <w:szCs w:val="20"/>
        </w:rPr>
        <w:t>.</w:t>
      </w:r>
    </w:p>
    <w:p w:rsidR="00D25C55" w:rsidRPr="00801C75" w:rsidRDefault="00D25C55" w:rsidP="00331E80">
      <w:pPr>
        <w:bidi w:val="0"/>
        <w:snapToGrid w:val="0"/>
        <w:ind w:firstLine="425"/>
        <w:jc w:val="both"/>
        <w:rPr>
          <w:rStyle w:val="CharAttribute0"/>
          <w:rFonts w:eastAsia="Batang"/>
          <w:b/>
          <w:i/>
          <w:iCs/>
          <w:color w:val="FF0000"/>
          <w:sz w:val="20"/>
          <w:szCs w:val="20"/>
        </w:rPr>
      </w:pPr>
      <w:r w:rsidRPr="00801C75">
        <w:rPr>
          <w:rStyle w:val="CharAttribute0"/>
          <w:rFonts w:eastAsia="Batang"/>
          <w:sz w:val="20"/>
          <w:szCs w:val="20"/>
        </w:rPr>
        <w:t>In 2017</w:t>
      </w:r>
      <w:r w:rsidR="00F63E85" w:rsidRPr="00801C75">
        <w:rPr>
          <w:rStyle w:val="CharAttribute0"/>
          <w:rFonts w:eastAsia="Batang"/>
          <w:sz w:val="20"/>
          <w:szCs w:val="20"/>
        </w:rPr>
        <w:t>, about 95.520 new cases</w:t>
      </w:r>
      <w:r w:rsidRPr="00801C75">
        <w:rPr>
          <w:rStyle w:val="CharAttribute0"/>
          <w:rFonts w:eastAsia="Batang"/>
          <w:sz w:val="20"/>
          <w:szCs w:val="20"/>
        </w:rPr>
        <w:t xml:space="preserve"> diagnosed with colon cancer in the United States and about 39.910 cases with rectal cancer (23.720 males and 16.190 females), and an estimated 27,1</w:t>
      </w:r>
      <w:r w:rsidR="00F63E85" w:rsidRPr="00801C75">
        <w:rPr>
          <w:rStyle w:val="CharAttribute0"/>
          <w:rFonts w:eastAsia="Batang"/>
          <w:sz w:val="20"/>
          <w:szCs w:val="20"/>
        </w:rPr>
        <w:t xml:space="preserve">50 men and 23,110 women </w:t>
      </w:r>
      <w:r w:rsidR="00F63E85" w:rsidRPr="00801C75">
        <w:rPr>
          <w:rStyle w:val="CharAttribute0"/>
          <w:rFonts w:eastAsia="Batang"/>
          <w:sz w:val="20"/>
          <w:szCs w:val="20"/>
          <w:lang w:val="en-GB"/>
        </w:rPr>
        <w:t>died</w:t>
      </w:r>
      <w:r w:rsidRPr="00801C75">
        <w:rPr>
          <w:rStyle w:val="CharAttribute0"/>
          <w:rFonts w:eastAsia="Batang"/>
          <w:sz w:val="20"/>
          <w:szCs w:val="20"/>
        </w:rPr>
        <w:t xml:space="preserve"> from CRC in </w:t>
      </w:r>
      <w:r w:rsidRPr="00801C75">
        <w:rPr>
          <w:rStyle w:val="CharAttribute0"/>
          <w:rFonts w:eastAsia="Batang"/>
          <w:bCs/>
          <w:sz w:val="20"/>
          <w:szCs w:val="20"/>
        </w:rPr>
        <w:t>2017</w:t>
      </w:r>
      <w:r w:rsidRPr="00801C75">
        <w:rPr>
          <w:rStyle w:val="CharAttribute0"/>
          <w:rFonts w:eastAsia="Batang"/>
          <w:b/>
          <w:sz w:val="20"/>
          <w:szCs w:val="20"/>
          <w:vertAlign w:val="superscript"/>
        </w:rPr>
        <w:t>(</w:t>
      </w:r>
      <w:r w:rsidR="00A43F87" w:rsidRPr="00801C75">
        <w:rPr>
          <w:rStyle w:val="CharAttribute0"/>
          <w:rFonts w:eastAsia="Batang"/>
          <w:b/>
          <w:sz w:val="20"/>
          <w:szCs w:val="20"/>
          <w:vertAlign w:val="superscript"/>
        </w:rPr>
        <w:t>2</w:t>
      </w:r>
      <w:r w:rsidRPr="00801C75">
        <w:rPr>
          <w:rStyle w:val="CharAttribute0"/>
          <w:rFonts w:eastAsia="Batang"/>
          <w:b/>
          <w:sz w:val="20"/>
          <w:szCs w:val="20"/>
          <w:vertAlign w:val="superscript"/>
        </w:rPr>
        <w:t>)</w:t>
      </w:r>
      <w:r w:rsidRPr="00801C75">
        <w:rPr>
          <w:rStyle w:val="CharAttribute0"/>
          <w:rFonts w:eastAsia="Batang"/>
          <w:b/>
          <w:i/>
          <w:iCs/>
          <w:sz w:val="20"/>
          <w:szCs w:val="20"/>
        </w:rPr>
        <w:t>.</w:t>
      </w:r>
    </w:p>
    <w:p w:rsidR="00981714" w:rsidRPr="00801C75" w:rsidRDefault="00D25C55" w:rsidP="00331E80">
      <w:pPr>
        <w:bidi w:val="0"/>
        <w:snapToGrid w:val="0"/>
        <w:ind w:firstLine="425"/>
        <w:jc w:val="both"/>
        <w:rPr>
          <w:rStyle w:val="CharAttribute0"/>
          <w:rFonts w:eastAsia="Batang"/>
          <w:b/>
          <w:bCs/>
          <w:sz w:val="20"/>
          <w:szCs w:val="20"/>
        </w:rPr>
      </w:pPr>
      <w:r w:rsidRPr="00801C75">
        <w:rPr>
          <w:rStyle w:val="CharAttribute0"/>
          <w:rFonts w:eastAsia="Batang"/>
          <w:sz w:val="20"/>
          <w:szCs w:val="20"/>
        </w:rPr>
        <w:t xml:space="preserve">In Egypt, according to the Egypt National Cancer registry, the incidence rates/100.000 population of individual cancer sites are: in Upper Egypt </w:t>
      </w:r>
      <w:r w:rsidRPr="00801C75">
        <w:rPr>
          <w:rStyle w:val="CharAttribute0"/>
          <w:rFonts w:eastAsia="Batang"/>
          <w:bCs/>
          <w:sz w:val="20"/>
          <w:szCs w:val="20"/>
        </w:rPr>
        <w:t>in2008</w:t>
      </w:r>
      <w:r w:rsidRPr="00801C75">
        <w:rPr>
          <w:rStyle w:val="CharAttribute0"/>
          <w:rFonts w:eastAsia="Batang"/>
          <w:sz w:val="20"/>
          <w:szCs w:val="20"/>
        </w:rPr>
        <w:t xml:space="preserve"> were 6.2 and 9.6, respectively; in Middle Egypt incidences were 6.7 and 9.7, </w:t>
      </w:r>
      <w:r w:rsidRPr="00801C75">
        <w:rPr>
          <w:rStyle w:val="CharAttribute0"/>
          <w:rFonts w:eastAsia="Batang"/>
          <w:sz w:val="20"/>
          <w:szCs w:val="20"/>
        </w:rPr>
        <w:lastRenderedPageBreak/>
        <w:t xml:space="preserve">respectively; while in Lower Egypt </w:t>
      </w:r>
      <w:r w:rsidRPr="00801C75">
        <w:rPr>
          <w:rStyle w:val="CharAttribute0"/>
          <w:rFonts w:eastAsia="Batang"/>
          <w:bCs/>
          <w:sz w:val="20"/>
          <w:szCs w:val="20"/>
        </w:rPr>
        <w:t>values were 8.0 and 10.7, respectively for both males and female</w:t>
      </w:r>
      <w:r w:rsidR="00801C75" w:rsidRPr="00801C75">
        <w:rPr>
          <w:rStyle w:val="CharAttribute0"/>
          <w:rFonts w:eastAsia="Batang"/>
          <w:bCs/>
          <w:sz w:val="20"/>
          <w:szCs w:val="20"/>
        </w:rPr>
        <w:t xml:space="preserve">s </w:t>
      </w:r>
      <w:r w:rsidR="00801C75" w:rsidRPr="00801C75">
        <w:rPr>
          <w:rStyle w:val="CharAttribute0"/>
          <w:rFonts w:eastAsia="Batang"/>
          <w:b/>
          <w:iCs/>
          <w:sz w:val="20"/>
          <w:szCs w:val="20"/>
          <w:vertAlign w:val="superscript"/>
        </w:rPr>
        <w:t>(</w:t>
      </w:r>
      <w:r w:rsidR="00160890" w:rsidRPr="00801C75">
        <w:rPr>
          <w:rStyle w:val="CharAttribute0"/>
          <w:rFonts w:eastAsia="Batang"/>
          <w:b/>
          <w:iCs/>
          <w:sz w:val="20"/>
          <w:szCs w:val="20"/>
          <w:vertAlign w:val="superscript"/>
        </w:rPr>
        <w:t>3)</w:t>
      </w:r>
      <w:r w:rsidR="00160890" w:rsidRPr="00801C75">
        <w:rPr>
          <w:rStyle w:val="CharAttribute0"/>
          <w:rFonts w:eastAsia="Batang"/>
          <w:bCs/>
          <w:iCs/>
          <w:sz w:val="20"/>
          <w:szCs w:val="20"/>
        </w:rPr>
        <w:t>.</w:t>
      </w:r>
    </w:p>
    <w:p w:rsidR="00D25C55" w:rsidRPr="00801C75" w:rsidRDefault="00D25C55" w:rsidP="00331E80">
      <w:pPr>
        <w:bidi w:val="0"/>
        <w:snapToGrid w:val="0"/>
        <w:ind w:firstLine="425"/>
        <w:jc w:val="both"/>
        <w:rPr>
          <w:rStyle w:val="CharAttribute0"/>
          <w:rFonts w:eastAsia="Batang"/>
          <w:b/>
          <w:i/>
          <w:sz w:val="20"/>
          <w:szCs w:val="20"/>
        </w:rPr>
      </w:pPr>
      <w:r w:rsidRPr="00801C75">
        <w:rPr>
          <w:rStyle w:val="CharAttribute0"/>
          <w:rFonts w:eastAsia="Batang"/>
          <w:sz w:val="20"/>
          <w:szCs w:val="20"/>
        </w:rPr>
        <w:t>Aside from age and race, many of the known risk factors for CRC including heredity and family history (30% of colorectal cancer is associated with family history and 5% with inherited syndromes such as Familial Adenomatous Polyposis (FAP), Attenuated FAP, and human non-polyposis colorectal cancer)</w:t>
      </w:r>
      <w:r w:rsidRPr="00801C75">
        <w:rPr>
          <w:rStyle w:val="CharAttribute0"/>
          <w:rFonts w:eastAsia="Batang"/>
          <w:bCs/>
          <w:sz w:val="20"/>
          <w:szCs w:val="20"/>
        </w:rPr>
        <w:t>,</w:t>
      </w:r>
      <w:r w:rsidRPr="00801C75">
        <w:rPr>
          <w:rStyle w:val="CharAttribute0"/>
          <w:rFonts w:eastAsia="Batang"/>
          <w:sz w:val="20"/>
          <w:szCs w:val="20"/>
        </w:rPr>
        <w:t xml:space="preserve"> chronic inflammatory bowel disease</w:t>
      </w:r>
      <w:r w:rsidR="00331E80" w:rsidRPr="00801C75">
        <w:rPr>
          <w:rStyle w:val="CharAttribute0"/>
          <w:rFonts w:eastAsia="Batang"/>
          <w:sz w:val="20"/>
          <w:szCs w:val="20"/>
        </w:rPr>
        <w:t>,</w:t>
      </w:r>
      <w:r w:rsidR="00331E80">
        <w:rPr>
          <w:rStyle w:val="CharAttribute0"/>
          <w:rFonts w:eastAsia="Batang"/>
          <w:sz w:val="20"/>
          <w:szCs w:val="20"/>
        </w:rPr>
        <w:t xml:space="preserve"> </w:t>
      </w:r>
      <w:r w:rsidR="00331E80" w:rsidRPr="00801C75">
        <w:rPr>
          <w:rStyle w:val="CharAttribute0"/>
          <w:rFonts w:eastAsia="Batang"/>
          <w:sz w:val="20"/>
          <w:szCs w:val="20"/>
        </w:rPr>
        <w:t>o</w:t>
      </w:r>
      <w:r w:rsidRPr="00801C75">
        <w:rPr>
          <w:rStyle w:val="CharAttribute0"/>
          <w:rFonts w:eastAsia="Batang"/>
          <w:sz w:val="20"/>
          <w:szCs w:val="20"/>
        </w:rPr>
        <w:t>verweight, diabetes, obesity</w:t>
      </w:r>
      <w:r w:rsidR="00331E80" w:rsidRPr="00801C75">
        <w:rPr>
          <w:rStyle w:val="CharAttribute0"/>
          <w:rFonts w:eastAsia="Batang"/>
          <w:sz w:val="20"/>
          <w:szCs w:val="20"/>
        </w:rPr>
        <w:t>,</w:t>
      </w:r>
      <w:r w:rsidR="00331E80">
        <w:rPr>
          <w:rStyle w:val="CharAttribute0"/>
          <w:rFonts w:eastAsia="Batang"/>
          <w:sz w:val="20"/>
          <w:szCs w:val="20"/>
        </w:rPr>
        <w:t xml:space="preserve"> </w:t>
      </w:r>
      <w:r w:rsidR="00331E80" w:rsidRPr="00801C75">
        <w:rPr>
          <w:rStyle w:val="CharAttribute0"/>
          <w:rFonts w:eastAsia="Batang"/>
          <w:sz w:val="20"/>
          <w:szCs w:val="20"/>
        </w:rPr>
        <w:t>p</w:t>
      </w:r>
      <w:r w:rsidRPr="00801C75">
        <w:rPr>
          <w:rStyle w:val="CharAttribute0"/>
          <w:rFonts w:eastAsia="Batang"/>
          <w:sz w:val="20"/>
          <w:szCs w:val="20"/>
        </w:rPr>
        <w:t>hysical inactivity, smoking, alcohol use</w:t>
      </w:r>
      <w:r w:rsidR="00F026DF" w:rsidRPr="00801C75">
        <w:rPr>
          <w:rStyle w:val="CharAttribute0"/>
          <w:rFonts w:eastAsia="Batang"/>
          <w:sz w:val="20"/>
          <w:szCs w:val="20"/>
        </w:rPr>
        <w:t>,</w:t>
      </w:r>
      <w:r w:rsidRPr="00801C75">
        <w:rPr>
          <w:rStyle w:val="CharAttribute0"/>
          <w:rFonts w:eastAsia="Batang"/>
          <w:sz w:val="20"/>
          <w:szCs w:val="20"/>
        </w:rPr>
        <w:t xml:space="preserve"> low calcium, fiber and folate diet all are considered personal and behavioral risk factors for colorectal cance</w:t>
      </w:r>
      <w:r w:rsidR="00801C75" w:rsidRPr="00801C75">
        <w:rPr>
          <w:rStyle w:val="CharAttribute0"/>
          <w:rFonts w:eastAsia="Batang"/>
          <w:sz w:val="20"/>
          <w:szCs w:val="20"/>
        </w:rPr>
        <w:t xml:space="preserve">r </w:t>
      </w:r>
      <w:r w:rsidR="00801C75" w:rsidRPr="00801C75">
        <w:rPr>
          <w:rStyle w:val="CharAttribute0"/>
          <w:rFonts w:eastAsia="Batang"/>
          <w:b/>
          <w:iCs/>
          <w:sz w:val="20"/>
          <w:szCs w:val="20"/>
          <w:vertAlign w:val="superscript"/>
        </w:rPr>
        <w:t>(</w:t>
      </w:r>
      <w:r w:rsidR="00DB46F5" w:rsidRPr="00801C75">
        <w:rPr>
          <w:rStyle w:val="CharAttribute0"/>
          <w:rFonts w:eastAsia="Batang"/>
          <w:b/>
          <w:iCs/>
          <w:sz w:val="20"/>
          <w:szCs w:val="20"/>
          <w:vertAlign w:val="superscript"/>
        </w:rPr>
        <w:t>4</w:t>
      </w:r>
      <w:r w:rsidRPr="00801C75">
        <w:rPr>
          <w:rStyle w:val="CharAttribute0"/>
          <w:rFonts w:eastAsia="Batang"/>
          <w:b/>
          <w:iCs/>
          <w:sz w:val="20"/>
          <w:szCs w:val="20"/>
          <w:vertAlign w:val="superscript"/>
        </w:rPr>
        <w:t>)</w:t>
      </w:r>
      <w:r w:rsidRPr="00801C75">
        <w:rPr>
          <w:rStyle w:val="CharAttribute0"/>
          <w:rFonts w:eastAsia="Batang"/>
          <w:b/>
          <w:i/>
          <w:sz w:val="20"/>
          <w:szCs w:val="20"/>
        </w:rPr>
        <w:t>.</w:t>
      </w:r>
    </w:p>
    <w:p w:rsidR="00D25C55" w:rsidRPr="00801C75" w:rsidRDefault="00D25C55" w:rsidP="00331E80">
      <w:pPr>
        <w:bidi w:val="0"/>
        <w:snapToGrid w:val="0"/>
        <w:ind w:firstLine="425"/>
        <w:jc w:val="both"/>
        <w:rPr>
          <w:rStyle w:val="CharAttribute0"/>
          <w:rFonts w:eastAsia="Batang"/>
          <w:b/>
          <w:i/>
          <w:sz w:val="20"/>
          <w:szCs w:val="20"/>
          <w:lang w:bidi="ar-EG"/>
        </w:rPr>
      </w:pPr>
      <w:r w:rsidRPr="00801C75">
        <w:rPr>
          <w:rStyle w:val="CharAttribute0"/>
          <w:rFonts w:eastAsia="Batang"/>
          <w:sz w:val="20"/>
          <w:szCs w:val="20"/>
          <w:lang w:bidi="ar-EG"/>
        </w:rPr>
        <w:t xml:space="preserve">Surgery is the main treatment modality in treating potentially curable cases aiming at complete removal of tumor with negative margins and involved </w:t>
      </w:r>
      <w:r w:rsidRPr="00801C75">
        <w:rPr>
          <w:rStyle w:val="CharAttribute0"/>
          <w:rFonts w:eastAsia="Batang"/>
          <w:sz w:val="20"/>
          <w:szCs w:val="20"/>
          <w:lang w:bidi="ar-EG"/>
        </w:rPr>
        <w:lastRenderedPageBreak/>
        <w:t>lymph nodes (LNs)</w:t>
      </w:r>
      <w:r w:rsidR="00331E80" w:rsidRPr="00801C75">
        <w:rPr>
          <w:rStyle w:val="CharAttribute0"/>
          <w:rFonts w:eastAsia="Batang"/>
          <w:sz w:val="20"/>
          <w:szCs w:val="20"/>
          <w:lang w:bidi="ar-EG"/>
        </w:rPr>
        <w:t>.</w:t>
      </w:r>
      <w:r w:rsidR="00331E80">
        <w:rPr>
          <w:rStyle w:val="CharAttribute0"/>
          <w:rFonts w:eastAsia="Batang"/>
          <w:sz w:val="20"/>
          <w:szCs w:val="20"/>
          <w:lang w:bidi="ar-EG"/>
        </w:rPr>
        <w:t xml:space="preserve"> </w:t>
      </w:r>
      <w:r w:rsidR="00331E80" w:rsidRPr="00801C75">
        <w:rPr>
          <w:rStyle w:val="CharAttribute0"/>
          <w:rFonts w:eastAsia="Batang"/>
          <w:sz w:val="20"/>
          <w:szCs w:val="20"/>
          <w:lang w:bidi="ar-EG"/>
        </w:rPr>
        <w:t>A</w:t>
      </w:r>
      <w:r w:rsidRPr="00801C75">
        <w:rPr>
          <w:rStyle w:val="CharAttribute0"/>
          <w:rFonts w:eastAsia="Batang"/>
          <w:sz w:val="20"/>
          <w:szCs w:val="20"/>
          <w:lang w:bidi="ar-EG"/>
        </w:rPr>
        <w:t>djuvant chemotherapy is standard for patients with stage III disease. Its use in stage II disease is controversial, with ongoing studies seeking to confirm which markers might identify patients who would benefi</w:t>
      </w:r>
      <w:r w:rsidR="00A54828" w:rsidRPr="00801C75">
        <w:rPr>
          <w:rStyle w:val="CharAttribute0"/>
          <w:rFonts w:eastAsia="Batang"/>
          <w:sz w:val="20"/>
          <w:szCs w:val="20"/>
          <w:lang w:bidi="ar-EG"/>
        </w:rPr>
        <w:t xml:space="preserve">t </w:t>
      </w:r>
      <w:r w:rsidR="00A54828" w:rsidRPr="00801C75">
        <w:rPr>
          <w:rStyle w:val="CharAttribute0"/>
          <w:rFonts w:eastAsia="Batang"/>
          <w:b/>
          <w:bCs/>
          <w:sz w:val="20"/>
          <w:szCs w:val="20"/>
          <w:vertAlign w:val="superscript"/>
          <w:lang w:bidi="ar-EG"/>
        </w:rPr>
        <w:t>(5)</w:t>
      </w:r>
      <w:r w:rsidR="00A54828" w:rsidRPr="00801C75">
        <w:rPr>
          <w:rStyle w:val="CharAttribute0"/>
          <w:rFonts w:eastAsia="Batang"/>
          <w:sz w:val="20"/>
          <w:szCs w:val="20"/>
          <w:lang w:bidi="ar-EG"/>
        </w:rPr>
        <w:t>.</w:t>
      </w:r>
    </w:p>
    <w:p w:rsidR="00D25C55" w:rsidRPr="00801C75" w:rsidRDefault="00D25C55" w:rsidP="00331E80">
      <w:pPr>
        <w:bidi w:val="0"/>
        <w:snapToGrid w:val="0"/>
        <w:ind w:firstLine="425"/>
        <w:jc w:val="both"/>
        <w:rPr>
          <w:rStyle w:val="CharAttribute0"/>
          <w:rFonts w:eastAsia="Batang"/>
          <w:i/>
          <w:sz w:val="20"/>
          <w:szCs w:val="20"/>
          <w:lang w:bidi="ar-EG"/>
        </w:rPr>
      </w:pPr>
      <w:r w:rsidRPr="00801C75">
        <w:rPr>
          <w:rStyle w:val="CharAttribute0"/>
          <w:rFonts w:eastAsia="Batang"/>
          <w:sz w:val="20"/>
          <w:szCs w:val="20"/>
          <w:lang w:bidi="ar-EG"/>
        </w:rPr>
        <w:t xml:space="preserve">According to College of American pathologists (CAP) guidelines, factors that were determined to merit inclusion in Category I prognostic factors include: local extend of tumor according to American Joint Committee on Cancer (AJCC), regional Lymph nodes metastasis, residual tumor following surgery with curative intent and tumor grade (considered a stage independent prognostic variable) </w:t>
      </w:r>
      <w:r w:rsidRPr="00801C75">
        <w:rPr>
          <w:b/>
          <w:iCs/>
          <w:sz w:val="20"/>
          <w:szCs w:val="20"/>
          <w:vertAlign w:val="superscript"/>
        </w:rPr>
        <w:t>(</w:t>
      </w:r>
      <w:r w:rsidR="000C19DB" w:rsidRPr="00801C75">
        <w:rPr>
          <w:b/>
          <w:iCs/>
          <w:sz w:val="20"/>
          <w:szCs w:val="20"/>
          <w:vertAlign w:val="superscript"/>
        </w:rPr>
        <w:t>6</w:t>
      </w:r>
      <w:r w:rsidRPr="00801C75">
        <w:rPr>
          <w:b/>
          <w:iCs/>
          <w:sz w:val="20"/>
          <w:szCs w:val="20"/>
          <w:vertAlign w:val="superscript"/>
        </w:rPr>
        <w:t>)</w:t>
      </w:r>
      <w:r w:rsidRPr="00801C75">
        <w:rPr>
          <w:b/>
          <w:i/>
          <w:sz w:val="20"/>
          <w:szCs w:val="20"/>
        </w:rPr>
        <w:t>.</w:t>
      </w:r>
    </w:p>
    <w:p w:rsidR="00AA414E" w:rsidRPr="00801C75" w:rsidRDefault="00D25C55" w:rsidP="00331E80">
      <w:pPr>
        <w:bidi w:val="0"/>
        <w:snapToGrid w:val="0"/>
        <w:ind w:firstLine="425"/>
        <w:jc w:val="both"/>
        <w:rPr>
          <w:rStyle w:val="CharAttribute0"/>
          <w:rFonts w:eastAsia="Batang"/>
          <w:bCs/>
          <w:sz w:val="20"/>
          <w:szCs w:val="20"/>
          <w:lang w:bidi="ar-EG"/>
        </w:rPr>
      </w:pPr>
      <w:r w:rsidRPr="00801C75">
        <w:rPr>
          <w:rStyle w:val="CharAttribute0"/>
          <w:rFonts w:eastAsia="Batang"/>
          <w:sz w:val="20"/>
          <w:szCs w:val="20"/>
          <w:lang w:bidi="ar-EG"/>
        </w:rPr>
        <w:t>However, it’s increasingly recognized that variations in outcome in cancer patients are not solely determined by the characteristics of the tumor, but also by the host response factors and systemic inflammatory response</w:t>
      </w:r>
      <w:r w:rsidR="00801C75" w:rsidRPr="00801C75">
        <w:rPr>
          <w:rStyle w:val="CharAttribute0"/>
          <w:rFonts w:eastAsia="Batang"/>
          <w:bCs/>
          <w:sz w:val="20"/>
          <w:szCs w:val="20"/>
          <w:lang w:bidi="ar-EG"/>
        </w:rPr>
        <w:t xml:space="preserve">. </w:t>
      </w:r>
      <w:r w:rsidR="00801C75" w:rsidRPr="00801C75">
        <w:rPr>
          <w:rStyle w:val="CharAttribute0"/>
          <w:rFonts w:eastAsia="Batang"/>
          <w:b/>
          <w:sz w:val="20"/>
          <w:szCs w:val="20"/>
          <w:vertAlign w:val="superscript"/>
          <w:lang w:bidi="ar-EG"/>
        </w:rPr>
        <w:t>(</w:t>
      </w:r>
      <w:r w:rsidR="004F3F10" w:rsidRPr="00801C75">
        <w:rPr>
          <w:rStyle w:val="CharAttribute0"/>
          <w:rFonts w:eastAsia="Batang"/>
          <w:b/>
          <w:sz w:val="20"/>
          <w:szCs w:val="20"/>
          <w:vertAlign w:val="superscript"/>
          <w:lang w:bidi="ar-EG"/>
        </w:rPr>
        <w:t>7)</w:t>
      </w:r>
    </w:p>
    <w:p w:rsidR="00D25C55" w:rsidRPr="00801C75" w:rsidRDefault="008D3F74" w:rsidP="00331E80">
      <w:pPr>
        <w:bidi w:val="0"/>
        <w:snapToGrid w:val="0"/>
        <w:ind w:firstLine="425"/>
        <w:jc w:val="both"/>
        <w:rPr>
          <w:rStyle w:val="CharAttribute0"/>
          <w:rFonts w:eastAsia="Batang"/>
          <w:b/>
          <w:sz w:val="20"/>
          <w:szCs w:val="20"/>
          <w:lang w:bidi="ar-EG"/>
        </w:rPr>
      </w:pPr>
      <w:r w:rsidRPr="00801C75">
        <w:rPr>
          <w:rStyle w:val="CharAttribute0"/>
          <w:rFonts w:eastAsia="Batang"/>
          <w:bCs/>
          <w:sz w:val="20"/>
          <w:szCs w:val="20"/>
          <w:lang w:bidi="ar-EG"/>
        </w:rPr>
        <w:t>T</w:t>
      </w:r>
      <w:r w:rsidR="00D25C55" w:rsidRPr="00801C75">
        <w:rPr>
          <w:rStyle w:val="CharAttribute0"/>
          <w:rFonts w:eastAsia="Batang"/>
          <w:sz w:val="20"/>
          <w:szCs w:val="20"/>
          <w:lang w:bidi="ar-EG"/>
        </w:rPr>
        <w:t xml:space="preserve">he tumor microenvironment, particularly the inflammatory </w:t>
      </w:r>
      <w:r w:rsidR="00F63E85" w:rsidRPr="00801C75">
        <w:rPr>
          <w:rStyle w:val="CharAttribute0"/>
          <w:rFonts w:eastAsia="Batang"/>
          <w:sz w:val="20"/>
          <w:szCs w:val="20"/>
          <w:lang w:bidi="ar-EG"/>
        </w:rPr>
        <w:t>response) especially</w:t>
      </w:r>
      <w:r w:rsidR="00F63E85" w:rsidRPr="00801C75">
        <w:rPr>
          <w:rStyle w:val="CharAttribute0"/>
          <w:rFonts w:eastAsia="Batang"/>
          <w:sz w:val="20"/>
          <w:szCs w:val="20"/>
          <w:lang w:val="en-GB" w:bidi="ar-EG"/>
        </w:rPr>
        <w:t xml:space="preserve"> neutrophil to lymphocyte ratio and platelet count)</w:t>
      </w:r>
      <w:r w:rsidR="00D25C55" w:rsidRPr="00801C75">
        <w:rPr>
          <w:rStyle w:val="CharAttribute0"/>
          <w:rFonts w:eastAsia="Batang"/>
          <w:sz w:val="20"/>
          <w:szCs w:val="20"/>
          <w:lang w:bidi="ar-EG"/>
        </w:rPr>
        <w:t>, proven to play an important role in in cancer development and progressio</w:t>
      </w:r>
      <w:r w:rsidR="00801C75" w:rsidRPr="00801C75">
        <w:rPr>
          <w:rStyle w:val="CharAttribute0"/>
          <w:rFonts w:eastAsia="Batang"/>
          <w:sz w:val="20"/>
          <w:szCs w:val="20"/>
          <w:lang w:bidi="ar-EG"/>
        </w:rPr>
        <w:t xml:space="preserve">n </w:t>
      </w:r>
      <w:r w:rsidR="00801C75" w:rsidRPr="00801C75">
        <w:rPr>
          <w:rStyle w:val="CharAttribute0"/>
          <w:rFonts w:eastAsia="Batang"/>
          <w:b/>
          <w:iCs/>
          <w:sz w:val="20"/>
          <w:szCs w:val="20"/>
          <w:vertAlign w:val="superscript"/>
          <w:lang w:bidi="ar-EG"/>
        </w:rPr>
        <w:t>(</w:t>
      </w:r>
      <w:r w:rsidR="00C16147" w:rsidRPr="00801C75">
        <w:rPr>
          <w:rStyle w:val="CharAttribute0"/>
          <w:rFonts w:eastAsia="Batang"/>
          <w:b/>
          <w:iCs/>
          <w:sz w:val="20"/>
          <w:szCs w:val="20"/>
          <w:vertAlign w:val="superscript"/>
          <w:lang w:bidi="ar-EG"/>
        </w:rPr>
        <w:t>8)</w:t>
      </w:r>
      <w:r w:rsidR="00D25C55" w:rsidRPr="00801C75">
        <w:rPr>
          <w:rStyle w:val="CharAttribute0"/>
          <w:rFonts w:eastAsia="Batang"/>
          <w:b/>
          <w:i/>
          <w:sz w:val="20"/>
          <w:szCs w:val="20"/>
          <w:lang w:bidi="ar-EG"/>
        </w:rPr>
        <w:t>.</w:t>
      </w:r>
    </w:p>
    <w:p w:rsidR="00D25C55" w:rsidRPr="00801C75" w:rsidRDefault="00D25C55" w:rsidP="00331E80">
      <w:pPr>
        <w:bidi w:val="0"/>
        <w:snapToGrid w:val="0"/>
        <w:ind w:firstLine="425"/>
        <w:jc w:val="both"/>
        <w:rPr>
          <w:rStyle w:val="CharAttribute0"/>
          <w:rFonts w:eastAsia="Batang"/>
          <w:b/>
          <w:i/>
          <w:sz w:val="20"/>
          <w:szCs w:val="20"/>
          <w:lang w:bidi="ar-EG"/>
        </w:rPr>
      </w:pPr>
      <w:r w:rsidRPr="00801C75">
        <w:rPr>
          <w:rStyle w:val="CharAttribute0"/>
          <w:rFonts w:eastAsia="Batang"/>
          <w:sz w:val="20"/>
          <w:szCs w:val="20"/>
          <w:lang w:bidi="ar-EG"/>
        </w:rPr>
        <w:t>Interleukin -6 is known to be multifunctional cytokine that acts on variety of cells, stimulates hepatocytes to induce acute phase proteins including CRP and decrease in serum albumin leve</w:t>
      </w:r>
      <w:r w:rsidR="00801C75" w:rsidRPr="00801C75">
        <w:rPr>
          <w:rStyle w:val="CharAttribute0"/>
          <w:rFonts w:eastAsia="Batang"/>
          <w:sz w:val="20"/>
          <w:szCs w:val="20"/>
          <w:lang w:bidi="ar-EG"/>
        </w:rPr>
        <w:t xml:space="preserve">l </w:t>
      </w:r>
      <w:r w:rsidR="00801C75" w:rsidRPr="00801C75">
        <w:rPr>
          <w:rStyle w:val="CharAttribute0"/>
          <w:rFonts w:eastAsia="Batang"/>
          <w:b/>
          <w:bCs/>
          <w:sz w:val="20"/>
          <w:szCs w:val="20"/>
          <w:vertAlign w:val="superscript"/>
          <w:lang w:bidi="ar-EG"/>
        </w:rPr>
        <w:t>(</w:t>
      </w:r>
      <w:r w:rsidR="00C16147" w:rsidRPr="00801C75">
        <w:rPr>
          <w:rStyle w:val="CharAttribute0"/>
          <w:rFonts w:eastAsia="Batang"/>
          <w:b/>
          <w:sz w:val="20"/>
          <w:szCs w:val="20"/>
          <w:vertAlign w:val="superscript"/>
          <w:lang w:bidi="ar-EG"/>
        </w:rPr>
        <w:t>9</w:t>
      </w:r>
      <w:r w:rsidRPr="00801C75">
        <w:rPr>
          <w:rStyle w:val="CharAttribute0"/>
          <w:rFonts w:eastAsia="Batang"/>
          <w:sz w:val="20"/>
          <w:szCs w:val="20"/>
          <w:vertAlign w:val="superscript"/>
          <w:lang w:bidi="ar-EG"/>
        </w:rPr>
        <w:t>)</w:t>
      </w:r>
      <w:r w:rsidRPr="00801C75">
        <w:rPr>
          <w:rStyle w:val="CharAttribute0"/>
          <w:rFonts w:eastAsia="Batang"/>
          <w:bCs/>
          <w:iCs/>
          <w:sz w:val="20"/>
          <w:szCs w:val="20"/>
          <w:lang w:bidi="ar-EG"/>
        </w:rPr>
        <w:t>.</w:t>
      </w:r>
    </w:p>
    <w:p w:rsidR="00D25C55" w:rsidRPr="00801C75" w:rsidRDefault="00D25C55" w:rsidP="00331E80">
      <w:pPr>
        <w:bidi w:val="0"/>
        <w:snapToGrid w:val="0"/>
        <w:ind w:firstLine="425"/>
        <w:jc w:val="both"/>
        <w:rPr>
          <w:rStyle w:val="CharAttribute0"/>
          <w:rFonts w:eastAsia="Batang"/>
          <w:i/>
          <w:iCs/>
          <w:sz w:val="20"/>
          <w:szCs w:val="20"/>
          <w:lang w:bidi="ar-EG"/>
        </w:rPr>
      </w:pPr>
      <w:r w:rsidRPr="00801C75">
        <w:rPr>
          <w:rStyle w:val="CharAttribute0"/>
          <w:rFonts w:eastAsia="Batang"/>
          <w:sz w:val="20"/>
          <w:szCs w:val="20"/>
          <w:lang w:bidi="ar-EG"/>
        </w:rPr>
        <w:t xml:space="preserve">It elicits </w:t>
      </w:r>
      <w:r w:rsidR="00F63E85" w:rsidRPr="00801C75">
        <w:rPr>
          <w:rStyle w:val="CharAttribute0"/>
          <w:rFonts w:eastAsia="Batang"/>
          <w:sz w:val="20"/>
          <w:szCs w:val="20"/>
          <w:lang w:bidi="ar-EG"/>
        </w:rPr>
        <w:t xml:space="preserve">that elevated platelets </w:t>
      </w:r>
      <w:r w:rsidRPr="00801C75">
        <w:rPr>
          <w:rStyle w:val="CharAttribute0"/>
          <w:rFonts w:eastAsia="Batang"/>
          <w:sz w:val="20"/>
          <w:szCs w:val="20"/>
          <w:lang w:bidi="ar-EG"/>
        </w:rPr>
        <w:t>are also related to mechanism underlying host systemic inflammatory response (SIR). So, SIR can be assessed by examining the changes in the cellular components such as neutrophils, lymphocytes, monocytes, and platelet</w:t>
      </w:r>
      <w:r w:rsidR="00801C75" w:rsidRPr="00801C75">
        <w:rPr>
          <w:rStyle w:val="CharAttribute0"/>
          <w:rFonts w:eastAsia="Batang"/>
          <w:sz w:val="20"/>
          <w:szCs w:val="20"/>
          <w:lang w:bidi="ar-EG"/>
        </w:rPr>
        <w:t xml:space="preserve">s </w:t>
      </w:r>
      <w:r w:rsidR="00801C75" w:rsidRPr="00801C75">
        <w:rPr>
          <w:rStyle w:val="CharAttribute0"/>
          <w:rFonts w:eastAsia="Batang"/>
          <w:b/>
          <w:sz w:val="20"/>
          <w:szCs w:val="20"/>
          <w:vertAlign w:val="superscript"/>
          <w:lang w:bidi="ar-EG"/>
        </w:rPr>
        <w:t>(</w:t>
      </w:r>
      <w:r w:rsidR="00C16147" w:rsidRPr="00801C75">
        <w:rPr>
          <w:rStyle w:val="CharAttribute0"/>
          <w:rFonts w:eastAsia="Batang"/>
          <w:b/>
          <w:sz w:val="20"/>
          <w:szCs w:val="20"/>
          <w:vertAlign w:val="superscript"/>
          <w:lang w:bidi="ar-EG"/>
        </w:rPr>
        <w:t>10</w:t>
      </w:r>
      <w:r w:rsidRPr="00801C75">
        <w:rPr>
          <w:rStyle w:val="CharAttribute0"/>
          <w:rFonts w:eastAsia="Batang"/>
          <w:b/>
          <w:sz w:val="20"/>
          <w:szCs w:val="20"/>
          <w:vertAlign w:val="superscript"/>
          <w:lang w:bidi="ar-EG"/>
        </w:rPr>
        <w:t>)</w:t>
      </w:r>
      <w:r w:rsidR="00C16147" w:rsidRPr="00801C75">
        <w:rPr>
          <w:rStyle w:val="CharAttribute0"/>
          <w:rFonts w:eastAsia="Batang"/>
          <w:bCs/>
          <w:sz w:val="20"/>
          <w:szCs w:val="20"/>
          <w:lang w:bidi="ar-EG"/>
        </w:rPr>
        <w:t>.</w:t>
      </w:r>
    </w:p>
    <w:p w:rsidR="00D25C55" w:rsidRPr="00801C75" w:rsidRDefault="00F63E85" w:rsidP="00331E80">
      <w:pPr>
        <w:bidi w:val="0"/>
        <w:snapToGrid w:val="0"/>
        <w:ind w:firstLine="425"/>
        <w:jc w:val="both"/>
        <w:rPr>
          <w:rStyle w:val="CharAttribute0"/>
          <w:rFonts w:eastAsia="Batang"/>
          <w:sz w:val="20"/>
          <w:szCs w:val="20"/>
          <w:lang w:bidi="ar-EG"/>
        </w:rPr>
      </w:pPr>
      <w:r w:rsidRPr="00801C75">
        <w:rPr>
          <w:rStyle w:val="CharAttribute0"/>
          <w:rFonts w:eastAsia="Batang"/>
          <w:sz w:val="20"/>
          <w:szCs w:val="20"/>
          <w:lang w:bidi="ar-EG"/>
        </w:rPr>
        <w:t xml:space="preserve">Over the last 10 years, many international studies investigated </w:t>
      </w:r>
      <w:r w:rsidR="00D25C55" w:rsidRPr="00801C75">
        <w:rPr>
          <w:rStyle w:val="CharAttribute0"/>
          <w:rFonts w:eastAsia="Batang"/>
          <w:sz w:val="20"/>
          <w:szCs w:val="20"/>
          <w:lang w:bidi="ar-EG"/>
        </w:rPr>
        <w:t>those laboratory marke</w:t>
      </w:r>
      <w:r w:rsidRPr="00801C75">
        <w:rPr>
          <w:rStyle w:val="CharAttribute0"/>
          <w:rFonts w:eastAsia="Batang"/>
          <w:sz w:val="20"/>
          <w:szCs w:val="20"/>
          <w:lang w:bidi="ar-EG"/>
        </w:rPr>
        <w:t>rs of SIR</w:t>
      </w:r>
      <w:r w:rsidR="00D25C55" w:rsidRPr="00801C75">
        <w:rPr>
          <w:rStyle w:val="CharAttribute0"/>
          <w:rFonts w:eastAsia="Batang"/>
          <w:sz w:val="20"/>
          <w:szCs w:val="20"/>
          <w:lang w:bidi="ar-EG"/>
        </w:rPr>
        <w:t xml:space="preserve"> as prognostic factors in different cancer populations with the best evidence for their use in surgical patients with CRC </w:t>
      </w:r>
      <w:r w:rsidR="00836AD7" w:rsidRPr="00801C75">
        <w:rPr>
          <w:rStyle w:val="CharAttribute0"/>
          <w:rFonts w:eastAsia="Batang"/>
          <w:b/>
          <w:bCs/>
          <w:sz w:val="20"/>
          <w:szCs w:val="20"/>
          <w:vertAlign w:val="superscript"/>
          <w:lang w:bidi="ar-EG"/>
        </w:rPr>
        <w:t>(10-13)</w:t>
      </w:r>
      <w:r w:rsidRPr="00801C75">
        <w:rPr>
          <w:rStyle w:val="CharAttribute0"/>
          <w:rFonts w:eastAsia="Batang"/>
          <w:sz w:val="20"/>
          <w:szCs w:val="20"/>
          <w:lang w:bidi="ar-EG"/>
        </w:rPr>
        <w:t>.</w:t>
      </w:r>
    </w:p>
    <w:p w:rsidR="00D25C55" w:rsidRPr="00801C75" w:rsidRDefault="00D25C55" w:rsidP="00331E80">
      <w:pPr>
        <w:bidi w:val="0"/>
        <w:snapToGrid w:val="0"/>
        <w:ind w:firstLine="425"/>
        <w:jc w:val="both"/>
        <w:rPr>
          <w:rStyle w:val="CharAttribute0"/>
          <w:rFonts w:eastAsia="Batang"/>
          <w:sz w:val="20"/>
          <w:szCs w:val="20"/>
          <w:lang w:bidi="ar-EG"/>
        </w:rPr>
      </w:pPr>
      <w:r w:rsidRPr="00801C75">
        <w:rPr>
          <w:rStyle w:val="CharAttribute0"/>
          <w:rFonts w:eastAsia="Batang"/>
          <w:sz w:val="20"/>
          <w:szCs w:val="20"/>
          <w:lang w:bidi="ar-EG"/>
        </w:rPr>
        <w:t>In 2014, a systematic review and meta-analysis took place in China, itwas carried out based on the data from 16 studies to evaluate the association between NLR and overall survival (OS) and progression-free survival (PFS) in patients with CRC. Results supported that elevated pretreatment NLR predicted poorer OS (HR: 1.813, 95%CI: 1.499–2.193) and PFS (HR: 2.102, 95% CI: 1.554–2.843) in patients with CR</w:t>
      </w:r>
      <w:r w:rsidR="00801C75" w:rsidRPr="00801C75">
        <w:rPr>
          <w:rStyle w:val="CharAttribute0"/>
          <w:rFonts w:eastAsia="Batang"/>
          <w:sz w:val="20"/>
          <w:szCs w:val="20"/>
          <w:lang w:bidi="ar-EG"/>
        </w:rPr>
        <w:t xml:space="preserve">C </w:t>
      </w:r>
      <w:r w:rsidR="00801C75" w:rsidRPr="00801C75">
        <w:rPr>
          <w:rStyle w:val="CharAttribute0"/>
          <w:rFonts w:eastAsia="Batang"/>
          <w:b/>
          <w:iCs/>
          <w:sz w:val="20"/>
          <w:szCs w:val="20"/>
          <w:vertAlign w:val="superscript"/>
          <w:lang w:bidi="ar-EG"/>
        </w:rPr>
        <w:t>(</w:t>
      </w:r>
      <w:r w:rsidRPr="00801C75">
        <w:rPr>
          <w:rStyle w:val="CharAttribute0"/>
          <w:rFonts w:eastAsia="Batang"/>
          <w:b/>
          <w:iCs/>
          <w:sz w:val="20"/>
          <w:szCs w:val="20"/>
          <w:vertAlign w:val="superscript"/>
          <w:lang w:bidi="ar-EG"/>
        </w:rPr>
        <w:t>14)</w:t>
      </w:r>
      <w:r w:rsidRPr="00801C75">
        <w:rPr>
          <w:rStyle w:val="CharAttribute0"/>
          <w:rFonts w:eastAsia="Batang"/>
          <w:bCs/>
          <w:iCs/>
          <w:sz w:val="20"/>
          <w:szCs w:val="20"/>
          <w:lang w:bidi="ar-EG"/>
        </w:rPr>
        <w:t>.</w:t>
      </w:r>
    </w:p>
    <w:p w:rsidR="00761402" w:rsidRPr="00801C75" w:rsidRDefault="00761402" w:rsidP="00331E80">
      <w:pPr>
        <w:pStyle w:val="Heading1"/>
        <w:keepNext w:val="0"/>
        <w:keepLines w:val="0"/>
        <w:bidi w:val="0"/>
        <w:snapToGrid w:val="0"/>
        <w:spacing w:before="0"/>
        <w:jc w:val="both"/>
        <w:rPr>
          <w:rFonts w:ascii="Times New Roman" w:hAnsi="Times New Roman" w:cs="Times New Roman"/>
          <w:b w:val="0"/>
          <w:bCs w:val="0"/>
          <w:color w:val="auto"/>
          <w:sz w:val="20"/>
          <w:szCs w:val="20"/>
        </w:rPr>
      </w:pPr>
      <w:r w:rsidRPr="00801C75">
        <w:rPr>
          <w:rFonts w:ascii="Times New Roman" w:eastAsia="Times New Roman" w:hAnsi="Times New Roman" w:cs="Times New Roman"/>
          <w:color w:val="auto"/>
          <w:sz w:val="20"/>
          <w:szCs w:val="20"/>
          <w:lang w:bidi="ar-EG"/>
        </w:rPr>
        <w:t xml:space="preserve">Aim </w:t>
      </w:r>
      <w:r w:rsidR="008D0B6A" w:rsidRPr="00801C75">
        <w:rPr>
          <w:rFonts w:ascii="Times New Roman" w:eastAsia="Times New Roman" w:hAnsi="Times New Roman" w:cs="Times New Roman"/>
          <w:color w:val="auto"/>
          <w:sz w:val="20"/>
          <w:szCs w:val="20"/>
          <w:lang w:bidi="ar-EG"/>
        </w:rPr>
        <w:t>o</w:t>
      </w:r>
      <w:r w:rsidRPr="00801C75">
        <w:rPr>
          <w:rFonts w:ascii="Times New Roman" w:eastAsia="Times New Roman" w:hAnsi="Times New Roman" w:cs="Times New Roman"/>
          <w:color w:val="auto"/>
          <w:sz w:val="20"/>
          <w:szCs w:val="20"/>
          <w:lang w:bidi="ar-EG"/>
        </w:rPr>
        <w:t xml:space="preserve">f </w:t>
      </w:r>
      <w:r w:rsidR="00DB2952" w:rsidRPr="00801C75">
        <w:rPr>
          <w:rFonts w:ascii="Times New Roman" w:eastAsia="Times New Roman" w:hAnsi="Times New Roman" w:cs="Times New Roman"/>
          <w:color w:val="auto"/>
          <w:sz w:val="20"/>
          <w:szCs w:val="20"/>
          <w:lang w:bidi="ar-EG"/>
        </w:rPr>
        <w:t xml:space="preserve">the </w:t>
      </w:r>
      <w:r w:rsidR="003F1681" w:rsidRPr="00801C75">
        <w:rPr>
          <w:rFonts w:ascii="Times New Roman" w:eastAsia="Times New Roman" w:hAnsi="Times New Roman" w:cs="Times New Roman"/>
          <w:color w:val="auto"/>
          <w:sz w:val="20"/>
          <w:szCs w:val="20"/>
          <w:lang w:bidi="ar-EG"/>
        </w:rPr>
        <w:t>Work</w:t>
      </w:r>
    </w:p>
    <w:p w:rsidR="00981714" w:rsidRPr="00801C75" w:rsidRDefault="00DB2952" w:rsidP="00331E80">
      <w:pPr>
        <w:bidi w:val="0"/>
        <w:snapToGrid w:val="0"/>
        <w:ind w:firstLine="425"/>
        <w:jc w:val="both"/>
        <w:rPr>
          <w:rStyle w:val="CharAttribute0"/>
          <w:rFonts w:eastAsia="Batang"/>
          <w:sz w:val="20"/>
          <w:szCs w:val="20"/>
          <w:lang w:bidi="ar-EG"/>
        </w:rPr>
      </w:pPr>
      <w:r w:rsidRPr="00801C75">
        <w:rPr>
          <w:rStyle w:val="CharAttribute0"/>
          <w:rFonts w:eastAsia="Batang"/>
          <w:sz w:val="20"/>
          <w:szCs w:val="20"/>
          <w:lang w:bidi="ar-EG"/>
        </w:rPr>
        <w:t xml:space="preserve">To </w:t>
      </w:r>
      <w:r w:rsidR="00D25C55" w:rsidRPr="00801C75">
        <w:rPr>
          <w:rStyle w:val="CharAttribute0"/>
          <w:rFonts w:eastAsia="Batang"/>
          <w:sz w:val="20"/>
          <w:szCs w:val="20"/>
          <w:lang w:bidi="ar-EG"/>
        </w:rPr>
        <w:t>evaluate the prognostic impact of baseline NLR and platelet count on the clinicopathologic factors and outcome in patients of all stages Colorectal cancer treated from January 2014 to December 2016 in Department of Clinical Oncology and Nuclear Medicine, Ain Shams University hospitals, Cairo, Egypt.</w:t>
      </w:r>
    </w:p>
    <w:p w:rsidR="00A52085" w:rsidRPr="00801C75" w:rsidRDefault="00A52085" w:rsidP="00331E80">
      <w:pPr>
        <w:tabs>
          <w:tab w:val="left" w:pos="4815"/>
        </w:tabs>
        <w:bidi w:val="0"/>
        <w:snapToGrid w:val="0"/>
        <w:jc w:val="both"/>
        <w:rPr>
          <w:b/>
          <w:bCs/>
          <w:sz w:val="20"/>
          <w:szCs w:val="20"/>
          <w:lang w:bidi="ar-EG"/>
        </w:rPr>
      </w:pPr>
    </w:p>
    <w:p w:rsidR="003F1946" w:rsidRPr="00801C75" w:rsidRDefault="0094756F" w:rsidP="00331E80">
      <w:pPr>
        <w:pStyle w:val="Heading1"/>
        <w:keepNext w:val="0"/>
        <w:keepLines w:val="0"/>
        <w:bidi w:val="0"/>
        <w:snapToGrid w:val="0"/>
        <w:spacing w:before="0"/>
        <w:jc w:val="both"/>
        <w:rPr>
          <w:rFonts w:ascii="Times New Roman" w:eastAsia="Times New Roman" w:hAnsi="Times New Roman" w:cs="Times New Roman"/>
          <w:color w:val="auto"/>
          <w:sz w:val="20"/>
          <w:szCs w:val="20"/>
          <w:lang w:bidi="ar-EG"/>
        </w:rPr>
      </w:pPr>
      <w:r w:rsidRPr="00801C75">
        <w:rPr>
          <w:rFonts w:ascii="Times New Roman" w:eastAsia="Times New Roman" w:hAnsi="Times New Roman" w:cs="Times New Roman"/>
          <w:color w:val="auto"/>
          <w:sz w:val="20"/>
          <w:szCs w:val="20"/>
          <w:lang w:bidi="ar-EG"/>
        </w:rPr>
        <w:lastRenderedPageBreak/>
        <w:t xml:space="preserve">2. </w:t>
      </w:r>
      <w:r w:rsidR="003F1946" w:rsidRPr="00801C75">
        <w:rPr>
          <w:rFonts w:ascii="Times New Roman" w:eastAsia="Times New Roman" w:hAnsi="Times New Roman" w:cs="Times New Roman"/>
          <w:color w:val="auto"/>
          <w:sz w:val="20"/>
          <w:szCs w:val="20"/>
          <w:lang w:bidi="ar-EG"/>
        </w:rPr>
        <w:t>Subjects and Methods</w:t>
      </w:r>
    </w:p>
    <w:p w:rsidR="003F1946" w:rsidRPr="00801C75" w:rsidRDefault="003F1946" w:rsidP="00331E80">
      <w:pPr>
        <w:bidi w:val="0"/>
        <w:snapToGrid w:val="0"/>
        <w:jc w:val="both"/>
        <w:rPr>
          <w:b/>
          <w:bCs/>
          <w:sz w:val="20"/>
          <w:szCs w:val="20"/>
          <w:lang w:eastAsia="ar-SA"/>
        </w:rPr>
      </w:pPr>
      <w:r w:rsidRPr="00801C75">
        <w:rPr>
          <w:b/>
          <w:bCs/>
          <w:sz w:val="20"/>
          <w:szCs w:val="20"/>
          <w:lang w:eastAsia="ar-SA"/>
        </w:rPr>
        <w:t>1. Patients</w:t>
      </w:r>
    </w:p>
    <w:p w:rsidR="00981714" w:rsidRPr="00801C75" w:rsidRDefault="003F1946" w:rsidP="00331E80">
      <w:pPr>
        <w:autoSpaceDE w:val="0"/>
        <w:autoSpaceDN w:val="0"/>
        <w:bidi w:val="0"/>
        <w:adjustRightInd w:val="0"/>
        <w:snapToGrid w:val="0"/>
        <w:ind w:firstLine="425"/>
        <w:jc w:val="both"/>
        <w:rPr>
          <w:color w:val="000000" w:themeColor="text1"/>
          <w:sz w:val="20"/>
          <w:szCs w:val="20"/>
        </w:rPr>
      </w:pPr>
      <w:r w:rsidRPr="00801C75">
        <w:rPr>
          <w:color w:val="000000" w:themeColor="text1"/>
          <w:sz w:val="20"/>
          <w:szCs w:val="20"/>
        </w:rPr>
        <w:t xml:space="preserve">This </w:t>
      </w:r>
      <w:r w:rsidRPr="00801C75">
        <w:rPr>
          <w:color w:val="000000" w:themeColor="text1"/>
          <w:sz w:val="20"/>
          <w:szCs w:val="20"/>
          <w:lang w:val="en-GB" w:bidi="ar-EG"/>
        </w:rPr>
        <w:t>retrospective study</w:t>
      </w:r>
      <w:r w:rsidRPr="00801C75">
        <w:rPr>
          <w:color w:val="000000" w:themeColor="text1"/>
          <w:sz w:val="20"/>
          <w:szCs w:val="20"/>
        </w:rPr>
        <w:t xml:space="preserve">was approved by the ethical committee of Ain Shams University </w:t>
      </w:r>
      <w:r w:rsidRPr="00801C75">
        <w:rPr>
          <w:sz w:val="20"/>
          <w:szCs w:val="20"/>
        </w:rPr>
        <w:t xml:space="preserve">in </w:t>
      </w:r>
      <w:r w:rsidR="0068672E" w:rsidRPr="00801C75">
        <w:rPr>
          <w:sz w:val="20"/>
          <w:szCs w:val="20"/>
        </w:rPr>
        <w:t>8th April 2017</w:t>
      </w:r>
      <w:r w:rsidRPr="00801C75">
        <w:rPr>
          <w:sz w:val="20"/>
          <w:szCs w:val="20"/>
        </w:rPr>
        <w:t xml:space="preserve">. The need to obtain informed consent was waived. </w:t>
      </w:r>
      <w:r w:rsidRPr="00801C75">
        <w:rPr>
          <w:color w:val="000000" w:themeColor="text1"/>
          <w:sz w:val="20"/>
          <w:szCs w:val="20"/>
        </w:rPr>
        <w:t>A retrospective review of the medical records of CRC patients who were registered in the GI oncology unit, Clinical Oncology department, Ain Shams University hospitals was done for a total of 409 consecutive patients in the period between 1st of January 2014 to 30 December 2016 period</w:t>
      </w:r>
      <w:r w:rsidR="00331E80" w:rsidRPr="00801C75">
        <w:rPr>
          <w:color w:val="000000" w:themeColor="text1"/>
          <w:sz w:val="20"/>
          <w:szCs w:val="20"/>
        </w:rPr>
        <w:t>.</w:t>
      </w:r>
      <w:r w:rsidR="00331E80">
        <w:rPr>
          <w:color w:val="000000" w:themeColor="text1"/>
          <w:sz w:val="20"/>
          <w:szCs w:val="20"/>
        </w:rPr>
        <w:t xml:space="preserve"> </w:t>
      </w:r>
      <w:r w:rsidR="00331E80" w:rsidRPr="00801C75">
        <w:rPr>
          <w:color w:val="000000" w:themeColor="text1"/>
          <w:sz w:val="20"/>
          <w:szCs w:val="20"/>
        </w:rPr>
        <w:t>T</w:t>
      </w:r>
      <w:r w:rsidRPr="00801C75">
        <w:rPr>
          <w:color w:val="000000" w:themeColor="text1"/>
          <w:sz w:val="20"/>
          <w:szCs w:val="20"/>
        </w:rPr>
        <w:t>otal neutrophils, lymphocytic, and platelets' counts were available in the records of only 169 patients who were registered in the chemotherapy unit, Clinical Oncology department, Ain Shams University hospitals, through which all the data analysis was done.</w:t>
      </w:r>
    </w:p>
    <w:p w:rsidR="003F1946" w:rsidRPr="00801C75" w:rsidRDefault="003F1946" w:rsidP="00331E80">
      <w:pPr>
        <w:autoSpaceDE w:val="0"/>
        <w:autoSpaceDN w:val="0"/>
        <w:bidi w:val="0"/>
        <w:adjustRightInd w:val="0"/>
        <w:snapToGrid w:val="0"/>
        <w:jc w:val="both"/>
        <w:rPr>
          <w:b/>
          <w:bCs/>
          <w:i/>
          <w:iCs/>
          <w:color w:val="000000" w:themeColor="text1"/>
          <w:sz w:val="20"/>
          <w:szCs w:val="20"/>
        </w:rPr>
      </w:pPr>
      <w:r w:rsidRPr="00801C75">
        <w:rPr>
          <w:b/>
          <w:bCs/>
          <w:i/>
          <w:iCs/>
          <w:color w:val="000000" w:themeColor="text1"/>
          <w:sz w:val="20"/>
          <w:szCs w:val="20"/>
        </w:rPr>
        <w:t>They were divided into two groups:</w:t>
      </w:r>
    </w:p>
    <w:p w:rsidR="003F1946" w:rsidRPr="00801C75" w:rsidRDefault="003F1946" w:rsidP="00331E80">
      <w:pPr>
        <w:tabs>
          <w:tab w:val="right" w:pos="4395"/>
        </w:tabs>
        <w:bidi w:val="0"/>
        <w:snapToGrid w:val="0"/>
        <w:ind w:firstLine="425"/>
        <w:jc w:val="both"/>
        <w:rPr>
          <w:color w:val="000000" w:themeColor="text1"/>
          <w:sz w:val="20"/>
          <w:szCs w:val="20"/>
          <w:lang w:val="en-GB" w:bidi="ar-EG"/>
        </w:rPr>
      </w:pPr>
      <w:r w:rsidRPr="00801C75">
        <w:rPr>
          <w:b/>
          <w:bCs/>
          <w:color w:val="000000" w:themeColor="text1"/>
          <w:sz w:val="20"/>
          <w:szCs w:val="20"/>
          <w:lang w:val="en-GB" w:bidi="ar-EG"/>
        </w:rPr>
        <w:t>First group:</w:t>
      </w:r>
      <w:r w:rsidRPr="00801C75">
        <w:rPr>
          <w:color w:val="000000" w:themeColor="text1"/>
          <w:sz w:val="20"/>
          <w:szCs w:val="20"/>
          <w:lang w:val="en-GB" w:bidi="ar-EG"/>
        </w:rPr>
        <w:t xml:space="preserve"> Early and locally advanced (initially non- metastatic)</w:t>
      </w:r>
    </w:p>
    <w:p w:rsidR="003F1946" w:rsidRPr="00801C75" w:rsidRDefault="003F1946" w:rsidP="00331E80">
      <w:pPr>
        <w:tabs>
          <w:tab w:val="right" w:pos="4395"/>
        </w:tabs>
        <w:bidi w:val="0"/>
        <w:snapToGrid w:val="0"/>
        <w:ind w:firstLine="425"/>
        <w:jc w:val="both"/>
        <w:rPr>
          <w:color w:val="000000" w:themeColor="text1"/>
          <w:sz w:val="20"/>
          <w:szCs w:val="20"/>
          <w:lang w:val="en-GB" w:bidi="ar-EG"/>
        </w:rPr>
      </w:pPr>
      <w:r w:rsidRPr="00801C75">
        <w:rPr>
          <w:b/>
          <w:bCs/>
          <w:color w:val="000000" w:themeColor="text1"/>
          <w:sz w:val="20"/>
          <w:szCs w:val="20"/>
          <w:lang w:val="en-GB" w:bidi="ar-EG"/>
        </w:rPr>
        <w:t>Second group</w:t>
      </w:r>
      <w:r w:rsidR="00331E80" w:rsidRPr="00801C75">
        <w:rPr>
          <w:b/>
          <w:bCs/>
          <w:color w:val="000000" w:themeColor="text1"/>
          <w:sz w:val="20"/>
          <w:szCs w:val="20"/>
          <w:lang w:val="en-GB" w:bidi="ar-EG"/>
        </w:rPr>
        <w:t>:</w:t>
      </w:r>
      <w:r w:rsidR="00331E80">
        <w:rPr>
          <w:b/>
          <w:bCs/>
          <w:color w:val="000000" w:themeColor="text1"/>
          <w:sz w:val="20"/>
          <w:szCs w:val="20"/>
          <w:lang w:val="en-GB" w:bidi="ar-EG"/>
        </w:rPr>
        <w:t xml:space="preserve"> </w:t>
      </w:r>
      <w:r w:rsidR="00331E80" w:rsidRPr="00801C75">
        <w:rPr>
          <w:color w:val="000000" w:themeColor="text1"/>
          <w:sz w:val="20"/>
          <w:szCs w:val="20"/>
          <w:lang w:val="en-GB" w:bidi="ar-EG"/>
        </w:rPr>
        <w:t>m</w:t>
      </w:r>
      <w:r w:rsidRPr="00801C75">
        <w:rPr>
          <w:color w:val="000000" w:themeColor="text1"/>
          <w:sz w:val="20"/>
          <w:szCs w:val="20"/>
          <w:lang w:val="en-GB" w:bidi="ar-EG"/>
        </w:rPr>
        <w:t>etastatic cases (metastatic at the time of diagnosis).</w:t>
      </w:r>
    </w:p>
    <w:p w:rsidR="003F1946" w:rsidRPr="00801C75" w:rsidRDefault="003F1946" w:rsidP="00331E80">
      <w:pPr>
        <w:autoSpaceDE w:val="0"/>
        <w:autoSpaceDN w:val="0"/>
        <w:bidi w:val="0"/>
        <w:adjustRightInd w:val="0"/>
        <w:snapToGrid w:val="0"/>
        <w:ind w:firstLine="425"/>
        <w:jc w:val="both"/>
        <w:rPr>
          <w:color w:val="000000" w:themeColor="text1"/>
          <w:sz w:val="20"/>
          <w:szCs w:val="20"/>
        </w:rPr>
      </w:pPr>
      <w:r w:rsidRPr="00801C75">
        <w:rPr>
          <w:color w:val="000000" w:themeColor="text1"/>
          <w:sz w:val="20"/>
          <w:szCs w:val="20"/>
        </w:rPr>
        <w:t xml:space="preserve">Patients were followed till 1/8/2018. </w:t>
      </w:r>
    </w:p>
    <w:p w:rsidR="003F1946" w:rsidRPr="00801C75" w:rsidRDefault="003F1946" w:rsidP="00331E80">
      <w:pPr>
        <w:bidi w:val="0"/>
        <w:snapToGrid w:val="0"/>
        <w:jc w:val="both"/>
        <w:rPr>
          <w:sz w:val="20"/>
          <w:szCs w:val="20"/>
          <w:lang w:eastAsia="ar-SA"/>
        </w:rPr>
      </w:pPr>
      <w:r w:rsidRPr="00801C75">
        <w:rPr>
          <w:b/>
          <w:bCs/>
          <w:sz w:val="20"/>
          <w:szCs w:val="20"/>
          <w:lang w:eastAsia="ar-SA"/>
        </w:rPr>
        <w:t>2. Inclusion and exclusion criteria</w:t>
      </w:r>
    </w:p>
    <w:p w:rsidR="003F1946" w:rsidRPr="00801C75" w:rsidRDefault="003F1946" w:rsidP="00331E80">
      <w:pPr>
        <w:bidi w:val="0"/>
        <w:snapToGrid w:val="0"/>
        <w:ind w:firstLine="425"/>
        <w:jc w:val="both"/>
        <w:rPr>
          <w:color w:val="000000" w:themeColor="text1"/>
          <w:sz w:val="20"/>
          <w:szCs w:val="20"/>
        </w:rPr>
      </w:pPr>
      <w:r w:rsidRPr="00801C75">
        <w:rPr>
          <w:b/>
          <w:bCs/>
          <w:color w:val="000000" w:themeColor="text1"/>
          <w:sz w:val="20"/>
          <w:szCs w:val="20"/>
        </w:rPr>
        <w:t>Inclusion Criteria were</w:t>
      </w:r>
      <w:r w:rsidRPr="00801C75">
        <w:rPr>
          <w:color w:val="000000" w:themeColor="text1"/>
          <w:sz w:val="20"/>
          <w:szCs w:val="20"/>
        </w:rPr>
        <w:t xml:space="preserve">: </w:t>
      </w:r>
      <w:r w:rsidRPr="00801C75">
        <w:rPr>
          <w:bCs/>
          <w:color w:val="000000" w:themeColor="text1"/>
          <w:sz w:val="20"/>
          <w:szCs w:val="20"/>
        </w:rPr>
        <w:t>patients aged 18 years old or more</w:t>
      </w:r>
      <w:r w:rsidRPr="00801C75">
        <w:rPr>
          <w:b/>
          <w:bCs/>
          <w:color w:val="000000" w:themeColor="text1"/>
          <w:sz w:val="20"/>
          <w:szCs w:val="20"/>
        </w:rPr>
        <w:t xml:space="preserve">; </w:t>
      </w:r>
      <w:r w:rsidRPr="00801C75">
        <w:rPr>
          <w:bCs/>
          <w:color w:val="000000" w:themeColor="text1"/>
          <w:sz w:val="20"/>
          <w:szCs w:val="20"/>
        </w:rPr>
        <w:t>patients who have pathologically proved colorectal adenocarcinoma; and who have started treatment in our department with documented baseline NLR and platelet count.</w:t>
      </w:r>
    </w:p>
    <w:p w:rsidR="003F1946" w:rsidRPr="00801C75" w:rsidRDefault="003F1946" w:rsidP="00331E80">
      <w:pPr>
        <w:bidi w:val="0"/>
        <w:snapToGrid w:val="0"/>
        <w:jc w:val="both"/>
        <w:rPr>
          <w:b/>
          <w:bCs/>
          <w:sz w:val="20"/>
          <w:szCs w:val="20"/>
          <w:lang w:eastAsia="ar-SA"/>
        </w:rPr>
      </w:pPr>
      <w:r w:rsidRPr="00801C75">
        <w:rPr>
          <w:b/>
          <w:bCs/>
          <w:sz w:val="20"/>
          <w:szCs w:val="20"/>
          <w:lang w:eastAsia="ar-SA"/>
        </w:rPr>
        <w:t>3. Data collection</w:t>
      </w:r>
    </w:p>
    <w:p w:rsidR="003F1946" w:rsidRPr="00801C75" w:rsidRDefault="003F1946" w:rsidP="00331E80">
      <w:pPr>
        <w:bidi w:val="0"/>
        <w:snapToGrid w:val="0"/>
        <w:ind w:firstLine="425"/>
        <w:jc w:val="both"/>
        <w:rPr>
          <w:sz w:val="20"/>
          <w:szCs w:val="20"/>
          <w:lang w:val="en-GB" w:bidi="ar-EG"/>
        </w:rPr>
      </w:pPr>
      <w:r w:rsidRPr="00801C75">
        <w:rPr>
          <w:color w:val="000000" w:themeColor="text1"/>
          <w:sz w:val="20"/>
          <w:szCs w:val="20"/>
          <w:lang w:val="en-GB" w:bidi="ar-EG"/>
        </w:rPr>
        <w:t xml:space="preserve">The files of all </w:t>
      </w:r>
      <w:r w:rsidRPr="00801C75">
        <w:rPr>
          <w:sz w:val="20"/>
          <w:szCs w:val="20"/>
          <w:lang w:val="en-GB" w:bidi="ar-EG"/>
        </w:rPr>
        <w:t xml:space="preserve">patients were reviewed </w:t>
      </w:r>
      <w:r w:rsidRPr="00801C75">
        <w:rPr>
          <w:color w:val="000000" w:themeColor="text1"/>
          <w:sz w:val="20"/>
          <w:szCs w:val="20"/>
          <w:lang w:val="en-GB" w:bidi="ar-EG"/>
        </w:rPr>
        <w:t>for the following</w:t>
      </w:r>
      <w:r w:rsidR="00331E80" w:rsidRPr="00801C75">
        <w:rPr>
          <w:color w:val="000000" w:themeColor="text1"/>
          <w:sz w:val="20"/>
          <w:szCs w:val="20"/>
          <w:lang w:val="en-GB" w:bidi="ar-EG"/>
        </w:rPr>
        <w:t>:</w:t>
      </w:r>
      <w:r w:rsidR="00331E80">
        <w:rPr>
          <w:color w:val="000000" w:themeColor="text1"/>
          <w:sz w:val="20"/>
          <w:szCs w:val="20"/>
          <w:lang w:val="en-GB" w:bidi="ar-EG"/>
        </w:rPr>
        <w:t xml:space="preserve"> </w:t>
      </w:r>
      <w:r w:rsidR="00331E80" w:rsidRPr="00801C75">
        <w:rPr>
          <w:sz w:val="20"/>
          <w:szCs w:val="20"/>
          <w:lang w:val="en-GB" w:bidi="ar-EG"/>
        </w:rPr>
        <w:t>D</w:t>
      </w:r>
      <w:r w:rsidRPr="00801C75">
        <w:rPr>
          <w:sz w:val="20"/>
          <w:szCs w:val="20"/>
          <w:lang w:val="en-GB" w:bidi="ar-EG"/>
        </w:rPr>
        <w:t>ate of diagnosis</w:t>
      </w:r>
      <w:r w:rsidR="00331E80" w:rsidRPr="00801C75">
        <w:rPr>
          <w:sz w:val="20"/>
          <w:szCs w:val="20"/>
          <w:lang w:val="en-GB" w:bidi="ar-EG"/>
        </w:rPr>
        <w:t>.</w:t>
      </w:r>
      <w:r w:rsidR="00331E80">
        <w:rPr>
          <w:sz w:val="20"/>
          <w:szCs w:val="20"/>
          <w:lang w:val="en-GB" w:bidi="ar-EG"/>
        </w:rPr>
        <w:t xml:space="preserve"> </w:t>
      </w:r>
      <w:r w:rsidR="00331E80" w:rsidRPr="00801C75">
        <w:rPr>
          <w:sz w:val="20"/>
          <w:szCs w:val="20"/>
          <w:lang w:val="en-GB" w:bidi="ar-EG"/>
        </w:rPr>
        <w:t>P</w:t>
      </w:r>
      <w:r w:rsidRPr="00801C75">
        <w:rPr>
          <w:sz w:val="20"/>
          <w:szCs w:val="20"/>
          <w:lang w:val="en-GB" w:bidi="ar-EG"/>
        </w:rPr>
        <w:t>ersonal, medical and family history of the patient</w:t>
      </w:r>
      <w:r w:rsidR="00331E80" w:rsidRPr="00801C75">
        <w:rPr>
          <w:sz w:val="20"/>
          <w:szCs w:val="20"/>
          <w:lang w:val="en-GB" w:bidi="ar-EG"/>
        </w:rPr>
        <w:t>.</w:t>
      </w:r>
      <w:r w:rsidR="00331E80">
        <w:rPr>
          <w:sz w:val="20"/>
          <w:szCs w:val="20"/>
          <w:lang w:val="en-GB" w:bidi="ar-EG"/>
        </w:rPr>
        <w:t xml:space="preserve"> </w:t>
      </w:r>
      <w:r w:rsidR="00331E80" w:rsidRPr="00801C75">
        <w:rPr>
          <w:sz w:val="20"/>
          <w:szCs w:val="20"/>
          <w:lang w:val="en-GB" w:bidi="ar-EG"/>
        </w:rPr>
        <w:t>N</w:t>
      </w:r>
      <w:r w:rsidRPr="00801C75">
        <w:rPr>
          <w:sz w:val="20"/>
          <w:szCs w:val="20"/>
          <w:lang w:val="en-GB" w:bidi="ar-EG"/>
        </w:rPr>
        <w:t>eoadjuvant treatment data</w:t>
      </w:r>
      <w:r w:rsidR="00331E80" w:rsidRPr="00801C75">
        <w:rPr>
          <w:sz w:val="20"/>
          <w:szCs w:val="20"/>
          <w:lang w:val="en-GB" w:bidi="ar-EG"/>
        </w:rPr>
        <w:t>.</w:t>
      </w:r>
      <w:r w:rsidR="00331E80">
        <w:rPr>
          <w:sz w:val="20"/>
          <w:szCs w:val="20"/>
          <w:lang w:val="en-GB" w:bidi="ar-EG"/>
        </w:rPr>
        <w:t xml:space="preserve"> </w:t>
      </w:r>
      <w:r w:rsidR="00331E80" w:rsidRPr="00801C75">
        <w:rPr>
          <w:sz w:val="20"/>
          <w:szCs w:val="20"/>
          <w:lang w:val="en-GB" w:bidi="ar-EG"/>
        </w:rPr>
        <w:t>A</w:t>
      </w:r>
      <w:r w:rsidRPr="00801C75">
        <w:rPr>
          <w:sz w:val="20"/>
          <w:szCs w:val="20"/>
          <w:lang w:val="en-GB" w:bidi="ar-EG"/>
        </w:rPr>
        <w:t>djuvant treatment data</w:t>
      </w:r>
      <w:r w:rsidR="00331E80" w:rsidRPr="00801C75">
        <w:rPr>
          <w:sz w:val="20"/>
          <w:szCs w:val="20"/>
          <w:lang w:val="en-GB" w:bidi="ar-EG"/>
        </w:rPr>
        <w:t>.</w:t>
      </w:r>
      <w:r w:rsidR="00331E80">
        <w:rPr>
          <w:sz w:val="20"/>
          <w:szCs w:val="20"/>
          <w:lang w:val="en-GB" w:bidi="ar-EG"/>
        </w:rPr>
        <w:t xml:space="preserve"> </w:t>
      </w:r>
      <w:r w:rsidR="00331E80" w:rsidRPr="00801C75">
        <w:rPr>
          <w:sz w:val="20"/>
          <w:szCs w:val="20"/>
          <w:lang w:val="en-GB" w:bidi="ar-EG"/>
        </w:rPr>
        <w:t>D</w:t>
      </w:r>
      <w:r w:rsidRPr="00801C75">
        <w:rPr>
          <w:sz w:val="20"/>
          <w:szCs w:val="20"/>
          <w:lang w:val="en-GB" w:bidi="ar-EG"/>
        </w:rPr>
        <w:t>ate of progression in metastatic patients if happened, sites of metastases and type of 1st line of chemotherapy received</w:t>
      </w:r>
      <w:r w:rsidR="00331E80" w:rsidRPr="00801C75">
        <w:rPr>
          <w:sz w:val="20"/>
          <w:szCs w:val="20"/>
          <w:lang w:val="en-GB" w:bidi="ar-EG"/>
        </w:rPr>
        <w:t>.</w:t>
      </w:r>
      <w:r w:rsidR="00331E80">
        <w:rPr>
          <w:sz w:val="20"/>
          <w:szCs w:val="20"/>
          <w:lang w:val="en-GB" w:bidi="ar-EG"/>
        </w:rPr>
        <w:t xml:space="preserve"> </w:t>
      </w:r>
      <w:r w:rsidR="00331E80" w:rsidRPr="00801C75">
        <w:rPr>
          <w:sz w:val="20"/>
          <w:szCs w:val="20"/>
          <w:lang w:val="en-GB" w:bidi="ar-EG"/>
        </w:rPr>
        <w:t>D</w:t>
      </w:r>
      <w:r w:rsidRPr="00801C75">
        <w:rPr>
          <w:sz w:val="20"/>
          <w:szCs w:val="20"/>
          <w:lang w:val="en-GB" w:bidi="ar-EG"/>
        </w:rPr>
        <w:t>ate of recurrence in curative patients, sites of recurrence and chemotherapy received</w:t>
      </w:r>
      <w:r w:rsidR="00331E80" w:rsidRPr="00801C75">
        <w:rPr>
          <w:sz w:val="20"/>
          <w:szCs w:val="20"/>
          <w:lang w:val="en-GB" w:bidi="ar-EG"/>
        </w:rPr>
        <w:t>.</w:t>
      </w:r>
      <w:r w:rsidR="00331E80">
        <w:rPr>
          <w:sz w:val="20"/>
          <w:szCs w:val="20"/>
          <w:lang w:val="en-GB" w:bidi="ar-EG"/>
        </w:rPr>
        <w:t xml:space="preserve"> </w:t>
      </w:r>
      <w:r w:rsidR="00331E80" w:rsidRPr="00801C75">
        <w:rPr>
          <w:sz w:val="20"/>
          <w:szCs w:val="20"/>
          <w:lang w:val="en-GB" w:bidi="ar-EG"/>
        </w:rPr>
        <w:t>A</w:t>
      </w:r>
      <w:r w:rsidRPr="00801C75">
        <w:rPr>
          <w:sz w:val="20"/>
          <w:szCs w:val="20"/>
          <w:lang w:val="en-GB" w:bidi="ar-EG"/>
        </w:rPr>
        <w:t>ll initial laboratory data before starting treatment, including carcinoembryonic antigen levels, albumin, granulocyte, leukocyte, lymphocyte, monocyte, neutrophil, and platelet counts</w:t>
      </w:r>
      <w:r w:rsidR="00331E80" w:rsidRPr="00801C75">
        <w:rPr>
          <w:sz w:val="20"/>
          <w:szCs w:val="20"/>
          <w:lang w:val="en-GB" w:bidi="ar-EG"/>
        </w:rPr>
        <w:t>.</w:t>
      </w:r>
      <w:r w:rsidR="00331E80">
        <w:rPr>
          <w:sz w:val="20"/>
          <w:szCs w:val="20"/>
          <w:lang w:val="en-GB" w:bidi="ar-EG"/>
        </w:rPr>
        <w:t xml:space="preserve"> </w:t>
      </w:r>
      <w:r w:rsidR="00331E80" w:rsidRPr="00801C75">
        <w:rPr>
          <w:sz w:val="20"/>
          <w:szCs w:val="20"/>
          <w:lang w:val="en-GB" w:bidi="ar-EG"/>
        </w:rPr>
        <w:t>P</w:t>
      </w:r>
      <w:r w:rsidRPr="00801C75">
        <w:rPr>
          <w:sz w:val="20"/>
          <w:szCs w:val="20"/>
          <w:lang w:val="en-GB" w:bidi="ar-EG"/>
        </w:rPr>
        <w:t>athological reports details.</w:t>
      </w:r>
    </w:p>
    <w:p w:rsidR="003F1946" w:rsidRPr="00801C75" w:rsidRDefault="003F1946" w:rsidP="00331E80">
      <w:pPr>
        <w:bidi w:val="0"/>
        <w:snapToGrid w:val="0"/>
        <w:jc w:val="both"/>
        <w:rPr>
          <w:sz w:val="20"/>
          <w:szCs w:val="20"/>
          <w:lang w:eastAsia="ar-SA"/>
        </w:rPr>
      </w:pPr>
      <w:r w:rsidRPr="00801C75">
        <w:rPr>
          <w:b/>
          <w:bCs/>
          <w:sz w:val="20"/>
          <w:szCs w:val="20"/>
          <w:lang w:eastAsia="ar-SA"/>
        </w:rPr>
        <w:t>4- Data interpretation:</w:t>
      </w:r>
    </w:p>
    <w:p w:rsidR="003F1946" w:rsidRPr="00801C75" w:rsidRDefault="003F1946" w:rsidP="00331E80">
      <w:pPr>
        <w:bidi w:val="0"/>
        <w:snapToGrid w:val="0"/>
        <w:ind w:firstLine="425"/>
        <w:jc w:val="both"/>
        <w:rPr>
          <w:sz w:val="20"/>
          <w:szCs w:val="20"/>
          <w:lang w:val="en-GB" w:bidi="ar-EG"/>
        </w:rPr>
      </w:pPr>
      <w:r w:rsidRPr="00801C75">
        <w:rPr>
          <w:sz w:val="20"/>
          <w:szCs w:val="20"/>
          <w:lang w:val="en-GB" w:bidi="ar-EG"/>
        </w:rPr>
        <w:t>Results were obtaine</w:t>
      </w:r>
      <w:r w:rsidR="0068672E" w:rsidRPr="00801C75">
        <w:rPr>
          <w:sz w:val="20"/>
          <w:szCs w:val="20"/>
          <w:lang w:val="en-GB" w:bidi="ar-EG"/>
        </w:rPr>
        <w:t>d according to some definitions, progression</w:t>
      </w:r>
      <w:r w:rsidRPr="00801C75">
        <w:rPr>
          <w:sz w:val="20"/>
          <w:szCs w:val="20"/>
          <w:lang w:val="en-GB" w:bidi="ar-EG"/>
        </w:rPr>
        <w:t xml:space="preserve"> free survival (PFS)</w:t>
      </w:r>
      <w:r w:rsidR="0068672E" w:rsidRPr="00801C75">
        <w:rPr>
          <w:sz w:val="20"/>
          <w:szCs w:val="20"/>
          <w:shd w:val="clear" w:color="auto" w:fill="FFFFFF"/>
        </w:rPr>
        <w:t xml:space="preserve"> was d</w:t>
      </w:r>
      <w:r w:rsidRPr="00801C75">
        <w:rPr>
          <w:sz w:val="20"/>
          <w:szCs w:val="20"/>
          <w:shd w:val="clear" w:color="auto" w:fill="FFFFFF"/>
        </w:rPr>
        <w:t>efined as the time elapsed between disease diagnosis (pathology) and tumor progression or death from any cause, with censoring of patients who were lost follow-up</w:t>
      </w:r>
      <w:r w:rsidR="00331E80" w:rsidRPr="00801C75">
        <w:rPr>
          <w:sz w:val="20"/>
          <w:szCs w:val="20"/>
          <w:shd w:val="clear" w:color="auto" w:fill="FFFFFF"/>
        </w:rPr>
        <w:t>.</w:t>
      </w:r>
      <w:r w:rsidR="00331E80">
        <w:rPr>
          <w:sz w:val="20"/>
          <w:szCs w:val="20"/>
          <w:shd w:val="clear" w:color="auto" w:fill="FFFFFF"/>
        </w:rPr>
        <w:t xml:space="preserve"> </w:t>
      </w:r>
      <w:r w:rsidR="00331E80" w:rsidRPr="00801C75">
        <w:rPr>
          <w:sz w:val="20"/>
          <w:szCs w:val="20"/>
          <w:shd w:val="clear" w:color="auto" w:fill="FFFFFF"/>
        </w:rPr>
        <w:t>O</w:t>
      </w:r>
      <w:r w:rsidRPr="00801C75">
        <w:rPr>
          <w:sz w:val="20"/>
          <w:szCs w:val="20"/>
          <w:shd w:val="clear" w:color="auto" w:fill="FFFFFF"/>
        </w:rPr>
        <w:t>verall survival (OS)</w:t>
      </w:r>
      <w:r w:rsidR="0068672E" w:rsidRPr="00801C75">
        <w:rPr>
          <w:sz w:val="20"/>
          <w:szCs w:val="20"/>
          <w:shd w:val="clear" w:color="auto" w:fill="FFFFFF"/>
        </w:rPr>
        <w:t xml:space="preserve"> was </w:t>
      </w:r>
      <w:r w:rsidRPr="00801C75">
        <w:rPr>
          <w:sz w:val="20"/>
          <w:szCs w:val="20"/>
          <w:shd w:val="clear" w:color="auto" w:fill="FFFFFB"/>
        </w:rPr>
        <w:t>defined as the time from the date of diagnosis of cancer (</w:t>
      </w:r>
      <w:r w:rsidRPr="00801C75">
        <w:rPr>
          <w:color w:val="000000" w:themeColor="text1"/>
          <w:sz w:val="20"/>
          <w:szCs w:val="20"/>
          <w:shd w:val="clear" w:color="auto" w:fill="FFFFFB"/>
        </w:rPr>
        <w:t>pathology), till the date of death due to any cause, last date of follow up, or lost follow up</w:t>
      </w:r>
      <w:r w:rsidR="00331E80" w:rsidRPr="00801C75">
        <w:rPr>
          <w:color w:val="000000" w:themeColor="text1"/>
          <w:sz w:val="20"/>
          <w:szCs w:val="20"/>
          <w:shd w:val="clear" w:color="auto" w:fill="FFFFFB"/>
        </w:rPr>
        <w:t>.</w:t>
      </w:r>
      <w:r w:rsidR="00331E80">
        <w:rPr>
          <w:color w:val="000000" w:themeColor="text1"/>
          <w:sz w:val="20"/>
          <w:szCs w:val="20"/>
          <w:shd w:val="clear" w:color="auto" w:fill="FFFFFB"/>
        </w:rPr>
        <w:t xml:space="preserve"> </w:t>
      </w:r>
      <w:r w:rsidR="00331E80" w:rsidRPr="00801C75">
        <w:rPr>
          <w:sz w:val="20"/>
          <w:szCs w:val="20"/>
        </w:rPr>
        <w:t>D</w:t>
      </w:r>
      <w:r w:rsidRPr="00801C75">
        <w:rPr>
          <w:sz w:val="20"/>
          <w:szCs w:val="20"/>
        </w:rPr>
        <w:t>isease-Free Survival (DFS)</w:t>
      </w:r>
      <w:r w:rsidR="0068672E" w:rsidRPr="00801C75">
        <w:rPr>
          <w:sz w:val="20"/>
          <w:szCs w:val="20"/>
        </w:rPr>
        <w:t xml:space="preserve"> was</w:t>
      </w:r>
      <w:r w:rsidRPr="00801C75">
        <w:rPr>
          <w:sz w:val="20"/>
          <w:szCs w:val="20"/>
        </w:rPr>
        <w:t xml:space="preserve"> defined as the time from diagnosis untilrecurrenceoftumorordeathfromany cause.</w:t>
      </w:r>
    </w:p>
    <w:p w:rsidR="003F1946" w:rsidRPr="00801C75" w:rsidRDefault="003F1946" w:rsidP="00331E80">
      <w:pPr>
        <w:bidi w:val="0"/>
        <w:snapToGrid w:val="0"/>
        <w:ind w:firstLine="425"/>
        <w:jc w:val="both"/>
        <w:rPr>
          <w:sz w:val="20"/>
          <w:szCs w:val="20"/>
        </w:rPr>
      </w:pPr>
      <w:r w:rsidRPr="00801C75">
        <w:rPr>
          <w:sz w:val="20"/>
          <w:szCs w:val="20"/>
        </w:rPr>
        <w:lastRenderedPageBreak/>
        <w:t xml:space="preserve">TNM </w:t>
      </w:r>
      <w:r w:rsidRPr="00801C75">
        <w:rPr>
          <w:color w:val="000000" w:themeColor="text1"/>
          <w:sz w:val="20"/>
          <w:szCs w:val="20"/>
        </w:rPr>
        <w:t xml:space="preserve">disease stage was classified according to the American Joint Committee of </w:t>
      </w:r>
      <w:r w:rsidRPr="00801C75">
        <w:rPr>
          <w:sz w:val="20"/>
          <w:szCs w:val="20"/>
        </w:rPr>
        <w:t>Cancer, 7</w:t>
      </w:r>
      <w:r w:rsidRPr="00801C75">
        <w:rPr>
          <w:sz w:val="20"/>
          <w:szCs w:val="20"/>
          <w:vertAlign w:val="superscript"/>
        </w:rPr>
        <w:t>th</w:t>
      </w:r>
      <w:r w:rsidRPr="00801C75">
        <w:rPr>
          <w:sz w:val="20"/>
          <w:szCs w:val="20"/>
        </w:rPr>
        <w:t xml:space="preserve"> edition </w:t>
      </w:r>
      <w:r w:rsidRPr="00801C75">
        <w:rPr>
          <w:b/>
          <w:bCs/>
          <w:color w:val="000000" w:themeColor="text1"/>
          <w:sz w:val="20"/>
          <w:szCs w:val="20"/>
          <w:vertAlign w:val="superscript"/>
        </w:rPr>
        <w:t>(</w:t>
      </w:r>
      <w:r w:rsidR="00AF31EE" w:rsidRPr="00801C75">
        <w:rPr>
          <w:b/>
          <w:bCs/>
          <w:color w:val="000000" w:themeColor="text1"/>
          <w:sz w:val="20"/>
          <w:szCs w:val="20"/>
          <w:vertAlign w:val="superscript"/>
        </w:rPr>
        <w:t>15</w:t>
      </w:r>
      <w:r w:rsidRPr="00801C75">
        <w:rPr>
          <w:b/>
          <w:bCs/>
          <w:color w:val="000000" w:themeColor="text1"/>
          <w:sz w:val="20"/>
          <w:szCs w:val="20"/>
          <w:vertAlign w:val="superscript"/>
        </w:rPr>
        <w:t>)</w:t>
      </w:r>
      <w:r w:rsidRPr="00801C75">
        <w:rPr>
          <w:color w:val="000000" w:themeColor="text1"/>
          <w:sz w:val="20"/>
          <w:szCs w:val="20"/>
        </w:rPr>
        <w:t xml:space="preserve">. </w:t>
      </w:r>
    </w:p>
    <w:p w:rsidR="003F1946" w:rsidRPr="00801C75" w:rsidRDefault="003F1946" w:rsidP="00331E80">
      <w:pPr>
        <w:bidi w:val="0"/>
        <w:snapToGrid w:val="0"/>
        <w:ind w:firstLine="425"/>
        <w:jc w:val="both"/>
        <w:rPr>
          <w:sz w:val="20"/>
          <w:szCs w:val="20"/>
          <w:lang w:val="en-GB" w:bidi="ar-EG"/>
        </w:rPr>
      </w:pPr>
      <w:r w:rsidRPr="00801C75">
        <w:rPr>
          <w:sz w:val="20"/>
          <w:szCs w:val="20"/>
        </w:rPr>
        <w:t>The system used to grade tumor pathological response to neoadjuvant chemoradiation as recommended by t</w:t>
      </w:r>
      <w:r w:rsidR="0068672E" w:rsidRPr="00801C75">
        <w:rPr>
          <w:sz w:val="20"/>
          <w:szCs w:val="20"/>
        </w:rPr>
        <w:t>he AJCC cancer staging manual, 8</w:t>
      </w:r>
      <w:r w:rsidRPr="00801C75">
        <w:rPr>
          <w:sz w:val="20"/>
          <w:szCs w:val="20"/>
          <w:vertAlign w:val="superscript"/>
        </w:rPr>
        <w:t>t</w:t>
      </w:r>
      <w:r w:rsidR="00166A00" w:rsidRPr="00801C75">
        <w:rPr>
          <w:sz w:val="20"/>
          <w:szCs w:val="20"/>
          <w:vertAlign w:val="superscript"/>
        </w:rPr>
        <w:t>h</w:t>
      </w:r>
      <w:r w:rsidR="00166A00">
        <w:rPr>
          <w:sz w:val="20"/>
          <w:szCs w:val="20"/>
          <w:vertAlign w:val="superscript"/>
        </w:rPr>
        <w:t xml:space="preserve"> </w:t>
      </w:r>
      <w:r w:rsidR="00166A00" w:rsidRPr="00801C75">
        <w:rPr>
          <w:sz w:val="20"/>
          <w:szCs w:val="20"/>
        </w:rPr>
        <w:t>E</w:t>
      </w:r>
      <w:r w:rsidRPr="00801C75">
        <w:rPr>
          <w:sz w:val="20"/>
          <w:szCs w:val="20"/>
        </w:rPr>
        <w:t>dition and the CAP guidelines is that as modified fro</w:t>
      </w:r>
      <w:r w:rsidR="00166A00" w:rsidRPr="00801C75">
        <w:rPr>
          <w:sz w:val="20"/>
          <w:szCs w:val="20"/>
        </w:rPr>
        <w:t>m</w:t>
      </w:r>
      <w:r w:rsidR="00166A00">
        <w:rPr>
          <w:sz w:val="20"/>
          <w:szCs w:val="20"/>
        </w:rPr>
        <w:t xml:space="preserve"> </w:t>
      </w:r>
      <w:r w:rsidR="00166A00" w:rsidRPr="00801C75">
        <w:rPr>
          <w:b/>
          <w:bCs/>
          <w:i/>
          <w:iCs/>
          <w:sz w:val="20"/>
          <w:szCs w:val="20"/>
          <w:lang w:val="en-GB" w:bidi="ar-EG"/>
        </w:rPr>
        <w:t>W</w:t>
      </w:r>
      <w:r w:rsidR="0068672E" w:rsidRPr="00801C75">
        <w:rPr>
          <w:b/>
          <w:bCs/>
          <w:i/>
          <w:iCs/>
          <w:sz w:val="20"/>
          <w:szCs w:val="20"/>
          <w:lang w:val="en-GB" w:bidi="ar-EG"/>
        </w:rPr>
        <w:t xml:space="preserve">eiser et al </w:t>
      </w:r>
      <w:r w:rsidR="00AF31EE" w:rsidRPr="00801C75">
        <w:rPr>
          <w:b/>
          <w:bCs/>
          <w:sz w:val="20"/>
          <w:szCs w:val="20"/>
          <w:vertAlign w:val="superscript"/>
          <w:lang w:val="en-GB" w:bidi="ar-EG"/>
        </w:rPr>
        <w:t>(16)</w:t>
      </w:r>
      <w:r w:rsidR="0068672E" w:rsidRPr="00801C75">
        <w:rPr>
          <w:b/>
          <w:bCs/>
          <w:i/>
          <w:iCs/>
          <w:sz w:val="20"/>
          <w:szCs w:val="20"/>
          <w:lang w:val="en-GB" w:bidi="ar-EG"/>
        </w:rPr>
        <w:t>.</w:t>
      </w:r>
    </w:p>
    <w:p w:rsidR="003F1946" w:rsidRPr="00801C75" w:rsidRDefault="003F1946" w:rsidP="00331E80">
      <w:pPr>
        <w:bidi w:val="0"/>
        <w:snapToGrid w:val="0"/>
        <w:ind w:firstLine="425"/>
        <w:jc w:val="both"/>
        <w:rPr>
          <w:b/>
          <w:bCs/>
          <w:i/>
          <w:iCs/>
          <w:sz w:val="20"/>
          <w:szCs w:val="20"/>
          <w:lang w:val="en-GB" w:bidi="ar-EG"/>
        </w:rPr>
      </w:pPr>
      <w:r w:rsidRPr="00801C75">
        <w:rPr>
          <w:sz w:val="20"/>
          <w:szCs w:val="20"/>
          <w:lang w:val="en-GB" w:bidi="ar-EG"/>
        </w:rPr>
        <w:t>The respons</w:t>
      </w:r>
      <w:r w:rsidR="0068672E" w:rsidRPr="00801C75">
        <w:rPr>
          <w:sz w:val="20"/>
          <w:szCs w:val="20"/>
          <w:lang w:val="en-GB" w:bidi="ar-EG"/>
        </w:rPr>
        <w:t xml:space="preserve">e categorized based on modified </w:t>
      </w:r>
      <w:r w:rsidRPr="00801C75">
        <w:rPr>
          <w:sz w:val="20"/>
          <w:szCs w:val="20"/>
          <w:lang w:val="en-GB" w:bidi="ar-EG"/>
        </w:rPr>
        <w:t>RECIST Criteria 1.</w:t>
      </w:r>
      <w:r w:rsidR="0068672E" w:rsidRPr="00801C75">
        <w:rPr>
          <w:sz w:val="20"/>
          <w:szCs w:val="20"/>
          <w:lang w:val="en-GB" w:bidi="ar-EG"/>
        </w:rPr>
        <w:t>1</w:t>
      </w:r>
      <w:r w:rsidR="0068672E" w:rsidRPr="00801C75">
        <w:rPr>
          <w:b/>
          <w:bCs/>
          <w:sz w:val="20"/>
          <w:szCs w:val="20"/>
          <w:vertAlign w:val="superscript"/>
          <w:lang w:val="en-GB" w:bidi="ar-EG"/>
        </w:rPr>
        <w:t>(</w:t>
      </w:r>
      <w:r w:rsidR="00AF31EE" w:rsidRPr="00801C75">
        <w:rPr>
          <w:b/>
          <w:bCs/>
          <w:sz w:val="20"/>
          <w:szCs w:val="20"/>
          <w:vertAlign w:val="superscript"/>
          <w:lang w:val="en-GB" w:bidi="ar-EG"/>
        </w:rPr>
        <w:t>17)</w:t>
      </w:r>
      <w:r w:rsidR="0068672E" w:rsidRPr="00801C75">
        <w:rPr>
          <w:b/>
          <w:bCs/>
          <w:i/>
          <w:iCs/>
          <w:sz w:val="20"/>
          <w:szCs w:val="20"/>
          <w:lang w:val="en-GB" w:bidi="ar-EG"/>
        </w:rPr>
        <w:t>.</w:t>
      </w:r>
    </w:p>
    <w:p w:rsidR="003F1946" w:rsidRPr="00801C75" w:rsidRDefault="003F1946" w:rsidP="00331E80">
      <w:pPr>
        <w:pStyle w:val="ListParagraph"/>
        <w:numPr>
          <w:ilvl w:val="0"/>
          <w:numId w:val="9"/>
        </w:numPr>
        <w:snapToGrid w:val="0"/>
        <w:spacing w:after="0" w:line="240" w:lineRule="auto"/>
        <w:ind w:left="0" w:firstLine="425"/>
        <w:jc w:val="both"/>
        <w:rPr>
          <w:rFonts w:ascii="Times New Roman" w:hAnsi="Times New Roman" w:cs="Times New Roman"/>
          <w:sz w:val="20"/>
          <w:szCs w:val="20"/>
          <w:lang w:val="en-GB" w:bidi="ar-EG"/>
        </w:rPr>
      </w:pPr>
      <w:r w:rsidRPr="00801C75">
        <w:rPr>
          <w:rFonts w:ascii="Times New Roman" w:hAnsi="Times New Roman" w:cs="Times New Roman"/>
          <w:sz w:val="20"/>
          <w:szCs w:val="20"/>
          <w:lang w:val="en-GB" w:bidi="ar-EG"/>
        </w:rPr>
        <w:t>Evaluation of the performance status of the patients according to the Eastern Cooperative Oncology Group scoring (ECOG</w:t>
      </w:r>
      <w:r w:rsidR="00801C75" w:rsidRPr="00801C75">
        <w:rPr>
          <w:rFonts w:ascii="Times New Roman" w:hAnsi="Times New Roman" w:cs="Times New Roman"/>
          <w:sz w:val="20"/>
          <w:szCs w:val="20"/>
          <w:lang w:val="en-GB" w:bidi="ar-EG"/>
        </w:rPr>
        <w:t xml:space="preserve">) </w:t>
      </w:r>
      <w:r w:rsidR="00801C75" w:rsidRPr="00801C75">
        <w:rPr>
          <w:rFonts w:ascii="Times New Roman" w:hAnsi="Times New Roman" w:cs="Times New Roman"/>
          <w:b/>
          <w:bCs/>
          <w:sz w:val="20"/>
          <w:szCs w:val="20"/>
          <w:vertAlign w:val="superscript"/>
          <w:lang w:val="en-GB" w:bidi="ar-EG"/>
        </w:rPr>
        <w:t>(</w:t>
      </w:r>
      <w:r w:rsidR="00FF6164" w:rsidRPr="00801C75">
        <w:rPr>
          <w:rFonts w:ascii="Times New Roman" w:hAnsi="Times New Roman" w:cs="Times New Roman"/>
          <w:b/>
          <w:bCs/>
          <w:sz w:val="20"/>
          <w:szCs w:val="20"/>
          <w:vertAlign w:val="superscript"/>
          <w:lang w:val="en-GB" w:bidi="ar-EG"/>
        </w:rPr>
        <w:t>18)</w:t>
      </w:r>
      <w:r w:rsidRPr="00801C75">
        <w:rPr>
          <w:rFonts w:ascii="Times New Roman" w:hAnsi="Times New Roman" w:cs="Times New Roman"/>
          <w:sz w:val="20"/>
          <w:szCs w:val="20"/>
          <w:lang w:val="en-GB" w:bidi="ar-EG"/>
        </w:rPr>
        <w:t>.</w:t>
      </w:r>
    </w:p>
    <w:p w:rsidR="00981714" w:rsidRPr="00801C75" w:rsidRDefault="003F1946" w:rsidP="00331E80">
      <w:pPr>
        <w:pStyle w:val="ListParagraph"/>
        <w:numPr>
          <w:ilvl w:val="0"/>
          <w:numId w:val="9"/>
        </w:numPr>
        <w:snapToGrid w:val="0"/>
        <w:spacing w:after="0" w:line="240" w:lineRule="auto"/>
        <w:ind w:left="0" w:firstLine="425"/>
        <w:jc w:val="both"/>
        <w:rPr>
          <w:rFonts w:ascii="Times New Roman" w:hAnsi="Times New Roman" w:cs="Times New Roman"/>
          <w:sz w:val="20"/>
          <w:szCs w:val="20"/>
        </w:rPr>
      </w:pPr>
      <w:r w:rsidRPr="00801C75">
        <w:rPr>
          <w:rFonts w:ascii="Times New Roman" w:hAnsi="Times New Roman" w:cs="Times New Roman"/>
          <w:sz w:val="20"/>
          <w:szCs w:val="20"/>
        </w:rPr>
        <w:t xml:space="preserve">Toxicity assessment during treatment was recorded using Common Toxicity Criteria – NCI version 4.03 (CTC - v4.03) </w:t>
      </w:r>
      <w:r w:rsidRPr="00801C75">
        <w:rPr>
          <w:rFonts w:ascii="Times New Roman" w:hAnsi="Times New Roman" w:cs="Times New Roman"/>
          <w:b/>
          <w:bCs/>
          <w:noProof/>
          <w:sz w:val="20"/>
          <w:szCs w:val="20"/>
          <w:vertAlign w:val="superscript"/>
        </w:rPr>
        <w:t>(</w:t>
      </w:r>
      <w:r w:rsidR="00FF6164" w:rsidRPr="00801C75">
        <w:rPr>
          <w:rFonts w:ascii="Times New Roman" w:hAnsi="Times New Roman" w:cs="Times New Roman"/>
          <w:b/>
          <w:bCs/>
          <w:noProof/>
          <w:sz w:val="20"/>
          <w:szCs w:val="20"/>
          <w:vertAlign w:val="superscript"/>
        </w:rPr>
        <w:t>19</w:t>
      </w:r>
      <w:r w:rsidRPr="00801C75">
        <w:rPr>
          <w:rFonts w:ascii="Times New Roman" w:hAnsi="Times New Roman" w:cs="Times New Roman"/>
          <w:b/>
          <w:bCs/>
          <w:noProof/>
          <w:sz w:val="20"/>
          <w:szCs w:val="20"/>
          <w:vertAlign w:val="superscript"/>
        </w:rPr>
        <w:t>)</w:t>
      </w:r>
      <w:r w:rsidRPr="00801C75">
        <w:rPr>
          <w:rFonts w:ascii="Times New Roman" w:hAnsi="Times New Roman" w:cs="Times New Roman"/>
          <w:sz w:val="20"/>
          <w:szCs w:val="20"/>
        </w:rPr>
        <w:t>.</w:t>
      </w:r>
    </w:p>
    <w:p w:rsidR="003F1946" w:rsidRPr="00801C75" w:rsidRDefault="003F1946" w:rsidP="00331E80">
      <w:pPr>
        <w:bidi w:val="0"/>
        <w:snapToGrid w:val="0"/>
        <w:jc w:val="both"/>
        <w:rPr>
          <w:b/>
          <w:bCs/>
          <w:sz w:val="20"/>
          <w:szCs w:val="20"/>
          <w:lang w:eastAsia="ar-SA"/>
        </w:rPr>
      </w:pPr>
      <w:r w:rsidRPr="00801C75">
        <w:rPr>
          <w:b/>
          <w:bCs/>
          <w:sz w:val="20"/>
          <w:szCs w:val="20"/>
          <w:lang w:eastAsia="ar-SA"/>
        </w:rPr>
        <w:t>5- Statistical analysis methods:</w:t>
      </w:r>
    </w:p>
    <w:p w:rsidR="003F1946" w:rsidRPr="00801C75" w:rsidRDefault="003F1946" w:rsidP="00331E80">
      <w:pPr>
        <w:bidi w:val="0"/>
        <w:snapToGrid w:val="0"/>
        <w:ind w:firstLine="425"/>
        <w:jc w:val="both"/>
        <w:rPr>
          <w:sz w:val="20"/>
          <w:szCs w:val="20"/>
          <w:lang w:eastAsia="ar-SA"/>
        </w:rPr>
      </w:pPr>
      <w:r w:rsidRPr="00801C75">
        <w:rPr>
          <w:sz w:val="20"/>
          <w:szCs w:val="20"/>
          <w:lang w:eastAsia="ar-SA"/>
        </w:rPr>
        <w:t xml:space="preserve">Recorded data were analyzed using the statistical package for social sciences, version 20.0 (SPSS Inc., Chicago, Illinois, USA). Quantitative data were expressed as mean± standard deviation (SD). </w:t>
      </w:r>
      <w:r w:rsidRPr="00801C75">
        <w:rPr>
          <w:sz w:val="20"/>
          <w:szCs w:val="20"/>
          <w:lang w:eastAsia="ar-SA"/>
        </w:rPr>
        <w:lastRenderedPageBreak/>
        <w:t>Qualitative data were expressed as frequency and percentage.</w:t>
      </w:r>
    </w:p>
    <w:p w:rsidR="003F1946" w:rsidRPr="00801C75" w:rsidRDefault="003F1946" w:rsidP="00331E80">
      <w:pPr>
        <w:bidi w:val="0"/>
        <w:snapToGrid w:val="0"/>
        <w:jc w:val="both"/>
        <w:rPr>
          <w:b/>
          <w:bCs/>
          <w:sz w:val="20"/>
          <w:szCs w:val="20"/>
          <w:lang w:eastAsia="ar-SA"/>
        </w:rPr>
      </w:pPr>
      <w:r w:rsidRPr="00801C75">
        <w:rPr>
          <w:b/>
          <w:bCs/>
          <w:sz w:val="20"/>
          <w:szCs w:val="20"/>
          <w:lang w:eastAsia="ar-SA"/>
        </w:rPr>
        <w:t>The following tests were done:</w:t>
      </w:r>
    </w:p>
    <w:p w:rsidR="003F1946" w:rsidRPr="00801C75" w:rsidRDefault="003F1946" w:rsidP="00331E80">
      <w:pPr>
        <w:pStyle w:val="ListParagraph"/>
        <w:numPr>
          <w:ilvl w:val="0"/>
          <w:numId w:val="9"/>
        </w:numPr>
        <w:snapToGrid w:val="0"/>
        <w:spacing w:after="0" w:line="240" w:lineRule="auto"/>
        <w:ind w:left="0" w:firstLine="425"/>
        <w:jc w:val="both"/>
        <w:rPr>
          <w:rFonts w:ascii="Times New Roman" w:hAnsi="Times New Roman" w:cs="Times New Roman"/>
          <w:sz w:val="20"/>
          <w:szCs w:val="20"/>
          <w:lang w:eastAsia="ar-SA"/>
        </w:rPr>
      </w:pPr>
      <w:r w:rsidRPr="00801C75">
        <w:rPr>
          <w:rFonts w:ascii="Times New Roman" w:hAnsi="Times New Roman" w:cs="Times New Roman"/>
          <w:sz w:val="20"/>
          <w:szCs w:val="20"/>
          <w:lang w:eastAsia="ar-SA"/>
        </w:rPr>
        <w:t>Independent-samples t-test of significance was used when comparing between two means.</w:t>
      </w:r>
    </w:p>
    <w:p w:rsidR="003F1946" w:rsidRPr="00801C75" w:rsidRDefault="003F1946" w:rsidP="00331E80">
      <w:pPr>
        <w:pStyle w:val="ListParagraph"/>
        <w:numPr>
          <w:ilvl w:val="0"/>
          <w:numId w:val="9"/>
        </w:numPr>
        <w:snapToGrid w:val="0"/>
        <w:spacing w:after="0" w:line="240" w:lineRule="auto"/>
        <w:ind w:left="0" w:firstLine="425"/>
        <w:jc w:val="both"/>
        <w:rPr>
          <w:rFonts w:ascii="Times New Roman" w:hAnsi="Times New Roman" w:cs="Times New Roman"/>
          <w:sz w:val="20"/>
          <w:szCs w:val="20"/>
          <w:lang w:val="en-GB" w:bidi="ar-EG"/>
        </w:rPr>
      </w:pPr>
      <w:r w:rsidRPr="00801C75">
        <w:rPr>
          <w:rFonts w:ascii="Times New Roman" w:hAnsi="Times New Roman" w:cs="Times New Roman"/>
          <w:sz w:val="20"/>
          <w:szCs w:val="20"/>
          <w:lang w:val="en-GB" w:bidi="ar-EG"/>
        </w:rPr>
        <w:t>Chi-square (x2) test of significance was used in order to compare proportions between two qualitative parameters.</w:t>
      </w:r>
    </w:p>
    <w:p w:rsidR="003F1946" w:rsidRPr="00801C75" w:rsidRDefault="003F1946" w:rsidP="00331E80">
      <w:pPr>
        <w:pStyle w:val="ListParagraph"/>
        <w:numPr>
          <w:ilvl w:val="0"/>
          <w:numId w:val="9"/>
        </w:numPr>
        <w:snapToGrid w:val="0"/>
        <w:spacing w:after="0" w:line="240" w:lineRule="auto"/>
        <w:ind w:left="0" w:firstLine="425"/>
        <w:jc w:val="both"/>
        <w:rPr>
          <w:rFonts w:ascii="Times New Roman" w:hAnsi="Times New Roman" w:cs="Times New Roman"/>
          <w:sz w:val="20"/>
          <w:szCs w:val="20"/>
          <w:lang w:val="en-GB" w:bidi="ar-EG"/>
        </w:rPr>
      </w:pPr>
      <w:bookmarkStart w:id="1" w:name="OLE_LINK290"/>
      <w:bookmarkStart w:id="2" w:name="OLE_LINK291"/>
      <w:r w:rsidRPr="00801C75">
        <w:rPr>
          <w:rFonts w:ascii="Times New Roman" w:hAnsi="Times New Roman" w:cs="Times New Roman"/>
          <w:sz w:val="20"/>
          <w:szCs w:val="20"/>
          <w:lang w:val="en-GB" w:bidi="ar-EG"/>
        </w:rPr>
        <w:t>Receiver operating characteristic (ROC curve) analysis was used to find out the overall predictively of parameter in and to find out the best cut-off value with detection of sensitivity and specificity at this cut-off value.</w:t>
      </w:r>
    </w:p>
    <w:bookmarkEnd w:id="1"/>
    <w:bookmarkEnd w:id="2"/>
    <w:p w:rsidR="003F1946" w:rsidRPr="00801C75" w:rsidRDefault="003F1946" w:rsidP="00331E80">
      <w:pPr>
        <w:pStyle w:val="ListParagraph"/>
        <w:numPr>
          <w:ilvl w:val="0"/>
          <w:numId w:val="9"/>
        </w:numPr>
        <w:snapToGrid w:val="0"/>
        <w:spacing w:after="0" w:line="240" w:lineRule="auto"/>
        <w:ind w:left="0" w:firstLine="425"/>
        <w:jc w:val="both"/>
        <w:rPr>
          <w:rFonts w:ascii="Times New Roman" w:hAnsi="Times New Roman" w:cs="Times New Roman"/>
          <w:sz w:val="20"/>
          <w:szCs w:val="20"/>
          <w:lang w:val="en-GB" w:bidi="ar-EG"/>
        </w:rPr>
      </w:pPr>
      <w:r w:rsidRPr="00801C75">
        <w:rPr>
          <w:rFonts w:ascii="Times New Roman" w:hAnsi="Times New Roman" w:cs="Times New Roman"/>
          <w:b/>
          <w:bCs/>
          <w:sz w:val="20"/>
          <w:szCs w:val="20"/>
          <w:lang w:val="en-GB" w:bidi="ar-EG"/>
        </w:rPr>
        <w:t>Kaplan-Meier</w:t>
      </w:r>
      <w:r w:rsidRPr="00801C75">
        <w:rPr>
          <w:rFonts w:ascii="Times New Roman" w:hAnsi="Times New Roman" w:cs="Times New Roman"/>
          <w:sz w:val="20"/>
          <w:szCs w:val="20"/>
          <w:lang w:val="en-GB" w:bidi="ar-EG"/>
        </w:rPr>
        <w:t xml:space="preserve"> Survival Analysis: is a descriptive procedure for examining the distribution of time-to-event variables.</w:t>
      </w:r>
    </w:p>
    <w:p w:rsidR="003F1946" w:rsidRPr="00801C75" w:rsidRDefault="003F1946" w:rsidP="00331E80">
      <w:pPr>
        <w:pStyle w:val="ListParagraph"/>
        <w:numPr>
          <w:ilvl w:val="0"/>
          <w:numId w:val="9"/>
        </w:numPr>
        <w:snapToGrid w:val="0"/>
        <w:spacing w:after="0" w:line="240" w:lineRule="auto"/>
        <w:ind w:left="0" w:firstLine="425"/>
        <w:jc w:val="both"/>
        <w:rPr>
          <w:rFonts w:ascii="Times New Roman" w:hAnsi="Times New Roman" w:cs="Times New Roman"/>
          <w:sz w:val="20"/>
          <w:szCs w:val="20"/>
          <w:lang w:val="en-GB" w:bidi="ar-EG"/>
        </w:rPr>
      </w:pPr>
      <w:r w:rsidRPr="00801C75">
        <w:rPr>
          <w:rFonts w:ascii="Times New Roman" w:hAnsi="Times New Roman" w:cs="Times New Roman"/>
          <w:b/>
          <w:bCs/>
          <w:sz w:val="20"/>
          <w:szCs w:val="20"/>
          <w:lang w:val="en-GB" w:bidi="ar-EG"/>
        </w:rPr>
        <w:t>Log rank</w:t>
      </w:r>
      <w:r w:rsidRPr="00801C75">
        <w:rPr>
          <w:rFonts w:ascii="Times New Roman" w:hAnsi="Times New Roman" w:cs="Times New Roman"/>
          <w:sz w:val="20"/>
          <w:szCs w:val="20"/>
          <w:lang w:val="en-GB" w:bidi="ar-EG"/>
        </w:rPr>
        <w:t xml:space="preserve"> test to compare time-to-event variables by levels of a factor variable.</w:t>
      </w:r>
    </w:p>
    <w:p w:rsidR="003F1946" w:rsidRPr="00801C75" w:rsidRDefault="003F1946" w:rsidP="00331E80">
      <w:pPr>
        <w:pStyle w:val="ListParagraph"/>
        <w:numPr>
          <w:ilvl w:val="0"/>
          <w:numId w:val="9"/>
        </w:numPr>
        <w:snapToGrid w:val="0"/>
        <w:spacing w:after="0" w:line="240" w:lineRule="auto"/>
        <w:ind w:left="0" w:firstLine="425"/>
        <w:jc w:val="both"/>
        <w:rPr>
          <w:rFonts w:ascii="Times New Roman" w:hAnsi="Times New Roman" w:cs="Times New Roman"/>
          <w:sz w:val="20"/>
          <w:szCs w:val="20"/>
          <w:lang w:val="en-GB" w:bidi="ar-EG"/>
        </w:rPr>
      </w:pPr>
      <w:r w:rsidRPr="00801C75">
        <w:rPr>
          <w:rFonts w:ascii="Times New Roman" w:hAnsi="Times New Roman" w:cs="Times New Roman"/>
          <w:sz w:val="20"/>
          <w:szCs w:val="20"/>
          <w:lang w:val="en-GB" w:bidi="ar-EG"/>
        </w:rPr>
        <w:t>The confidence interval was set to 95% and the margin of error accepted was set to 5</w:t>
      </w:r>
      <w:r w:rsidR="007B5424" w:rsidRPr="00801C75">
        <w:rPr>
          <w:rFonts w:ascii="Times New Roman" w:hAnsi="Times New Roman" w:cs="Times New Roman"/>
          <w:sz w:val="20"/>
          <w:szCs w:val="20"/>
          <w:lang w:val="en-GB" w:bidi="ar-EG"/>
        </w:rPr>
        <w:t>%.</w:t>
      </w:r>
    </w:p>
    <w:p w:rsidR="00331E80" w:rsidRDefault="00331E80" w:rsidP="00331E80">
      <w:pPr>
        <w:bidi w:val="0"/>
        <w:snapToGrid w:val="0"/>
        <w:jc w:val="center"/>
        <w:rPr>
          <w:b/>
          <w:bCs/>
          <w:sz w:val="20"/>
          <w:szCs w:val="20"/>
          <w:shd w:val="clear" w:color="auto" w:fill="FFFFFF"/>
        </w:rPr>
        <w:sectPr w:rsidR="00331E80" w:rsidSect="00331E80">
          <w:type w:val="continuous"/>
          <w:pgSz w:w="12240" w:h="15840" w:code="9"/>
          <w:pgMar w:top="1440" w:right="1440" w:bottom="1440" w:left="1440" w:header="720" w:footer="720" w:gutter="0"/>
          <w:pgBorders w:offsetFrom="page">
            <w:top w:val="none" w:sz="0" w:space="13" w:color="000000" w:shadow="1"/>
            <w:left w:val="none" w:sz="0" w:space="13" w:color="000000" w:shadow="1"/>
            <w:bottom w:val="none" w:sz="0" w:space="13" w:color="000000" w:shadow="1"/>
            <w:right w:val="none" w:sz="0" w:space="0" w:color="000000" w:shadow="1"/>
          </w:pgBorders>
          <w:cols w:num="2" w:space="600"/>
          <w:noEndnote/>
          <w:rtlGutter/>
          <w:docGrid w:linePitch="326"/>
        </w:sectPr>
      </w:pPr>
      <w:bookmarkStart w:id="3" w:name="_Toc7713619"/>
      <w:bookmarkStart w:id="4" w:name="_Toc7857965"/>
    </w:p>
    <w:p w:rsidR="0094756F" w:rsidRPr="00801C75" w:rsidRDefault="0094756F" w:rsidP="00331E80">
      <w:pPr>
        <w:bidi w:val="0"/>
        <w:snapToGrid w:val="0"/>
        <w:jc w:val="center"/>
        <w:rPr>
          <w:b/>
          <w:bCs/>
          <w:sz w:val="20"/>
          <w:szCs w:val="20"/>
          <w:shd w:val="clear" w:color="auto" w:fill="FFFFFF"/>
        </w:rPr>
      </w:pPr>
    </w:p>
    <w:p w:rsidR="003F1946" w:rsidRPr="00331E80" w:rsidRDefault="006A3723" w:rsidP="00331E80">
      <w:pPr>
        <w:bidi w:val="0"/>
        <w:snapToGrid w:val="0"/>
        <w:jc w:val="center"/>
        <w:rPr>
          <w:sz w:val="17"/>
          <w:szCs w:val="17"/>
        </w:rPr>
      </w:pPr>
      <w:r w:rsidRPr="00801C75">
        <w:rPr>
          <w:b/>
          <w:bCs/>
          <w:sz w:val="20"/>
          <w:szCs w:val="20"/>
          <w:shd w:val="clear" w:color="auto" w:fill="FFFFFF"/>
        </w:rPr>
        <w:t>Table (</w:t>
      </w:r>
      <w:r w:rsidR="0014198C" w:rsidRPr="00801C75">
        <w:rPr>
          <w:b/>
          <w:bCs/>
          <w:sz w:val="20"/>
          <w:szCs w:val="20"/>
          <w:shd w:val="clear" w:color="auto" w:fill="FFFFFF"/>
        </w:rPr>
        <w:fldChar w:fldCharType="begin"/>
      </w:r>
      <w:r w:rsidRPr="00801C75">
        <w:rPr>
          <w:b/>
          <w:bCs/>
          <w:sz w:val="20"/>
          <w:szCs w:val="20"/>
          <w:shd w:val="clear" w:color="auto" w:fill="FFFFFF"/>
        </w:rPr>
        <w:instrText xml:space="preserve"> SEQ Table \* ARABIC </w:instrText>
      </w:r>
      <w:r w:rsidR="0014198C" w:rsidRPr="00801C75">
        <w:rPr>
          <w:b/>
          <w:bCs/>
          <w:sz w:val="20"/>
          <w:szCs w:val="20"/>
          <w:shd w:val="clear" w:color="auto" w:fill="FFFFFF"/>
        </w:rPr>
        <w:fldChar w:fldCharType="separate"/>
      </w:r>
      <w:r w:rsidR="00D60619">
        <w:rPr>
          <w:b/>
          <w:bCs/>
          <w:noProof/>
          <w:sz w:val="20"/>
          <w:szCs w:val="20"/>
          <w:shd w:val="clear" w:color="auto" w:fill="FFFFFF"/>
        </w:rPr>
        <w:t>1</w:t>
      </w:r>
      <w:r w:rsidR="0014198C" w:rsidRPr="00801C75">
        <w:rPr>
          <w:b/>
          <w:bCs/>
          <w:sz w:val="20"/>
          <w:szCs w:val="20"/>
          <w:shd w:val="clear" w:color="auto" w:fill="FFFFFF"/>
        </w:rPr>
        <w:fldChar w:fldCharType="end"/>
      </w:r>
      <w:r w:rsidRPr="00801C75">
        <w:rPr>
          <w:b/>
          <w:bCs/>
          <w:sz w:val="20"/>
          <w:szCs w:val="20"/>
          <w:shd w:val="clear" w:color="auto" w:fill="FFFFFF"/>
        </w:rPr>
        <w:t>)</w:t>
      </w:r>
      <w:r w:rsidRPr="00801C75">
        <w:rPr>
          <w:sz w:val="20"/>
          <w:szCs w:val="20"/>
          <w:shd w:val="clear" w:color="auto" w:fill="FFFFFF"/>
        </w:rPr>
        <w:t>:</w:t>
      </w:r>
      <w:r w:rsidR="003F1946" w:rsidRPr="00801C75">
        <w:rPr>
          <w:sz w:val="20"/>
          <w:szCs w:val="20"/>
        </w:rPr>
        <w:t xml:space="preserve"> Diagnostic Performance of Laboratory Data in Discrimination of outcome.</w:t>
      </w:r>
      <w:bookmarkEnd w:id="3"/>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144"/>
        <w:gridCol w:w="1209"/>
        <w:gridCol w:w="1120"/>
        <w:gridCol w:w="1120"/>
        <w:gridCol w:w="1120"/>
        <w:gridCol w:w="1120"/>
        <w:gridCol w:w="1641"/>
      </w:tblGrid>
      <w:tr w:rsidR="00801C75" w:rsidRPr="00331E80" w:rsidTr="00801C75">
        <w:trPr>
          <w:jc w:val="center"/>
        </w:trPr>
        <w:tc>
          <w:tcPr>
            <w:tcW w:w="1132" w:type="pct"/>
            <w:shd w:val="clear" w:color="auto" w:fill="C2D69B" w:themeFill="accent3" w:themeFillTint="99"/>
            <w:vAlign w:val="center"/>
            <w:hideMark/>
          </w:tcPr>
          <w:p w:rsidR="003F1946" w:rsidRPr="00331E80" w:rsidRDefault="003F1946" w:rsidP="00331E80">
            <w:pPr>
              <w:bidi w:val="0"/>
              <w:snapToGrid w:val="0"/>
              <w:jc w:val="both"/>
              <w:rPr>
                <w:b/>
                <w:bCs/>
                <w:sz w:val="17"/>
                <w:szCs w:val="17"/>
              </w:rPr>
            </w:pPr>
            <w:r w:rsidRPr="00331E80">
              <w:rPr>
                <w:b/>
                <w:bCs/>
                <w:sz w:val="17"/>
                <w:szCs w:val="17"/>
              </w:rPr>
              <w:t>Laboratory</w:t>
            </w:r>
          </w:p>
        </w:tc>
        <w:tc>
          <w:tcPr>
            <w:tcW w:w="638" w:type="pct"/>
            <w:shd w:val="clear" w:color="auto" w:fill="C2D69B" w:themeFill="accent3" w:themeFillTint="99"/>
            <w:vAlign w:val="center"/>
          </w:tcPr>
          <w:p w:rsidR="003F1946" w:rsidRPr="00331E80" w:rsidRDefault="003F1946" w:rsidP="00331E80">
            <w:pPr>
              <w:bidi w:val="0"/>
              <w:snapToGrid w:val="0"/>
              <w:jc w:val="both"/>
              <w:rPr>
                <w:b/>
                <w:bCs/>
                <w:sz w:val="17"/>
                <w:szCs w:val="17"/>
              </w:rPr>
            </w:pPr>
            <w:r w:rsidRPr="00331E80">
              <w:rPr>
                <w:b/>
                <w:bCs/>
                <w:sz w:val="17"/>
                <w:szCs w:val="17"/>
              </w:rPr>
              <w:t>cut-off</w:t>
            </w:r>
          </w:p>
        </w:tc>
        <w:tc>
          <w:tcPr>
            <w:tcW w:w="591" w:type="pct"/>
            <w:shd w:val="clear" w:color="auto" w:fill="C2D69B" w:themeFill="accent3" w:themeFillTint="99"/>
            <w:vAlign w:val="center"/>
            <w:hideMark/>
          </w:tcPr>
          <w:p w:rsidR="003F1946" w:rsidRPr="00331E80" w:rsidRDefault="003F1946" w:rsidP="00331E80">
            <w:pPr>
              <w:bidi w:val="0"/>
              <w:snapToGrid w:val="0"/>
              <w:jc w:val="both"/>
              <w:rPr>
                <w:b/>
                <w:bCs/>
                <w:sz w:val="17"/>
                <w:szCs w:val="17"/>
              </w:rPr>
            </w:pPr>
            <w:r w:rsidRPr="00331E80">
              <w:rPr>
                <w:b/>
                <w:bCs/>
                <w:sz w:val="17"/>
                <w:szCs w:val="17"/>
              </w:rPr>
              <w:t>sen.</w:t>
            </w:r>
          </w:p>
        </w:tc>
        <w:tc>
          <w:tcPr>
            <w:tcW w:w="591" w:type="pct"/>
            <w:shd w:val="clear" w:color="auto" w:fill="C2D69B" w:themeFill="accent3" w:themeFillTint="99"/>
            <w:vAlign w:val="center"/>
            <w:hideMark/>
          </w:tcPr>
          <w:p w:rsidR="003F1946" w:rsidRPr="00331E80" w:rsidRDefault="003F1946" w:rsidP="00331E80">
            <w:pPr>
              <w:bidi w:val="0"/>
              <w:snapToGrid w:val="0"/>
              <w:jc w:val="both"/>
              <w:rPr>
                <w:b/>
                <w:bCs/>
                <w:sz w:val="17"/>
                <w:szCs w:val="17"/>
              </w:rPr>
            </w:pPr>
            <w:r w:rsidRPr="00331E80">
              <w:rPr>
                <w:b/>
                <w:bCs/>
                <w:sz w:val="17"/>
                <w:szCs w:val="17"/>
              </w:rPr>
              <w:t>Spe.</w:t>
            </w:r>
          </w:p>
        </w:tc>
        <w:tc>
          <w:tcPr>
            <w:tcW w:w="591" w:type="pct"/>
            <w:shd w:val="clear" w:color="auto" w:fill="C2D69B" w:themeFill="accent3" w:themeFillTint="99"/>
            <w:vAlign w:val="center"/>
            <w:hideMark/>
          </w:tcPr>
          <w:p w:rsidR="003F1946" w:rsidRPr="00331E80" w:rsidRDefault="003F1946" w:rsidP="00331E80">
            <w:pPr>
              <w:bidi w:val="0"/>
              <w:snapToGrid w:val="0"/>
              <w:jc w:val="both"/>
              <w:rPr>
                <w:b/>
                <w:bCs/>
                <w:sz w:val="17"/>
                <w:szCs w:val="17"/>
              </w:rPr>
            </w:pPr>
            <w:r w:rsidRPr="00331E80">
              <w:rPr>
                <w:b/>
                <w:bCs/>
                <w:sz w:val="17"/>
                <w:szCs w:val="17"/>
              </w:rPr>
              <w:t>PPV</w:t>
            </w:r>
          </w:p>
        </w:tc>
        <w:tc>
          <w:tcPr>
            <w:tcW w:w="591" w:type="pct"/>
            <w:shd w:val="clear" w:color="auto" w:fill="C2D69B" w:themeFill="accent3" w:themeFillTint="99"/>
            <w:vAlign w:val="center"/>
            <w:hideMark/>
          </w:tcPr>
          <w:p w:rsidR="003F1946" w:rsidRPr="00331E80" w:rsidRDefault="003F1946" w:rsidP="00331E80">
            <w:pPr>
              <w:bidi w:val="0"/>
              <w:snapToGrid w:val="0"/>
              <w:jc w:val="both"/>
              <w:rPr>
                <w:b/>
                <w:bCs/>
                <w:sz w:val="17"/>
                <w:szCs w:val="17"/>
              </w:rPr>
            </w:pPr>
            <w:r w:rsidRPr="00331E80">
              <w:rPr>
                <w:b/>
                <w:bCs/>
                <w:sz w:val="17"/>
                <w:szCs w:val="17"/>
              </w:rPr>
              <w:t>NPV</w:t>
            </w:r>
          </w:p>
        </w:tc>
        <w:tc>
          <w:tcPr>
            <w:tcW w:w="866" w:type="pct"/>
            <w:shd w:val="clear" w:color="auto" w:fill="C2D69B" w:themeFill="accent3" w:themeFillTint="99"/>
            <w:vAlign w:val="center"/>
            <w:hideMark/>
          </w:tcPr>
          <w:p w:rsidR="003F1946" w:rsidRPr="00331E80" w:rsidRDefault="003F1946" w:rsidP="00331E80">
            <w:pPr>
              <w:bidi w:val="0"/>
              <w:snapToGrid w:val="0"/>
              <w:jc w:val="both"/>
              <w:rPr>
                <w:b/>
                <w:bCs/>
                <w:sz w:val="17"/>
                <w:szCs w:val="17"/>
              </w:rPr>
            </w:pPr>
            <w:r w:rsidRPr="00331E80">
              <w:rPr>
                <w:b/>
                <w:bCs/>
                <w:sz w:val="17"/>
                <w:szCs w:val="17"/>
              </w:rPr>
              <w:t>Accuracy</w:t>
            </w:r>
          </w:p>
        </w:tc>
      </w:tr>
      <w:tr w:rsidR="00801C75" w:rsidRPr="00331E80" w:rsidTr="00801C75">
        <w:trPr>
          <w:jc w:val="center"/>
        </w:trPr>
        <w:tc>
          <w:tcPr>
            <w:tcW w:w="1132" w:type="pct"/>
            <w:shd w:val="clear" w:color="000000" w:fill="FFFFFF"/>
            <w:vAlign w:val="center"/>
          </w:tcPr>
          <w:p w:rsidR="003F1946" w:rsidRPr="00331E80" w:rsidRDefault="003F1946" w:rsidP="00331E80">
            <w:pPr>
              <w:bidi w:val="0"/>
              <w:snapToGrid w:val="0"/>
              <w:jc w:val="both"/>
              <w:rPr>
                <w:sz w:val="17"/>
                <w:szCs w:val="17"/>
              </w:rPr>
            </w:pPr>
            <w:r w:rsidRPr="00331E80">
              <w:rPr>
                <w:sz w:val="17"/>
                <w:szCs w:val="17"/>
              </w:rPr>
              <w:t>CEA</w:t>
            </w:r>
          </w:p>
        </w:tc>
        <w:tc>
          <w:tcPr>
            <w:tcW w:w="638" w:type="pct"/>
            <w:shd w:val="clear" w:color="000000" w:fill="FFFFFF"/>
            <w:vAlign w:val="center"/>
          </w:tcPr>
          <w:p w:rsidR="003F1946" w:rsidRPr="00331E80" w:rsidRDefault="003F1946" w:rsidP="00331E80">
            <w:pPr>
              <w:bidi w:val="0"/>
              <w:snapToGrid w:val="0"/>
              <w:jc w:val="both"/>
              <w:rPr>
                <w:sz w:val="17"/>
                <w:szCs w:val="17"/>
              </w:rPr>
            </w:pPr>
            <w:r w:rsidRPr="00331E80">
              <w:rPr>
                <w:sz w:val="17"/>
                <w:szCs w:val="17"/>
              </w:rPr>
              <w:t>≥5</w:t>
            </w:r>
          </w:p>
        </w:tc>
        <w:tc>
          <w:tcPr>
            <w:tcW w:w="591" w:type="pct"/>
            <w:shd w:val="clear" w:color="000000" w:fill="FFFFFF"/>
            <w:vAlign w:val="center"/>
          </w:tcPr>
          <w:p w:rsidR="003F1946" w:rsidRPr="00331E80" w:rsidRDefault="003F1946" w:rsidP="00331E80">
            <w:pPr>
              <w:bidi w:val="0"/>
              <w:snapToGrid w:val="0"/>
              <w:jc w:val="both"/>
              <w:rPr>
                <w:sz w:val="17"/>
                <w:szCs w:val="17"/>
              </w:rPr>
            </w:pPr>
            <w:r w:rsidRPr="00331E80">
              <w:rPr>
                <w:sz w:val="17"/>
                <w:szCs w:val="17"/>
              </w:rPr>
              <w:t>49%</w:t>
            </w:r>
          </w:p>
        </w:tc>
        <w:tc>
          <w:tcPr>
            <w:tcW w:w="591" w:type="pct"/>
            <w:shd w:val="clear" w:color="000000" w:fill="FFFFFF"/>
            <w:vAlign w:val="center"/>
          </w:tcPr>
          <w:p w:rsidR="003F1946" w:rsidRPr="00331E80" w:rsidRDefault="003F1946" w:rsidP="00331E80">
            <w:pPr>
              <w:bidi w:val="0"/>
              <w:snapToGrid w:val="0"/>
              <w:jc w:val="both"/>
              <w:rPr>
                <w:sz w:val="17"/>
                <w:szCs w:val="17"/>
              </w:rPr>
            </w:pPr>
            <w:r w:rsidRPr="00331E80">
              <w:rPr>
                <w:sz w:val="17"/>
                <w:szCs w:val="17"/>
              </w:rPr>
              <w:t>85%</w:t>
            </w:r>
          </w:p>
        </w:tc>
        <w:tc>
          <w:tcPr>
            <w:tcW w:w="591" w:type="pct"/>
            <w:shd w:val="clear" w:color="000000" w:fill="FFFFFF"/>
            <w:vAlign w:val="center"/>
          </w:tcPr>
          <w:p w:rsidR="003F1946" w:rsidRPr="00331E80" w:rsidRDefault="003F1946" w:rsidP="00331E80">
            <w:pPr>
              <w:bidi w:val="0"/>
              <w:snapToGrid w:val="0"/>
              <w:jc w:val="both"/>
              <w:rPr>
                <w:sz w:val="17"/>
                <w:szCs w:val="17"/>
              </w:rPr>
            </w:pPr>
            <w:r w:rsidRPr="00331E80">
              <w:rPr>
                <w:sz w:val="17"/>
                <w:szCs w:val="17"/>
              </w:rPr>
              <w:t>70%</w:t>
            </w:r>
          </w:p>
        </w:tc>
        <w:tc>
          <w:tcPr>
            <w:tcW w:w="591" w:type="pct"/>
            <w:shd w:val="clear" w:color="000000" w:fill="FFFFFF"/>
            <w:vAlign w:val="center"/>
          </w:tcPr>
          <w:p w:rsidR="003F1946" w:rsidRPr="00331E80" w:rsidRDefault="003F1946" w:rsidP="00331E80">
            <w:pPr>
              <w:bidi w:val="0"/>
              <w:snapToGrid w:val="0"/>
              <w:jc w:val="both"/>
              <w:rPr>
                <w:sz w:val="17"/>
                <w:szCs w:val="17"/>
              </w:rPr>
            </w:pPr>
            <w:r w:rsidRPr="00331E80">
              <w:rPr>
                <w:sz w:val="17"/>
                <w:szCs w:val="17"/>
              </w:rPr>
              <w:t>54%</w:t>
            </w:r>
          </w:p>
        </w:tc>
        <w:tc>
          <w:tcPr>
            <w:tcW w:w="866" w:type="pct"/>
            <w:shd w:val="clear" w:color="000000" w:fill="FFFFFF"/>
            <w:vAlign w:val="center"/>
          </w:tcPr>
          <w:p w:rsidR="003F1946" w:rsidRPr="00331E80" w:rsidRDefault="003F1946" w:rsidP="00331E80">
            <w:pPr>
              <w:bidi w:val="0"/>
              <w:snapToGrid w:val="0"/>
              <w:jc w:val="both"/>
              <w:rPr>
                <w:sz w:val="17"/>
                <w:szCs w:val="17"/>
              </w:rPr>
            </w:pPr>
            <w:r w:rsidRPr="00331E80">
              <w:rPr>
                <w:sz w:val="17"/>
                <w:szCs w:val="17"/>
              </w:rPr>
              <w:t>56%</w:t>
            </w:r>
          </w:p>
        </w:tc>
      </w:tr>
      <w:tr w:rsidR="00801C75" w:rsidRPr="00331E80" w:rsidTr="00801C75">
        <w:trPr>
          <w:jc w:val="center"/>
        </w:trPr>
        <w:tc>
          <w:tcPr>
            <w:tcW w:w="1132" w:type="pct"/>
            <w:shd w:val="clear" w:color="000000" w:fill="FFFFFF"/>
            <w:vAlign w:val="center"/>
          </w:tcPr>
          <w:p w:rsidR="003F1946" w:rsidRPr="00331E80" w:rsidRDefault="003F1946" w:rsidP="00331E80">
            <w:pPr>
              <w:bidi w:val="0"/>
              <w:snapToGrid w:val="0"/>
              <w:jc w:val="both"/>
              <w:rPr>
                <w:sz w:val="17"/>
                <w:szCs w:val="17"/>
              </w:rPr>
            </w:pPr>
            <w:r w:rsidRPr="00331E80">
              <w:rPr>
                <w:sz w:val="17"/>
                <w:szCs w:val="17"/>
              </w:rPr>
              <w:t>Alb</w:t>
            </w:r>
          </w:p>
        </w:tc>
        <w:tc>
          <w:tcPr>
            <w:tcW w:w="638" w:type="pct"/>
            <w:shd w:val="clear" w:color="000000" w:fill="FFFFFF"/>
            <w:vAlign w:val="center"/>
          </w:tcPr>
          <w:p w:rsidR="003F1946" w:rsidRPr="00331E80" w:rsidRDefault="003F1946" w:rsidP="00331E80">
            <w:pPr>
              <w:bidi w:val="0"/>
              <w:snapToGrid w:val="0"/>
              <w:jc w:val="both"/>
              <w:rPr>
                <w:sz w:val="17"/>
                <w:szCs w:val="17"/>
              </w:rPr>
            </w:pPr>
            <w:r w:rsidRPr="00331E80">
              <w:rPr>
                <w:sz w:val="17"/>
                <w:szCs w:val="17"/>
              </w:rPr>
              <w:t>≥4</w:t>
            </w:r>
          </w:p>
        </w:tc>
        <w:tc>
          <w:tcPr>
            <w:tcW w:w="591" w:type="pct"/>
            <w:shd w:val="clear" w:color="000000" w:fill="FFFFFF"/>
            <w:vAlign w:val="center"/>
          </w:tcPr>
          <w:p w:rsidR="003F1946" w:rsidRPr="00331E80" w:rsidRDefault="003F1946" w:rsidP="00331E80">
            <w:pPr>
              <w:bidi w:val="0"/>
              <w:snapToGrid w:val="0"/>
              <w:jc w:val="both"/>
              <w:rPr>
                <w:sz w:val="17"/>
                <w:szCs w:val="17"/>
              </w:rPr>
            </w:pPr>
            <w:r w:rsidRPr="00331E80">
              <w:rPr>
                <w:sz w:val="17"/>
                <w:szCs w:val="17"/>
              </w:rPr>
              <w:t>45%</w:t>
            </w:r>
          </w:p>
        </w:tc>
        <w:tc>
          <w:tcPr>
            <w:tcW w:w="591" w:type="pct"/>
            <w:shd w:val="clear" w:color="000000" w:fill="FFFFFF"/>
            <w:vAlign w:val="center"/>
          </w:tcPr>
          <w:p w:rsidR="003F1946" w:rsidRPr="00331E80" w:rsidRDefault="003F1946" w:rsidP="00331E80">
            <w:pPr>
              <w:bidi w:val="0"/>
              <w:snapToGrid w:val="0"/>
              <w:jc w:val="both"/>
              <w:rPr>
                <w:sz w:val="17"/>
                <w:szCs w:val="17"/>
              </w:rPr>
            </w:pPr>
            <w:r w:rsidRPr="00331E80">
              <w:rPr>
                <w:sz w:val="17"/>
                <w:szCs w:val="17"/>
              </w:rPr>
              <w:t>60%</w:t>
            </w:r>
          </w:p>
        </w:tc>
        <w:tc>
          <w:tcPr>
            <w:tcW w:w="591" w:type="pct"/>
            <w:shd w:val="clear" w:color="000000" w:fill="FFFFFF"/>
            <w:vAlign w:val="center"/>
          </w:tcPr>
          <w:p w:rsidR="003F1946" w:rsidRPr="00331E80" w:rsidRDefault="003F1946" w:rsidP="00331E80">
            <w:pPr>
              <w:bidi w:val="0"/>
              <w:snapToGrid w:val="0"/>
              <w:jc w:val="both"/>
              <w:rPr>
                <w:sz w:val="17"/>
                <w:szCs w:val="17"/>
              </w:rPr>
            </w:pPr>
            <w:r w:rsidRPr="00331E80">
              <w:rPr>
                <w:sz w:val="17"/>
                <w:szCs w:val="17"/>
              </w:rPr>
              <w:t>88%</w:t>
            </w:r>
          </w:p>
        </w:tc>
        <w:tc>
          <w:tcPr>
            <w:tcW w:w="591" w:type="pct"/>
            <w:shd w:val="clear" w:color="000000" w:fill="FFFFFF"/>
            <w:vAlign w:val="center"/>
          </w:tcPr>
          <w:p w:rsidR="003F1946" w:rsidRPr="00331E80" w:rsidRDefault="003F1946" w:rsidP="00331E80">
            <w:pPr>
              <w:bidi w:val="0"/>
              <w:snapToGrid w:val="0"/>
              <w:jc w:val="both"/>
              <w:rPr>
                <w:sz w:val="17"/>
                <w:szCs w:val="17"/>
              </w:rPr>
            </w:pPr>
            <w:r w:rsidRPr="00331E80">
              <w:rPr>
                <w:sz w:val="17"/>
                <w:szCs w:val="17"/>
              </w:rPr>
              <w:t>58%</w:t>
            </w:r>
          </w:p>
        </w:tc>
        <w:tc>
          <w:tcPr>
            <w:tcW w:w="866" w:type="pct"/>
            <w:shd w:val="clear" w:color="000000" w:fill="FFFFFF"/>
            <w:vAlign w:val="center"/>
          </w:tcPr>
          <w:p w:rsidR="003F1946" w:rsidRPr="00331E80" w:rsidRDefault="003F1946" w:rsidP="00331E80">
            <w:pPr>
              <w:bidi w:val="0"/>
              <w:snapToGrid w:val="0"/>
              <w:jc w:val="both"/>
              <w:rPr>
                <w:sz w:val="17"/>
                <w:szCs w:val="17"/>
              </w:rPr>
            </w:pPr>
            <w:r w:rsidRPr="00331E80">
              <w:rPr>
                <w:sz w:val="17"/>
                <w:szCs w:val="17"/>
              </w:rPr>
              <w:t>61%</w:t>
            </w:r>
          </w:p>
        </w:tc>
      </w:tr>
      <w:tr w:rsidR="00801C75" w:rsidRPr="00331E80" w:rsidTr="00801C75">
        <w:trPr>
          <w:jc w:val="center"/>
        </w:trPr>
        <w:tc>
          <w:tcPr>
            <w:tcW w:w="1132" w:type="pct"/>
            <w:shd w:val="clear" w:color="000000" w:fill="FFFFFF"/>
            <w:vAlign w:val="center"/>
          </w:tcPr>
          <w:p w:rsidR="003F1946" w:rsidRPr="00331E80" w:rsidRDefault="003F1946" w:rsidP="00331E80">
            <w:pPr>
              <w:bidi w:val="0"/>
              <w:snapToGrid w:val="0"/>
              <w:jc w:val="both"/>
              <w:rPr>
                <w:sz w:val="17"/>
                <w:szCs w:val="17"/>
              </w:rPr>
            </w:pPr>
            <w:r w:rsidRPr="00331E80">
              <w:rPr>
                <w:sz w:val="17"/>
                <w:szCs w:val="17"/>
              </w:rPr>
              <w:t>NLR</w:t>
            </w:r>
          </w:p>
        </w:tc>
        <w:tc>
          <w:tcPr>
            <w:tcW w:w="638" w:type="pct"/>
            <w:shd w:val="clear" w:color="000000" w:fill="FFFFFF"/>
            <w:vAlign w:val="center"/>
          </w:tcPr>
          <w:p w:rsidR="003F1946" w:rsidRPr="00331E80" w:rsidRDefault="003F1946" w:rsidP="00331E80">
            <w:pPr>
              <w:bidi w:val="0"/>
              <w:snapToGrid w:val="0"/>
              <w:jc w:val="both"/>
              <w:rPr>
                <w:sz w:val="17"/>
                <w:szCs w:val="17"/>
              </w:rPr>
            </w:pPr>
            <w:r w:rsidRPr="00331E80">
              <w:rPr>
                <w:sz w:val="17"/>
                <w:szCs w:val="17"/>
              </w:rPr>
              <w:t>≥2</w:t>
            </w:r>
          </w:p>
        </w:tc>
        <w:tc>
          <w:tcPr>
            <w:tcW w:w="591" w:type="pct"/>
            <w:shd w:val="clear" w:color="000000" w:fill="FFFFFF"/>
            <w:vAlign w:val="center"/>
          </w:tcPr>
          <w:p w:rsidR="003F1946" w:rsidRPr="00331E80" w:rsidRDefault="003F1946" w:rsidP="00331E80">
            <w:pPr>
              <w:bidi w:val="0"/>
              <w:snapToGrid w:val="0"/>
              <w:jc w:val="both"/>
              <w:rPr>
                <w:sz w:val="17"/>
                <w:szCs w:val="17"/>
              </w:rPr>
            </w:pPr>
            <w:r w:rsidRPr="00331E80">
              <w:rPr>
                <w:sz w:val="17"/>
                <w:szCs w:val="17"/>
              </w:rPr>
              <w:t>68.2%</w:t>
            </w:r>
          </w:p>
        </w:tc>
        <w:tc>
          <w:tcPr>
            <w:tcW w:w="591" w:type="pct"/>
            <w:shd w:val="clear" w:color="000000" w:fill="FFFFFF"/>
            <w:vAlign w:val="center"/>
          </w:tcPr>
          <w:p w:rsidR="003F1946" w:rsidRPr="00331E80" w:rsidRDefault="003F1946" w:rsidP="00331E80">
            <w:pPr>
              <w:bidi w:val="0"/>
              <w:snapToGrid w:val="0"/>
              <w:jc w:val="both"/>
              <w:rPr>
                <w:sz w:val="17"/>
                <w:szCs w:val="17"/>
              </w:rPr>
            </w:pPr>
            <w:r w:rsidRPr="00331E80">
              <w:rPr>
                <w:sz w:val="17"/>
                <w:szCs w:val="17"/>
              </w:rPr>
              <w:t>75.4%</w:t>
            </w:r>
          </w:p>
        </w:tc>
        <w:tc>
          <w:tcPr>
            <w:tcW w:w="591" w:type="pct"/>
            <w:shd w:val="clear" w:color="000000" w:fill="FFFFFF"/>
            <w:vAlign w:val="center"/>
          </w:tcPr>
          <w:p w:rsidR="003F1946" w:rsidRPr="00331E80" w:rsidRDefault="003F1946" w:rsidP="00331E80">
            <w:pPr>
              <w:bidi w:val="0"/>
              <w:snapToGrid w:val="0"/>
              <w:jc w:val="both"/>
              <w:rPr>
                <w:sz w:val="17"/>
                <w:szCs w:val="17"/>
              </w:rPr>
            </w:pPr>
            <w:r w:rsidRPr="00331E80">
              <w:rPr>
                <w:sz w:val="17"/>
                <w:szCs w:val="17"/>
              </w:rPr>
              <w:t>78.4%</w:t>
            </w:r>
          </w:p>
        </w:tc>
        <w:tc>
          <w:tcPr>
            <w:tcW w:w="591" w:type="pct"/>
            <w:shd w:val="clear" w:color="000000" w:fill="FFFFFF"/>
            <w:vAlign w:val="center"/>
          </w:tcPr>
          <w:p w:rsidR="003F1946" w:rsidRPr="00331E80" w:rsidRDefault="003F1946" w:rsidP="00331E80">
            <w:pPr>
              <w:bidi w:val="0"/>
              <w:snapToGrid w:val="0"/>
              <w:jc w:val="both"/>
              <w:rPr>
                <w:sz w:val="17"/>
                <w:szCs w:val="17"/>
              </w:rPr>
            </w:pPr>
            <w:r w:rsidRPr="00331E80">
              <w:rPr>
                <w:sz w:val="17"/>
                <w:szCs w:val="17"/>
              </w:rPr>
              <w:t>64.5%</w:t>
            </w:r>
          </w:p>
        </w:tc>
        <w:tc>
          <w:tcPr>
            <w:tcW w:w="866" w:type="pct"/>
            <w:shd w:val="clear" w:color="000000" w:fill="FFFFFF"/>
            <w:vAlign w:val="center"/>
          </w:tcPr>
          <w:p w:rsidR="003F1946" w:rsidRPr="00331E80" w:rsidRDefault="003F1946" w:rsidP="00331E80">
            <w:pPr>
              <w:bidi w:val="0"/>
              <w:snapToGrid w:val="0"/>
              <w:jc w:val="both"/>
              <w:rPr>
                <w:sz w:val="17"/>
                <w:szCs w:val="17"/>
              </w:rPr>
            </w:pPr>
            <w:r w:rsidRPr="00331E80">
              <w:rPr>
                <w:sz w:val="17"/>
                <w:szCs w:val="17"/>
              </w:rPr>
              <w:t>75.5%</w:t>
            </w:r>
          </w:p>
        </w:tc>
      </w:tr>
      <w:tr w:rsidR="00801C75" w:rsidRPr="00331E80" w:rsidTr="00801C75">
        <w:trPr>
          <w:jc w:val="center"/>
        </w:trPr>
        <w:tc>
          <w:tcPr>
            <w:tcW w:w="1132" w:type="pct"/>
            <w:shd w:val="clear" w:color="000000" w:fill="FFFFFF"/>
            <w:vAlign w:val="center"/>
          </w:tcPr>
          <w:p w:rsidR="003F1946" w:rsidRPr="00331E80" w:rsidRDefault="003F1946" w:rsidP="00331E80">
            <w:pPr>
              <w:bidi w:val="0"/>
              <w:snapToGrid w:val="0"/>
              <w:jc w:val="both"/>
              <w:rPr>
                <w:sz w:val="17"/>
                <w:szCs w:val="17"/>
              </w:rPr>
            </w:pPr>
            <w:r w:rsidRPr="00331E80">
              <w:rPr>
                <w:sz w:val="17"/>
                <w:szCs w:val="17"/>
              </w:rPr>
              <w:t>Platelet count</w:t>
            </w:r>
          </w:p>
        </w:tc>
        <w:tc>
          <w:tcPr>
            <w:tcW w:w="638" w:type="pct"/>
            <w:shd w:val="clear" w:color="000000" w:fill="FFFFFF"/>
            <w:vAlign w:val="center"/>
          </w:tcPr>
          <w:p w:rsidR="003F1946" w:rsidRPr="00331E80" w:rsidRDefault="003F1946" w:rsidP="00331E80">
            <w:pPr>
              <w:bidi w:val="0"/>
              <w:snapToGrid w:val="0"/>
              <w:jc w:val="both"/>
              <w:rPr>
                <w:sz w:val="17"/>
                <w:szCs w:val="17"/>
              </w:rPr>
            </w:pPr>
            <w:r w:rsidRPr="00331E80">
              <w:rPr>
                <w:sz w:val="17"/>
                <w:szCs w:val="17"/>
              </w:rPr>
              <w:t>≥310</w:t>
            </w:r>
          </w:p>
        </w:tc>
        <w:tc>
          <w:tcPr>
            <w:tcW w:w="591" w:type="pct"/>
            <w:shd w:val="clear" w:color="000000" w:fill="FFFFFF"/>
            <w:vAlign w:val="center"/>
          </w:tcPr>
          <w:p w:rsidR="003F1946" w:rsidRPr="00331E80" w:rsidRDefault="003F1946" w:rsidP="00331E80">
            <w:pPr>
              <w:bidi w:val="0"/>
              <w:snapToGrid w:val="0"/>
              <w:jc w:val="both"/>
              <w:rPr>
                <w:sz w:val="17"/>
                <w:szCs w:val="17"/>
              </w:rPr>
            </w:pPr>
            <w:r w:rsidRPr="00331E80">
              <w:rPr>
                <w:sz w:val="17"/>
                <w:szCs w:val="17"/>
              </w:rPr>
              <w:t>56.5%</w:t>
            </w:r>
          </w:p>
        </w:tc>
        <w:tc>
          <w:tcPr>
            <w:tcW w:w="591" w:type="pct"/>
            <w:shd w:val="clear" w:color="000000" w:fill="FFFFFF"/>
            <w:vAlign w:val="center"/>
          </w:tcPr>
          <w:p w:rsidR="003F1946" w:rsidRPr="00331E80" w:rsidRDefault="003F1946" w:rsidP="00331E80">
            <w:pPr>
              <w:bidi w:val="0"/>
              <w:snapToGrid w:val="0"/>
              <w:jc w:val="both"/>
              <w:rPr>
                <w:sz w:val="17"/>
                <w:szCs w:val="17"/>
              </w:rPr>
            </w:pPr>
            <w:r w:rsidRPr="00331E80">
              <w:rPr>
                <w:sz w:val="17"/>
                <w:szCs w:val="17"/>
              </w:rPr>
              <w:t>90%</w:t>
            </w:r>
          </w:p>
        </w:tc>
        <w:tc>
          <w:tcPr>
            <w:tcW w:w="591" w:type="pct"/>
            <w:shd w:val="clear" w:color="000000" w:fill="FFFFFF"/>
            <w:vAlign w:val="center"/>
          </w:tcPr>
          <w:p w:rsidR="003F1946" w:rsidRPr="00331E80" w:rsidRDefault="003F1946" w:rsidP="00331E80">
            <w:pPr>
              <w:bidi w:val="0"/>
              <w:snapToGrid w:val="0"/>
              <w:jc w:val="both"/>
              <w:rPr>
                <w:sz w:val="17"/>
                <w:szCs w:val="17"/>
              </w:rPr>
            </w:pPr>
            <w:r w:rsidRPr="00331E80">
              <w:rPr>
                <w:sz w:val="17"/>
                <w:szCs w:val="17"/>
              </w:rPr>
              <w:t>90%</w:t>
            </w:r>
          </w:p>
        </w:tc>
        <w:tc>
          <w:tcPr>
            <w:tcW w:w="591" w:type="pct"/>
            <w:shd w:val="clear" w:color="000000" w:fill="FFFFFF"/>
            <w:vAlign w:val="center"/>
          </w:tcPr>
          <w:p w:rsidR="003F1946" w:rsidRPr="00331E80" w:rsidRDefault="003F1946" w:rsidP="00331E80">
            <w:pPr>
              <w:bidi w:val="0"/>
              <w:snapToGrid w:val="0"/>
              <w:jc w:val="both"/>
              <w:rPr>
                <w:sz w:val="17"/>
                <w:szCs w:val="17"/>
              </w:rPr>
            </w:pPr>
            <w:r w:rsidRPr="00331E80">
              <w:rPr>
                <w:sz w:val="17"/>
                <w:szCs w:val="17"/>
              </w:rPr>
              <w:t>62%</w:t>
            </w:r>
          </w:p>
        </w:tc>
        <w:tc>
          <w:tcPr>
            <w:tcW w:w="866" w:type="pct"/>
            <w:shd w:val="clear" w:color="000000" w:fill="FFFFFF"/>
            <w:vAlign w:val="center"/>
          </w:tcPr>
          <w:p w:rsidR="003F1946" w:rsidRPr="00331E80" w:rsidRDefault="003F1946" w:rsidP="00331E80">
            <w:pPr>
              <w:bidi w:val="0"/>
              <w:snapToGrid w:val="0"/>
              <w:jc w:val="both"/>
              <w:rPr>
                <w:sz w:val="17"/>
                <w:szCs w:val="17"/>
              </w:rPr>
            </w:pPr>
            <w:r w:rsidRPr="00331E80">
              <w:rPr>
                <w:sz w:val="17"/>
                <w:szCs w:val="17"/>
              </w:rPr>
              <w:t>58.9%</w:t>
            </w:r>
          </w:p>
        </w:tc>
      </w:tr>
    </w:tbl>
    <w:p w:rsidR="0068672E" w:rsidRPr="00331E80" w:rsidRDefault="0068672E" w:rsidP="00331E80">
      <w:pPr>
        <w:bidi w:val="0"/>
        <w:snapToGrid w:val="0"/>
        <w:jc w:val="both"/>
        <w:rPr>
          <w:sz w:val="17"/>
          <w:szCs w:val="17"/>
          <w:lang w:val="en-GB" w:bidi="ar-EG"/>
        </w:rPr>
      </w:pPr>
      <w:r w:rsidRPr="00331E80">
        <w:rPr>
          <w:sz w:val="17"/>
          <w:szCs w:val="17"/>
          <w:lang w:val="en-GB" w:bidi="ar-EG"/>
        </w:rPr>
        <w:t>Sen.: sensitivity, Spe.</w:t>
      </w:r>
      <w:r w:rsidR="00801C75" w:rsidRPr="00331E80">
        <w:rPr>
          <w:sz w:val="17"/>
          <w:szCs w:val="17"/>
          <w:lang w:val="en-GB" w:bidi="ar-EG"/>
        </w:rPr>
        <w:t>:</w:t>
      </w:r>
      <w:r w:rsidRPr="00331E80">
        <w:rPr>
          <w:sz w:val="17"/>
          <w:szCs w:val="17"/>
          <w:lang w:val="en-GB" w:bidi="ar-EG"/>
        </w:rPr>
        <w:t xml:space="preserve"> Specificity PPV: positive predictive value, NPV: negative predictive value. </w:t>
      </w:r>
    </w:p>
    <w:p w:rsidR="0094756F" w:rsidRPr="00801C75" w:rsidRDefault="0094756F" w:rsidP="00331E80">
      <w:pPr>
        <w:pStyle w:val="Heading1"/>
        <w:keepNext w:val="0"/>
        <w:keepLines w:val="0"/>
        <w:bidi w:val="0"/>
        <w:snapToGrid w:val="0"/>
        <w:spacing w:before="0"/>
        <w:jc w:val="both"/>
        <w:rPr>
          <w:rFonts w:ascii="Times New Roman" w:eastAsia="Times New Roman" w:hAnsi="Times New Roman" w:cs="Times New Roman"/>
          <w:color w:val="auto"/>
          <w:sz w:val="20"/>
          <w:szCs w:val="20"/>
          <w:lang w:bidi="ar-EG"/>
        </w:rPr>
      </w:pPr>
    </w:p>
    <w:p w:rsidR="00331E80" w:rsidRDefault="00331E80" w:rsidP="00331E80">
      <w:pPr>
        <w:pStyle w:val="Heading1"/>
        <w:keepNext w:val="0"/>
        <w:keepLines w:val="0"/>
        <w:bidi w:val="0"/>
        <w:snapToGrid w:val="0"/>
        <w:spacing w:before="0"/>
        <w:jc w:val="both"/>
        <w:rPr>
          <w:rFonts w:ascii="Times New Roman" w:eastAsia="Times New Roman" w:hAnsi="Times New Roman" w:cs="Times New Roman"/>
          <w:color w:val="auto"/>
          <w:sz w:val="20"/>
          <w:szCs w:val="20"/>
          <w:lang w:bidi="ar-EG"/>
        </w:rPr>
        <w:sectPr w:rsidR="00331E80" w:rsidSect="00801C75">
          <w:type w:val="continuous"/>
          <w:pgSz w:w="12240" w:h="15840" w:code="9"/>
          <w:pgMar w:top="1440" w:right="1440" w:bottom="1440" w:left="1440" w:header="720" w:footer="720" w:gutter="0"/>
          <w:pgBorders w:offsetFrom="page">
            <w:top w:val="none" w:sz="0" w:space="13" w:color="000000" w:shadow="1"/>
            <w:left w:val="none" w:sz="0" w:space="13" w:color="000000" w:shadow="1"/>
            <w:bottom w:val="none" w:sz="0" w:space="13" w:color="000000" w:shadow="1"/>
            <w:right w:val="none" w:sz="0" w:space="0" w:color="000000" w:shadow="1"/>
          </w:pgBorders>
          <w:cols w:space="720"/>
          <w:noEndnote/>
          <w:rtlGutter/>
          <w:docGrid w:linePitch="326"/>
        </w:sectPr>
      </w:pPr>
    </w:p>
    <w:p w:rsidR="001F0712" w:rsidRPr="00801C75" w:rsidRDefault="0094756F" w:rsidP="00331E80">
      <w:pPr>
        <w:pStyle w:val="Heading1"/>
        <w:keepNext w:val="0"/>
        <w:keepLines w:val="0"/>
        <w:bidi w:val="0"/>
        <w:snapToGrid w:val="0"/>
        <w:spacing w:before="0"/>
        <w:jc w:val="both"/>
        <w:rPr>
          <w:rFonts w:ascii="Times New Roman" w:eastAsia="Times New Roman" w:hAnsi="Times New Roman" w:cs="Times New Roman"/>
          <w:color w:val="auto"/>
          <w:sz w:val="20"/>
          <w:szCs w:val="20"/>
          <w:lang w:bidi="ar-EG"/>
        </w:rPr>
      </w:pPr>
      <w:r w:rsidRPr="00801C75">
        <w:rPr>
          <w:rFonts w:ascii="Times New Roman" w:eastAsia="Times New Roman" w:hAnsi="Times New Roman" w:cs="Times New Roman"/>
          <w:color w:val="auto"/>
          <w:sz w:val="20"/>
          <w:szCs w:val="20"/>
          <w:lang w:bidi="ar-EG"/>
        </w:rPr>
        <w:lastRenderedPageBreak/>
        <w:t xml:space="preserve">3. </w:t>
      </w:r>
      <w:r w:rsidR="00AA652F" w:rsidRPr="00801C75">
        <w:rPr>
          <w:rFonts w:ascii="Times New Roman" w:eastAsia="Times New Roman" w:hAnsi="Times New Roman" w:cs="Times New Roman"/>
          <w:color w:val="auto"/>
          <w:sz w:val="20"/>
          <w:szCs w:val="20"/>
          <w:lang w:bidi="ar-EG"/>
        </w:rPr>
        <w:t>Results</w:t>
      </w:r>
    </w:p>
    <w:p w:rsidR="0094756F" w:rsidRPr="00801C75" w:rsidRDefault="0094756F" w:rsidP="00331E80">
      <w:pPr>
        <w:bidi w:val="0"/>
        <w:snapToGrid w:val="0"/>
        <w:ind w:firstLine="425"/>
        <w:jc w:val="both"/>
        <w:rPr>
          <w:sz w:val="20"/>
          <w:szCs w:val="20"/>
          <w:lang w:eastAsia="ar-SA"/>
        </w:rPr>
      </w:pPr>
      <w:r w:rsidRPr="00801C75">
        <w:rPr>
          <w:sz w:val="20"/>
          <w:szCs w:val="20"/>
          <w:lang w:eastAsia="ar-SA"/>
        </w:rPr>
        <w:t>Among patients enrolled in this study, 119 (70.4%) patients have underwent successful diagnostic colonoscopy, while 35 (20.7%) patients were unable to do complete colonoscopy up to the cecum.</w:t>
      </w:r>
    </w:p>
    <w:p w:rsidR="0094756F" w:rsidRPr="00801C75" w:rsidRDefault="0094756F" w:rsidP="00331E80">
      <w:pPr>
        <w:bidi w:val="0"/>
        <w:snapToGrid w:val="0"/>
        <w:ind w:firstLine="425"/>
        <w:jc w:val="both"/>
        <w:rPr>
          <w:b/>
          <w:bCs/>
          <w:sz w:val="20"/>
          <w:szCs w:val="20"/>
          <w:shd w:val="clear" w:color="auto" w:fill="FFFFFF"/>
        </w:rPr>
      </w:pPr>
      <w:r w:rsidRPr="00801C75">
        <w:rPr>
          <w:sz w:val="20"/>
          <w:szCs w:val="20"/>
          <w:lang w:eastAsia="ar-SA"/>
        </w:rPr>
        <w:lastRenderedPageBreak/>
        <w:t>169 patients enrolled in this study, 90 patients where located in the left colon, sigmoid and rectum, while 79 patients where located in the right and transverse colon.</w:t>
      </w:r>
    </w:p>
    <w:p w:rsidR="00331E80" w:rsidRDefault="00331E80" w:rsidP="00331E80">
      <w:pPr>
        <w:bidi w:val="0"/>
        <w:snapToGrid w:val="0"/>
        <w:jc w:val="center"/>
        <w:rPr>
          <w:sz w:val="20"/>
          <w:lang w:bidi="ar-EG"/>
        </w:rPr>
        <w:sectPr w:rsidR="00331E80" w:rsidSect="00331E80">
          <w:type w:val="continuous"/>
          <w:pgSz w:w="12240" w:h="15840" w:code="9"/>
          <w:pgMar w:top="1440" w:right="1440" w:bottom="1440" w:left="1440" w:header="720" w:footer="720" w:gutter="0"/>
          <w:pgBorders w:offsetFrom="page">
            <w:top w:val="none" w:sz="0" w:space="13" w:color="000000" w:shadow="1"/>
            <w:left w:val="none" w:sz="0" w:space="13" w:color="000000" w:shadow="1"/>
            <w:bottom w:val="none" w:sz="0" w:space="13" w:color="000000" w:shadow="1"/>
            <w:right w:val="none" w:sz="0" w:space="0" w:color="000000" w:shadow="1"/>
          </w:pgBorders>
          <w:cols w:num="2" w:space="600"/>
          <w:noEndnote/>
          <w:rtlGutter/>
          <w:docGrid w:linePitch="326"/>
        </w:sectPr>
      </w:pPr>
    </w:p>
    <w:p w:rsidR="0094756F" w:rsidRPr="00801C75" w:rsidRDefault="0094756F" w:rsidP="00331E80">
      <w:pPr>
        <w:bidi w:val="0"/>
        <w:snapToGrid w:val="0"/>
        <w:jc w:val="center"/>
        <w:rPr>
          <w:sz w:val="20"/>
          <w:lang w:bidi="ar-EG"/>
        </w:rPr>
      </w:pPr>
    </w:p>
    <w:p w:rsidR="00D27318" w:rsidRPr="00801C75" w:rsidRDefault="006A3723" w:rsidP="00331E80">
      <w:pPr>
        <w:bidi w:val="0"/>
        <w:snapToGrid w:val="0"/>
        <w:jc w:val="center"/>
        <w:rPr>
          <w:sz w:val="20"/>
          <w:szCs w:val="20"/>
        </w:rPr>
      </w:pPr>
      <w:bookmarkStart w:id="5" w:name="_Toc7713620"/>
      <w:bookmarkStart w:id="6" w:name="_Toc7857966"/>
      <w:r w:rsidRPr="00801C75">
        <w:rPr>
          <w:b/>
          <w:bCs/>
          <w:sz w:val="20"/>
          <w:szCs w:val="20"/>
          <w:shd w:val="clear" w:color="auto" w:fill="FFFFFF"/>
        </w:rPr>
        <w:t>Table (</w:t>
      </w:r>
      <w:r w:rsidR="0014198C" w:rsidRPr="00801C75">
        <w:rPr>
          <w:b/>
          <w:bCs/>
          <w:sz w:val="20"/>
          <w:szCs w:val="20"/>
          <w:shd w:val="clear" w:color="auto" w:fill="FFFFFF"/>
        </w:rPr>
        <w:fldChar w:fldCharType="begin"/>
      </w:r>
      <w:r w:rsidRPr="00801C75">
        <w:rPr>
          <w:b/>
          <w:bCs/>
          <w:sz w:val="20"/>
          <w:szCs w:val="20"/>
          <w:shd w:val="clear" w:color="auto" w:fill="FFFFFF"/>
        </w:rPr>
        <w:instrText xml:space="preserve"> SEQ Table \* ARABIC </w:instrText>
      </w:r>
      <w:r w:rsidR="0014198C" w:rsidRPr="00801C75">
        <w:rPr>
          <w:b/>
          <w:bCs/>
          <w:sz w:val="20"/>
          <w:szCs w:val="20"/>
          <w:shd w:val="clear" w:color="auto" w:fill="FFFFFF"/>
        </w:rPr>
        <w:fldChar w:fldCharType="separate"/>
      </w:r>
      <w:r w:rsidR="00D60619">
        <w:rPr>
          <w:b/>
          <w:bCs/>
          <w:noProof/>
          <w:sz w:val="20"/>
          <w:szCs w:val="20"/>
          <w:shd w:val="clear" w:color="auto" w:fill="FFFFFF"/>
        </w:rPr>
        <w:t>2</w:t>
      </w:r>
      <w:r w:rsidR="0014198C" w:rsidRPr="00801C75">
        <w:rPr>
          <w:b/>
          <w:bCs/>
          <w:sz w:val="20"/>
          <w:szCs w:val="20"/>
          <w:shd w:val="clear" w:color="auto" w:fill="FFFFFF"/>
        </w:rPr>
        <w:fldChar w:fldCharType="end"/>
      </w:r>
      <w:r w:rsidRPr="00801C75">
        <w:rPr>
          <w:b/>
          <w:bCs/>
          <w:sz w:val="20"/>
          <w:szCs w:val="20"/>
          <w:shd w:val="clear" w:color="auto" w:fill="FFFFFF"/>
        </w:rPr>
        <w:t>)</w:t>
      </w:r>
      <w:r w:rsidRPr="00801C75">
        <w:rPr>
          <w:sz w:val="20"/>
          <w:szCs w:val="20"/>
          <w:shd w:val="clear" w:color="auto" w:fill="FFFFFF"/>
        </w:rPr>
        <w:t>:</w:t>
      </w:r>
      <w:r w:rsidR="00D27318" w:rsidRPr="00801C75">
        <w:rPr>
          <w:sz w:val="20"/>
          <w:szCs w:val="20"/>
        </w:rPr>
        <w:t xml:space="preserve"> Demographic data distribution of the patient's groups.</w:t>
      </w:r>
      <w:bookmarkEnd w:id="5"/>
      <w:bookmarkEnd w:id="6"/>
    </w:p>
    <w:tbl>
      <w:tblPr>
        <w:tblW w:w="5000" w:type="pct"/>
        <w:jc w:val="center"/>
        <w:tblCellMar>
          <w:left w:w="57" w:type="dxa"/>
          <w:right w:w="57" w:type="dxa"/>
        </w:tblCellMar>
        <w:tblLook w:val="04A0"/>
      </w:tblPr>
      <w:tblGrid>
        <w:gridCol w:w="2663"/>
        <w:gridCol w:w="1235"/>
        <w:gridCol w:w="2331"/>
        <w:gridCol w:w="1794"/>
        <w:gridCol w:w="623"/>
        <w:gridCol w:w="828"/>
      </w:tblGrid>
      <w:tr w:rsidR="00801C75" w:rsidRPr="00331E80" w:rsidTr="00801C75">
        <w:trPr>
          <w:jc w:val="center"/>
        </w:trPr>
        <w:tc>
          <w:tcPr>
            <w:tcW w:w="1405"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D27318" w:rsidRPr="00331E80" w:rsidRDefault="00D27318" w:rsidP="00331E80">
            <w:pPr>
              <w:bidi w:val="0"/>
              <w:snapToGrid w:val="0"/>
              <w:jc w:val="both"/>
              <w:rPr>
                <w:b/>
                <w:bCs/>
                <w:sz w:val="17"/>
                <w:szCs w:val="17"/>
              </w:rPr>
            </w:pPr>
            <w:r w:rsidRPr="00331E80">
              <w:rPr>
                <w:b/>
                <w:bCs/>
                <w:sz w:val="17"/>
                <w:szCs w:val="17"/>
              </w:rPr>
              <w:t>Demographic data (n=169)</w:t>
            </w:r>
          </w:p>
        </w:tc>
        <w:tc>
          <w:tcPr>
            <w:tcW w:w="651" w:type="pct"/>
            <w:tcBorders>
              <w:top w:val="single" w:sz="4" w:space="0" w:color="auto"/>
              <w:left w:val="nil"/>
              <w:bottom w:val="single" w:sz="4" w:space="0" w:color="auto"/>
              <w:right w:val="single" w:sz="4" w:space="0" w:color="auto"/>
            </w:tcBorders>
            <w:shd w:val="clear" w:color="000000" w:fill="C6E0B4"/>
            <w:noWrap/>
            <w:vAlign w:val="center"/>
            <w:hideMark/>
          </w:tcPr>
          <w:p w:rsidR="00D27318" w:rsidRPr="00331E80" w:rsidRDefault="00D27318" w:rsidP="00331E80">
            <w:pPr>
              <w:bidi w:val="0"/>
              <w:snapToGrid w:val="0"/>
              <w:jc w:val="both"/>
              <w:rPr>
                <w:b/>
                <w:bCs/>
                <w:color w:val="000000"/>
                <w:sz w:val="17"/>
                <w:szCs w:val="17"/>
              </w:rPr>
            </w:pPr>
            <w:r w:rsidRPr="00331E80">
              <w:rPr>
                <w:b/>
                <w:bCs/>
                <w:color w:val="000000"/>
                <w:sz w:val="17"/>
                <w:szCs w:val="17"/>
              </w:rPr>
              <w:t>All patients</w:t>
            </w:r>
          </w:p>
        </w:tc>
        <w:tc>
          <w:tcPr>
            <w:tcW w:w="1230" w:type="pct"/>
            <w:tcBorders>
              <w:top w:val="single" w:sz="4" w:space="0" w:color="auto"/>
              <w:left w:val="nil"/>
              <w:bottom w:val="single" w:sz="4" w:space="0" w:color="auto"/>
              <w:right w:val="single" w:sz="4" w:space="0" w:color="auto"/>
            </w:tcBorders>
            <w:shd w:val="clear" w:color="000000" w:fill="C6E0B4"/>
            <w:vAlign w:val="center"/>
            <w:hideMark/>
          </w:tcPr>
          <w:p w:rsidR="00D27318" w:rsidRPr="00331E80" w:rsidRDefault="00D27318" w:rsidP="00331E80">
            <w:pPr>
              <w:bidi w:val="0"/>
              <w:snapToGrid w:val="0"/>
              <w:jc w:val="both"/>
              <w:rPr>
                <w:b/>
                <w:bCs/>
                <w:color w:val="000000"/>
                <w:sz w:val="17"/>
                <w:szCs w:val="17"/>
              </w:rPr>
            </w:pPr>
            <w:r w:rsidRPr="00331E80">
              <w:rPr>
                <w:b/>
                <w:bCs/>
                <w:color w:val="000000" w:themeColor="text1"/>
                <w:sz w:val="17"/>
                <w:szCs w:val="17"/>
              </w:rPr>
              <w:t xml:space="preserve">Non metastatic </w:t>
            </w:r>
            <w:r w:rsidRPr="00331E80">
              <w:rPr>
                <w:b/>
                <w:bCs/>
                <w:color w:val="000000"/>
                <w:sz w:val="17"/>
                <w:szCs w:val="17"/>
              </w:rPr>
              <w:t>(n=124)</w:t>
            </w:r>
          </w:p>
        </w:tc>
        <w:tc>
          <w:tcPr>
            <w:tcW w:w="947" w:type="pct"/>
            <w:tcBorders>
              <w:top w:val="single" w:sz="4" w:space="0" w:color="auto"/>
              <w:left w:val="nil"/>
              <w:bottom w:val="single" w:sz="4" w:space="0" w:color="auto"/>
              <w:right w:val="single" w:sz="4" w:space="0" w:color="auto"/>
            </w:tcBorders>
            <w:shd w:val="clear" w:color="000000" w:fill="C6E0B4"/>
            <w:vAlign w:val="center"/>
            <w:hideMark/>
          </w:tcPr>
          <w:p w:rsidR="00D27318" w:rsidRPr="00331E80" w:rsidRDefault="00D27318" w:rsidP="00331E80">
            <w:pPr>
              <w:bidi w:val="0"/>
              <w:snapToGrid w:val="0"/>
              <w:jc w:val="both"/>
              <w:rPr>
                <w:b/>
                <w:bCs/>
                <w:color w:val="000000"/>
                <w:sz w:val="17"/>
                <w:szCs w:val="17"/>
              </w:rPr>
            </w:pPr>
            <w:r w:rsidRPr="00331E80">
              <w:rPr>
                <w:b/>
                <w:bCs/>
                <w:color w:val="000000"/>
                <w:sz w:val="17"/>
                <w:szCs w:val="17"/>
              </w:rPr>
              <w:t>Metastatic (n=45)</w:t>
            </w:r>
          </w:p>
        </w:tc>
        <w:tc>
          <w:tcPr>
            <w:tcW w:w="329" w:type="pct"/>
            <w:tcBorders>
              <w:top w:val="single" w:sz="4" w:space="0" w:color="auto"/>
              <w:left w:val="nil"/>
              <w:bottom w:val="single" w:sz="4" w:space="0" w:color="auto"/>
              <w:right w:val="single" w:sz="4" w:space="0" w:color="auto"/>
            </w:tcBorders>
            <w:shd w:val="clear" w:color="000000" w:fill="C6E0B4"/>
            <w:vAlign w:val="center"/>
            <w:hideMark/>
          </w:tcPr>
          <w:p w:rsidR="00D27318" w:rsidRPr="00331E80" w:rsidRDefault="00D27318" w:rsidP="00331E80">
            <w:pPr>
              <w:bidi w:val="0"/>
              <w:snapToGrid w:val="0"/>
              <w:jc w:val="both"/>
              <w:rPr>
                <w:b/>
                <w:bCs/>
                <w:color w:val="000000"/>
                <w:sz w:val="17"/>
                <w:szCs w:val="17"/>
              </w:rPr>
            </w:pPr>
            <w:r w:rsidRPr="00331E80">
              <w:rPr>
                <w:b/>
                <w:bCs/>
                <w:color w:val="000000"/>
                <w:sz w:val="17"/>
                <w:szCs w:val="17"/>
              </w:rPr>
              <w:t>x2</w:t>
            </w:r>
          </w:p>
        </w:tc>
        <w:tc>
          <w:tcPr>
            <w:tcW w:w="437" w:type="pct"/>
            <w:tcBorders>
              <w:top w:val="single" w:sz="4" w:space="0" w:color="auto"/>
              <w:left w:val="nil"/>
              <w:bottom w:val="single" w:sz="4" w:space="0" w:color="auto"/>
              <w:right w:val="single" w:sz="4" w:space="0" w:color="auto"/>
            </w:tcBorders>
            <w:shd w:val="clear" w:color="000000" w:fill="C6E0B4"/>
            <w:vAlign w:val="center"/>
            <w:hideMark/>
          </w:tcPr>
          <w:p w:rsidR="00D27318" w:rsidRPr="00331E80" w:rsidRDefault="00D27318" w:rsidP="00331E80">
            <w:pPr>
              <w:bidi w:val="0"/>
              <w:snapToGrid w:val="0"/>
              <w:jc w:val="both"/>
              <w:rPr>
                <w:b/>
                <w:bCs/>
                <w:color w:val="000000"/>
                <w:sz w:val="17"/>
                <w:szCs w:val="17"/>
              </w:rPr>
            </w:pPr>
            <w:r w:rsidRPr="00331E80">
              <w:rPr>
                <w:b/>
                <w:bCs/>
                <w:color w:val="000000"/>
                <w:sz w:val="17"/>
                <w:szCs w:val="17"/>
              </w:rPr>
              <w:t>p-value</w:t>
            </w:r>
          </w:p>
        </w:tc>
      </w:tr>
      <w:tr w:rsidR="00801C75" w:rsidRPr="00331E80" w:rsidTr="00801C75">
        <w:trPr>
          <w:jc w:val="center"/>
        </w:trPr>
        <w:tc>
          <w:tcPr>
            <w:tcW w:w="1405" w:type="pct"/>
            <w:tcBorders>
              <w:top w:val="single" w:sz="4" w:space="0" w:color="auto"/>
              <w:left w:val="single" w:sz="4" w:space="0" w:color="auto"/>
              <w:right w:val="single" w:sz="4" w:space="0" w:color="auto"/>
            </w:tcBorders>
            <w:shd w:val="clear" w:color="auto" w:fill="auto"/>
            <w:noWrap/>
            <w:vAlign w:val="center"/>
            <w:hideMark/>
          </w:tcPr>
          <w:p w:rsidR="00D27318" w:rsidRPr="00331E80" w:rsidRDefault="00D27318" w:rsidP="00331E80">
            <w:pPr>
              <w:bidi w:val="0"/>
              <w:snapToGrid w:val="0"/>
              <w:jc w:val="both"/>
              <w:rPr>
                <w:b/>
                <w:bCs/>
                <w:sz w:val="17"/>
                <w:szCs w:val="17"/>
              </w:rPr>
            </w:pPr>
            <w:r w:rsidRPr="00331E80">
              <w:rPr>
                <w:b/>
                <w:bCs/>
                <w:sz w:val="17"/>
                <w:szCs w:val="17"/>
              </w:rPr>
              <w:t>Sex</w:t>
            </w:r>
          </w:p>
        </w:tc>
        <w:tc>
          <w:tcPr>
            <w:tcW w:w="651" w:type="pct"/>
            <w:tcBorders>
              <w:top w:val="single" w:sz="4" w:space="0" w:color="auto"/>
              <w:left w:val="nil"/>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 </w:t>
            </w:r>
          </w:p>
        </w:tc>
        <w:tc>
          <w:tcPr>
            <w:tcW w:w="1230" w:type="pct"/>
            <w:tcBorders>
              <w:top w:val="single" w:sz="4" w:space="0" w:color="auto"/>
              <w:left w:val="nil"/>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 </w:t>
            </w:r>
          </w:p>
        </w:tc>
        <w:tc>
          <w:tcPr>
            <w:tcW w:w="947" w:type="pct"/>
            <w:tcBorders>
              <w:top w:val="single" w:sz="4" w:space="0" w:color="auto"/>
              <w:left w:val="nil"/>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 </w:t>
            </w:r>
          </w:p>
        </w:tc>
        <w:tc>
          <w:tcPr>
            <w:tcW w:w="329" w:type="pct"/>
            <w:tcBorders>
              <w:top w:val="single" w:sz="4" w:space="0" w:color="auto"/>
              <w:left w:val="nil"/>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 </w:t>
            </w:r>
          </w:p>
        </w:tc>
        <w:tc>
          <w:tcPr>
            <w:tcW w:w="437" w:type="pct"/>
            <w:tcBorders>
              <w:top w:val="single" w:sz="4" w:space="0" w:color="auto"/>
              <w:left w:val="nil"/>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 </w:t>
            </w:r>
          </w:p>
        </w:tc>
      </w:tr>
      <w:tr w:rsidR="00801C75" w:rsidRPr="00331E80" w:rsidTr="00801C75">
        <w:trPr>
          <w:jc w:val="center"/>
        </w:trPr>
        <w:tc>
          <w:tcPr>
            <w:tcW w:w="1405" w:type="pct"/>
            <w:tcBorders>
              <w:top w:val="nil"/>
              <w:left w:val="single" w:sz="4" w:space="0" w:color="auto"/>
              <w:right w:val="single" w:sz="4" w:space="0" w:color="auto"/>
            </w:tcBorders>
            <w:shd w:val="clear" w:color="auto" w:fill="auto"/>
            <w:noWrap/>
            <w:vAlign w:val="center"/>
            <w:hideMark/>
          </w:tcPr>
          <w:p w:rsidR="00D27318" w:rsidRPr="00331E80" w:rsidRDefault="00D27318" w:rsidP="00331E80">
            <w:pPr>
              <w:bidi w:val="0"/>
              <w:snapToGrid w:val="0"/>
              <w:jc w:val="both"/>
              <w:rPr>
                <w:sz w:val="17"/>
                <w:szCs w:val="17"/>
              </w:rPr>
            </w:pPr>
            <w:r w:rsidRPr="00331E80">
              <w:rPr>
                <w:sz w:val="17"/>
                <w:szCs w:val="17"/>
              </w:rPr>
              <w:t>Female</w:t>
            </w:r>
          </w:p>
        </w:tc>
        <w:tc>
          <w:tcPr>
            <w:tcW w:w="651" w:type="pct"/>
            <w:tcBorders>
              <w:top w:val="nil"/>
              <w:left w:val="nil"/>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103 (60.9%)</w:t>
            </w:r>
          </w:p>
        </w:tc>
        <w:tc>
          <w:tcPr>
            <w:tcW w:w="1230" w:type="pct"/>
            <w:tcBorders>
              <w:top w:val="nil"/>
              <w:left w:val="nil"/>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81 (65.3%)</w:t>
            </w:r>
          </w:p>
        </w:tc>
        <w:tc>
          <w:tcPr>
            <w:tcW w:w="947" w:type="pct"/>
            <w:tcBorders>
              <w:top w:val="nil"/>
              <w:left w:val="nil"/>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22 (48.9%)</w:t>
            </w:r>
          </w:p>
        </w:tc>
        <w:tc>
          <w:tcPr>
            <w:tcW w:w="329" w:type="pct"/>
            <w:vMerge w:val="restart"/>
            <w:tcBorders>
              <w:top w:val="nil"/>
              <w:left w:val="single" w:sz="4" w:space="0" w:color="auto"/>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3.746</w:t>
            </w:r>
          </w:p>
        </w:tc>
        <w:tc>
          <w:tcPr>
            <w:tcW w:w="437" w:type="pct"/>
            <w:vMerge w:val="restart"/>
            <w:tcBorders>
              <w:top w:val="nil"/>
              <w:left w:val="single" w:sz="4" w:space="0" w:color="auto"/>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0.053</w:t>
            </w:r>
          </w:p>
        </w:tc>
      </w:tr>
      <w:tr w:rsidR="00801C75" w:rsidRPr="00331E80" w:rsidTr="00801C75">
        <w:trPr>
          <w:jc w:val="center"/>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D27318" w:rsidRPr="00331E80" w:rsidRDefault="00D27318" w:rsidP="00331E80">
            <w:pPr>
              <w:bidi w:val="0"/>
              <w:snapToGrid w:val="0"/>
              <w:jc w:val="both"/>
              <w:rPr>
                <w:sz w:val="17"/>
                <w:szCs w:val="17"/>
              </w:rPr>
            </w:pPr>
            <w:r w:rsidRPr="00331E80">
              <w:rPr>
                <w:sz w:val="17"/>
                <w:szCs w:val="17"/>
              </w:rPr>
              <w:t>Male</w:t>
            </w:r>
          </w:p>
        </w:tc>
        <w:tc>
          <w:tcPr>
            <w:tcW w:w="651" w:type="pct"/>
            <w:tcBorders>
              <w:top w:val="nil"/>
              <w:left w:val="nil"/>
              <w:bottom w:val="single" w:sz="4" w:space="0" w:color="auto"/>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66 (39.1%)</w:t>
            </w:r>
          </w:p>
        </w:tc>
        <w:tc>
          <w:tcPr>
            <w:tcW w:w="1230" w:type="pct"/>
            <w:tcBorders>
              <w:top w:val="nil"/>
              <w:left w:val="nil"/>
              <w:bottom w:val="single" w:sz="4" w:space="0" w:color="auto"/>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43 (34.7%)</w:t>
            </w:r>
          </w:p>
        </w:tc>
        <w:tc>
          <w:tcPr>
            <w:tcW w:w="947" w:type="pct"/>
            <w:tcBorders>
              <w:top w:val="nil"/>
              <w:left w:val="nil"/>
              <w:bottom w:val="single" w:sz="4" w:space="0" w:color="auto"/>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23 (51.1%)</w:t>
            </w:r>
          </w:p>
        </w:tc>
        <w:tc>
          <w:tcPr>
            <w:tcW w:w="329" w:type="pct"/>
            <w:vMerge/>
            <w:tcBorders>
              <w:top w:val="nil"/>
              <w:left w:val="single" w:sz="4" w:space="0" w:color="auto"/>
              <w:bottom w:val="single" w:sz="4" w:space="0" w:color="auto"/>
              <w:right w:val="single" w:sz="4" w:space="0" w:color="auto"/>
            </w:tcBorders>
            <w:vAlign w:val="center"/>
            <w:hideMark/>
          </w:tcPr>
          <w:p w:rsidR="00D27318" w:rsidRPr="00331E80" w:rsidRDefault="00D27318" w:rsidP="00331E80">
            <w:pPr>
              <w:bidi w:val="0"/>
              <w:snapToGrid w:val="0"/>
              <w:jc w:val="both"/>
              <w:rPr>
                <w:color w:val="000000"/>
                <w:sz w:val="17"/>
                <w:szCs w:val="17"/>
              </w:rPr>
            </w:pPr>
          </w:p>
        </w:tc>
        <w:tc>
          <w:tcPr>
            <w:tcW w:w="437" w:type="pct"/>
            <w:vMerge/>
            <w:tcBorders>
              <w:top w:val="nil"/>
              <w:left w:val="single" w:sz="4" w:space="0" w:color="auto"/>
              <w:bottom w:val="single" w:sz="4" w:space="0" w:color="auto"/>
              <w:right w:val="single" w:sz="4" w:space="0" w:color="auto"/>
            </w:tcBorders>
            <w:vAlign w:val="center"/>
            <w:hideMark/>
          </w:tcPr>
          <w:p w:rsidR="00D27318" w:rsidRPr="00331E80" w:rsidRDefault="00D27318" w:rsidP="00331E80">
            <w:pPr>
              <w:bidi w:val="0"/>
              <w:snapToGrid w:val="0"/>
              <w:jc w:val="both"/>
              <w:rPr>
                <w:color w:val="000000"/>
                <w:sz w:val="17"/>
                <w:szCs w:val="17"/>
              </w:rPr>
            </w:pPr>
          </w:p>
        </w:tc>
      </w:tr>
      <w:tr w:rsidR="00801C75" w:rsidRPr="00331E80" w:rsidTr="00801C75">
        <w:trPr>
          <w:jc w:val="center"/>
        </w:trPr>
        <w:tc>
          <w:tcPr>
            <w:tcW w:w="1405" w:type="pct"/>
            <w:tcBorders>
              <w:top w:val="single" w:sz="4" w:space="0" w:color="auto"/>
              <w:left w:val="single" w:sz="4" w:space="0" w:color="auto"/>
              <w:right w:val="single" w:sz="4" w:space="0" w:color="auto"/>
            </w:tcBorders>
            <w:shd w:val="clear" w:color="auto" w:fill="auto"/>
            <w:noWrap/>
            <w:vAlign w:val="center"/>
            <w:hideMark/>
          </w:tcPr>
          <w:p w:rsidR="00D27318" w:rsidRPr="00331E80" w:rsidRDefault="00D27318" w:rsidP="00331E80">
            <w:pPr>
              <w:bidi w:val="0"/>
              <w:snapToGrid w:val="0"/>
              <w:jc w:val="both"/>
              <w:rPr>
                <w:b/>
                <w:bCs/>
                <w:sz w:val="17"/>
                <w:szCs w:val="17"/>
              </w:rPr>
            </w:pPr>
            <w:r w:rsidRPr="00331E80">
              <w:rPr>
                <w:b/>
                <w:bCs/>
                <w:sz w:val="17"/>
                <w:szCs w:val="17"/>
              </w:rPr>
              <w:t>Age (years)</w:t>
            </w:r>
          </w:p>
        </w:tc>
        <w:tc>
          <w:tcPr>
            <w:tcW w:w="651" w:type="pct"/>
            <w:tcBorders>
              <w:top w:val="single" w:sz="4" w:space="0" w:color="auto"/>
              <w:left w:val="nil"/>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 </w:t>
            </w:r>
          </w:p>
        </w:tc>
        <w:tc>
          <w:tcPr>
            <w:tcW w:w="1230" w:type="pct"/>
            <w:tcBorders>
              <w:top w:val="single" w:sz="4" w:space="0" w:color="auto"/>
              <w:left w:val="nil"/>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 </w:t>
            </w:r>
          </w:p>
        </w:tc>
        <w:tc>
          <w:tcPr>
            <w:tcW w:w="947" w:type="pct"/>
            <w:tcBorders>
              <w:top w:val="single" w:sz="4" w:space="0" w:color="auto"/>
              <w:left w:val="nil"/>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 </w:t>
            </w:r>
          </w:p>
        </w:tc>
        <w:tc>
          <w:tcPr>
            <w:tcW w:w="329" w:type="pct"/>
            <w:tcBorders>
              <w:top w:val="single" w:sz="4" w:space="0" w:color="auto"/>
              <w:left w:val="nil"/>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 </w:t>
            </w:r>
          </w:p>
        </w:tc>
        <w:tc>
          <w:tcPr>
            <w:tcW w:w="437" w:type="pct"/>
            <w:tcBorders>
              <w:top w:val="single" w:sz="4" w:space="0" w:color="auto"/>
              <w:left w:val="nil"/>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 </w:t>
            </w:r>
          </w:p>
        </w:tc>
      </w:tr>
      <w:tr w:rsidR="00801C75" w:rsidRPr="00331E80" w:rsidTr="00801C75">
        <w:trPr>
          <w:jc w:val="center"/>
        </w:trPr>
        <w:tc>
          <w:tcPr>
            <w:tcW w:w="1405" w:type="pct"/>
            <w:tcBorders>
              <w:top w:val="nil"/>
              <w:left w:val="single" w:sz="4" w:space="0" w:color="auto"/>
              <w:right w:val="single" w:sz="4" w:space="0" w:color="auto"/>
            </w:tcBorders>
            <w:shd w:val="clear" w:color="auto" w:fill="auto"/>
            <w:noWrap/>
            <w:vAlign w:val="center"/>
            <w:hideMark/>
          </w:tcPr>
          <w:p w:rsidR="00D27318" w:rsidRPr="00331E80" w:rsidRDefault="00D27318" w:rsidP="00331E80">
            <w:pPr>
              <w:bidi w:val="0"/>
              <w:snapToGrid w:val="0"/>
              <w:jc w:val="both"/>
              <w:rPr>
                <w:sz w:val="17"/>
                <w:szCs w:val="17"/>
              </w:rPr>
            </w:pPr>
            <w:r w:rsidRPr="00331E80">
              <w:rPr>
                <w:sz w:val="17"/>
                <w:szCs w:val="17"/>
              </w:rPr>
              <w:t>&lt;40 years</w:t>
            </w:r>
          </w:p>
        </w:tc>
        <w:tc>
          <w:tcPr>
            <w:tcW w:w="651" w:type="pct"/>
            <w:tcBorders>
              <w:top w:val="nil"/>
              <w:left w:val="nil"/>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51 (30.2%)</w:t>
            </w:r>
          </w:p>
        </w:tc>
        <w:tc>
          <w:tcPr>
            <w:tcW w:w="1230" w:type="pct"/>
            <w:tcBorders>
              <w:top w:val="nil"/>
              <w:left w:val="nil"/>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40 (32.3%)</w:t>
            </w:r>
          </w:p>
        </w:tc>
        <w:tc>
          <w:tcPr>
            <w:tcW w:w="947" w:type="pct"/>
            <w:tcBorders>
              <w:top w:val="nil"/>
              <w:left w:val="nil"/>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11 (24.4%)</w:t>
            </w:r>
          </w:p>
        </w:tc>
        <w:tc>
          <w:tcPr>
            <w:tcW w:w="329" w:type="pct"/>
            <w:vMerge w:val="restart"/>
            <w:tcBorders>
              <w:top w:val="nil"/>
              <w:left w:val="single" w:sz="4" w:space="0" w:color="auto"/>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0.957</w:t>
            </w:r>
          </w:p>
        </w:tc>
        <w:tc>
          <w:tcPr>
            <w:tcW w:w="437" w:type="pct"/>
            <w:vMerge w:val="restart"/>
            <w:tcBorders>
              <w:top w:val="nil"/>
              <w:left w:val="single" w:sz="4" w:space="0" w:color="auto"/>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0.328</w:t>
            </w:r>
          </w:p>
        </w:tc>
      </w:tr>
      <w:tr w:rsidR="00801C75" w:rsidRPr="00331E80" w:rsidTr="00801C75">
        <w:trPr>
          <w:jc w:val="center"/>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D27318" w:rsidRPr="00331E80" w:rsidRDefault="00D27318" w:rsidP="00331E80">
            <w:pPr>
              <w:bidi w:val="0"/>
              <w:snapToGrid w:val="0"/>
              <w:jc w:val="both"/>
              <w:rPr>
                <w:sz w:val="17"/>
                <w:szCs w:val="17"/>
              </w:rPr>
            </w:pPr>
            <w:r w:rsidRPr="00331E80">
              <w:rPr>
                <w:sz w:val="17"/>
                <w:szCs w:val="17"/>
              </w:rPr>
              <w:t>&gt;40 years</w:t>
            </w:r>
          </w:p>
        </w:tc>
        <w:tc>
          <w:tcPr>
            <w:tcW w:w="651" w:type="pct"/>
            <w:tcBorders>
              <w:top w:val="nil"/>
              <w:left w:val="nil"/>
              <w:bottom w:val="single" w:sz="4" w:space="0" w:color="auto"/>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118 (69.8%)</w:t>
            </w:r>
          </w:p>
        </w:tc>
        <w:tc>
          <w:tcPr>
            <w:tcW w:w="1230" w:type="pct"/>
            <w:tcBorders>
              <w:top w:val="nil"/>
              <w:left w:val="nil"/>
              <w:bottom w:val="single" w:sz="4" w:space="0" w:color="auto"/>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84 (67.7%)</w:t>
            </w:r>
          </w:p>
        </w:tc>
        <w:tc>
          <w:tcPr>
            <w:tcW w:w="947" w:type="pct"/>
            <w:tcBorders>
              <w:top w:val="nil"/>
              <w:left w:val="nil"/>
              <w:bottom w:val="single" w:sz="4" w:space="0" w:color="auto"/>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34 (75.6%)</w:t>
            </w:r>
          </w:p>
        </w:tc>
        <w:tc>
          <w:tcPr>
            <w:tcW w:w="329" w:type="pct"/>
            <w:vMerge/>
            <w:tcBorders>
              <w:top w:val="nil"/>
              <w:left w:val="single" w:sz="4" w:space="0" w:color="auto"/>
              <w:bottom w:val="single" w:sz="4" w:space="0" w:color="auto"/>
              <w:right w:val="single" w:sz="4" w:space="0" w:color="auto"/>
            </w:tcBorders>
            <w:vAlign w:val="center"/>
            <w:hideMark/>
          </w:tcPr>
          <w:p w:rsidR="00D27318" w:rsidRPr="00331E80" w:rsidRDefault="00D27318" w:rsidP="00331E80">
            <w:pPr>
              <w:bidi w:val="0"/>
              <w:snapToGrid w:val="0"/>
              <w:jc w:val="both"/>
              <w:rPr>
                <w:color w:val="000000"/>
                <w:sz w:val="17"/>
                <w:szCs w:val="17"/>
              </w:rPr>
            </w:pPr>
          </w:p>
        </w:tc>
        <w:tc>
          <w:tcPr>
            <w:tcW w:w="437" w:type="pct"/>
            <w:vMerge/>
            <w:tcBorders>
              <w:top w:val="nil"/>
              <w:left w:val="single" w:sz="4" w:space="0" w:color="auto"/>
              <w:bottom w:val="single" w:sz="4" w:space="0" w:color="auto"/>
              <w:right w:val="single" w:sz="4" w:space="0" w:color="auto"/>
            </w:tcBorders>
            <w:vAlign w:val="center"/>
            <w:hideMark/>
          </w:tcPr>
          <w:p w:rsidR="00D27318" w:rsidRPr="00331E80" w:rsidRDefault="00D27318" w:rsidP="00331E80">
            <w:pPr>
              <w:bidi w:val="0"/>
              <w:snapToGrid w:val="0"/>
              <w:jc w:val="both"/>
              <w:rPr>
                <w:color w:val="000000"/>
                <w:sz w:val="17"/>
                <w:szCs w:val="17"/>
              </w:rPr>
            </w:pPr>
          </w:p>
        </w:tc>
      </w:tr>
      <w:tr w:rsidR="00801C75" w:rsidRPr="00331E80" w:rsidTr="00801C75">
        <w:trPr>
          <w:jc w:val="center"/>
        </w:trPr>
        <w:tc>
          <w:tcPr>
            <w:tcW w:w="1405" w:type="pct"/>
            <w:tcBorders>
              <w:top w:val="single" w:sz="4" w:space="0" w:color="auto"/>
              <w:left w:val="single" w:sz="4" w:space="0" w:color="auto"/>
              <w:right w:val="single" w:sz="4" w:space="0" w:color="auto"/>
            </w:tcBorders>
            <w:shd w:val="clear" w:color="auto" w:fill="auto"/>
            <w:noWrap/>
            <w:vAlign w:val="center"/>
            <w:hideMark/>
          </w:tcPr>
          <w:p w:rsidR="00D27318" w:rsidRPr="00331E80" w:rsidRDefault="00D27318" w:rsidP="00331E80">
            <w:pPr>
              <w:bidi w:val="0"/>
              <w:snapToGrid w:val="0"/>
              <w:jc w:val="both"/>
              <w:rPr>
                <w:b/>
                <w:bCs/>
                <w:sz w:val="17"/>
                <w:szCs w:val="17"/>
              </w:rPr>
            </w:pPr>
            <w:r w:rsidRPr="00331E80">
              <w:rPr>
                <w:b/>
                <w:bCs/>
                <w:sz w:val="17"/>
                <w:szCs w:val="17"/>
              </w:rPr>
              <w:t>Address</w:t>
            </w:r>
          </w:p>
        </w:tc>
        <w:tc>
          <w:tcPr>
            <w:tcW w:w="651" w:type="pct"/>
            <w:tcBorders>
              <w:top w:val="single" w:sz="4" w:space="0" w:color="auto"/>
              <w:left w:val="nil"/>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 </w:t>
            </w:r>
          </w:p>
        </w:tc>
        <w:tc>
          <w:tcPr>
            <w:tcW w:w="1230" w:type="pct"/>
            <w:tcBorders>
              <w:top w:val="single" w:sz="4" w:space="0" w:color="auto"/>
              <w:left w:val="nil"/>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 </w:t>
            </w:r>
          </w:p>
        </w:tc>
        <w:tc>
          <w:tcPr>
            <w:tcW w:w="947" w:type="pct"/>
            <w:tcBorders>
              <w:top w:val="single" w:sz="4" w:space="0" w:color="auto"/>
              <w:left w:val="nil"/>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 </w:t>
            </w:r>
          </w:p>
        </w:tc>
        <w:tc>
          <w:tcPr>
            <w:tcW w:w="329" w:type="pct"/>
            <w:tcBorders>
              <w:top w:val="single" w:sz="4" w:space="0" w:color="auto"/>
              <w:left w:val="nil"/>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 </w:t>
            </w:r>
          </w:p>
        </w:tc>
        <w:tc>
          <w:tcPr>
            <w:tcW w:w="437" w:type="pct"/>
            <w:tcBorders>
              <w:top w:val="single" w:sz="4" w:space="0" w:color="auto"/>
              <w:left w:val="nil"/>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 </w:t>
            </w:r>
          </w:p>
        </w:tc>
      </w:tr>
      <w:tr w:rsidR="00801C75" w:rsidRPr="00331E80" w:rsidTr="00801C75">
        <w:trPr>
          <w:jc w:val="center"/>
        </w:trPr>
        <w:tc>
          <w:tcPr>
            <w:tcW w:w="1405" w:type="pct"/>
            <w:tcBorders>
              <w:top w:val="nil"/>
              <w:left w:val="single" w:sz="4" w:space="0" w:color="auto"/>
              <w:right w:val="single" w:sz="4" w:space="0" w:color="auto"/>
            </w:tcBorders>
            <w:shd w:val="clear" w:color="auto" w:fill="auto"/>
            <w:noWrap/>
            <w:vAlign w:val="center"/>
            <w:hideMark/>
          </w:tcPr>
          <w:p w:rsidR="00D27318" w:rsidRPr="00331E80" w:rsidRDefault="00D27318" w:rsidP="00331E80">
            <w:pPr>
              <w:bidi w:val="0"/>
              <w:snapToGrid w:val="0"/>
              <w:jc w:val="both"/>
              <w:rPr>
                <w:sz w:val="17"/>
                <w:szCs w:val="17"/>
              </w:rPr>
            </w:pPr>
            <w:r w:rsidRPr="00331E80">
              <w:rPr>
                <w:sz w:val="17"/>
                <w:szCs w:val="17"/>
              </w:rPr>
              <w:t>Rural</w:t>
            </w:r>
          </w:p>
        </w:tc>
        <w:tc>
          <w:tcPr>
            <w:tcW w:w="651" w:type="pct"/>
            <w:tcBorders>
              <w:top w:val="nil"/>
              <w:left w:val="nil"/>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22 (13%)</w:t>
            </w:r>
          </w:p>
        </w:tc>
        <w:tc>
          <w:tcPr>
            <w:tcW w:w="1230" w:type="pct"/>
            <w:tcBorders>
              <w:top w:val="nil"/>
              <w:left w:val="nil"/>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18 (20.9%)</w:t>
            </w:r>
          </w:p>
        </w:tc>
        <w:tc>
          <w:tcPr>
            <w:tcW w:w="947" w:type="pct"/>
            <w:tcBorders>
              <w:top w:val="nil"/>
              <w:left w:val="nil"/>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4 (16.0%)</w:t>
            </w:r>
          </w:p>
        </w:tc>
        <w:tc>
          <w:tcPr>
            <w:tcW w:w="329" w:type="pct"/>
            <w:vMerge w:val="restart"/>
            <w:tcBorders>
              <w:top w:val="nil"/>
              <w:left w:val="single" w:sz="4" w:space="0" w:color="auto"/>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0.296</w:t>
            </w:r>
          </w:p>
        </w:tc>
        <w:tc>
          <w:tcPr>
            <w:tcW w:w="437" w:type="pct"/>
            <w:vMerge w:val="restart"/>
            <w:tcBorders>
              <w:top w:val="nil"/>
              <w:left w:val="single" w:sz="4" w:space="0" w:color="auto"/>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0.586</w:t>
            </w:r>
          </w:p>
        </w:tc>
      </w:tr>
      <w:tr w:rsidR="00801C75" w:rsidRPr="00331E80" w:rsidTr="00801C75">
        <w:trPr>
          <w:jc w:val="center"/>
        </w:trPr>
        <w:tc>
          <w:tcPr>
            <w:tcW w:w="1405" w:type="pct"/>
            <w:tcBorders>
              <w:top w:val="nil"/>
              <w:left w:val="single" w:sz="4" w:space="0" w:color="auto"/>
              <w:right w:val="single" w:sz="4" w:space="0" w:color="auto"/>
            </w:tcBorders>
            <w:shd w:val="clear" w:color="auto" w:fill="auto"/>
            <w:noWrap/>
            <w:vAlign w:val="center"/>
            <w:hideMark/>
          </w:tcPr>
          <w:p w:rsidR="00D27318" w:rsidRPr="00331E80" w:rsidRDefault="00D27318" w:rsidP="00331E80">
            <w:pPr>
              <w:bidi w:val="0"/>
              <w:snapToGrid w:val="0"/>
              <w:jc w:val="both"/>
              <w:rPr>
                <w:sz w:val="17"/>
                <w:szCs w:val="17"/>
              </w:rPr>
            </w:pPr>
            <w:r w:rsidRPr="00331E80">
              <w:rPr>
                <w:sz w:val="17"/>
                <w:szCs w:val="17"/>
              </w:rPr>
              <w:t>Urban</w:t>
            </w:r>
          </w:p>
        </w:tc>
        <w:tc>
          <w:tcPr>
            <w:tcW w:w="651" w:type="pct"/>
            <w:tcBorders>
              <w:top w:val="nil"/>
              <w:left w:val="nil"/>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89 (52.7%)</w:t>
            </w:r>
          </w:p>
        </w:tc>
        <w:tc>
          <w:tcPr>
            <w:tcW w:w="1230" w:type="pct"/>
            <w:tcBorders>
              <w:top w:val="nil"/>
              <w:left w:val="nil"/>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68 (79.1%)</w:t>
            </w:r>
          </w:p>
        </w:tc>
        <w:tc>
          <w:tcPr>
            <w:tcW w:w="947" w:type="pct"/>
            <w:tcBorders>
              <w:top w:val="nil"/>
              <w:left w:val="nil"/>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21 (84.0%)</w:t>
            </w:r>
          </w:p>
        </w:tc>
        <w:tc>
          <w:tcPr>
            <w:tcW w:w="329" w:type="pct"/>
            <w:vMerge/>
            <w:tcBorders>
              <w:top w:val="nil"/>
              <w:left w:val="single" w:sz="4" w:space="0" w:color="auto"/>
              <w:right w:val="single" w:sz="4" w:space="0" w:color="auto"/>
            </w:tcBorders>
            <w:vAlign w:val="center"/>
            <w:hideMark/>
          </w:tcPr>
          <w:p w:rsidR="00D27318" w:rsidRPr="00331E80" w:rsidRDefault="00D27318" w:rsidP="00331E80">
            <w:pPr>
              <w:bidi w:val="0"/>
              <w:snapToGrid w:val="0"/>
              <w:jc w:val="both"/>
              <w:rPr>
                <w:color w:val="000000"/>
                <w:sz w:val="17"/>
                <w:szCs w:val="17"/>
              </w:rPr>
            </w:pPr>
          </w:p>
        </w:tc>
        <w:tc>
          <w:tcPr>
            <w:tcW w:w="437" w:type="pct"/>
            <w:vMerge/>
            <w:tcBorders>
              <w:top w:val="nil"/>
              <w:left w:val="single" w:sz="4" w:space="0" w:color="auto"/>
              <w:right w:val="single" w:sz="4" w:space="0" w:color="auto"/>
            </w:tcBorders>
            <w:vAlign w:val="center"/>
            <w:hideMark/>
          </w:tcPr>
          <w:p w:rsidR="00D27318" w:rsidRPr="00331E80" w:rsidRDefault="00D27318" w:rsidP="00331E80">
            <w:pPr>
              <w:bidi w:val="0"/>
              <w:snapToGrid w:val="0"/>
              <w:jc w:val="both"/>
              <w:rPr>
                <w:color w:val="000000"/>
                <w:sz w:val="17"/>
                <w:szCs w:val="17"/>
              </w:rPr>
            </w:pPr>
          </w:p>
        </w:tc>
      </w:tr>
      <w:tr w:rsidR="00801C75" w:rsidRPr="00331E80" w:rsidTr="00801C75">
        <w:trPr>
          <w:jc w:val="center"/>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D27318" w:rsidRPr="00331E80" w:rsidRDefault="00D27318" w:rsidP="00331E80">
            <w:pPr>
              <w:bidi w:val="0"/>
              <w:snapToGrid w:val="0"/>
              <w:jc w:val="both"/>
              <w:rPr>
                <w:sz w:val="17"/>
                <w:szCs w:val="17"/>
              </w:rPr>
            </w:pPr>
            <w:r w:rsidRPr="00331E80">
              <w:rPr>
                <w:sz w:val="17"/>
                <w:szCs w:val="17"/>
              </w:rPr>
              <w:t>Not recorded</w:t>
            </w:r>
          </w:p>
        </w:tc>
        <w:tc>
          <w:tcPr>
            <w:tcW w:w="651" w:type="pct"/>
            <w:tcBorders>
              <w:top w:val="nil"/>
              <w:left w:val="nil"/>
              <w:bottom w:val="single" w:sz="4" w:space="0" w:color="auto"/>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58 (34.3%)</w:t>
            </w:r>
          </w:p>
        </w:tc>
        <w:tc>
          <w:tcPr>
            <w:tcW w:w="1230" w:type="pct"/>
            <w:tcBorders>
              <w:top w:val="nil"/>
              <w:left w:val="nil"/>
              <w:bottom w:val="single" w:sz="4" w:space="0" w:color="auto"/>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38 (30.6%)</w:t>
            </w:r>
          </w:p>
        </w:tc>
        <w:tc>
          <w:tcPr>
            <w:tcW w:w="947" w:type="pct"/>
            <w:tcBorders>
              <w:top w:val="nil"/>
              <w:left w:val="nil"/>
              <w:bottom w:val="single" w:sz="4" w:space="0" w:color="auto"/>
              <w:right w:val="single" w:sz="4" w:space="0" w:color="auto"/>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20 (44.4%)</w:t>
            </w:r>
          </w:p>
        </w:tc>
        <w:tc>
          <w:tcPr>
            <w:tcW w:w="329" w:type="pct"/>
            <w:vMerge/>
            <w:tcBorders>
              <w:top w:val="nil"/>
              <w:left w:val="single" w:sz="4" w:space="0" w:color="auto"/>
              <w:bottom w:val="single" w:sz="4" w:space="0" w:color="auto"/>
              <w:right w:val="single" w:sz="4" w:space="0" w:color="auto"/>
            </w:tcBorders>
            <w:vAlign w:val="center"/>
            <w:hideMark/>
          </w:tcPr>
          <w:p w:rsidR="00D27318" w:rsidRPr="00331E80" w:rsidRDefault="00D27318" w:rsidP="00331E80">
            <w:pPr>
              <w:bidi w:val="0"/>
              <w:snapToGrid w:val="0"/>
              <w:jc w:val="both"/>
              <w:rPr>
                <w:color w:val="000000"/>
                <w:sz w:val="17"/>
                <w:szCs w:val="17"/>
              </w:rPr>
            </w:pPr>
          </w:p>
        </w:tc>
        <w:tc>
          <w:tcPr>
            <w:tcW w:w="437" w:type="pct"/>
            <w:vMerge/>
            <w:tcBorders>
              <w:top w:val="nil"/>
              <w:left w:val="single" w:sz="4" w:space="0" w:color="auto"/>
              <w:bottom w:val="single" w:sz="4" w:space="0" w:color="auto"/>
              <w:right w:val="single" w:sz="4" w:space="0" w:color="auto"/>
            </w:tcBorders>
            <w:vAlign w:val="center"/>
            <w:hideMark/>
          </w:tcPr>
          <w:p w:rsidR="00D27318" w:rsidRPr="00331E80" w:rsidRDefault="00D27318" w:rsidP="00331E80">
            <w:pPr>
              <w:bidi w:val="0"/>
              <w:snapToGrid w:val="0"/>
              <w:jc w:val="both"/>
              <w:rPr>
                <w:color w:val="000000"/>
                <w:sz w:val="17"/>
                <w:szCs w:val="17"/>
              </w:rPr>
            </w:pPr>
          </w:p>
        </w:tc>
      </w:tr>
    </w:tbl>
    <w:p w:rsidR="004C3EB3" w:rsidRPr="00801C75" w:rsidRDefault="004C3EB3" w:rsidP="00331E80">
      <w:pPr>
        <w:bidi w:val="0"/>
        <w:snapToGrid w:val="0"/>
        <w:jc w:val="center"/>
        <w:rPr>
          <w:b/>
          <w:bCs/>
          <w:sz w:val="20"/>
          <w:szCs w:val="20"/>
        </w:rPr>
      </w:pPr>
    </w:p>
    <w:p w:rsidR="00D27318" w:rsidRPr="00801C75" w:rsidRDefault="00296D11" w:rsidP="00331E80">
      <w:pPr>
        <w:bidi w:val="0"/>
        <w:snapToGrid w:val="0"/>
        <w:jc w:val="center"/>
        <w:rPr>
          <w:sz w:val="20"/>
          <w:szCs w:val="20"/>
          <w:lang w:eastAsia="ar-SA"/>
        </w:rPr>
      </w:pPr>
      <w:bookmarkStart w:id="7" w:name="_Toc7713623"/>
      <w:bookmarkStart w:id="8" w:name="_Toc7857969"/>
      <w:r w:rsidRPr="00801C75">
        <w:rPr>
          <w:b/>
          <w:bCs/>
          <w:sz w:val="20"/>
          <w:szCs w:val="20"/>
          <w:shd w:val="clear" w:color="auto" w:fill="FFFFFF"/>
        </w:rPr>
        <w:t>Table (</w:t>
      </w:r>
      <w:r w:rsidR="0014198C" w:rsidRPr="00801C75">
        <w:rPr>
          <w:b/>
          <w:bCs/>
          <w:sz w:val="20"/>
          <w:szCs w:val="20"/>
          <w:shd w:val="clear" w:color="auto" w:fill="FFFFFF"/>
        </w:rPr>
        <w:fldChar w:fldCharType="begin"/>
      </w:r>
      <w:r w:rsidRPr="00801C75">
        <w:rPr>
          <w:b/>
          <w:bCs/>
          <w:sz w:val="20"/>
          <w:szCs w:val="20"/>
          <w:shd w:val="clear" w:color="auto" w:fill="FFFFFF"/>
        </w:rPr>
        <w:instrText xml:space="preserve"> SEQ Table \* ARABIC </w:instrText>
      </w:r>
      <w:r w:rsidR="0014198C" w:rsidRPr="00801C75">
        <w:rPr>
          <w:b/>
          <w:bCs/>
          <w:sz w:val="20"/>
          <w:szCs w:val="20"/>
          <w:shd w:val="clear" w:color="auto" w:fill="FFFFFF"/>
        </w:rPr>
        <w:fldChar w:fldCharType="separate"/>
      </w:r>
      <w:r w:rsidR="00D60619">
        <w:rPr>
          <w:b/>
          <w:bCs/>
          <w:noProof/>
          <w:sz w:val="20"/>
          <w:szCs w:val="20"/>
          <w:shd w:val="clear" w:color="auto" w:fill="FFFFFF"/>
        </w:rPr>
        <w:t>3</w:t>
      </w:r>
      <w:r w:rsidR="0014198C" w:rsidRPr="00801C75">
        <w:rPr>
          <w:b/>
          <w:bCs/>
          <w:sz w:val="20"/>
          <w:szCs w:val="20"/>
          <w:shd w:val="clear" w:color="auto" w:fill="FFFFFF"/>
        </w:rPr>
        <w:fldChar w:fldCharType="end"/>
      </w:r>
      <w:r w:rsidRPr="00801C75">
        <w:rPr>
          <w:b/>
          <w:bCs/>
          <w:sz w:val="20"/>
          <w:szCs w:val="20"/>
          <w:shd w:val="clear" w:color="auto" w:fill="FFFFFF"/>
        </w:rPr>
        <w:t>)</w:t>
      </w:r>
      <w:r w:rsidRPr="00801C75">
        <w:rPr>
          <w:sz w:val="20"/>
          <w:szCs w:val="20"/>
          <w:shd w:val="clear" w:color="auto" w:fill="FFFFFF"/>
        </w:rPr>
        <w:t>:</w:t>
      </w:r>
      <w:r w:rsidR="00D27318" w:rsidRPr="00801C75">
        <w:rPr>
          <w:sz w:val="20"/>
          <w:szCs w:val="20"/>
          <w:lang w:val="en-GB"/>
        </w:rPr>
        <w:t xml:space="preserve"> Type of surgery in not metastatic group from the start.</w:t>
      </w:r>
      <w:bookmarkEnd w:id="7"/>
      <w:bookmarkEnd w:id="8"/>
    </w:p>
    <w:tbl>
      <w:tblPr>
        <w:tblW w:w="5000" w:type="pct"/>
        <w:jc w:val="center"/>
        <w:tblCellMar>
          <w:left w:w="57" w:type="dxa"/>
          <w:right w:w="57" w:type="dxa"/>
        </w:tblCellMar>
        <w:tblLook w:val="04A0"/>
      </w:tblPr>
      <w:tblGrid>
        <w:gridCol w:w="4716"/>
        <w:gridCol w:w="4758"/>
      </w:tblGrid>
      <w:tr w:rsidR="00D27318" w:rsidRPr="00331E80" w:rsidTr="00801C75">
        <w:trPr>
          <w:jc w:val="center"/>
        </w:trPr>
        <w:tc>
          <w:tcPr>
            <w:tcW w:w="2489" w:type="pct"/>
            <w:tcBorders>
              <w:top w:val="single" w:sz="12" w:space="0" w:color="000000"/>
              <w:left w:val="single" w:sz="12" w:space="0" w:color="000000"/>
              <w:bottom w:val="single" w:sz="4" w:space="0" w:color="auto"/>
              <w:right w:val="single" w:sz="4" w:space="0" w:color="auto"/>
            </w:tcBorders>
            <w:shd w:val="clear" w:color="000000" w:fill="C6E0B4"/>
            <w:noWrap/>
            <w:vAlign w:val="center"/>
            <w:hideMark/>
          </w:tcPr>
          <w:p w:rsidR="00D27318" w:rsidRPr="00331E80" w:rsidRDefault="00D27318" w:rsidP="00331E80">
            <w:pPr>
              <w:bidi w:val="0"/>
              <w:snapToGrid w:val="0"/>
              <w:jc w:val="both"/>
              <w:rPr>
                <w:b/>
                <w:bCs/>
                <w:sz w:val="17"/>
                <w:szCs w:val="17"/>
              </w:rPr>
            </w:pPr>
            <w:r w:rsidRPr="00331E80">
              <w:rPr>
                <w:b/>
                <w:bCs/>
                <w:sz w:val="17"/>
                <w:szCs w:val="17"/>
              </w:rPr>
              <w:t>Surgery</w:t>
            </w:r>
          </w:p>
        </w:tc>
        <w:tc>
          <w:tcPr>
            <w:tcW w:w="2511" w:type="pct"/>
            <w:tcBorders>
              <w:top w:val="single" w:sz="12" w:space="0" w:color="000000"/>
              <w:left w:val="nil"/>
              <w:bottom w:val="single" w:sz="4" w:space="0" w:color="auto"/>
              <w:right w:val="single" w:sz="12" w:space="0" w:color="000000"/>
            </w:tcBorders>
            <w:shd w:val="clear" w:color="000000" w:fill="C6E0B4"/>
            <w:vAlign w:val="center"/>
            <w:hideMark/>
          </w:tcPr>
          <w:p w:rsidR="00801C75" w:rsidRPr="00331E80" w:rsidRDefault="00D27318" w:rsidP="00331E80">
            <w:pPr>
              <w:bidi w:val="0"/>
              <w:snapToGrid w:val="0"/>
              <w:jc w:val="both"/>
              <w:rPr>
                <w:b/>
                <w:bCs/>
                <w:color w:val="000000"/>
                <w:sz w:val="17"/>
                <w:szCs w:val="17"/>
              </w:rPr>
            </w:pPr>
            <w:r w:rsidRPr="00331E80">
              <w:rPr>
                <w:b/>
                <w:bCs/>
                <w:color w:val="000000"/>
                <w:sz w:val="17"/>
                <w:szCs w:val="17"/>
              </w:rPr>
              <w:t xml:space="preserve">Early and locally </w:t>
            </w:r>
          </w:p>
          <w:p w:rsidR="00D27318" w:rsidRPr="00331E80" w:rsidRDefault="00D27318" w:rsidP="00331E80">
            <w:pPr>
              <w:bidi w:val="0"/>
              <w:snapToGrid w:val="0"/>
              <w:jc w:val="both"/>
              <w:rPr>
                <w:b/>
                <w:bCs/>
                <w:color w:val="000000"/>
                <w:sz w:val="17"/>
                <w:szCs w:val="17"/>
              </w:rPr>
            </w:pPr>
            <w:r w:rsidRPr="00331E80">
              <w:rPr>
                <w:b/>
                <w:bCs/>
                <w:color w:val="000000"/>
                <w:sz w:val="17"/>
                <w:szCs w:val="17"/>
              </w:rPr>
              <w:t>advanced (n=124)</w:t>
            </w:r>
          </w:p>
        </w:tc>
      </w:tr>
      <w:tr w:rsidR="00D27318" w:rsidRPr="00331E80" w:rsidTr="00801C75">
        <w:trPr>
          <w:jc w:val="center"/>
        </w:trPr>
        <w:tc>
          <w:tcPr>
            <w:tcW w:w="2489" w:type="pct"/>
            <w:tcBorders>
              <w:top w:val="single" w:sz="4" w:space="0" w:color="auto"/>
              <w:left w:val="single" w:sz="12" w:space="0" w:color="000000"/>
              <w:right w:val="single" w:sz="4" w:space="0" w:color="auto"/>
            </w:tcBorders>
            <w:shd w:val="clear" w:color="auto" w:fill="auto"/>
            <w:noWrap/>
            <w:vAlign w:val="center"/>
            <w:hideMark/>
          </w:tcPr>
          <w:p w:rsidR="00D27318" w:rsidRPr="00331E80" w:rsidRDefault="00D27318" w:rsidP="00331E80">
            <w:pPr>
              <w:bidi w:val="0"/>
              <w:snapToGrid w:val="0"/>
              <w:jc w:val="both"/>
              <w:rPr>
                <w:b/>
                <w:bCs/>
                <w:sz w:val="17"/>
                <w:szCs w:val="17"/>
              </w:rPr>
            </w:pPr>
            <w:r w:rsidRPr="00331E80">
              <w:rPr>
                <w:b/>
                <w:bCs/>
                <w:sz w:val="17"/>
                <w:szCs w:val="17"/>
              </w:rPr>
              <w:t>Type of surgery</w:t>
            </w:r>
          </w:p>
        </w:tc>
        <w:tc>
          <w:tcPr>
            <w:tcW w:w="2511" w:type="pct"/>
            <w:tcBorders>
              <w:top w:val="single" w:sz="4" w:space="0" w:color="auto"/>
              <w:left w:val="nil"/>
              <w:right w:val="single" w:sz="12" w:space="0" w:color="000000"/>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 </w:t>
            </w:r>
          </w:p>
        </w:tc>
      </w:tr>
      <w:tr w:rsidR="00D27318" w:rsidRPr="00331E80" w:rsidTr="00801C75">
        <w:trPr>
          <w:jc w:val="center"/>
        </w:trPr>
        <w:tc>
          <w:tcPr>
            <w:tcW w:w="2489" w:type="pct"/>
            <w:tcBorders>
              <w:top w:val="nil"/>
              <w:left w:val="single" w:sz="12" w:space="0" w:color="000000"/>
              <w:right w:val="single" w:sz="4" w:space="0" w:color="auto"/>
            </w:tcBorders>
            <w:shd w:val="clear" w:color="auto" w:fill="auto"/>
            <w:noWrap/>
            <w:vAlign w:val="center"/>
            <w:hideMark/>
          </w:tcPr>
          <w:p w:rsidR="00D27318" w:rsidRPr="00331E80" w:rsidRDefault="00D27318" w:rsidP="00331E80">
            <w:pPr>
              <w:bidi w:val="0"/>
              <w:snapToGrid w:val="0"/>
              <w:jc w:val="both"/>
              <w:rPr>
                <w:sz w:val="17"/>
                <w:szCs w:val="17"/>
              </w:rPr>
            </w:pPr>
            <w:r w:rsidRPr="00331E80">
              <w:rPr>
                <w:sz w:val="17"/>
                <w:szCs w:val="17"/>
              </w:rPr>
              <w:t>APR</w:t>
            </w:r>
          </w:p>
        </w:tc>
        <w:tc>
          <w:tcPr>
            <w:tcW w:w="2511" w:type="pct"/>
            <w:tcBorders>
              <w:top w:val="nil"/>
              <w:left w:val="nil"/>
              <w:right w:val="single" w:sz="12" w:space="0" w:color="000000"/>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25 (20.16%)</w:t>
            </w:r>
          </w:p>
        </w:tc>
      </w:tr>
      <w:tr w:rsidR="00D27318" w:rsidRPr="00331E80" w:rsidTr="00801C75">
        <w:trPr>
          <w:jc w:val="center"/>
        </w:trPr>
        <w:tc>
          <w:tcPr>
            <w:tcW w:w="2489" w:type="pct"/>
            <w:tcBorders>
              <w:top w:val="nil"/>
              <w:left w:val="single" w:sz="12" w:space="0" w:color="000000"/>
              <w:right w:val="single" w:sz="4" w:space="0" w:color="auto"/>
            </w:tcBorders>
            <w:shd w:val="clear" w:color="auto" w:fill="auto"/>
            <w:noWrap/>
            <w:vAlign w:val="center"/>
            <w:hideMark/>
          </w:tcPr>
          <w:p w:rsidR="00D27318" w:rsidRPr="00331E80" w:rsidRDefault="00D27318" w:rsidP="00331E80">
            <w:pPr>
              <w:bidi w:val="0"/>
              <w:snapToGrid w:val="0"/>
              <w:jc w:val="both"/>
              <w:rPr>
                <w:sz w:val="17"/>
                <w:szCs w:val="17"/>
              </w:rPr>
            </w:pPr>
            <w:r w:rsidRPr="00331E80">
              <w:rPr>
                <w:sz w:val="17"/>
                <w:szCs w:val="17"/>
              </w:rPr>
              <w:t>LAR</w:t>
            </w:r>
          </w:p>
        </w:tc>
        <w:tc>
          <w:tcPr>
            <w:tcW w:w="2511" w:type="pct"/>
            <w:tcBorders>
              <w:top w:val="nil"/>
              <w:left w:val="nil"/>
              <w:right w:val="single" w:sz="12" w:space="0" w:color="000000"/>
            </w:tcBorders>
            <w:shd w:val="clear" w:color="auto" w:fill="auto"/>
            <w:noWrap/>
            <w:vAlign w:val="center"/>
            <w:hideMark/>
          </w:tcPr>
          <w:p w:rsidR="00D27318" w:rsidRPr="00331E80" w:rsidRDefault="00D27318" w:rsidP="00331E80">
            <w:pPr>
              <w:bidi w:val="0"/>
              <w:snapToGrid w:val="0"/>
              <w:jc w:val="both"/>
              <w:rPr>
                <w:color w:val="000000"/>
                <w:sz w:val="17"/>
                <w:szCs w:val="17"/>
                <w:lang w:val="en-GB"/>
              </w:rPr>
            </w:pPr>
            <w:r w:rsidRPr="00331E80">
              <w:rPr>
                <w:color w:val="000000"/>
                <w:sz w:val="17"/>
                <w:szCs w:val="17"/>
              </w:rPr>
              <w:t>27 (21</w:t>
            </w:r>
            <w:r w:rsidRPr="00331E80">
              <w:rPr>
                <w:color w:val="000000"/>
                <w:sz w:val="17"/>
                <w:szCs w:val="17"/>
                <w:lang w:val="en-GB"/>
              </w:rPr>
              <w:t>.8%)</w:t>
            </w:r>
          </w:p>
        </w:tc>
      </w:tr>
      <w:tr w:rsidR="00D27318" w:rsidRPr="00331E80" w:rsidTr="00801C75">
        <w:trPr>
          <w:jc w:val="center"/>
        </w:trPr>
        <w:tc>
          <w:tcPr>
            <w:tcW w:w="2489" w:type="pct"/>
            <w:tcBorders>
              <w:top w:val="nil"/>
              <w:left w:val="single" w:sz="12" w:space="0" w:color="000000"/>
              <w:right w:val="single" w:sz="4" w:space="0" w:color="auto"/>
            </w:tcBorders>
            <w:shd w:val="clear" w:color="auto" w:fill="auto"/>
            <w:noWrap/>
            <w:vAlign w:val="center"/>
            <w:hideMark/>
          </w:tcPr>
          <w:p w:rsidR="00D27318" w:rsidRPr="00331E80" w:rsidRDefault="00D27318" w:rsidP="00331E80">
            <w:pPr>
              <w:bidi w:val="0"/>
              <w:snapToGrid w:val="0"/>
              <w:jc w:val="both"/>
              <w:rPr>
                <w:sz w:val="17"/>
                <w:szCs w:val="17"/>
              </w:rPr>
            </w:pPr>
            <w:r w:rsidRPr="00331E80">
              <w:rPr>
                <w:sz w:val="17"/>
                <w:szCs w:val="17"/>
              </w:rPr>
              <w:t>Rt hemicolectomy</w:t>
            </w:r>
          </w:p>
        </w:tc>
        <w:tc>
          <w:tcPr>
            <w:tcW w:w="2511" w:type="pct"/>
            <w:tcBorders>
              <w:top w:val="nil"/>
              <w:left w:val="nil"/>
              <w:right w:val="single" w:sz="12" w:space="0" w:color="000000"/>
            </w:tcBorders>
            <w:shd w:val="clear" w:color="auto" w:fill="auto"/>
            <w:noWrap/>
            <w:vAlign w:val="center"/>
            <w:hideMark/>
          </w:tcPr>
          <w:p w:rsidR="00D27318" w:rsidRPr="00331E80" w:rsidRDefault="00D27318" w:rsidP="00331E80">
            <w:pPr>
              <w:bidi w:val="0"/>
              <w:snapToGrid w:val="0"/>
              <w:jc w:val="both"/>
              <w:rPr>
                <w:color w:val="000000"/>
                <w:sz w:val="17"/>
                <w:szCs w:val="17"/>
                <w:lang w:val="en-GB"/>
              </w:rPr>
            </w:pPr>
            <w:r w:rsidRPr="00331E80">
              <w:rPr>
                <w:color w:val="000000"/>
                <w:sz w:val="17"/>
                <w:szCs w:val="17"/>
              </w:rPr>
              <w:t>34 (27</w:t>
            </w:r>
            <w:r w:rsidRPr="00331E80">
              <w:rPr>
                <w:color w:val="000000"/>
                <w:sz w:val="17"/>
                <w:szCs w:val="17"/>
                <w:lang w:val="en-GB"/>
              </w:rPr>
              <w:t>.4%)</w:t>
            </w:r>
          </w:p>
        </w:tc>
      </w:tr>
      <w:tr w:rsidR="00D27318" w:rsidRPr="00331E80" w:rsidTr="00801C75">
        <w:trPr>
          <w:jc w:val="center"/>
        </w:trPr>
        <w:tc>
          <w:tcPr>
            <w:tcW w:w="2489" w:type="pct"/>
            <w:tcBorders>
              <w:top w:val="nil"/>
              <w:left w:val="single" w:sz="12" w:space="0" w:color="000000"/>
              <w:right w:val="single" w:sz="4" w:space="0" w:color="auto"/>
            </w:tcBorders>
            <w:shd w:val="clear" w:color="auto" w:fill="auto"/>
            <w:noWrap/>
            <w:vAlign w:val="center"/>
            <w:hideMark/>
          </w:tcPr>
          <w:p w:rsidR="00D27318" w:rsidRPr="00331E80" w:rsidRDefault="00D27318" w:rsidP="00331E80">
            <w:pPr>
              <w:bidi w:val="0"/>
              <w:snapToGrid w:val="0"/>
              <w:jc w:val="both"/>
              <w:rPr>
                <w:sz w:val="17"/>
                <w:szCs w:val="17"/>
              </w:rPr>
            </w:pPr>
            <w:r w:rsidRPr="00331E80">
              <w:rPr>
                <w:sz w:val="17"/>
                <w:szCs w:val="17"/>
              </w:rPr>
              <w:t>Lt Hemicolectomy</w:t>
            </w:r>
          </w:p>
        </w:tc>
        <w:tc>
          <w:tcPr>
            <w:tcW w:w="2511" w:type="pct"/>
            <w:tcBorders>
              <w:top w:val="nil"/>
              <w:left w:val="nil"/>
              <w:right w:val="single" w:sz="12" w:space="0" w:color="000000"/>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28 (22.6%)</w:t>
            </w:r>
          </w:p>
        </w:tc>
      </w:tr>
      <w:tr w:rsidR="00D27318" w:rsidRPr="00331E80" w:rsidTr="00801C75">
        <w:trPr>
          <w:jc w:val="center"/>
        </w:trPr>
        <w:tc>
          <w:tcPr>
            <w:tcW w:w="2489" w:type="pct"/>
            <w:tcBorders>
              <w:top w:val="nil"/>
              <w:left w:val="single" w:sz="12" w:space="0" w:color="000000"/>
              <w:bottom w:val="single" w:sz="12" w:space="0" w:color="000000"/>
              <w:right w:val="single" w:sz="4" w:space="0" w:color="auto"/>
            </w:tcBorders>
            <w:shd w:val="clear" w:color="auto" w:fill="auto"/>
            <w:noWrap/>
            <w:vAlign w:val="center"/>
            <w:hideMark/>
          </w:tcPr>
          <w:p w:rsidR="00D27318" w:rsidRPr="00331E80" w:rsidRDefault="00D27318" w:rsidP="00331E80">
            <w:pPr>
              <w:bidi w:val="0"/>
              <w:snapToGrid w:val="0"/>
              <w:jc w:val="both"/>
              <w:rPr>
                <w:sz w:val="17"/>
                <w:szCs w:val="17"/>
              </w:rPr>
            </w:pPr>
            <w:r w:rsidRPr="00331E80">
              <w:rPr>
                <w:sz w:val="17"/>
                <w:szCs w:val="17"/>
              </w:rPr>
              <w:t>Total colectomy</w:t>
            </w:r>
          </w:p>
        </w:tc>
        <w:tc>
          <w:tcPr>
            <w:tcW w:w="2511" w:type="pct"/>
            <w:tcBorders>
              <w:top w:val="nil"/>
              <w:left w:val="nil"/>
              <w:bottom w:val="single" w:sz="12" w:space="0" w:color="000000"/>
              <w:right w:val="single" w:sz="12" w:space="0" w:color="000000"/>
            </w:tcBorders>
            <w:shd w:val="clear" w:color="auto" w:fill="auto"/>
            <w:noWrap/>
            <w:vAlign w:val="center"/>
            <w:hideMark/>
          </w:tcPr>
          <w:p w:rsidR="00D27318" w:rsidRPr="00331E80" w:rsidRDefault="00D27318" w:rsidP="00331E80">
            <w:pPr>
              <w:bidi w:val="0"/>
              <w:snapToGrid w:val="0"/>
              <w:jc w:val="both"/>
              <w:rPr>
                <w:color w:val="000000"/>
                <w:sz w:val="17"/>
                <w:szCs w:val="17"/>
              </w:rPr>
            </w:pPr>
            <w:r w:rsidRPr="00331E80">
              <w:rPr>
                <w:color w:val="000000"/>
                <w:sz w:val="17"/>
                <w:szCs w:val="17"/>
              </w:rPr>
              <w:t>10 (8.1%)</w:t>
            </w:r>
          </w:p>
        </w:tc>
      </w:tr>
    </w:tbl>
    <w:p w:rsidR="0094756F" w:rsidRPr="00801C75" w:rsidRDefault="0094756F" w:rsidP="00331E80">
      <w:pPr>
        <w:bidi w:val="0"/>
        <w:snapToGrid w:val="0"/>
        <w:ind w:firstLine="425"/>
        <w:jc w:val="both"/>
        <w:rPr>
          <w:sz w:val="20"/>
          <w:szCs w:val="20"/>
          <w:lang w:eastAsia="ar-SA"/>
        </w:rPr>
      </w:pPr>
    </w:p>
    <w:p w:rsidR="00331E80" w:rsidRDefault="00331E80" w:rsidP="00331E80">
      <w:pPr>
        <w:bidi w:val="0"/>
        <w:snapToGrid w:val="0"/>
        <w:ind w:firstLine="425"/>
        <w:jc w:val="both"/>
        <w:rPr>
          <w:sz w:val="20"/>
          <w:szCs w:val="20"/>
          <w:lang w:eastAsia="ar-SA"/>
        </w:rPr>
        <w:sectPr w:rsidR="00331E80" w:rsidSect="00801C75">
          <w:type w:val="continuous"/>
          <w:pgSz w:w="12240" w:h="15840" w:code="9"/>
          <w:pgMar w:top="1440" w:right="1440" w:bottom="1440" w:left="1440" w:header="720" w:footer="720" w:gutter="0"/>
          <w:pgBorders w:offsetFrom="page">
            <w:top w:val="none" w:sz="0" w:space="13" w:color="000000" w:shadow="1"/>
            <w:left w:val="none" w:sz="0" w:space="13" w:color="000000" w:shadow="1"/>
            <w:bottom w:val="none" w:sz="0" w:space="13" w:color="000000" w:shadow="1"/>
            <w:right w:val="none" w:sz="0" w:space="0" w:color="000000" w:shadow="1"/>
          </w:pgBorders>
          <w:cols w:space="720"/>
          <w:noEndnote/>
          <w:rtlGutter/>
          <w:docGrid w:linePitch="326"/>
        </w:sectPr>
      </w:pPr>
    </w:p>
    <w:p w:rsidR="00D27318" w:rsidRPr="00801C75" w:rsidRDefault="00D27318" w:rsidP="00331E80">
      <w:pPr>
        <w:bidi w:val="0"/>
        <w:snapToGrid w:val="0"/>
        <w:ind w:firstLine="425"/>
        <w:jc w:val="both"/>
        <w:rPr>
          <w:sz w:val="20"/>
          <w:szCs w:val="20"/>
          <w:lang w:eastAsia="ar-SA"/>
        </w:rPr>
      </w:pPr>
      <w:r w:rsidRPr="00801C75">
        <w:rPr>
          <w:sz w:val="20"/>
          <w:szCs w:val="20"/>
          <w:lang w:eastAsia="ar-SA"/>
        </w:rPr>
        <w:lastRenderedPageBreak/>
        <w:t>All patients in non-metastatic group received Adjuvant chemotherapy,105 patients (84.7%) received FOLFOX/XELOX as a standard protocol for adjuvant treatment in resectable colorectal cancer patients.</w:t>
      </w:r>
    </w:p>
    <w:p w:rsidR="00981714" w:rsidRPr="00801C75" w:rsidRDefault="00D27318" w:rsidP="00331E80">
      <w:pPr>
        <w:bidi w:val="0"/>
        <w:snapToGrid w:val="0"/>
        <w:ind w:firstLine="425"/>
        <w:jc w:val="both"/>
        <w:rPr>
          <w:sz w:val="20"/>
          <w:szCs w:val="20"/>
          <w:lang w:eastAsia="ar-SA"/>
        </w:rPr>
      </w:pPr>
      <w:r w:rsidRPr="00801C75">
        <w:rPr>
          <w:sz w:val="20"/>
          <w:szCs w:val="20"/>
          <w:lang w:eastAsia="ar-SA"/>
        </w:rPr>
        <w:lastRenderedPageBreak/>
        <w:t xml:space="preserve">Twenty percent of patients received Xeloda/ 5FU instead of platinum based Chemotherapy as an alternative protocol for adjuvant treatment. </w:t>
      </w:r>
    </w:p>
    <w:p w:rsidR="00331E80" w:rsidRDefault="00331E80" w:rsidP="00331E80">
      <w:pPr>
        <w:bidi w:val="0"/>
        <w:snapToGrid w:val="0"/>
        <w:jc w:val="both"/>
        <w:rPr>
          <w:b/>
          <w:bCs/>
          <w:sz w:val="20"/>
          <w:szCs w:val="20"/>
          <w:shd w:val="clear" w:color="auto" w:fill="FFFFFF"/>
        </w:rPr>
        <w:sectPr w:rsidR="00331E80" w:rsidSect="00331E80">
          <w:type w:val="continuous"/>
          <w:pgSz w:w="12240" w:h="15840" w:code="9"/>
          <w:pgMar w:top="1440" w:right="1440" w:bottom="1440" w:left="1440" w:header="720" w:footer="720" w:gutter="0"/>
          <w:pgBorders w:offsetFrom="page">
            <w:top w:val="none" w:sz="0" w:space="13" w:color="000000" w:shadow="1"/>
            <w:left w:val="none" w:sz="0" w:space="13" w:color="000000" w:shadow="1"/>
            <w:bottom w:val="none" w:sz="0" w:space="13" w:color="000000" w:shadow="1"/>
            <w:right w:val="none" w:sz="0" w:space="0" w:color="000000" w:shadow="1"/>
          </w:pgBorders>
          <w:cols w:num="2" w:space="600"/>
          <w:noEndnote/>
          <w:rtlGutter/>
          <w:docGrid w:linePitch="326"/>
        </w:sectPr>
      </w:pPr>
      <w:bookmarkStart w:id="9" w:name="_Toc7713625"/>
      <w:bookmarkStart w:id="10" w:name="_Toc7857971"/>
    </w:p>
    <w:p w:rsidR="0094756F" w:rsidRPr="00801C75" w:rsidRDefault="0094756F" w:rsidP="00331E80">
      <w:pPr>
        <w:bidi w:val="0"/>
        <w:snapToGrid w:val="0"/>
        <w:jc w:val="both"/>
        <w:rPr>
          <w:b/>
          <w:bCs/>
          <w:sz w:val="20"/>
          <w:szCs w:val="20"/>
          <w:shd w:val="clear" w:color="auto" w:fill="FFFFFF"/>
        </w:rPr>
      </w:pPr>
    </w:p>
    <w:p w:rsidR="00D27318" w:rsidRPr="00801C75" w:rsidRDefault="00296D11" w:rsidP="00331E80">
      <w:pPr>
        <w:bidi w:val="0"/>
        <w:snapToGrid w:val="0"/>
        <w:jc w:val="center"/>
        <w:rPr>
          <w:color w:val="000000" w:themeColor="text1"/>
          <w:sz w:val="20"/>
          <w:szCs w:val="18"/>
          <w:lang w:val="en-GB"/>
        </w:rPr>
      </w:pPr>
      <w:r w:rsidRPr="00801C75">
        <w:rPr>
          <w:b/>
          <w:bCs/>
          <w:sz w:val="20"/>
          <w:szCs w:val="18"/>
          <w:shd w:val="clear" w:color="auto" w:fill="FFFFFF"/>
        </w:rPr>
        <w:t>Table (</w:t>
      </w:r>
      <w:r w:rsidR="0014198C" w:rsidRPr="00801C75">
        <w:rPr>
          <w:b/>
          <w:bCs/>
          <w:sz w:val="20"/>
          <w:szCs w:val="18"/>
          <w:shd w:val="clear" w:color="auto" w:fill="FFFFFF"/>
        </w:rPr>
        <w:fldChar w:fldCharType="begin"/>
      </w:r>
      <w:r w:rsidRPr="00801C75">
        <w:rPr>
          <w:b/>
          <w:bCs/>
          <w:sz w:val="20"/>
          <w:szCs w:val="18"/>
          <w:shd w:val="clear" w:color="auto" w:fill="FFFFFF"/>
        </w:rPr>
        <w:instrText xml:space="preserve"> SEQ Table \* ARABIC </w:instrText>
      </w:r>
      <w:r w:rsidR="0014198C" w:rsidRPr="00801C75">
        <w:rPr>
          <w:b/>
          <w:bCs/>
          <w:sz w:val="20"/>
          <w:szCs w:val="18"/>
          <w:shd w:val="clear" w:color="auto" w:fill="FFFFFF"/>
        </w:rPr>
        <w:fldChar w:fldCharType="separate"/>
      </w:r>
      <w:r w:rsidR="00D60619">
        <w:rPr>
          <w:b/>
          <w:bCs/>
          <w:noProof/>
          <w:sz w:val="20"/>
          <w:szCs w:val="18"/>
          <w:shd w:val="clear" w:color="auto" w:fill="FFFFFF"/>
        </w:rPr>
        <w:t>4</w:t>
      </w:r>
      <w:r w:rsidR="0014198C" w:rsidRPr="00801C75">
        <w:rPr>
          <w:b/>
          <w:bCs/>
          <w:sz w:val="20"/>
          <w:szCs w:val="18"/>
          <w:shd w:val="clear" w:color="auto" w:fill="FFFFFF"/>
        </w:rPr>
        <w:fldChar w:fldCharType="end"/>
      </w:r>
      <w:r w:rsidRPr="00801C75">
        <w:rPr>
          <w:b/>
          <w:bCs/>
          <w:sz w:val="20"/>
          <w:szCs w:val="18"/>
          <w:shd w:val="clear" w:color="auto" w:fill="FFFFFF"/>
        </w:rPr>
        <w:t>)</w:t>
      </w:r>
      <w:r w:rsidRPr="00801C75">
        <w:rPr>
          <w:sz w:val="20"/>
          <w:szCs w:val="18"/>
          <w:shd w:val="clear" w:color="auto" w:fill="FFFFFF"/>
        </w:rPr>
        <w:t>:</w:t>
      </w:r>
      <w:r w:rsidR="00D27318" w:rsidRPr="00801C75">
        <w:rPr>
          <w:color w:val="000000" w:themeColor="text1"/>
          <w:sz w:val="20"/>
          <w:szCs w:val="18"/>
          <w:lang w:val="en-GB"/>
        </w:rPr>
        <w:t xml:space="preserve"> Adjuvant treatment per stage.</w:t>
      </w:r>
      <w:bookmarkEnd w:id="9"/>
      <w:bookmarkEnd w:id="10"/>
    </w:p>
    <w:tbl>
      <w:tblPr>
        <w:tblW w:w="5000" w:type="pct"/>
        <w:jc w:val="center"/>
        <w:tblCellMar>
          <w:left w:w="57" w:type="dxa"/>
          <w:right w:w="57" w:type="dxa"/>
        </w:tblCellMar>
        <w:tblLook w:val="04A0"/>
      </w:tblPr>
      <w:tblGrid>
        <w:gridCol w:w="2296"/>
        <w:gridCol w:w="7178"/>
      </w:tblGrid>
      <w:tr w:rsidR="00D27318" w:rsidRPr="00801C75" w:rsidTr="00801C75">
        <w:trPr>
          <w:jc w:val="center"/>
        </w:trPr>
        <w:tc>
          <w:tcPr>
            <w:tcW w:w="1212"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D27318" w:rsidRPr="00801C75" w:rsidRDefault="00D27318" w:rsidP="00331E80">
            <w:pPr>
              <w:bidi w:val="0"/>
              <w:snapToGrid w:val="0"/>
              <w:jc w:val="both"/>
              <w:rPr>
                <w:b/>
                <w:bCs/>
                <w:sz w:val="20"/>
                <w:szCs w:val="18"/>
              </w:rPr>
            </w:pPr>
            <w:r w:rsidRPr="00801C75">
              <w:rPr>
                <w:b/>
                <w:bCs/>
                <w:sz w:val="20"/>
                <w:szCs w:val="18"/>
              </w:rPr>
              <w:t>Stage</w:t>
            </w:r>
          </w:p>
        </w:tc>
        <w:tc>
          <w:tcPr>
            <w:tcW w:w="3788" w:type="pct"/>
            <w:tcBorders>
              <w:top w:val="single" w:sz="4" w:space="0" w:color="auto"/>
              <w:left w:val="nil"/>
              <w:bottom w:val="single" w:sz="4" w:space="0" w:color="auto"/>
              <w:right w:val="single" w:sz="4" w:space="0" w:color="auto"/>
            </w:tcBorders>
            <w:shd w:val="clear" w:color="000000" w:fill="C6E0B4"/>
            <w:vAlign w:val="center"/>
            <w:hideMark/>
          </w:tcPr>
          <w:p w:rsidR="00D27318" w:rsidRPr="00801C75" w:rsidRDefault="00D27318" w:rsidP="00331E80">
            <w:pPr>
              <w:bidi w:val="0"/>
              <w:snapToGrid w:val="0"/>
              <w:jc w:val="both"/>
              <w:rPr>
                <w:b/>
                <w:bCs/>
                <w:sz w:val="20"/>
                <w:szCs w:val="18"/>
                <w:lang w:val="en-GB"/>
              </w:rPr>
            </w:pPr>
            <w:r w:rsidRPr="00801C75">
              <w:rPr>
                <w:b/>
                <w:bCs/>
                <w:sz w:val="20"/>
                <w:szCs w:val="18"/>
                <w:lang w:val="en-GB"/>
              </w:rPr>
              <w:t xml:space="preserve">Treatment </w:t>
            </w:r>
          </w:p>
        </w:tc>
      </w:tr>
      <w:tr w:rsidR="00D27318" w:rsidRPr="00801C75" w:rsidTr="00801C75">
        <w:trPr>
          <w:jc w:val="center"/>
        </w:trPr>
        <w:tc>
          <w:tcPr>
            <w:tcW w:w="1212" w:type="pct"/>
            <w:tcBorders>
              <w:top w:val="nil"/>
              <w:left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sz w:val="20"/>
                <w:szCs w:val="18"/>
                <w:lang w:val="en-GB"/>
              </w:rPr>
            </w:pPr>
            <w:r w:rsidRPr="00801C75">
              <w:rPr>
                <w:sz w:val="20"/>
                <w:szCs w:val="18"/>
              </w:rPr>
              <w:t xml:space="preserve">Stage </w:t>
            </w:r>
            <w:r w:rsidR="00801C75" w:rsidRPr="00801C75">
              <w:rPr>
                <w:sz w:val="20"/>
                <w:szCs w:val="18"/>
              </w:rPr>
              <w:t>I (</w:t>
            </w:r>
            <w:r w:rsidRPr="00801C75">
              <w:rPr>
                <w:sz w:val="20"/>
                <w:szCs w:val="18"/>
              </w:rPr>
              <w:t>8</w:t>
            </w:r>
            <w:r w:rsidRPr="00801C75">
              <w:rPr>
                <w:sz w:val="20"/>
                <w:szCs w:val="18"/>
                <w:lang w:val="en-GB"/>
              </w:rPr>
              <w:t xml:space="preserve"> patients)</w:t>
            </w:r>
          </w:p>
        </w:tc>
        <w:tc>
          <w:tcPr>
            <w:tcW w:w="3788" w:type="pct"/>
            <w:tcBorders>
              <w:top w:val="nil"/>
              <w:left w:val="nil"/>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8"/>
                <w:lang w:val="en-GB"/>
              </w:rPr>
            </w:pPr>
            <w:r w:rsidRPr="00801C75">
              <w:rPr>
                <w:color w:val="000000"/>
                <w:sz w:val="20"/>
                <w:szCs w:val="18"/>
                <w:lang w:val="en-GB"/>
              </w:rPr>
              <w:t xml:space="preserve">All- </w:t>
            </w:r>
            <w:r w:rsidRPr="00801C75">
              <w:rPr>
                <w:color w:val="000000"/>
                <w:sz w:val="20"/>
                <w:szCs w:val="18"/>
              </w:rPr>
              <w:t>Observation after Surgery</w:t>
            </w:r>
          </w:p>
        </w:tc>
      </w:tr>
      <w:tr w:rsidR="00D27318" w:rsidRPr="00801C75" w:rsidTr="00801C75">
        <w:trPr>
          <w:jc w:val="center"/>
        </w:trPr>
        <w:tc>
          <w:tcPr>
            <w:tcW w:w="1212" w:type="pct"/>
            <w:tcBorders>
              <w:top w:val="nil"/>
              <w:left w:val="single" w:sz="4" w:space="0" w:color="auto"/>
              <w:right w:val="single" w:sz="4" w:space="0" w:color="auto"/>
            </w:tcBorders>
            <w:shd w:val="clear" w:color="auto" w:fill="auto"/>
            <w:noWrap/>
            <w:vAlign w:val="center"/>
            <w:hideMark/>
          </w:tcPr>
          <w:p w:rsidR="00981714" w:rsidRPr="00801C75" w:rsidRDefault="00D27318" w:rsidP="00331E80">
            <w:pPr>
              <w:bidi w:val="0"/>
              <w:snapToGrid w:val="0"/>
              <w:jc w:val="both"/>
              <w:rPr>
                <w:sz w:val="20"/>
                <w:szCs w:val="18"/>
                <w:lang w:val="en-GB"/>
              </w:rPr>
            </w:pPr>
            <w:r w:rsidRPr="00801C75">
              <w:rPr>
                <w:sz w:val="20"/>
                <w:szCs w:val="18"/>
                <w:lang w:val="en-GB"/>
              </w:rPr>
              <w:t>Stage II (42 patients)</w:t>
            </w:r>
          </w:p>
          <w:p w:rsidR="00D27318" w:rsidRPr="00801C75" w:rsidRDefault="00D27318" w:rsidP="00331E80">
            <w:pPr>
              <w:bidi w:val="0"/>
              <w:snapToGrid w:val="0"/>
              <w:jc w:val="both"/>
              <w:rPr>
                <w:sz w:val="20"/>
                <w:szCs w:val="18"/>
                <w:lang w:val="en-GB"/>
              </w:rPr>
            </w:pPr>
            <w:r w:rsidRPr="00801C75">
              <w:rPr>
                <w:sz w:val="20"/>
                <w:szCs w:val="18"/>
                <w:lang w:val="en-GB"/>
              </w:rPr>
              <w:t>Stage III (64 patient)</w:t>
            </w:r>
          </w:p>
        </w:tc>
        <w:tc>
          <w:tcPr>
            <w:tcW w:w="3788" w:type="pct"/>
            <w:tcBorders>
              <w:top w:val="nil"/>
              <w:left w:val="nil"/>
              <w:right w:val="single" w:sz="4" w:space="0" w:color="auto"/>
            </w:tcBorders>
            <w:shd w:val="clear" w:color="auto" w:fill="auto"/>
            <w:noWrap/>
            <w:vAlign w:val="center"/>
            <w:hideMark/>
          </w:tcPr>
          <w:p w:rsidR="00D27318" w:rsidRPr="00801C75" w:rsidRDefault="00D27318" w:rsidP="00331E80">
            <w:pPr>
              <w:bidi w:val="0"/>
              <w:snapToGrid w:val="0"/>
              <w:jc w:val="both"/>
              <w:rPr>
                <w:color w:val="000000" w:themeColor="text1"/>
                <w:sz w:val="20"/>
                <w:szCs w:val="18"/>
                <w:lang w:val="en-GB"/>
              </w:rPr>
            </w:pPr>
            <w:r w:rsidRPr="00801C75">
              <w:rPr>
                <w:color w:val="000000"/>
                <w:sz w:val="20"/>
                <w:szCs w:val="18"/>
                <w:lang w:val="en-GB"/>
              </w:rPr>
              <w:t xml:space="preserve">11 pt. </w:t>
            </w:r>
            <w:r w:rsidRPr="00801C75">
              <w:rPr>
                <w:color w:val="000000" w:themeColor="text1"/>
                <w:sz w:val="20"/>
                <w:szCs w:val="18"/>
                <w:lang w:val="en-GB"/>
              </w:rPr>
              <w:t>(Single agent 5FU/Xeloda),21 pt. (oxaliplatin based regimens)</w:t>
            </w:r>
          </w:p>
          <w:p w:rsidR="00D27318" w:rsidRPr="00801C75" w:rsidRDefault="00D27318" w:rsidP="00331E80">
            <w:pPr>
              <w:bidi w:val="0"/>
              <w:snapToGrid w:val="0"/>
              <w:jc w:val="both"/>
              <w:rPr>
                <w:color w:val="000000"/>
                <w:sz w:val="20"/>
                <w:szCs w:val="18"/>
                <w:lang w:val="en-GB"/>
              </w:rPr>
            </w:pPr>
            <w:r w:rsidRPr="00801C75">
              <w:rPr>
                <w:color w:val="000000" w:themeColor="text1"/>
                <w:sz w:val="20"/>
                <w:szCs w:val="18"/>
                <w:lang w:val="en-GB"/>
              </w:rPr>
              <w:t>All- FOLFOX</w:t>
            </w:r>
            <w:r w:rsidRPr="00801C75">
              <w:rPr>
                <w:color w:val="000000"/>
                <w:sz w:val="20"/>
                <w:szCs w:val="18"/>
                <w:lang w:val="en-GB"/>
              </w:rPr>
              <w:t>/XELOX</w:t>
            </w:r>
          </w:p>
        </w:tc>
      </w:tr>
      <w:tr w:rsidR="00D27318" w:rsidRPr="00801C75" w:rsidTr="00801C75">
        <w:trPr>
          <w:jc w:val="center"/>
        </w:trPr>
        <w:tc>
          <w:tcPr>
            <w:tcW w:w="1212" w:type="pc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sz w:val="20"/>
                <w:szCs w:val="18"/>
                <w:lang w:val="en-GB"/>
              </w:rPr>
            </w:pPr>
            <w:r w:rsidRPr="00801C75">
              <w:rPr>
                <w:sz w:val="20"/>
                <w:szCs w:val="18"/>
                <w:lang w:val="en-GB"/>
              </w:rPr>
              <w:t>Stage IV (45 patient)</w:t>
            </w:r>
          </w:p>
        </w:tc>
        <w:tc>
          <w:tcPr>
            <w:tcW w:w="3788"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8"/>
                <w:lang w:val="en-GB"/>
              </w:rPr>
            </w:pPr>
            <w:r w:rsidRPr="00801C75">
              <w:rPr>
                <w:color w:val="000000"/>
                <w:sz w:val="20"/>
                <w:szCs w:val="18"/>
                <w:lang w:val="en-GB"/>
              </w:rPr>
              <w:t>All- FOLFOX/XELOX</w:t>
            </w:r>
          </w:p>
        </w:tc>
      </w:tr>
    </w:tbl>
    <w:p w:rsidR="00FC0DD6" w:rsidRPr="00801C75" w:rsidRDefault="00FC0DD6" w:rsidP="00331E80">
      <w:pPr>
        <w:bidi w:val="0"/>
        <w:snapToGrid w:val="0"/>
        <w:jc w:val="center"/>
        <w:rPr>
          <w:b/>
          <w:bCs/>
          <w:sz w:val="20"/>
          <w:szCs w:val="18"/>
        </w:rPr>
      </w:pPr>
    </w:p>
    <w:p w:rsidR="0055776F" w:rsidRPr="00801C75" w:rsidRDefault="00D27318" w:rsidP="00331E80">
      <w:pPr>
        <w:bidi w:val="0"/>
        <w:snapToGrid w:val="0"/>
        <w:jc w:val="center"/>
        <w:rPr>
          <w:sz w:val="20"/>
          <w:szCs w:val="18"/>
        </w:rPr>
      </w:pPr>
      <w:r w:rsidRPr="00801C75">
        <w:rPr>
          <w:b/>
          <w:bCs/>
          <w:sz w:val="20"/>
          <w:szCs w:val="18"/>
        </w:rPr>
        <w:t>Table (7):</w:t>
      </w:r>
      <w:r w:rsidRPr="00801C75">
        <w:rPr>
          <w:sz w:val="20"/>
          <w:szCs w:val="18"/>
        </w:rPr>
        <w:t xml:space="preserve"> Post-surgical details in non-metastatic group. </w:t>
      </w:r>
    </w:p>
    <w:tbl>
      <w:tblPr>
        <w:tblW w:w="5000" w:type="pct"/>
        <w:jc w:val="center"/>
        <w:tblCellMar>
          <w:left w:w="57" w:type="dxa"/>
          <w:right w:w="57" w:type="dxa"/>
        </w:tblCellMar>
        <w:tblLook w:val="04A0"/>
      </w:tblPr>
      <w:tblGrid>
        <w:gridCol w:w="4424"/>
        <w:gridCol w:w="5050"/>
      </w:tblGrid>
      <w:tr w:rsidR="00D27318" w:rsidRPr="00801C75" w:rsidTr="00801C75">
        <w:trPr>
          <w:jc w:val="center"/>
        </w:trPr>
        <w:tc>
          <w:tcPr>
            <w:tcW w:w="2335"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D27318" w:rsidRPr="00801C75" w:rsidRDefault="00D27318" w:rsidP="00331E80">
            <w:pPr>
              <w:bidi w:val="0"/>
              <w:snapToGrid w:val="0"/>
              <w:jc w:val="both"/>
              <w:rPr>
                <w:b/>
                <w:bCs/>
                <w:sz w:val="20"/>
                <w:szCs w:val="18"/>
              </w:rPr>
            </w:pPr>
            <w:r w:rsidRPr="00801C75">
              <w:rPr>
                <w:b/>
                <w:bCs/>
                <w:sz w:val="20"/>
                <w:szCs w:val="18"/>
              </w:rPr>
              <w:t>Post-surgical details</w:t>
            </w:r>
          </w:p>
        </w:tc>
        <w:tc>
          <w:tcPr>
            <w:tcW w:w="2665" w:type="pct"/>
            <w:tcBorders>
              <w:top w:val="single" w:sz="4" w:space="0" w:color="auto"/>
              <w:left w:val="nil"/>
              <w:bottom w:val="single" w:sz="4" w:space="0" w:color="auto"/>
              <w:right w:val="single" w:sz="4" w:space="0" w:color="auto"/>
            </w:tcBorders>
            <w:shd w:val="clear" w:color="000000" w:fill="C6E0B4"/>
            <w:vAlign w:val="center"/>
            <w:hideMark/>
          </w:tcPr>
          <w:p w:rsidR="00D27318" w:rsidRPr="00801C75" w:rsidRDefault="00D27318" w:rsidP="00331E80">
            <w:pPr>
              <w:bidi w:val="0"/>
              <w:snapToGrid w:val="0"/>
              <w:jc w:val="both"/>
              <w:rPr>
                <w:b/>
                <w:bCs/>
                <w:sz w:val="20"/>
                <w:szCs w:val="18"/>
              </w:rPr>
            </w:pPr>
            <w:r w:rsidRPr="00801C75">
              <w:rPr>
                <w:b/>
                <w:bCs/>
                <w:sz w:val="20"/>
                <w:szCs w:val="18"/>
              </w:rPr>
              <w:t>non-metastatic (n=124)</w:t>
            </w:r>
          </w:p>
        </w:tc>
      </w:tr>
      <w:tr w:rsidR="00D27318" w:rsidRPr="00801C75" w:rsidTr="00801C75">
        <w:trPr>
          <w:jc w:val="center"/>
        </w:trPr>
        <w:tc>
          <w:tcPr>
            <w:tcW w:w="2335" w:type="pct"/>
            <w:tcBorders>
              <w:top w:val="single" w:sz="4" w:space="0" w:color="auto"/>
              <w:left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b/>
                <w:bCs/>
                <w:sz w:val="20"/>
                <w:szCs w:val="18"/>
              </w:rPr>
            </w:pPr>
            <w:r w:rsidRPr="00801C75">
              <w:rPr>
                <w:b/>
                <w:bCs/>
                <w:sz w:val="20"/>
                <w:szCs w:val="18"/>
              </w:rPr>
              <w:t>Adjuvant Type</w:t>
            </w:r>
          </w:p>
        </w:tc>
        <w:tc>
          <w:tcPr>
            <w:tcW w:w="2665" w:type="pct"/>
            <w:tcBorders>
              <w:top w:val="single" w:sz="4" w:space="0" w:color="auto"/>
              <w:left w:val="nil"/>
              <w:right w:val="single" w:sz="4" w:space="0" w:color="auto"/>
            </w:tcBorders>
            <w:shd w:val="clear" w:color="auto" w:fill="auto"/>
            <w:noWrap/>
            <w:vAlign w:val="center"/>
            <w:hideMark/>
          </w:tcPr>
          <w:p w:rsidR="00D27318" w:rsidRPr="00801C75" w:rsidRDefault="00D27318" w:rsidP="00331E80">
            <w:pPr>
              <w:bidi w:val="0"/>
              <w:snapToGrid w:val="0"/>
              <w:jc w:val="both"/>
              <w:rPr>
                <w:sz w:val="20"/>
                <w:szCs w:val="18"/>
              </w:rPr>
            </w:pPr>
            <w:r w:rsidRPr="00801C75">
              <w:rPr>
                <w:sz w:val="20"/>
                <w:szCs w:val="18"/>
              </w:rPr>
              <w:t> </w:t>
            </w:r>
          </w:p>
        </w:tc>
      </w:tr>
      <w:tr w:rsidR="00D27318" w:rsidRPr="00801C75" w:rsidTr="00801C75">
        <w:trPr>
          <w:jc w:val="center"/>
        </w:trPr>
        <w:tc>
          <w:tcPr>
            <w:tcW w:w="2335" w:type="pct"/>
            <w:tcBorders>
              <w:top w:val="nil"/>
              <w:left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sz w:val="20"/>
                <w:szCs w:val="18"/>
                <w:lang w:val="en-GB"/>
              </w:rPr>
            </w:pPr>
            <w:r w:rsidRPr="00801C75">
              <w:rPr>
                <w:sz w:val="20"/>
                <w:szCs w:val="18"/>
              </w:rPr>
              <w:t>FOLFOX</w:t>
            </w:r>
            <w:r w:rsidRPr="00801C75">
              <w:rPr>
                <w:sz w:val="20"/>
                <w:szCs w:val="18"/>
                <w:lang w:val="en-GB"/>
              </w:rPr>
              <w:t>/Xelox</w:t>
            </w:r>
          </w:p>
        </w:tc>
        <w:tc>
          <w:tcPr>
            <w:tcW w:w="2665" w:type="pct"/>
            <w:tcBorders>
              <w:top w:val="nil"/>
              <w:left w:val="nil"/>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8"/>
              </w:rPr>
            </w:pPr>
            <w:r w:rsidRPr="00801C75">
              <w:rPr>
                <w:color w:val="000000"/>
                <w:sz w:val="20"/>
                <w:szCs w:val="18"/>
              </w:rPr>
              <w:t>105 (84.7%)</w:t>
            </w:r>
          </w:p>
        </w:tc>
      </w:tr>
      <w:tr w:rsidR="00D27318" w:rsidRPr="00801C75" w:rsidTr="00801C75">
        <w:trPr>
          <w:jc w:val="center"/>
        </w:trPr>
        <w:tc>
          <w:tcPr>
            <w:tcW w:w="2335" w:type="pct"/>
            <w:tcBorders>
              <w:top w:val="nil"/>
              <w:left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sz w:val="20"/>
                <w:szCs w:val="18"/>
                <w:lang w:val="en-GB"/>
              </w:rPr>
            </w:pPr>
            <w:r w:rsidRPr="00801C75">
              <w:rPr>
                <w:sz w:val="20"/>
                <w:szCs w:val="18"/>
              </w:rPr>
              <w:t>Xeloda</w:t>
            </w:r>
            <w:r w:rsidRPr="00801C75">
              <w:rPr>
                <w:sz w:val="20"/>
                <w:szCs w:val="18"/>
                <w:lang w:val="en-GB"/>
              </w:rPr>
              <w:t>/ 5fu</w:t>
            </w:r>
          </w:p>
        </w:tc>
        <w:tc>
          <w:tcPr>
            <w:tcW w:w="2665" w:type="pct"/>
            <w:tcBorders>
              <w:top w:val="nil"/>
              <w:left w:val="nil"/>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8"/>
              </w:rPr>
            </w:pPr>
            <w:r w:rsidRPr="00801C75">
              <w:rPr>
                <w:color w:val="000000"/>
                <w:sz w:val="20"/>
                <w:szCs w:val="18"/>
              </w:rPr>
              <w:t>12 (9.7%)</w:t>
            </w:r>
          </w:p>
        </w:tc>
      </w:tr>
      <w:tr w:rsidR="00D27318" w:rsidRPr="00801C75" w:rsidTr="00801C75">
        <w:trPr>
          <w:jc w:val="center"/>
        </w:trPr>
        <w:tc>
          <w:tcPr>
            <w:tcW w:w="2335" w:type="pct"/>
            <w:tcBorders>
              <w:top w:val="nil"/>
              <w:left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sz w:val="20"/>
                <w:szCs w:val="18"/>
                <w:lang w:val="en-GB"/>
              </w:rPr>
            </w:pPr>
            <w:r w:rsidRPr="00801C75">
              <w:rPr>
                <w:sz w:val="20"/>
                <w:szCs w:val="18"/>
                <w:lang w:val="en-GB"/>
              </w:rPr>
              <w:t>Not recorded</w:t>
            </w:r>
          </w:p>
        </w:tc>
        <w:tc>
          <w:tcPr>
            <w:tcW w:w="2665" w:type="pct"/>
            <w:tcBorders>
              <w:top w:val="nil"/>
              <w:left w:val="nil"/>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8"/>
              </w:rPr>
            </w:pPr>
            <w:r w:rsidRPr="00801C75">
              <w:rPr>
                <w:color w:val="000000"/>
                <w:sz w:val="20"/>
                <w:szCs w:val="18"/>
              </w:rPr>
              <w:t>7 (5.6%)</w:t>
            </w:r>
          </w:p>
        </w:tc>
      </w:tr>
      <w:tr w:rsidR="00D27318" w:rsidRPr="00801C75" w:rsidTr="00801C75">
        <w:trPr>
          <w:jc w:val="center"/>
        </w:trPr>
        <w:tc>
          <w:tcPr>
            <w:tcW w:w="2335" w:type="pct"/>
            <w:tcBorders>
              <w:top w:val="single" w:sz="4" w:space="0" w:color="auto"/>
              <w:left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b/>
                <w:bCs/>
                <w:sz w:val="20"/>
                <w:szCs w:val="18"/>
              </w:rPr>
            </w:pPr>
            <w:r w:rsidRPr="00801C75">
              <w:rPr>
                <w:b/>
                <w:bCs/>
                <w:sz w:val="20"/>
                <w:szCs w:val="18"/>
              </w:rPr>
              <w:t>Recurrence</w:t>
            </w:r>
          </w:p>
        </w:tc>
        <w:tc>
          <w:tcPr>
            <w:tcW w:w="2665" w:type="pct"/>
            <w:tcBorders>
              <w:top w:val="single" w:sz="4" w:space="0" w:color="auto"/>
              <w:left w:val="nil"/>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8"/>
              </w:rPr>
            </w:pPr>
          </w:p>
        </w:tc>
      </w:tr>
      <w:tr w:rsidR="00D27318" w:rsidRPr="00801C75" w:rsidTr="00801C75">
        <w:trPr>
          <w:jc w:val="center"/>
        </w:trPr>
        <w:tc>
          <w:tcPr>
            <w:tcW w:w="2335" w:type="pct"/>
            <w:tcBorders>
              <w:top w:val="nil"/>
              <w:left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sz w:val="20"/>
                <w:szCs w:val="18"/>
              </w:rPr>
            </w:pPr>
            <w:r w:rsidRPr="00801C75">
              <w:rPr>
                <w:sz w:val="20"/>
                <w:szCs w:val="18"/>
              </w:rPr>
              <w:t>No</w:t>
            </w:r>
          </w:p>
        </w:tc>
        <w:tc>
          <w:tcPr>
            <w:tcW w:w="2665" w:type="pct"/>
            <w:tcBorders>
              <w:top w:val="nil"/>
              <w:left w:val="nil"/>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8"/>
              </w:rPr>
            </w:pPr>
            <w:r w:rsidRPr="00801C75">
              <w:rPr>
                <w:color w:val="000000"/>
                <w:sz w:val="20"/>
                <w:szCs w:val="18"/>
              </w:rPr>
              <w:t>93 (75.0%)</w:t>
            </w:r>
          </w:p>
        </w:tc>
      </w:tr>
      <w:tr w:rsidR="00D27318" w:rsidRPr="00801C75" w:rsidTr="00801C75">
        <w:trPr>
          <w:jc w:val="center"/>
        </w:trPr>
        <w:tc>
          <w:tcPr>
            <w:tcW w:w="2335" w:type="pc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sz w:val="20"/>
                <w:szCs w:val="18"/>
              </w:rPr>
            </w:pPr>
            <w:r w:rsidRPr="00801C75">
              <w:rPr>
                <w:sz w:val="20"/>
                <w:szCs w:val="18"/>
              </w:rPr>
              <w:t>Yes</w:t>
            </w:r>
          </w:p>
        </w:tc>
        <w:tc>
          <w:tcPr>
            <w:tcW w:w="2665"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8"/>
              </w:rPr>
            </w:pPr>
            <w:r w:rsidRPr="00801C75">
              <w:rPr>
                <w:color w:val="000000"/>
                <w:sz w:val="20"/>
                <w:szCs w:val="18"/>
              </w:rPr>
              <w:t>31 (25.0%)</w:t>
            </w:r>
          </w:p>
        </w:tc>
      </w:tr>
    </w:tbl>
    <w:p w:rsidR="00331E80" w:rsidRDefault="00331E80" w:rsidP="00331E80">
      <w:pPr>
        <w:bidi w:val="0"/>
        <w:snapToGrid w:val="0"/>
        <w:ind w:firstLine="425"/>
        <w:jc w:val="both"/>
        <w:rPr>
          <w:b/>
          <w:bCs/>
          <w:sz w:val="20"/>
          <w:szCs w:val="18"/>
          <w:shd w:val="clear" w:color="auto" w:fill="FFFFFF"/>
          <w:lang w:eastAsia="zh-CN"/>
        </w:rPr>
      </w:pPr>
      <w:bookmarkStart w:id="11" w:name="_Toc7713626"/>
      <w:bookmarkStart w:id="12" w:name="_Toc7857972"/>
    </w:p>
    <w:p w:rsidR="00D27318" w:rsidRPr="00801C75" w:rsidRDefault="00296D11" w:rsidP="00331E80">
      <w:pPr>
        <w:bidi w:val="0"/>
        <w:snapToGrid w:val="0"/>
        <w:jc w:val="center"/>
        <w:rPr>
          <w:sz w:val="20"/>
          <w:szCs w:val="18"/>
        </w:rPr>
      </w:pPr>
      <w:r w:rsidRPr="00801C75">
        <w:rPr>
          <w:b/>
          <w:bCs/>
          <w:sz w:val="20"/>
          <w:szCs w:val="18"/>
          <w:shd w:val="clear" w:color="auto" w:fill="FFFFFF"/>
        </w:rPr>
        <w:t>Table (</w:t>
      </w:r>
      <w:r w:rsidR="0014198C" w:rsidRPr="00801C75">
        <w:rPr>
          <w:b/>
          <w:bCs/>
          <w:sz w:val="20"/>
          <w:szCs w:val="18"/>
          <w:shd w:val="clear" w:color="auto" w:fill="FFFFFF"/>
        </w:rPr>
        <w:fldChar w:fldCharType="begin"/>
      </w:r>
      <w:r w:rsidRPr="00801C75">
        <w:rPr>
          <w:b/>
          <w:bCs/>
          <w:sz w:val="20"/>
          <w:szCs w:val="18"/>
          <w:shd w:val="clear" w:color="auto" w:fill="FFFFFF"/>
        </w:rPr>
        <w:instrText xml:space="preserve"> SEQ Table \* ARABIC </w:instrText>
      </w:r>
      <w:r w:rsidR="0014198C" w:rsidRPr="00801C75">
        <w:rPr>
          <w:b/>
          <w:bCs/>
          <w:sz w:val="20"/>
          <w:szCs w:val="18"/>
          <w:shd w:val="clear" w:color="auto" w:fill="FFFFFF"/>
        </w:rPr>
        <w:fldChar w:fldCharType="separate"/>
      </w:r>
      <w:r w:rsidR="00D60619">
        <w:rPr>
          <w:b/>
          <w:bCs/>
          <w:noProof/>
          <w:sz w:val="20"/>
          <w:szCs w:val="18"/>
          <w:shd w:val="clear" w:color="auto" w:fill="FFFFFF"/>
        </w:rPr>
        <w:t>5</w:t>
      </w:r>
      <w:r w:rsidR="0014198C" w:rsidRPr="00801C75">
        <w:rPr>
          <w:b/>
          <w:bCs/>
          <w:sz w:val="20"/>
          <w:szCs w:val="18"/>
          <w:shd w:val="clear" w:color="auto" w:fill="FFFFFF"/>
        </w:rPr>
        <w:fldChar w:fldCharType="end"/>
      </w:r>
      <w:r w:rsidRPr="00801C75">
        <w:rPr>
          <w:b/>
          <w:bCs/>
          <w:sz w:val="20"/>
          <w:szCs w:val="18"/>
          <w:shd w:val="clear" w:color="auto" w:fill="FFFFFF"/>
        </w:rPr>
        <w:t>)</w:t>
      </w:r>
      <w:r w:rsidRPr="00801C75">
        <w:rPr>
          <w:sz w:val="20"/>
          <w:szCs w:val="18"/>
          <w:shd w:val="clear" w:color="auto" w:fill="FFFFFF"/>
        </w:rPr>
        <w:t>:</w:t>
      </w:r>
      <w:r w:rsidR="00D27318" w:rsidRPr="00801C75">
        <w:rPr>
          <w:sz w:val="20"/>
          <w:szCs w:val="18"/>
        </w:rPr>
        <w:t xml:space="preserve"> Site of recurrence distribution of the </w:t>
      </w:r>
      <w:r w:rsidR="00D27318" w:rsidRPr="00801C75">
        <w:rPr>
          <w:color w:val="000000" w:themeColor="text1"/>
          <w:sz w:val="20"/>
          <w:szCs w:val="18"/>
        </w:rPr>
        <w:t>initially non-metastatic group</w:t>
      </w:r>
      <w:r w:rsidR="00D27318" w:rsidRPr="00801C75">
        <w:rPr>
          <w:color w:val="FF0000"/>
          <w:sz w:val="20"/>
          <w:szCs w:val="18"/>
        </w:rPr>
        <w:t>.</w:t>
      </w:r>
      <w:bookmarkEnd w:id="11"/>
      <w:bookmarkEnd w:id="12"/>
    </w:p>
    <w:tbl>
      <w:tblPr>
        <w:tblW w:w="5000" w:type="pct"/>
        <w:jc w:val="center"/>
        <w:tblCellMar>
          <w:left w:w="57" w:type="dxa"/>
          <w:right w:w="57" w:type="dxa"/>
        </w:tblCellMar>
        <w:tblLook w:val="04A0"/>
      </w:tblPr>
      <w:tblGrid>
        <w:gridCol w:w="5815"/>
        <w:gridCol w:w="3659"/>
      </w:tblGrid>
      <w:tr w:rsidR="00D27318" w:rsidRPr="00801C75" w:rsidTr="00801C75">
        <w:trPr>
          <w:jc w:val="center"/>
        </w:trPr>
        <w:tc>
          <w:tcPr>
            <w:tcW w:w="3069"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D27318" w:rsidRPr="00801C75" w:rsidRDefault="00D27318" w:rsidP="00331E80">
            <w:pPr>
              <w:bidi w:val="0"/>
              <w:snapToGrid w:val="0"/>
              <w:jc w:val="both"/>
              <w:rPr>
                <w:b/>
                <w:bCs/>
                <w:sz w:val="20"/>
                <w:szCs w:val="18"/>
              </w:rPr>
            </w:pPr>
            <w:r w:rsidRPr="00801C75">
              <w:rPr>
                <w:b/>
                <w:bCs/>
                <w:sz w:val="20"/>
                <w:szCs w:val="18"/>
              </w:rPr>
              <w:t xml:space="preserve">Site of recurrence </w:t>
            </w:r>
          </w:p>
        </w:tc>
        <w:tc>
          <w:tcPr>
            <w:tcW w:w="1931" w:type="pct"/>
            <w:tcBorders>
              <w:top w:val="single" w:sz="4" w:space="0" w:color="auto"/>
              <w:left w:val="nil"/>
              <w:bottom w:val="single" w:sz="4" w:space="0" w:color="auto"/>
              <w:right w:val="single" w:sz="4" w:space="0" w:color="auto"/>
            </w:tcBorders>
            <w:shd w:val="clear" w:color="000000" w:fill="C6E0B4"/>
            <w:vAlign w:val="center"/>
            <w:hideMark/>
          </w:tcPr>
          <w:p w:rsidR="00D27318" w:rsidRPr="00801C75" w:rsidRDefault="00D27318" w:rsidP="00331E80">
            <w:pPr>
              <w:bidi w:val="0"/>
              <w:snapToGrid w:val="0"/>
              <w:jc w:val="both"/>
              <w:rPr>
                <w:b/>
                <w:bCs/>
                <w:color w:val="000000"/>
                <w:sz w:val="20"/>
                <w:szCs w:val="18"/>
              </w:rPr>
            </w:pPr>
            <w:r w:rsidRPr="00801C75">
              <w:rPr>
                <w:b/>
                <w:bCs/>
                <w:color w:val="000000"/>
                <w:sz w:val="20"/>
                <w:szCs w:val="18"/>
              </w:rPr>
              <w:t>(n=31 recurrence)</w:t>
            </w:r>
          </w:p>
        </w:tc>
      </w:tr>
      <w:tr w:rsidR="00D27318" w:rsidRPr="00801C75" w:rsidTr="00801C75">
        <w:trPr>
          <w:jc w:val="center"/>
        </w:trPr>
        <w:tc>
          <w:tcPr>
            <w:tcW w:w="3069" w:type="pc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b/>
                <w:bCs/>
                <w:sz w:val="20"/>
                <w:szCs w:val="18"/>
                <w:lang w:val="en-GB"/>
              </w:rPr>
            </w:pPr>
            <w:r w:rsidRPr="00801C75">
              <w:rPr>
                <w:b/>
                <w:bCs/>
                <w:sz w:val="20"/>
                <w:szCs w:val="18"/>
              </w:rPr>
              <w:t xml:space="preserve">Local ( including </w:t>
            </w:r>
            <w:r w:rsidRPr="00801C75">
              <w:rPr>
                <w:b/>
                <w:bCs/>
                <w:sz w:val="20"/>
                <w:szCs w:val="18"/>
                <w:lang w:val="en-GB"/>
              </w:rPr>
              <w:t>pelvic LNs )</w:t>
            </w:r>
          </w:p>
        </w:tc>
        <w:tc>
          <w:tcPr>
            <w:tcW w:w="1931"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themeColor="text1"/>
                <w:sz w:val="20"/>
                <w:szCs w:val="18"/>
              </w:rPr>
            </w:pPr>
            <w:r w:rsidRPr="00801C75">
              <w:rPr>
                <w:color w:val="000000" w:themeColor="text1"/>
                <w:sz w:val="20"/>
                <w:szCs w:val="18"/>
              </w:rPr>
              <w:t xml:space="preserve">22 </w:t>
            </w:r>
            <w:r w:rsidRPr="00801C75">
              <w:rPr>
                <w:color w:val="000000" w:themeColor="text1"/>
                <w:sz w:val="20"/>
                <w:szCs w:val="18"/>
                <w:lang w:val="en-GB"/>
              </w:rPr>
              <w:t>(43.9%)</w:t>
            </w:r>
          </w:p>
        </w:tc>
      </w:tr>
      <w:tr w:rsidR="00D27318" w:rsidRPr="00801C75" w:rsidTr="00801C75">
        <w:trPr>
          <w:jc w:val="center"/>
        </w:trPr>
        <w:tc>
          <w:tcPr>
            <w:tcW w:w="3069" w:type="pc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b/>
                <w:bCs/>
                <w:sz w:val="20"/>
                <w:szCs w:val="18"/>
              </w:rPr>
            </w:pPr>
            <w:r w:rsidRPr="00801C75">
              <w:rPr>
                <w:b/>
                <w:bCs/>
                <w:sz w:val="20"/>
                <w:szCs w:val="18"/>
              </w:rPr>
              <w:t xml:space="preserve">Lung </w:t>
            </w:r>
          </w:p>
        </w:tc>
        <w:tc>
          <w:tcPr>
            <w:tcW w:w="1931"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themeColor="text1"/>
                <w:sz w:val="20"/>
                <w:szCs w:val="18"/>
              </w:rPr>
            </w:pPr>
            <w:r w:rsidRPr="00801C75">
              <w:rPr>
                <w:color w:val="000000" w:themeColor="text1"/>
                <w:sz w:val="20"/>
                <w:szCs w:val="18"/>
              </w:rPr>
              <w:t>5</w:t>
            </w:r>
            <w:r w:rsidRPr="00801C75">
              <w:rPr>
                <w:color w:val="000000" w:themeColor="text1"/>
                <w:sz w:val="20"/>
                <w:szCs w:val="18"/>
                <w:lang w:val="en-GB"/>
              </w:rPr>
              <w:t>(16.1%)</w:t>
            </w:r>
            <w:r w:rsidRPr="00801C75">
              <w:rPr>
                <w:color w:val="000000" w:themeColor="text1"/>
                <w:sz w:val="20"/>
                <w:szCs w:val="18"/>
              </w:rPr>
              <w:t> </w:t>
            </w:r>
          </w:p>
        </w:tc>
      </w:tr>
      <w:tr w:rsidR="00D27318" w:rsidRPr="00801C75" w:rsidTr="00801C75">
        <w:trPr>
          <w:jc w:val="center"/>
        </w:trPr>
        <w:tc>
          <w:tcPr>
            <w:tcW w:w="3069" w:type="pc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b/>
                <w:bCs/>
                <w:sz w:val="20"/>
                <w:szCs w:val="18"/>
              </w:rPr>
            </w:pPr>
            <w:r w:rsidRPr="00801C75">
              <w:rPr>
                <w:b/>
                <w:bCs/>
                <w:sz w:val="20"/>
                <w:szCs w:val="18"/>
              </w:rPr>
              <w:t xml:space="preserve">Liver </w:t>
            </w:r>
          </w:p>
        </w:tc>
        <w:tc>
          <w:tcPr>
            <w:tcW w:w="1931"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8"/>
              </w:rPr>
            </w:pPr>
            <w:r w:rsidRPr="00801C75">
              <w:rPr>
                <w:color w:val="000000"/>
                <w:sz w:val="20"/>
                <w:szCs w:val="18"/>
              </w:rPr>
              <w:t xml:space="preserve">8(25.8%) </w:t>
            </w:r>
          </w:p>
        </w:tc>
      </w:tr>
      <w:tr w:rsidR="00D27318" w:rsidRPr="00801C75" w:rsidTr="00801C75">
        <w:trPr>
          <w:jc w:val="center"/>
        </w:trPr>
        <w:tc>
          <w:tcPr>
            <w:tcW w:w="3069" w:type="pc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b/>
                <w:bCs/>
                <w:sz w:val="20"/>
                <w:szCs w:val="18"/>
              </w:rPr>
            </w:pPr>
            <w:r w:rsidRPr="00801C75">
              <w:rPr>
                <w:b/>
                <w:bCs/>
                <w:sz w:val="20"/>
                <w:szCs w:val="18"/>
              </w:rPr>
              <w:t xml:space="preserve">1st line </w:t>
            </w:r>
          </w:p>
        </w:tc>
        <w:tc>
          <w:tcPr>
            <w:tcW w:w="1931"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8"/>
              </w:rPr>
            </w:pPr>
          </w:p>
        </w:tc>
      </w:tr>
      <w:tr w:rsidR="00D27318" w:rsidRPr="00801C75" w:rsidTr="00801C75">
        <w:trPr>
          <w:jc w:val="center"/>
        </w:trPr>
        <w:tc>
          <w:tcPr>
            <w:tcW w:w="3069" w:type="pc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sz w:val="20"/>
                <w:szCs w:val="18"/>
              </w:rPr>
            </w:pPr>
            <w:r w:rsidRPr="00801C75">
              <w:rPr>
                <w:sz w:val="20"/>
                <w:szCs w:val="18"/>
              </w:rPr>
              <w:t>Received</w:t>
            </w:r>
          </w:p>
        </w:tc>
        <w:tc>
          <w:tcPr>
            <w:tcW w:w="1931"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8"/>
              </w:rPr>
            </w:pPr>
            <w:r w:rsidRPr="00801C75">
              <w:rPr>
                <w:color w:val="000000"/>
                <w:sz w:val="20"/>
                <w:szCs w:val="18"/>
              </w:rPr>
              <w:t>26 (83.9%)</w:t>
            </w:r>
          </w:p>
        </w:tc>
      </w:tr>
      <w:tr w:rsidR="00D27318" w:rsidRPr="00801C75" w:rsidTr="00801C75">
        <w:trPr>
          <w:jc w:val="center"/>
        </w:trPr>
        <w:tc>
          <w:tcPr>
            <w:tcW w:w="3069" w:type="pc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sz w:val="20"/>
                <w:szCs w:val="18"/>
              </w:rPr>
            </w:pPr>
            <w:r w:rsidRPr="00801C75">
              <w:rPr>
                <w:sz w:val="20"/>
                <w:szCs w:val="18"/>
              </w:rPr>
              <w:t xml:space="preserve">Not received </w:t>
            </w:r>
          </w:p>
        </w:tc>
        <w:tc>
          <w:tcPr>
            <w:tcW w:w="1931"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8"/>
              </w:rPr>
            </w:pPr>
            <w:r w:rsidRPr="00801C75">
              <w:rPr>
                <w:color w:val="000000"/>
                <w:sz w:val="20"/>
                <w:szCs w:val="18"/>
              </w:rPr>
              <w:t>5 (16.1%)</w:t>
            </w:r>
          </w:p>
        </w:tc>
      </w:tr>
      <w:tr w:rsidR="00D27318" w:rsidRPr="00801C75" w:rsidTr="00801C75">
        <w:trPr>
          <w:jc w:val="center"/>
        </w:trPr>
        <w:tc>
          <w:tcPr>
            <w:tcW w:w="3069" w:type="pc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sz w:val="20"/>
                <w:szCs w:val="18"/>
              </w:rPr>
            </w:pPr>
            <w:r w:rsidRPr="00801C75">
              <w:rPr>
                <w:sz w:val="20"/>
                <w:szCs w:val="18"/>
              </w:rPr>
              <w:t>Folfiri</w:t>
            </w:r>
          </w:p>
        </w:tc>
        <w:tc>
          <w:tcPr>
            <w:tcW w:w="1931"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8"/>
                <w:lang w:val="en-GB"/>
              </w:rPr>
            </w:pPr>
            <w:r w:rsidRPr="00801C75">
              <w:rPr>
                <w:color w:val="000000"/>
                <w:sz w:val="20"/>
                <w:szCs w:val="18"/>
              </w:rPr>
              <w:t>21 (67.7%)</w:t>
            </w:r>
          </w:p>
        </w:tc>
      </w:tr>
      <w:tr w:rsidR="00D27318" w:rsidRPr="00801C75" w:rsidTr="00801C75">
        <w:trPr>
          <w:jc w:val="center"/>
        </w:trPr>
        <w:tc>
          <w:tcPr>
            <w:tcW w:w="3069" w:type="pc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sz w:val="20"/>
                <w:szCs w:val="20"/>
              </w:rPr>
            </w:pPr>
            <w:r w:rsidRPr="00801C75">
              <w:rPr>
                <w:sz w:val="20"/>
                <w:szCs w:val="20"/>
              </w:rPr>
              <w:t>Folfox</w:t>
            </w:r>
          </w:p>
        </w:tc>
        <w:tc>
          <w:tcPr>
            <w:tcW w:w="1931"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5 (16.1%)</w:t>
            </w:r>
          </w:p>
        </w:tc>
      </w:tr>
    </w:tbl>
    <w:p w:rsidR="003574B3" w:rsidRPr="00801C75" w:rsidRDefault="003574B3" w:rsidP="00331E80">
      <w:pPr>
        <w:bidi w:val="0"/>
        <w:snapToGrid w:val="0"/>
        <w:jc w:val="center"/>
        <w:rPr>
          <w:b/>
          <w:bCs/>
          <w:sz w:val="20"/>
          <w:szCs w:val="20"/>
          <w:shd w:val="clear" w:color="auto" w:fill="FFFFFF"/>
        </w:rPr>
      </w:pPr>
      <w:bookmarkStart w:id="13" w:name="_Toc7713628"/>
      <w:bookmarkStart w:id="14" w:name="_Toc7857974"/>
    </w:p>
    <w:p w:rsidR="00874768" w:rsidRPr="00801C75" w:rsidRDefault="00C75A94" w:rsidP="00331E80">
      <w:pPr>
        <w:bidi w:val="0"/>
        <w:snapToGrid w:val="0"/>
        <w:jc w:val="center"/>
        <w:rPr>
          <w:color w:val="000000" w:themeColor="text1"/>
          <w:sz w:val="20"/>
          <w:szCs w:val="18"/>
        </w:rPr>
      </w:pPr>
      <w:r w:rsidRPr="00801C75">
        <w:rPr>
          <w:b/>
          <w:bCs/>
          <w:sz w:val="20"/>
          <w:szCs w:val="18"/>
          <w:shd w:val="clear" w:color="auto" w:fill="FFFFFF"/>
        </w:rPr>
        <w:t>Table (</w:t>
      </w:r>
      <w:r w:rsidR="0014198C" w:rsidRPr="00801C75">
        <w:rPr>
          <w:b/>
          <w:bCs/>
          <w:sz w:val="20"/>
          <w:szCs w:val="18"/>
          <w:shd w:val="clear" w:color="auto" w:fill="FFFFFF"/>
        </w:rPr>
        <w:fldChar w:fldCharType="begin"/>
      </w:r>
      <w:r w:rsidRPr="00801C75">
        <w:rPr>
          <w:b/>
          <w:bCs/>
          <w:sz w:val="20"/>
          <w:szCs w:val="18"/>
          <w:shd w:val="clear" w:color="auto" w:fill="FFFFFF"/>
        </w:rPr>
        <w:instrText xml:space="preserve"> SEQ Table \* ARABIC </w:instrText>
      </w:r>
      <w:r w:rsidR="0014198C" w:rsidRPr="00801C75">
        <w:rPr>
          <w:b/>
          <w:bCs/>
          <w:sz w:val="20"/>
          <w:szCs w:val="18"/>
          <w:shd w:val="clear" w:color="auto" w:fill="FFFFFF"/>
        </w:rPr>
        <w:fldChar w:fldCharType="separate"/>
      </w:r>
      <w:r w:rsidR="00D60619">
        <w:rPr>
          <w:b/>
          <w:bCs/>
          <w:noProof/>
          <w:sz w:val="20"/>
          <w:szCs w:val="18"/>
          <w:shd w:val="clear" w:color="auto" w:fill="FFFFFF"/>
        </w:rPr>
        <w:t>6</w:t>
      </w:r>
      <w:r w:rsidR="0014198C" w:rsidRPr="00801C75">
        <w:rPr>
          <w:b/>
          <w:bCs/>
          <w:sz w:val="20"/>
          <w:szCs w:val="18"/>
          <w:shd w:val="clear" w:color="auto" w:fill="FFFFFF"/>
        </w:rPr>
        <w:fldChar w:fldCharType="end"/>
      </w:r>
      <w:r w:rsidRPr="00801C75">
        <w:rPr>
          <w:b/>
          <w:bCs/>
          <w:sz w:val="20"/>
          <w:szCs w:val="18"/>
          <w:shd w:val="clear" w:color="auto" w:fill="FFFFFF"/>
        </w:rPr>
        <w:t>)</w:t>
      </w:r>
      <w:r w:rsidRPr="00801C75">
        <w:rPr>
          <w:sz w:val="20"/>
          <w:szCs w:val="18"/>
          <w:shd w:val="clear" w:color="auto" w:fill="FFFFFF"/>
        </w:rPr>
        <w:t>:</w:t>
      </w:r>
      <w:r w:rsidR="00D27318" w:rsidRPr="00801C75">
        <w:rPr>
          <w:sz w:val="20"/>
          <w:szCs w:val="18"/>
        </w:rPr>
        <w:t xml:space="preserve"> Comparison between </w:t>
      </w:r>
      <w:r w:rsidR="00D27318" w:rsidRPr="00801C75">
        <w:rPr>
          <w:color w:val="000000" w:themeColor="text1"/>
          <w:sz w:val="20"/>
          <w:szCs w:val="18"/>
        </w:rPr>
        <w:t>initially non-metastatic and metastatic according to laboratory data.</w:t>
      </w:r>
      <w:bookmarkEnd w:id="13"/>
      <w:bookmarkEnd w:id="14"/>
    </w:p>
    <w:tbl>
      <w:tblPr>
        <w:tblW w:w="5000" w:type="pct"/>
        <w:jc w:val="center"/>
        <w:tblCellMar>
          <w:left w:w="57" w:type="dxa"/>
          <w:right w:w="57" w:type="dxa"/>
        </w:tblCellMar>
        <w:tblLook w:val="04A0"/>
      </w:tblPr>
      <w:tblGrid>
        <w:gridCol w:w="1520"/>
        <w:gridCol w:w="1751"/>
        <w:gridCol w:w="2658"/>
        <w:gridCol w:w="2245"/>
        <w:gridCol w:w="565"/>
        <w:gridCol w:w="735"/>
      </w:tblGrid>
      <w:tr w:rsidR="00801C75" w:rsidRPr="00801C75" w:rsidTr="00801C75">
        <w:trPr>
          <w:jc w:val="center"/>
        </w:trPr>
        <w:tc>
          <w:tcPr>
            <w:tcW w:w="802" w:type="pct"/>
            <w:tcBorders>
              <w:top w:val="single" w:sz="4" w:space="0" w:color="auto"/>
              <w:left w:val="single" w:sz="4" w:space="0" w:color="auto"/>
              <w:bottom w:val="single" w:sz="4" w:space="0" w:color="auto"/>
              <w:right w:val="single" w:sz="4" w:space="0" w:color="auto"/>
            </w:tcBorders>
            <w:shd w:val="clear" w:color="000000" w:fill="C6E0B4"/>
            <w:vAlign w:val="center"/>
            <w:hideMark/>
          </w:tcPr>
          <w:p w:rsidR="00D27318" w:rsidRPr="00801C75" w:rsidRDefault="00D27318" w:rsidP="00331E80">
            <w:pPr>
              <w:bidi w:val="0"/>
              <w:snapToGrid w:val="0"/>
              <w:jc w:val="both"/>
              <w:rPr>
                <w:b/>
                <w:bCs/>
                <w:color w:val="000000"/>
                <w:sz w:val="20"/>
                <w:szCs w:val="16"/>
              </w:rPr>
            </w:pPr>
            <w:r w:rsidRPr="00801C75">
              <w:rPr>
                <w:b/>
                <w:bCs/>
                <w:color w:val="000000"/>
                <w:sz w:val="20"/>
                <w:szCs w:val="16"/>
              </w:rPr>
              <w:t>Laboratory Data</w:t>
            </w:r>
          </w:p>
        </w:tc>
        <w:tc>
          <w:tcPr>
            <w:tcW w:w="924" w:type="pct"/>
            <w:tcBorders>
              <w:top w:val="single" w:sz="4" w:space="0" w:color="auto"/>
              <w:left w:val="nil"/>
              <w:bottom w:val="single" w:sz="4" w:space="0" w:color="auto"/>
              <w:right w:val="single" w:sz="4" w:space="0" w:color="auto"/>
            </w:tcBorders>
            <w:shd w:val="clear" w:color="000000" w:fill="C6E0B4"/>
            <w:vAlign w:val="center"/>
            <w:hideMark/>
          </w:tcPr>
          <w:p w:rsidR="00D27318" w:rsidRPr="00801C75" w:rsidRDefault="00D27318" w:rsidP="00331E80">
            <w:pPr>
              <w:bidi w:val="0"/>
              <w:snapToGrid w:val="0"/>
              <w:jc w:val="both"/>
              <w:rPr>
                <w:b/>
                <w:bCs/>
                <w:color w:val="000000"/>
                <w:sz w:val="20"/>
                <w:szCs w:val="16"/>
              </w:rPr>
            </w:pPr>
            <w:r w:rsidRPr="00801C75">
              <w:rPr>
                <w:b/>
                <w:bCs/>
                <w:color w:val="000000"/>
                <w:sz w:val="20"/>
                <w:szCs w:val="16"/>
              </w:rPr>
              <w:t>All patients (n=169)</w:t>
            </w:r>
          </w:p>
        </w:tc>
        <w:tc>
          <w:tcPr>
            <w:tcW w:w="1403" w:type="pct"/>
            <w:tcBorders>
              <w:top w:val="single" w:sz="4" w:space="0" w:color="auto"/>
              <w:left w:val="nil"/>
              <w:bottom w:val="single" w:sz="4" w:space="0" w:color="auto"/>
              <w:right w:val="single" w:sz="4" w:space="0" w:color="auto"/>
            </w:tcBorders>
            <w:shd w:val="clear" w:color="000000" w:fill="C6E0B4"/>
            <w:vAlign w:val="center"/>
            <w:hideMark/>
          </w:tcPr>
          <w:p w:rsidR="00D27318" w:rsidRPr="00801C75" w:rsidRDefault="00D27318" w:rsidP="00331E80">
            <w:pPr>
              <w:bidi w:val="0"/>
              <w:snapToGrid w:val="0"/>
              <w:jc w:val="both"/>
              <w:rPr>
                <w:b/>
                <w:bCs/>
                <w:color w:val="000000"/>
                <w:sz w:val="20"/>
                <w:szCs w:val="16"/>
              </w:rPr>
            </w:pPr>
            <w:r w:rsidRPr="00801C75">
              <w:rPr>
                <w:b/>
                <w:bCs/>
                <w:color w:val="000000" w:themeColor="text1"/>
                <w:sz w:val="20"/>
                <w:szCs w:val="16"/>
                <w:lang w:val="en-GB"/>
              </w:rPr>
              <w:t xml:space="preserve">Initially </w:t>
            </w:r>
            <w:r w:rsidRPr="00801C75">
              <w:rPr>
                <w:b/>
                <w:bCs/>
                <w:color w:val="000000" w:themeColor="text1"/>
                <w:sz w:val="20"/>
                <w:szCs w:val="16"/>
              </w:rPr>
              <w:t>Non-metastatic (n=124</w:t>
            </w:r>
            <w:r w:rsidRPr="00801C75">
              <w:rPr>
                <w:b/>
                <w:bCs/>
                <w:color w:val="000000"/>
                <w:sz w:val="20"/>
                <w:szCs w:val="16"/>
              </w:rPr>
              <w:t>)</w:t>
            </w:r>
          </w:p>
        </w:tc>
        <w:tc>
          <w:tcPr>
            <w:tcW w:w="1185" w:type="pct"/>
            <w:tcBorders>
              <w:top w:val="single" w:sz="4" w:space="0" w:color="auto"/>
              <w:left w:val="nil"/>
              <w:bottom w:val="single" w:sz="4" w:space="0" w:color="auto"/>
              <w:right w:val="single" w:sz="4" w:space="0" w:color="auto"/>
            </w:tcBorders>
            <w:shd w:val="clear" w:color="000000" w:fill="C6E0B4"/>
            <w:vAlign w:val="center"/>
            <w:hideMark/>
          </w:tcPr>
          <w:p w:rsidR="00D27318" w:rsidRPr="00801C75" w:rsidRDefault="00D27318" w:rsidP="00331E80">
            <w:pPr>
              <w:bidi w:val="0"/>
              <w:snapToGrid w:val="0"/>
              <w:jc w:val="both"/>
              <w:rPr>
                <w:b/>
                <w:bCs/>
                <w:color w:val="000000"/>
                <w:sz w:val="20"/>
                <w:szCs w:val="16"/>
              </w:rPr>
            </w:pPr>
            <w:r w:rsidRPr="00801C75">
              <w:rPr>
                <w:b/>
                <w:bCs/>
                <w:color w:val="000000"/>
                <w:sz w:val="20"/>
                <w:szCs w:val="16"/>
              </w:rPr>
              <w:t xml:space="preserve"> Initially metastatic (n=45)</w:t>
            </w:r>
          </w:p>
        </w:tc>
        <w:tc>
          <w:tcPr>
            <w:tcW w:w="298" w:type="pct"/>
            <w:tcBorders>
              <w:top w:val="single" w:sz="4" w:space="0" w:color="auto"/>
              <w:left w:val="nil"/>
              <w:bottom w:val="single" w:sz="4" w:space="0" w:color="auto"/>
              <w:right w:val="single" w:sz="4" w:space="0" w:color="auto"/>
            </w:tcBorders>
            <w:shd w:val="clear" w:color="000000" w:fill="C6E0B4"/>
            <w:vAlign w:val="center"/>
            <w:hideMark/>
          </w:tcPr>
          <w:p w:rsidR="00D27318" w:rsidRPr="00801C75" w:rsidRDefault="00D27318" w:rsidP="00331E80">
            <w:pPr>
              <w:bidi w:val="0"/>
              <w:snapToGrid w:val="0"/>
              <w:jc w:val="both"/>
              <w:rPr>
                <w:b/>
                <w:bCs/>
                <w:color w:val="000000"/>
                <w:sz w:val="20"/>
                <w:szCs w:val="16"/>
              </w:rPr>
            </w:pPr>
            <w:r w:rsidRPr="00801C75">
              <w:rPr>
                <w:b/>
                <w:bCs/>
                <w:color w:val="000000"/>
                <w:sz w:val="20"/>
                <w:szCs w:val="16"/>
              </w:rPr>
              <w:t>t-test</w:t>
            </w:r>
          </w:p>
        </w:tc>
        <w:tc>
          <w:tcPr>
            <w:tcW w:w="389" w:type="pct"/>
            <w:tcBorders>
              <w:top w:val="single" w:sz="4" w:space="0" w:color="auto"/>
              <w:left w:val="nil"/>
              <w:bottom w:val="single" w:sz="4" w:space="0" w:color="auto"/>
              <w:right w:val="single" w:sz="4" w:space="0" w:color="auto"/>
            </w:tcBorders>
            <w:shd w:val="clear" w:color="000000" w:fill="C6E0B4"/>
            <w:vAlign w:val="center"/>
            <w:hideMark/>
          </w:tcPr>
          <w:p w:rsidR="00D27318" w:rsidRPr="00801C75" w:rsidRDefault="00D27318" w:rsidP="00331E80">
            <w:pPr>
              <w:bidi w:val="0"/>
              <w:snapToGrid w:val="0"/>
              <w:jc w:val="both"/>
              <w:rPr>
                <w:b/>
                <w:bCs/>
                <w:color w:val="000000"/>
                <w:sz w:val="20"/>
                <w:szCs w:val="16"/>
              </w:rPr>
            </w:pPr>
            <w:r w:rsidRPr="00801C75">
              <w:rPr>
                <w:b/>
                <w:bCs/>
                <w:color w:val="000000"/>
                <w:sz w:val="20"/>
                <w:szCs w:val="16"/>
              </w:rPr>
              <w:t>p-value</w:t>
            </w:r>
          </w:p>
        </w:tc>
      </w:tr>
      <w:tr w:rsidR="00D27318" w:rsidRPr="00801C75" w:rsidTr="00801C75">
        <w:trPr>
          <w:jc w:val="center"/>
        </w:trPr>
        <w:tc>
          <w:tcPr>
            <w:tcW w:w="802" w:type="pc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CEA</w:t>
            </w:r>
          </w:p>
        </w:tc>
        <w:tc>
          <w:tcPr>
            <w:tcW w:w="924" w:type="pct"/>
            <w:tcBorders>
              <w:top w:val="nil"/>
              <w:left w:val="nil"/>
              <w:bottom w:val="single" w:sz="4" w:space="0" w:color="auto"/>
              <w:right w:val="single" w:sz="4" w:space="0" w:color="auto"/>
            </w:tcBorders>
            <w:shd w:val="clear" w:color="auto" w:fill="auto"/>
            <w:noWrap/>
            <w:vAlign w:val="center"/>
            <w:hideMark/>
          </w:tcPr>
          <w:p w:rsidR="00801C75" w:rsidRPr="00801C75" w:rsidRDefault="00D27318" w:rsidP="00331E80">
            <w:pPr>
              <w:bidi w:val="0"/>
              <w:snapToGrid w:val="0"/>
              <w:jc w:val="both"/>
              <w:rPr>
                <w:color w:val="000000"/>
                <w:sz w:val="20"/>
                <w:szCs w:val="16"/>
              </w:rPr>
            </w:pPr>
            <w:r w:rsidRPr="00801C75">
              <w:rPr>
                <w:color w:val="000000"/>
                <w:sz w:val="20"/>
                <w:szCs w:val="16"/>
              </w:rPr>
              <w:t>0.02-2375</w:t>
            </w:r>
          </w:p>
          <w:p w:rsidR="00D27318" w:rsidRPr="00801C75" w:rsidRDefault="00D27318" w:rsidP="00331E80">
            <w:pPr>
              <w:bidi w:val="0"/>
              <w:snapToGrid w:val="0"/>
              <w:jc w:val="both"/>
              <w:rPr>
                <w:color w:val="000000"/>
                <w:sz w:val="20"/>
                <w:szCs w:val="16"/>
              </w:rPr>
            </w:pPr>
            <w:r w:rsidRPr="00801C75">
              <w:rPr>
                <w:color w:val="000000"/>
                <w:sz w:val="20"/>
                <w:szCs w:val="16"/>
              </w:rPr>
              <w:t>[84.63±302.49]</w:t>
            </w:r>
          </w:p>
        </w:tc>
        <w:tc>
          <w:tcPr>
            <w:tcW w:w="1403"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34.41±167.57</w:t>
            </w:r>
          </w:p>
        </w:tc>
        <w:tc>
          <w:tcPr>
            <w:tcW w:w="1185"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213.33±486.20</w:t>
            </w:r>
          </w:p>
        </w:tc>
        <w:tc>
          <w:tcPr>
            <w:tcW w:w="298"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8.594</w:t>
            </w:r>
          </w:p>
        </w:tc>
        <w:tc>
          <w:tcPr>
            <w:tcW w:w="389"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FF0000"/>
                <w:sz w:val="20"/>
                <w:szCs w:val="16"/>
              </w:rPr>
              <w:t>0.004*</w:t>
            </w:r>
          </w:p>
        </w:tc>
      </w:tr>
      <w:tr w:rsidR="00D27318" w:rsidRPr="00801C75" w:rsidTr="00801C75">
        <w:trPr>
          <w:jc w:val="center"/>
        </w:trPr>
        <w:tc>
          <w:tcPr>
            <w:tcW w:w="802" w:type="pc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Alb</w:t>
            </w:r>
          </w:p>
        </w:tc>
        <w:tc>
          <w:tcPr>
            <w:tcW w:w="924" w:type="pct"/>
            <w:tcBorders>
              <w:top w:val="nil"/>
              <w:left w:val="nil"/>
              <w:bottom w:val="single" w:sz="4" w:space="0" w:color="auto"/>
              <w:right w:val="single" w:sz="4" w:space="0" w:color="auto"/>
            </w:tcBorders>
            <w:shd w:val="clear" w:color="auto" w:fill="auto"/>
            <w:noWrap/>
            <w:vAlign w:val="center"/>
            <w:hideMark/>
          </w:tcPr>
          <w:p w:rsidR="00801C75" w:rsidRPr="00801C75" w:rsidRDefault="00D27318" w:rsidP="00331E80">
            <w:pPr>
              <w:bidi w:val="0"/>
              <w:snapToGrid w:val="0"/>
              <w:jc w:val="both"/>
              <w:rPr>
                <w:color w:val="000000"/>
                <w:sz w:val="20"/>
                <w:szCs w:val="16"/>
              </w:rPr>
            </w:pPr>
            <w:r w:rsidRPr="00801C75">
              <w:rPr>
                <w:color w:val="000000"/>
                <w:sz w:val="20"/>
                <w:szCs w:val="16"/>
              </w:rPr>
              <w:t xml:space="preserve">1.6-28 </w:t>
            </w:r>
          </w:p>
          <w:p w:rsidR="00D27318" w:rsidRPr="00801C75" w:rsidRDefault="00D27318" w:rsidP="00331E80">
            <w:pPr>
              <w:bidi w:val="0"/>
              <w:snapToGrid w:val="0"/>
              <w:jc w:val="both"/>
              <w:rPr>
                <w:color w:val="000000"/>
                <w:sz w:val="20"/>
                <w:szCs w:val="16"/>
              </w:rPr>
            </w:pPr>
            <w:r w:rsidRPr="00801C75">
              <w:rPr>
                <w:color w:val="000000"/>
                <w:sz w:val="20"/>
                <w:szCs w:val="16"/>
              </w:rPr>
              <w:t>[3.85±2.56]</w:t>
            </w:r>
          </w:p>
        </w:tc>
        <w:tc>
          <w:tcPr>
            <w:tcW w:w="1403"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4.17±2.27</w:t>
            </w:r>
          </w:p>
        </w:tc>
        <w:tc>
          <w:tcPr>
            <w:tcW w:w="1185"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3.17±1.74</w:t>
            </w:r>
          </w:p>
        </w:tc>
        <w:tc>
          <w:tcPr>
            <w:tcW w:w="298"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0.858</w:t>
            </w:r>
          </w:p>
        </w:tc>
        <w:tc>
          <w:tcPr>
            <w:tcW w:w="389"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0.359</w:t>
            </w:r>
          </w:p>
        </w:tc>
      </w:tr>
      <w:tr w:rsidR="00D27318" w:rsidRPr="00801C75" w:rsidTr="00801C75">
        <w:trPr>
          <w:jc w:val="center"/>
        </w:trPr>
        <w:tc>
          <w:tcPr>
            <w:tcW w:w="802" w:type="pc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NLR</w:t>
            </w:r>
          </w:p>
        </w:tc>
        <w:tc>
          <w:tcPr>
            <w:tcW w:w="924" w:type="pct"/>
            <w:tcBorders>
              <w:top w:val="nil"/>
              <w:left w:val="nil"/>
              <w:bottom w:val="single" w:sz="4" w:space="0" w:color="auto"/>
              <w:right w:val="single" w:sz="4" w:space="0" w:color="auto"/>
            </w:tcBorders>
            <w:shd w:val="clear" w:color="auto" w:fill="auto"/>
            <w:noWrap/>
            <w:vAlign w:val="center"/>
            <w:hideMark/>
          </w:tcPr>
          <w:p w:rsidR="00801C75" w:rsidRPr="00801C75" w:rsidRDefault="00D27318" w:rsidP="00331E80">
            <w:pPr>
              <w:bidi w:val="0"/>
              <w:snapToGrid w:val="0"/>
              <w:jc w:val="both"/>
              <w:rPr>
                <w:color w:val="000000"/>
                <w:sz w:val="20"/>
                <w:szCs w:val="16"/>
              </w:rPr>
            </w:pPr>
            <w:r w:rsidRPr="00801C75">
              <w:rPr>
                <w:color w:val="000000"/>
                <w:sz w:val="20"/>
                <w:szCs w:val="16"/>
              </w:rPr>
              <w:t xml:space="preserve">0.4-9.8 </w:t>
            </w:r>
          </w:p>
          <w:p w:rsidR="00D27318" w:rsidRPr="00801C75" w:rsidRDefault="00D27318" w:rsidP="00331E80">
            <w:pPr>
              <w:bidi w:val="0"/>
              <w:snapToGrid w:val="0"/>
              <w:jc w:val="both"/>
              <w:rPr>
                <w:color w:val="000000"/>
                <w:sz w:val="20"/>
                <w:szCs w:val="16"/>
              </w:rPr>
            </w:pPr>
            <w:r w:rsidRPr="00801C75">
              <w:rPr>
                <w:color w:val="000000"/>
                <w:sz w:val="20"/>
                <w:szCs w:val="16"/>
              </w:rPr>
              <w:t>[2.51±1.65]</w:t>
            </w:r>
          </w:p>
        </w:tc>
        <w:tc>
          <w:tcPr>
            <w:tcW w:w="1403"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2.38±1.46</w:t>
            </w:r>
          </w:p>
        </w:tc>
        <w:tc>
          <w:tcPr>
            <w:tcW w:w="1185"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2.90±2.06</w:t>
            </w:r>
          </w:p>
        </w:tc>
        <w:tc>
          <w:tcPr>
            <w:tcW w:w="298"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3.308</w:t>
            </w:r>
          </w:p>
        </w:tc>
        <w:tc>
          <w:tcPr>
            <w:tcW w:w="389"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0.071</w:t>
            </w:r>
          </w:p>
        </w:tc>
      </w:tr>
      <w:tr w:rsidR="00D27318" w:rsidRPr="00801C75" w:rsidTr="00801C75">
        <w:trPr>
          <w:jc w:val="center"/>
        </w:trPr>
        <w:tc>
          <w:tcPr>
            <w:tcW w:w="802" w:type="pc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Platelet count</w:t>
            </w:r>
          </w:p>
        </w:tc>
        <w:tc>
          <w:tcPr>
            <w:tcW w:w="924" w:type="pct"/>
            <w:tcBorders>
              <w:top w:val="nil"/>
              <w:left w:val="nil"/>
              <w:bottom w:val="single" w:sz="4" w:space="0" w:color="auto"/>
              <w:right w:val="single" w:sz="4" w:space="0" w:color="auto"/>
            </w:tcBorders>
            <w:shd w:val="clear" w:color="auto" w:fill="auto"/>
            <w:noWrap/>
            <w:vAlign w:val="center"/>
            <w:hideMark/>
          </w:tcPr>
          <w:p w:rsidR="00801C75" w:rsidRPr="00801C75" w:rsidRDefault="00D27318" w:rsidP="00331E80">
            <w:pPr>
              <w:bidi w:val="0"/>
              <w:snapToGrid w:val="0"/>
              <w:jc w:val="both"/>
              <w:rPr>
                <w:color w:val="000000"/>
                <w:sz w:val="20"/>
                <w:szCs w:val="16"/>
              </w:rPr>
            </w:pPr>
            <w:r w:rsidRPr="00801C75">
              <w:rPr>
                <w:color w:val="000000"/>
                <w:sz w:val="20"/>
                <w:szCs w:val="16"/>
              </w:rPr>
              <w:t xml:space="preserve">89-776 </w:t>
            </w:r>
          </w:p>
          <w:p w:rsidR="00D27318" w:rsidRPr="00801C75" w:rsidRDefault="00D27318" w:rsidP="00331E80">
            <w:pPr>
              <w:bidi w:val="0"/>
              <w:snapToGrid w:val="0"/>
              <w:jc w:val="both"/>
              <w:rPr>
                <w:color w:val="000000"/>
                <w:sz w:val="20"/>
                <w:szCs w:val="16"/>
              </w:rPr>
            </w:pPr>
            <w:r w:rsidRPr="00801C75">
              <w:rPr>
                <w:color w:val="000000"/>
                <w:sz w:val="20"/>
                <w:szCs w:val="16"/>
              </w:rPr>
              <w:t>[305.6±144.49]</w:t>
            </w:r>
          </w:p>
        </w:tc>
        <w:tc>
          <w:tcPr>
            <w:tcW w:w="1403"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293.25±131.15</w:t>
            </w:r>
          </w:p>
        </w:tc>
        <w:tc>
          <w:tcPr>
            <w:tcW w:w="1185"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339.44±173.28</w:t>
            </w:r>
          </w:p>
        </w:tc>
        <w:tc>
          <w:tcPr>
            <w:tcW w:w="298"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3.424</w:t>
            </w:r>
          </w:p>
        </w:tc>
        <w:tc>
          <w:tcPr>
            <w:tcW w:w="389"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0.066</w:t>
            </w:r>
          </w:p>
        </w:tc>
      </w:tr>
    </w:tbl>
    <w:p w:rsidR="00D27318" w:rsidRPr="00801C75" w:rsidRDefault="00D27318" w:rsidP="00331E80">
      <w:pPr>
        <w:bidi w:val="0"/>
        <w:snapToGrid w:val="0"/>
        <w:jc w:val="both"/>
        <w:rPr>
          <w:i/>
          <w:iCs/>
          <w:sz w:val="20"/>
          <w:szCs w:val="20"/>
        </w:rPr>
      </w:pPr>
      <w:r w:rsidRPr="00801C75">
        <w:rPr>
          <w:i/>
          <w:iCs/>
          <w:sz w:val="20"/>
          <w:szCs w:val="18"/>
        </w:rPr>
        <w:t>*p-value &lt;0.05 S</w:t>
      </w:r>
    </w:p>
    <w:p w:rsidR="0094756F" w:rsidRPr="00801C75" w:rsidRDefault="0094756F" w:rsidP="00331E80">
      <w:pPr>
        <w:bidi w:val="0"/>
        <w:snapToGrid w:val="0"/>
        <w:ind w:firstLine="425"/>
        <w:jc w:val="both"/>
        <w:rPr>
          <w:sz w:val="20"/>
          <w:szCs w:val="20"/>
          <w:lang w:eastAsia="ar-SA"/>
        </w:rPr>
      </w:pPr>
    </w:p>
    <w:p w:rsidR="00331E80" w:rsidRDefault="00331E80" w:rsidP="00331E80">
      <w:pPr>
        <w:bidi w:val="0"/>
        <w:snapToGrid w:val="0"/>
        <w:ind w:firstLine="425"/>
        <w:jc w:val="both"/>
        <w:rPr>
          <w:sz w:val="20"/>
          <w:szCs w:val="20"/>
          <w:lang w:eastAsia="ar-SA"/>
        </w:rPr>
        <w:sectPr w:rsidR="00331E80" w:rsidSect="00801C75">
          <w:type w:val="continuous"/>
          <w:pgSz w:w="12240" w:h="15840" w:code="9"/>
          <w:pgMar w:top="1440" w:right="1440" w:bottom="1440" w:left="1440" w:header="720" w:footer="720" w:gutter="0"/>
          <w:pgBorders w:offsetFrom="page">
            <w:top w:val="none" w:sz="0" w:space="13" w:color="000000" w:shadow="1"/>
            <w:left w:val="none" w:sz="0" w:space="13" w:color="000000" w:shadow="1"/>
            <w:bottom w:val="none" w:sz="0" w:space="13" w:color="000000" w:shadow="1"/>
            <w:right w:val="none" w:sz="0" w:space="0" w:color="000000" w:shadow="1"/>
          </w:pgBorders>
          <w:cols w:space="720"/>
          <w:noEndnote/>
          <w:rtlGutter/>
          <w:docGrid w:linePitch="326"/>
        </w:sectPr>
      </w:pPr>
    </w:p>
    <w:p w:rsidR="00981714" w:rsidRPr="00801C75" w:rsidRDefault="00D27318" w:rsidP="00331E80">
      <w:pPr>
        <w:bidi w:val="0"/>
        <w:snapToGrid w:val="0"/>
        <w:ind w:firstLine="425"/>
        <w:jc w:val="both"/>
        <w:rPr>
          <w:sz w:val="20"/>
          <w:szCs w:val="20"/>
          <w:lang w:eastAsia="ar-SA"/>
        </w:rPr>
      </w:pPr>
      <w:r w:rsidRPr="00801C75">
        <w:rPr>
          <w:sz w:val="20"/>
          <w:szCs w:val="20"/>
          <w:lang w:eastAsia="ar-SA"/>
        </w:rPr>
        <w:lastRenderedPageBreak/>
        <w:t>CEA as tumor marker was statistically significant between initially non- metastatic and metastatic groups.</w:t>
      </w:r>
    </w:p>
    <w:p w:rsidR="00981714" w:rsidRPr="00801C75" w:rsidRDefault="00D27318" w:rsidP="00331E80">
      <w:pPr>
        <w:bidi w:val="0"/>
        <w:snapToGrid w:val="0"/>
        <w:ind w:firstLine="425"/>
        <w:jc w:val="both"/>
        <w:rPr>
          <w:sz w:val="20"/>
          <w:szCs w:val="20"/>
          <w:lang w:eastAsia="ar-SA"/>
        </w:rPr>
      </w:pPr>
      <w:r w:rsidRPr="00801C75">
        <w:rPr>
          <w:sz w:val="20"/>
          <w:szCs w:val="20"/>
          <w:lang w:eastAsia="ar-SA"/>
        </w:rPr>
        <w:t>All</w:t>
      </w:r>
      <w:r w:rsidR="002341F0" w:rsidRPr="00801C75">
        <w:rPr>
          <w:sz w:val="20"/>
          <w:szCs w:val="20"/>
          <w:lang w:val="en-GB" w:eastAsia="ar-SA"/>
        </w:rPr>
        <w:t>metastatic</w:t>
      </w:r>
      <w:r w:rsidRPr="00801C75">
        <w:rPr>
          <w:sz w:val="20"/>
          <w:szCs w:val="20"/>
          <w:lang w:eastAsia="ar-SA"/>
        </w:rPr>
        <w:t xml:space="preserve"> patients received first line chemotherapy. Oxaliplatin based regimen (FOLFOX </w:t>
      </w:r>
      <w:r w:rsidRPr="00801C75">
        <w:rPr>
          <w:sz w:val="20"/>
          <w:szCs w:val="20"/>
          <w:lang w:eastAsia="ar-SA"/>
        </w:rPr>
        <w:lastRenderedPageBreak/>
        <w:t>or CAPOX) had been received in 42 (93.4%) of metastatic patients with total progression on first line occurred in twenty six patients (57.8%).</w:t>
      </w:r>
    </w:p>
    <w:p w:rsidR="00331E80" w:rsidRDefault="00331E80" w:rsidP="00331E80">
      <w:pPr>
        <w:bidi w:val="0"/>
        <w:snapToGrid w:val="0"/>
        <w:jc w:val="center"/>
        <w:rPr>
          <w:b/>
          <w:bCs/>
          <w:sz w:val="20"/>
          <w:szCs w:val="20"/>
          <w:shd w:val="clear" w:color="auto" w:fill="FFFFFF"/>
        </w:rPr>
        <w:sectPr w:rsidR="00331E80" w:rsidSect="00331E80">
          <w:type w:val="continuous"/>
          <w:pgSz w:w="12240" w:h="15840" w:code="9"/>
          <w:pgMar w:top="1440" w:right="1440" w:bottom="1440" w:left="1440" w:header="720" w:footer="720" w:gutter="0"/>
          <w:pgBorders w:offsetFrom="page">
            <w:top w:val="none" w:sz="0" w:space="13" w:color="000000" w:shadow="1"/>
            <w:left w:val="none" w:sz="0" w:space="13" w:color="000000" w:shadow="1"/>
            <w:bottom w:val="none" w:sz="0" w:space="13" w:color="000000" w:shadow="1"/>
            <w:right w:val="none" w:sz="0" w:space="0" w:color="000000" w:shadow="1"/>
          </w:pgBorders>
          <w:cols w:num="2" w:space="600"/>
          <w:noEndnote/>
          <w:rtlGutter/>
          <w:docGrid w:linePitch="326"/>
        </w:sectPr>
      </w:pPr>
      <w:bookmarkStart w:id="15" w:name="_Toc7713629"/>
      <w:bookmarkStart w:id="16" w:name="_Toc7857975"/>
    </w:p>
    <w:p w:rsidR="00331E80" w:rsidRDefault="00331E80">
      <w:pPr>
        <w:bidi w:val="0"/>
        <w:rPr>
          <w:b/>
          <w:bCs/>
          <w:sz w:val="20"/>
          <w:szCs w:val="20"/>
          <w:shd w:val="clear" w:color="auto" w:fill="FFFFFF"/>
          <w:lang w:eastAsia="zh-CN"/>
        </w:rPr>
      </w:pPr>
      <w:r>
        <w:rPr>
          <w:b/>
          <w:bCs/>
          <w:sz w:val="20"/>
          <w:szCs w:val="20"/>
          <w:shd w:val="clear" w:color="auto" w:fill="FFFFFF"/>
          <w:lang w:eastAsia="zh-CN"/>
        </w:rPr>
        <w:lastRenderedPageBreak/>
        <w:br w:type="page"/>
      </w:r>
    </w:p>
    <w:p w:rsidR="00D27318" w:rsidRPr="00801C75" w:rsidRDefault="00C75A94" w:rsidP="00331E80">
      <w:pPr>
        <w:bidi w:val="0"/>
        <w:snapToGrid w:val="0"/>
        <w:jc w:val="center"/>
        <w:rPr>
          <w:sz w:val="20"/>
          <w:szCs w:val="20"/>
        </w:rPr>
      </w:pPr>
      <w:r w:rsidRPr="00801C75">
        <w:rPr>
          <w:b/>
          <w:bCs/>
          <w:sz w:val="20"/>
          <w:szCs w:val="20"/>
          <w:shd w:val="clear" w:color="auto" w:fill="FFFFFF"/>
        </w:rPr>
        <w:lastRenderedPageBreak/>
        <w:t>Table (</w:t>
      </w:r>
      <w:r w:rsidR="0014198C" w:rsidRPr="00801C75">
        <w:rPr>
          <w:b/>
          <w:bCs/>
          <w:sz w:val="20"/>
          <w:szCs w:val="20"/>
          <w:shd w:val="clear" w:color="auto" w:fill="FFFFFF"/>
        </w:rPr>
        <w:fldChar w:fldCharType="begin"/>
      </w:r>
      <w:r w:rsidRPr="00801C75">
        <w:rPr>
          <w:b/>
          <w:bCs/>
          <w:sz w:val="20"/>
          <w:szCs w:val="20"/>
          <w:shd w:val="clear" w:color="auto" w:fill="FFFFFF"/>
        </w:rPr>
        <w:instrText xml:space="preserve"> SEQ Table \* ARABIC </w:instrText>
      </w:r>
      <w:r w:rsidR="0014198C" w:rsidRPr="00801C75">
        <w:rPr>
          <w:b/>
          <w:bCs/>
          <w:sz w:val="20"/>
          <w:szCs w:val="20"/>
          <w:shd w:val="clear" w:color="auto" w:fill="FFFFFF"/>
        </w:rPr>
        <w:fldChar w:fldCharType="separate"/>
      </w:r>
      <w:r w:rsidR="00D60619">
        <w:rPr>
          <w:b/>
          <w:bCs/>
          <w:noProof/>
          <w:sz w:val="20"/>
          <w:szCs w:val="20"/>
          <w:shd w:val="clear" w:color="auto" w:fill="FFFFFF"/>
        </w:rPr>
        <w:t>7</w:t>
      </w:r>
      <w:r w:rsidR="0014198C" w:rsidRPr="00801C75">
        <w:rPr>
          <w:b/>
          <w:bCs/>
          <w:sz w:val="20"/>
          <w:szCs w:val="20"/>
          <w:shd w:val="clear" w:color="auto" w:fill="FFFFFF"/>
        </w:rPr>
        <w:fldChar w:fldCharType="end"/>
      </w:r>
      <w:r w:rsidRPr="00801C75">
        <w:rPr>
          <w:b/>
          <w:bCs/>
          <w:sz w:val="20"/>
          <w:szCs w:val="20"/>
          <w:shd w:val="clear" w:color="auto" w:fill="FFFFFF"/>
        </w:rPr>
        <w:t>)</w:t>
      </w:r>
      <w:r w:rsidRPr="00801C75">
        <w:rPr>
          <w:sz w:val="20"/>
          <w:szCs w:val="20"/>
          <w:shd w:val="clear" w:color="auto" w:fill="FFFFFF"/>
        </w:rPr>
        <w:t>:</w:t>
      </w:r>
      <w:r w:rsidR="00D27318" w:rsidRPr="00801C75">
        <w:rPr>
          <w:sz w:val="20"/>
          <w:szCs w:val="20"/>
        </w:rPr>
        <w:t xml:space="preserve"> Distribution of data for the metastatic group (metastatic from the start).</w:t>
      </w:r>
      <w:bookmarkEnd w:id="15"/>
      <w:bookmarkEnd w:id="16"/>
    </w:p>
    <w:tbl>
      <w:tblPr>
        <w:tblW w:w="5000" w:type="pct"/>
        <w:jc w:val="center"/>
        <w:tblCellMar>
          <w:left w:w="57" w:type="dxa"/>
          <w:right w:w="57" w:type="dxa"/>
        </w:tblCellMar>
        <w:tblLook w:val="04A0"/>
      </w:tblPr>
      <w:tblGrid>
        <w:gridCol w:w="5823"/>
        <w:gridCol w:w="3651"/>
      </w:tblGrid>
      <w:tr w:rsidR="00D27318" w:rsidRPr="00801C75" w:rsidTr="00801C75">
        <w:trPr>
          <w:jc w:val="center"/>
        </w:trPr>
        <w:tc>
          <w:tcPr>
            <w:tcW w:w="3073"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D27318" w:rsidRPr="00801C75" w:rsidRDefault="00D27318" w:rsidP="00331E80">
            <w:pPr>
              <w:bidi w:val="0"/>
              <w:snapToGrid w:val="0"/>
              <w:jc w:val="both"/>
              <w:rPr>
                <w:b/>
                <w:bCs/>
                <w:sz w:val="20"/>
                <w:szCs w:val="16"/>
              </w:rPr>
            </w:pPr>
            <w:r w:rsidRPr="00801C75">
              <w:rPr>
                <w:b/>
                <w:bCs/>
                <w:sz w:val="20"/>
                <w:szCs w:val="16"/>
              </w:rPr>
              <w:t>1st line of metastatic</w:t>
            </w:r>
          </w:p>
        </w:tc>
        <w:tc>
          <w:tcPr>
            <w:tcW w:w="1927" w:type="pct"/>
            <w:tcBorders>
              <w:top w:val="single" w:sz="4" w:space="0" w:color="auto"/>
              <w:left w:val="nil"/>
              <w:bottom w:val="single" w:sz="4" w:space="0" w:color="auto"/>
              <w:right w:val="single" w:sz="4" w:space="0" w:color="auto"/>
            </w:tcBorders>
            <w:shd w:val="clear" w:color="000000" w:fill="C6E0B4"/>
            <w:vAlign w:val="center"/>
            <w:hideMark/>
          </w:tcPr>
          <w:p w:rsidR="00D27318" w:rsidRPr="00801C75" w:rsidRDefault="00D27318" w:rsidP="00331E80">
            <w:pPr>
              <w:bidi w:val="0"/>
              <w:snapToGrid w:val="0"/>
              <w:jc w:val="both"/>
              <w:rPr>
                <w:b/>
                <w:bCs/>
                <w:color w:val="000000"/>
                <w:sz w:val="20"/>
                <w:szCs w:val="16"/>
              </w:rPr>
            </w:pPr>
            <w:r w:rsidRPr="00801C75">
              <w:rPr>
                <w:b/>
                <w:bCs/>
                <w:color w:val="000000"/>
                <w:sz w:val="20"/>
                <w:szCs w:val="16"/>
              </w:rPr>
              <w:t>Metastatic (n=45)</w:t>
            </w:r>
          </w:p>
        </w:tc>
      </w:tr>
      <w:tr w:rsidR="00D27318" w:rsidRPr="00801C75" w:rsidTr="00801C75">
        <w:trPr>
          <w:jc w:val="center"/>
        </w:trPr>
        <w:tc>
          <w:tcPr>
            <w:tcW w:w="3073" w:type="pc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b/>
                <w:bCs/>
                <w:sz w:val="20"/>
                <w:szCs w:val="16"/>
              </w:rPr>
            </w:pPr>
            <w:r w:rsidRPr="00801C75">
              <w:rPr>
                <w:b/>
                <w:bCs/>
                <w:sz w:val="20"/>
                <w:szCs w:val="16"/>
              </w:rPr>
              <w:t>Sites of metastasis</w:t>
            </w:r>
          </w:p>
        </w:tc>
        <w:tc>
          <w:tcPr>
            <w:tcW w:w="1927"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 </w:t>
            </w:r>
          </w:p>
        </w:tc>
      </w:tr>
      <w:tr w:rsidR="00D27318" w:rsidRPr="00801C75" w:rsidTr="00801C75">
        <w:trPr>
          <w:jc w:val="center"/>
        </w:trPr>
        <w:tc>
          <w:tcPr>
            <w:tcW w:w="3073" w:type="pc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sz w:val="20"/>
                <w:szCs w:val="16"/>
              </w:rPr>
            </w:pPr>
            <w:r w:rsidRPr="00801C75">
              <w:rPr>
                <w:sz w:val="20"/>
                <w:szCs w:val="16"/>
              </w:rPr>
              <w:t>Liver</w:t>
            </w:r>
          </w:p>
        </w:tc>
        <w:tc>
          <w:tcPr>
            <w:tcW w:w="1927"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25(55.6%)</w:t>
            </w:r>
          </w:p>
        </w:tc>
      </w:tr>
      <w:tr w:rsidR="00D27318" w:rsidRPr="00801C75" w:rsidTr="00801C75">
        <w:trPr>
          <w:jc w:val="center"/>
        </w:trPr>
        <w:tc>
          <w:tcPr>
            <w:tcW w:w="3073" w:type="pc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sz w:val="20"/>
                <w:szCs w:val="16"/>
                <w:lang w:val="en-GB"/>
              </w:rPr>
            </w:pPr>
            <w:r w:rsidRPr="00801C75">
              <w:rPr>
                <w:sz w:val="20"/>
                <w:szCs w:val="16"/>
                <w:lang w:val="en-GB"/>
              </w:rPr>
              <w:t>Lung</w:t>
            </w:r>
          </w:p>
        </w:tc>
        <w:tc>
          <w:tcPr>
            <w:tcW w:w="1927"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17(37.8%)</w:t>
            </w:r>
          </w:p>
        </w:tc>
      </w:tr>
      <w:tr w:rsidR="00D27318" w:rsidRPr="00801C75" w:rsidTr="00801C75">
        <w:trPr>
          <w:jc w:val="center"/>
        </w:trPr>
        <w:tc>
          <w:tcPr>
            <w:tcW w:w="3073" w:type="pc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sz w:val="20"/>
                <w:szCs w:val="16"/>
              </w:rPr>
            </w:pPr>
            <w:r w:rsidRPr="00801C75">
              <w:rPr>
                <w:sz w:val="20"/>
                <w:szCs w:val="16"/>
                <w:lang w:val="en-GB"/>
              </w:rPr>
              <w:t>Mesenteric LNs</w:t>
            </w:r>
          </w:p>
        </w:tc>
        <w:tc>
          <w:tcPr>
            <w:tcW w:w="1927"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lang w:val="en-GB"/>
              </w:rPr>
            </w:pPr>
            <w:r w:rsidRPr="00801C75">
              <w:rPr>
                <w:color w:val="000000"/>
                <w:sz w:val="20"/>
                <w:szCs w:val="16"/>
              </w:rPr>
              <w:t>6(13</w:t>
            </w:r>
            <w:r w:rsidRPr="00801C75">
              <w:rPr>
                <w:color w:val="000000"/>
                <w:sz w:val="20"/>
                <w:szCs w:val="16"/>
                <w:lang w:val="en-GB"/>
              </w:rPr>
              <w:t>.3%)</w:t>
            </w:r>
          </w:p>
        </w:tc>
      </w:tr>
      <w:tr w:rsidR="00D27318" w:rsidRPr="00801C75" w:rsidTr="00801C75">
        <w:trPr>
          <w:jc w:val="center"/>
        </w:trPr>
        <w:tc>
          <w:tcPr>
            <w:tcW w:w="3073" w:type="pc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sz w:val="20"/>
                <w:szCs w:val="16"/>
                <w:lang w:val="en-GB"/>
              </w:rPr>
            </w:pPr>
            <w:r w:rsidRPr="00801C75">
              <w:rPr>
                <w:sz w:val="20"/>
                <w:szCs w:val="16"/>
                <w:lang w:val="en-GB"/>
              </w:rPr>
              <w:t>Peritoneal</w:t>
            </w:r>
          </w:p>
        </w:tc>
        <w:tc>
          <w:tcPr>
            <w:tcW w:w="1927"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lang w:val="en-GB"/>
              </w:rPr>
            </w:pPr>
            <w:r w:rsidRPr="00801C75">
              <w:rPr>
                <w:color w:val="000000"/>
                <w:sz w:val="20"/>
                <w:szCs w:val="16"/>
              </w:rPr>
              <w:t>4</w:t>
            </w:r>
            <w:r w:rsidRPr="00801C75">
              <w:rPr>
                <w:color w:val="000000"/>
                <w:sz w:val="20"/>
                <w:szCs w:val="16"/>
                <w:lang w:val="en-GB"/>
              </w:rPr>
              <w:t>(8.9%)</w:t>
            </w:r>
          </w:p>
        </w:tc>
      </w:tr>
      <w:tr w:rsidR="00D27318" w:rsidRPr="00801C75" w:rsidTr="00801C75">
        <w:trPr>
          <w:jc w:val="center"/>
        </w:trPr>
        <w:tc>
          <w:tcPr>
            <w:tcW w:w="3073" w:type="pc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sz w:val="20"/>
                <w:szCs w:val="16"/>
              </w:rPr>
            </w:pPr>
            <w:r w:rsidRPr="00801C75">
              <w:rPr>
                <w:sz w:val="20"/>
                <w:szCs w:val="16"/>
              </w:rPr>
              <w:t>Ovary</w:t>
            </w:r>
          </w:p>
        </w:tc>
        <w:tc>
          <w:tcPr>
            <w:tcW w:w="1927"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1 (2.2%)</w:t>
            </w:r>
          </w:p>
        </w:tc>
      </w:tr>
      <w:tr w:rsidR="00D27318" w:rsidRPr="00801C75" w:rsidTr="00801C75">
        <w:trPr>
          <w:jc w:val="center"/>
        </w:trPr>
        <w:tc>
          <w:tcPr>
            <w:tcW w:w="3073" w:type="pc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sz w:val="20"/>
                <w:szCs w:val="16"/>
                <w:lang w:val="en-GB"/>
              </w:rPr>
            </w:pPr>
            <w:r w:rsidRPr="00801C75">
              <w:rPr>
                <w:sz w:val="20"/>
                <w:szCs w:val="16"/>
                <w:lang w:val="en-GB"/>
              </w:rPr>
              <w:t>Bladder</w:t>
            </w:r>
          </w:p>
        </w:tc>
        <w:tc>
          <w:tcPr>
            <w:tcW w:w="1927"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1(2.2%)</w:t>
            </w:r>
          </w:p>
        </w:tc>
      </w:tr>
      <w:tr w:rsidR="00D27318" w:rsidRPr="00801C75" w:rsidTr="00801C75">
        <w:trPr>
          <w:jc w:val="center"/>
        </w:trPr>
        <w:tc>
          <w:tcPr>
            <w:tcW w:w="3073" w:type="pc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b/>
                <w:bCs/>
                <w:sz w:val="20"/>
                <w:szCs w:val="16"/>
              </w:rPr>
            </w:pPr>
            <w:r w:rsidRPr="00801C75">
              <w:rPr>
                <w:b/>
                <w:bCs/>
                <w:sz w:val="20"/>
                <w:szCs w:val="16"/>
              </w:rPr>
              <w:t>1st line of metastatic</w:t>
            </w:r>
          </w:p>
        </w:tc>
        <w:tc>
          <w:tcPr>
            <w:tcW w:w="1927"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p>
        </w:tc>
      </w:tr>
      <w:tr w:rsidR="00D27318" w:rsidRPr="00801C75" w:rsidTr="00801C75">
        <w:trPr>
          <w:jc w:val="center"/>
        </w:trPr>
        <w:tc>
          <w:tcPr>
            <w:tcW w:w="3073" w:type="pc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themeColor="text1"/>
                <w:sz w:val="20"/>
                <w:szCs w:val="16"/>
              </w:rPr>
            </w:pPr>
            <w:r w:rsidRPr="00801C75">
              <w:rPr>
                <w:color w:val="000000" w:themeColor="text1"/>
                <w:sz w:val="20"/>
                <w:szCs w:val="16"/>
              </w:rPr>
              <w:t>FOLFOX / Capox</w:t>
            </w:r>
          </w:p>
        </w:tc>
        <w:tc>
          <w:tcPr>
            <w:tcW w:w="1927"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themeColor="text1"/>
                <w:sz w:val="20"/>
                <w:szCs w:val="16"/>
              </w:rPr>
            </w:pPr>
            <w:r w:rsidRPr="00801C75">
              <w:rPr>
                <w:color w:val="000000" w:themeColor="text1"/>
                <w:sz w:val="20"/>
                <w:szCs w:val="16"/>
              </w:rPr>
              <w:t>42 (93.4%)</w:t>
            </w:r>
          </w:p>
        </w:tc>
      </w:tr>
      <w:tr w:rsidR="00D27318" w:rsidRPr="00801C75" w:rsidTr="00801C75">
        <w:trPr>
          <w:jc w:val="center"/>
        </w:trPr>
        <w:tc>
          <w:tcPr>
            <w:tcW w:w="3073" w:type="pc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themeColor="text1"/>
                <w:sz w:val="20"/>
                <w:szCs w:val="16"/>
              </w:rPr>
            </w:pPr>
            <w:r w:rsidRPr="00801C75">
              <w:rPr>
                <w:color w:val="000000" w:themeColor="text1"/>
                <w:sz w:val="20"/>
                <w:szCs w:val="16"/>
              </w:rPr>
              <w:t>single agent 5FU/ capecitabine</w:t>
            </w:r>
          </w:p>
        </w:tc>
        <w:tc>
          <w:tcPr>
            <w:tcW w:w="1927"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themeColor="text1"/>
                <w:sz w:val="20"/>
                <w:szCs w:val="16"/>
              </w:rPr>
            </w:pPr>
            <w:r w:rsidRPr="00801C75">
              <w:rPr>
                <w:color w:val="000000" w:themeColor="text1"/>
                <w:sz w:val="20"/>
                <w:szCs w:val="16"/>
              </w:rPr>
              <w:t xml:space="preserve"> 2 (4.4%) </w:t>
            </w:r>
          </w:p>
        </w:tc>
      </w:tr>
      <w:tr w:rsidR="00D27318" w:rsidRPr="00801C75" w:rsidTr="00801C75">
        <w:trPr>
          <w:jc w:val="center"/>
        </w:trPr>
        <w:tc>
          <w:tcPr>
            <w:tcW w:w="3073" w:type="pc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sz w:val="20"/>
                <w:szCs w:val="16"/>
              </w:rPr>
            </w:pPr>
            <w:r w:rsidRPr="00801C75">
              <w:rPr>
                <w:sz w:val="20"/>
                <w:szCs w:val="16"/>
              </w:rPr>
              <w:t xml:space="preserve">single agent Irinotecan </w:t>
            </w:r>
          </w:p>
        </w:tc>
        <w:tc>
          <w:tcPr>
            <w:tcW w:w="1927"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1 (2.2%)</w:t>
            </w:r>
          </w:p>
        </w:tc>
      </w:tr>
      <w:tr w:rsidR="00D27318" w:rsidRPr="00801C75" w:rsidTr="00801C75">
        <w:trPr>
          <w:jc w:val="center"/>
        </w:trPr>
        <w:tc>
          <w:tcPr>
            <w:tcW w:w="3073" w:type="pc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b/>
                <w:bCs/>
                <w:sz w:val="20"/>
                <w:szCs w:val="16"/>
              </w:rPr>
            </w:pPr>
            <w:r w:rsidRPr="00801C75">
              <w:rPr>
                <w:b/>
                <w:bCs/>
                <w:sz w:val="20"/>
                <w:szCs w:val="16"/>
              </w:rPr>
              <w:t>Progressed disease</w:t>
            </w:r>
          </w:p>
        </w:tc>
        <w:tc>
          <w:tcPr>
            <w:tcW w:w="1927"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 xml:space="preserve">26(57.8%) </w:t>
            </w:r>
          </w:p>
        </w:tc>
      </w:tr>
    </w:tbl>
    <w:p w:rsidR="0094756F" w:rsidRPr="00801C75" w:rsidRDefault="0094756F" w:rsidP="00331E80">
      <w:pPr>
        <w:bidi w:val="0"/>
        <w:snapToGrid w:val="0"/>
        <w:jc w:val="center"/>
        <w:rPr>
          <w:b/>
          <w:bCs/>
          <w:sz w:val="20"/>
          <w:szCs w:val="20"/>
          <w:shd w:val="clear" w:color="auto" w:fill="FFFFFF"/>
        </w:rPr>
      </w:pPr>
      <w:bookmarkStart w:id="17" w:name="_Toc7713630"/>
      <w:bookmarkStart w:id="18" w:name="_Toc7857976"/>
    </w:p>
    <w:p w:rsidR="00D27318" w:rsidRPr="00801C75" w:rsidRDefault="00C75A94" w:rsidP="00331E80">
      <w:pPr>
        <w:bidi w:val="0"/>
        <w:snapToGrid w:val="0"/>
        <w:jc w:val="center"/>
        <w:rPr>
          <w:sz w:val="20"/>
          <w:szCs w:val="18"/>
        </w:rPr>
      </w:pPr>
      <w:r w:rsidRPr="00801C75">
        <w:rPr>
          <w:b/>
          <w:bCs/>
          <w:sz w:val="20"/>
          <w:szCs w:val="18"/>
          <w:shd w:val="clear" w:color="auto" w:fill="FFFFFF"/>
        </w:rPr>
        <w:t>Table (</w:t>
      </w:r>
      <w:r w:rsidR="0014198C" w:rsidRPr="00801C75">
        <w:rPr>
          <w:b/>
          <w:bCs/>
          <w:sz w:val="20"/>
          <w:szCs w:val="18"/>
          <w:shd w:val="clear" w:color="auto" w:fill="FFFFFF"/>
        </w:rPr>
        <w:fldChar w:fldCharType="begin"/>
      </w:r>
      <w:r w:rsidRPr="00801C75">
        <w:rPr>
          <w:b/>
          <w:bCs/>
          <w:sz w:val="20"/>
          <w:szCs w:val="18"/>
          <w:shd w:val="clear" w:color="auto" w:fill="FFFFFF"/>
        </w:rPr>
        <w:instrText xml:space="preserve"> SEQ Table \* ARABIC </w:instrText>
      </w:r>
      <w:r w:rsidR="0014198C" w:rsidRPr="00801C75">
        <w:rPr>
          <w:b/>
          <w:bCs/>
          <w:sz w:val="20"/>
          <w:szCs w:val="18"/>
          <w:shd w:val="clear" w:color="auto" w:fill="FFFFFF"/>
        </w:rPr>
        <w:fldChar w:fldCharType="separate"/>
      </w:r>
      <w:r w:rsidR="00D60619">
        <w:rPr>
          <w:b/>
          <w:bCs/>
          <w:noProof/>
          <w:sz w:val="20"/>
          <w:szCs w:val="18"/>
          <w:shd w:val="clear" w:color="auto" w:fill="FFFFFF"/>
        </w:rPr>
        <w:t>8</w:t>
      </w:r>
      <w:r w:rsidR="0014198C" w:rsidRPr="00801C75">
        <w:rPr>
          <w:b/>
          <w:bCs/>
          <w:sz w:val="20"/>
          <w:szCs w:val="18"/>
          <w:shd w:val="clear" w:color="auto" w:fill="FFFFFF"/>
        </w:rPr>
        <w:fldChar w:fldCharType="end"/>
      </w:r>
      <w:r w:rsidRPr="00801C75">
        <w:rPr>
          <w:b/>
          <w:bCs/>
          <w:sz w:val="20"/>
          <w:szCs w:val="18"/>
          <w:shd w:val="clear" w:color="auto" w:fill="FFFFFF"/>
        </w:rPr>
        <w:t>)</w:t>
      </w:r>
      <w:r w:rsidRPr="00801C75">
        <w:rPr>
          <w:sz w:val="20"/>
          <w:szCs w:val="18"/>
          <w:shd w:val="clear" w:color="auto" w:fill="FFFFFF"/>
        </w:rPr>
        <w:t>:</w:t>
      </w:r>
      <w:r w:rsidR="00D27318" w:rsidRPr="00801C75">
        <w:rPr>
          <w:sz w:val="20"/>
          <w:szCs w:val="18"/>
        </w:rPr>
        <w:t xml:space="preserve"> Comparison between initially non- metastatic and initially metastatic according to fate.</w:t>
      </w:r>
      <w:bookmarkEnd w:id="17"/>
      <w:bookmarkEnd w:id="18"/>
    </w:p>
    <w:tbl>
      <w:tblPr>
        <w:tblW w:w="5000" w:type="pct"/>
        <w:jc w:val="center"/>
        <w:tblCellMar>
          <w:left w:w="57" w:type="dxa"/>
          <w:right w:w="57" w:type="dxa"/>
        </w:tblCellMar>
        <w:tblLook w:val="04A0"/>
      </w:tblPr>
      <w:tblGrid>
        <w:gridCol w:w="1025"/>
        <w:gridCol w:w="2387"/>
        <w:gridCol w:w="3790"/>
        <w:gridCol w:w="2272"/>
      </w:tblGrid>
      <w:tr w:rsidR="00D27318" w:rsidRPr="00801C75" w:rsidTr="00801C75">
        <w:trPr>
          <w:jc w:val="center"/>
        </w:trPr>
        <w:tc>
          <w:tcPr>
            <w:tcW w:w="541" w:type="pct"/>
            <w:tcBorders>
              <w:top w:val="single" w:sz="4" w:space="0" w:color="auto"/>
              <w:left w:val="single" w:sz="4" w:space="0" w:color="auto"/>
              <w:bottom w:val="single" w:sz="4" w:space="0" w:color="auto"/>
              <w:right w:val="single" w:sz="4" w:space="0" w:color="auto"/>
            </w:tcBorders>
            <w:shd w:val="clear" w:color="000000" w:fill="C6E0B4"/>
            <w:vAlign w:val="center"/>
            <w:hideMark/>
          </w:tcPr>
          <w:p w:rsidR="00D27318" w:rsidRPr="00801C75" w:rsidRDefault="00D27318" w:rsidP="00331E80">
            <w:pPr>
              <w:bidi w:val="0"/>
              <w:snapToGrid w:val="0"/>
              <w:jc w:val="both"/>
              <w:rPr>
                <w:b/>
                <w:bCs/>
                <w:color w:val="000000"/>
                <w:sz w:val="20"/>
                <w:szCs w:val="16"/>
              </w:rPr>
            </w:pPr>
            <w:r w:rsidRPr="00801C75">
              <w:rPr>
                <w:b/>
                <w:bCs/>
                <w:color w:val="000000"/>
                <w:sz w:val="20"/>
                <w:szCs w:val="16"/>
              </w:rPr>
              <w:t>Fate</w:t>
            </w:r>
          </w:p>
        </w:tc>
        <w:tc>
          <w:tcPr>
            <w:tcW w:w="1260" w:type="pct"/>
            <w:tcBorders>
              <w:top w:val="single" w:sz="4" w:space="0" w:color="auto"/>
              <w:left w:val="nil"/>
              <w:bottom w:val="single" w:sz="4" w:space="0" w:color="auto"/>
              <w:right w:val="single" w:sz="4" w:space="0" w:color="auto"/>
            </w:tcBorders>
            <w:shd w:val="clear" w:color="000000" w:fill="C6E0B4"/>
            <w:vAlign w:val="center"/>
            <w:hideMark/>
          </w:tcPr>
          <w:p w:rsidR="00D27318" w:rsidRPr="00801C75" w:rsidRDefault="00D27318" w:rsidP="00331E80">
            <w:pPr>
              <w:bidi w:val="0"/>
              <w:snapToGrid w:val="0"/>
              <w:jc w:val="both"/>
              <w:rPr>
                <w:b/>
                <w:bCs/>
                <w:color w:val="000000"/>
                <w:sz w:val="20"/>
                <w:szCs w:val="16"/>
              </w:rPr>
            </w:pPr>
            <w:r w:rsidRPr="00801C75">
              <w:rPr>
                <w:b/>
                <w:bCs/>
                <w:color w:val="000000"/>
                <w:sz w:val="20"/>
                <w:szCs w:val="16"/>
              </w:rPr>
              <w:t>All patients (n=169)</w:t>
            </w:r>
          </w:p>
        </w:tc>
        <w:tc>
          <w:tcPr>
            <w:tcW w:w="2000" w:type="pct"/>
            <w:tcBorders>
              <w:top w:val="single" w:sz="4" w:space="0" w:color="auto"/>
              <w:left w:val="nil"/>
              <w:bottom w:val="single" w:sz="4" w:space="0" w:color="auto"/>
              <w:right w:val="single" w:sz="4" w:space="0" w:color="auto"/>
            </w:tcBorders>
            <w:shd w:val="clear" w:color="000000" w:fill="C6E0B4"/>
            <w:vAlign w:val="center"/>
            <w:hideMark/>
          </w:tcPr>
          <w:p w:rsidR="00D27318" w:rsidRPr="00801C75" w:rsidRDefault="00D27318" w:rsidP="00331E80">
            <w:pPr>
              <w:bidi w:val="0"/>
              <w:snapToGrid w:val="0"/>
              <w:jc w:val="both"/>
              <w:rPr>
                <w:b/>
                <w:bCs/>
                <w:color w:val="000000"/>
                <w:sz w:val="20"/>
                <w:szCs w:val="16"/>
              </w:rPr>
            </w:pPr>
            <w:r w:rsidRPr="00801C75">
              <w:rPr>
                <w:b/>
                <w:bCs/>
                <w:color w:val="000000"/>
                <w:sz w:val="20"/>
                <w:szCs w:val="16"/>
              </w:rPr>
              <w:t>Initially non- metastatic (n=124)</w:t>
            </w:r>
          </w:p>
        </w:tc>
        <w:tc>
          <w:tcPr>
            <w:tcW w:w="1200" w:type="pct"/>
            <w:tcBorders>
              <w:top w:val="single" w:sz="4" w:space="0" w:color="auto"/>
              <w:left w:val="nil"/>
              <w:bottom w:val="single" w:sz="4" w:space="0" w:color="auto"/>
              <w:right w:val="single" w:sz="4" w:space="0" w:color="auto"/>
            </w:tcBorders>
            <w:shd w:val="clear" w:color="000000" w:fill="C6E0B4"/>
            <w:vAlign w:val="center"/>
            <w:hideMark/>
          </w:tcPr>
          <w:p w:rsidR="00D27318" w:rsidRPr="00801C75" w:rsidRDefault="00D27318" w:rsidP="00331E80">
            <w:pPr>
              <w:bidi w:val="0"/>
              <w:snapToGrid w:val="0"/>
              <w:jc w:val="both"/>
              <w:rPr>
                <w:b/>
                <w:bCs/>
                <w:color w:val="000000"/>
                <w:sz w:val="20"/>
                <w:szCs w:val="16"/>
              </w:rPr>
            </w:pPr>
            <w:r w:rsidRPr="00801C75">
              <w:rPr>
                <w:b/>
                <w:bCs/>
                <w:color w:val="000000"/>
                <w:sz w:val="20"/>
                <w:szCs w:val="16"/>
              </w:rPr>
              <w:t xml:space="preserve">Initially metastatic </w:t>
            </w:r>
          </w:p>
          <w:p w:rsidR="00D27318" w:rsidRPr="00801C75" w:rsidRDefault="00D27318" w:rsidP="00331E80">
            <w:pPr>
              <w:bidi w:val="0"/>
              <w:snapToGrid w:val="0"/>
              <w:jc w:val="both"/>
              <w:rPr>
                <w:b/>
                <w:bCs/>
                <w:color w:val="000000"/>
                <w:sz w:val="20"/>
                <w:szCs w:val="16"/>
              </w:rPr>
            </w:pPr>
            <w:r w:rsidRPr="00801C75">
              <w:rPr>
                <w:b/>
                <w:bCs/>
                <w:color w:val="000000"/>
                <w:sz w:val="20"/>
                <w:szCs w:val="16"/>
              </w:rPr>
              <w:t>(n=45)</w:t>
            </w:r>
          </w:p>
        </w:tc>
      </w:tr>
      <w:tr w:rsidR="00D27318" w:rsidRPr="00801C75" w:rsidTr="00801C75">
        <w:trPr>
          <w:jc w:val="center"/>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sz w:val="20"/>
                <w:szCs w:val="16"/>
              </w:rPr>
            </w:pPr>
            <w:r w:rsidRPr="00801C75">
              <w:rPr>
                <w:sz w:val="20"/>
                <w:szCs w:val="16"/>
              </w:rPr>
              <w:t>On FU</w:t>
            </w:r>
          </w:p>
        </w:tc>
        <w:tc>
          <w:tcPr>
            <w:tcW w:w="1260"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68 (40.2%)</w:t>
            </w:r>
          </w:p>
        </w:tc>
        <w:tc>
          <w:tcPr>
            <w:tcW w:w="2000"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59 (47.6%)</w:t>
            </w:r>
          </w:p>
        </w:tc>
        <w:tc>
          <w:tcPr>
            <w:tcW w:w="1200"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9 (20.0%)</w:t>
            </w:r>
          </w:p>
        </w:tc>
      </w:tr>
      <w:tr w:rsidR="00D27318" w:rsidRPr="00801C75" w:rsidTr="00801C75">
        <w:trPr>
          <w:jc w:val="center"/>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sz w:val="20"/>
                <w:szCs w:val="16"/>
              </w:rPr>
            </w:pPr>
            <w:r w:rsidRPr="00801C75">
              <w:rPr>
                <w:sz w:val="20"/>
                <w:szCs w:val="16"/>
              </w:rPr>
              <w:t>Died</w:t>
            </w:r>
          </w:p>
        </w:tc>
        <w:tc>
          <w:tcPr>
            <w:tcW w:w="1260"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50 (29.6%)</w:t>
            </w:r>
          </w:p>
        </w:tc>
        <w:tc>
          <w:tcPr>
            <w:tcW w:w="2000"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21 (16.9%)</w:t>
            </w:r>
          </w:p>
        </w:tc>
        <w:tc>
          <w:tcPr>
            <w:tcW w:w="1200"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29 (64.4%)</w:t>
            </w:r>
          </w:p>
        </w:tc>
      </w:tr>
      <w:tr w:rsidR="00D27318" w:rsidRPr="00801C75" w:rsidTr="00801C75">
        <w:trPr>
          <w:jc w:val="center"/>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sz w:val="20"/>
                <w:szCs w:val="16"/>
              </w:rPr>
            </w:pPr>
            <w:r w:rsidRPr="00801C75">
              <w:rPr>
                <w:sz w:val="20"/>
                <w:szCs w:val="16"/>
              </w:rPr>
              <w:t>Lost FU</w:t>
            </w:r>
          </w:p>
        </w:tc>
        <w:tc>
          <w:tcPr>
            <w:tcW w:w="1260"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51 (30.2%)</w:t>
            </w:r>
          </w:p>
        </w:tc>
        <w:tc>
          <w:tcPr>
            <w:tcW w:w="2000"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44 (35.5%)</w:t>
            </w:r>
          </w:p>
        </w:tc>
        <w:tc>
          <w:tcPr>
            <w:tcW w:w="1200"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7 (15.6%)</w:t>
            </w:r>
          </w:p>
        </w:tc>
      </w:tr>
      <w:tr w:rsidR="00D27318" w:rsidRPr="00801C75" w:rsidTr="00801C75">
        <w:trPr>
          <w:jc w:val="center"/>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sz w:val="20"/>
                <w:szCs w:val="16"/>
              </w:rPr>
            </w:pPr>
            <w:r w:rsidRPr="00801C75">
              <w:rPr>
                <w:sz w:val="20"/>
                <w:szCs w:val="16"/>
              </w:rPr>
              <w:t>Total</w:t>
            </w:r>
          </w:p>
        </w:tc>
        <w:tc>
          <w:tcPr>
            <w:tcW w:w="1260"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169 (100.0%)</w:t>
            </w:r>
          </w:p>
        </w:tc>
        <w:tc>
          <w:tcPr>
            <w:tcW w:w="2000"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124 (100.0%)</w:t>
            </w:r>
          </w:p>
        </w:tc>
        <w:tc>
          <w:tcPr>
            <w:tcW w:w="1200"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45 (100.0%)</w:t>
            </w:r>
          </w:p>
        </w:tc>
      </w:tr>
    </w:tbl>
    <w:p w:rsidR="0094756F" w:rsidRPr="00801C75" w:rsidRDefault="0094756F" w:rsidP="00331E80">
      <w:pPr>
        <w:bidi w:val="0"/>
        <w:snapToGrid w:val="0"/>
        <w:ind w:firstLine="425"/>
        <w:jc w:val="both"/>
        <w:rPr>
          <w:sz w:val="20"/>
          <w:szCs w:val="20"/>
          <w:lang w:eastAsia="ar-SA"/>
        </w:rPr>
      </w:pPr>
    </w:p>
    <w:p w:rsidR="00D27318" w:rsidRPr="00801C75" w:rsidRDefault="00D27318" w:rsidP="00331E80">
      <w:pPr>
        <w:bidi w:val="0"/>
        <w:snapToGrid w:val="0"/>
        <w:ind w:firstLine="425"/>
        <w:jc w:val="both"/>
        <w:rPr>
          <w:sz w:val="20"/>
          <w:szCs w:val="20"/>
          <w:lang w:eastAsia="ar-SA"/>
        </w:rPr>
      </w:pPr>
      <w:r w:rsidRPr="00801C75">
        <w:rPr>
          <w:sz w:val="20"/>
          <w:szCs w:val="20"/>
          <w:lang w:eastAsia="ar-SA"/>
        </w:rPr>
        <w:t>At the end of this study, fifty patients (29.6%) died, about forty percent (68 cases) enrolled were on F.U at the end of this study.</w:t>
      </w:r>
    </w:p>
    <w:p w:rsidR="0094756F" w:rsidRPr="00801C75" w:rsidRDefault="0094756F" w:rsidP="00331E80">
      <w:pPr>
        <w:bidi w:val="0"/>
        <w:snapToGrid w:val="0"/>
        <w:jc w:val="center"/>
        <w:rPr>
          <w:b/>
          <w:bCs/>
          <w:sz w:val="20"/>
          <w:szCs w:val="20"/>
          <w:shd w:val="clear" w:color="auto" w:fill="FFFFFF"/>
        </w:rPr>
      </w:pPr>
      <w:bookmarkStart w:id="19" w:name="_Toc7713631"/>
      <w:bookmarkStart w:id="20" w:name="_Toc7857977"/>
    </w:p>
    <w:p w:rsidR="00874768" w:rsidRPr="00801C75" w:rsidRDefault="00C175C5" w:rsidP="00331E80">
      <w:pPr>
        <w:bidi w:val="0"/>
        <w:snapToGrid w:val="0"/>
        <w:jc w:val="center"/>
        <w:rPr>
          <w:sz w:val="20"/>
          <w:szCs w:val="18"/>
          <w:lang w:eastAsia="ar-SA"/>
        </w:rPr>
      </w:pPr>
      <w:r w:rsidRPr="00801C75">
        <w:rPr>
          <w:b/>
          <w:bCs/>
          <w:sz w:val="20"/>
          <w:szCs w:val="18"/>
          <w:shd w:val="clear" w:color="auto" w:fill="FFFFFF"/>
        </w:rPr>
        <w:t>Table (</w:t>
      </w:r>
      <w:r w:rsidR="0014198C" w:rsidRPr="00801C75">
        <w:rPr>
          <w:b/>
          <w:bCs/>
          <w:sz w:val="20"/>
          <w:szCs w:val="18"/>
          <w:shd w:val="clear" w:color="auto" w:fill="FFFFFF"/>
        </w:rPr>
        <w:fldChar w:fldCharType="begin"/>
      </w:r>
      <w:r w:rsidRPr="00801C75">
        <w:rPr>
          <w:b/>
          <w:bCs/>
          <w:sz w:val="20"/>
          <w:szCs w:val="18"/>
          <w:shd w:val="clear" w:color="auto" w:fill="FFFFFF"/>
        </w:rPr>
        <w:instrText xml:space="preserve"> SEQ Table \* ARABIC </w:instrText>
      </w:r>
      <w:r w:rsidR="0014198C" w:rsidRPr="00801C75">
        <w:rPr>
          <w:b/>
          <w:bCs/>
          <w:sz w:val="20"/>
          <w:szCs w:val="18"/>
          <w:shd w:val="clear" w:color="auto" w:fill="FFFFFF"/>
        </w:rPr>
        <w:fldChar w:fldCharType="separate"/>
      </w:r>
      <w:r w:rsidR="00D60619">
        <w:rPr>
          <w:b/>
          <w:bCs/>
          <w:noProof/>
          <w:sz w:val="20"/>
          <w:szCs w:val="18"/>
          <w:shd w:val="clear" w:color="auto" w:fill="FFFFFF"/>
        </w:rPr>
        <w:t>9</w:t>
      </w:r>
      <w:r w:rsidR="0014198C" w:rsidRPr="00801C75">
        <w:rPr>
          <w:b/>
          <w:bCs/>
          <w:sz w:val="20"/>
          <w:szCs w:val="18"/>
          <w:shd w:val="clear" w:color="auto" w:fill="FFFFFF"/>
        </w:rPr>
        <w:fldChar w:fldCharType="end"/>
      </w:r>
      <w:r w:rsidRPr="00801C75">
        <w:rPr>
          <w:b/>
          <w:bCs/>
          <w:sz w:val="20"/>
          <w:szCs w:val="18"/>
          <w:shd w:val="clear" w:color="auto" w:fill="FFFFFF"/>
        </w:rPr>
        <w:t>)</w:t>
      </w:r>
      <w:r w:rsidRPr="00801C75">
        <w:rPr>
          <w:sz w:val="20"/>
          <w:szCs w:val="18"/>
          <w:shd w:val="clear" w:color="auto" w:fill="FFFFFF"/>
        </w:rPr>
        <w:t>:</w:t>
      </w:r>
      <w:r w:rsidR="00874768" w:rsidRPr="00801C75">
        <w:rPr>
          <w:sz w:val="20"/>
          <w:szCs w:val="18"/>
          <w:lang w:eastAsia="ar-SA"/>
        </w:rPr>
        <w:t xml:space="preserve"> Overall survival in all patients (n=169).</w:t>
      </w:r>
      <w:bookmarkEnd w:id="19"/>
      <w:bookmarkEnd w:id="2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575"/>
        <w:gridCol w:w="2967"/>
        <w:gridCol w:w="1982"/>
        <w:gridCol w:w="1950"/>
      </w:tblGrid>
      <w:tr w:rsidR="00D27318" w:rsidRPr="00801C75" w:rsidTr="00801C75">
        <w:trPr>
          <w:cantSplit/>
          <w:jc w:val="center"/>
        </w:trPr>
        <w:tc>
          <w:tcPr>
            <w:tcW w:w="5000" w:type="pct"/>
            <w:gridSpan w:val="4"/>
            <w:shd w:val="clear" w:color="auto" w:fill="C2D69B" w:themeFill="accent3" w:themeFillTint="99"/>
            <w:vAlign w:val="center"/>
          </w:tcPr>
          <w:p w:rsidR="00D27318" w:rsidRPr="00801C75" w:rsidRDefault="00D27318" w:rsidP="00331E80">
            <w:pPr>
              <w:autoSpaceDE w:val="0"/>
              <w:autoSpaceDN w:val="0"/>
              <w:bidi w:val="0"/>
              <w:adjustRightInd w:val="0"/>
              <w:snapToGrid w:val="0"/>
              <w:jc w:val="both"/>
              <w:rPr>
                <w:b/>
                <w:bCs/>
                <w:color w:val="000000"/>
                <w:sz w:val="20"/>
                <w:szCs w:val="16"/>
              </w:rPr>
            </w:pPr>
            <w:r w:rsidRPr="00801C75">
              <w:rPr>
                <w:b/>
                <w:bCs/>
                <w:color w:val="000000"/>
                <w:sz w:val="20"/>
                <w:szCs w:val="16"/>
              </w:rPr>
              <w:t>Median</w:t>
            </w:r>
          </w:p>
        </w:tc>
      </w:tr>
      <w:tr w:rsidR="00D27318" w:rsidRPr="00801C75" w:rsidTr="00801C75">
        <w:trPr>
          <w:cantSplit/>
          <w:jc w:val="center"/>
        </w:trPr>
        <w:tc>
          <w:tcPr>
            <w:tcW w:w="1359" w:type="pct"/>
            <w:vMerge w:val="restart"/>
            <w:shd w:val="clear" w:color="auto" w:fill="C2D69B" w:themeFill="accent3" w:themeFillTint="99"/>
            <w:vAlign w:val="center"/>
          </w:tcPr>
          <w:p w:rsidR="00D27318" w:rsidRPr="00801C75" w:rsidRDefault="00D27318" w:rsidP="00331E80">
            <w:pPr>
              <w:autoSpaceDE w:val="0"/>
              <w:autoSpaceDN w:val="0"/>
              <w:bidi w:val="0"/>
              <w:adjustRightInd w:val="0"/>
              <w:snapToGrid w:val="0"/>
              <w:jc w:val="both"/>
              <w:rPr>
                <w:b/>
                <w:bCs/>
                <w:color w:val="000000"/>
                <w:sz w:val="20"/>
                <w:szCs w:val="16"/>
              </w:rPr>
            </w:pPr>
            <w:r w:rsidRPr="00801C75">
              <w:rPr>
                <w:b/>
                <w:bCs/>
                <w:color w:val="000000"/>
                <w:sz w:val="20"/>
                <w:szCs w:val="16"/>
              </w:rPr>
              <w:t>Estimate</w:t>
            </w:r>
          </w:p>
        </w:tc>
        <w:tc>
          <w:tcPr>
            <w:tcW w:w="1566" w:type="pct"/>
            <w:vMerge w:val="restart"/>
            <w:shd w:val="clear" w:color="auto" w:fill="C2D69B" w:themeFill="accent3" w:themeFillTint="99"/>
            <w:vAlign w:val="center"/>
          </w:tcPr>
          <w:p w:rsidR="00D27318" w:rsidRPr="00801C75" w:rsidRDefault="00D27318" w:rsidP="00331E80">
            <w:pPr>
              <w:autoSpaceDE w:val="0"/>
              <w:autoSpaceDN w:val="0"/>
              <w:bidi w:val="0"/>
              <w:adjustRightInd w:val="0"/>
              <w:snapToGrid w:val="0"/>
              <w:jc w:val="both"/>
              <w:rPr>
                <w:b/>
                <w:bCs/>
                <w:color w:val="000000"/>
                <w:sz w:val="20"/>
                <w:szCs w:val="16"/>
              </w:rPr>
            </w:pPr>
            <w:r w:rsidRPr="00801C75">
              <w:rPr>
                <w:b/>
                <w:bCs/>
                <w:color w:val="000000"/>
                <w:sz w:val="20"/>
                <w:szCs w:val="16"/>
              </w:rPr>
              <w:t>Std. Error</w:t>
            </w:r>
          </w:p>
        </w:tc>
        <w:tc>
          <w:tcPr>
            <w:tcW w:w="2075" w:type="pct"/>
            <w:gridSpan w:val="2"/>
            <w:shd w:val="clear" w:color="auto" w:fill="C2D69B" w:themeFill="accent3" w:themeFillTint="99"/>
            <w:vAlign w:val="center"/>
          </w:tcPr>
          <w:p w:rsidR="00D27318" w:rsidRPr="00801C75" w:rsidRDefault="00D27318" w:rsidP="00331E80">
            <w:pPr>
              <w:autoSpaceDE w:val="0"/>
              <w:autoSpaceDN w:val="0"/>
              <w:bidi w:val="0"/>
              <w:adjustRightInd w:val="0"/>
              <w:snapToGrid w:val="0"/>
              <w:jc w:val="both"/>
              <w:rPr>
                <w:b/>
                <w:bCs/>
                <w:color w:val="000000"/>
                <w:sz w:val="20"/>
                <w:szCs w:val="16"/>
              </w:rPr>
            </w:pPr>
            <w:r w:rsidRPr="00801C75">
              <w:rPr>
                <w:b/>
                <w:bCs/>
                <w:color w:val="000000"/>
                <w:sz w:val="20"/>
                <w:szCs w:val="16"/>
              </w:rPr>
              <w:t>95% C.I.</w:t>
            </w:r>
          </w:p>
        </w:tc>
      </w:tr>
      <w:tr w:rsidR="00D27318" w:rsidRPr="00801C75" w:rsidTr="00801C75">
        <w:trPr>
          <w:cantSplit/>
          <w:jc w:val="center"/>
        </w:trPr>
        <w:tc>
          <w:tcPr>
            <w:tcW w:w="1359" w:type="pct"/>
            <w:vMerge/>
            <w:shd w:val="clear" w:color="auto" w:fill="C2D69B" w:themeFill="accent3" w:themeFillTint="99"/>
            <w:vAlign w:val="center"/>
          </w:tcPr>
          <w:p w:rsidR="00D27318" w:rsidRPr="00801C75" w:rsidRDefault="00D27318" w:rsidP="00331E80">
            <w:pPr>
              <w:autoSpaceDE w:val="0"/>
              <w:autoSpaceDN w:val="0"/>
              <w:bidi w:val="0"/>
              <w:adjustRightInd w:val="0"/>
              <w:snapToGrid w:val="0"/>
              <w:jc w:val="both"/>
              <w:rPr>
                <w:b/>
                <w:bCs/>
                <w:color w:val="000000"/>
                <w:sz w:val="20"/>
                <w:szCs w:val="16"/>
              </w:rPr>
            </w:pPr>
          </w:p>
        </w:tc>
        <w:tc>
          <w:tcPr>
            <w:tcW w:w="1566" w:type="pct"/>
            <w:vMerge/>
            <w:shd w:val="clear" w:color="auto" w:fill="C2D69B" w:themeFill="accent3" w:themeFillTint="99"/>
            <w:vAlign w:val="center"/>
          </w:tcPr>
          <w:p w:rsidR="00D27318" w:rsidRPr="00801C75" w:rsidRDefault="00D27318" w:rsidP="00331E80">
            <w:pPr>
              <w:autoSpaceDE w:val="0"/>
              <w:autoSpaceDN w:val="0"/>
              <w:bidi w:val="0"/>
              <w:adjustRightInd w:val="0"/>
              <w:snapToGrid w:val="0"/>
              <w:jc w:val="both"/>
              <w:rPr>
                <w:b/>
                <w:bCs/>
                <w:color w:val="000000"/>
                <w:sz w:val="20"/>
                <w:szCs w:val="16"/>
              </w:rPr>
            </w:pPr>
          </w:p>
        </w:tc>
        <w:tc>
          <w:tcPr>
            <w:tcW w:w="1046" w:type="pct"/>
            <w:shd w:val="clear" w:color="auto" w:fill="C2D69B" w:themeFill="accent3" w:themeFillTint="99"/>
            <w:vAlign w:val="center"/>
          </w:tcPr>
          <w:p w:rsidR="00D27318" w:rsidRPr="00801C75" w:rsidRDefault="00D27318" w:rsidP="00331E80">
            <w:pPr>
              <w:autoSpaceDE w:val="0"/>
              <w:autoSpaceDN w:val="0"/>
              <w:bidi w:val="0"/>
              <w:adjustRightInd w:val="0"/>
              <w:snapToGrid w:val="0"/>
              <w:jc w:val="both"/>
              <w:rPr>
                <w:b/>
                <w:bCs/>
                <w:color w:val="000000"/>
                <w:sz w:val="20"/>
                <w:szCs w:val="16"/>
              </w:rPr>
            </w:pPr>
            <w:r w:rsidRPr="00801C75">
              <w:rPr>
                <w:b/>
                <w:bCs/>
                <w:color w:val="000000"/>
                <w:sz w:val="20"/>
                <w:szCs w:val="16"/>
              </w:rPr>
              <w:t>Lower</w:t>
            </w:r>
          </w:p>
        </w:tc>
        <w:tc>
          <w:tcPr>
            <w:tcW w:w="1029" w:type="pct"/>
            <w:shd w:val="clear" w:color="auto" w:fill="C2D69B" w:themeFill="accent3" w:themeFillTint="99"/>
            <w:vAlign w:val="center"/>
          </w:tcPr>
          <w:p w:rsidR="00D27318" w:rsidRPr="00801C75" w:rsidRDefault="00D27318" w:rsidP="00331E80">
            <w:pPr>
              <w:autoSpaceDE w:val="0"/>
              <w:autoSpaceDN w:val="0"/>
              <w:bidi w:val="0"/>
              <w:adjustRightInd w:val="0"/>
              <w:snapToGrid w:val="0"/>
              <w:jc w:val="both"/>
              <w:rPr>
                <w:b/>
                <w:bCs/>
                <w:color w:val="000000"/>
                <w:sz w:val="20"/>
                <w:szCs w:val="16"/>
              </w:rPr>
            </w:pPr>
            <w:r w:rsidRPr="00801C75">
              <w:rPr>
                <w:b/>
                <w:bCs/>
                <w:color w:val="000000"/>
                <w:sz w:val="20"/>
                <w:szCs w:val="16"/>
              </w:rPr>
              <w:t xml:space="preserve">Upper </w:t>
            </w:r>
          </w:p>
        </w:tc>
      </w:tr>
      <w:tr w:rsidR="00D27318" w:rsidRPr="00801C75" w:rsidTr="00801C75">
        <w:trPr>
          <w:cantSplit/>
          <w:jc w:val="center"/>
        </w:trPr>
        <w:tc>
          <w:tcPr>
            <w:tcW w:w="1359" w:type="pct"/>
            <w:shd w:val="clear" w:color="auto" w:fill="FFFFFF"/>
            <w:vAlign w:val="center"/>
          </w:tcPr>
          <w:p w:rsidR="00D27318" w:rsidRPr="00801C75" w:rsidRDefault="00D27318" w:rsidP="00331E80">
            <w:pPr>
              <w:autoSpaceDE w:val="0"/>
              <w:autoSpaceDN w:val="0"/>
              <w:bidi w:val="0"/>
              <w:adjustRightInd w:val="0"/>
              <w:snapToGrid w:val="0"/>
              <w:jc w:val="both"/>
              <w:rPr>
                <w:color w:val="000000"/>
                <w:sz w:val="20"/>
                <w:szCs w:val="16"/>
              </w:rPr>
            </w:pPr>
            <w:r w:rsidRPr="00801C75">
              <w:rPr>
                <w:color w:val="000000"/>
                <w:sz w:val="20"/>
                <w:szCs w:val="16"/>
              </w:rPr>
              <w:t>50.64</w:t>
            </w:r>
          </w:p>
        </w:tc>
        <w:tc>
          <w:tcPr>
            <w:tcW w:w="1566" w:type="pct"/>
            <w:shd w:val="clear" w:color="auto" w:fill="FFFFFF"/>
            <w:vAlign w:val="center"/>
          </w:tcPr>
          <w:p w:rsidR="00D27318" w:rsidRPr="00801C75" w:rsidRDefault="00D27318" w:rsidP="00331E80">
            <w:pPr>
              <w:autoSpaceDE w:val="0"/>
              <w:autoSpaceDN w:val="0"/>
              <w:bidi w:val="0"/>
              <w:adjustRightInd w:val="0"/>
              <w:snapToGrid w:val="0"/>
              <w:jc w:val="both"/>
              <w:rPr>
                <w:color w:val="000000"/>
                <w:sz w:val="20"/>
                <w:szCs w:val="16"/>
              </w:rPr>
            </w:pPr>
            <w:r w:rsidRPr="00801C75">
              <w:rPr>
                <w:color w:val="000000"/>
                <w:sz w:val="20"/>
                <w:szCs w:val="16"/>
              </w:rPr>
              <w:t>9.79</w:t>
            </w:r>
          </w:p>
        </w:tc>
        <w:tc>
          <w:tcPr>
            <w:tcW w:w="1046" w:type="pct"/>
            <w:shd w:val="clear" w:color="auto" w:fill="FFFFFF"/>
            <w:vAlign w:val="center"/>
          </w:tcPr>
          <w:p w:rsidR="00D27318" w:rsidRPr="00801C75" w:rsidRDefault="00D27318" w:rsidP="00331E80">
            <w:pPr>
              <w:autoSpaceDE w:val="0"/>
              <w:autoSpaceDN w:val="0"/>
              <w:bidi w:val="0"/>
              <w:adjustRightInd w:val="0"/>
              <w:snapToGrid w:val="0"/>
              <w:jc w:val="both"/>
              <w:rPr>
                <w:color w:val="000000"/>
                <w:sz w:val="20"/>
                <w:szCs w:val="16"/>
              </w:rPr>
            </w:pPr>
            <w:r w:rsidRPr="00801C75">
              <w:rPr>
                <w:color w:val="000000"/>
                <w:sz w:val="20"/>
                <w:szCs w:val="16"/>
              </w:rPr>
              <w:t>31.43</w:t>
            </w:r>
          </w:p>
        </w:tc>
        <w:tc>
          <w:tcPr>
            <w:tcW w:w="1029" w:type="pct"/>
            <w:shd w:val="clear" w:color="auto" w:fill="FFFFFF"/>
            <w:vAlign w:val="center"/>
          </w:tcPr>
          <w:p w:rsidR="00D27318" w:rsidRPr="00801C75" w:rsidRDefault="00D27318" w:rsidP="00331E80">
            <w:pPr>
              <w:autoSpaceDE w:val="0"/>
              <w:autoSpaceDN w:val="0"/>
              <w:bidi w:val="0"/>
              <w:adjustRightInd w:val="0"/>
              <w:snapToGrid w:val="0"/>
              <w:jc w:val="both"/>
              <w:rPr>
                <w:color w:val="000000"/>
                <w:sz w:val="20"/>
                <w:szCs w:val="16"/>
              </w:rPr>
            </w:pPr>
            <w:r w:rsidRPr="00801C75">
              <w:rPr>
                <w:color w:val="000000"/>
                <w:sz w:val="20"/>
                <w:szCs w:val="16"/>
              </w:rPr>
              <w:t>69.85</w:t>
            </w:r>
          </w:p>
        </w:tc>
      </w:tr>
    </w:tbl>
    <w:p w:rsidR="0094756F" w:rsidRPr="00801C75" w:rsidRDefault="0094756F" w:rsidP="00331E80">
      <w:pPr>
        <w:bidi w:val="0"/>
        <w:snapToGrid w:val="0"/>
        <w:jc w:val="center"/>
        <w:rPr>
          <w:b/>
          <w:bCs/>
          <w:sz w:val="20"/>
          <w:szCs w:val="18"/>
          <w:shd w:val="clear" w:color="auto" w:fill="FFFFFF"/>
        </w:rPr>
      </w:pPr>
      <w:bookmarkStart w:id="21" w:name="_Toc7713632"/>
      <w:bookmarkStart w:id="22" w:name="_Toc7857978"/>
    </w:p>
    <w:p w:rsidR="00D27318" w:rsidRPr="00801C75" w:rsidRDefault="00C175C5" w:rsidP="00331E80">
      <w:pPr>
        <w:bidi w:val="0"/>
        <w:snapToGrid w:val="0"/>
        <w:jc w:val="center"/>
        <w:rPr>
          <w:color w:val="000000" w:themeColor="text1"/>
          <w:sz w:val="20"/>
          <w:szCs w:val="18"/>
        </w:rPr>
      </w:pPr>
      <w:r w:rsidRPr="00801C75">
        <w:rPr>
          <w:b/>
          <w:bCs/>
          <w:sz w:val="20"/>
          <w:szCs w:val="18"/>
          <w:shd w:val="clear" w:color="auto" w:fill="FFFFFF"/>
        </w:rPr>
        <w:t>Table (</w:t>
      </w:r>
      <w:r w:rsidR="0014198C" w:rsidRPr="00801C75">
        <w:rPr>
          <w:b/>
          <w:bCs/>
          <w:sz w:val="20"/>
          <w:szCs w:val="18"/>
          <w:shd w:val="clear" w:color="auto" w:fill="FFFFFF"/>
        </w:rPr>
        <w:fldChar w:fldCharType="begin"/>
      </w:r>
      <w:r w:rsidRPr="00801C75">
        <w:rPr>
          <w:b/>
          <w:bCs/>
          <w:sz w:val="20"/>
          <w:szCs w:val="18"/>
          <w:shd w:val="clear" w:color="auto" w:fill="FFFFFF"/>
        </w:rPr>
        <w:instrText xml:space="preserve"> SEQ Table \* ARABIC </w:instrText>
      </w:r>
      <w:r w:rsidR="0014198C" w:rsidRPr="00801C75">
        <w:rPr>
          <w:b/>
          <w:bCs/>
          <w:sz w:val="20"/>
          <w:szCs w:val="18"/>
          <w:shd w:val="clear" w:color="auto" w:fill="FFFFFF"/>
        </w:rPr>
        <w:fldChar w:fldCharType="separate"/>
      </w:r>
      <w:r w:rsidR="00D60619">
        <w:rPr>
          <w:b/>
          <w:bCs/>
          <w:noProof/>
          <w:sz w:val="20"/>
          <w:szCs w:val="18"/>
          <w:shd w:val="clear" w:color="auto" w:fill="FFFFFF"/>
        </w:rPr>
        <w:t>10</w:t>
      </w:r>
      <w:r w:rsidR="0014198C" w:rsidRPr="00801C75">
        <w:rPr>
          <w:b/>
          <w:bCs/>
          <w:sz w:val="20"/>
          <w:szCs w:val="18"/>
          <w:shd w:val="clear" w:color="auto" w:fill="FFFFFF"/>
        </w:rPr>
        <w:fldChar w:fldCharType="end"/>
      </w:r>
      <w:r w:rsidRPr="00801C75">
        <w:rPr>
          <w:b/>
          <w:bCs/>
          <w:sz w:val="20"/>
          <w:szCs w:val="18"/>
          <w:shd w:val="clear" w:color="auto" w:fill="FFFFFF"/>
        </w:rPr>
        <w:t>)</w:t>
      </w:r>
      <w:r w:rsidRPr="00801C75">
        <w:rPr>
          <w:sz w:val="20"/>
          <w:szCs w:val="18"/>
          <w:shd w:val="clear" w:color="auto" w:fill="FFFFFF"/>
        </w:rPr>
        <w:t>:</w:t>
      </w:r>
      <w:r w:rsidR="00FC0DD6" w:rsidRPr="00801C75">
        <w:rPr>
          <w:sz w:val="20"/>
          <w:szCs w:val="18"/>
        </w:rPr>
        <w:t xml:space="preserve"> </w:t>
      </w:r>
      <w:r w:rsidR="00D27318" w:rsidRPr="00801C75">
        <w:rPr>
          <w:sz w:val="20"/>
          <w:szCs w:val="18"/>
        </w:rPr>
        <w:t xml:space="preserve">Disease free survival </w:t>
      </w:r>
      <w:r w:rsidR="00D27318" w:rsidRPr="00801C75">
        <w:rPr>
          <w:color w:val="000000" w:themeColor="text1"/>
          <w:sz w:val="20"/>
          <w:szCs w:val="18"/>
        </w:rPr>
        <w:t>in the initially non-metastatic group (n=124)</w:t>
      </w:r>
      <w:bookmarkEnd w:id="21"/>
      <w:bookmarkEnd w:id="2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575"/>
        <w:gridCol w:w="2967"/>
        <w:gridCol w:w="1982"/>
        <w:gridCol w:w="1950"/>
      </w:tblGrid>
      <w:tr w:rsidR="00D27318" w:rsidRPr="00801C75" w:rsidTr="00801C75">
        <w:trPr>
          <w:cantSplit/>
          <w:jc w:val="center"/>
        </w:trPr>
        <w:tc>
          <w:tcPr>
            <w:tcW w:w="5000" w:type="pct"/>
            <w:gridSpan w:val="4"/>
            <w:shd w:val="clear" w:color="auto" w:fill="C2D69B" w:themeFill="accent3" w:themeFillTint="99"/>
            <w:vAlign w:val="center"/>
          </w:tcPr>
          <w:p w:rsidR="00D27318" w:rsidRPr="00801C75" w:rsidRDefault="00D27318" w:rsidP="00331E80">
            <w:pPr>
              <w:autoSpaceDE w:val="0"/>
              <w:autoSpaceDN w:val="0"/>
              <w:bidi w:val="0"/>
              <w:adjustRightInd w:val="0"/>
              <w:snapToGrid w:val="0"/>
              <w:jc w:val="both"/>
              <w:rPr>
                <w:b/>
                <w:bCs/>
                <w:color w:val="000000"/>
                <w:sz w:val="20"/>
                <w:szCs w:val="18"/>
              </w:rPr>
            </w:pPr>
            <w:r w:rsidRPr="00801C75">
              <w:rPr>
                <w:b/>
                <w:bCs/>
                <w:color w:val="000000"/>
                <w:sz w:val="20"/>
                <w:szCs w:val="18"/>
              </w:rPr>
              <w:t>Median</w:t>
            </w:r>
          </w:p>
        </w:tc>
      </w:tr>
      <w:tr w:rsidR="00D27318" w:rsidRPr="00801C75" w:rsidTr="00801C75">
        <w:trPr>
          <w:cantSplit/>
          <w:jc w:val="center"/>
        </w:trPr>
        <w:tc>
          <w:tcPr>
            <w:tcW w:w="1359" w:type="pct"/>
            <w:vMerge w:val="restart"/>
            <w:shd w:val="clear" w:color="auto" w:fill="C2D69B" w:themeFill="accent3" w:themeFillTint="99"/>
            <w:vAlign w:val="center"/>
          </w:tcPr>
          <w:p w:rsidR="00D27318" w:rsidRPr="00801C75" w:rsidRDefault="00D27318" w:rsidP="00331E80">
            <w:pPr>
              <w:autoSpaceDE w:val="0"/>
              <w:autoSpaceDN w:val="0"/>
              <w:bidi w:val="0"/>
              <w:adjustRightInd w:val="0"/>
              <w:snapToGrid w:val="0"/>
              <w:jc w:val="both"/>
              <w:rPr>
                <w:b/>
                <w:bCs/>
                <w:color w:val="000000"/>
                <w:sz w:val="20"/>
                <w:szCs w:val="18"/>
              </w:rPr>
            </w:pPr>
            <w:r w:rsidRPr="00801C75">
              <w:rPr>
                <w:b/>
                <w:bCs/>
                <w:color w:val="000000"/>
                <w:sz w:val="20"/>
                <w:szCs w:val="18"/>
              </w:rPr>
              <w:t>Estimate</w:t>
            </w:r>
          </w:p>
        </w:tc>
        <w:tc>
          <w:tcPr>
            <w:tcW w:w="1566" w:type="pct"/>
            <w:vMerge w:val="restart"/>
            <w:shd w:val="clear" w:color="auto" w:fill="C2D69B" w:themeFill="accent3" w:themeFillTint="99"/>
            <w:vAlign w:val="center"/>
          </w:tcPr>
          <w:p w:rsidR="00D27318" w:rsidRPr="00801C75" w:rsidRDefault="00D27318" w:rsidP="00331E80">
            <w:pPr>
              <w:autoSpaceDE w:val="0"/>
              <w:autoSpaceDN w:val="0"/>
              <w:bidi w:val="0"/>
              <w:adjustRightInd w:val="0"/>
              <w:snapToGrid w:val="0"/>
              <w:jc w:val="both"/>
              <w:rPr>
                <w:b/>
                <w:bCs/>
                <w:color w:val="000000"/>
                <w:sz w:val="20"/>
                <w:szCs w:val="18"/>
              </w:rPr>
            </w:pPr>
            <w:r w:rsidRPr="00801C75">
              <w:rPr>
                <w:b/>
                <w:bCs/>
                <w:color w:val="000000"/>
                <w:sz w:val="20"/>
                <w:szCs w:val="18"/>
              </w:rPr>
              <w:t>Std. Error</w:t>
            </w:r>
          </w:p>
        </w:tc>
        <w:tc>
          <w:tcPr>
            <w:tcW w:w="2075" w:type="pct"/>
            <w:gridSpan w:val="2"/>
            <w:shd w:val="clear" w:color="auto" w:fill="C2D69B" w:themeFill="accent3" w:themeFillTint="99"/>
            <w:vAlign w:val="center"/>
          </w:tcPr>
          <w:p w:rsidR="00D27318" w:rsidRPr="00801C75" w:rsidRDefault="00D27318" w:rsidP="00331E80">
            <w:pPr>
              <w:autoSpaceDE w:val="0"/>
              <w:autoSpaceDN w:val="0"/>
              <w:bidi w:val="0"/>
              <w:adjustRightInd w:val="0"/>
              <w:snapToGrid w:val="0"/>
              <w:jc w:val="both"/>
              <w:rPr>
                <w:b/>
                <w:bCs/>
                <w:color w:val="000000"/>
                <w:sz w:val="20"/>
                <w:szCs w:val="18"/>
              </w:rPr>
            </w:pPr>
            <w:r w:rsidRPr="00801C75">
              <w:rPr>
                <w:b/>
                <w:bCs/>
                <w:color w:val="000000"/>
                <w:sz w:val="20"/>
                <w:szCs w:val="18"/>
              </w:rPr>
              <w:t>95% C.I.</w:t>
            </w:r>
          </w:p>
        </w:tc>
      </w:tr>
      <w:tr w:rsidR="00D27318" w:rsidRPr="00801C75" w:rsidTr="00801C75">
        <w:trPr>
          <w:cantSplit/>
          <w:jc w:val="center"/>
        </w:trPr>
        <w:tc>
          <w:tcPr>
            <w:tcW w:w="1359" w:type="pct"/>
            <w:vMerge/>
            <w:shd w:val="clear" w:color="auto" w:fill="C2D69B" w:themeFill="accent3" w:themeFillTint="99"/>
            <w:vAlign w:val="center"/>
          </w:tcPr>
          <w:p w:rsidR="00D27318" w:rsidRPr="00801C75" w:rsidRDefault="00D27318" w:rsidP="00331E80">
            <w:pPr>
              <w:autoSpaceDE w:val="0"/>
              <w:autoSpaceDN w:val="0"/>
              <w:bidi w:val="0"/>
              <w:adjustRightInd w:val="0"/>
              <w:snapToGrid w:val="0"/>
              <w:jc w:val="both"/>
              <w:rPr>
                <w:b/>
                <w:bCs/>
                <w:color w:val="000000"/>
                <w:sz w:val="20"/>
                <w:szCs w:val="18"/>
              </w:rPr>
            </w:pPr>
          </w:p>
        </w:tc>
        <w:tc>
          <w:tcPr>
            <w:tcW w:w="1566" w:type="pct"/>
            <w:vMerge/>
            <w:shd w:val="clear" w:color="auto" w:fill="C2D69B" w:themeFill="accent3" w:themeFillTint="99"/>
            <w:vAlign w:val="center"/>
          </w:tcPr>
          <w:p w:rsidR="00D27318" w:rsidRPr="00801C75" w:rsidRDefault="00D27318" w:rsidP="00331E80">
            <w:pPr>
              <w:autoSpaceDE w:val="0"/>
              <w:autoSpaceDN w:val="0"/>
              <w:bidi w:val="0"/>
              <w:adjustRightInd w:val="0"/>
              <w:snapToGrid w:val="0"/>
              <w:jc w:val="both"/>
              <w:rPr>
                <w:b/>
                <w:bCs/>
                <w:color w:val="000000"/>
                <w:sz w:val="20"/>
                <w:szCs w:val="18"/>
              </w:rPr>
            </w:pPr>
          </w:p>
        </w:tc>
        <w:tc>
          <w:tcPr>
            <w:tcW w:w="1046" w:type="pct"/>
            <w:shd w:val="clear" w:color="auto" w:fill="C2D69B" w:themeFill="accent3" w:themeFillTint="99"/>
            <w:vAlign w:val="center"/>
          </w:tcPr>
          <w:p w:rsidR="00D27318" w:rsidRPr="00801C75" w:rsidRDefault="00D27318" w:rsidP="00331E80">
            <w:pPr>
              <w:autoSpaceDE w:val="0"/>
              <w:autoSpaceDN w:val="0"/>
              <w:bidi w:val="0"/>
              <w:adjustRightInd w:val="0"/>
              <w:snapToGrid w:val="0"/>
              <w:jc w:val="both"/>
              <w:rPr>
                <w:b/>
                <w:bCs/>
                <w:color w:val="000000"/>
                <w:sz w:val="20"/>
                <w:szCs w:val="18"/>
              </w:rPr>
            </w:pPr>
            <w:r w:rsidRPr="00801C75">
              <w:rPr>
                <w:b/>
                <w:bCs/>
                <w:color w:val="000000"/>
                <w:sz w:val="20"/>
                <w:szCs w:val="18"/>
              </w:rPr>
              <w:t>Lower</w:t>
            </w:r>
          </w:p>
        </w:tc>
        <w:tc>
          <w:tcPr>
            <w:tcW w:w="1029" w:type="pct"/>
            <w:shd w:val="clear" w:color="auto" w:fill="C2D69B" w:themeFill="accent3" w:themeFillTint="99"/>
            <w:vAlign w:val="center"/>
          </w:tcPr>
          <w:p w:rsidR="00D27318" w:rsidRPr="00801C75" w:rsidRDefault="00D27318" w:rsidP="00331E80">
            <w:pPr>
              <w:autoSpaceDE w:val="0"/>
              <w:autoSpaceDN w:val="0"/>
              <w:bidi w:val="0"/>
              <w:adjustRightInd w:val="0"/>
              <w:snapToGrid w:val="0"/>
              <w:jc w:val="both"/>
              <w:rPr>
                <w:b/>
                <w:bCs/>
                <w:color w:val="000000"/>
                <w:sz w:val="20"/>
                <w:szCs w:val="18"/>
              </w:rPr>
            </w:pPr>
            <w:r w:rsidRPr="00801C75">
              <w:rPr>
                <w:b/>
                <w:bCs/>
                <w:color w:val="000000"/>
                <w:sz w:val="20"/>
                <w:szCs w:val="18"/>
              </w:rPr>
              <w:t xml:space="preserve">Upper </w:t>
            </w:r>
          </w:p>
        </w:tc>
      </w:tr>
      <w:tr w:rsidR="00D27318" w:rsidRPr="00801C75" w:rsidTr="00801C75">
        <w:trPr>
          <w:cantSplit/>
          <w:jc w:val="center"/>
        </w:trPr>
        <w:tc>
          <w:tcPr>
            <w:tcW w:w="1359" w:type="pct"/>
            <w:shd w:val="clear" w:color="auto" w:fill="FFFFFF"/>
            <w:vAlign w:val="center"/>
          </w:tcPr>
          <w:p w:rsidR="00D27318" w:rsidRPr="00801C75" w:rsidRDefault="00D27318" w:rsidP="00331E80">
            <w:pPr>
              <w:autoSpaceDE w:val="0"/>
              <w:autoSpaceDN w:val="0"/>
              <w:bidi w:val="0"/>
              <w:adjustRightInd w:val="0"/>
              <w:snapToGrid w:val="0"/>
              <w:jc w:val="both"/>
              <w:rPr>
                <w:color w:val="000000"/>
                <w:sz w:val="20"/>
                <w:szCs w:val="18"/>
              </w:rPr>
            </w:pPr>
            <w:r w:rsidRPr="00801C75">
              <w:rPr>
                <w:color w:val="000000"/>
                <w:sz w:val="20"/>
                <w:szCs w:val="18"/>
              </w:rPr>
              <w:t>19.800</w:t>
            </w:r>
          </w:p>
        </w:tc>
        <w:tc>
          <w:tcPr>
            <w:tcW w:w="1566" w:type="pct"/>
            <w:shd w:val="clear" w:color="auto" w:fill="FFFFFF"/>
            <w:vAlign w:val="center"/>
          </w:tcPr>
          <w:p w:rsidR="00D27318" w:rsidRPr="00801C75" w:rsidRDefault="00D27318" w:rsidP="00331E80">
            <w:pPr>
              <w:autoSpaceDE w:val="0"/>
              <w:autoSpaceDN w:val="0"/>
              <w:bidi w:val="0"/>
              <w:adjustRightInd w:val="0"/>
              <w:snapToGrid w:val="0"/>
              <w:jc w:val="both"/>
              <w:rPr>
                <w:color w:val="000000"/>
                <w:sz w:val="20"/>
                <w:szCs w:val="18"/>
              </w:rPr>
            </w:pPr>
            <w:r w:rsidRPr="00801C75">
              <w:rPr>
                <w:color w:val="000000"/>
                <w:sz w:val="20"/>
                <w:szCs w:val="18"/>
              </w:rPr>
              <w:t>2.046</w:t>
            </w:r>
          </w:p>
        </w:tc>
        <w:tc>
          <w:tcPr>
            <w:tcW w:w="1046" w:type="pct"/>
            <w:shd w:val="clear" w:color="auto" w:fill="FFFFFF"/>
            <w:vAlign w:val="center"/>
          </w:tcPr>
          <w:p w:rsidR="00D27318" w:rsidRPr="00801C75" w:rsidRDefault="00D27318" w:rsidP="00331E80">
            <w:pPr>
              <w:autoSpaceDE w:val="0"/>
              <w:autoSpaceDN w:val="0"/>
              <w:bidi w:val="0"/>
              <w:adjustRightInd w:val="0"/>
              <w:snapToGrid w:val="0"/>
              <w:jc w:val="both"/>
              <w:rPr>
                <w:color w:val="000000"/>
                <w:sz w:val="20"/>
                <w:szCs w:val="18"/>
              </w:rPr>
            </w:pPr>
            <w:r w:rsidRPr="00801C75">
              <w:rPr>
                <w:color w:val="000000"/>
                <w:sz w:val="20"/>
                <w:szCs w:val="18"/>
              </w:rPr>
              <w:t>15.79</w:t>
            </w:r>
          </w:p>
        </w:tc>
        <w:tc>
          <w:tcPr>
            <w:tcW w:w="1029" w:type="pct"/>
            <w:shd w:val="clear" w:color="auto" w:fill="FFFFFF"/>
            <w:vAlign w:val="center"/>
          </w:tcPr>
          <w:p w:rsidR="00D27318" w:rsidRPr="00801C75" w:rsidRDefault="00D27318" w:rsidP="00331E80">
            <w:pPr>
              <w:autoSpaceDE w:val="0"/>
              <w:autoSpaceDN w:val="0"/>
              <w:bidi w:val="0"/>
              <w:adjustRightInd w:val="0"/>
              <w:snapToGrid w:val="0"/>
              <w:jc w:val="both"/>
              <w:rPr>
                <w:color w:val="000000"/>
                <w:sz w:val="20"/>
                <w:szCs w:val="18"/>
              </w:rPr>
            </w:pPr>
            <w:r w:rsidRPr="00801C75">
              <w:rPr>
                <w:color w:val="000000"/>
                <w:sz w:val="20"/>
                <w:szCs w:val="18"/>
              </w:rPr>
              <w:t>23.81</w:t>
            </w:r>
          </w:p>
        </w:tc>
      </w:tr>
    </w:tbl>
    <w:p w:rsidR="0094756F" w:rsidRPr="00801C75" w:rsidRDefault="0094756F" w:rsidP="00331E80">
      <w:pPr>
        <w:bidi w:val="0"/>
        <w:snapToGrid w:val="0"/>
        <w:jc w:val="center"/>
        <w:rPr>
          <w:b/>
          <w:bCs/>
          <w:sz w:val="20"/>
          <w:szCs w:val="18"/>
          <w:shd w:val="clear" w:color="auto" w:fill="FFFFFF"/>
        </w:rPr>
      </w:pPr>
      <w:bookmarkStart w:id="23" w:name="_Toc7713633"/>
      <w:bookmarkStart w:id="24" w:name="_Toc7857979"/>
    </w:p>
    <w:p w:rsidR="00D27318" w:rsidRPr="00801C75" w:rsidRDefault="00C175C5" w:rsidP="00331E80">
      <w:pPr>
        <w:bidi w:val="0"/>
        <w:snapToGrid w:val="0"/>
        <w:jc w:val="center"/>
        <w:rPr>
          <w:color w:val="000000" w:themeColor="text1"/>
          <w:sz w:val="20"/>
          <w:szCs w:val="18"/>
        </w:rPr>
      </w:pPr>
      <w:r w:rsidRPr="00801C75">
        <w:rPr>
          <w:b/>
          <w:bCs/>
          <w:sz w:val="20"/>
          <w:szCs w:val="18"/>
          <w:shd w:val="clear" w:color="auto" w:fill="FFFFFF"/>
        </w:rPr>
        <w:t>Table (</w:t>
      </w:r>
      <w:r w:rsidR="0014198C" w:rsidRPr="00801C75">
        <w:rPr>
          <w:b/>
          <w:bCs/>
          <w:sz w:val="20"/>
          <w:szCs w:val="18"/>
          <w:shd w:val="clear" w:color="auto" w:fill="FFFFFF"/>
        </w:rPr>
        <w:fldChar w:fldCharType="begin"/>
      </w:r>
      <w:r w:rsidRPr="00801C75">
        <w:rPr>
          <w:b/>
          <w:bCs/>
          <w:sz w:val="20"/>
          <w:szCs w:val="18"/>
          <w:shd w:val="clear" w:color="auto" w:fill="FFFFFF"/>
        </w:rPr>
        <w:instrText xml:space="preserve"> SEQ Table \* ARABIC </w:instrText>
      </w:r>
      <w:r w:rsidR="0014198C" w:rsidRPr="00801C75">
        <w:rPr>
          <w:b/>
          <w:bCs/>
          <w:sz w:val="20"/>
          <w:szCs w:val="18"/>
          <w:shd w:val="clear" w:color="auto" w:fill="FFFFFF"/>
        </w:rPr>
        <w:fldChar w:fldCharType="separate"/>
      </w:r>
      <w:r w:rsidR="00D60619">
        <w:rPr>
          <w:b/>
          <w:bCs/>
          <w:noProof/>
          <w:sz w:val="20"/>
          <w:szCs w:val="18"/>
          <w:shd w:val="clear" w:color="auto" w:fill="FFFFFF"/>
        </w:rPr>
        <w:t>11</w:t>
      </w:r>
      <w:r w:rsidR="0014198C" w:rsidRPr="00801C75">
        <w:rPr>
          <w:b/>
          <w:bCs/>
          <w:sz w:val="20"/>
          <w:szCs w:val="18"/>
          <w:shd w:val="clear" w:color="auto" w:fill="FFFFFF"/>
        </w:rPr>
        <w:fldChar w:fldCharType="end"/>
      </w:r>
      <w:r w:rsidRPr="00801C75">
        <w:rPr>
          <w:b/>
          <w:bCs/>
          <w:sz w:val="20"/>
          <w:szCs w:val="18"/>
          <w:shd w:val="clear" w:color="auto" w:fill="FFFFFF"/>
        </w:rPr>
        <w:t>)</w:t>
      </w:r>
      <w:r w:rsidR="00331E80" w:rsidRPr="00801C75">
        <w:rPr>
          <w:sz w:val="20"/>
          <w:szCs w:val="18"/>
          <w:shd w:val="clear" w:color="auto" w:fill="FFFFFF"/>
        </w:rPr>
        <w:t>:</w:t>
      </w:r>
      <w:r w:rsidR="00331E80">
        <w:rPr>
          <w:sz w:val="20"/>
          <w:szCs w:val="18"/>
          <w:shd w:val="clear" w:color="auto" w:fill="FFFFFF"/>
        </w:rPr>
        <w:t xml:space="preserve"> </w:t>
      </w:r>
      <w:r w:rsidR="00331E80" w:rsidRPr="00801C75">
        <w:rPr>
          <w:sz w:val="20"/>
          <w:szCs w:val="18"/>
        </w:rPr>
        <w:t>P</w:t>
      </w:r>
      <w:r w:rsidR="00D27318" w:rsidRPr="00801C75">
        <w:rPr>
          <w:sz w:val="20"/>
          <w:szCs w:val="18"/>
        </w:rPr>
        <w:t xml:space="preserve">rogression free survival </w:t>
      </w:r>
      <w:r w:rsidR="00D27318" w:rsidRPr="00801C75">
        <w:rPr>
          <w:color w:val="000000" w:themeColor="text1"/>
          <w:sz w:val="20"/>
          <w:szCs w:val="18"/>
        </w:rPr>
        <w:t>in the initially metastatic group (n=45).</w:t>
      </w:r>
      <w:bookmarkEnd w:id="23"/>
      <w:bookmarkEnd w:id="2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575"/>
        <w:gridCol w:w="2967"/>
        <w:gridCol w:w="1982"/>
        <w:gridCol w:w="1950"/>
      </w:tblGrid>
      <w:tr w:rsidR="00D27318" w:rsidRPr="00801C75" w:rsidTr="00801C75">
        <w:trPr>
          <w:cantSplit/>
          <w:jc w:val="center"/>
        </w:trPr>
        <w:tc>
          <w:tcPr>
            <w:tcW w:w="5000" w:type="pct"/>
            <w:gridSpan w:val="4"/>
            <w:shd w:val="clear" w:color="auto" w:fill="C2D69B" w:themeFill="accent3" w:themeFillTint="99"/>
            <w:vAlign w:val="center"/>
          </w:tcPr>
          <w:p w:rsidR="00D27318" w:rsidRPr="00801C75" w:rsidRDefault="00D27318" w:rsidP="00331E80">
            <w:pPr>
              <w:autoSpaceDE w:val="0"/>
              <w:autoSpaceDN w:val="0"/>
              <w:bidi w:val="0"/>
              <w:adjustRightInd w:val="0"/>
              <w:snapToGrid w:val="0"/>
              <w:jc w:val="both"/>
              <w:rPr>
                <w:b/>
                <w:bCs/>
                <w:color w:val="000000"/>
                <w:sz w:val="20"/>
                <w:szCs w:val="18"/>
              </w:rPr>
            </w:pPr>
            <w:r w:rsidRPr="00801C75">
              <w:rPr>
                <w:b/>
                <w:bCs/>
                <w:color w:val="000000"/>
                <w:sz w:val="20"/>
                <w:szCs w:val="18"/>
              </w:rPr>
              <w:t>Median</w:t>
            </w:r>
          </w:p>
        </w:tc>
      </w:tr>
      <w:tr w:rsidR="00D27318" w:rsidRPr="00801C75" w:rsidTr="00801C75">
        <w:trPr>
          <w:cantSplit/>
          <w:jc w:val="center"/>
        </w:trPr>
        <w:tc>
          <w:tcPr>
            <w:tcW w:w="1359" w:type="pct"/>
            <w:vMerge w:val="restart"/>
            <w:shd w:val="clear" w:color="auto" w:fill="C2D69B" w:themeFill="accent3" w:themeFillTint="99"/>
            <w:vAlign w:val="center"/>
          </w:tcPr>
          <w:p w:rsidR="00D27318" w:rsidRPr="00801C75" w:rsidRDefault="00D27318" w:rsidP="00331E80">
            <w:pPr>
              <w:autoSpaceDE w:val="0"/>
              <w:autoSpaceDN w:val="0"/>
              <w:bidi w:val="0"/>
              <w:adjustRightInd w:val="0"/>
              <w:snapToGrid w:val="0"/>
              <w:jc w:val="both"/>
              <w:rPr>
                <w:b/>
                <w:bCs/>
                <w:color w:val="000000"/>
                <w:sz w:val="20"/>
                <w:szCs w:val="18"/>
              </w:rPr>
            </w:pPr>
            <w:r w:rsidRPr="00801C75">
              <w:rPr>
                <w:b/>
                <w:bCs/>
                <w:color w:val="000000"/>
                <w:sz w:val="20"/>
                <w:szCs w:val="18"/>
              </w:rPr>
              <w:t>Estimate</w:t>
            </w:r>
          </w:p>
        </w:tc>
        <w:tc>
          <w:tcPr>
            <w:tcW w:w="1566" w:type="pct"/>
            <w:vMerge w:val="restart"/>
            <w:shd w:val="clear" w:color="auto" w:fill="C2D69B" w:themeFill="accent3" w:themeFillTint="99"/>
            <w:vAlign w:val="center"/>
          </w:tcPr>
          <w:p w:rsidR="00D27318" w:rsidRPr="00801C75" w:rsidRDefault="00D27318" w:rsidP="00331E80">
            <w:pPr>
              <w:autoSpaceDE w:val="0"/>
              <w:autoSpaceDN w:val="0"/>
              <w:bidi w:val="0"/>
              <w:adjustRightInd w:val="0"/>
              <w:snapToGrid w:val="0"/>
              <w:jc w:val="both"/>
              <w:rPr>
                <w:b/>
                <w:bCs/>
                <w:color w:val="000000"/>
                <w:sz w:val="20"/>
                <w:szCs w:val="18"/>
              </w:rPr>
            </w:pPr>
            <w:r w:rsidRPr="00801C75">
              <w:rPr>
                <w:b/>
                <w:bCs/>
                <w:color w:val="000000"/>
                <w:sz w:val="20"/>
                <w:szCs w:val="18"/>
              </w:rPr>
              <w:t>Std. Error</w:t>
            </w:r>
          </w:p>
        </w:tc>
        <w:tc>
          <w:tcPr>
            <w:tcW w:w="2075" w:type="pct"/>
            <w:gridSpan w:val="2"/>
            <w:shd w:val="clear" w:color="auto" w:fill="C2D69B" w:themeFill="accent3" w:themeFillTint="99"/>
            <w:vAlign w:val="center"/>
          </w:tcPr>
          <w:p w:rsidR="00D27318" w:rsidRPr="00801C75" w:rsidRDefault="00D27318" w:rsidP="00331E80">
            <w:pPr>
              <w:autoSpaceDE w:val="0"/>
              <w:autoSpaceDN w:val="0"/>
              <w:bidi w:val="0"/>
              <w:adjustRightInd w:val="0"/>
              <w:snapToGrid w:val="0"/>
              <w:jc w:val="both"/>
              <w:rPr>
                <w:b/>
                <w:bCs/>
                <w:color w:val="000000"/>
                <w:sz w:val="20"/>
                <w:szCs w:val="18"/>
              </w:rPr>
            </w:pPr>
            <w:r w:rsidRPr="00801C75">
              <w:rPr>
                <w:b/>
                <w:bCs/>
                <w:color w:val="000000"/>
                <w:sz w:val="20"/>
                <w:szCs w:val="18"/>
              </w:rPr>
              <w:t>95% C.I.</w:t>
            </w:r>
          </w:p>
        </w:tc>
      </w:tr>
      <w:tr w:rsidR="00D27318" w:rsidRPr="00801C75" w:rsidTr="00801C75">
        <w:trPr>
          <w:cantSplit/>
          <w:jc w:val="center"/>
        </w:trPr>
        <w:tc>
          <w:tcPr>
            <w:tcW w:w="1359" w:type="pct"/>
            <w:vMerge/>
            <w:shd w:val="clear" w:color="auto" w:fill="C2D69B" w:themeFill="accent3" w:themeFillTint="99"/>
            <w:vAlign w:val="center"/>
          </w:tcPr>
          <w:p w:rsidR="00D27318" w:rsidRPr="00801C75" w:rsidRDefault="00D27318" w:rsidP="00331E80">
            <w:pPr>
              <w:autoSpaceDE w:val="0"/>
              <w:autoSpaceDN w:val="0"/>
              <w:bidi w:val="0"/>
              <w:adjustRightInd w:val="0"/>
              <w:snapToGrid w:val="0"/>
              <w:jc w:val="both"/>
              <w:rPr>
                <w:b/>
                <w:bCs/>
                <w:color w:val="000000"/>
                <w:sz w:val="20"/>
                <w:szCs w:val="18"/>
              </w:rPr>
            </w:pPr>
          </w:p>
        </w:tc>
        <w:tc>
          <w:tcPr>
            <w:tcW w:w="1566" w:type="pct"/>
            <w:vMerge/>
            <w:shd w:val="clear" w:color="auto" w:fill="C2D69B" w:themeFill="accent3" w:themeFillTint="99"/>
            <w:vAlign w:val="center"/>
          </w:tcPr>
          <w:p w:rsidR="00D27318" w:rsidRPr="00801C75" w:rsidRDefault="00D27318" w:rsidP="00331E80">
            <w:pPr>
              <w:autoSpaceDE w:val="0"/>
              <w:autoSpaceDN w:val="0"/>
              <w:bidi w:val="0"/>
              <w:adjustRightInd w:val="0"/>
              <w:snapToGrid w:val="0"/>
              <w:jc w:val="both"/>
              <w:rPr>
                <w:b/>
                <w:bCs/>
                <w:color w:val="000000"/>
                <w:sz w:val="20"/>
                <w:szCs w:val="18"/>
              </w:rPr>
            </w:pPr>
          </w:p>
        </w:tc>
        <w:tc>
          <w:tcPr>
            <w:tcW w:w="1046" w:type="pct"/>
            <w:shd w:val="clear" w:color="auto" w:fill="C2D69B" w:themeFill="accent3" w:themeFillTint="99"/>
            <w:vAlign w:val="center"/>
          </w:tcPr>
          <w:p w:rsidR="00D27318" w:rsidRPr="00801C75" w:rsidRDefault="00D27318" w:rsidP="00331E80">
            <w:pPr>
              <w:autoSpaceDE w:val="0"/>
              <w:autoSpaceDN w:val="0"/>
              <w:bidi w:val="0"/>
              <w:adjustRightInd w:val="0"/>
              <w:snapToGrid w:val="0"/>
              <w:jc w:val="both"/>
              <w:rPr>
                <w:b/>
                <w:bCs/>
                <w:color w:val="000000"/>
                <w:sz w:val="20"/>
                <w:szCs w:val="18"/>
              </w:rPr>
            </w:pPr>
            <w:r w:rsidRPr="00801C75">
              <w:rPr>
                <w:b/>
                <w:bCs/>
                <w:color w:val="000000"/>
                <w:sz w:val="20"/>
                <w:szCs w:val="18"/>
              </w:rPr>
              <w:t>Lower</w:t>
            </w:r>
          </w:p>
        </w:tc>
        <w:tc>
          <w:tcPr>
            <w:tcW w:w="1029" w:type="pct"/>
            <w:shd w:val="clear" w:color="auto" w:fill="C2D69B" w:themeFill="accent3" w:themeFillTint="99"/>
            <w:vAlign w:val="center"/>
          </w:tcPr>
          <w:p w:rsidR="00D27318" w:rsidRPr="00801C75" w:rsidRDefault="00D27318" w:rsidP="00331E80">
            <w:pPr>
              <w:autoSpaceDE w:val="0"/>
              <w:autoSpaceDN w:val="0"/>
              <w:bidi w:val="0"/>
              <w:adjustRightInd w:val="0"/>
              <w:snapToGrid w:val="0"/>
              <w:jc w:val="both"/>
              <w:rPr>
                <w:b/>
                <w:bCs/>
                <w:color w:val="000000"/>
                <w:sz w:val="20"/>
                <w:szCs w:val="18"/>
              </w:rPr>
            </w:pPr>
            <w:r w:rsidRPr="00801C75">
              <w:rPr>
                <w:b/>
                <w:bCs/>
                <w:color w:val="000000"/>
                <w:sz w:val="20"/>
                <w:szCs w:val="18"/>
              </w:rPr>
              <w:t xml:space="preserve">Upper </w:t>
            </w:r>
          </w:p>
        </w:tc>
      </w:tr>
      <w:tr w:rsidR="00D27318" w:rsidRPr="00801C75" w:rsidTr="00801C75">
        <w:trPr>
          <w:cantSplit/>
          <w:jc w:val="center"/>
        </w:trPr>
        <w:tc>
          <w:tcPr>
            <w:tcW w:w="1359" w:type="pct"/>
            <w:shd w:val="clear" w:color="auto" w:fill="FFFFFF"/>
            <w:vAlign w:val="center"/>
          </w:tcPr>
          <w:p w:rsidR="00D27318" w:rsidRPr="00801C75" w:rsidRDefault="00D27318" w:rsidP="00331E80">
            <w:pPr>
              <w:autoSpaceDE w:val="0"/>
              <w:autoSpaceDN w:val="0"/>
              <w:bidi w:val="0"/>
              <w:adjustRightInd w:val="0"/>
              <w:snapToGrid w:val="0"/>
              <w:jc w:val="both"/>
              <w:rPr>
                <w:color w:val="000000"/>
                <w:sz w:val="20"/>
                <w:szCs w:val="18"/>
              </w:rPr>
            </w:pPr>
            <w:r w:rsidRPr="00801C75">
              <w:rPr>
                <w:color w:val="000000"/>
                <w:sz w:val="20"/>
                <w:szCs w:val="18"/>
              </w:rPr>
              <w:t>15.00</w:t>
            </w:r>
          </w:p>
        </w:tc>
        <w:tc>
          <w:tcPr>
            <w:tcW w:w="1566" w:type="pct"/>
            <w:shd w:val="clear" w:color="auto" w:fill="FFFFFF"/>
            <w:vAlign w:val="center"/>
          </w:tcPr>
          <w:p w:rsidR="00D27318" w:rsidRPr="00801C75" w:rsidRDefault="00D27318" w:rsidP="00331E80">
            <w:pPr>
              <w:autoSpaceDE w:val="0"/>
              <w:autoSpaceDN w:val="0"/>
              <w:bidi w:val="0"/>
              <w:adjustRightInd w:val="0"/>
              <w:snapToGrid w:val="0"/>
              <w:jc w:val="both"/>
              <w:rPr>
                <w:color w:val="000000"/>
                <w:sz w:val="20"/>
                <w:szCs w:val="18"/>
              </w:rPr>
            </w:pPr>
            <w:r w:rsidRPr="00801C75">
              <w:rPr>
                <w:color w:val="000000"/>
                <w:sz w:val="20"/>
                <w:szCs w:val="18"/>
              </w:rPr>
              <w:t>4.62</w:t>
            </w:r>
          </w:p>
        </w:tc>
        <w:tc>
          <w:tcPr>
            <w:tcW w:w="1046" w:type="pct"/>
            <w:shd w:val="clear" w:color="auto" w:fill="FFFFFF"/>
            <w:vAlign w:val="center"/>
          </w:tcPr>
          <w:p w:rsidR="00D27318" w:rsidRPr="00801C75" w:rsidRDefault="00D27318" w:rsidP="00331E80">
            <w:pPr>
              <w:autoSpaceDE w:val="0"/>
              <w:autoSpaceDN w:val="0"/>
              <w:bidi w:val="0"/>
              <w:adjustRightInd w:val="0"/>
              <w:snapToGrid w:val="0"/>
              <w:jc w:val="both"/>
              <w:rPr>
                <w:color w:val="000000"/>
                <w:sz w:val="20"/>
                <w:szCs w:val="18"/>
              </w:rPr>
            </w:pPr>
            <w:r w:rsidRPr="00801C75">
              <w:rPr>
                <w:color w:val="000000"/>
                <w:sz w:val="20"/>
                <w:szCs w:val="18"/>
              </w:rPr>
              <w:t>6.54</w:t>
            </w:r>
          </w:p>
        </w:tc>
        <w:tc>
          <w:tcPr>
            <w:tcW w:w="1029" w:type="pct"/>
            <w:shd w:val="clear" w:color="auto" w:fill="FFFFFF"/>
            <w:vAlign w:val="center"/>
          </w:tcPr>
          <w:p w:rsidR="00D27318" w:rsidRPr="00801C75" w:rsidRDefault="00D27318" w:rsidP="00331E80">
            <w:pPr>
              <w:autoSpaceDE w:val="0"/>
              <w:autoSpaceDN w:val="0"/>
              <w:bidi w:val="0"/>
              <w:adjustRightInd w:val="0"/>
              <w:snapToGrid w:val="0"/>
              <w:jc w:val="both"/>
              <w:rPr>
                <w:color w:val="000000"/>
                <w:sz w:val="20"/>
                <w:szCs w:val="18"/>
              </w:rPr>
            </w:pPr>
            <w:r w:rsidRPr="00801C75">
              <w:rPr>
                <w:color w:val="000000"/>
                <w:sz w:val="20"/>
                <w:szCs w:val="18"/>
              </w:rPr>
              <w:t>24.66</w:t>
            </w:r>
          </w:p>
        </w:tc>
      </w:tr>
    </w:tbl>
    <w:p w:rsidR="00FC0DD6" w:rsidRPr="00801C75" w:rsidRDefault="00FC0DD6" w:rsidP="00331E80">
      <w:pPr>
        <w:bidi w:val="0"/>
        <w:snapToGrid w:val="0"/>
        <w:ind w:firstLine="425"/>
        <w:jc w:val="both"/>
        <w:rPr>
          <w:sz w:val="20"/>
          <w:szCs w:val="20"/>
          <w:lang w:eastAsia="ar-SA"/>
        </w:rPr>
      </w:pPr>
    </w:p>
    <w:p w:rsidR="00FC0DD6" w:rsidRPr="00801C75" w:rsidRDefault="00FC0DD6" w:rsidP="00331E80">
      <w:pPr>
        <w:bidi w:val="0"/>
        <w:snapToGrid w:val="0"/>
        <w:ind w:firstLine="425"/>
        <w:jc w:val="both"/>
        <w:rPr>
          <w:sz w:val="20"/>
          <w:szCs w:val="20"/>
          <w:lang w:eastAsia="ar-SA"/>
        </w:rPr>
      </w:pPr>
      <w:r w:rsidRPr="00801C75">
        <w:rPr>
          <w:sz w:val="20"/>
          <w:szCs w:val="20"/>
          <w:lang w:eastAsia="ar-SA"/>
        </w:rPr>
        <w:t>Inadequate LNs dissection (&lt;12 LN) was statistically significant (P Value=.003) with DFS in locally advanced resected patient group</w:t>
      </w:r>
      <w:r w:rsidR="00331E80" w:rsidRPr="00801C75">
        <w:rPr>
          <w:sz w:val="20"/>
          <w:szCs w:val="20"/>
          <w:lang w:eastAsia="ar-SA"/>
        </w:rPr>
        <w:t>.</w:t>
      </w:r>
      <w:r w:rsidR="00331E80">
        <w:rPr>
          <w:sz w:val="20"/>
          <w:szCs w:val="20"/>
          <w:lang w:eastAsia="ar-SA"/>
        </w:rPr>
        <w:t xml:space="preserve"> </w:t>
      </w:r>
      <w:r w:rsidR="00331E80" w:rsidRPr="00801C75">
        <w:rPr>
          <w:sz w:val="20"/>
          <w:szCs w:val="20"/>
          <w:lang w:eastAsia="ar-SA"/>
        </w:rPr>
        <w:t>P</w:t>
      </w:r>
      <w:r w:rsidRPr="00801C75">
        <w:rPr>
          <w:sz w:val="20"/>
          <w:szCs w:val="20"/>
          <w:lang w:eastAsia="ar-SA"/>
        </w:rPr>
        <w:t>VI and grade were statistically significant (P Value=.033), (P Value=.048) with PFS.</w:t>
      </w:r>
    </w:p>
    <w:p w:rsidR="00FC0DD6" w:rsidRPr="00801C75" w:rsidRDefault="00FC0DD6" w:rsidP="00331E80">
      <w:pPr>
        <w:bidi w:val="0"/>
        <w:snapToGrid w:val="0"/>
        <w:ind w:firstLine="425"/>
        <w:jc w:val="both"/>
        <w:rPr>
          <w:sz w:val="20"/>
          <w:szCs w:val="20"/>
          <w:lang w:eastAsia="ar-SA"/>
        </w:rPr>
      </w:pPr>
    </w:p>
    <w:p w:rsidR="00D27318" w:rsidRPr="00801C75" w:rsidRDefault="005830D0" w:rsidP="00331E80">
      <w:pPr>
        <w:bidi w:val="0"/>
        <w:snapToGrid w:val="0"/>
        <w:jc w:val="center"/>
        <w:rPr>
          <w:sz w:val="20"/>
          <w:szCs w:val="20"/>
          <w:lang w:bidi="ar-EG"/>
        </w:rPr>
      </w:pPr>
      <w:bookmarkStart w:id="25" w:name="_Toc7857982"/>
      <w:r w:rsidRPr="00801C75">
        <w:rPr>
          <w:b/>
          <w:bCs/>
          <w:sz w:val="20"/>
          <w:szCs w:val="20"/>
          <w:shd w:val="clear" w:color="auto" w:fill="FFFFFF"/>
        </w:rPr>
        <w:t>Table (</w:t>
      </w:r>
      <w:r w:rsidR="0014198C" w:rsidRPr="00801C75">
        <w:rPr>
          <w:b/>
          <w:bCs/>
          <w:sz w:val="20"/>
          <w:szCs w:val="20"/>
          <w:shd w:val="clear" w:color="auto" w:fill="FFFFFF"/>
        </w:rPr>
        <w:fldChar w:fldCharType="begin"/>
      </w:r>
      <w:r w:rsidRPr="00801C75">
        <w:rPr>
          <w:b/>
          <w:bCs/>
          <w:sz w:val="20"/>
          <w:szCs w:val="20"/>
          <w:shd w:val="clear" w:color="auto" w:fill="FFFFFF"/>
        </w:rPr>
        <w:instrText xml:space="preserve"> SEQ Table \* ARABIC </w:instrText>
      </w:r>
      <w:r w:rsidR="0014198C" w:rsidRPr="00801C75">
        <w:rPr>
          <w:b/>
          <w:bCs/>
          <w:sz w:val="20"/>
          <w:szCs w:val="20"/>
          <w:shd w:val="clear" w:color="auto" w:fill="FFFFFF"/>
        </w:rPr>
        <w:fldChar w:fldCharType="separate"/>
      </w:r>
      <w:r w:rsidR="00D60619">
        <w:rPr>
          <w:b/>
          <w:bCs/>
          <w:noProof/>
          <w:sz w:val="20"/>
          <w:szCs w:val="20"/>
          <w:shd w:val="clear" w:color="auto" w:fill="FFFFFF"/>
        </w:rPr>
        <w:t>12</w:t>
      </w:r>
      <w:r w:rsidR="0014198C" w:rsidRPr="00801C75">
        <w:rPr>
          <w:b/>
          <w:bCs/>
          <w:sz w:val="20"/>
          <w:szCs w:val="20"/>
          <w:shd w:val="clear" w:color="auto" w:fill="FFFFFF"/>
        </w:rPr>
        <w:fldChar w:fldCharType="end"/>
      </w:r>
      <w:r w:rsidRPr="00801C75">
        <w:rPr>
          <w:b/>
          <w:bCs/>
          <w:sz w:val="20"/>
          <w:szCs w:val="20"/>
          <w:shd w:val="clear" w:color="auto" w:fill="FFFFFF"/>
        </w:rPr>
        <w:t>)</w:t>
      </w:r>
      <w:r w:rsidRPr="00801C75">
        <w:rPr>
          <w:sz w:val="20"/>
          <w:szCs w:val="20"/>
          <w:shd w:val="clear" w:color="auto" w:fill="FFFFFF"/>
        </w:rPr>
        <w:t>:</w:t>
      </w:r>
      <w:r w:rsidR="00D27318" w:rsidRPr="00801C75">
        <w:rPr>
          <w:sz w:val="20"/>
          <w:szCs w:val="20"/>
        </w:rPr>
        <w:t xml:space="preserve"> Overall survival based on death between all data characteristics in all patients is shown.</w:t>
      </w:r>
      <w:bookmarkEnd w:id="25"/>
    </w:p>
    <w:tbl>
      <w:tblPr>
        <w:tblW w:w="5000" w:type="pct"/>
        <w:jc w:val="center"/>
        <w:tblCellMar>
          <w:left w:w="57" w:type="dxa"/>
          <w:right w:w="57" w:type="dxa"/>
        </w:tblCellMar>
        <w:tblLook w:val="04A0"/>
      </w:tblPr>
      <w:tblGrid>
        <w:gridCol w:w="2194"/>
        <w:gridCol w:w="728"/>
        <w:gridCol w:w="1154"/>
        <w:gridCol w:w="748"/>
        <w:gridCol w:w="889"/>
        <w:gridCol w:w="881"/>
        <w:gridCol w:w="1241"/>
        <w:gridCol w:w="1639"/>
      </w:tblGrid>
      <w:tr w:rsidR="00D27318" w:rsidRPr="00166A00" w:rsidTr="00166A00">
        <w:trPr>
          <w:tblHeader/>
          <w:jc w:val="center"/>
        </w:trPr>
        <w:tc>
          <w:tcPr>
            <w:tcW w:w="1542" w:type="pct"/>
            <w:gridSpan w:val="2"/>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 Parameters</w:t>
            </w:r>
          </w:p>
        </w:tc>
        <w:tc>
          <w:tcPr>
            <w:tcW w:w="1004" w:type="pct"/>
            <w:gridSpan w:val="2"/>
            <w:tcBorders>
              <w:top w:val="single" w:sz="4" w:space="0" w:color="auto"/>
              <w:left w:val="nil"/>
              <w:bottom w:val="single" w:sz="4" w:space="0" w:color="auto"/>
              <w:right w:val="single" w:sz="4" w:space="0" w:color="auto"/>
            </w:tcBorders>
            <w:shd w:val="clear" w:color="000000" w:fill="C4D79B"/>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Median (m)</w:t>
            </w:r>
          </w:p>
        </w:tc>
        <w:tc>
          <w:tcPr>
            <w:tcW w:w="934" w:type="pct"/>
            <w:gridSpan w:val="2"/>
            <w:tcBorders>
              <w:top w:val="single" w:sz="4" w:space="0" w:color="auto"/>
              <w:left w:val="nil"/>
              <w:bottom w:val="single" w:sz="4" w:space="0" w:color="auto"/>
              <w:right w:val="single" w:sz="4" w:space="0" w:color="auto"/>
            </w:tcBorders>
            <w:shd w:val="clear" w:color="000000" w:fill="C4D79B"/>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95% C.I.</w:t>
            </w:r>
          </w:p>
        </w:tc>
        <w:tc>
          <w:tcPr>
            <w:tcW w:w="1520" w:type="pct"/>
            <w:gridSpan w:val="2"/>
            <w:tcBorders>
              <w:top w:val="single" w:sz="4" w:space="0" w:color="auto"/>
              <w:left w:val="nil"/>
              <w:bottom w:val="single" w:sz="4" w:space="0" w:color="auto"/>
              <w:right w:val="single" w:sz="4" w:space="0" w:color="auto"/>
            </w:tcBorders>
            <w:shd w:val="clear" w:color="000000" w:fill="C4D79B"/>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Log Rank (Mantel-Cox)</w:t>
            </w:r>
          </w:p>
        </w:tc>
      </w:tr>
      <w:tr w:rsidR="00801C75" w:rsidRPr="00166A00" w:rsidTr="00166A00">
        <w:trPr>
          <w:tblHeader/>
          <w:jc w:val="center"/>
        </w:trPr>
        <w:tc>
          <w:tcPr>
            <w:tcW w:w="1542" w:type="pct"/>
            <w:gridSpan w:val="2"/>
            <w:vMerge/>
            <w:tcBorders>
              <w:top w:val="single" w:sz="4" w:space="0" w:color="auto"/>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b/>
                <w:bCs/>
                <w:color w:val="000000"/>
                <w:sz w:val="19"/>
                <w:szCs w:val="19"/>
              </w:rPr>
            </w:pPr>
          </w:p>
        </w:tc>
        <w:tc>
          <w:tcPr>
            <w:tcW w:w="609" w:type="pct"/>
            <w:tcBorders>
              <w:top w:val="nil"/>
              <w:left w:val="nil"/>
              <w:bottom w:val="single" w:sz="4" w:space="0" w:color="auto"/>
              <w:right w:val="single" w:sz="4" w:space="0" w:color="auto"/>
            </w:tcBorders>
            <w:shd w:val="clear" w:color="000000" w:fill="C4D79B"/>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Estimate</w:t>
            </w:r>
          </w:p>
        </w:tc>
        <w:tc>
          <w:tcPr>
            <w:tcW w:w="395" w:type="pct"/>
            <w:tcBorders>
              <w:top w:val="nil"/>
              <w:left w:val="nil"/>
              <w:bottom w:val="single" w:sz="4" w:space="0" w:color="auto"/>
              <w:right w:val="single" w:sz="4" w:space="0" w:color="auto"/>
            </w:tcBorders>
            <w:shd w:val="clear" w:color="000000" w:fill="C4D79B"/>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SE</w:t>
            </w:r>
          </w:p>
        </w:tc>
        <w:tc>
          <w:tcPr>
            <w:tcW w:w="469" w:type="pct"/>
            <w:tcBorders>
              <w:top w:val="nil"/>
              <w:left w:val="nil"/>
              <w:bottom w:val="single" w:sz="4" w:space="0" w:color="auto"/>
              <w:right w:val="single" w:sz="4" w:space="0" w:color="auto"/>
            </w:tcBorders>
            <w:shd w:val="clear" w:color="000000" w:fill="C4D79B"/>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Lower</w:t>
            </w:r>
          </w:p>
        </w:tc>
        <w:tc>
          <w:tcPr>
            <w:tcW w:w="465" w:type="pct"/>
            <w:tcBorders>
              <w:top w:val="nil"/>
              <w:left w:val="nil"/>
              <w:bottom w:val="single" w:sz="4" w:space="0" w:color="auto"/>
              <w:right w:val="single" w:sz="4" w:space="0" w:color="auto"/>
            </w:tcBorders>
            <w:shd w:val="clear" w:color="000000" w:fill="C4D79B"/>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Upper</w:t>
            </w:r>
          </w:p>
        </w:tc>
        <w:tc>
          <w:tcPr>
            <w:tcW w:w="655" w:type="pct"/>
            <w:tcBorders>
              <w:top w:val="nil"/>
              <w:left w:val="nil"/>
              <w:bottom w:val="single" w:sz="4" w:space="0" w:color="auto"/>
              <w:right w:val="single" w:sz="4" w:space="0" w:color="auto"/>
            </w:tcBorders>
            <w:shd w:val="clear" w:color="000000" w:fill="C4D79B"/>
            <w:noWrap/>
            <w:vAlign w:val="center"/>
            <w:hideMark/>
          </w:tcPr>
          <w:p w:rsidR="00D27318" w:rsidRPr="00166A00" w:rsidRDefault="00D27318" w:rsidP="00331E80">
            <w:pPr>
              <w:bidi w:val="0"/>
              <w:snapToGrid w:val="0"/>
              <w:jc w:val="both"/>
              <w:rPr>
                <w:b/>
                <w:bCs/>
                <w:i/>
                <w:iCs/>
                <w:color w:val="000000"/>
                <w:sz w:val="19"/>
                <w:szCs w:val="19"/>
              </w:rPr>
            </w:pPr>
            <w:r w:rsidRPr="00166A00">
              <w:rPr>
                <w:b/>
                <w:bCs/>
                <w:i/>
                <w:iCs/>
                <w:color w:val="000000"/>
                <w:sz w:val="19"/>
                <w:szCs w:val="19"/>
              </w:rPr>
              <w:t>x</w:t>
            </w:r>
            <w:r w:rsidRPr="00166A00">
              <w:rPr>
                <w:b/>
                <w:bCs/>
                <w:i/>
                <w:iCs/>
                <w:color w:val="000000"/>
                <w:sz w:val="19"/>
                <w:szCs w:val="19"/>
                <w:vertAlign w:val="superscript"/>
              </w:rPr>
              <w:t>2</w:t>
            </w:r>
          </w:p>
        </w:tc>
        <w:tc>
          <w:tcPr>
            <w:tcW w:w="865" w:type="pct"/>
            <w:tcBorders>
              <w:top w:val="nil"/>
              <w:left w:val="nil"/>
              <w:bottom w:val="single" w:sz="4" w:space="0" w:color="auto"/>
              <w:right w:val="single" w:sz="4" w:space="0" w:color="auto"/>
            </w:tcBorders>
            <w:shd w:val="clear" w:color="000000" w:fill="C4D79B"/>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Sig.</w:t>
            </w:r>
          </w:p>
        </w:tc>
      </w:tr>
      <w:tr w:rsidR="00801C75" w:rsidRPr="00166A00" w:rsidTr="00166A00">
        <w:trPr>
          <w:tblHeader/>
          <w:jc w:val="center"/>
        </w:trPr>
        <w:tc>
          <w:tcPr>
            <w:tcW w:w="1158" w:type="pct"/>
            <w:tcBorders>
              <w:top w:val="nil"/>
              <w:left w:val="single" w:sz="4" w:space="0" w:color="auto"/>
              <w:bottom w:val="single" w:sz="4" w:space="0" w:color="auto"/>
              <w:right w:val="single" w:sz="4" w:space="0" w:color="auto"/>
            </w:tcBorders>
            <w:shd w:val="clear" w:color="000000" w:fill="FBD4B4"/>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Pathology report</w:t>
            </w:r>
          </w:p>
        </w:tc>
        <w:tc>
          <w:tcPr>
            <w:tcW w:w="384" w:type="pct"/>
            <w:tcBorders>
              <w:top w:val="nil"/>
              <w:left w:val="nil"/>
              <w:bottom w:val="single" w:sz="4" w:space="0" w:color="auto"/>
              <w:right w:val="single" w:sz="4" w:space="0" w:color="auto"/>
            </w:tcBorders>
            <w:shd w:val="clear" w:color="000000" w:fill="FBD4B4"/>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 </w:t>
            </w:r>
          </w:p>
        </w:tc>
        <w:tc>
          <w:tcPr>
            <w:tcW w:w="609" w:type="pct"/>
            <w:tcBorders>
              <w:top w:val="nil"/>
              <w:left w:val="nil"/>
              <w:bottom w:val="single" w:sz="4" w:space="0" w:color="auto"/>
              <w:right w:val="single" w:sz="4" w:space="0" w:color="auto"/>
            </w:tcBorders>
            <w:shd w:val="clear" w:color="000000" w:fill="FBD4B4"/>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 </w:t>
            </w:r>
          </w:p>
        </w:tc>
        <w:tc>
          <w:tcPr>
            <w:tcW w:w="395" w:type="pct"/>
            <w:tcBorders>
              <w:top w:val="nil"/>
              <w:left w:val="nil"/>
              <w:bottom w:val="single" w:sz="4" w:space="0" w:color="auto"/>
              <w:right w:val="single" w:sz="4" w:space="0" w:color="auto"/>
            </w:tcBorders>
            <w:shd w:val="clear" w:color="000000" w:fill="FBD4B4"/>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 </w:t>
            </w:r>
          </w:p>
        </w:tc>
        <w:tc>
          <w:tcPr>
            <w:tcW w:w="469" w:type="pct"/>
            <w:tcBorders>
              <w:top w:val="nil"/>
              <w:left w:val="nil"/>
              <w:bottom w:val="single" w:sz="4" w:space="0" w:color="auto"/>
              <w:right w:val="single" w:sz="4" w:space="0" w:color="auto"/>
            </w:tcBorders>
            <w:shd w:val="clear" w:color="000000" w:fill="FBD4B4"/>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 </w:t>
            </w:r>
          </w:p>
        </w:tc>
        <w:tc>
          <w:tcPr>
            <w:tcW w:w="465" w:type="pct"/>
            <w:tcBorders>
              <w:top w:val="nil"/>
              <w:left w:val="nil"/>
              <w:bottom w:val="single" w:sz="4" w:space="0" w:color="auto"/>
              <w:right w:val="single" w:sz="4" w:space="0" w:color="auto"/>
            </w:tcBorders>
            <w:shd w:val="clear" w:color="000000" w:fill="FBD4B4"/>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 </w:t>
            </w:r>
          </w:p>
        </w:tc>
        <w:tc>
          <w:tcPr>
            <w:tcW w:w="655" w:type="pct"/>
            <w:tcBorders>
              <w:top w:val="nil"/>
              <w:left w:val="nil"/>
              <w:bottom w:val="single" w:sz="4" w:space="0" w:color="auto"/>
              <w:right w:val="single" w:sz="4" w:space="0" w:color="auto"/>
            </w:tcBorders>
            <w:shd w:val="clear" w:color="000000" w:fill="FBD4B4"/>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 </w:t>
            </w:r>
          </w:p>
        </w:tc>
        <w:tc>
          <w:tcPr>
            <w:tcW w:w="865" w:type="pct"/>
            <w:tcBorders>
              <w:top w:val="nil"/>
              <w:left w:val="nil"/>
              <w:bottom w:val="single" w:sz="4" w:space="0" w:color="auto"/>
              <w:right w:val="single" w:sz="4" w:space="0" w:color="auto"/>
            </w:tcBorders>
            <w:shd w:val="clear" w:color="000000" w:fill="FBD4B4"/>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 </w:t>
            </w:r>
          </w:p>
        </w:tc>
      </w:tr>
      <w:tr w:rsidR="00801C75" w:rsidRPr="00166A00" w:rsidTr="00801C75">
        <w:trPr>
          <w:jc w:val="center"/>
        </w:trPr>
        <w:tc>
          <w:tcPr>
            <w:tcW w:w="1158" w:type="pct"/>
            <w:vMerge w:val="restart"/>
            <w:tcBorders>
              <w:top w:val="nil"/>
              <w:left w:val="single" w:sz="4" w:space="0" w:color="auto"/>
              <w:bottom w:val="single" w:sz="4" w:space="0" w:color="auto"/>
              <w:right w:val="single" w:sz="4" w:space="0" w:color="auto"/>
            </w:tcBorders>
            <w:shd w:val="clear" w:color="auto" w:fill="auto"/>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 xml:space="preserve">Inadequate </w:t>
            </w:r>
          </w:p>
        </w:tc>
        <w:tc>
          <w:tcPr>
            <w:tcW w:w="38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No</w:t>
            </w:r>
          </w:p>
        </w:tc>
        <w:tc>
          <w:tcPr>
            <w:tcW w:w="60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27.00</w:t>
            </w:r>
          </w:p>
        </w:tc>
        <w:tc>
          <w:tcPr>
            <w:tcW w:w="39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2.54</w:t>
            </w:r>
          </w:p>
        </w:tc>
        <w:tc>
          <w:tcPr>
            <w:tcW w:w="46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22.02</w:t>
            </w:r>
          </w:p>
        </w:tc>
        <w:tc>
          <w:tcPr>
            <w:tcW w:w="46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31.98</w:t>
            </w:r>
          </w:p>
        </w:tc>
        <w:tc>
          <w:tcPr>
            <w:tcW w:w="65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9.245</w:t>
            </w:r>
          </w:p>
        </w:tc>
        <w:tc>
          <w:tcPr>
            <w:tcW w:w="8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FF0000"/>
                <w:sz w:val="19"/>
                <w:szCs w:val="19"/>
              </w:rPr>
            </w:pPr>
            <w:r w:rsidRPr="00166A00">
              <w:rPr>
                <w:color w:val="FF0000"/>
                <w:sz w:val="19"/>
                <w:szCs w:val="19"/>
              </w:rPr>
              <w:t>0.002*</w:t>
            </w:r>
          </w:p>
        </w:tc>
      </w:tr>
      <w:tr w:rsidR="00801C75" w:rsidRPr="00166A00" w:rsidTr="00801C75">
        <w:trPr>
          <w:jc w:val="center"/>
        </w:trPr>
        <w:tc>
          <w:tcPr>
            <w:tcW w:w="1158"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38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Done</w:t>
            </w:r>
          </w:p>
        </w:tc>
        <w:tc>
          <w:tcPr>
            <w:tcW w:w="60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17.55</w:t>
            </w:r>
          </w:p>
        </w:tc>
        <w:tc>
          <w:tcPr>
            <w:tcW w:w="39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2.41</w:t>
            </w:r>
          </w:p>
        </w:tc>
        <w:tc>
          <w:tcPr>
            <w:tcW w:w="46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14.32</w:t>
            </w:r>
          </w:p>
        </w:tc>
        <w:tc>
          <w:tcPr>
            <w:tcW w:w="46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20.78</w:t>
            </w:r>
          </w:p>
        </w:tc>
        <w:tc>
          <w:tcPr>
            <w:tcW w:w="655"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865"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FF0000"/>
                <w:sz w:val="19"/>
                <w:szCs w:val="19"/>
              </w:rPr>
            </w:pPr>
          </w:p>
        </w:tc>
      </w:tr>
      <w:tr w:rsidR="00801C75" w:rsidRPr="00166A00" w:rsidTr="00801C75">
        <w:trPr>
          <w:jc w:val="center"/>
        </w:trPr>
        <w:tc>
          <w:tcPr>
            <w:tcW w:w="1158" w:type="pct"/>
            <w:vMerge w:val="restart"/>
            <w:tcBorders>
              <w:top w:val="nil"/>
              <w:left w:val="single" w:sz="4" w:space="0" w:color="auto"/>
              <w:bottom w:val="single" w:sz="4" w:space="0" w:color="auto"/>
              <w:right w:val="single" w:sz="4" w:space="0" w:color="auto"/>
            </w:tcBorders>
            <w:shd w:val="clear" w:color="auto" w:fill="auto"/>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M</w:t>
            </w:r>
          </w:p>
        </w:tc>
        <w:tc>
          <w:tcPr>
            <w:tcW w:w="38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No</w:t>
            </w:r>
          </w:p>
        </w:tc>
        <w:tc>
          <w:tcPr>
            <w:tcW w:w="60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31.44</w:t>
            </w:r>
          </w:p>
        </w:tc>
        <w:tc>
          <w:tcPr>
            <w:tcW w:w="39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2.38</w:t>
            </w:r>
          </w:p>
        </w:tc>
        <w:tc>
          <w:tcPr>
            <w:tcW w:w="46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26.78</w:t>
            </w:r>
          </w:p>
        </w:tc>
        <w:tc>
          <w:tcPr>
            <w:tcW w:w="46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36.10</w:t>
            </w:r>
          </w:p>
        </w:tc>
        <w:tc>
          <w:tcPr>
            <w:tcW w:w="65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10.230</w:t>
            </w:r>
          </w:p>
        </w:tc>
        <w:tc>
          <w:tcPr>
            <w:tcW w:w="8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FF0000"/>
                <w:sz w:val="19"/>
                <w:szCs w:val="19"/>
              </w:rPr>
            </w:pPr>
            <w:r w:rsidRPr="00166A00">
              <w:rPr>
                <w:color w:val="FF0000"/>
                <w:sz w:val="19"/>
                <w:szCs w:val="19"/>
              </w:rPr>
              <w:t>&lt;0.001**</w:t>
            </w:r>
          </w:p>
        </w:tc>
      </w:tr>
      <w:tr w:rsidR="00801C75" w:rsidRPr="00166A00" w:rsidTr="00801C75">
        <w:trPr>
          <w:jc w:val="center"/>
        </w:trPr>
        <w:tc>
          <w:tcPr>
            <w:tcW w:w="1158"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38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lang w:val="en-GB"/>
              </w:rPr>
              <w:t>Done</w:t>
            </w:r>
          </w:p>
        </w:tc>
        <w:tc>
          <w:tcPr>
            <w:tcW w:w="60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19.92</w:t>
            </w:r>
          </w:p>
        </w:tc>
        <w:tc>
          <w:tcPr>
            <w:tcW w:w="39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1.25</w:t>
            </w:r>
          </w:p>
        </w:tc>
        <w:tc>
          <w:tcPr>
            <w:tcW w:w="46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17.48</w:t>
            </w:r>
          </w:p>
        </w:tc>
        <w:tc>
          <w:tcPr>
            <w:tcW w:w="46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22.36</w:t>
            </w:r>
          </w:p>
        </w:tc>
        <w:tc>
          <w:tcPr>
            <w:tcW w:w="655"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865"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FF0000"/>
                <w:sz w:val="19"/>
                <w:szCs w:val="19"/>
              </w:rPr>
            </w:pPr>
          </w:p>
        </w:tc>
      </w:tr>
      <w:tr w:rsidR="00801C75" w:rsidRPr="00166A00" w:rsidTr="00801C75">
        <w:trPr>
          <w:jc w:val="center"/>
        </w:trPr>
        <w:tc>
          <w:tcPr>
            <w:tcW w:w="1158" w:type="pct"/>
            <w:vMerge w:val="restart"/>
            <w:tcBorders>
              <w:top w:val="nil"/>
              <w:left w:val="single" w:sz="4" w:space="0" w:color="auto"/>
              <w:bottom w:val="single" w:sz="4" w:space="0" w:color="auto"/>
              <w:right w:val="single" w:sz="4" w:space="0" w:color="auto"/>
            </w:tcBorders>
            <w:shd w:val="clear" w:color="auto" w:fill="auto"/>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 xml:space="preserve">Stage </w:t>
            </w:r>
          </w:p>
        </w:tc>
        <w:tc>
          <w:tcPr>
            <w:tcW w:w="38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NA</w:t>
            </w:r>
          </w:p>
        </w:tc>
        <w:tc>
          <w:tcPr>
            <w:tcW w:w="60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27.00</w:t>
            </w:r>
          </w:p>
        </w:tc>
        <w:tc>
          <w:tcPr>
            <w:tcW w:w="39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6.62</w:t>
            </w:r>
          </w:p>
        </w:tc>
        <w:tc>
          <w:tcPr>
            <w:tcW w:w="46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14.02</w:t>
            </w:r>
          </w:p>
        </w:tc>
        <w:tc>
          <w:tcPr>
            <w:tcW w:w="46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39.98</w:t>
            </w:r>
          </w:p>
        </w:tc>
        <w:tc>
          <w:tcPr>
            <w:tcW w:w="65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2.373</w:t>
            </w:r>
          </w:p>
        </w:tc>
        <w:tc>
          <w:tcPr>
            <w:tcW w:w="8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0.499</w:t>
            </w:r>
          </w:p>
        </w:tc>
      </w:tr>
      <w:tr w:rsidR="00801C75" w:rsidRPr="00166A00" w:rsidTr="00801C75">
        <w:trPr>
          <w:jc w:val="center"/>
        </w:trPr>
        <w:tc>
          <w:tcPr>
            <w:tcW w:w="1158"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38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I</w:t>
            </w:r>
          </w:p>
        </w:tc>
        <w:tc>
          <w:tcPr>
            <w:tcW w:w="60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46.80</w:t>
            </w:r>
          </w:p>
        </w:tc>
        <w:tc>
          <w:tcPr>
            <w:tcW w:w="39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28.03</w:t>
            </w:r>
          </w:p>
        </w:tc>
        <w:tc>
          <w:tcPr>
            <w:tcW w:w="46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0.00</w:t>
            </w:r>
          </w:p>
        </w:tc>
        <w:tc>
          <w:tcPr>
            <w:tcW w:w="46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101.73</w:t>
            </w:r>
          </w:p>
        </w:tc>
        <w:tc>
          <w:tcPr>
            <w:tcW w:w="655"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865"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r>
      <w:tr w:rsidR="00801C75" w:rsidRPr="00166A00" w:rsidTr="00801C75">
        <w:trPr>
          <w:jc w:val="center"/>
        </w:trPr>
        <w:tc>
          <w:tcPr>
            <w:tcW w:w="1158"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38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II</w:t>
            </w:r>
          </w:p>
        </w:tc>
        <w:tc>
          <w:tcPr>
            <w:tcW w:w="60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33.12</w:t>
            </w:r>
          </w:p>
        </w:tc>
        <w:tc>
          <w:tcPr>
            <w:tcW w:w="39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9.32</w:t>
            </w:r>
          </w:p>
        </w:tc>
        <w:tc>
          <w:tcPr>
            <w:tcW w:w="46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14.84</w:t>
            </w:r>
          </w:p>
        </w:tc>
        <w:tc>
          <w:tcPr>
            <w:tcW w:w="46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51.40</w:t>
            </w:r>
          </w:p>
        </w:tc>
        <w:tc>
          <w:tcPr>
            <w:tcW w:w="655"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865"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r>
      <w:tr w:rsidR="00801C75" w:rsidRPr="00166A00" w:rsidTr="00801C75">
        <w:trPr>
          <w:jc w:val="center"/>
        </w:trPr>
        <w:tc>
          <w:tcPr>
            <w:tcW w:w="1158"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38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III</w:t>
            </w:r>
          </w:p>
        </w:tc>
        <w:tc>
          <w:tcPr>
            <w:tcW w:w="60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30.48</w:t>
            </w:r>
          </w:p>
        </w:tc>
        <w:tc>
          <w:tcPr>
            <w:tcW w:w="39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3.99</w:t>
            </w:r>
          </w:p>
        </w:tc>
        <w:tc>
          <w:tcPr>
            <w:tcW w:w="46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22.66</w:t>
            </w:r>
          </w:p>
        </w:tc>
        <w:tc>
          <w:tcPr>
            <w:tcW w:w="46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38.30</w:t>
            </w:r>
          </w:p>
        </w:tc>
        <w:tc>
          <w:tcPr>
            <w:tcW w:w="655"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865"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r>
      <w:tr w:rsidR="00801C75" w:rsidRPr="00166A00" w:rsidTr="00801C75">
        <w:trPr>
          <w:jc w:val="center"/>
        </w:trPr>
        <w:tc>
          <w:tcPr>
            <w:tcW w:w="1158" w:type="pct"/>
            <w:vMerge w:val="restart"/>
            <w:tcBorders>
              <w:top w:val="nil"/>
              <w:left w:val="single" w:sz="4" w:space="0" w:color="auto"/>
              <w:bottom w:val="single" w:sz="4" w:space="0" w:color="auto"/>
              <w:right w:val="single" w:sz="4" w:space="0" w:color="auto"/>
            </w:tcBorders>
            <w:shd w:val="clear" w:color="auto" w:fill="auto"/>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 xml:space="preserve">Grade </w:t>
            </w:r>
          </w:p>
        </w:tc>
        <w:tc>
          <w:tcPr>
            <w:tcW w:w="38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NA</w:t>
            </w:r>
          </w:p>
        </w:tc>
        <w:tc>
          <w:tcPr>
            <w:tcW w:w="60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11.88</w:t>
            </w:r>
          </w:p>
        </w:tc>
        <w:tc>
          <w:tcPr>
            <w:tcW w:w="39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1.08</w:t>
            </w:r>
          </w:p>
        </w:tc>
        <w:tc>
          <w:tcPr>
            <w:tcW w:w="46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9.77</w:t>
            </w:r>
          </w:p>
        </w:tc>
        <w:tc>
          <w:tcPr>
            <w:tcW w:w="46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13.99</w:t>
            </w:r>
          </w:p>
        </w:tc>
        <w:tc>
          <w:tcPr>
            <w:tcW w:w="65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6.036</w:t>
            </w:r>
          </w:p>
        </w:tc>
        <w:tc>
          <w:tcPr>
            <w:tcW w:w="8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0.110</w:t>
            </w:r>
          </w:p>
        </w:tc>
      </w:tr>
      <w:tr w:rsidR="00801C75" w:rsidRPr="00166A00" w:rsidTr="00801C75">
        <w:trPr>
          <w:jc w:val="center"/>
        </w:trPr>
        <w:tc>
          <w:tcPr>
            <w:tcW w:w="1158"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38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I</w:t>
            </w:r>
          </w:p>
        </w:tc>
        <w:tc>
          <w:tcPr>
            <w:tcW w:w="60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12.24</w:t>
            </w:r>
          </w:p>
        </w:tc>
        <w:tc>
          <w:tcPr>
            <w:tcW w:w="39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1.02</w:t>
            </w:r>
          </w:p>
        </w:tc>
        <w:tc>
          <w:tcPr>
            <w:tcW w:w="46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9.28</w:t>
            </w:r>
          </w:p>
        </w:tc>
        <w:tc>
          <w:tcPr>
            <w:tcW w:w="46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13.29</w:t>
            </w:r>
          </w:p>
        </w:tc>
        <w:tc>
          <w:tcPr>
            <w:tcW w:w="655"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865"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r>
      <w:tr w:rsidR="00801C75" w:rsidRPr="00166A00" w:rsidTr="00801C75">
        <w:trPr>
          <w:jc w:val="center"/>
        </w:trPr>
        <w:tc>
          <w:tcPr>
            <w:tcW w:w="1158"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38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II</w:t>
            </w:r>
          </w:p>
        </w:tc>
        <w:tc>
          <w:tcPr>
            <w:tcW w:w="60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32.40</w:t>
            </w:r>
          </w:p>
        </w:tc>
        <w:tc>
          <w:tcPr>
            <w:tcW w:w="39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3.27</w:t>
            </w:r>
          </w:p>
        </w:tc>
        <w:tc>
          <w:tcPr>
            <w:tcW w:w="46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26.00</w:t>
            </w:r>
          </w:p>
        </w:tc>
        <w:tc>
          <w:tcPr>
            <w:tcW w:w="46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38.80</w:t>
            </w:r>
          </w:p>
        </w:tc>
        <w:tc>
          <w:tcPr>
            <w:tcW w:w="655"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865"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r>
      <w:tr w:rsidR="00801C75" w:rsidRPr="00166A00" w:rsidTr="00801C75">
        <w:trPr>
          <w:jc w:val="center"/>
        </w:trPr>
        <w:tc>
          <w:tcPr>
            <w:tcW w:w="1158"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38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III</w:t>
            </w:r>
          </w:p>
        </w:tc>
        <w:tc>
          <w:tcPr>
            <w:tcW w:w="60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15.12</w:t>
            </w:r>
          </w:p>
        </w:tc>
        <w:tc>
          <w:tcPr>
            <w:tcW w:w="39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2.86</w:t>
            </w:r>
          </w:p>
        </w:tc>
        <w:tc>
          <w:tcPr>
            <w:tcW w:w="46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9.51</w:t>
            </w:r>
          </w:p>
        </w:tc>
        <w:tc>
          <w:tcPr>
            <w:tcW w:w="46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20.73</w:t>
            </w:r>
          </w:p>
        </w:tc>
        <w:tc>
          <w:tcPr>
            <w:tcW w:w="655"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865"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r>
      <w:tr w:rsidR="00801C75" w:rsidRPr="00166A00" w:rsidTr="00801C75">
        <w:trPr>
          <w:jc w:val="center"/>
        </w:trPr>
        <w:tc>
          <w:tcPr>
            <w:tcW w:w="1158" w:type="pct"/>
            <w:vMerge w:val="restart"/>
            <w:tcBorders>
              <w:top w:val="nil"/>
              <w:left w:val="single" w:sz="4" w:space="0" w:color="auto"/>
              <w:bottom w:val="single" w:sz="4" w:space="0" w:color="auto"/>
              <w:right w:val="single" w:sz="4" w:space="0" w:color="auto"/>
            </w:tcBorders>
            <w:shd w:val="clear" w:color="auto" w:fill="auto"/>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 xml:space="preserve">PNI </w:t>
            </w:r>
          </w:p>
        </w:tc>
        <w:tc>
          <w:tcPr>
            <w:tcW w:w="38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No</w:t>
            </w:r>
          </w:p>
        </w:tc>
        <w:tc>
          <w:tcPr>
            <w:tcW w:w="60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32.40</w:t>
            </w:r>
          </w:p>
        </w:tc>
        <w:tc>
          <w:tcPr>
            <w:tcW w:w="39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2.59</w:t>
            </w:r>
          </w:p>
        </w:tc>
        <w:tc>
          <w:tcPr>
            <w:tcW w:w="46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27.33</w:t>
            </w:r>
          </w:p>
        </w:tc>
        <w:tc>
          <w:tcPr>
            <w:tcW w:w="46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37.47</w:t>
            </w:r>
          </w:p>
        </w:tc>
        <w:tc>
          <w:tcPr>
            <w:tcW w:w="65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1.521</w:t>
            </w:r>
          </w:p>
        </w:tc>
        <w:tc>
          <w:tcPr>
            <w:tcW w:w="8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0.217</w:t>
            </w:r>
          </w:p>
        </w:tc>
      </w:tr>
      <w:tr w:rsidR="00801C75" w:rsidRPr="00166A00" w:rsidTr="00801C75">
        <w:trPr>
          <w:jc w:val="center"/>
        </w:trPr>
        <w:tc>
          <w:tcPr>
            <w:tcW w:w="1158"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38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Done</w:t>
            </w:r>
          </w:p>
        </w:tc>
        <w:tc>
          <w:tcPr>
            <w:tcW w:w="60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21.60</w:t>
            </w:r>
          </w:p>
        </w:tc>
        <w:tc>
          <w:tcPr>
            <w:tcW w:w="39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3.57</w:t>
            </w:r>
          </w:p>
        </w:tc>
        <w:tc>
          <w:tcPr>
            <w:tcW w:w="46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14.61</w:t>
            </w:r>
          </w:p>
        </w:tc>
        <w:tc>
          <w:tcPr>
            <w:tcW w:w="46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28.59</w:t>
            </w:r>
          </w:p>
        </w:tc>
        <w:tc>
          <w:tcPr>
            <w:tcW w:w="655"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865"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r>
      <w:tr w:rsidR="00801C75" w:rsidRPr="00166A00" w:rsidTr="00801C75">
        <w:trPr>
          <w:jc w:val="center"/>
        </w:trPr>
        <w:tc>
          <w:tcPr>
            <w:tcW w:w="1158" w:type="pct"/>
            <w:vMerge w:val="restart"/>
            <w:tcBorders>
              <w:top w:val="nil"/>
              <w:left w:val="single" w:sz="4" w:space="0" w:color="auto"/>
              <w:bottom w:val="single" w:sz="4" w:space="0" w:color="auto"/>
              <w:right w:val="single" w:sz="4" w:space="0" w:color="auto"/>
            </w:tcBorders>
            <w:shd w:val="clear" w:color="auto" w:fill="auto"/>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 xml:space="preserve">PVI </w:t>
            </w:r>
          </w:p>
        </w:tc>
        <w:tc>
          <w:tcPr>
            <w:tcW w:w="38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No</w:t>
            </w:r>
          </w:p>
        </w:tc>
        <w:tc>
          <w:tcPr>
            <w:tcW w:w="60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32.40</w:t>
            </w:r>
          </w:p>
        </w:tc>
        <w:tc>
          <w:tcPr>
            <w:tcW w:w="39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3.18</w:t>
            </w:r>
          </w:p>
        </w:tc>
        <w:tc>
          <w:tcPr>
            <w:tcW w:w="46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26.16</w:t>
            </w:r>
          </w:p>
        </w:tc>
        <w:tc>
          <w:tcPr>
            <w:tcW w:w="46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38.64</w:t>
            </w:r>
          </w:p>
        </w:tc>
        <w:tc>
          <w:tcPr>
            <w:tcW w:w="65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5.328</w:t>
            </w:r>
          </w:p>
        </w:tc>
        <w:tc>
          <w:tcPr>
            <w:tcW w:w="8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FF0000"/>
                <w:sz w:val="19"/>
                <w:szCs w:val="19"/>
              </w:rPr>
              <w:t>0.021*</w:t>
            </w:r>
          </w:p>
        </w:tc>
      </w:tr>
      <w:tr w:rsidR="00801C75" w:rsidRPr="00166A00" w:rsidTr="00801C75">
        <w:trPr>
          <w:jc w:val="center"/>
        </w:trPr>
        <w:tc>
          <w:tcPr>
            <w:tcW w:w="1158"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38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Done</w:t>
            </w:r>
          </w:p>
        </w:tc>
        <w:tc>
          <w:tcPr>
            <w:tcW w:w="60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15.60</w:t>
            </w:r>
          </w:p>
        </w:tc>
        <w:tc>
          <w:tcPr>
            <w:tcW w:w="39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3.76</w:t>
            </w:r>
          </w:p>
        </w:tc>
        <w:tc>
          <w:tcPr>
            <w:tcW w:w="46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8.24</w:t>
            </w:r>
          </w:p>
        </w:tc>
        <w:tc>
          <w:tcPr>
            <w:tcW w:w="46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22.96</w:t>
            </w:r>
          </w:p>
        </w:tc>
        <w:tc>
          <w:tcPr>
            <w:tcW w:w="655"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865"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r>
      <w:tr w:rsidR="00801C75" w:rsidRPr="00166A00" w:rsidTr="00801C75">
        <w:trPr>
          <w:jc w:val="center"/>
        </w:trPr>
        <w:tc>
          <w:tcPr>
            <w:tcW w:w="1158" w:type="pct"/>
            <w:vMerge w:val="restart"/>
            <w:tcBorders>
              <w:top w:val="nil"/>
              <w:left w:val="single" w:sz="4" w:space="0" w:color="auto"/>
              <w:bottom w:val="single" w:sz="4" w:space="0" w:color="auto"/>
              <w:right w:val="single" w:sz="4" w:space="0" w:color="auto"/>
            </w:tcBorders>
            <w:shd w:val="clear" w:color="auto" w:fill="auto"/>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 xml:space="preserve">Mucinous activity </w:t>
            </w:r>
          </w:p>
        </w:tc>
        <w:tc>
          <w:tcPr>
            <w:tcW w:w="38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No</w:t>
            </w:r>
          </w:p>
        </w:tc>
        <w:tc>
          <w:tcPr>
            <w:tcW w:w="60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27.96</w:t>
            </w:r>
          </w:p>
        </w:tc>
        <w:tc>
          <w:tcPr>
            <w:tcW w:w="39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3.03</w:t>
            </w:r>
          </w:p>
        </w:tc>
        <w:tc>
          <w:tcPr>
            <w:tcW w:w="46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22.02</w:t>
            </w:r>
          </w:p>
        </w:tc>
        <w:tc>
          <w:tcPr>
            <w:tcW w:w="46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33.90</w:t>
            </w:r>
          </w:p>
        </w:tc>
        <w:tc>
          <w:tcPr>
            <w:tcW w:w="65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1.324</w:t>
            </w:r>
          </w:p>
        </w:tc>
        <w:tc>
          <w:tcPr>
            <w:tcW w:w="8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0.250</w:t>
            </w:r>
          </w:p>
        </w:tc>
      </w:tr>
      <w:tr w:rsidR="00801C75" w:rsidRPr="00166A00" w:rsidTr="00801C75">
        <w:trPr>
          <w:jc w:val="center"/>
        </w:trPr>
        <w:tc>
          <w:tcPr>
            <w:tcW w:w="1158"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38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Done</w:t>
            </w:r>
          </w:p>
        </w:tc>
        <w:tc>
          <w:tcPr>
            <w:tcW w:w="60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33.12</w:t>
            </w:r>
          </w:p>
        </w:tc>
        <w:tc>
          <w:tcPr>
            <w:tcW w:w="39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6.48</w:t>
            </w:r>
          </w:p>
        </w:tc>
        <w:tc>
          <w:tcPr>
            <w:tcW w:w="46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20.41</w:t>
            </w:r>
          </w:p>
        </w:tc>
        <w:tc>
          <w:tcPr>
            <w:tcW w:w="46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45.83</w:t>
            </w:r>
          </w:p>
        </w:tc>
        <w:tc>
          <w:tcPr>
            <w:tcW w:w="655"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865"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r>
      <w:tr w:rsidR="00801C75" w:rsidRPr="00166A00" w:rsidTr="00801C75">
        <w:trPr>
          <w:jc w:val="center"/>
        </w:trPr>
        <w:tc>
          <w:tcPr>
            <w:tcW w:w="1158" w:type="pct"/>
            <w:vMerge w:val="restart"/>
            <w:tcBorders>
              <w:top w:val="nil"/>
              <w:left w:val="single" w:sz="4" w:space="0" w:color="auto"/>
              <w:bottom w:val="single" w:sz="4" w:space="0" w:color="auto"/>
              <w:right w:val="single" w:sz="4" w:space="0" w:color="auto"/>
            </w:tcBorders>
            <w:shd w:val="clear" w:color="auto" w:fill="auto"/>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 xml:space="preserve">Peritoneal disease </w:t>
            </w:r>
          </w:p>
        </w:tc>
        <w:tc>
          <w:tcPr>
            <w:tcW w:w="38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No</w:t>
            </w:r>
          </w:p>
        </w:tc>
        <w:tc>
          <w:tcPr>
            <w:tcW w:w="60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31.44</w:t>
            </w:r>
          </w:p>
        </w:tc>
        <w:tc>
          <w:tcPr>
            <w:tcW w:w="39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3.00</w:t>
            </w:r>
          </w:p>
        </w:tc>
        <w:tc>
          <w:tcPr>
            <w:tcW w:w="46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25.56</w:t>
            </w:r>
          </w:p>
        </w:tc>
        <w:tc>
          <w:tcPr>
            <w:tcW w:w="46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37.32</w:t>
            </w:r>
          </w:p>
        </w:tc>
        <w:tc>
          <w:tcPr>
            <w:tcW w:w="65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0.546</w:t>
            </w:r>
          </w:p>
        </w:tc>
        <w:tc>
          <w:tcPr>
            <w:tcW w:w="8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0.460</w:t>
            </w:r>
          </w:p>
        </w:tc>
      </w:tr>
      <w:tr w:rsidR="00801C75" w:rsidRPr="00166A00" w:rsidTr="00801C75">
        <w:trPr>
          <w:jc w:val="center"/>
        </w:trPr>
        <w:tc>
          <w:tcPr>
            <w:tcW w:w="1158"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38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Done</w:t>
            </w:r>
          </w:p>
        </w:tc>
        <w:tc>
          <w:tcPr>
            <w:tcW w:w="60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25.20</w:t>
            </w:r>
          </w:p>
        </w:tc>
        <w:tc>
          <w:tcPr>
            <w:tcW w:w="39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3.56</w:t>
            </w:r>
          </w:p>
        </w:tc>
        <w:tc>
          <w:tcPr>
            <w:tcW w:w="46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18.22</w:t>
            </w:r>
          </w:p>
        </w:tc>
        <w:tc>
          <w:tcPr>
            <w:tcW w:w="46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32.18</w:t>
            </w:r>
          </w:p>
        </w:tc>
        <w:tc>
          <w:tcPr>
            <w:tcW w:w="655"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865"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r>
      <w:tr w:rsidR="00801C75" w:rsidRPr="00166A00" w:rsidTr="00801C75">
        <w:trPr>
          <w:jc w:val="center"/>
        </w:trPr>
        <w:tc>
          <w:tcPr>
            <w:tcW w:w="1158" w:type="pct"/>
            <w:vMerge w:val="restart"/>
            <w:tcBorders>
              <w:top w:val="nil"/>
              <w:left w:val="single" w:sz="4" w:space="0" w:color="auto"/>
              <w:bottom w:val="single" w:sz="4" w:space="0" w:color="auto"/>
              <w:right w:val="single" w:sz="4" w:space="0" w:color="auto"/>
            </w:tcBorders>
            <w:shd w:val="clear" w:color="auto" w:fill="auto"/>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 xml:space="preserve">Underlying disease </w:t>
            </w:r>
          </w:p>
        </w:tc>
        <w:tc>
          <w:tcPr>
            <w:tcW w:w="38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No</w:t>
            </w:r>
          </w:p>
        </w:tc>
        <w:tc>
          <w:tcPr>
            <w:tcW w:w="60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32.40</w:t>
            </w:r>
          </w:p>
        </w:tc>
        <w:tc>
          <w:tcPr>
            <w:tcW w:w="39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3.78</w:t>
            </w:r>
          </w:p>
        </w:tc>
        <w:tc>
          <w:tcPr>
            <w:tcW w:w="46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24.98</w:t>
            </w:r>
          </w:p>
        </w:tc>
        <w:tc>
          <w:tcPr>
            <w:tcW w:w="46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39.82</w:t>
            </w:r>
          </w:p>
        </w:tc>
        <w:tc>
          <w:tcPr>
            <w:tcW w:w="65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0.000</w:t>
            </w:r>
          </w:p>
        </w:tc>
        <w:tc>
          <w:tcPr>
            <w:tcW w:w="8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0.998</w:t>
            </w:r>
          </w:p>
        </w:tc>
      </w:tr>
      <w:tr w:rsidR="00801C75" w:rsidRPr="00166A00" w:rsidTr="00801C75">
        <w:trPr>
          <w:jc w:val="center"/>
        </w:trPr>
        <w:tc>
          <w:tcPr>
            <w:tcW w:w="1158"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38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Done</w:t>
            </w:r>
          </w:p>
        </w:tc>
        <w:tc>
          <w:tcPr>
            <w:tcW w:w="60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28.32</w:t>
            </w:r>
          </w:p>
        </w:tc>
        <w:tc>
          <w:tcPr>
            <w:tcW w:w="39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2.77</w:t>
            </w:r>
          </w:p>
        </w:tc>
        <w:tc>
          <w:tcPr>
            <w:tcW w:w="46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22.88</w:t>
            </w:r>
          </w:p>
        </w:tc>
        <w:tc>
          <w:tcPr>
            <w:tcW w:w="46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33.76</w:t>
            </w:r>
          </w:p>
        </w:tc>
        <w:tc>
          <w:tcPr>
            <w:tcW w:w="655"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865"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r>
      <w:tr w:rsidR="00801C75" w:rsidRPr="00166A00" w:rsidTr="00801C75">
        <w:trPr>
          <w:jc w:val="center"/>
        </w:trPr>
        <w:tc>
          <w:tcPr>
            <w:tcW w:w="1158"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38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Yes</w:t>
            </w:r>
          </w:p>
        </w:tc>
        <w:tc>
          <w:tcPr>
            <w:tcW w:w="60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28.32</w:t>
            </w:r>
          </w:p>
        </w:tc>
        <w:tc>
          <w:tcPr>
            <w:tcW w:w="39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2.03</w:t>
            </w:r>
          </w:p>
        </w:tc>
        <w:tc>
          <w:tcPr>
            <w:tcW w:w="469"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24.35</w:t>
            </w:r>
          </w:p>
        </w:tc>
        <w:tc>
          <w:tcPr>
            <w:tcW w:w="46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32.29</w:t>
            </w:r>
          </w:p>
        </w:tc>
        <w:tc>
          <w:tcPr>
            <w:tcW w:w="655"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865"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r>
    </w:tbl>
    <w:p w:rsidR="00D27318" w:rsidRPr="00166A00" w:rsidRDefault="00D27318" w:rsidP="00331E80">
      <w:pPr>
        <w:bidi w:val="0"/>
        <w:snapToGrid w:val="0"/>
        <w:jc w:val="both"/>
        <w:rPr>
          <w:i/>
          <w:iCs/>
          <w:sz w:val="19"/>
          <w:szCs w:val="19"/>
        </w:rPr>
      </w:pPr>
      <w:bookmarkStart w:id="26" w:name="_Toc349573371"/>
      <w:r w:rsidRPr="00166A00">
        <w:rPr>
          <w:i/>
          <w:iCs/>
          <w:sz w:val="19"/>
          <w:szCs w:val="19"/>
        </w:rPr>
        <w:t>P-value &gt;0.05 NS; *p-value &lt;0.05 S; **p-value &lt;0.001 HS</w:t>
      </w:r>
    </w:p>
    <w:p w:rsidR="00331E80" w:rsidRDefault="00331E80" w:rsidP="00331E80">
      <w:pPr>
        <w:bidi w:val="0"/>
        <w:snapToGrid w:val="0"/>
        <w:ind w:firstLine="425"/>
        <w:jc w:val="both"/>
        <w:rPr>
          <w:sz w:val="20"/>
          <w:szCs w:val="20"/>
          <w:lang w:eastAsia="zh-CN"/>
        </w:rPr>
      </w:pPr>
    </w:p>
    <w:p w:rsidR="00981714" w:rsidRPr="00801C75" w:rsidRDefault="00D27318" w:rsidP="00331E80">
      <w:pPr>
        <w:bidi w:val="0"/>
        <w:snapToGrid w:val="0"/>
        <w:ind w:firstLine="425"/>
        <w:jc w:val="both"/>
        <w:rPr>
          <w:sz w:val="20"/>
          <w:szCs w:val="20"/>
          <w:lang w:eastAsia="ar-SA"/>
        </w:rPr>
      </w:pPr>
      <w:r w:rsidRPr="00801C75">
        <w:rPr>
          <w:sz w:val="20"/>
          <w:szCs w:val="20"/>
          <w:lang w:eastAsia="ar-SA"/>
        </w:rPr>
        <w:t>This table shows statistically significant between inadequate LN dissections and metastatic disease with Overall Survival (OS).</w:t>
      </w:r>
      <w:bookmarkEnd w:id="26"/>
    </w:p>
    <w:p w:rsidR="0094756F" w:rsidRPr="00801C75" w:rsidRDefault="0094756F" w:rsidP="00331E80">
      <w:pPr>
        <w:bidi w:val="0"/>
        <w:snapToGrid w:val="0"/>
        <w:jc w:val="center"/>
        <w:rPr>
          <w:b/>
          <w:bCs/>
          <w:sz w:val="20"/>
          <w:szCs w:val="20"/>
          <w:shd w:val="clear" w:color="auto" w:fill="FFFFFF"/>
        </w:rPr>
      </w:pPr>
      <w:bookmarkStart w:id="27" w:name="_Toc7857983"/>
    </w:p>
    <w:p w:rsidR="00D27318" w:rsidRPr="00801C75" w:rsidRDefault="005830D0" w:rsidP="00331E80">
      <w:pPr>
        <w:bidi w:val="0"/>
        <w:snapToGrid w:val="0"/>
        <w:jc w:val="center"/>
        <w:rPr>
          <w:color w:val="000000" w:themeColor="text1"/>
          <w:sz w:val="20"/>
          <w:szCs w:val="20"/>
        </w:rPr>
      </w:pPr>
      <w:r w:rsidRPr="00801C75">
        <w:rPr>
          <w:b/>
          <w:bCs/>
          <w:sz w:val="20"/>
          <w:szCs w:val="20"/>
          <w:shd w:val="clear" w:color="auto" w:fill="FFFFFF"/>
        </w:rPr>
        <w:t>Table (</w:t>
      </w:r>
      <w:r w:rsidR="0014198C" w:rsidRPr="00801C75">
        <w:rPr>
          <w:b/>
          <w:bCs/>
          <w:sz w:val="20"/>
          <w:szCs w:val="20"/>
          <w:shd w:val="clear" w:color="auto" w:fill="FFFFFF"/>
        </w:rPr>
        <w:fldChar w:fldCharType="begin"/>
      </w:r>
      <w:r w:rsidRPr="00801C75">
        <w:rPr>
          <w:b/>
          <w:bCs/>
          <w:sz w:val="20"/>
          <w:szCs w:val="20"/>
          <w:shd w:val="clear" w:color="auto" w:fill="FFFFFF"/>
        </w:rPr>
        <w:instrText xml:space="preserve"> SEQ Table \* ARABIC </w:instrText>
      </w:r>
      <w:r w:rsidR="0014198C" w:rsidRPr="00801C75">
        <w:rPr>
          <w:b/>
          <w:bCs/>
          <w:sz w:val="20"/>
          <w:szCs w:val="20"/>
          <w:shd w:val="clear" w:color="auto" w:fill="FFFFFF"/>
        </w:rPr>
        <w:fldChar w:fldCharType="separate"/>
      </w:r>
      <w:r w:rsidR="00D60619">
        <w:rPr>
          <w:b/>
          <w:bCs/>
          <w:noProof/>
          <w:sz w:val="20"/>
          <w:szCs w:val="20"/>
          <w:shd w:val="clear" w:color="auto" w:fill="FFFFFF"/>
        </w:rPr>
        <w:t>13</w:t>
      </w:r>
      <w:r w:rsidR="0014198C" w:rsidRPr="00801C75">
        <w:rPr>
          <w:b/>
          <w:bCs/>
          <w:sz w:val="20"/>
          <w:szCs w:val="20"/>
          <w:shd w:val="clear" w:color="auto" w:fill="FFFFFF"/>
        </w:rPr>
        <w:fldChar w:fldCharType="end"/>
      </w:r>
      <w:r w:rsidRPr="00801C75">
        <w:rPr>
          <w:b/>
          <w:bCs/>
          <w:sz w:val="20"/>
          <w:szCs w:val="20"/>
          <w:shd w:val="clear" w:color="auto" w:fill="FFFFFF"/>
        </w:rPr>
        <w:t>)</w:t>
      </w:r>
      <w:r w:rsidR="00331E80" w:rsidRPr="00801C75">
        <w:rPr>
          <w:sz w:val="20"/>
          <w:szCs w:val="20"/>
          <w:shd w:val="clear" w:color="auto" w:fill="FFFFFF"/>
        </w:rPr>
        <w:t>:</w:t>
      </w:r>
      <w:r w:rsidR="00331E80">
        <w:rPr>
          <w:sz w:val="20"/>
          <w:szCs w:val="20"/>
          <w:shd w:val="clear" w:color="auto" w:fill="FFFFFF"/>
        </w:rPr>
        <w:t xml:space="preserve"> </w:t>
      </w:r>
      <w:r w:rsidR="00331E80" w:rsidRPr="00801C75">
        <w:rPr>
          <w:color w:val="000000" w:themeColor="text1"/>
          <w:sz w:val="20"/>
          <w:szCs w:val="20"/>
        </w:rPr>
        <w:t>D</w:t>
      </w:r>
      <w:r w:rsidR="00D27318" w:rsidRPr="00801C75">
        <w:rPr>
          <w:color w:val="000000" w:themeColor="text1"/>
          <w:sz w:val="20"/>
          <w:szCs w:val="20"/>
        </w:rPr>
        <w:t>isease free survival in relation to laboratory data in 1</w:t>
      </w:r>
      <w:r w:rsidR="00D27318" w:rsidRPr="00801C75">
        <w:rPr>
          <w:color w:val="000000" w:themeColor="text1"/>
          <w:sz w:val="20"/>
          <w:szCs w:val="20"/>
          <w:vertAlign w:val="superscript"/>
        </w:rPr>
        <w:t>st</w:t>
      </w:r>
      <w:r w:rsidR="00D27318" w:rsidRPr="00801C75">
        <w:rPr>
          <w:color w:val="000000" w:themeColor="text1"/>
          <w:sz w:val="20"/>
          <w:szCs w:val="20"/>
        </w:rPr>
        <w:t xml:space="preserve"> group (n=124).</w:t>
      </w:r>
      <w:bookmarkEnd w:id="27"/>
    </w:p>
    <w:tbl>
      <w:tblPr>
        <w:tblW w:w="5000" w:type="pct"/>
        <w:jc w:val="center"/>
        <w:tblCellMar>
          <w:left w:w="57" w:type="dxa"/>
          <w:right w:w="57" w:type="dxa"/>
        </w:tblCellMar>
        <w:tblLook w:val="04A0"/>
      </w:tblPr>
      <w:tblGrid>
        <w:gridCol w:w="1646"/>
        <w:gridCol w:w="1258"/>
        <w:gridCol w:w="1182"/>
        <w:gridCol w:w="631"/>
        <w:gridCol w:w="911"/>
        <w:gridCol w:w="896"/>
        <w:gridCol w:w="1271"/>
        <w:gridCol w:w="1679"/>
      </w:tblGrid>
      <w:tr w:rsidR="00D27318" w:rsidRPr="00166A00" w:rsidTr="00801C75">
        <w:trPr>
          <w:jc w:val="center"/>
        </w:trPr>
        <w:tc>
          <w:tcPr>
            <w:tcW w:w="1532" w:type="pct"/>
            <w:gridSpan w:val="2"/>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Laboratory data</w:t>
            </w:r>
          </w:p>
        </w:tc>
        <w:tc>
          <w:tcPr>
            <w:tcW w:w="957" w:type="pct"/>
            <w:gridSpan w:val="2"/>
            <w:tcBorders>
              <w:top w:val="single" w:sz="4" w:space="0" w:color="auto"/>
              <w:left w:val="nil"/>
              <w:bottom w:val="single" w:sz="4" w:space="0" w:color="auto"/>
              <w:right w:val="single" w:sz="4" w:space="0" w:color="auto"/>
            </w:tcBorders>
            <w:shd w:val="clear" w:color="000000" w:fill="C4D79B"/>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Median (m)</w:t>
            </w:r>
          </w:p>
        </w:tc>
        <w:tc>
          <w:tcPr>
            <w:tcW w:w="954" w:type="pct"/>
            <w:gridSpan w:val="2"/>
            <w:tcBorders>
              <w:top w:val="single" w:sz="4" w:space="0" w:color="auto"/>
              <w:left w:val="nil"/>
              <w:bottom w:val="single" w:sz="4" w:space="0" w:color="auto"/>
              <w:right w:val="single" w:sz="4" w:space="0" w:color="auto"/>
            </w:tcBorders>
            <w:shd w:val="clear" w:color="000000" w:fill="C4D79B"/>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95% C.I.</w:t>
            </w:r>
          </w:p>
        </w:tc>
        <w:tc>
          <w:tcPr>
            <w:tcW w:w="1557" w:type="pct"/>
            <w:gridSpan w:val="2"/>
            <w:tcBorders>
              <w:top w:val="single" w:sz="4" w:space="0" w:color="auto"/>
              <w:left w:val="nil"/>
              <w:bottom w:val="single" w:sz="4" w:space="0" w:color="auto"/>
              <w:right w:val="single" w:sz="4" w:space="0" w:color="auto"/>
            </w:tcBorders>
            <w:shd w:val="clear" w:color="000000" w:fill="C4D79B"/>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Log Rank (Mantel-Cox)</w:t>
            </w:r>
          </w:p>
        </w:tc>
      </w:tr>
      <w:tr w:rsidR="00801C75" w:rsidRPr="00166A00" w:rsidTr="00801C75">
        <w:trPr>
          <w:jc w:val="center"/>
        </w:trPr>
        <w:tc>
          <w:tcPr>
            <w:tcW w:w="1532" w:type="pct"/>
            <w:gridSpan w:val="2"/>
            <w:vMerge/>
            <w:tcBorders>
              <w:top w:val="single" w:sz="4" w:space="0" w:color="auto"/>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b/>
                <w:bCs/>
                <w:color w:val="000000"/>
                <w:sz w:val="19"/>
                <w:szCs w:val="19"/>
              </w:rPr>
            </w:pPr>
          </w:p>
        </w:tc>
        <w:tc>
          <w:tcPr>
            <w:tcW w:w="624" w:type="pct"/>
            <w:tcBorders>
              <w:top w:val="nil"/>
              <w:left w:val="nil"/>
              <w:bottom w:val="single" w:sz="4" w:space="0" w:color="auto"/>
              <w:right w:val="single" w:sz="4" w:space="0" w:color="auto"/>
            </w:tcBorders>
            <w:shd w:val="clear" w:color="000000" w:fill="C4D79B"/>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Estimate</w:t>
            </w:r>
          </w:p>
        </w:tc>
        <w:tc>
          <w:tcPr>
            <w:tcW w:w="333" w:type="pct"/>
            <w:tcBorders>
              <w:top w:val="nil"/>
              <w:left w:val="nil"/>
              <w:bottom w:val="single" w:sz="4" w:space="0" w:color="auto"/>
              <w:right w:val="single" w:sz="4" w:space="0" w:color="auto"/>
            </w:tcBorders>
            <w:shd w:val="clear" w:color="000000" w:fill="C4D79B"/>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SE</w:t>
            </w:r>
          </w:p>
        </w:tc>
        <w:tc>
          <w:tcPr>
            <w:tcW w:w="481" w:type="pct"/>
            <w:tcBorders>
              <w:top w:val="nil"/>
              <w:left w:val="nil"/>
              <w:bottom w:val="single" w:sz="4" w:space="0" w:color="auto"/>
              <w:right w:val="single" w:sz="4" w:space="0" w:color="auto"/>
            </w:tcBorders>
            <w:shd w:val="clear" w:color="000000" w:fill="C4D79B"/>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Lower</w:t>
            </w:r>
          </w:p>
        </w:tc>
        <w:tc>
          <w:tcPr>
            <w:tcW w:w="473" w:type="pct"/>
            <w:tcBorders>
              <w:top w:val="nil"/>
              <w:left w:val="nil"/>
              <w:bottom w:val="single" w:sz="4" w:space="0" w:color="auto"/>
              <w:right w:val="single" w:sz="4" w:space="0" w:color="auto"/>
            </w:tcBorders>
            <w:shd w:val="clear" w:color="000000" w:fill="C4D79B"/>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Upper</w:t>
            </w:r>
          </w:p>
        </w:tc>
        <w:tc>
          <w:tcPr>
            <w:tcW w:w="671" w:type="pct"/>
            <w:tcBorders>
              <w:top w:val="nil"/>
              <w:left w:val="nil"/>
              <w:bottom w:val="single" w:sz="4" w:space="0" w:color="auto"/>
              <w:right w:val="single" w:sz="4" w:space="0" w:color="auto"/>
            </w:tcBorders>
            <w:shd w:val="clear" w:color="000000" w:fill="C4D79B"/>
            <w:noWrap/>
            <w:vAlign w:val="center"/>
            <w:hideMark/>
          </w:tcPr>
          <w:p w:rsidR="00D27318" w:rsidRPr="00166A00" w:rsidRDefault="00D27318" w:rsidP="00331E80">
            <w:pPr>
              <w:bidi w:val="0"/>
              <w:snapToGrid w:val="0"/>
              <w:jc w:val="both"/>
              <w:rPr>
                <w:b/>
                <w:bCs/>
                <w:i/>
                <w:iCs/>
                <w:color w:val="000000"/>
                <w:sz w:val="19"/>
                <w:szCs w:val="19"/>
              </w:rPr>
            </w:pPr>
            <w:r w:rsidRPr="00166A00">
              <w:rPr>
                <w:b/>
                <w:bCs/>
                <w:i/>
                <w:iCs/>
                <w:color w:val="000000"/>
                <w:sz w:val="19"/>
                <w:szCs w:val="19"/>
              </w:rPr>
              <w:t>x</w:t>
            </w:r>
            <w:r w:rsidRPr="00166A00">
              <w:rPr>
                <w:b/>
                <w:bCs/>
                <w:i/>
                <w:iCs/>
                <w:color w:val="000000"/>
                <w:sz w:val="19"/>
                <w:szCs w:val="19"/>
                <w:vertAlign w:val="superscript"/>
              </w:rPr>
              <w:t>2</w:t>
            </w:r>
          </w:p>
        </w:tc>
        <w:tc>
          <w:tcPr>
            <w:tcW w:w="886" w:type="pct"/>
            <w:tcBorders>
              <w:top w:val="nil"/>
              <w:left w:val="nil"/>
              <w:bottom w:val="single" w:sz="4" w:space="0" w:color="auto"/>
              <w:right w:val="single" w:sz="4" w:space="0" w:color="auto"/>
            </w:tcBorders>
            <w:shd w:val="clear" w:color="000000" w:fill="C4D79B"/>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Sig.</w:t>
            </w:r>
          </w:p>
        </w:tc>
      </w:tr>
      <w:tr w:rsidR="00801C75" w:rsidRPr="00166A00" w:rsidTr="00801C75">
        <w:trPr>
          <w:jc w:val="center"/>
        </w:trPr>
        <w:tc>
          <w:tcPr>
            <w:tcW w:w="868" w:type="pct"/>
            <w:vMerge w:val="restart"/>
            <w:tcBorders>
              <w:top w:val="nil"/>
              <w:left w:val="single" w:sz="4" w:space="0" w:color="auto"/>
              <w:bottom w:val="single" w:sz="4" w:space="0" w:color="auto"/>
              <w:right w:val="single" w:sz="4" w:space="0" w:color="auto"/>
            </w:tcBorders>
            <w:shd w:val="clear" w:color="auto" w:fill="auto"/>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CEA</w:t>
            </w:r>
          </w:p>
        </w:tc>
        <w:tc>
          <w:tcPr>
            <w:tcW w:w="66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Normal</w:t>
            </w:r>
          </w:p>
        </w:tc>
        <w:tc>
          <w:tcPr>
            <w:tcW w:w="62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22.80</w:t>
            </w:r>
          </w:p>
        </w:tc>
        <w:tc>
          <w:tcPr>
            <w:tcW w:w="333"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1.92</w:t>
            </w:r>
          </w:p>
        </w:tc>
        <w:tc>
          <w:tcPr>
            <w:tcW w:w="481"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19.03</w:t>
            </w:r>
          </w:p>
        </w:tc>
        <w:tc>
          <w:tcPr>
            <w:tcW w:w="473"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26.57</w:t>
            </w:r>
          </w:p>
        </w:tc>
        <w:tc>
          <w:tcPr>
            <w:tcW w:w="6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0.024</w:t>
            </w:r>
          </w:p>
        </w:tc>
        <w:tc>
          <w:tcPr>
            <w:tcW w:w="8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0.877</w:t>
            </w:r>
          </w:p>
        </w:tc>
      </w:tr>
      <w:tr w:rsidR="00801C75" w:rsidRPr="00166A00" w:rsidTr="00801C75">
        <w:trPr>
          <w:jc w:val="center"/>
        </w:trPr>
        <w:tc>
          <w:tcPr>
            <w:tcW w:w="868"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66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Abnormal</w:t>
            </w:r>
          </w:p>
        </w:tc>
        <w:tc>
          <w:tcPr>
            <w:tcW w:w="62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21.96</w:t>
            </w:r>
          </w:p>
        </w:tc>
        <w:tc>
          <w:tcPr>
            <w:tcW w:w="333"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5.00</w:t>
            </w:r>
          </w:p>
        </w:tc>
        <w:tc>
          <w:tcPr>
            <w:tcW w:w="481"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12.17</w:t>
            </w:r>
          </w:p>
        </w:tc>
        <w:tc>
          <w:tcPr>
            <w:tcW w:w="473"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31.75</w:t>
            </w:r>
          </w:p>
        </w:tc>
        <w:tc>
          <w:tcPr>
            <w:tcW w:w="67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886"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r>
      <w:tr w:rsidR="00801C75" w:rsidRPr="00166A00" w:rsidTr="00801C75">
        <w:trPr>
          <w:jc w:val="center"/>
        </w:trPr>
        <w:tc>
          <w:tcPr>
            <w:tcW w:w="868" w:type="pct"/>
            <w:vMerge w:val="restart"/>
            <w:tcBorders>
              <w:top w:val="nil"/>
              <w:left w:val="single" w:sz="4" w:space="0" w:color="auto"/>
              <w:bottom w:val="single" w:sz="4" w:space="0" w:color="auto"/>
              <w:right w:val="single" w:sz="4" w:space="0" w:color="auto"/>
            </w:tcBorders>
            <w:shd w:val="clear" w:color="auto" w:fill="auto"/>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ALB</w:t>
            </w:r>
          </w:p>
        </w:tc>
        <w:tc>
          <w:tcPr>
            <w:tcW w:w="66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Normal</w:t>
            </w:r>
          </w:p>
        </w:tc>
        <w:tc>
          <w:tcPr>
            <w:tcW w:w="62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19.20</w:t>
            </w:r>
          </w:p>
        </w:tc>
        <w:tc>
          <w:tcPr>
            <w:tcW w:w="333"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4.22</w:t>
            </w:r>
          </w:p>
        </w:tc>
        <w:tc>
          <w:tcPr>
            <w:tcW w:w="481"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10.93</w:t>
            </w:r>
          </w:p>
        </w:tc>
        <w:tc>
          <w:tcPr>
            <w:tcW w:w="473"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27.47</w:t>
            </w:r>
          </w:p>
        </w:tc>
        <w:tc>
          <w:tcPr>
            <w:tcW w:w="6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1.376</w:t>
            </w:r>
          </w:p>
        </w:tc>
        <w:tc>
          <w:tcPr>
            <w:tcW w:w="8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0.241</w:t>
            </w:r>
          </w:p>
        </w:tc>
      </w:tr>
      <w:tr w:rsidR="00801C75" w:rsidRPr="00166A00" w:rsidTr="00801C75">
        <w:trPr>
          <w:jc w:val="center"/>
        </w:trPr>
        <w:tc>
          <w:tcPr>
            <w:tcW w:w="868"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66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Abnormal</w:t>
            </w:r>
          </w:p>
        </w:tc>
        <w:tc>
          <w:tcPr>
            <w:tcW w:w="62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20.28</w:t>
            </w:r>
          </w:p>
        </w:tc>
        <w:tc>
          <w:tcPr>
            <w:tcW w:w="333"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7.07</w:t>
            </w:r>
          </w:p>
        </w:tc>
        <w:tc>
          <w:tcPr>
            <w:tcW w:w="481"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6.43</w:t>
            </w:r>
          </w:p>
        </w:tc>
        <w:tc>
          <w:tcPr>
            <w:tcW w:w="473"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34.13</w:t>
            </w:r>
          </w:p>
        </w:tc>
        <w:tc>
          <w:tcPr>
            <w:tcW w:w="67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886"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r>
      <w:tr w:rsidR="00801C75" w:rsidRPr="00166A00" w:rsidTr="00801C75">
        <w:trPr>
          <w:jc w:val="center"/>
        </w:trPr>
        <w:tc>
          <w:tcPr>
            <w:tcW w:w="868" w:type="pct"/>
            <w:vMerge w:val="restart"/>
            <w:tcBorders>
              <w:top w:val="nil"/>
              <w:left w:val="single" w:sz="4" w:space="0" w:color="auto"/>
              <w:bottom w:val="single" w:sz="4" w:space="0" w:color="auto"/>
              <w:right w:val="single" w:sz="4" w:space="0" w:color="auto"/>
            </w:tcBorders>
            <w:shd w:val="clear" w:color="auto" w:fill="auto"/>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NLR</w:t>
            </w:r>
          </w:p>
        </w:tc>
        <w:tc>
          <w:tcPr>
            <w:tcW w:w="66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Normal</w:t>
            </w:r>
          </w:p>
        </w:tc>
        <w:tc>
          <w:tcPr>
            <w:tcW w:w="62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33.00</w:t>
            </w:r>
          </w:p>
        </w:tc>
        <w:tc>
          <w:tcPr>
            <w:tcW w:w="333"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2.28</w:t>
            </w:r>
          </w:p>
        </w:tc>
        <w:tc>
          <w:tcPr>
            <w:tcW w:w="481"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28.52</w:t>
            </w:r>
          </w:p>
        </w:tc>
        <w:tc>
          <w:tcPr>
            <w:tcW w:w="473"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37.48</w:t>
            </w:r>
          </w:p>
        </w:tc>
        <w:tc>
          <w:tcPr>
            <w:tcW w:w="6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13.652</w:t>
            </w:r>
          </w:p>
        </w:tc>
        <w:tc>
          <w:tcPr>
            <w:tcW w:w="8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FF0000"/>
                <w:sz w:val="19"/>
                <w:szCs w:val="19"/>
              </w:rPr>
            </w:pPr>
            <w:r w:rsidRPr="00166A00">
              <w:rPr>
                <w:color w:val="FF0000"/>
                <w:sz w:val="19"/>
                <w:szCs w:val="19"/>
              </w:rPr>
              <w:t>&lt;0.001**</w:t>
            </w:r>
          </w:p>
        </w:tc>
      </w:tr>
      <w:tr w:rsidR="00801C75" w:rsidRPr="00166A00" w:rsidTr="00801C75">
        <w:trPr>
          <w:jc w:val="center"/>
        </w:trPr>
        <w:tc>
          <w:tcPr>
            <w:tcW w:w="868"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66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Abnormal</w:t>
            </w:r>
          </w:p>
        </w:tc>
        <w:tc>
          <w:tcPr>
            <w:tcW w:w="62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12.00</w:t>
            </w:r>
          </w:p>
        </w:tc>
        <w:tc>
          <w:tcPr>
            <w:tcW w:w="333"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1.64</w:t>
            </w:r>
          </w:p>
        </w:tc>
        <w:tc>
          <w:tcPr>
            <w:tcW w:w="481"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8.78</w:t>
            </w:r>
          </w:p>
        </w:tc>
        <w:tc>
          <w:tcPr>
            <w:tcW w:w="473"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15.22</w:t>
            </w:r>
          </w:p>
        </w:tc>
        <w:tc>
          <w:tcPr>
            <w:tcW w:w="67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886"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FF0000"/>
                <w:sz w:val="19"/>
                <w:szCs w:val="19"/>
              </w:rPr>
            </w:pPr>
          </w:p>
        </w:tc>
      </w:tr>
      <w:tr w:rsidR="00801C75" w:rsidRPr="00166A00" w:rsidTr="00801C75">
        <w:trPr>
          <w:jc w:val="center"/>
        </w:trPr>
        <w:tc>
          <w:tcPr>
            <w:tcW w:w="868" w:type="pct"/>
            <w:vMerge w:val="restart"/>
            <w:tcBorders>
              <w:top w:val="nil"/>
              <w:left w:val="single" w:sz="4" w:space="0" w:color="auto"/>
              <w:bottom w:val="single" w:sz="4" w:space="0" w:color="auto"/>
              <w:right w:val="single" w:sz="4" w:space="0" w:color="auto"/>
            </w:tcBorders>
            <w:shd w:val="clear" w:color="auto" w:fill="auto"/>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Platelet count</w:t>
            </w:r>
          </w:p>
        </w:tc>
        <w:tc>
          <w:tcPr>
            <w:tcW w:w="66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Normal</w:t>
            </w:r>
          </w:p>
        </w:tc>
        <w:tc>
          <w:tcPr>
            <w:tcW w:w="62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25.92</w:t>
            </w:r>
          </w:p>
        </w:tc>
        <w:tc>
          <w:tcPr>
            <w:tcW w:w="333"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1.68</w:t>
            </w:r>
          </w:p>
        </w:tc>
        <w:tc>
          <w:tcPr>
            <w:tcW w:w="481"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22.63</w:t>
            </w:r>
          </w:p>
        </w:tc>
        <w:tc>
          <w:tcPr>
            <w:tcW w:w="473"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29.21</w:t>
            </w:r>
          </w:p>
        </w:tc>
        <w:tc>
          <w:tcPr>
            <w:tcW w:w="6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7.192</w:t>
            </w:r>
          </w:p>
        </w:tc>
        <w:tc>
          <w:tcPr>
            <w:tcW w:w="8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FF0000"/>
                <w:sz w:val="19"/>
                <w:szCs w:val="19"/>
              </w:rPr>
            </w:pPr>
            <w:r w:rsidRPr="00166A00">
              <w:rPr>
                <w:color w:val="FF0000"/>
                <w:sz w:val="19"/>
                <w:szCs w:val="19"/>
              </w:rPr>
              <w:t>0.007*</w:t>
            </w:r>
          </w:p>
        </w:tc>
      </w:tr>
      <w:tr w:rsidR="00801C75" w:rsidRPr="00166A00" w:rsidTr="00801C75">
        <w:trPr>
          <w:jc w:val="center"/>
        </w:trPr>
        <w:tc>
          <w:tcPr>
            <w:tcW w:w="868"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66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Abnormal</w:t>
            </w:r>
          </w:p>
        </w:tc>
        <w:tc>
          <w:tcPr>
            <w:tcW w:w="62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7.80</w:t>
            </w:r>
          </w:p>
        </w:tc>
        <w:tc>
          <w:tcPr>
            <w:tcW w:w="333"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0.94</w:t>
            </w:r>
          </w:p>
        </w:tc>
        <w:tc>
          <w:tcPr>
            <w:tcW w:w="481"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5.95</w:t>
            </w:r>
          </w:p>
        </w:tc>
        <w:tc>
          <w:tcPr>
            <w:tcW w:w="473"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9.65</w:t>
            </w:r>
          </w:p>
        </w:tc>
        <w:tc>
          <w:tcPr>
            <w:tcW w:w="67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886"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r>
    </w:tbl>
    <w:p w:rsidR="00D27318" w:rsidRPr="00166A00" w:rsidRDefault="00D27318" w:rsidP="00331E80">
      <w:pPr>
        <w:bidi w:val="0"/>
        <w:snapToGrid w:val="0"/>
        <w:jc w:val="both"/>
        <w:rPr>
          <w:i/>
          <w:iCs/>
          <w:sz w:val="19"/>
          <w:szCs w:val="19"/>
        </w:rPr>
      </w:pPr>
      <w:r w:rsidRPr="00166A00">
        <w:rPr>
          <w:i/>
          <w:iCs/>
          <w:sz w:val="19"/>
          <w:szCs w:val="19"/>
        </w:rPr>
        <w:t>P-value &gt;0.05 NS; *p-value &lt;0.05 S; **p-value &lt;0.001 HS</w:t>
      </w:r>
    </w:p>
    <w:p w:rsidR="0094756F" w:rsidRPr="00801C75" w:rsidRDefault="0094756F" w:rsidP="00331E80">
      <w:pPr>
        <w:bidi w:val="0"/>
        <w:snapToGrid w:val="0"/>
        <w:ind w:firstLine="425"/>
        <w:jc w:val="both"/>
        <w:rPr>
          <w:sz w:val="20"/>
          <w:szCs w:val="20"/>
        </w:rPr>
      </w:pPr>
    </w:p>
    <w:p w:rsidR="00981714" w:rsidRPr="00801C75" w:rsidRDefault="00D27318" w:rsidP="00331E80">
      <w:pPr>
        <w:bidi w:val="0"/>
        <w:snapToGrid w:val="0"/>
        <w:ind w:firstLine="425"/>
        <w:jc w:val="both"/>
        <w:rPr>
          <w:sz w:val="20"/>
          <w:szCs w:val="20"/>
        </w:rPr>
      </w:pPr>
      <w:r w:rsidRPr="00801C75">
        <w:rPr>
          <w:sz w:val="20"/>
          <w:szCs w:val="20"/>
        </w:rPr>
        <w:t>This table shows statistically significance between NLR and platelet count parameters in disease free survival.</w:t>
      </w:r>
    </w:p>
    <w:p w:rsidR="0094756F" w:rsidRPr="00801C75" w:rsidRDefault="0094756F" w:rsidP="00331E80">
      <w:pPr>
        <w:bidi w:val="0"/>
        <w:snapToGrid w:val="0"/>
        <w:jc w:val="center"/>
        <w:rPr>
          <w:b/>
          <w:bCs/>
          <w:sz w:val="20"/>
          <w:szCs w:val="20"/>
          <w:shd w:val="clear" w:color="auto" w:fill="FFFFFF"/>
        </w:rPr>
      </w:pPr>
      <w:bookmarkStart w:id="28" w:name="_Toc7857984"/>
    </w:p>
    <w:p w:rsidR="00D27318" w:rsidRPr="00801C75" w:rsidRDefault="005830D0" w:rsidP="00331E80">
      <w:pPr>
        <w:bidi w:val="0"/>
        <w:snapToGrid w:val="0"/>
        <w:jc w:val="both"/>
        <w:rPr>
          <w:color w:val="000000" w:themeColor="text1"/>
          <w:sz w:val="20"/>
          <w:szCs w:val="20"/>
        </w:rPr>
      </w:pPr>
      <w:r w:rsidRPr="00801C75">
        <w:rPr>
          <w:b/>
          <w:bCs/>
          <w:sz w:val="20"/>
          <w:szCs w:val="20"/>
          <w:shd w:val="clear" w:color="auto" w:fill="FFFFFF"/>
        </w:rPr>
        <w:t>Table (</w:t>
      </w:r>
      <w:r w:rsidR="0014198C" w:rsidRPr="00801C75">
        <w:rPr>
          <w:b/>
          <w:bCs/>
          <w:sz w:val="20"/>
          <w:szCs w:val="20"/>
          <w:shd w:val="clear" w:color="auto" w:fill="FFFFFF"/>
        </w:rPr>
        <w:fldChar w:fldCharType="begin"/>
      </w:r>
      <w:r w:rsidRPr="00801C75">
        <w:rPr>
          <w:b/>
          <w:bCs/>
          <w:sz w:val="20"/>
          <w:szCs w:val="20"/>
          <w:shd w:val="clear" w:color="auto" w:fill="FFFFFF"/>
        </w:rPr>
        <w:instrText xml:space="preserve"> SEQ Table \* ARABIC </w:instrText>
      </w:r>
      <w:r w:rsidR="0014198C" w:rsidRPr="00801C75">
        <w:rPr>
          <w:b/>
          <w:bCs/>
          <w:sz w:val="20"/>
          <w:szCs w:val="20"/>
          <w:shd w:val="clear" w:color="auto" w:fill="FFFFFF"/>
        </w:rPr>
        <w:fldChar w:fldCharType="separate"/>
      </w:r>
      <w:r w:rsidR="00D60619">
        <w:rPr>
          <w:b/>
          <w:bCs/>
          <w:noProof/>
          <w:sz w:val="20"/>
          <w:szCs w:val="20"/>
          <w:shd w:val="clear" w:color="auto" w:fill="FFFFFF"/>
        </w:rPr>
        <w:t>14</w:t>
      </w:r>
      <w:r w:rsidR="0014198C" w:rsidRPr="00801C75">
        <w:rPr>
          <w:b/>
          <w:bCs/>
          <w:sz w:val="20"/>
          <w:szCs w:val="20"/>
          <w:shd w:val="clear" w:color="auto" w:fill="FFFFFF"/>
        </w:rPr>
        <w:fldChar w:fldCharType="end"/>
      </w:r>
      <w:r w:rsidRPr="00801C75">
        <w:rPr>
          <w:b/>
          <w:bCs/>
          <w:sz w:val="20"/>
          <w:szCs w:val="20"/>
          <w:shd w:val="clear" w:color="auto" w:fill="FFFFFF"/>
        </w:rPr>
        <w:t>)</w:t>
      </w:r>
      <w:r w:rsidRPr="00801C75">
        <w:rPr>
          <w:sz w:val="20"/>
          <w:szCs w:val="20"/>
          <w:shd w:val="clear" w:color="auto" w:fill="FFFFFF"/>
        </w:rPr>
        <w:t>:</w:t>
      </w:r>
      <w:r w:rsidR="00D27318" w:rsidRPr="00801C75">
        <w:rPr>
          <w:sz w:val="20"/>
          <w:szCs w:val="20"/>
        </w:rPr>
        <w:t xml:space="preserve"> Progression free survival based on death between laboratory data characteristics in metastatic grou</w:t>
      </w:r>
      <w:r w:rsidR="00801C75" w:rsidRPr="00801C75">
        <w:rPr>
          <w:sz w:val="20"/>
          <w:szCs w:val="20"/>
        </w:rPr>
        <w:t xml:space="preserve">p </w:t>
      </w:r>
      <w:r w:rsidR="00801C75" w:rsidRPr="00801C75">
        <w:rPr>
          <w:color w:val="000000" w:themeColor="text1"/>
          <w:sz w:val="20"/>
          <w:szCs w:val="20"/>
        </w:rPr>
        <w:t>(</w:t>
      </w:r>
      <w:r w:rsidR="00D27318" w:rsidRPr="00801C75">
        <w:rPr>
          <w:color w:val="000000" w:themeColor="text1"/>
          <w:sz w:val="20"/>
          <w:szCs w:val="20"/>
        </w:rPr>
        <w:t>n= 45).</w:t>
      </w:r>
      <w:bookmarkEnd w:id="28"/>
    </w:p>
    <w:tbl>
      <w:tblPr>
        <w:tblW w:w="5000" w:type="pct"/>
        <w:jc w:val="center"/>
        <w:tblCellMar>
          <w:left w:w="57" w:type="dxa"/>
          <w:right w:w="57" w:type="dxa"/>
        </w:tblCellMar>
        <w:tblLook w:val="04A0"/>
      </w:tblPr>
      <w:tblGrid>
        <w:gridCol w:w="1646"/>
        <w:gridCol w:w="1258"/>
        <w:gridCol w:w="1182"/>
        <w:gridCol w:w="631"/>
        <w:gridCol w:w="911"/>
        <w:gridCol w:w="896"/>
        <w:gridCol w:w="1271"/>
        <w:gridCol w:w="1679"/>
      </w:tblGrid>
      <w:tr w:rsidR="00D27318" w:rsidRPr="00166A00" w:rsidTr="00801C75">
        <w:trPr>
          <w:jc w:val="center"/>
        </w:trPr>
        <w:tc>
          <w:tcPr>
            <w:tcW w:w="1532" w:type="pct"/>
            <w:gridSpan w:val="2"/>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Laboratory data</w:t>
            </w:r>
          </w:p>
        </w:tc>
        <w:tc>
          <w:tcPr>
            <w:tcW w:w="957" w:type="pct"/>
            <w:gridSpan w:val="2"/>
            <w:tcBorders>
              <w:top w:val="single" w:sz="4" w:space="0" w:color="auto"/>
              <w:left w:val="nil"/>
              <w:bottom w:val="single" w:sz="4" w:space="0" w:color="auto"/>
              <w:right w:val="single" w:sz="4" w:space="0" w:color="auto"/>
            </w:tcBorders>
            <w:shd w:val="clear" w:color="000000" w:fill="C4D79B"/>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Median (m)</w:t>
            </w:r>
          </w:p>
        </w:tc>
        <w:tc>
          <w:tcPr>
            <w:tcW w:w="954" w:type="pct"/>
            <w:gridSpan w:val="2"/>
            <w:tcBorders>
              <w:top w:val="single" w:sz="4" w:space="0" w:color="auto"/>
              <w:left w:val="nil"/>
              <w:bottom w:val="single" w:sz="4" w:space="0" w:color="auto"/>
              <w:right w:val="single" w:sz="4" w:space="0" w:color="auto"/>
            </w:tcBorders>
            <w:shd w:val="clear" w:color="000000" w:fill="C4D79B"/>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95% C.I.</w:t>
            </w:r>
          </w:p>
        </w:tc>
        <w:tc>
          <w:tcPr>
            <w:tcW w:w="1557" w:type="pct"/>
            <w:gridSpan w:val="2"/>
            <w:tcBorders>
              <w:top w:val="single" w:sz="4" w:space="0" w:color="auto"/>
              <w:left w:val="nil"/>
              <w:bottom w:val="single" w:sz="4" w:space="0" w:color="auto"/>
              <w:right w:val="single" w:sz="4" w:space="0" w:color="auto"/>
            </w:tcBorders>
            <w:shd w:val="clear" w:color="000000" w:fill="C4D79B"/>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Log Rank (Mantel-Cox)</w:t>
            </w:r>
          </w:p>
        </w:tc>
      </w:tr>
      <w:tr w:rsidR="00801C75" w:rsidRPr="00166A00" w:rsidTr="00801C75">
        <w:trPr>
          <w:jc w:val="center"/>
        </w:trPr>
        <w:tc>
          <w:tcPr>
            <w:tcW w:w="1532" w:type="pct"/>
            <w:gridSpan w:val="2"/>
            <w:vMerge/>
            <w:tcBorders>
              <w:top w:val="single" w:sz="4" w:space="0" w:color="auto"/>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b/>
                <w:bCs/>
                <w:color w:val="000000"/>
                <w:sz w:val="19"/>
                <w:szCs w:val="19"/>
              </w:rPr>
            </w:pPr>
          </w:p>
        </w:tc>
        <w:tc>
          <w:tcPr>
            <w:tcW w:w="624" w:type="pct"/>
            <w:tcBorders>
              <w:top w:val="nil"/>
              <w:left w:val="nil"/>
              <w:bottom w:val="single" w:sz="4" w:space="0" w:color="auto"/>
              <w:right w:val="single" w:sz="4" w:space="0" w:color="auto"/>
            </w:tcBorders>
            <w:shd w:val="clear" w:color="000000" w:fill="C4D79B"/>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Estimate</w:t>
            </w:r>
          </w:p>
        </w:tc>
        <w:tc>
          <w:tcPr>
            <w:tcW w:w="333" w:type="pct"/>
            <w:tcBorders>
              <w:top w:val="nil"/>
              <w:left w:val="nil"/>
              <w:bottom w:val="single" w:sz="4" w:space="0" w:color="auto"/>
              <w:right w:val="single" w:sz="4" w:space="0" w:color="auto"/>
            </w:tcBorders>
            <w:shd w:val="clear" w:color="000000" w:fill="C4D79B"/>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SE</w:t>
            </w:r>
          </w:p>
        </w:tc>
        <w:tc>
          <w:tcPr>
            <w:tcW w:w="481" w:type="pct"/>
            <w:tcBorders>
              <w:top w:val="nil"/>
              <w:left w:val="nil"/>
              <w:bottom w:val="single" w:sz="4" w:space="0" w:color="auto"/>
              <w:right w:val="single" w:sz="4" w:space="0" w:color="auto"/>
            </w:tcBorders>
            <w:shd w:val="clear" w:color="000000" w:fill="C4D79B"/>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Lower</w:t>
            </w:r>
          </w:p>
        </w:tc>
        <w:tc>
          <w:tcPr>
            <w:tcW w:w="473" w:type="pct"/>
            <w:tcBorders>
              <w:top w:val="nil"/>
              <w:left w:val="nil"/>
              <w:bottom w:val="single" w:sz="4" w:space="0" w:color="auto"/>
              <w:right w:val="single" w:sz="4" w:space="0" w:color="auto"/>
            </w:tcBorders>
            <w:shd w:val="clear" w:color="000000" w:fill="C4D79B"/>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Upper</w:t>
            </w:r>
          </w:p>
        </w:tc>
        <w:tc>
          <w:tcPr>
            <w:tcW w:w="671" w:type="pct"/>
            <w:tcBorders>
              <w:top w:val="nil"/>
              <w:left w:val="nil"/>
              <w:bottom w:val="single" w:sz="4" w:space="0" w:color="auto"/>
              <w:right w:val="single" w:sz="4" w:space="0" w:color="auto"/>
            </w:tcBorders>
            <w:shd w:val="clear" w:color="000000" w:fill="C4D79B"/>
            <w:noWrap/>
            <w:vAlign w:val="center"/>
            <w:hideMark/>
          </w:tcPr>
          <w:p w:rsidR="00D27318" w:rsidRPr="00166A00" w:rsidRDefault="00D27318" w:rsidP="00331E80">
            <w:pPr>
              <w:bidi w:val="0"/>
              <w:snapToGrid w:val="0"/>
              <w:jc w:val="both"/>
              <w:rPr>
                <w:b/>
                <w:bCs/>
                <w:i/>
                <w:iCs/>
                <w:color w:val="000000"/>
                <w:sz w:val="19"/>
                <w:szCs w:val="19"/>
              </w:rPr>
            </w:pPr>
            <w:r w:rsidRPr="00166A00">
              <w:rPr>
                <w:b/>
                <w:bCs/>
                <w:i/>
                <w:iCs/>
                <w:color w:val="000000"/>
                <w:sz w:val="19"/>
                <w:szCs w:val="19"/>
              </w:rPr>
              <w:t>x</w:t>
            </w:r>
            <w:r w:rsidRPr="00166A00">
              <w:rPr>
                <w:b/>
                <w:bCs/>
                <w:i/>
                <w:iCs/>
                <w:color w:val="000000"/>
                <w:sz w:val="19"/>
                <w:szCs w:val="19"/>
                <w:vertAlign w:val="superscript"/>
              </w:rPr>
              <w:t>2</w:t>
            </w:r>
          </w:p>
        </w:tc>
        <w:tc>
          <w:tcPr>
            <w:tcW w:w="886" w:type="pct"/>
            <w:tcBorders>
              <w:top w:val="nil"/>
              <w:left w:val="nil"/>
              <w:bottom w:val="single" w:sz="4" w:space="0" w:color="auto"/>
              <w:right w:val="single" w:sz="4" w:space="0" w:color="auto"/>
            </w:tcBorders>
            <w:shd w:val="clear" w:color="000000" w:fill="C4D79B"/>
            <w:noWrap/>
            <w:vAlign w:val="center"/>
            <w:hideMark/>
          </w:tcPr>
          <w:p w:rsidR="00D27318" w:rsidRPr="00166A00" w:rsidRDefault="00D27318" w:rsidP="00331E80">
            <w:pPr>
              <w:bidi w:val="0"/>
              <w:snapToGrid w:val="0"/>
              <w:jc w:val="both"/>
              <w:rPr>
                <w:b/>
                <w:bCs/>
                <w:color w:val="000000"/>
                <w:sz w:val="19"/>
                <w:szCs w:val="19"/>
              </w:rPr>
            </w:pPr>
            <w:r w:rsidRPr="00166A00">
              <w:rPr>
                <w:b/>
                <w:bCs/>
                <w:color w:val="000000"/>
                <w:sz w:val="19"/>
                <w:szCs w:val="19"/>
              </w:rPr>
              <w:t>Sig.</w:t>
            </w:r>
          </w:p>
        </w:tc>
      </w:tr>
      <w:tr w:rsidR="00801C75" w:rsidRPr="00166A00" w:rsidTr="00801C75">
        <w:trPr>
          <w:jc w:val="center"/>
        </w:trPr>
        <w:tc>
          <w:tcPr>
            <w:tcW w:w="868" w:type="pct"/>
            <w:vMerge w:val="restart"/>
            <w:tcBorders>
              <w:top w:val="nil"/>
              <w:left w:val="single" w:sz="4" w:space="0" w:color="auto"/>
              <w:bottom w:val="single" w:sz="4" w:space="0" w:color="auto"/>
              <w:right w:val="single" w:sz="4" w:space="0" w:color="auto"/>
            </w:tcBorders>
            <w:shd w:val="clear" w:color="auto" w:fill="auto"/>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CEA</w:t>
            </w:r>
          </w:p>
        </w:tc>
        <w:tc>
          <w:tcPr>
            <w:tcW w:w="66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Normal</w:t>
            </w:r>
          </w:p>
        </w:tc>
        <w:tc>
          <w:tcPr>
            <w:tcW w:w="62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37.56</w:t>
            </w:r>
          </w:p>
        </w:tc>
        <w:tc>
          <w:tcPr>
            <w:tcW w:w="333"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1.48</w:t>
            </w:r>
          </w:p>
        </w:tc>
        <w:tc>
          <w:tcPr>
            <w:tcW w:w="481"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28.17</w:t>
            </w:r>
          </w:p>
        </w:tc>
        <w:tc>
          <w:tcPr>
            <w:tcW w:w="473"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46.95</w:t>
            </w:r>
          </w:p>
        </w:tc>
        <w:tc>
          <w:tcPr>
            <w:tcW w:w="6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7.766</w:t>
            </w:r>
          </w:p>
        </w:tc>
        <w:tc>
          <w:tcPr>
            <w:tcW w:w="8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FF0000"/>
                <w:sz w:val="19"/>
                <w:szCs w:val="19"/>
              </w:rPr>
            </w:pPr>
            <w:r w:rsidRPr="00166A00">
              <w:rPr>
                <w:color w:val="FF0000"/>
                <w:sz w:val="19"/>
                <w:szCs w:val="19"/>
              </w:rPr>
              <w:t>0.005*</w:t>
            </w:r>
          </w:p>
        </w:tc>
      </w:tr>
      <w:tr w:rsidR="00801C75" w:rsidRPr="00166A00" w:rsidTr="00801C75">
        <w:trPr>
          <w:jc w:val="center"/>
        </w:trPr>
        <w:tc>
          <w:tcPr>
            <w:tcW w:w="868"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66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Abnormal</w:t>
            </w:r>
          </w:p>
        </w:tc>
        <w:tc>
          <w:tcPr>
            <w:tcW w:w="62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9.24</w:t>
            </w:r>
          </w:p>
        </w:tc>
        <w:tc>
          <w:tcPr>
            <w:tcW w:w="333"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1.34</w:t>
            </w:r>
          </w:p>
        </w:tc>
        <w:tc>
          <w:tcPr>
            <w:tcW w:w="481"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6.61</w:t>
            </w:r>
          </w:p>
        </w:tc>
        <w:tc>
          <w:tcPr>
            <w:tcW w:w="473"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11.87</w:t>
            </w:r>
          </w:p>
        </w:tc>
        <w:tc>
          <w:tcPr>
            <w:tcW w:w="67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886"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r>
      <w:tr w:rsidR="00801C75" w:rsidRPr="00166A00" w:rsidTr="00801C75">
        <w:trPr>
          <w:jc w:val="center"/>
        </w:trPr>
        <w:tc>
          <w:tcPr>
            <w:tcW w:w="868" w:type="pct"/>
            <w:vMerge w:val="restart"/>
            <w:tcBorders>
              <w:top w:val="nil"/>
              <w:left w:val="single" w:sz="4" w:space="0" w:color="auto"/>
              <w:bottom w:val="single" w:sz="4" w:space="0" w:color="auto"/>
              <w:right w:val="single" w:sz="4" w:space="0" w:color="auto"/>
            </w:tcBorders>
            <w:shd w:val="clear" w:color="auto" w:fill="auto"/>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ALB</w:t>
            </w:r>
          </w:p>
        </w:tc>
        <w:tc>
          <w:tcPr>
            <w:tcW w:w="66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Normal</w:t>
            </w:r>
          </w:p>
        </w:tc>
        <w:tc>
          <w:tcPr>
            <w:tcW w:w="62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10.08</w:t>
            </w:r>
          </w:p>
        </w:tc>
        <w:tc>
          <w:tcPr>
            <w:tcW w:w="333"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2.64</w:t>
            </w:r>
          </w:p>
        </w:tc>
        <w:tc>
          <w:tcPr>
            <w:tcW w:w="481"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4.90</w:t>
            </w:r>
          </w:p>
        </w:tc>
        <w:tc>
          <w:tcPr>
            <w:tcW w:w="473"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15.26</w:t>
            </w:r>
          </w:p>
        </w:tc>
        <w:tc>
          <w:tcPr>
            <w:tcW w:w="6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0.620</w:t>
            </w:r>
          </w:p>
        </w:tc>
        <w:tc>
          <w:tcPr>
            <w:tcW w:w="8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0.431</w:t>
            </w:r>
          </w:p>
        </w:tc>
      </w:tr>
      <w:tr w:rsidR="00801C75" w:rsidRPr="00166A00" w:rsidTr="00801C75">
        <w:trPr>
          <w:jc w:val="center"/>
        </w:trPr>
        <w:tc>
          <w:tcPr>
            <w:tcW w:w="868"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66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Abnormal</w:t>
            </w:r>
          </w:p>
        </w:tc>
        <w:tc>
          <w:tcPr>
            <w:tcW w:w="62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25.80</w:t>
            </w:r>
          </w:p>
        </w:tc>
        <w:tc>
          <w:tcPr>
            <w:tcW w:w="333"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4.83</w:t>
            </w:r>
          </w:p>
        </w:tc>
        <w:tc>
          <w:tcPr>
            <w:tcW w:w="481"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19.35</w:t>
            </w:r>
          </w:p>
        </w:tc>
        <w:tc>
          <w:tcPr>
            <w:tcW w:w="473"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32.25</w:t>
            </w:r>
          </w:p>
        </w:tc>
        <w:tc>
          <w:tcPr>
            <w:tcW w:w="67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886"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r>
      <w:tr w:rsidR="00801C75" w:rsidRPr="00166A00" w:rsidTr="00801C75">
        <w:trPr>
          <w:jc w:val="center"/>
        </w:trPr>
        <w:tc>
          <w:tcPr>
            <w:tcW w:w="868" w:type="pct"/>
            <w:vMerge w:val="restart"/>
            <w:tcBorders>
              <w:top w:val="nil"/>
              <w:left w:val="single" w:sz="4" w:space="0" w:color="auto"/>
              <w:bottom w:val="single" w:sz="4" w:space="0" w:color="auto"/>
              <w:right w:val="single" w:sz="4" w:space="0" w:color="auto"/>
            </w:tcBorders>
            <w:shd w:val="clear" w:color="auto" w:fill="auto"/>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NLR</w:t>
            </w:r>
          </w:p>
        </w:tc>
        <w:tc>
          <w:tcPr>
            <w:tcW w:w="66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Normal</w:t>
            </w:r>
          </w:p>
        </w:tc>
        <w:tc>
          <w:tcPr>
            <w:tcW w:w="62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25.80</w:t>
            </w:r>
          </w:p>
        </w:tc>
        <w:tc>
          <w:tcPr>
            <w:tcW w:w="333"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4.39</w:t>
            </w:r>
          </w:p>
        </w:tc>
        <w:tc>
          <w:tcPr>
            <w:tcW w:w="481"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17.19</w:t>
            </w:r>
          </w:p>
        </w:tc>
        <w:tc>
          <w:tcPr>
            <w:tcW w:w="473"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34.41</w:t>
            </w:r>
          </w:p>
        </w:tc>
        <w:tc>
          <w:tcPr>
            <w:tcW w:w="6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9.413</w:t>
            </w:r>
          </w:p>
        </w:tc>
        <w:tc>
          <w:tcPr>
            <w:tcW w:w="8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FF0000"/>
                <w:sz w:val="19"/>
                <w:szCs w:val="19"/>
              </w:rPr>
            </w:pPr>
            <w:r w:rsidRPr="00166A00">
              <w:rPr>
                <w:color w:val="FF0000"/>
                <w:sz w:val="19"/>
                <w:szCs w:val="19"/>
              </w:rPr>
              <w:t>0.002*</w:t>
            </w:r>
          </w:p>
        </w:tc>
      </w:tr>
      <w:tr w:rsidR="00801C75" w:rsidRPr="00166A00" w:rsidTr="00801C75">
        <w:trPr>
          <w:jc w:val="center"/>
        </w:trPr>
        <w:tc>
          <w:tcPr>
            <w:tcW w:w="868"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66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Abnormal</w:t>
            </w:r>
          </w:p>
        </w:tc>
        <w:tc>
          <w:tcPr>
            <w:tcW w:w="62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8.88</w:t>
            </w:r>
          </w:p>
        </w:tc>
        <w:tc>
          <w:tcPr>
            <w:tcW w:w="333"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1.78</w:t>
            </w:r>
          </w:p>
        </w:tc>
        <w:tc>
          <w:tcPr>
            <w:tcW w:w="481"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5.38</w:t>
            </w:r>
          </w:p>
        </w:tc>
        <w:tc>
          <w:tcPr>
            <w:tcW w:w="473"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12.38</w:t>
            </w:r>
          </w:p>
        </w:tc>
        <w:tc>
          <w:tcPr>
            <w:tcW w:w="67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886"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FF0000"/>
                <w:sz w:val="19"/>
                <w:szCs w:val="19"/>
              </w:rPr>
            </w:pPr>
          </w:p>
        </w:tc>
      </w:tr>
      <w:tr w:rsidR="00801C75" w:rsidRPr="00166A00" w:rsidTr="00801C75">
        <w:trPr>
          <w:jc w:val="center"/>
        </w:trPr>
        <w:tc>
          <w:tcPr>
            <w:tcW w:w="868" w:type="pct"/>
            <w:vMerge w:val="restart"/>
            <w:tcBorders>
              <w:top w:val="nil"/>
              <w:left w:val="single" w:sz="4" w:space="0" w:color="auto"/>
              <w:bottom w:val="single" w:sz="4" w:space="0" w:color="auto"/>
              <w:right w:val="single" w:sz="4" w:space="0" w:color="auto"/>
            </w:tcBorders>
            <w:shd w:val="clear" w:color="auto" w:fill="auto"/>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Platelet count</w:t>
            </w:r>
          </w:p>
        </w:tc>
        <w:tc>
          <w:tcPr>
            <w:tcW w:w="66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Normal</w:t>
            </w:r>
          </w:p>
        </w:tc>
        <w:tc>
          <w:tcPr>
            <w:tcW w:w="62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25.80</w:t>
            </w:r>
          </w:p>
        </w:tc>
        <w:tc>
          <w:tcPr>
            <w:tcW w:w="333"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3.49</w:t>
            </w:r>
          </w:p>
        </w:tc>
        <w:tc>
          <w:tcPr>
            <w:tcW w:w="481"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18.96</w:t>
            </w:r>
          </w:p>
        </w:tc>
        <w:tc>
          <w:tcPr>
            <w:tcW w:w="473"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32.64</w:t>
            </w:r>
          </w:p>
        </w:tc>
        <w:tc>
          <w:tcPr>
            <w:tcW w:w="6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19.017</w:t>
            </w:r>
          </w:p>
        </w:tc>
        <w:tc>
          <w:tcPr>
            <w:tcW w:w="8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FF0000"/>
                <w:sz w:val="19"/>
                <w:szCs w:val="19"/>
              </w:rPr>
            </w:pPr>
            <w:r w:rsidRPr="00166A00">
              <w:rPr>
                <w:color w:val="FF0000"/>
                <w:sz w:val="19"/>
                <w:szCs w:val="19"/>
              </w:rPr>
              <w:t>&lt;0.001**</w:t>
            </w:r>
          </w:p>
        </w:tc>
      </w:tr>
      <w:tr w:rsidR="00801C75" w:rsidRPr="00166A00" w:rsidTr="00801C75">
        <w:trPr>
          <w:jc w:val="center"/>
        </w:trPr>
        <w:tc>
          <w:tcPr>
            <w:tcW w:w="868"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66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Abnormal</w:t>
            </w:r>
          </w:p>
        </w:tc>
        <w:tc>
          <w:tcPr>
            <w:tcW w:w="62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8.16</w:t>
            </w:r>
          </w:p>
        </w:tc>
        <w:tc>
          <w:tcPr>
            <w:tcW w:w="333"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1.32</w:t>
            </w:r>
          </w:p>
        </w:tc>
        <w:tc>
          <w:tcPr>
            <w:tcW w:w="481"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5.58</w:t>
            </w:r>
          </w:p>
        </w:tc>
        <w:tc>
          <w:tcPr>
            <w:tcW w:w="473"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9"/>
                <w:szCs w:val="19"/>
              </w:rPr>
            </w:pPr>
            <w:r w:rsidRPr="00166A00">
              <w:rPr>
                <w:color w:val="000000"/>
                <w:sz w:val="19"/>
                <w:szCs w:val="19"/>
              </w:rPr>
              <w:t>10.74</w:t>
            </w:r>
          </w:p>
        </w:tc>
        <w:tc>
          <w:tcPr>
            <w:tcW w:w="67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c>
          <w:tcPr>
            <w:tcW w:w="886"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9"/>
                <w:szCs w:val="19"/>
              </w:rPr>
            </w:pPr>
          </w:p>
        </w:tc>
      </w:tr>
    </w:tbl>
    <w:p w:rsidR="00D27318" w:rsidRPr="00166A00" w:rsidRDefault="00D27318" w:rsidP="00331E80">
      <w:pPr>
        <w:bidi w:val="0"/>
        <w:snapToGrid w:val="0"/>
        <w:jc w:val="both"/>
        <w:rPr>
          <w:i/>
          <w:iCs/>
          <w:sz w:val="19"/>
          <w:szCs w:val="19"/>
        </w:rPr>
      </w:pPr>
      <w:r w:rsidRPr="00166A00">
        <w:rPr>
          <w:i/>
          <w:iCs/>
          <w:sz w:val="19"/>
          <w:szCs w:val="19"/>
        </w:rPr>
        <w:t>P-value &gt;0.05 NS; *p-value &lt;0.05 S; **p-value &lt;0.001 HS</w:t>
      </w:r>
    </w:p>
    <w:p w:rsidR="00331E80" w:rsidRDefault="00331E80" w:rsidP="00331E80">
      <w:pPr>
        <w:bidi w:val="0"/>
        <w:snapToGrid w:val="0"/>
        <w:ind w:firstLine="425"/>
        <w:jc w:val="both"/>
        <w:rPr>
          <w:sz w:val="20"/>
          <w:szCs w:val="20"/>
          <w:lang w:eastAsia="ar-SA"/>
        </w:rPr>
        <w:sectPr w:rsidR="00331E80" w:rsidSect="00801C75">
          <w:type w:val="continuous"/>
          <w:pgSz w:w="12240" w:h="15840" w:code="9"/>
          <w:pgMar w:top="1440" w:right="1440" w:bottom="1440" w:left="1440" w:header="720" w:footer="720" w:gutter="0"/>
          <w:pgBorders w:offsetFrom="page">
            <w:top w:val="none" w:sz="0" w:space="13" w:color="000000" w:shadow="1"/>
            <w:left w:val="none" w:sz="0" w:space="13" w:color="000000" w:shadow="1"/>
            <w:bottom w:val="none" w:sz="0" w:space="13" w:color="000000" w:shadow="1"/>
            <w:right w:val="none" w:sz="0" w:space="0" w:color="000000" w:shadow="1"/>
          </w:pgBorders>
          <w:cols w:space="720"/>
          <w:noEndnote/>
          <w:rtlGutter/>
          <w:docGrid w:linePitch="326"/>
        </w:sectPr>
      </w:pPr>
    </w:p>
    <w:p w:rsidR="00D27318" w:rsidRPr="00801C75" w:rsidRDefault="00D27318" w:rsidP="00331E80">
      <w:pPr>
        <w:bidi w:val="0"/>
        <w:snapToGrid w:val="0"/>
        <w:ind w:firstLine="425"/>
        <w:jc w:val="both"/>
        <w:rPr>
          <w:sz w:val="20"/>
          <w:szCs w:val="20"/>
          <w:lang w:eastAsia="ar-SA"/>
        </w:rPr>
      </w:pPr>
      <w:r w:rsidRPr="00801C75">
        <w:rPr>
          <w:sz w:val="20"/>
          <w:szCs w:val="20"/>
          <w:lang w:eastAsia="ar-SA"/>
        </w:rPr>
        <w:lastRenderedPageBreak/>
        <w:t>This table shows statistically significance between CEA, NLR and platelet count parameters in progression free survival.</w:t>
      </w:r>
    </w:p>
    <w:p w:rsidR="00D27318" w:rsidRPr="00801C75" w:rsidRDefault="00D27318" w:rsidP="00331E80">
      <w:pPr>
        <w:bidi w:val="0"/>
        <w:snapToGrid w:val="0"/>
        <w:ind w:firstLine="425"/>
        <w:jc w:val="both"/>
        <w:rPr>
          <w:sz w:val="20"/>
          <w:szCs w:val="20"/>
          <w:lang w:eastAsia="ar-SA"/>
        </w:rPr>
      </w:pPr>
      <w:r w:rsidRPr="00801C75">
        <w:rPr>
          <w:sz w:val="20"/>
          <w:szCs w:val="20"/>
          <w:lang w:eastAsia="ar-SA"/>
        </w:rPr>
        <w:lastRenderedPageBreak/>
        <w:t xml:space="preserve">N.B: Albumin as a laboratory data was not sufficiently recorded in medical files, so can't comment on its result. </w:t>
      </w:r>
    </w:p>
    <w:p w:rsidR="00331E80" w:rsidRDefault="00331E80" w:rsidP="00331E80">
      <w:pPr>
        <w:bidi w:val="0"/>
        <w:snapToGrid w:val="0"/>
        <w:jc w:val="center"/>
        <w:rPr>
          <w:b/>
          <w:bCs/>
          <w:sz w:val="20"/>
          <w:szCs w:val="20"/>
          <w:shd w:val="clear" w:color="auto" w:fill="FFFFFF"/>
        </w:rPr>
        <w:sectPr w:rsidR="00331E80" w:rsidSect="00331E80">
          <w:type w:val="continuous"/>
          <w:pgSz w:w="12240" w:h="15840" w:code="9"/>
          <w:pgMar w:top="1440" w:right="1440" w:bottom="1440" w:left="1440" w:header="720" w:footer="720" w:gutter="0"/>
          <w:pgBorders w:offsetFrom="page">
            <w:top w:val="none" w:sz="0" w:space="13" w:color="000000" w:shadow="1"/>
            <w:left w:val="none" w:sz="0" w:space="13" w:color="000000" w:shadow="1"/>
            <w:bottom w:val="none" w:sz="0" w:space="13" w:color="000000" w:shadow="1"/>
            <w:right w:val="none" w:sz="0" w:space="0" w:color="000000" w:shadow="1"/>
          </w:pgBorders>
          <w:cols w:num="2" w:space="600"/>
          <w:noEndnote/>
          <w:rtlGutter/>
          <w:docGrid w:linePitch="326"/>
        </w:sectPr>
      </w:pPr>
      <w:bookmarkStart w:id="29" w:name="_Toc7857985"/>
    </w:p>
    <w:p w:rsidR="0094756F" w:rsidRPr="00801C75" w:rsidRDefault="0094756F" w:rsidP="00331E80">
      <w:pPr>
        <w:bidi w:val="0"/>
        <w:snapToGrid w:val="0"/>
        <w:jc w:val="center"/>
        <w:rPr>
          <w:b/>
          <w:bCs/>
          <w:sz w:val="20"/>
          <w:szCs w:val="20"/>
          <w:shd w:val="clear" w:color="auto" w:fill="FFFFFF"/>
        </w:rPr>
      </w:pPr>
    </w:p>
    <w:p w:rsidR="00D27318" w:rsidRPr="00801C75" w:rsidRDefault="005830D0" w:rsidP="00331E80">
      <w:pPr>
        <w:bidi w:val="0"/>
        <w:snapToGrid w:val="0"/>
        <w:jc w:val="center"/>
        <w:rPr>
          <w:sz w:val="20"/>
          <w:szCs w:val="20"/>
        </w:rPr>
      </w:pPr>
      <w:r w:rsidRPr="00801C75">
        <w:rPr>
          <w:b/>
          <w:bCs/>
          <w:sz w:val="20"/>
          <w:szCs w:val="20"/>
          <w:shd w:val="clear" w:color="auto" w:fill="FFFFFF"/>
        </w:rPr>
        <w:t>Table (</w:t>
      </w:r>
      <w:r w:rsidR="0014198C" w:rsidRPr="00801C75">
        <w:rPr>
          <w:b/>
          <w:bCs/>
          <w:sz w:val="20"/>
          <w:szCs w:val="20"/>
          <w:shd w:val="clear" w:color="auto" w:fill="FFFFFF"/>
        </w:rPr>
        <w:fldChar w:fldCharType="begin"/>
      </w:r>
      <w:r w:rsidRPr="00801C75">
        <w:rPr>
          <w:b/>
          <w:bCs/>
          <w:sz w:val="20"/>
          <w:szCs w:val="20"/>
          <w:shd w:val="clear" w:color="auto" w:fill="FFFFFF"/>
        </w:rPr>
        <w:instrText xml:space="preserve"> SEQ Table \* ARABIC </w:instrText>
      </w:r>
      <w:r w:rsidR="0014198C" w:rsidRPr="00801C75">
        <w:rPr>
          <w:b/>
          <w:bCs/>
          <w:sz w:val="20"/>
          <w:szCs w:val="20"/>
          <w:shd w:val="clear" w:color="auto" w:fill="FFFFFF"/>
        </w:rPr>
        <w:fldChar w:fldCharType="separate"/>
      </w:r>
      <w:r w:rsidR="00D60619">
        <w:rPr>
          <w:b/>
          <w:bCs/>
          <w:noProof/>
          <w:sz w:val="20"/>
          <w:szCs w:val="20"/>
          <w:shd w:val="clear" w:color="auto" w:fill="FFFFFF"/>
        </w:rPr>
        <w:t>15</w:t>
      </w:r>
      <w:r w:rsidR="0014198C" w:rsidRPr="00801C75">
        <w:rPr>
          <w:b/>
          <w:bCs/>
          <w:sz w:val="20"/>
          <w:szCs w:val="20"/>
          <w:shd w:val="clear" w:color="auto" w:fill="FFFFFF"/>
        </w:rPr>
        <w:fldChar w:fldCharType="end"/>
      </w:r>
      <w:r w:rsidRPr="00801C75">
        <w:rPr>
          <w:b/>
          <w:bCs/>
          <w:sz w:val="20"/>
          <w:szCs w:val="20"/>
          <w:shd w:val="clear" w:color="auto" w:fill="FFFFFF"/>
        </w:rPr>
        <w:t>)</w:t>
      </w:r>
      <w:r w:rsidRPr="00801C75">
        <w:rPr>
          <w:sz w:val="20"/>
          <w:szCs w:val="20"/>
          <w:shd w:val="clear" w:color="auto" w:fill="FFFFFF"/>
        </w:rPr>
        <w:t>:</w:t>
      </w:r>
      <w:r w:rsidR="00D27318" w:rsidRPr="00801C75">
        <w:rPr>
          <w:sz w:val="20"/>
          <w:szCs w:val="20"/>
        </w:rPr>
        <w:t xml:space="preserve"> Overall survival relation to laboratory data characteristics in all patients.</w:t>
      </w:r>
      <w:bookmarkEnd w:id="29"/>
    </w:p>
    <w:tbl>
      <w:tblPr>
        <w:tblW w:w="5000" w:type="pct"/>
        <w:jc w:val="center"/>
        <w:tblCellMar>
          <w:left w:w="57" w:type="dxa"/>
          <w:right w:w="57" w:type="dxa"/>
        </w:tblCellMar>
        <w:tblLook w:val="04A0"/>
      </w:tblPr>
      <w:tblGrid>
        <w:gridCol w:w="1646"/>
        <w:gridCol w:w="1258"/>
        <w:gridCol w:w="1182"/>
        <w:gridCol w:w="631"/>
        <w:gridCol w:w="911"/>
        <w:gridCol w:w="896"/>
        <w:gridCol w:w="1271"/>
        <w:gridCol w:w="1679"/>
      </w:tblGrid>
      <w:tr w:rsidR="00D27318" w:rsidRPr="00801C75" w:rsidTr="00801C75">
        <w:trPr>
          <w:jc w:val="center"/>
        </w:trPr>
        <w:tc>
          <w:tcPr>
            <w:tcW w:w="1532" w:type="pct"/>
            <w:gridSpan w:val="2"/>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27318" w:rsidRPr="00801C75" w:rsidRDefault="00D27318" w:rsidP="00331E80">
            <w:pPr>
              <w:bidi w:val="0"/>
              <w:snapToGrid w:val="0"/>
              <w:jc w:val="both"/>
              <w:rPr>
                <w:b/>
                <w:bCs/>
                <w:color w:val="000000"/>
                <w:sz w:val="20"/>
                <w:szCs w:val="20"/>
              </w:rPr>
            </w:pPr>
            <w:r w:rsidRPr="00801C75">
              <w:rPr>
                <w:b/>
                <w:bCs/>
                <w:color w:val="000000"/>
                <w:sz w:val="20"/>
                <w:szCs w:val="20"/>
              </w:rPr>
              <w:t>Laboratory data</w:t>
            </w:r>
          </w:p>
        </w:tc>
        <w:tc>
          <w:tcPr>
            <w:tcW w:w="957" w:type="pct"/>
            <w:gridSpan w:val="2"/>
            <w:tcBorders>
              <w:top w:val="single" w:sz="4" w:space="0" w:color="auto"/>
              <w:left w:val="nil"/>
              <w:bottom w:val="single" w:sz="4" w:space="0" w:color="auto"/>
              <w:right w:val="single" w:sz="4" w:space="0" w:color="auto"/>
            </w:tcBorders>
            <w:shd w:val="clear" w:color="000000" w:fill="C4D79B"/>
            <w:noWrap/>
            <w:vAlign w:val="center"/>
            <w:hideMark/>
          </w:tcPr>
          <w:p w:rsidR="00D27318" w:rsidRPr="00801C75" w:rsidRDefault="00D27318" w:rsidP="00331E80">
            <w:pPr>
              <w:bidi w:val="0"/>
              <w:snapToGrid w:val="0"/>
              <w:jc w:val="both"/>
              <w:rPr>
                <w:b/>
                <w:bCs/>
                <w:color w:val="000000"/>
                <w:sz w:val="20"/>
                <w:szCs w:val="20"/>
              </w:rPr>
            </w:pPr>
            <w:r w:rsidRPr="00801C75">
              <w:rPr>
                <w:b/>
                <w:bCs/>
                <w:color w:val="000000"/>
                <w:sz w:val="20"/>
                <w:szCs w:val="20"/>
              </w:rPr>
              <w:t>Median (m)</w:t>
            </w:r>
          </w:p>
        </w:tc>
        <w:tc>
          <w:tcPr>
            <w:tcW w:w="954" w:type="pct"/>
            <w:gridSpan w:val="2"/>
            <w:tcBorders>
              <w:top w:val="single" w:sz="4" w:space="0" w:color="auto"/>
              <w:left w:val="nil"/>
              <w:bottom w:val="single" w:sz="4" w:space="0" w:color="auto"/>
              <w:right w:val="single" w:sz="4" w:space="0" w:color="auto"/>
            </w:tcBorders>
            <w:shd w:val="clear" w:color="000000" w:fill="C4D79B"/>
            <w:noWrap/>
            <w:vAlign w:val="center"/>
            <w:hideMark/>
          </w:tcPr>
          <w:p w:rsidR="00D27318" w:rsidRPr="00801C75" w:rsidRDefault="00D27318" w:rsidP="00331E80">
            <w:pPr>
              <w:bidi w:val="0"/>
              <w:snapToGrid w:val="0"/>
              <w:jc w:val="both"/>
              <w:rPr>
                <w:b/>
                <w:bCs/>
                <w:color w:val="000000"/>
                <w:sz w:val="20"/>
                <w:szCs w:val="20"/>
              </w:rPr>
            </w:pPr>
            <w:r w:rsidRPr="00801C75">
              <w:rPr>
                <w:b/>
                <w:bCs/>
                <w:color w:val="000000"/>
                <w:sz w:val="20"/>
                <w:szCs w:val="20"/>
              </w:rPr>
              <w:t>95% C.I.</w:t>
            </w:r>
          </w:p>
        </w:tc>
        <w:tc>
          <w:tcPr>
            <w:tcW w:w="1557" w:type="pct"/>
            <w:gridSpan w:val="2"/>
            <w:tcBorders>
              <w:top w:val="single" w:sz="4" w:space="0" w:color="auto"/>
              <w:left w:val="nil"/>
              <w:bottom w:val="single" w:sz="4" w:space="0" w:color="auto"/>
              <w:right w:val="single" w:sz="4" w:space="0" w:color="auto"/>
            </w:tcBorders>
            <w:shd w:val="clear" w:color="000000" w:fill="C4D79B"/>
            <w:noWrap/>
            <w:vAlign w:val="center"/>
            <w:hideMark/>
          </w:tcPr>
          <w:p w:rsidR="00D27318" w:rsidRPr="00801C75" w:rsidRDefault="00D27318" w:rsidP="00331E80">
            <w:pPr>
              <w:bidi w:val="0"/>
              <w:snapToGrid w:val="0"/>
              <w:jc w:val="both"/>
              <w:rPr>
                <w:b/>
                <w:bCs/>
                <w:color w:val="000000"/>
                <w:sz w:val="20"/>
                <w:szCs w:val="20"/>
              </w:rPr>
            </w:pPr>
            <w:r w:rsidRPr="00801C75">
              <w:rPr>
                <w:b/>
                <w:bCs/>
                <w:color w:val="000000"/>
                <w:sz w:val="20"/>
                <w:szCs w:val="20"/>
              </w:rPr>
              <w:t>Log Rank (Mantel-Cox)</w:t>
            </w:r>
          </w:p>
        </w:tc>
      </w:tr>
      <w:tr w:rsidR="00801C75" w:rsidRPr="00801C75" w:rsidTr="00801C75">
        <w:trPr>
          <w:jc w:val="center"/>
        </w:trPr>
        <w:tc>
          <w:tcPr>
            <w:tcW w:w="1532" w:type="pct"/>
            <w:gridSpan w:val="2"/>
            <w:vMerge/>
            <w:tcBorders>
              <w:top w:val="single" w:sz="4" w:space="0" w:color="auto"/>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b/>
                <w:bCs/>
                <w:color w:val="000000"/>
                <w:sz w:val="20"/>
                <w:szCs w:val="20"/>
              </w:rPr>
            </w:pPr>
          </w:p>
        </w:tc>
        <w:tc>
          <w:tcPr>
            <w:tcW w:w="624" w:type="pct"/>
            <w:tcBorders>
              <w:top w:val="nil"/>
              <w:left w:val="nil"/>
              <w:bottom w:val="single" w:sz="4" w:space="0" w:color="auto"/>
              <w:right w:val="single" w:sz="4" w:space="0" w:color="auto"/>
            </w:tcBorders>
            <w:shd w:val="clear" w:color="000000" w:fill="C4D79B"/>
            <w:noWrap/>
            <w:vAlign w:val="center"/>
            <w:hideMark/>
          </w:tcPr>
          <w:p w:rsidR="00D27318" w:rsidRPr="00801C75" w:rsidRDefault="00D27318" w:rsidP="00331E80">
            <w:pPr>
              <w:bidi w:val="0"/>
              <w:snapToGrid w:val="0"/>
              <w:jc w:val="both"/>
              <w:rPr>
                <w:b/>
                <w:bCs/>
                <w:color w:val="000000"/>
                <w:sz w:val="20"/>
                <w:szCs w:val="20"/>
              </w:rPr>
            </w:pPr>
            <w:r w:rsidRPr="00801C75">
              <w:rPr>
                <w:b/>
                <w:bCs/>
                <w:color w:val="000000"/>
                <w:sz w:val="20"/>
                <w:szCs w:val="20"/>
              </w:rPr>
              <w:t>Estimate</w:t>
            </w:r>
          </w:p>
        </w:tc>
        <w:tc>
          <w:tcPr>
            <w:tcW w:w="333" w:type="pct"/>
            <w:tcBorders>
              <w:top w:val="nil"/>
              <w:left w:val="nil"/>
              <w:bottom w:val="single" w:sz="4" w:space="0" w:color="auto"/>
              <w:right w:val="single" w:sz="4" w:space="0" w:color="auto"/>
            </w:tcBorders>
            <w:shd w:val="clear" w:color="000000" w:fill="C4D79B"/>
            <w:noWrap/>
            <w:vAlign w:val="center"/>
            <w:hideMark/>
          </w:tcPr>
          <w:p w:rsidR="00D27318" w:rsidRPr="00801C75" w:rsidRDefault="00D27318" w:rsidP="00331E80">
            <w:pPr>
              <w:bidi w:val="0"/>
              <w:snapToGrid w:val="0"/>
              <w:jc w:val="both"/>
              <w:rPr>
                <w:b/>
                <w:bCs/>
                <w:color w:val="000000"/>
                <w:sz w:val="20"/>
                <w:szCs w:val="20"/>
              </w:rPr>
            </w:pPr>
            <w:r w:rsidRPr="00801C75">
              <w:rPr>
                <w:b/>
                <w:bCs/>
                <w:color w:val="000000"/>
                <w:sz w:val="20"/>
                <w:szCs w:val="20"/>
              </w:rPr>
              <w:t>SE</w:t>
            </w:r>
          </w:p>
        </w:tc>
        <w:tc>
          <w:tcPr>
            <w:tcW w:w="481" w:type="pct"/>
            <w:tcBorders>
              <w:top w:val="nil"/>
              <w:left w:val="nil"/>
              <w:bottom w:val="single" w:sz="4" w:space="0" w:color="auto"/>
              <w:right w:val="single" w:sz="4" w:space="0" w:color="auto"/>
            </w:tcBorders>
            <w:shd w:val="clear" w:color="000000" w:fill="C4D79B"/>
            <w:noWrap/>
            <w:vAlign w:val="center"/>
            <w:hideMark/>
          </w:tcPr>
          <w:p w:rsidR="00D27318" w:rsidRPr="00801C75" w:rsidRDefault="00D27318" w:rsidP="00331E80">
            <w:pPr>
              <w:bidi w:val="0"/>
              <w:snapToGrid w:val="0"/>
              <w:jc w:val="both"/>
              <w:rPr>
                <w:b/>
                <w:bCs/>
                <w:color w:val="000000"/>
                <w:sz w:val="20"/>
                <w:szCs w:val="20"/>
              </w:rPr>
            </w:pPr>
            <w:r w:rsidRPr="00801C75">
              <w:rPr>
                <w:b/>
                <w:bCs/>
                <w:color w:val="000000"/>
                <w:sz w:val="20"/>
                <w:szCs w:val="20"/>
              </w:rPr>
              <w:t>Lower</w:t>
            </w:r>
          </w:p>
        </w:tc>
        <w:tc>
          <w:tcPr>
            <w:tcW w:w="473" w:type="pct"/>
            <w:tcBorders>
              <w:top w:val="nil"/>
              <w:left w:val="nil"/>
              <w:bottom w:val="single" w:sz="4" w:space="0" w:color="auto"/>
              <w:right w:val="single" w:sz="4" w:space="0" w:color="auto"/>
            </w:tcBorders>
            <w:shd w:val="clear" w:color="000000" w:fill="C4D79B"/>
            <w:noWrap/>
            <w:vAlign w:val="center"/>
            <w:hideMark/>
          </w:tcPr>
          <w:p w:rsidR="00D27318" w:rsidRPr="00801C75" w:rsidRDefault="00D27318" w:rsidP="00331E80">
            <w:pPr>
              <w:bidi w:val="0"/>
              <w:snapToGrid w:val="0"/>
              <w:jc w:val="both"/>
              <w:rPr>
                <w:b/>
                <w:bCs/>
                <w:color w:val="000000"/>
                <w:sz w:val="20"/>
                <w:szCs w:val="20"/>
              </w:rPr>
            </w:pPr>
            <w:r w:rsidRPr="00801C75">
              <w:rPr>
                <w:b/>
                <w:bCs/>
                <w:color w:val="000000"/>
                <w:sz w:val="20"/>
                <w:szCs w:val="20"/>
              </w:rPr>
              <w:t>Upper</w:t>
            </w:r>
          </w:p>
        </w:tc>
        <w:tc>
          <w:tcPr>
            <w:tcW w:w="671" w:type="pct"/>
            <w:tcBorders>
              <w:top w:val="nil"/>
              <w:left w:val="nil"/>
              <w:bottom w:val="single" w:sz="4" w:space="0" w:color="auto"/>
              <w:right w:val="single" w:sz="4" w:space="0" w:color="auto"/>
            </w:tcBorders>
            <w:shd w:val="clear" w:color="000000" w:fill="C4D79B"/>
            <w:noWrap/>
            <w:vAlign w:val="center"/>
            <w:hideMark/>
          </w:tcPr>
          <w:p w:rsidR="00D27318" w:rsidRPr="00801C75" w:rsidRDefault="00D27318" w:rsidP="00331E80">
            <w:pPr>
              <w:bidi w:val="0"/>
              <w:snapToGrid w:val="0"/>
              <w:jc w:val="both"/>
              <w:rPr>
                <w:b/>
                <w:bCs/>
                <w:i/>
                <w:iCs/>
                <w:color w:val="000000"/>
                <w:sz w:val="20"/>
                <w:szCs w:val="20"/>
              </w:rPr>
            </w:pPr>
            <w:r w:rsidRPr="00801C75">
              <w:rPr>
                <w:b/>
                <w:bCs/>
                <w:i/>
                <w:iCs/>
                <w:color w:val="000000"/>
                <w:sz w:val="20"/>
                <w:szCs w:val="20"/>
              </w:rPr>
              <w:t>x</w:t>
            </w:r>
            <w:r w:rsidRPr="00801C75">
              <w:rPr>
                <w:b/>
                <w:bCs/>
                <w:i/>
                <w:iCs/>
                <w:color w:val="000000"/>
                <w:sz w:val="20"/>
                <w:szCs w:val="20"/>
                <w:vertAlign w:val="superscript"/>
              </w:rPr>
              <w:t>2</w:t>
            </w:r>
          </w:p>
        </w:tc>
        <w:tc>
          <w:tcPr>
            <w:tcW w:w="886" w:type="pct"/>
            <w:tcBorders>
              <w:top w:val="nil"/>
              <w:left w:val="nil"/>
              <w:bottom w:val="single" w:sz="4" w:space="0" w:color="auto"/>
              <w:right w:val="single" w:sz="4" w:space="0" w:color="auto"/>
            </w:tcBorders>
            <w:shd w:val="clear" w:color="000000" w:fill="C4D79B"/>
            <w:noWrap/>
            <w:vAlign w:val="center"/>
            <w:hideMark/>
          </w:tcPr>
          <w:p w:rsidR="00D27318" w:rsidRPr="00801C75" w:rsidRDefault="00D27318" w:rsidP="00331E80">
            <w:pPr>
              <w:bidi w:val="0"/>
              <w:snapToGrid w:val="0"/>
              <w:jc w:val="both"/>
              <w:rPr>
                <w:b/>
                <w:bCs/>
                <w:color w:val="000000"/>
                <w:sz w:val="20"/>
                <w:szCs w:val="20"/>
              </w:rPr>
            </w:pPr>
            <w:r w:rsidRPr="00801C75">
              <w:rPr>
                <w:b/>
                <w:bCs/>
                <w:color w:val="000000"/>
                <w:sz w:val="20"/>
                <w:szCs w:val="20"/>
              </w:rPr>
              <w:t>Sig.</w:t>
            </w:r>
          </w:p>
        </w:tc>
      </w:tr>
      <w:tr w:rsidR="00801C75" w:rsidRPr="00801C75" w:rsidTr="00801C75">
        <w:trPr>
          <w:jc w:val="center"/>
        </w:trPr>
        <w:tc>
          <w:tcPr>
            <w:tcW w:w="868" w:type="pct"/>
            <w:vMerge w:val="restart"/>
            <w:tcBorders>
              <w:top w:val="nil"/>
              <w:left w:val="single" w:sz="4" w:space="0" w:color="auto"/>
              <w:bottom w:val="single" w:sz="4" w:space="0" w:color="auto"/>
              <w:right w:val="single" w:sz="4" w:space="0" w:color="auto"/>
            </w:tcBorders>
            <w:shd w:val="clear" w:color="auto" w:fill="auto"/>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CEA</w:t>
            </w:r>
          </w:p>
        </w:tc>
        <w:tc>
          <w:tcPr>
            <w:tcW w:w="66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Normal</w:t>
            </w:r>
          </w:p>
        </w:tc>
        <w:tc>
          <w:tcPr>
            <w:tcW w:w="624" w:type="pct"/>
            <w:tcBorders>
              <w:top w:val="nil"/>
              <w:left w:val="nil"/>
              <w:bottom w:val="single" w:sz="4" w:space="0" w:color="auto"/>
              <w:right w:val="single" w:sz="4" w:space="0" w:color="auto"/>
            </w:tcBorders>
            <w:shd w:val="clear" w:color="auto" w:fill="auto"/>
            <w:noWrap/>
            <w:vAlign w:val="center"/>
          </w:tcPr>
          <w:p w:rsidR="00D27318" w:rsidRPr="00801C75" w:rsidRDefault="00D27318" w:rsidP="00331E80">
            <w:pPr>
              <w:bidi w:val="0"/>
              <w:snapToGrid w:val="0"/>
              <w:jc w:val="both"/>
              <w:rPr>
                <w:color w:val="000000"/>
                <w:sz w:val="20"/>
                <w:szCs w:val="20"/>
              </w:rPr>
            </w:pPr>
            <w:r w:rsidRPr="00801C75">
              <w:rPr>
                <w:color w:val="000000"/>
                <w:sz w:val="20"/>
                <w:szCs w:val="20"/>
              </w:rPr>
              <w:t>33.24</w:t>
            </w:r>
          </w:p>
        </w:tc>
        <w:tc>
          <w:tcPr>
            <w:tcW w:w="333" w:type="pct"/>
            <w:tcBorders>
              <w:top w:val="nil"/>
              <w:left w:val="nil"/>
              <w:bottom w:val="single" w:sz="4" w:space="0" w:color="auto"/>
              <w:right w:val="single" w:sz="4" w:space="0" w:color="auto"/>
            </w:tcBorders>
            <w:shd w:val="clear" w:color="auto" w:fill="auto"/>
            <w:noWrap/>
            <w:vAlign w:val="center"/>
          </w:tcPr>
          <w:p w:rsidR="00D27318" w:rsidRPr="00801C75" w:rsidRDefault="00D27318" w:rsidP="00331E80">
            <w:pPr>
              <w:bidi w:val="0"/>
              <w:snapToGrid w:val="0"/>
              <w:jc w:val="both"/>
              <w:rPr>
                <w:color w:val="000000"/>
                <w:sz w:val="20"/>
                <w:szCs w:val="20"/>
              </w:rPr>
            </w:pPr>
            <w:r w:rsidRPr="00801C75">
              <w:rPr>
                <w:color w:val="000000"/>
                <w:sz w:val="20"/>
                <w:szCs w:val="20"/>
              </w:rPr>
              <w:t>4.99</w:t>
            </w:r>
          </w:p>
        </w:tc>
        <w:tc>
          <w:tcPr>
            <w:tcW w:w="481" w:type="pct"/>
            <w:tcBorders>
              <w:top w:val="nil"/>
              <w:left w:val="nil"/>
              <w:bottom w:val="single" w:sz="4" w:space="0" w:color="auto"/>
              <w:right w:val="single" w:sz="4" w:space="0" w:color="auto"/>
            </w:tcBorders>
            <w:shd w:val="clear" w:color="auto" w:fill="auto"/>
            <w:noWrap/>
            <w:vAlign w:val="center"/>
          </w:tcPr>
          <w:p w:rsidR="00D27318" w:rsidRPr="00801C75" w:rsidRDefault="00D27318" w:rsidP="00331E80">
            <w:pPr>
              <w:bidi w:val="0"/>
              <w:snapToGrid w:val="0"/>
              <w:jc w:val="both"/>
              <w:rPr>
                <w:color w:val="000000"/>
                <w:sz w:val="20"/>
                <w:szCs w:val="20"/>
              </w:rPr>
            </w:pPr>
            <w:r w:rsidRPr="00801C75">
              <w:rPr>
                <w:color w:val="000000"/>
                <w:sz w:val="20"/>
                <w:szCs w:val="20"/>
              </w:rPr>
              <w:t>22.39</w:t>
            </w:r>
          </w:p>
        </w:tc>
        <w:tc>
          <w:tcPr>
            <w:tcW w:w="473" w:type="pct"/>
            <w:tcBorders>
              <w:top w:val="nil"/>
              <w:left w:val="nil"/>
              <w:bottom w:val="single" w:sz="4" w:space="0" w:color="auto"/>
              <w:right w:val="single" w:sz="4" w:space="0" w:color="auto"/>
            </w:tcBorders>
            <w:shd w:val="clear" w:color="auto" w:fill="auto"/>
            <w:noWrap/>
            <w:vAlign w:val="center"/>
          </w:tcPr>
          <w:p w:rsidR="00D27318" w:rsidRPr="00801C75" w:rsidRDefault="00D27318" w:rsidP="00331E80">
            <w:pPr>
              <w:bidi w:val="0"/>
              <w:snapToGrid w:val="0"/>
              <w:jc w:val="both"/>
              <w:rPr>
                <w:color w:val="000000"/>
                <w:sz w:val="20"/>
                <w:szCs w:val="20"/>
              </w:rPr>
            </w:pPr>
            <w:r w:rsidRPr="00801C75">
              <w:rPr>
                <w:color w:val="000000"/>
                <w:sz w:val="20"/>
                <w:szCs w:val="20"/>
              </w:rPr>
              <w:t>44.09</w:t>
            </w:r>
          </w:p>
        </w:tc>
        <w:tc>
          <w:tcPr>
            <w:tcW w:w="6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11.752</w:t>
            </w:r>
          </w:p>
        </w:tc>
        <w:tc>
          <w:tcPr>
            <w:tcW w:w="8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FF0000"/>
                <w:sz w:val="20"/>
                <w:szCs w:val="20"/>
              </w:rPr>
            </w:pPr>
            <w:r w:rsidRPr="00801C75">
              <w:rPr>
                <w:color w:val="FF0000"/>
                <w:sz w:val="20"/>
                <w:szCs w:val="20"/>
              </w:rPr>
              <w:t>&lt;0.001**</w:t>
            </w:r>
          </w:p>
        </w:tc>
      </w:tr>
      <w:tr w:rsidR="00801C75" w:rsidRPr="00801C75" w:rsidTr="00801C75">
        <w:trPr>
          <w:jc w:val="center"/>
        </w:trPr>
        <w:tc>
          <w:tcPr>
            <w:tcW w:w="868"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20"/>
              </w:rPr>
            </w:pPr>
          </w:p>
        </w:tc>
        <w:tc>
          <w:tcPr>
            <w:tcW w:w="66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Abnormal</w:t>
            </w:r>
          </w:p>
        </w:tc>
        <w:tc>
          <w:tcPr>
            <w:tcW w:w="624" w:type="pct"/>
            <w:tcBorders>
              <w:top w:val="nil"/>
              <w:left w:val="nil"/>
              <w:bottom w:val="single" w:sz="4" w:space="0" w:color="auto"/>
              <w:right w:val="single" w:sz="4" w:space="0" w:color="auto"/>
            </w:tcBorders>
            <w:shd w:val="clear" w:color="auto" w:fill="auto"/>
            <w:noWrap/>
            <w:vAlign w:val="center"/>
          </w:tcPr>
          <w:p w:rsidR="00D27318" w:rsidRPr="00801C75" w:rsidRDefault="00D27318" w:rsidP="00331E80">
            <w:pPr>
              <w:bidi w:val="0"/>
              <w:snapToGrid w:val="0"/>
              <w:jc w:val="both"/>
              <w:rPr>
                <w:color w:val="000000"/>
                <w:sz w:val="20"/>
                <w:szCs w:val="20"/>
              </w:rPr>
            </w:pPr>
            <w:r w:rsidRPr="00801C75">
              <w:rPr>
                <w:color w:val="000000"/>
                <w:sz w:val="20"/>
                <w:szCs w:val="20"/>
              </w:rPr>
              <w:t>24.00</w:t>
            </w:r>
          </w:p>
        </w:tc>
        <w:tc>
          <w:tcPr>
            <w:tcW w:w="333" w:type="pct"/>
            <w:tcBorders>
              <w:top w:val="nil"/>
              <w:left w:val="nil"/>
              <w:bottom w:val="single" w:sz="4" w:space="0" w:color="auto"/>
              <w:right w:val="single" w:sz="4" w:space="0" w:color="auto"/>
            </w:tcBorders>
            <w:shd w:val="clear" w:color="auto" w:fill="auto"/>
            <w:noWrap/>
            <w:vAlign w:val="center"/>
          </w:tcPr>
          <w:p w:rsidR="00D27318" w:rsidRPr="00801C75" w:rsidRDefault="00D27318" w:rsidP="00331E80">
            <w:pPr>
              <w:bidi w:val="0"/>
              <w:snapToGrid w:val="0"/>
              <w:jc w:val="both"/>
              <w:rPr>
                <w:color w:val="000000"/>
                <w:sz w:val="20"/>
                <w:szCs w:val="20"/>
              </w:rPr>
            </w:pPr>
            <w:r w:rsidRPr="00801C75">
              <w:rPr>
                <w:color w:val="000000"/>
                <w:sz w:val="20"/>
                <w:szCs w:val="20"/>
              </w:rPr>
              <w:t>3.60</w:t>
            </w:r>
          </w:p>
        </w:tc>
        <w:tc>
          <w:tcPr>
            <w:tcW w:w="481" w:type="pct"/>
            <w:tcBorders>
              <w:top w:val="nil"/>
              <w:left w:val="nil"/>
              <w:bottom w:val="single" w:sz="4" w:space="0" w:color="auto"/>
              <w:right w:val="single" w:sz="4" w:space="0" w:color="auto"/>
            </w:tcBorders>
            <w:shd w:val="clear" w:color="auto" w:fill="auto"/>
            <w:noWrap/>
            <w:vAlign w:val="center"/>
          </w:tcPr>
          <w:p w:rsidR="00D27318" w:rsidRPr="00801C75" w:rsidRDefault="00D27318" w:rsidP="00331E80">
            <w:pPr>
              <w:bidi w:val="0"/>
              <w:snapToGrid w:val="0"/>
              <w:jc w:val="both"/>
              <w:rPr>
                <w:color w:val="000000"/>
                <w:sz w:val="20"/>
                <w:szCs w:val="20"/>
              </w:rPr>
            </w:pPr>
            <w:r w:rsidRPr="00801C75">
              <w:rPr>
                <w:color w:val="000000"/>
                <w:sz w:val="20"/>
                <w:szCs w:val="20"/>
              </w:rPr>
              <w:t>15.60</w:t>
            </w:r>
          </w:p>
        </w:tc>
        <w:tc>
          <w:tcPr>
            <w:tcW w:w="473" w:type="pct"/>
            <w:tcBorders>
              <w:top w:val="nil"/>
              <w:left w:val="nil"/>
              <w:bottom w:val="single" w:sz="4" w:space="0" w:color="auto"/>
              <w:right w:val="single" w:sz="4" w:space="0" w:color="auto"/>
            </w:tcBorders>
            <w:shd w:val="clear" w:color="auto" w:fill="auto"/>
            <w:noWrap/>
            <w:vAlign w:val="center"/>
          </w:tcPr>
          <w:p w:rsidR="00D27318" w:rsidRPr="00801C75" w:rsidRDefault="00D27318" w:rsidP="00331E80">
            <w:pPr>
              <w:bidi w:val="0"/>
              <w:snapToGrid w:val="0"/>
              <w:jc w:val="both"/>
              <w:rPr>
                <w:color w:val="000000"/>
                <w:sz w:val="20"/>
                <w:szCs w:val="20"/>
              </w:rPr>
            </w:pPr>
            <w:r w:rsidRPr="00801C75">
              <w:rPr>
                <w:color w:val="000000"/>
                <w:sz w:val="20"/>
                <w:szCs w:val="20"/>
              </w:rPr>
              <w:t>34.80</w:t>
            </w:r>
          </w:p>
        </w:tc>
        <w:tc>
          <w:tcPr>
            <w:tcW w:w="671"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20"/>
              </w:rPr>
            </w:pPr>
          </w:p>
        </w:tc>
        <w:tc>
          <w:tcPr>
            <w:tcW w:w="886"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FF0000"/>
                <w:sz w:val="20"/>
                <w:szCs w:val="20"/>
              </w:rPr>
            </w:pPr>
          </w:p>
        </w:tc>
      </w:tr>
      <w:tr w:rsidR="00801C75" w:rsidRPr="00801C75" w:rsidTr="00801C75">
        <w:trPr>
          <w:jc w:val="center"/>
        </w:trPr>
        <w:tc>
          <w:tcPr>
            <w:tcW w:w="868" w:type="pct"/>
            <w:vMerge w:val="restart"/>
            <w:tcBorders>
              <w:top w:val="nil"/>
              <w:left w:val="single" w:sz="4" w:space="0" w:color="auto"/>
              <w:bottom w:val="single" w:sz="4" w:space="0" w:color="auto"/>
              <w:right w:val="single" w:sz="4" w:space="0" w:color="auto"/>
            </w:tcBorders>
            <w:shd w:val="clear" w:color="auto" w:fill="auto"/>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ALB</w:t>
            </w:r>
          </w:p>
        </w:tc>
        <w:tc>
          <w:tcPr>
            <w:tcW w:w="66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Normal</w:t>
            </w:r>
          </w:p>
        </w:tc>
        <w:tc>
          <w:tcPr>
            <w:tcW w:w="62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50.64</w:t>
            </w:r>
          </w:p>
        </w:tc>
        <w:tc>
          <w:tcPr>
            <w:tcW w:w="333"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7.60</w:t>
            </w:r>
          </w:p>
        </w:tc>
        <w:tc>
          <w:tcPr>
            <w:tcW w:w="481"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32.92</w:t>
            </w:r>
          </w:p>
        </w:tc>
        <w:tc>
          <w:tcPr>
            <w:tcW w:w="473"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73.43</w:t>
            </w:r>
          </w:p>
        </w:tc>
        <w:tc>
          <w:tcPr>
            <w:tcW w:w="6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3.221</w:t>
            </w:r>
          </w:p>
        </w:tc>
        <w:tc>
          <w:tcPr>
            <w:tcW w:w="8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0.073</w:t>
            </w:r>
          </w:p>
        </w:tc>
      </w:tr>
      <w:tr w:rsidR="00801C75" w:rsidRPr="00801C75" w:rsidTr="00801C75">
        <w:trPr>
          <w:jc w:val="center"/>
        </w:trPr>
        <w:tc>
          <w:tcPr>
            <w:tcW w:w="868"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20"/>
              </w:rPr>
            </w:pPr>
          </w:p>
        </w:tc>
        <w:tc>
          <w:tcPr>
            <w:tcW w:w="66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Abnormal</w:t>
            </w:r>
          </w:p>
        </w:tc>
        <w:tc>
          <w:tcPr>
            <w:tcW w:w="62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46.00</w:t>
            </w:r>
          </w:p>
        </w:tc>
        <w:tc>
          <w:tcPr>
            <w:tcW w:w="333"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8.40</w:t>
            </w:r>
          </w:p>
        </w:tc>
        <w:tc>
          <w:tcPr>
            <w:tcW w:w="481"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26.40</w:t>
            </w:r>
          </w:p>
        </w:tc>
        <w:tc>
          <w:tcPr>
            <w:tcW w:w="473"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61.20</w:t>
            </w:r>
          </w:p>
        </w:tc>
        <w:tc>
          <w:tcPr>
            <w:tcW w:w="671"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20"/>
              </w:rPr>
            </w:pPr>
          </w:p>
        </w:tc>
        <w:tc>
          <w:tcPr>
            <w:tcW w:w="886"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20"/>
              </w:rPr>
            </w:pPr>
          </w:p>
        </w:tc>
      </w:tr>
      <w:tr w:rsidR="00801C75" w:rsidRPr="00801C75" w:rsidTr="00801C75">
        <w:trPr>
          <w:jc w:val="center"/>
        </w:trPr>
        <w:tc>
          <w:tcPr>
            <w:tcW w:w="868" w:type="pct"/>
            <w:vMerge w:val="restart"/>
            <w:tcBorders>
              <w:top w:val="nil"/>
              <w:left w:val="single" w:sz="4" w:space="0" w:color="auto"/>
              <w:bottom w:val="single" w:sz="4" w:space="0" w:color="auto"/>
              <w:right w:val="single" w:sz="4" w:space="0" w:color="auto"/>
            </w:tcBorders>
            <w:shd w:val="clear" w:color="auto" w:fill="auto"/>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NLR</w:t>
            </w:r>
          </w:p>
        </w:tc>
        <w:tc>
          <w:tcPr>
            <w:tcW w:w="66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Normal</w:t>
            </w:r>
          </w:p>
        </w:tc>
        <w:tc>
          <w:tcPr>
            <w:tcW w:w="62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41.00</w:t>
            </w:r>
          </w:p>
        </w:tc>
        <w:tc>
          <w:tcPr>
            <w:tcW w:w="333"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6.15</w:t>
            </w:r>
          </w:p>
        </w:tc>
        <w:tc>
          <w:tcPr>
            <w:tcW w:w="481"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26.65</w:t>
            </w:r>
          </w:p>
        </w:tc>
        <w:tc>
          <w:tcPr>
            <w:tcW w:w="473"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59.45</w:t>
            </w:r>
          </w:p>
        </w:tc>
        <w:tc>
          <w:tcPr>
            <w:tcW w:w="6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46.186</w:t>
            </w:r>
          </w:p>
        </w:tc>
        <w:tc>
          <w:tcPr>
            <w:tcW w:w="8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FF0000"/>
                <w:sz w:val="20"/>
                <w:szCs w:val="20"/>
              </w:rPr>
            </w:pPr>
            <w:r w:rsidRPr="00801C75">
              <w:rPr>
                <w:color w:val="FF0000"/>
                <w:sz w:val="20"/>
                <w:szCs w:val="20"/>
              </w:rPr>
              <w:t>&lt;0.001**</w:t>
            </w:r>
          </w:p>
        </w:tc>
      </w:tr>
      <w:tr w:rsidR="00801C75" w:rsidRPr="00801C75" w:rsidTr="00801C75">
        <w:trPr>
          <w:jc w:val="center"/>
        </w:trPr>
        <w:tc>
          <w:tcPr>
            <w:tcW w:w="868"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20"/>
              </w:rPr>
            </w:pPr>
          </w:p>
        </w:tc>
        <w:tc>
          <w:tcPr>
            <w:tcW w:w="66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Abnormal</w:t>
            </w:r>
          </w:p>
        </w:tc>
        <w:tc>
          <w:tcPr>
            <w:tcW w:w="62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23.28</w:t>
            </w:r>
          </w:p>
        </w:tc>
        <w:tc>
          <w:tcPr>
            <w:tcW w:w="333"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3.49</w:t>
            </w:r>
          </w:p>
        </w:tc>
        <w:tc>
          <w:tcPr>
            <w:tcW w:w="481"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19.26</w:t>
            </w:r>
          </w:p>
        </w:tc>
        <w:tc>
          <w:tcPr>
            <w:tcW w:w="473"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27.30</w:t>
            </w:r>
          </w:p>
        </w:tc>
        <w:tc>
          <w:tcPr>
            <w:tcW w:w="671"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20"/>
              </w:rPr>
            </w:pPr>
          </w:p>
        </w:tc>
        <w:tc>
          <w:tcPr>
            <w:tcW w:w="886"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FF0000"/>
                <w:sz w:val="20"/>
                <w:szCs w:val="20"/>
              </w:rPr>
            </w:pPr>
          </w:p>
        </w:tc>
      </w:tr>
      <w:tr w:rsidR="00801C75" w:rsidRPr="00801C75" w:rsidTr="00801C75">
        <w:trPr>
          <w:jc w:val="center"/>
        </w:trPr>
        <w:tc>
          <w:tcPr>
            <w:tcW w:w="868" w:type="pct"/>
            <w:vMerge w:val="restart"/>
            <w:tcBorders>
              <w:top w:val="nil"/>
              <w:left w:val="single" w:sz="4" w:space="0" w:color="auto"/>
              <w:bottom w:val="single" w:sz="4" w:space="0" w:color="auto"/>
              <w:right w:val="single" w:sz="4" w:space="0" w:color="auto"/>
            </w:tcBorders>
            <w:shd w:val="clear" w:color="auto" w:fill="auto"/>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Platelet count</w:t>
            </w:r>
          </w:p>
        </w:tc>
        <w:tc>
          <w:tcPr>
            <w:tcW w:w="66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Normal</w:t>
            </w:r>
          </w:p>
        </w:tc>
        <w:tc>
          <w:tcPr>
            <w:tcW w:w="62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50.64</w:t>
            </w:r>
          </w:p>
        </w:tc>
        <w:tc>
          <w:tcPr>
            <w:tcW w:w="333"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7.60</w:t>
            </w:r>
          </w:p>
        </w:tc>
        <w:tc>
          <w:tcPr>
            <w:tcW w:w="481"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32.92</w:t>
            </w:r>
          </w:p>
        </w:tc>
        <w:tc>
          <w:tcPr>
            <w:tcW w:w="473"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73.43</w:t>
            </w:r>
          </w:p>
        </w:tc>
        <w:tc>
          <w:tcPr>
            <w:tcW w:w="6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68.768</w:t>
            </w:r>
          </w:p>
        </w:tc>
        <w:tc>
          <w:tcPr>
            <w:tcW w:w="8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FF0000"/>
                <w:sz w:val="20"/>
                <w:szCs w:val="20"/>
              </w:rPr>
            </w:pPr>
            <w:r w:rsidRPr="00801C75">
              <w:rPr>
                <w:color w:val="FF0000"/>
                <w:sz w:val="20"/>
                <w:szCs w:val="20"/>
              </w:rPr>
              <w:t>&lt;0.001**</w:t>
            </w:r>
          </w:p>
        </w:tc>
      </w:tr>
      <w:tr w:rsidR="00801C75" w:rsidRPr="00801C75" w:rsidTr="00801C75">
        <w:trPr>
          <w:jc w:val="center"/>
        </w:trPr>
        <w:tc>
          <w:tcPr>
            <w:tcW w:w="868"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20"/>
              </w:rPr>
            </w:pPr>
          </w:p>
        </w:tc>
        <w:tc>
          <w:tcPr>
            <w:tcW w:w="66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Abnormal</w:t>
            </w:r>
          </w:p>
        </w:tc>
        <w:tc>
          <w:tcPr>
            <w:tcW w:w="62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15.12</w:t>
            </w:r>
          </w:p>
        </w:tc>
        <w:tc>
          <w:tcPr>
            <w:tcW w:w="333"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2.27</w:t>
            </w:r>
          </w:p>
        </w:tc>
        <w:tc>
          <w:tcPr>
            <w:tcW w:w="481"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11.24</w:t>
            </w:r>
          </w:p>
        </w:tc>
        <w:tc>
          <w:tcPr>
            <w:tcW w:w="473"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19.00</w:t>
            </w:r>
          </w:p>
        </w:tc>
        <w:tc>
          <w:tcPr>
            <w:tcW w:w="671"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20"/>
              </w:rPr>
            </w:pPr>
          </w:p>
        </w:tc>
        <w:tc>
          <w:tcPr>
            <w:tcW w:w="886"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FF0000"/>
                <w:sz w:val="20"/>
                <w:szCs w:val="20"/>
              </w:rPr>
            </w:pPr>
          </w:p>
        </w:tc>
      </w:tr>
    </w:tbl>
    <w:p w:rsidR="00D27318" w:rsidRPr="00801C75" w:rsidRDefault="00D27318" w:rsidP="00331E80">
      <w:pPr>
        <w:bidi w:val="0"/>
        <w:snapToGrid w:val="0"/>
        <w:jc w:val="both"/>
        <w:rPr>
          <w:i/>
          <w:iCs/>
          <w:sz w:val="20"/>
          <w:szCs w:val="20"/>
        </w:rPr>
      </w:pPr>
      <w:r w:rsidRPr="00801C75">
        <w:rPr>
          <w:i/>
          <w:iCs/>
          <w:sz w:val="20"/>
          <w:szCs w:val="20"/>
        </w:rPr>
        <w:t>P-value &gt;0.05 NS; *p-value &lt;0.05 S; **p-value &lt;0.001 HS</w:t>
      </w:r>
    </w:p>
    <w:p w:rsidR="0094756F" w:rsidRPr="00801C75" w:rsidRDefault="0094756F" w:rsidP="00331E80">
      <w:pPr>
        <w:bidi w:val="0"/>
        <w:snapToGrid w:val="0"/>
        <w:ind w:firstLine="425"/>
        <w:jc w:val="both"/>
        <w:rPr>
          <w:sz w:val="20"/>
          <w:szCs w:val="20"/>
          <w:lang w:eastAsia="ar-SA"/>
        </w:rPr>
      </w:pPr>
    </w:p>
    <w:p w:rsidR="00FC0DD6" w:rsidRPr="00801C75" w:rsidRDefault="00D27318" w:rsidP="00331E80">
      <w:pPr>
        <w:bidi w:val="0"/>
        <w:snapToGrid w:val="0"/>
        <w:ind w:firstLine="425"/>
        <w:jc w:val="both"/>
        <w:rPr>
          <w:sz w:val="20"/>
          <w:szCs w:val="20"/>
          <w:lang w:eastAsia="ar-SA"/>
        </w:rPr>
      </w:pPr>
      <w:r w:rsidRPr="00801C75">
        <w:rPr>
          <w:sz w:val="20"/>
          <w:szCs w:val="20"/>
          <w:lang w:eastAsia="ar-SA"/>
        </w:rPr>
        <w:t>This table shows statistically significant CEA, NLR and platelet count parameters in overall survival.</w:t>
      </w:r>
      <w:bookmarkStart w:id="30" w:name="_Toc7857986"/>
    </w:p>
    <w:p w:rsidR="00FC0DD6" w:rsidRPr="00801C75" w:rsidRDefault="00FC0DD6" w:rsidP="00331E80">
      <w:pPr>
        <w:bidi w:val="0"/>
        <w:snapToGrid w:val="0"/>
        <w:jc w:val="center"/>
        <w:rPr>
          <w:sz w:val="20"/>
          <w:szCs w:val="20"/>
          <w:lang w:eastAsia="ar-SA"/>
        </w:rPr>
      </w:pPr>
    </w:p>
    <w:p w:rsidR="00D27318" w:rsidRPr="00801C75" w:rsidRDefault="005830D0" w:rsidP="00331E80">
      <w:pPr>
        <w:bidi w:val="0"/>
        <w:snapToGrid w:val="0"/>
        <w:jc w:val="center"/>
        <w:rPr>
          <w:sz w:val="20"/>
          <w:szCs w:val="20"/>
        </w:rPr>
      </w:pPr>
      <w:r w:rsidRPr="00801C75">
        <w:rPr>
          <w:b/>
          <w:bCs/>
          <w:sz w:val="20"/>
          <w:szCs w:val="20"/>
          <w:shd w:val="clear" w:color="auto" w:fill="FFFFFF"/>
        </w:rPr>
        <w:t>Table (</w:t>
      </w:r>
      <w:r w:rsidR="0014198C" w:rsidRPr="00801C75">
        <w:rPr>
          <w:b/>
          <w:bCs/>
          <w:sz w:val="20"/>
          <w:szCs w:val="20"/>
          <w:shd w:val="clear" w:color="auto" w:fill="FFFFFF"/>
        </w:rPr>
        <w:fldChar w:fldCharType="begin"/>
      </w:r>
      <w:r w:rsidRPr="00801C75">
        <w:rPr>
          <w:b/>
          <w:bCs/>
          <w:sz w:val="20"/>
          <w:szCs w:val="20"/>
          <w:shd w:val="clear" w:color="auto" w:fill="FFFFFF"/>
        </w:rPr>
        <w:instrText xml:space="preserve"> SEQ Table \* ARABIC </w:instrText>
      </w:r>
      <w:r w:rsidR="0014198C" w:rsidRPr="00801C75">
        <w:rPr>
          <w:b/>
          <w:bCs/>
          <w:sz w:val="20"/>
          <w:szCs w:val="20"/>
          <w:shd w:val="clear" w:color="auto" w:fill="FFFFFF"/>
        </w:rPr>
        <w:fldChar w:fldCharType="separate"/>
      </w:r>
      <w:r w:rsidR="00D60619">
        <w:rPr>
          <w:b/>
          <w:bCs/>
          <w:noProof/>
          <w:sz w:val="20"/>
          <w:szCs w:val="20"/>
          <w:shd w:val="clear" w:color="auto" w:fill="FFFFFF"/>
        </w:rPr>
        <w:t>16</w:t>
      </w:r>
      <w:r w:rsidR="0014198C" w:rsidRPr="00801C75">
        <w:rPr>
          <w:b/>
          <w:bCs/>
          <w:sz w:val="20"/>
          <w:szCs w:val="20"/>
          <w:shd w:val="clear" w:color="auto" w:fill="FFFFFF"/>
        </w:rPr>
        <w:fldChar w:fldCharType="end"/>
      </w:r>
      <w:r w:rsidRPr="00801C75">
        <w:rPr>
          <w:b/>
          <w:bCs/>
          <w:sz w:val="20"/>
          <w:szCs w:val="20"/>
          <w:shd w:val="clear" w:color="auto" w:fill="FFFFFF"/>
        </w:rPr>
        <w:t>)</w:t>
      </w:r>
      <w:r w:rsidRPr="00801C75">
        <w:rPr>
          <w:sz w:val="20"/>
          <w:szCs w:val="20"/>
          <w:shd w:val="clear" w:color="auto" w:fill="FFFFFF"/>
        </w:rPr>
        <w:t>:</w:t>
      </w:r>
      <w:r w:rsidR="00D27318" w:rsidRPr="00801C75">
        <w:rPr>
          <w:sz w:val="20"/>
          <w:szCs w:val="20"/>
        </w:rPr>
        <w:t xml:space="preserve"> Relation between NLR </w:t>
      </w:r>
      <w:r w:rsidR="00D27318" w:rsidRPr="00801C75">
        <w:rPr>
          <w:color w:val="000000" w:themeColor="text1"/>
          <w:sz w:val="20"/>
          <w:szCs w:val="20"/>
        </w:rPr>
        <w:t xml:space="preserve">according </w:t>
      </w:r>
      <w:r w:rsidR="003574B3" w:rsidRPr="00801C75">
        <w:rPr>
          <w:color w:val="000000" w:themeColor="text1"/>
          <w:sz w:val="20"/>
          <w:szCs w:val="20"/>
        </w:rPr>
        <w:t xml:space="preserve">all pathological </w:t>
      </w:r>
      <w:r w:rsidR="00D27318" w:rsidRPr="00801C75">
        <w:rPr>
          <w:color w:val="000000" w:themeColor="text1"/>
          <w:sz w:val="20"/>
          <w:szCs w:val="20"/>
        </w:rPr>
        <w:t>parameters of all</w:t>
      </w:r>
      <w:r w:rsidR="00D27318" w:rsidRPr="00801C75">
        <w:rPr>
          <w:sz w:val="20"/>
          <w:szCs w:val="20"/>
        </w:rPr>
        <w:t xml:space="preserve"> patients.</w:t>
      </w:r>
      <w:bookmarkEnd w:id="30"/>
    </w:p>
    <w:tbl>
      <w:tblPr>
        <w:tblW w:w="5000" w:type="pct"/>
        <w:jc w:val="center"/>
        <w:tblCellMar>
          <w:left w:w="57" w:type="dxa"/>
          <w:right w:w="57" w:type="dxa"/>
        </w:tblCellMar>
        <w:tblLook w:val="04A0"/>
      </w:tblPr>
      <w:tblGrid>
        <w:gridCol w:w="2413"/>
        <w:gridCol w:w="801"/>
        <w:gridCol w:w="791"/>
        <w:gridCol w:w="1220"/>
        <w:gridCol w:w="919"/>
        <w:gridCol w:w="1417"/>
        <w:gridCol w:w="822"/>
        <w:gridCol w:w="1091"/>
      </w:tblGrid>
      <w:tr w:rsidR="00E57110" w:rsidRPr="00801C75" w:rsidTr="00801C75">
        <w:trPr>
          <w:jc w:val="center"/>
        </w:trPr>
        <w:tc>
          <w:tcPr>
            <w:tcW w:w="1695" w:type="pct"/>
            <w:gridSpan w:val="2"/>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E57110" w:rsidRPr="00801C75" w:rsidRDefault="00E57110" w:rsidP="00331E80">
            <w:pPr>
              <w:bidi w:val="0"/>
              <w:snapToGrid w:val="0"/>
              <w:jc w:val="both"/>
              <w:rPr>
                <w:b/>
                <w:bCs/>
                <w:color w:val="000000"/>
                <w:sz w:val="20"/>
                <w:szCs w:val="16"/>
              </w:rPr>
            </w:pPr>
            <w:r w:rsidRPr="00801C75">
              <w:rPr>
                <w:b/>
                <w:bCs/>
                <w:color w:val="000000"/>
                <w:sz w:val="20"/>
                <w:szCs w:val="16"/>
              </w:rPr>
              <w:t>Parameters</w:t>
            </w:r>
          </w:p>
        </w:tc>
        <w:tc>
          <w:tcPr>
            <w:tcW w:w="2294" w:type="pct"/>
            <w:gridSpan w:val="4"/>
            <w:tcBorders>
              <w:top w:val="single" w:sz="4" w:space="0" w:color="auto"/>
              <w:left w:val="nil"/>
              <w:bottom w:val="single" w:sz="4" w:space="0" w:color="auto"/>
              <w:right w:val="single" w:sz="4" w:space="0" w:color="auto"/>
            </w:tcBorders>
            <w:shd w:val="clear" w:color="000000" w:fill="C4D79B"/>
            <w:noWrap/>
            <w:vAlign w:val="center"/>
            <w:hideMark/>
          </w:tcPr>
          <w:p w:rsidR="00E57110" w:rsidRPr="00801C75" w:rsidRDefault="00E57110" w:rsidP="00331E80">
            <w:pPr>
              <w:bidi w:val="0"/>
              <w:snapToGrid w:val="0"/>
              <w:jc w:val="both"/>
              <w:rPr>
                <w:b/>
                <w:bCs/>
                <w:color w:val="000000"/>
                <w:sz w:val="20"/>
                <w:szCs w:val="16"/>
              </w:rPr>
            </w:pPr>
            <w:r w:rsidRPr="00801C75">
              <w:rPr>
                <w:b/>
                <w:bCs/>
                <w:color w:val="000000"/>
                <w:sz w:val="20"/>
                <w:szCs w:val="16"/>
              </w:rPr>
              <w:t>NLR</w:t>
            </w:r>
          </w:p>
        </w:tc>
        <w:tc>
          <w:tcPr>
            <w:tcW w:w="1010" w:type="pct"/>
            <w:gridSpan w:val="2"/>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E57110" w:rsidRPr="00801C75" w:rsidRDefault="00E57110" w:rsidP="00331E80">
            <w:pPr>
              <w:bidi w:val="0"/>
              <w:snapToGrid w:val="0"/>
              <w:jc w:val="both"/>
              <w:rPr>
                <w:b/>
                <w:bCs/>
                <w:color w:val="000000"/>
                <w:sz w:val="20"/>
                <w:szCs w:val="16"/>
              </w:rPr>
            </w:pPr>
            <w:r w:rsidRPr="00801C75">
              <w:rPr>
                <w:b/>
                <w:bCs/>
                <w:color w:val="000000"/>
                <w:sz w:val="20"/>
                <w:szCs w:val="16"/>
              </w:rPr>
              <w:t>Chi-square</w:t>
            </w:r>
          </w:p>
        </w:tc>
      </w:tr>
      <w:tr w:rsidR="00E57110" w:rsidRPr="00801C75" w:rsidTr="00801C75">
        <w:trPr>
          <w:jc w:val="center"/>
        </w:trPr>
        <w:tc>
          <w:tcPr>
            <w:tcW w:w="1695" w:type="pct"/>
            <w:gridSpan w:val="2"/>
            <w:vMerge/>
            <w:tcBorders>
              <w:top w:val="single" w:sz="4" w:space="0" w:color="auto"/>
              <w:left w:val="single" w:sz="4" w:space="0" w:color="auto"/>
              <w:bottom w:val="single" w:sz="4" w:space="0" w:color="auto"/>
              <w:right w:val="single" w:sz="4" w:space="0" w:color="auto"/>
            </w:tcBorders>
            <w:vAlign w:val="center"/>
            <w:hideMark/>
          </w:tcPr>
          <w:p w:rsidR="00E57110" w:rsidRPr="00801C75" w:rsidRDefault="00E57110" w:rsidP="00331E80">
            <w:pPr>
              <w:bidi w:val="0"/>
              <w:snapToGrid w:val="0"/>
              <w:jc w:val="both"/>
              <w:rPr>
                <w:b/>
                <w:bCs/>
                <w:color w:val="000000"/>
                <w:sz w:val="20"/>
                <w:szCs w:val="16"/>
              </w:rPr>
            </w:pPr>
          </w:p>
        </w:tc>
        <w:tc>
          <w:tcPr>
            <w:tcW w:w="1061" w:type="pct"/>
            <w:gridSpan w:val="2"/>
            <w:tcBorders>
              <w:top w:val="single" w:sz="4" w:space="0" w:color="auto"/>
              <w:left w:val="nil"/>
              <w:bottom w:val="single" w:sz="4" w:space="0" w:color="auto"/>
              <w:right w:val="single" w:sz="4" w:space="0" w:color="auto"/>
            </w:tcBorders>
            <w:shd w:val="clear" w:color="000000" w:fill="C4D79B"/>
            <w:noWrap/>
            <w:vAlign w:val="center"/>
            <w:hideMark/>
          </w:tcPr>
          <w:p w:rsidR="00E57110" w:rsidRPr="00801C75" w:rsidRDefault="00E57110" w:rsidP="00331E80">
            <w:pPr>
              <w:bidi w:val="0"/>
              <w:snapToGrid w:val="0"/>
              <w:jc w:val="both"/>
              <w:rPr>
                <w:b/>
                <w:bCs/>
                <w:color w:val="000000"/>
                <w:sz w:val="20"/>
                <w:szCs w:val="16"/>
              </w:rPr>
            </w:pPr>
            <w:r w:rsidRPr="00801C75">
              <w:rPr>
                <w:b/>
                <w:bCs/>
                <w:color w:val="000000"/>
                <w:sz w:val="20"/>
                <w:szCs w:val="16"/>
              </w:rPr>
              <w:t xml:space="preserve">Normal </w:t>
            </w:r>
            <w:r w:rsidRPr="00801C75">
              <w:rPr>
                <w:b/>
                <w:bCs/>
                <w:i/>
                <w:iCs/>
                <w:color w:val="000000"/>
                <w:sz w:val="20"/>
                <w:szCs w:val="16"/>
              </w:rPr>
              <w:t>(n=73)</w:t>
            </w:r>
          </w:p>
        </w:tc>
        <w:tc>
          <w:tcPr>
            <w:tcW w:w="1233" w:type="pct"/>
            <w:gridSpan w:val="2"/>
            <w:tcBorders>
              <w:top w:val="single" w:sz="4" w:space="0" w:color="auto"/>
              <w:left w:val="nil"/>
              <w:bottom w:val="single" w:sz="4" w:space="0" w:color="auto"/>
              <w:right w:val="single" w:sz="4" w:space="0" w:color="auto"/>
            </w:tcBorders>
            <w:shd w:val="clear" w:color="000000" w:fill="C4D79B"/>
            <w:noWrap/>
            <w:vAlign w:val="center"/>
            <w:hideMark/>
          </w:tcPr>
          <w:p w:rsidR="00E57110" w:rsidRPr="00801C75" w:rsidRDefault="00E57110" w:rsidP="00331E80">
            <w:pPr>
              <w:bidi w:val="0"/>
              <w:snapToGrid w:val="0"/>
              <w:jc w:val="both"/>
              <w:rPr>
                <w:b/>
                <w:bCs/>
                <w:color w:val="000000"/>
                <w:sz w:val="20"/>
                <w:szCs w:val="16"/>
              </w:rPr>
            </w:pPr>
            <w:r w:rsidRPr="00801C75">
              <w:rPr>
                <w:b/>
                <w:bCs/>
                <w:color w:val="000000"/>
                <w:sz w:val="20"/>
                <w:szCs w:val="16"/>
              </w:rPr>
              <w:t xml:space="preserve">Abnormal </w:t>
            </w:r>
            <w:r w:rsidRPr="00801C75">
              <w:rPr>
                <w:b/>
                <w:bCs/>
                <w:i/>
                <w:iCs/>
                <w:color w:val="000000"/>
                <w:sz w:val="20"/>
                <w:szCs w:val="16"/>
              </w:rPr>
              <w:t>(n=96)</w:t>
            </w:r>
          </w:p>
        </w:tc>
        <w:tc>
          <w:tcPr>
            <w:tcW w:w="1010" w:type="pct"/>
            <w:gridSpan w:val="2"/>
            <w:vMerge/>
            <w:tcBorders>
              <w:top w:val="single" w:sz="4" w:space="0" w:color="auto"/>
              <w:left w:val="single" w:sz="4" w:space="0" w:color="auto"/>
              <w:bottom w:val="single" w:sz="4" w:space="0" w:color="auto"/>
              <w:right w:val="single" w:sz="4" w:space="0" w:color="auto"/>
            </w:tcBorders>
            <w:vAlign w:val="center"/>
            <w:hideMark/>
          </w:tcPr>
          <w:p w:rsidR="00E57110" w:rsidRPr="00801C75" w:rsidRDefault="00E57110" w:rsidP="00331E80">
            <w:pPr>
              <w:bidi w:val="0"/>
              <w:snapToGrid w:val="0"/>
              <w:jc w:val="both"/>
              <w:rPr>
                <w:b/>
                <w:bCs/>
                <w:color w:val="000000"/>
                <w:sz w:val="20"/>
                <w:szCs w:val="16"/>
              </w:rPr>
            </w:pPr>
          </w:p>
        </w:tc>
      </w:tr>
      <w:tr w:rsidR="00801C75" w:rsidRPr="00801C75" w:rsidTr="00801C75">
        <w:trPr>
          <w:jc w:val="center"/>
        </w:trPr>
        <w:tc>
          <w:tcPr>
            <w:tcW w:w="1695" w:type="pct"/>
            <w:gridSpan w:val="2"/>
            <w:vMerge/>
            <w:tcBorders>
              <w:top w:val="single" w:sz="4" w:space="0" w:color="auto"/>
              <w:left w:val="single" w:sz="4" w:space="0" w:color="auto"/>
              <w:bottom w:val="single" w:sz="4" w:space="0" w:color="auto"/>
              <w:right w:val="single" w:sz="4" w:space="0" w:color="auto"/>
            </w:tcBorders>
            <w:vAlign w:val="center"/>
            <w:hideMark/>
          </w:tcPr>
          <w:p w:rsidR="00E57110" w:rsidRPr="00801C75" w:rsidRDefault="00E57110" w:rsidP="00331E80">
            <w:pPr>
              <w:bidi w:val="0"/>
              <w:snapToGrid w:val="0"/>
              <w:jc w:val="both"/>
              <w:rPr>
                <w:b/>
                <w:bCs/>
                <w:color w:val="000000"/>
                <w:sz w:val="20"/>
                <w:szCs w:val="16"/>
              </w:rPr>
            </w:pPr>
          </w:p>
        </w:tc>
        <w:tc>
          <w:tcPr>
            <w:tcW w:w="417" w:type="pct"/>
            <w:tcBorders>
              <w:top w:val="nil"/>
              <w:left w:val="nil"/>
              <w:bottom w:val="single" w:sz="4" w:space="0" w:color="auto"/>
              <w:right w:val="single" w:sz="4" w:space="0" w:color="auto"/>
            </w:tcBorders>
            <w:shd w:val="clear" w:color="000000" w:fill="C4D79B"/>
            <w:noWrap/>
            <w:vAlign w:val="center"/>
            <w:hideMark/>
          </w:tcPr>
          <w:p w:rsidR="00E57110" w:rsidRPr="00801C75" w:rsidRDefault="00E57110" w:rsidP="00331E80">
            <w:pPr>
              <w:bidi w:val="0"/>
              <w:snapToGrid w:val="0"/>
              <w:jc w:val="both"/>
              <w:rPr>
                <w:b/>
                <w:bCs/>
                <w:color w:val="000000"/>
                <w:sz w:val="20"/>
                <w:szCs w:val="16"/>
              </w:rPr>
            </w:pPr>
            <w:r w:rsidRPr="00801C75">
              <w:rPr>
                <w:b/>
                <w:bCs/>
                <w:color w:val="000000"/>
                <w:sz w:val="20"/>
                <w:szCs w:val="16"/>
              </w:rPr>
              <w:t>No.</w:t>
            </w:r>
          </w:p>
        </w:tc>
        <w:tc>
          <w:tcPr>
            <w:tcW w:w="644" w:type="pct"/>
            <w:tcBorders>
              <w:top w:val="nil"/>
              <w:left w:val="nil"/>
              <w:bottom w:val="single" w:sz="4" w:space="0" w:color="auto"/>
              <w:right w:val="single" w:sz="4" w:space="0" w:color="auto"/>
            </w:tcBorders>
            <w:shd w:val="clear" w:color="000000" w:fill="C4D79B"/>
            <w:noWrap/>
            <w:vAlign w:val="center"/>
            <w:hideMark/>
          </w:tcPr>
          <w:p w:rsidR="00E57110" w:rsidRPr="00801C75" w:rsidRDefault="00E57110" w:rsidP="00331E80">
            <w:pPr>
              <w:bidi w:val="0"/>
              <w:snapToGrid w:val="0"/>
              <w:jc w:val="both"/>
              <w:rPr>
                <w:b/>
                <w:bCs/>
                <w:color w:val="000000"/>
                <w:sz w:val="20"/>
                <w:szCs w:val="16"/>
              </w:rPr>
            </w:pPr>
            <w:r w:rsidRPr="00801C75">
              <w:rPr>
                <w:b/>
                <w:bCs/>
                <w:color w:val="000000"/>
                <w:sz w:val="20"/>
                <w:szCs w:val="16"/>
              </w:rPr>
              <w:t>%</w:t>
            </w:r>
          </w:p>
        </w:tc>
        <w:tc>
          <w:tcPr>
            <w:tcW w:w="485" w:type="pct"/>
            <w:tcBorders>
              <w:top w:val="nil"/>
              <w:left w:val="nil"/>
              <w:bottom w:val="single" w:sz="4" w:space="0" w:color="auto"/>
              <w:right w:val="single" w:sz="4" w:space="0" w:color="auto"/>
            </w:tcBorders>
            <w:shd w:val="clear" w:color="000000" w:fill="C4D79B"/>
            <w:noWrap/>
            <w:vAlign w:val="center"/>
            <w:hideMark/>
          </w:tcPr>
          <w:p w:rsidR="00E57110" w:rsidRPr="00801C75" w:rsidRDefault="00E57110" w:rsidP="00331E80">
            <w:pPr>
              <w:bidi w:val="0"/>
              <w:snapToGrid w:val="0"/>
              <w:jc w:val="both"/>
              <w:rPr>
                <w:b/>
                <w:bCs/>
                <w:color w:val="000000"/>
                <w:sz w:val="20"/>
                <w:szCs w:val="16"/>
              </w:rPr>
            </w:pPr>
            <w:r w:rsidRPr="00801C75">
              <w:rPr>
                <w:b/>
                <w:bCs/>
                <w:color w:val="000000"/>
                <w:sz w:val="20"/>
                <w:szCs w:val="16"/>
              </w:rPr>
              <w:t>No.</w:t>
            </w:r>
          </w:p>
        </w:tc>
        <w:tc>
          <w:tcPr>
            <w:tcW w:w="748" w:type="pct"/>
            <w:tcBorders>
              <w:top w:val="nil"/>
              <w:left w:val="nil"/>
              <w:bottom w:val="single" w:sz="4" w:space="0" w:color="auto"/>
              <w:right w:val="single" w:sz="4" w:space="0" w:color="auto"/>
            </w:tcBorders>
            <w:shd w:val="clear" w:color="000000" w:fill="C4D79B"/>
            <w:noWrap/>
            <w:vAlign w:val="center"/>
            <w:hideMark/>
          </w:tcPr>
          <w:p w:rsidR="00E57110" w:rsidRPr="00801C75" w:rsidRDefault="00E57110" w:rsidP="00331E80">
            <w:pPr>
              <w:bidi w:val="0"/>
              <w:snapToGrid w:val="0"/>
              <w:jc w:val="both"/>
              <w:rPr>
                <w:b/>
                <w:bCs/>
                <w:color w:val="000000"/>
                <w:sz w:val="20"/>
                <w:szCs w:val="16"/>
              </w:rPr>
            </w:pPr>
            <w:r w:rsidRPr="00801C75">
              <w:rPr>
                <w:b/>
                <w:bCs/>
                <w:color w:val="000000"/>
                <w:sz w:val="20"/>
                <w:szCs w:val="16"/>
              </w:rPr>
              <w:t>%</w:t>
            </w:r>
          </w:p>
        </w:tc>
        <w:tc>
          <w:tcPr>
            <w:tcW w:w="434" w:type="pct"/>
            <w:tcBorders>
              <w:top w:val="nil"/>
              <w:left w:val="nil"/>
              <w:bottom w:val="single" w:sz="4" w:space="0" w:color="auto"/>
              <w:right w:val="single" w:sz="4" w:space="0" w:color="auto"/>
            </w:tcBorders>
            <w:shd w:val="clear" w:color="000000" w:fill="C4D79B"/>
            <w:noWrap/>
            <w:vAlign w:val="center"/>
            <w:hideMark/>
          </w:tcPr>
          <w:p w:rsidR="00E57110" w:rsidRPr="00801C75" w:rsidRDefault="00E57110" w:rsidP="00331E80">
            <w:pPr>
              <w:bidi w:val="0"/>
              <w:snapToGrid w:val="0"/>
              <w:jc w:val="both"/>
              <w:rPr>
                <w:b/>
                <w:bCs/>
                <w:color w:val="000000"/>
                <w:sz w:val="20"/>
                <w:szCs w:val="16"/>
              </w:rPr>
            </w:pPr>
            <w:r w:rsidRPr="00801C75">
              <w:rPr>
                <w:b/>
                <w:bCs/>
                <w:color w:val="000000"/>
                <w:sz w:val="20"/>
                <w:szCs w:val="16"/>
              </w:rPr>
              <w:t>x2</w:t>
            </w:r>
          </w:p>
        </w:tc>
        <w:tc>
          <w:tcPr>
            <w:tcW w:w="576" w:type="pct"/>
            <w:tcBorders>
              <w:top w:val="nil"/>
              <w:left w:val="nil"/>
              <w:bottom w:val="single" w:sz="4" w:space="0" w:color="auto"/>
              <w:right w:val="single" w:sz="4" w:space="0" w:color="auto"/>
            </w:tcBorders>
            <w:shd w:val="clear" w:color="000000" w:fill="C4D79B"/>
            <w:noWrap/>
            <w:vAlign w:val="center"/>
            <w:hideMark/>
          </w:tcPr>
          <w:p w:rsidR="00E57110" w:rsidRPr="00801C75" w:rsidRDefault="00E57110" w:rsidP="00331E80">
            <w:pPr>
              <w:bidi w:val="0"/>
              <w:snapToGrid w:val="0"/>
              <w:jc w:val="both"/>
              <w:rPr>
                <w:b/>
                <w:bCs/>
                <w:color w:val="000000"/>
                <w:sz w:val="20"/>
                <w:szCs w:val="16"/>
              </w:rPr>
            </w:pPr>
            <w:r w:rsidRPr="00801C75">
              <w:rPr>
                <w:b/>
                <w:bCs/>
                <w:color w:val="000000"/>
                <w:sz w:val="20"/>
                <w:szCs w:val="16"/>
              </w:rPr>
              <w:t>p-value</w:t>
            </w:r>
          </w:p>
        </w:tc>
      </w:tr>
      <w:tr w:rsidR="00801C75" w:rsidRPr="00801C75" w:rsidTr="00801C75">
        <w:trPr>
          <w:jc w:val="center"/>
        </w:trPr>
        <w:tc>
          <w:tcPr>
            <w:tcW w:w="12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Grade</w:t>
            </w:r>
          </w:p>
        </w:tc>
        <w:tc>
          <w:tcPr>
            <w:tcW w:w="422"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NA</w:t>
            </w:r>
          </w:p>
        </w:tc>
        <w:tc>
          <w:tcPr>
            <w:tcW w:w="417"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0</w:t>
            </w:r>
          </w:p>
        </w:tc>
        <w:tc>
          <w:tcPr>
            <w:tcW w:w="64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0.0%</w:t>
            </w:r>
          </w:p>
        </w:tc>
        <w:tc>
          <w:tcPr>
            <w:tcW w:w="485"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3</w:t>
            </w:r>
          </w:p>
        </w:tc>
        <w:tc>
          <w:tcPr>
            <w:tcW w:w="748"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3.1%</w:t>
            </w:r>
          </w:p>
        </w:tc>
        <w:tc>
          <w:tcPr>
            <w:tcW w:w="4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5.284</w:t>
            </w:r>
          </w:p>
        </w:tc>
        <w:tc>
          <w:tcPr>
            <w:tcW w:w="5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0.152</w:t>
            </w:r>
          </w:p>
        </w:tc>
      </w:tr>
      <w:tr w:rsidR="00801C75" w:rsidRPr="00801C75" w:rsidTr="00801C75">
        <w:trPr>
          <w:jc w:val="center"/>
        </w:trPr>
        <w:tc>
          <w:tcPr>
            <w:tcW w:w="1273"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c>
          <w:tcPr>
            <w:tcW w:w="422"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I</w:t>
            </w:r>
          </w:p>
        </w:tc>
        <w:tc>
          <w:tcPr>
            <w:tcW w:w="417"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1</w:t>
            </w:r>
          </w:p>
        </w:tc>
        <w:tc>
          <w:tcPr>
            <w:tcW w:w="64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1.4%</w:t>
            </w:r>
          </w:p>
        </w:tc>
        <w:tc>
          <w:tcPr>
            <w:tcW w:w="485"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1</w:t>
            </w:r>
          </w:p>
        </w:tc>
        <w:tc>
          <w:tcPr>
            <w:tcW w:w="748"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1.0%</w:t>
            </w:r>
          </w:p>
        </w:tc>
        <w:tc>
          <w:tcPr>
            <w:tcW w:w="434"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c>
          <w:tcPr>
            <w:tcW w:w="576"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r>
      <w:tr w:rsidR="00801C75" w:rsidRPr="00801C75" w:rsidTr="00801C75">
        <w:trPr>
          <w:jc w:val="center"/>
        </w:trPr>
        <w:tc>
          <w:tcPr>
            <w:tcW w:w="1273"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c>
          <w:tcPr>
            <w:tcW w:w="422"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II</w:t>
            </w:r>
          </w:p>
        </w:tc>
        <w:tc>
          <w:tcPr>
            <w:tcW w:w="417"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55</w:t>
            </w:r>
          </w:p>
        </w:tc>
        <w:tc>
          <w:tcPr>
            <w:tcW w:w="64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75.3%</w:t>
            </w:r>
          </w:p>
        </w:tc>
        <w:tc>
          <w:tcPr>
            <w:tcW w:w="485"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55</w:t>
            </w:r>
          </w:p>
        </w:tc>
        <w:tc>
          <w:tcPr>
            <w:tcW w:w="748"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57.3%</w:t>
            </w:r>
          </w:p>
        </w:tc>
        <w:tc>
          <w:tcPr>
            <w:tcW w:w="434"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c>
          <w:tcPr>
            <w:tcW w:w="576"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r>
      <w:tr w:rsidR="00801C75" w:rsidRPr="00801C75" w:rsidTr="00801C75">
        <w:trPr>
          <w:jc w:val="center"/>
        </w:trPr>
        <w:tc>
          <w:tcPr>
            <w:tcW w:w="1273"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c>
          <w:tcPr>
            <w:tcW w:w="422"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III</w:t>
            </w:r>
          </w:p>
        </w:tc>
        <w:tc>
          <w:tcPr>
            <w:tcW w:w="417"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2</w:t>
            </w:r>
          </w:p>
        </w:tc>
        <w:tc>
          <w:tcPr>
            <w:tcW w:w="64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2.7%</w:t>
            </w:r>
          </w:p>
        </w:tc>
        <w:tc>
          <w:tcPr>
            <w:tcW w:w="485"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7</w:t>
            </w:r>
          </w:p>
        </w:tc>
        <w:tc>
          <w:tcPr>
            <w:tcW w:w="748"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7.3%</w:t>
            </w:r>
          </w:p>
        </w:tc>
        <w:tc>
          <w:tcPr>
            <w:tcW w:w="434"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c>
          <w:tcPr>
            <w:tcW w:w="576"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r>
      <w:tr w:rsidR="00801C75" w:rsidRPr="00801C75" w:rsidTr="00801C75">
        <w:trPr>
          <w:jc w:val="center"/>
        </w:trPr>
        <w:tc>
          <w:tcPr>
            <w:tcW w:w="12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PNI</w:t>
            </w:r>
          </w:p>
        </w:tc>
        <w:tc>
          <w:tcPr>
            <w:tcW w:w="422"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No</w:t>
            </w:r>
          </w:p>
        </w:tc>
        <w:tc>
          <w:tcPr>
            <w:tcW w:w="417"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47</w:t>
            </w:r>
          </w:p>
        </w:tc>
        <w:tc>
          <w:tcPr>
            <w:tcW w:w="64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64.4%</w:t>
            </w:r>
          </w:p>
        </w:tc>
        <w:tc>
          <w:tcPr>
            <w:tcW w:w="485"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48</w:t>
            </w:r>
          </w:p>
        </w:tc>
        <w:tc>
          <w:tcPr>
            <w:tcW w:w="748"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50.0%</w:t>
            </w:r>
          </w:p>
        </w:tc>
        <w:tc>
          <w:tcPr>
            <w:tcW w:w="4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3.553</w:t>
            </w:r>
          </w:p>
        </w:tc>
        <w:tc>
          <w:tcPr>
            <w:tcW w:w="5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0.059</w:t>
            </w:r>
          </w:p>
        </w:tc>
      </w:tr>
      <w:tr w:rsidR="00801C75" w:rsidRPr="00801C75" w:rsidTr="00801C75">
        <w:trPr>
          <w:jc w:val="center"/>
        </w:trPr>
        <w:tc>
          <w:tcPr>
            <w:tcW w:w="1273"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c>
          <w:tcPr>
            <w:tcW w:w="422"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Done</w:t>
            </w:r>
          </w:p>
        </w:tc>
        <w:tc>
          <w:tcPr>
            <w:tcW w:w="417"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6</w:t>
            </w:r>
          </w:p>
        </w:tc>
        <w:tc>
          <w:tcPr>
            <w:tcW w:w="64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8.2%</w:t>
            </w:r>
          </w:p>
        </w:tc>
        <w:tc>
          <w:tcPr>
            <w:tcW w:w="485"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16</w:t>
            </w:r>
          </w:p>
        </w:tc>
        <w:tc>
          <w:tcPr>
            <w:tcW w:w="748"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16.7%</w:t>
            </w:r>
          </w:p>
        </w:tc>
        <w:tc>
          <w:tcPr>
            <w:tcW w:w="434"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c>
          <w:tcPr>
            <w:tcW w:w="576"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r>
      <w:tr w:rsidR="00801C75" w:rsidRPr="00801C75" w:rsidTr="00801C75">
        <w:trPr>
          <w:jc w:val="center"/>
        </w:trPr>
        <w:tc>
          <w:tcPr>
            <w:tcW w:w="12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PVI</w:t>
            </w:r>
          </w:p>
        </w:tc>
        <w:tc>
          <w:tcPr>
            <w:tcW w:w="422"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No</w:t>
            </w:r>
          </w:p>
        </w:tc>
        <w:tc>
          <w:tcPr>
            <w:tcW w:w="417"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51</w:t>
            </w:r>
          </w:p>
        </w:tc>
        <w:tc>
          <w:tcPr>
            <w:tcW w:w="64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69.9%</w:t>
            </w:r>
          </w:p>
        </w:tc>
        <w:tc>
          <w:tcPr>
            <w:tcW w:w="485"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57</w:t>
            </w:r>
          </w:p>
        </w:tc>
        <w:tc>
          <w:tcPr>
            <w:tcW w:w="748"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59.4%</w:t>
            </w:r>
          </w:p>
        </w:tc>
        <w:tc>
          <w:tcPr>
            <w:tcW w:w="4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2.095</w:t>
            </w:r>
          </w:p>
        </w:tc>
        <w:tc>
          <w:tcPr>
            <w:tcW w:w="5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0.148</w:t>
            </w:r>
          </w:p>
        </w:tc>
      </w:tr>
      <w:tr w:rsidR="00801C75" w:rsidRPr="00801C75" w:rsidTr="00801C75">
        <w:trPr>
          <w:jc w:val="center"/>
        </w:trPr>
        <w:tc>
          <w:tcPr>
            <w:tcW w:w="1273"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c>
          <w:tcPr>
            <w:tcW w:w="422"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Done</w:t>
            </w:r>
          </w:p>
        </w:tc>
        <w:tc>
          <w:tcPr>
            <w:tcW w:w="417"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2</w:t>
            </w:r>
          </w:p>
        </w:tc>
        <w:tc>
          <w:tcPr>
            <w:tcW w:w="64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2.7%</w:t>
            </w:r>
          </w:p>
        </w:tc>
        <w:tc>
          <w:tcPr>
            <w:tcW w:w="485"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7</w:t>
            </w:r>
          </w:p>
        </w:tc>
        <w:tc>
          <w:tcPr>
            <w:tcW w:w="748"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7.3%</w:t>
            </w:r>
          </w:p>
        </w:tc>
        <w:tc>
          <w:tcPr>
            <w:tcW w:w="434"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c>
          <w:tcPr>
            <w:tcW w:w="576"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r>
      <w:tr w:rsidR="00801C75" w:rsidRPr="00801C75" w:rsidTr="00801C75">
        <w:trPr>
          <w:jc w:val="center"/>
        </w:trPr>
        <w:tc>
          <w:tcPr>
            <w:tcW w:w="12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Mucinous activity</w:t>
            </w:r>
          </w:p>
        </w:tc>
        <w:tc>
          <w:tcPr>
            <w:tcW w:w="422"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No</w:t>
            </w:r>
          </w:p>
        </w:tc>
        <w:tc>
          <w:tcPr>
            <w:tcW w:w="417"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39</w:t>
            </w:r>
          </w:p>
        </w:tc>
        <w:tc>
          <w:tcPr>
            <w:tcW w:w="64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53.4%</w:t>
            </w:r>
          </w:p>
        </w:tc>
        <w:tc>
          <w:tcPr>
            <w:tcW w:w="485"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45</w:t>
            </w:r>
          </w:p>
        </w:tc>
        <w:tc>
          <w:tcPr>
            <w:tcW w:w="748"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46.9%</w:t>
            </w:r>
          </w:p>
        </w:tc>
        <w:tc>
          <w:tcPr>
            <w:tcW w:w="4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0.134</w:t>
            </w:r>
          </w:p>
        </w:tc>
        <w:tc>
          <w:tcPr>
            <w:tcW w:w="5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0.715</w:t>
            </w:r>
          </w:p>
        </w:tc>
      </w:tr>
      <w:tr w:rsidR="00801C75" w:rsidRPr="00801C75" w:rsidTr="00801C75">
        <w:trPr>
          <w:jc w:val="center"/>
        </w:trPr>
        <w:tc>
          <w:tcPr>
            <w:tcW w:w="1273"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c>
          <w:tcPr>
            <w:tcW w:w="422"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Done</w:t>
            </w:r>
          </w:p>
        </w:tc>
        <w:tc>
          <w:tcPr>
            <w:tcW w:w="417"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19</w:t>
            </w:r>
          </w:p>
        </w:tc>
        <w:tc>
          <w:tcPr>
            <w:tcW w:w="64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26.0%</w:t>
            </w:r>
          </w:p>
        </w:tc>
        <w:tc>
          <w:tcPr>
            <w:tcW w:w="485"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19</w:t>
            </w:r>
          </w:p>
        </w:tc>
        <w:tc>
          <w:tcPr>
            <w:tcW w:w="748"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19.8%</w:t>
            </w:r>
          </w:p>
        </w:tc>
        <w:tc>
          <w:tcPr>
            <w:tcW w:w="434"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c>
          <w:tcPr>
            <w:tcW w:w="576"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r>
      <w:tr w:rsidR="00801C75" w:rsidRPr="00801C75" w:rsidTr="00801C75">
        <w:trPr>
          <w:jc w:val="center"/>
        </w:trPr>
        <w:tc>
          <w:tcPr>
            <w:tcW w:w="12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Peritoneal disease</w:t>
            </w:r>
          </w:p>
        </w:tc>
        <w:tc>
          <w:tcPr>
            <w:tcW w:w="422"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No</w:t>
            </w:r>
          </w:p>
        </w:tc>
        <w:tc>
          <w:tcPr>
            <w:tcW w:w="417"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38</w:t>
            </w:r>
          </w:p>
        </w:tc>
        <w:tc>
          <w:tcPr>
            <w:tcW w:w="64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52.1%</w:t>
            </w:r>
          </w:p>
        </w:tc>
        <w:tc>
          <w:tcPr>
            <w:tcW w:w="485"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40</w:t>
            </w:r>
          </w:p>
        </w:tc>
        <w:tc>
          <w:tcPr>
            <w:tcW w:w="748"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41.7%</w:t>
            </w:r>
          </w:p>
        </w:tc>
        <w:tc>
          <w:tcPr>
            <w:tcW w:w="4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0.541</w:t>
            </w:r>
          </w:p>
        </w:tc>
        <w:tc>
          <w:tcPr>
            <w:tcW w:w="5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0.462</w:t>
            </w:r>
          </w:p>
        </w:tc>
      </w:tr>
      <w:tr w:rsidR="00801C75" w:rsidRPr="00801C75" w:rsidTr="00801C75">
        <w:trPr>
          <w:jc w:val="center"/>
        </w:trPr>
        <w:tc>
          <w:tcPr>
            <w:tcW w:w="1273"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c>
          <w:tcPr>
            <w:tcW w:w="422"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Done</w:t>
            </w:r>
          </w:p>
        </w:tc>
        <w:tc>
          <w:tcPr>
            <w:tcW w:w="417"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14</w:t>
            </w:r>
          </w:p>
        </w:tc>
        <w:tc>
          <w:tcPr>
            <w:tcW w:w="64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19.2%</w:t>
            </w:r>
          </w:p>
        </w:tc>
        <w:tc>
          <w:tcPr>
            <w:tcW w:w="485"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20</w:t>
            </w:r>
          </w:p>
        </w:tc>
        <w:tc>
          <w:tcPr>
            <w:tcW w:w="748"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20.8%</w:t>
            </w:r>
          </w:p>
        </w:tc>
        <w:tc>
          <w:tcPr>
            <w:tcW w:w="434"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c>
          <w:tcPr>
            <w:tcW w:w="576"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r>
      <w:tr w:rsidR="00801C75" w:rsidRPr="00801C75" w:rsidTr="00801C75">
        <w:trPr>
          <w:jc w:val="center"/>
        </w:trPr>
        <w:tc>
          <w:tcPr>
            <w:tcW w:w="12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Underlying disease</w:t>
            </w:r>
          </w:p>
        </w:tc>
        <w:tc>
          <w:tcPr>
            <w:tcW w:w="422"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No</w:t>
            </w:r>
          </w:p>
        </w:tc>
        <w:tc>
          <w:tcPr>
            <w:tcW w:w="417"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32</w:t>
            </w:r>
          </w:p>
        </w:tc>
        <w:tc>
          <w:tcPr>
            <w:tcW w:w="64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43.8%</w:t>
            </w:r>
          </w:p>
        </w:tc>
        <w:tc>
          <w:tcPr>
            <w:tcW w:w="485"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40</w:t>
            </w:r>
          </w:p>
        </w:tc>
        <w:tc>
          <w:tcPr>
            <w:tcW w:w="748"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41.7%</w:t>
            </w:r>
          </w:p>
        </w:tc>
        <w:tc>
          <w:tcPr>
            <w:tcW w:w="4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0.67</w:t>
            </w:r>
          </w:p>
        </w:tc>
        <w:tc>
          <w:tcPr>
            <w:tcW w:w="5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0.413</w:t>
            </w:r>
          </w:p>
        </w:tc>
      </w:tr>
      <w:tr w:rsidR="00801C75" w:rsidRPr="00801C75" w:rsidTr="00801C75">
        <w:trPr>
          <w:jc w:val="center"/>
        </w:trPr>
        <w:tc>
          <w:tcPr>
            <w:tcW w:w="1273"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c>
          <w:tcPr>
            <w:tcW w:w="422"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Done</w:t>
            </w:r>
          </w:p>
        </w:tc>
        <w:tc>
          <w:tcPr>
            <w:tcW w:w="417"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17</w:t>
            </w:r>
          </w:p>
        </w:tc>
        <w:tc>
          <w:tcPr>
            <w:tcW w:w="64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23.3%</w:t>
            </w:r>
          </w:p>
        </w:tc>
        <w:tc>
          <w:tcPr>
            <w:tcW w:w="485"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15</w:t>
            </w:r>
          </w:p>
        </w:tc>
        <w:tc>
          <w:tcPr>
            <w:tcW w:w="748"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15.6%</w:t>
            </w:r>
          </w:p>
        </w:tc>
        <w:tc>
          <w:tcPr>
            <w:tcW w:w="434"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c>
          <w:tcPr>
            <w:tcW w:w="576"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r>
      <w:tr w:rsidR="00801C75" w:rsidRPr="00801C75" w:rsidTr="00801C75">
        <w:trPr>
          <w:jc w:val="center"/>
        </w:trPr>
        <w:tc>
          <w:tcPr>
            <w:tcW w:w="12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Adjuvant Type</w:t>
            </w:r>
          </w:p>
        </w:tc>
        <w:tc>
          <w:tcPr>
            <w:tcW w:w="422"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1.00</w:t>
            </w:r>
          </w:p>
        </w:tc>
        <w:tc>
          <w:tcPr>
            <w:tcW w:w="417"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46</w:t>
            </w:r>
          </w:p>
        </w:tc>
        <w:tc>
          <w:tcPr>
            <w:tcW w:w="64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63.0%</w:t>
            </w:r>
          </w:p>
        </w:tc>
        <w:tc>
          <w:tcPr>
            <w:tcW w:w="485"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47</w:t>
            </w:r>
          </w:p>
        </w:tc>
        <w:tc>
          <w:tcPr>
            <w:tcW w:w="748"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49.0%</w:t>
            </w:r>
          </w:p>
        </w:tc>
        <w:tc>
          <w:tcPr>
            <w:tcW w:w="4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2.639</w:t>
            </w:r>
          </w:p>
        </w:tc>
        <w:tc>
          <w:tcPr>
            <w:tcW w:w="5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0.62</w:t>
            </w:r>
          </w:p>
        </w:tc>
      </w:tr>
      <w:tr w:rsidR="00801C75" w:rsidRPr="00801C75" w:rsidTr="00801C75">
        <w:trPr>
          <w:jc w:val="center"/>
        </w:trPr>
        <w:tc>
          <w:tcPr>
            <w:tcW w:w="1273"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c>
          <w:tcPr>
            <w:tcW w:w="422"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2.00</w:t>
            </w:r>
          </w:p>
        </w:tc>
        <w:tc>
          <w:tcPr>
            <w:tcW w:w="417"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6</w:t>
            </w:r>
          </w:p>
        </w:tc>
        <w:tc>
          <w:tcPr>
            <w:tcW w:w="64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8.2%</w:t>
            </w:r>
          </w:p>
        </w:tc>
        <w:tc>
          <w:tcPr>
            <w:tcW w:w="485"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6</w:t>
            </w:r>
          </w:p>
        </w:tc>
        <w:tc>
          <w:tcPr>
            <w:tcW w:w="748"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6.3%</w:t>
            </w:r>
          </w:p>
        </w:tc>
        <w:tc>
          <w:tcPr>
            <w:tcW w:w="434"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c>
          <w:tcPr>
            <w:tcW w:w="576"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r>
      <w:tr w:rsidR="00801C75" w:rsidRPr="00801C75" w:rsidTr="00801C75">
        <w:trPr>
          <w:jc w:val="center"/>
        </w:trPr>
        <w:tc>
          <w:tcPr>
            <w:tcW w:w="1273"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c>
          <w:tcPr>
            <w:tcW w:w="422"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3.00</w:t>
            </w:r>
          </w:p>
        </w:tc>
        <w:tc>
          <w:tcPr>
            <w:tcW w:w="417"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4</w:t>
            </w:r>
          </w:p>
        </w:tc>
        <w:tc>
          <w:tcPr>
            <w:tcW w:w="64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5.5%</w:t>
            </w:r>
          </w:p>
        </w:tc>
        <w:tc>
          <w:tcPr>
            <w:tcW w:w="485"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8</w:t>
            </w:r>
          </w:p>
        </w:tc>
        <w:tc>
          <w:tcPr>
            <w:tcW w:w="748"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8.3%</w:t>
            </w:r>
          </w:p>
        </w:tc>
        <w:tc>
          <w:tcPr>
            <w:tcW w:w="434"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c>
          <w:tcPr>
            <w:tcW w:w="576"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r>
      <w:tr w:rsidR="00801C75" w:rsidRPr="00801C75" w:rsidTr="00801C75">
        <w:trPr>
          <w:jc w:val="center"/>
        </w:trPr>
        <w:tc>
          <w:tcPr>
            <w:tcW w:w="1273"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c>
          <w:tcPr>
            <w:tcW w:w="422"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4.00</w:t>
            </w:r>
          </w:p>
        </w:tc>
        <w:tc>
          <w:tcPr>
            <w:tcW w:w="417"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1</w:t>
            </w:r>
          </w:p>
        </w:tc>
        <w:tc>
          <w:tcPr>
            <w:tcW w:w="64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1.4%</w:t>
            </w:r>
          </w:p>
        </w:tc>
        <w:tc>
          <w:tcPr>
            <w:tcW w:w="485"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1</w:t>
            </w:r>
          </w:p>
        </w:tc>
        <w:tc>
          <w:tcPr>
            <w:tcW w:w="748"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1.0%</w:t>
            </w:r>
          </w:p>
        </w:tc>
        <w:tc>
          <w:tcPr>
            <w:tcW w:w="434"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c>
          <w:tcPr>
            <w:tcW w:w="576"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r>
      <w:tr w:rsidR="00801C75" w:rsidRPr="00801C75" w:rsidTr="00801C75">
        <w:trPr>
          <w:jc w:val="center"/>
        </w:trPr>
        <w:tc>
          <w:tcPr>
            <w:tcW w:w="1273"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c>
          <w:tcPr>
            <w:tcW w:w="422"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5.00</w:t>
            </w:r>
          </w:p>
        </w:tc>
        <w:tc>
          <w:tcPr>
            <w:tcW w:w="417"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1</w:t>
            </w:r>
          </w:p>
        </w:tc>
        <w:tc>
          <w:tcPr>
            <w:tcW w:w="64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1.4%</w:t>
            </w:r>
          </w:p>
        </w:tc>
        <w:tc>
          <w:tcPr>
            <w:tcW w:w="485"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4</w:t>
            </w:r>
          </w:p>
        </w:tc>
        <w:tc>
          <w:tcPr>
            <w:tcW w:w="748"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4.2%</w:t>
            </w:r>
          </w:p>
        </w:tc>
        <w:tc>
          <w:tcPr>
            <w:tcW w:w="434"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c>
          <w:tcPr>
            <w:tcW w:w="576"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r>
      <w:tr w:rsidR="00801C75" w:rsidRPr="00801C75" w:rsidTr="00801C75">
        <w:trPr>
          <w:jc w:val="center"/>
        </w:trPr>
        <w:tc>
          <w:tcPr>
            <w:tcW w:w="12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Recurrence</w:t>
            </w:r>
          </w:p>
        </w:tc>
        <w:tc>
          <w:tcPr>
            <w:tcW w:w="422"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No</w:t>
            </w:r>
          </w:p>
        </w:tc>
        <w:tc>
          <w:tcPr>
            <w:tcW w:w="417"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43</w:t>
            </w:r>
          </w:p>
        </w:tc>
        <w:tc>
          <w:tcPr>
            <w:tcW w:w="64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58.9%</w:t>
            </w:r>
          </w:p>
        </w:tc>
        <w:tc>
          <w:tcPr>
            <w:tcW w:w="485"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50</w:t>
            </w:r>
          </w:p>
        </w:tc>
        <w:tc>
          <w:tcPr>
            <w:tcW w:w="748"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52.1%</w:t>
            </w:r>
          </w:p>
        </w:tc>
        <w:tc>
          <w:tcPr>
            <w:tcW w:w="4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0.043</w:t>
            </w:r>
          </w:p>
        </w:tc>
        <w:tc>
          <w:tcPr>
            <w:tcW w:w="5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0.835</w:t>
            </w:r>
          </w:p>
        </w:tc>
      </w:tr>
      <w:tr w:rsidR="00801C75" w:rsidRPr="00801C75" w:rsidTr="00801C75">
        <w:trPr>
          <w:jc w:val="center"/>
        </w:trPr>
        <w:tc>
          <w:tcPr>
            <w:tcW w:w="1273"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c>
          <w:tcPr>
            <w:tcW w:w="422"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Yes</w:t>
            </w:r>
          </w:p>
        </w:tc>
        <w:tc>
          <w:tcPr>
            <w:tcW w:w="417"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15</w:t>
            </w:r>
          </w:p>
        </w:tc>
        <w:tc>
          <w:tcPr>
            <w:tcW w:w="644"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20.5%</w:t>
            </w:r>
          </w:p>
        </w:tc>
        <w:tc>
          <w:tcPr>
            <w:tcW w:w="485"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16</w:t>
            </w:r>
          </w:p>
        </w:tc>
        <w:tc>
          <w:tcPr>
            <w:tcW w:w="748" w:type="pct"/>
            <w:tcBorders>
              <w:top w:val="nil"/>
              <w:left w:val="nil"/>
              <w:bottom w:val="single" w:sz="4" w:space="0" w:color="auto"/>
              <w:right w:val="single" w:sz="4" w:space="0" w:color="auto"/>
            </w:tcBorders>
            <w:shd w:val="clear" w:color="auto" w:fill="auto"/>
            <w:noWrap/>
            <w:vAlign w:val="center"/>
            <w:hideMark/>
          </w:tcPr>
          <w:p w:rsidR="00D27318" w:rsidRPr="00801C75" w:rsidRDefault="00D27318" w:rsidP="00331E80">
            <w:pPr>
              <w:bidi w:val="0"/>
              <w:snapToGrid w:val="0"/>
              <w:jc w:val="both"/>
              <w:rPr>
                <w:color w:val="000000"/>
                <w:sz w:val="20"/>
                <w:szCs w:val="16"/>
              </w:rPr>
            </w:pPr>
            <w:r w:rsidRPr="00801C75">
              <w:rPr>
                <w:color w:val="000000"/>
                <w:sz w:val="20"/>
                <w:szCs w:val="16"/>
              </w:rPr>
              <w:t>16.7%</w:t>
            </w:r>
          </w:p>
        </w:tc>
        <w:tc>
          <w:tcPr>
            <w:tcW w:w="434"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c>
          <w:tcPr>
            <w:tcW w:w="576" w:type="pct"/>
            <w:vMerge/>
            <w:tcBorders>
              <w:top w:val="nil"/>
              <w:left w:val="single" w:sz="4" w:space="0" w:color="auto"/>
              <w:bottom w:val="single" w:sz="4" w:space="0" w:color="auto"/>
              <w:right w:val="single" w:sz="4" w:space="0" w:color="auto"/>
            </w:tcBorders>
            <w:vAlign w:val="center"/>
            <w:hideMark/>
          </w:tcPr>
          <w:p w:rsidR="00D27318" w:rsidRPr="00801C75" w:rsidRDefault="00D27318" w:rsidP="00331E80">
            <w:pPr>
              <w:bidi w:val="0"/>
              <w:snapToGrid w:val="0"/>
              <w:jc w:val="both"/>
              <w:rPr>
                <w:color w:val="000000"/>
                <w:sz w:val="20"/>
                <w:szCs w:val="16"/>
              </w:rPr>
            </w:pPr>
          </w:p>
        </w:tc>
      </w:tr>
    </w:tbl>
    <w:p w:rsidR="00D27318" w:rsidRDefault="00D27318" w:rsidP="00331E80">
      <w:pPr>
        <w:bidi w:val="0"/>
        <w:snapToGrid w:val="0"/>
        <w:jc w:val="both"/>
        <w:rPr>
          <w:i/>
          <w:iCs/>
          <w:sz w:val="20"/>
          <w:szCs w:val="20"/>
          <w:lang w:eastAsia="zh-CN"/>
        </w:rPr>
      </w:pPr>
      <w:r w:rsidRPr="00801C75">
        <w:rPr>
          <w:i/>
          <w:iCs/>
          <w:sz w:val="20"/>
          <w:szCs w:val="20"/>
        </w:rPr>
        <w:t>P-value &gt;0.05 NS; *p-value &lt;0.05 S</w:t>
      </w:r>
    </w:p>
    <w:p w:rsidR="00331E80" w:rsidRPr="00801C75" w:rsidRDefault="00331E80" w:rsidP="00331E80">
      <w:pPr>
        <w:bidi w:val="0"/>
        <w:snapToGrid w:val="0"/>
        <w:jc w:val="both"/>
        <w:rPr>
          <w:i/>
          <w:iCs/>
          <w:sz w:val="20"/>
          <w:szCs w:val="20"/>
          <w:lang w:eastAsia="zh-CN"/>
        </w:rPr>
      </w:pPr>
    </w:p>
    <w:p w:rsidR="00D27318" w:rsidRPr="00801C75" w:rsidRDefault="00D27318" w:rsidP="00331E80">
      <w:pPr>
        <w:bidi w:val="0"/>
        <w:snapToGrid w:val="0"/>
        <w:ind w:firstLine="425"/>
        <w:jc w:val="both"/>
        <w:rPr>
          <w:sz w:val="20"/>
          <w:szCs w:val="20"/>
          <w:lang w:eastAsia="ar-SA"/>
        </w:rPr>
      </w:pPr>
      <w:r w:rsidRPr="00801C75">
        <w:rPr>
          <w:sz w:val="20"/>
          <w:szCs w:val="20"/>
          <w:lang w:eastAsia="ar-SA"/>
        </w:rPr>
        <w:t>This table shows non-statistically significant relationship between NLR and all patient's parame</w:t>
      </w:r>
      <w:r w:rsidR="003574B3" w:rsidRPr="00801C75">
        <w:rPr>
          <w:sz w:val="20"/>
          <w:szCs w:val="20"/>
          <w:lang w:eastAsia="ar-SA"/>
        </w:rPr>
        <w:t>ters</w:t>
      </w:r>
      <w:r w:rsidRPr="00801C75">
        <w:rPr>
          <w:sz w:val="20"/>
          <w:szCs w:val="20"/>
          <w:lang w:eastAsia="ar-SA"/>
        </w:rPr>
        <w:t xml:space="preserve">. </w:t>
      </w:r>
    </w:p>
    <w:p w:rsidR="00166A00" w:rsidRDefault="00166A00">
      <w:pPr>
        <w:bidi w:val="0"/>
        <w:rPr>
          <w:b/>
          <w:bCs/>
          <w:sz w:val="20"/>
          <w:szCs w:val="20"/>
          <w:shd w:val="clear" w:color="auto" w:fill="FFFFFF"/>
        </w:rPr>
      </w:pPr>
      <w:bookmarkStart w:id="31" w:name="_Toc7857987"/>
      <w:r>
        <w:rPr>
          <w:b/>
          <w:bCs/>
          <w:sz w:val="20"/>
          <w:szCs w:val="20"/>
          <w:shd w:val="clear" w:color="auto" w:fill="FFFFFF"/>
        </w:rPr>
        <w:br w:type="page"/>
      </w:r>
    </w:p>
    <w:p w:rsidR="00D27318" w:rsidRPr="00801C75" w:rsidRDefault="005830D0" w:rsidP="00331E80">
      <w:pPr>
        <w:bidi w:val="0"/>
        <w:snapToGrid w:val="0"/>
        <w:jc w:val="center"/>
        <w:rPr>
          <w:sz w:val="20"/>
          <w:szCs w:val="20"/>
          <w:lang w:eastAsia="ar-SA"/>
        </w:rPr>
      </w:pPr>
      <w:r w:rsidRPr="00801C75">
        <w:rPr>
          <w:b/>
          <w:bCs/>
          <w:sz w:val="20"/>
          <w:szCs w:val="20"/>
          <w:shd w:val="clear" w:color="auto" w:fill="FFFFFF"/>
        </w:rPr>
        <w:lastRenderedPageBreak/>
        <w:t>Table (</w:t>
      </w:r>
      <w:r w:rsidR="0014198C" w:rsidRPr="00801C75">
        <w:rPr>
          <w:b/>
          <w:bCs/>
          <w:sz w:val="20"/>
          <w:szCs w:val="20"/>
          <w:shd w:val="clear" w:color="auto" w:fill="FFFFFF"/>
        </w:rPr>
        <w:fldChar w:fldCharType="begin"/>
      </w:r>
      <w:r w:rsidRPr="00801C75">
        <w:rPr>
          <w:b/>
          <w:bCs/>
          <w:sz w:val="20"/>
          <w:szCs w:val="20"/>
          <w:shd w:val="clear" w:color="auto" w:fill="FFFFFF"/>
        </w:rPr>
        <w:instrText xml:space="preserve"> SEQ Table \* ARABIC </w:instrText>
      </w:r>
      <w:r w:rsidR="0014198C" w:rsidRPr="00801C75">
        <w:rPr>
          <w:b/>
          <w:bCs/>
          <w:sz w:val="20"/>
          <w:szCs w:val="20"/>
          <w:shd w:val="clear" w:color="auto" w:fill="FFFFFF"/>
        </w:rPr>
        <w:fldChar w:fldCharType="separate"/>
      </w:r>
      <w:r w:rsidR="00D60619">
        <w:rPr>
          <w:b/>
          <w:bCs/>
          <w:noProof/>
          <w:sz w:val="20"/>
          <w:szCs w:val="20"/>
          <w:shd w:val="clear" w:color="auto" w:fill="FFFFFF"/>
        </w:rPr>
        <w:t>17</w:t>
      </w:r>
      <w:r w:rsidR="0014198C" w:rsidRPr="00801C75">
        <w:rPr>
          <w:b/>
          <w:bCs/>
          <w:sz w:val="20"/>
          <w:szCs w:val="20"/>
          <w:shd w:val="clear" w:color="auto" w:fill="FFFFFF"/>
        </w:rPr>
        <w:fldChar w:fldCharType="end"/>
      </w:r>
      <w:r w:rsidRPr="00801C75">
        <w:rPr>
          <w:b/>
          <w:bCs/>
          <w:sz w:val="20"/>
          <w:szCs w:val="20"/>
          <w:shd w:val="clear" w:color="auto" w:fill="FFFFFF"/>
        </w:rPr>
        <w:t>)</w:t>
      </w:r>
      <w:r w:rsidRPr="00801C75">
        <w:rPr>
          <w:sz w:val="20"/>
          <w:szCs w:val="20"/>
          <w:shd w:val="clear" w:color="auto" w:fill="FFFFFF"/>
        </w:rPr>
        <w:t>:</w:t>
      </w:r>
      <w:r w:rsidR="00D27318" w:rsidRPr="00801C75">
        <w:rPr>
          <w:sz w:val="20"/>
          <w:szCs w:val="20"/>
          <w:lang w:eastAsia="ar-SA"/>
        </w:rPr>
        <w:t xml:space="preserve"> Relation between platelet count according all parameters of the of the patients</w:t>
      </w:r>
      <w:bookmarkEnd w:id="31"/>
    </w:p>
    <w:tbl>
      <w:tblPr>
        <w:tblW w:w="5000" w:type="pct"/>
        <w:jc w:val="center"/>
        <w:tblCellMar>
          <w:left w:w="57" w:type="dxa"/>
          <w:right w:w="57" w:type="dxa"/>
        </w:tblCellMar>
        <w:tblLook w:val="04A0"/>
      </w:tblPr>
      <w:tblGrid>
        <w:gridCol w:w="2015"/>
        <w:gridCol w:w="1976"/>
        <w:gridCol w:w="714"/>
        <w:gridCol w:w="1088"/>
        <w:gridCol w:w="767"/>
        <w:gridCol w:w="1184"/>
        <w:gridCol w:w="743"/>
        <w:gridCol w:w="987"/>
      </w:tblGrid>
      <w:tr w:rsidR="00870AA0" w:rsidRPr="00166A00" w:rsidTr="00801C75">
        <w:trPr>
          <w:jc w:val="center"/>
        </w:trPr>
        <w:tc>
          <w:tcPr>
            <w:tcW w:w="2106" w:type="pct"/>
            <w:gridSpan w:val="2"/>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870AA0" w:rsidRPr="00166A00" w:rsidRDefault="00870AA0" w:rsidP="00331E80">
            <w:pPr>
              <w:bidi w:val="0"/>
              <w:snapToGrid w:val="0"/>
              <w:jc w:val="both"/>
              <w:rPr>
                <w:b/>
                <w:bCs/>
                <w:color w:val="000000"/>
                <w:sz w:val="18"/>
                <w:szCs w:val="18"/>
              </w:rPr>
            </w:pPr>
            <w:r w:rsidRPr="00166A00">
              <w:rPr>
                <w:b/>
                <w:bCs/>
                <w:color w:val="000000"/>
                <w:sz w:val="18"/>
                <w:szCs w:val="18"/>
              </w:rPr>
              <w:t>Parameters</w:t>
            </w:r>
          </w:p>
        </w:tc>
        <w:tc>
          <w:tcPr>
            <w:tcW w:w="1981" w:type="pct"/>
            <w:gridSpan w:val="4"/>
            <w:tcBorders>
              <w:top w:val="single" w:sz="4" w:space="0" w:color="auto"/>
              <w:left w:val="nil"/>
              <w:bottom w:val="single" w:sz="4" w:space="0" w:color="auto"/>
              <w:right w:val="single" w:sz="4" w:space="0" w:color="000000"/>
            </w:tcBorders>
            <w:shd w:val="clear" w:color="000000" w:fill="C4D79B"/>
            <w:noWrap/>
            <w:vAlign w:val="center"/>
            <w:hideMark/>
          </w:tcPr>
          <w:p w:rsidR="00870AA0" w:rsidRPr="00166A00" w:rsidRDefault="00870AA0" w:rsidP="00331E80">
            <w:pPr>
              <w:bidi w:val="0"/>
              <w:snapToGrid w:val="0"/>
              <w:jc w:val="both"/>
              <w:rPr>
                <w:b/>
                <w:bCs/>
                <w:color w:val="000000"/>
                <w:sz w:val="18"/>
                <w:szCs w:val="18"/>
              </w:rPr>
            </w:pPr>
            <w:r w:rsidRPr="00166A00">
              <w:rPr>
                <w:b/>
                <w:bCs/>
                <w:color w:val="000000"/>
                <w:sz w:val="18"/>
                <w:szCs w:val="18"/>
              </w:rPr>
              <w:t>Platelet count</w:t>
            </w:r>
          </w:p>
        </w:tc>
        <w:tc>
          <w:tcPr>
            <w:tcW w:w="914" w:type="pct"/>
            <w:gridSpan w:val="2"/>
            <w:tcBorders>
              <w:top w:val="single" w:sz="4" w:space="0" w:color="auto"/>
              <w:left w:val="nil"/>
              <w:bottom w:val="single" w:sz="4" w:space="0" w:color="auto"/>
              <w:right w:val="single" w:sz="4" w:space="0" w:color="auto"/>
            </w:tcBorders>
            <w:shd w:val="clear" w:color="000000" w:fill="C4D79B"/>
            <w:noWrap/>
            <w:vAlign w:val="center"/>
            <w:hideMark/>
          </w:tcPr>
          <w:p w:rsidR="00870AA0" w:rsidRPr="00166A00" w:rsidRDefault="00870AA0" w:rsidP="00331E80">
            <w:pPr>
              <w:bidi w:val="0"/>
              <w:snapToGrid w:val="0"/>
              <w:jc w:val="both"/>
              <w:rPr>
                <w:b/>
                <w:bCs/>
                <w:color w:val="000000"/>
                <w:sz w:val="18"/>
                <w:szCs w:val="18"/>
              </w:rPr>
            </w:pPr>
            <w:r w:rsidRPr="00166A00">
              <w:rPr>
                <w:b/>
                <w:bCs/>
                <w:color w:val="000000"/>
                <w:sz w:val="18"/>
                <w:szCs w:val="18"/>
              </w:rPr>
              <w:t>Chi-square test</w:t>
            </w:r>
          </w:p>
        </w:tc>
      </w:tr>
      <w:tr w:rsidR="00870AA0" w:rsidRPr="00166A00" w:rsidTr="00801C75">
        <w:trPr>
          <w:jc w:val="center"/>
        </w:trPr>
        <w:tc>
          <w:tcPr>
            <w:tcW w:w="2106" w:type="pct"/>
            <w:gridSpan w:val="2"/>
            <w:vMerge/>
            <w:tcBorders>
              <w:top w:val="single" w:sz="4" w:space="0" w:color="auto"/>
              <w:left w:val="single" w:sz="4" w:space="0" w:color="auto"/>
              <w:bottom w:val="single" w:sz="4" w:space="0" w:color="auto"/>
              <w:right w:val="single" w:sz="4" w:space="0" w:color="auto"/>
            </w:tcBorders>
            <w:vAlign w:val="center"/>
            <w:hideMark/>
          </w:tcPr>
          <w:p w:rsidR="00870AA0" w:rsidRPr="00166A00" w:rsidRDefault="00870AA0" w:rsidP="00331E80">
            <w:pPr>
              <w:bidi w:val="0"/>
              <w:snapToGrid w:val="0"/>
              <w:jc w:val="both"/>
              <w:rPr>
                <w:b/>
                <w:bCs/>
                <w:color w:val="000000"/>
                <w:sz w:val="18"/>
                <w:szCs w:val="18"/>
              </w:rPr>
            </w:pPr>
          </w:p>
        </w:tc>
        <w:tc>
          <w:tcPr>
            <w:tcW w:w="951" w:type="pct"/>
            <w:gridSpan w:val="2"/>
            <w:tcBorders>
              <w:top w:val="single" w:sz="4" w:space="0" w:color="auto"/>
              <w:left w:val="nil"/>
              <w:bottom w:val="single" w:sz="4" w:space="0" w:color="auto"/>
              <w:right w:val="single" w:sz="4" w:space="0" w:color="auto"/>
            </w:tcBorders>
            <w:shd w:val="clear" w:color="000000" w:fill="C4D79B"/>
            <w:noWrap/>
            <w:vAlign w:val="center"/>
            <w:hideMark/>
          </w:tcPr>
          <w:p w:rsidR="00870AA0" w:rsidRPr="00166A00" w:rsidRDefault="00870AA0" w:rsidP="00331E80">
            <w:pPr>
              <w:bidi w:val="0"/>
              <w:snapToGrid w:val="0"/>
              <w:jc w:val="both"/>
              <w:rPr>
                <w:b/>
                <w:bCs/>
                <w:color w:val="000000"/>
                <w:sz w:val="18"/>
                <w:szCs w:val="18"/>
              </w:rPr>
            </w:pPr>
            <w:r w:rsidRPr="00166A00">
              <w:rPr>
                <w:b/>
                <w:bCs/>
                <w:color w:val="000000"/>
                <w:sz w:val="18"/>
                <w:szCs w:val="18"/>
              </w:rPr>
              <w:t>Normal (n=104)</w:t>
            </w:r>
          </w:p>
        </w:tc>
        <w:tc>
          <w:tcPr>
            <w:tcW w:w="1030" w:type="pct"/>
            <w:gridSpan w:val="2"/>
            <w:tcBorders>
              <w:top w:val="single" w:sz="4" w:space="0" w:color="auto"/>
              <w:left w:val="nil"/>
              <w:bottom w:val="single" w:sz="4" w:space="0" w:color="auto"/>
              <w:right w:val="single" w:sz="4" w:space="0" w:color="auto"/>
            </w:tcBorders>
            <w:shd w:val="clear" w:color="000000" w:fill="C4D79B"/>
            <w:noWrap/>
            <w:vAlign w:val="center"/>
            <w:hideMark/>
          </w:tcPr>
          <w:p w:rsidR="00870AA0" w:rsidRPr="00166A00" w:rsidRDefault="00870AA0" w:rsidP="00331E80">
            <w:pPr>
              <w:bidi w:val="0"/>
              <w:snapToGrid w:val="0"/>
              <w:jc w:val="both"/>
              <w:rPr>
                <w:b/>
                <w:bCs/>
                <w:color w:val="000000"/>
                <w:sz w:val="18"/>
                <w:szCs w:val="18"/>
              </w:rPr>
            </w:pPr>
            <w:r w:rsidRPr="00166A00">
              <w:rPr>
                <w:b/>
                <w:bCs/>
                <w:color w:val="000000"/>
                <w:sz w:val="18"/>
                <w:szCs w:val="18"/>
              </w:rPr>
              <w:t>Abnormal (n=65)</w:t>
            </w:r>
          </w:p>
        </w:tc>
        <w:tc>
          <w:tcPr>
            <w:tcW w:w="392" w:type="pct"/>
            <w:vMerge w:val="restart"/>
            <w:tcBorders>
              <w:top w:val="nil"/>
              <w:left w:val="single" w:sz="4" w:space="0" w:color="auto"/>
              <w:bottom w:val="single" w:sz="4" w:space="0" w:color="auto"/>
              <w:right w:val="single" w:sz="4" w:space="0" w:color="auto"/>
            </w:tcBorders>
            <w:shd w:val="clear" w:color="000000" w:fill="C4D79B"/>
            <w:noWrap/>
            <w:vAlign w:val="center"/>
            <w:hideMark/>
          </w:tcPr>
          <w:p w:rsidR="00870AA0" w:rsidRPr="00166A00" w:rsidRDefault="00870AA0" w:rsidP="00331E80">
            <w:pPr>
              <w:bidi w:val="0"/>
              <w:snapToGrid w:val="0"/>
              <w:jc w:val="both"/>
              <w:rPr>
                <w:b/>
                <w:bCs/>
                <w:color w:val="000000"/>
                <w:sz w:val="18"/>
                <w:szCs w:val="18"/>
              </w:rPr>
            </w:pPr>
            <w:r w:rsidRPr="00166A00">
              <w:rPr>
                <w:b/>
                <w:bCs/>
                <w:color w:val="000000"/>
                <w:sz w:val="18"/>
                <w:szCs w:val="18"/>
              </w:rPr>
              <w:t>x2</w:t>
            </w:r>
          </w:p>
        </w:tc>
        <w:tc>
          <w:tcPr>
            <w:tcW w:w="521" w:type="pct"/>
            <w:vMerge w:val="restart"/>
            <w:tcBorders>
              <w:top w:val="nil"/>
              <w:left w:val="single" w:sz="4" w:space="0" w:color="auto"/>
              <w:bottom w:val="single" w:sz="4" w:space="0" w:color="auto"/>
              <w:right w:val="single" w:sz="4" w:space="0" w:color="auto"/>
            </w:tcBorders>
            <w:shd w:val="clear" w:color="000000" w:fill="C4D79B"/>
            <w:noWrap/>
            <w:vAlign w:val="center"/>
            <w:hideMark/>
          </w:tcPr>
          <w:p w:rsidR="00870AA0" w:rsidRPr="00166A00" w:rsidRDefault="00870AA0" w:rsidP="00331E80">
            <w:pPr>
              <w:bidi w:val="0"/>
              <w:snapToGrid w:val="0"/>
              <w:jc w:val="both"/>
              <w:rPr>
                <w:b/>
                <w:bCs/>
                <w:color w:val="000000"/>
                <w:sz w:val="18"/>
                <w:szCs w:val="18"/>
              </w:rPr>
            </w:pPr>
            <w:r w:rsidRPr="00166A00">
              <w:rPr>
                <w:b/>
                <w:bCs/>
                <w:color w:val="000000"/>
                <w:sz w:val="18"/>
                <w:szCs w:val="18"/>
              </w:rPr>
              <w:t>p-value</w:t>
            </w:r>
          </w:p>
        </w:tc>
      </w:tr>
      <w:tr w:rsidR="00801C75" w:rsidRPr="00166A00" w:rsidTr="00801C75">
        <w:trPr>
          <w:jc w:val="center"/>
        </w:trPr>
        <w:tc>
          <w:tcPr>
            <w:tcW w:w="2106" w:type="pct"/>
            <w:gridSpan w:val="2"/>
            <w:vMerge/>
            <w:tcBorders>
              <w:top w:val="single" w:sz="4" w:space="0" w:color="auto"/>
              <w:left w:val="single" w:sz="4" w:space="0" w:color="auto"/>
              <w:bottom w:val="single" w:sz="4" w:space="0" w:color="auto"/>
              <w:right w:val="single" w:sz="4" w:space="0" w:color="auto"/>
            </w:tcBorders>
            <w:vAlign w:val="center"/>
            <w:hideMark/>
          </w:tcPr>
          <w:p w:rsidR="00870AA0" w:rsidRPr="00166A00" w:rsidRDefault="00870AA0" w:rsidP="00331E80">
            <w:pPr>
              <w:bidi w:val="0"/>
              <w:snapToGrid w:val="0"/>
              <w:jc w:val="both"/>
              <w:rPr>
                <w:b/>
                <w:bCs/>
                <w:color w:val="000000"/>
                <w:sz w:val="18"/>
                <w:szCs w:val="18"/>
              </w:rPr>
            </w:pPr>
          </w:p>
        </w:tc>
        <w:tc>
          <w:tcPr>
            <w:tcW w:w="377" w:type="pct"/>
            <w:tcBorders>
              <w:top w:val="nil"/>
              <w:left w:val="nil"/>
              <w:bottom w:val="single" w:sz="4" w:space="0" w:color="auto"/>
              <w:right w:val="single" w:sz="4" w:space="0" w:color="auto"/>
            </w:tcBorders>
            <w:shd w:val="clear" w:color="000000" w:fill="C4D79B"/>
            <w:noWrap/>
            <w:vAlign w:val="center"/>
            <w:hideMark/>
          </w:tcPr>
          <w:p w:rsidR="00870AA0" w:rsidRPr="00166A00" w:rsidRDefault="00870AA0" w:rsidP="00331E80">
            <w:pPr>
              <w:bidi w:val="0"/>
              <w:snapToGrid w:val="0"/>
              <w:jc w:val="both"/>
              <w:rPr>
                <w:b/>
                <w:bCs/>
                <w:color w:val="000000"/>
                <w:sz w:val="18"/>
                <w:szCs w:val="18"/>
              </w:rPr>
            </w:pPr>
            <w:r w:rsidRPr="00166A00">
              <w:rPr>
                <w:b/>
                <w:bCs/>
                <w:color w:val="000000"/>
                <w:sz w:val="18"/>
                <w:szCs w:val="18"/>
              </w:rPr>
              <w:t>No.</w:t>
            </w:r>
          </w:p>
        </w:tc>
        <w:tc>
          <w:tcPr>
            <w:tcW w:w="574" w:type="pct"/>
            <w:tcBorders>
              <w:top w:val="nil"/>
              <w:left w:val="nil"/>
              <w:bottom w:val="single" w:sz="4" w:space="0" w:color="auto"/>
              <w:right w:val="single" w:sz="4" w:space="0" w:color="auto"/>
            </w:tcBorders>
            <w:shd w:val="clear" w:color="000000" w:fill="C4D79B"/>
            <w:noWrap/>
            <w:vAlign w:val="center"/>
            <w:hideMark/>
          </w:tcPr>
          <w:p w:rsidR="00870AA0" w:rsidRPr="00166A00" w:rsidRDefault="00870AA0" w:rsidP="00331E80">
            <w:pPr>
              <w:bidi w:val="0"/>
              <w:snapToGrid w:val="0"/>
              <w:jc w:val="both"/>
              <w:rPr>
                <w:b/>
                <w:bCs/>
                <w:color w:val="000000"/>
                <w:sz w:val="18"/>
                <w:szCs w:val="18"/>
              </w:rPr>
            </w:pPr>
            <w:r w:rsidRPr="00166A00">
              <w:rPr>
                <w:b/>
                <w:bCs/>
                <w:color w:val="000000"/>
                <w:sz w:val="18"/>
                <w:szCs w:val="18"/>
              </w:rPr>
              <w:t>%</w:t>
            </w:r>
          </w:p>
        </w:tc>
        <w:tc>
          <w:tcPr>
            <w:tcW w:w="405" w:type="pct"/>
            <w:tcBorders>
              <w:top w:val="nil"/>
              <w:left w:val="nil"/>
              <w:bottom w:val="single" w:sz="4" w:space="0" w:color="auto"/>
              <w:right w:val="single" w:sz="4" w:space="0" w:color="auto"/>
            </w:tcBorders>
            <w:shd w:val="clear" w:color="000000" w:fill="C4D79B"/>
            <w:noWrap/>
            <w:vAlign w:val="center"/>
            <w:hideMark/>
          </w:tcPr>
          <w:p w:rsidR="00870AA0" w:rsidRPr="00166A00" w:rsidRDefault="00870AA0" w:rsidP="00331E80">
            <w:pPr>
              <w:bidi w:val="0"/>
              <w:snapToGrid w:val="0"/>
              <w:jc w:val="both"/>
              <w:rPr>
                <w:b/>
                <w:bCs/>
                <w:color w:val="000000"/>
                <w:sz w:val="18"/>
                <w:szCs w:val="18"/>
              </w:rPr>
            </w:pPr>
            <w:r w:rsidRPr="00166A00">
              <w:rPr>
                <w:b/>
                <w:bCs/>
                <w:color w:val="000000"/>
                <w:sz w:val="18"/>
                <w:szCs w:val="18"/>
              </w:rPr>
              <w:t>No.</w:t>
            </w:r>
          </w:p>
        </w:tc>
        <w:tc>
          <w:tcPr>
            <w:tcW w:w="625" w:type="pct"/>
            <w:tcBorders>
              <w:top w:val="nil"/>
              <w:left w:val="nil"/>
              <w:bottom w:val="single" w:sz="4" w:space="0" w:color="auto"/>
              <w:right w:val="single" w:sz="4" w:space="0" w:color="auto"/>
            </w:tcBorders>
            <w:shd w:val="clear" w:color="000000" w:fill="C4D79B"/>
            <w:noWrap/>
            <w:vAlign w:val="center"/>
            <w:hideMark/>
          </w:tcPr>
          <w:p w:rsidR="00870AA0" w:rsidRPr="00166A00" w:rsidRDefault="00870AA0" w:rsidP="00331E80">
            <w:pPr>
              <w:bidi w:val="0"/>
              <w:snapToGrid w:val="0"/>
              <w:jc w:val="both"/>
              <w:rPr>
                <w:b/>
                <w:bCs/>
                <w:color w:val="000000"/>
                <w:sz w:val="18"/>
                <w:szCs w:val="18"/>
              </w:rPr>
            </w:pPr>
            <w:r w:rsidRPr="00166A00">
              <w:rPr>
                <w:b/>
                <w:bCs/>
                <w:color w:val="000000"/>
                <w:sz w:val="18"/>
                <w:szCs w:val="18"/>
              </w:rPr>
              <w:t>%</w:t>
            </w:r>
          </w:p>
        </w:tc>
        <w:tc>
          <w:tcPr>
            <w:tcW w:w="392" w:type="pct"/>
            <w:vMerge/>
            <w:tcBorders>
              <w:top w:val="nil"/>
              <w:left w:val="single" w:sz="4" w:space="0" w:color="auto"/>
              <w:bottom w:val="single" w:sz="4" w:space="0" w:color="auto"/>
              <w:right w:val="single" w:sz="4" w:space="0" w:color="auto"/>
            </w:tcBorders>
            <w:vAlign w:val="center"/>
            <w:hideMark/>
          </w:tcPr>
          <w:p w:rsidR="00870AA0" w:rsidRPr="00166A00" w:rsidRDefault="00870AA0" w:rsidP="00331E80">
            <w:pPr>
              <w:bidi w:val="0"/>
              <w:snapToGrid w:val="0"/>
              <w:jc w:val="both"/>
              <w:rPr>
                <w:b/>
                <w:bCs/>
                <w:color w:val="000000"/>
                <w:sz w:val="18"/>
                <w:szCs w:val="18"/>
              </w:rPr>
            </w:pPr>
          </w:p>
        </w:tc>
        <w:tc>
          <w:tcPr>
            <w:tcW w:w="521" w:type="pct"/>
            <w:vMerge/>
            <w:tcBorders>
              <w:top w:val="nil"/>
              <w:left w:val="single" w:sz="4" w:space="0" w:color="auto"/>
              <w:bottom w:val="single" w:sz="4" w:space="0" w:color="auto"/>
              <w:right w:val="single" w:sz="4" w:space="0" w:color="auto"/>
            </w:tcBorders>
            <w:vAlign w:val="center"/>
            <w:hideMark/>
          </w:tcPr>
          <w:p w:rsidR="00870AA0" w:rsidRPr="00166A00" w:rsidRDefault="00870AA0" w:rsidP="00331E80">
            <w:pPr>
              <w:bidi w:val="0"/>
              <w:snapToGrid w:val="0"/>
              <w:jc w:val="both"/>
              <w:rPr>
                <w:b/>
                <w:bCs/>
                <w:color w:val="000000"/>
                <w:sz w:val="18"/>
                <w:szCs w:val="18"/>
              </w:rPr>
            </w:pPr>
          </w:p>
        </w:tc>
      </w:tr>
      <w:tr w:rsidR="00801C75" w:rsidRPr="00166A00" w:rsidTr="00801C75">
        <w:trPr>
          <w:jc w:val="center"/>
        </w:trPr>
        <w:tc>
          <w:tcPr>
            <w:tcW w:w="106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HCV</w:t>
            </w: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No</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100</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96.2%</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63</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96.9%</w:t>
            </w:r>
          </w:p>
        </w:tc>
        <w:tc>
          <w:tcPr>
            <w:tcW w:w="3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0.069</w:t>
            </w:r>
          </w:p>
        </w:tc>
        <w:tc>
          <w:tcPr>
            <w:tcW w:w="52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0.793</w:t>
            </w:r>
          </w:p>
        </w:tc>
      </w:tr>
      <w:tr w:rsidR="00801C75" w:rsidRPr="00166A00" w:rsidTr="00801C75">
        <w:trPr>
          <w:jc w:val="center"/>
        </w:trPr>
        <w:tc>
          <w:tcPr>
            <w:tcW w:w="1063"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Yes</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4</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3.8%</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3.1%</w:t>
            </w:r>
          </w:p>
        </w:tc>
        <w:tc>
          <w:tcPr>
            <w:tcW w:w="392"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52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r>
      <w:tr w:rsidR="00801C75" w:rsidRPr="00166A00" w:rsidTr="00801C75">
        <w:trPr>
          <w:jc w:val="center"/>
        </w:trPr>
        <w:tc>
          <w:tcPr>
            <w:tcW w:w="106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Renal disease</w:t>
            </w: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No</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103</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99.0%</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64</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98.5%</w:t>
            </w:r>
          </w:p>
        </w:tc>
        <w:tc>
          <w:tcPr>
            <w:tcW w:w="3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0.114</w:t>
            </w:r>
          </w:p>
        </w:tc>
        <w:tc>
          <w:tcPr>
            <w:tcW w:w="52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0.736</w:t>
            </w:r>
          </w:p>
        </w:tc>
      </w:tr>
      <w:tr w:rsidR="00801C75" w:rsidRPr="00166A00" w:rsidTr="00801C75">
        <w:trPr>
          <w:jc w:val="center"/>
        </w:trPr>
        <w:tc>
          <w:tcPr>
            <w:tcW w:w="1063"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Yes</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1.0%</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1.5%</w:t>
            </w:r>
          </w:p>
        </w:tc>
        <w:tc>
          <w:tcPr>
            <w:tcW w:w="392"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52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r>
      <w:tr w:rsidR="00801C75" w:rsidRPr="00166A00" w:rsidTr="00801C75">
        <w:trPr>
          <w:jc w:val="center"/>
        </w:trPr>
        <w:tc>
          <w:tcPr>
            <w:tcW w:w="106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Neoadj.</w:t>
            </w: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No</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27</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26.0%</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10</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15.4%</w:t>
            </w:r>
          </w:p>
        </w:tc>
        <w:tc>
          <w:tcPr>
            <w:tcW w:w="3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1.989</w:t>
            </w:r>
          </w:p>
        </w:tc>
        <w:tc>
          <w:tcPr>
            <w:tcW w:w="52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0.158</w:t>
            </w:r>
          </w:p>
        </w:tc>
      </w:tr>
      <w:tr w:rsidR="00801C75" w:rsidRPr="00166A00" w:rsidTr="00801C75">
        <w:trPr>
          <w:jc w:val="center"/>
        </w:trPr>
        <w:tc>
          <w:tcPr>
            <w:tcW w:w="1063"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Done</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20</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19.2%</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15</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23.1%</w:t>
            </w:r>
          </w:p>
        </w:tc>
        <w:tc>
          <w:tcPr>
            <w:tcW w:w="392"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52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r>
      <w:tr w:rsidR="00801C75" w:rsidRPr="00166A00" w:rsidTr="00801C75">
        <w:trPr>
          <w:jc w:val="center"/>
        </w:trPr>
        <w:tc>
          <w:tcPr>
            <w:tcW w:w="106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Type of surgery</w:t>
            </w: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APR</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16</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15.4%</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9</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13.8%</w:t>
            </w:r>
          </w:p>
        </w:tc>
        <w:tc>
          <w:tcPr>
            <w:tcW w:w="3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2.596</w:t>
            </w:r>
          </w:p>
        </w:tc>
        <w:tc>
          <w:tcPr>
            <w:tcW w:w="52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0.627</w:t>
            </w:r>
          </w:p>
        </w:tc>
      </w:tr>
      <w:tr w:rsidR="00801C75" w:rsidRPr="00166A00" w:rsidTr="00801C75">
        <w:trPr>
          <w:jc w:val="center"/>
        </w:trPr>
        <w:tc>
          <w:tcPr>
            <w:tcW w:w="1063"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LAR</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15</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14.4%</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12</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18.5%</w:t>
            </w:r>
          </w:p>
        </w:tc>
        <w:tc>
          <w:tcPr>
            <w:tcW w:w="392"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52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r>
      <w:tr w:rsidR="00801C75" w:rsidRPr="00166A00" w:rsidTr="00801C75">
        <w:trPr>
          <w:jc w:val="center"/>
        </w:trPr>
        <w:tc>
          <w:tcPr>
            <w:tcW w:w="1063"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Rt hemicolectomy</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24</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23.1%</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10</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15.4%</w:t>
            </w:r>
          </w:p>
        </w:tc>
        <w:tc>
          <w:tcPr>
            <w:tcW w:w="392"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52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r>
      <w:tr w:rsidR="00801C75" w:rsidRPr="00166A00" w:rsidTr="00801C75">
        <w:trPr>
          <w:jc w:val="center"/>
        </w:trPr>
        <w:tc>
          <w:tcPr>
            <w:tcW w:w="1063"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Lt Hemicolectomy</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19</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18.3%</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9</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13.8%</w:t>
            </w:r>
          </w:p>
        </w:tc>
        <w:tc>
          <w:tcPr>
            <w:tcW w:w="392"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52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r>
      <w:tr w:rsidR="00801C75" w:rsidRPr="00166A00" w:rsidTr="00801C75">
        <w:trPr>
          <w:jc w:val="center"/>
        </w:trPr>
        <w:tc>
          <w:tcPr>
            <w:tcW w:w="1063"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Total colectomy</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8</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7.7%</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3.1%</w:t>
            </w:r>
          </w:p>
        </w:tc>
        <w:tc>
          <w:tcPr>
            <w:tcW w:w="392"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52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r>
      <w:tr w:rsidR="00801C75" w:rsidRPr="00166A00" w:rsidTr="00801C75">
        <w:trPr>
          <w:jc w:val="center"/>
        </w:trPr>
        <w:tc>
          <w:tcPr>
            <w:tcW w:w="106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Side</w:t>
            </w: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Right colon</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30</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28.8%</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10</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15.4%</w:t>
            </w:r>
          </w:p>
        </w:tc>
        <w:tc>
          <w:tcPr>
            <w:tcW w:w="3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2.075</w:t>
            </w:r>
          </w:p>
        </w:tc>
        <w:tc>
          <w:tcPr>
            <w:tcW w:w="52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0.15</w:t>
            </w:r>
          </w:p>
        </w:tc>
      </w:tr>
      <w:tr w:rsidR="00801C75" w:rsidRPr="00166A00" w:rsidTr="00801C75">
        <w:trPr>
          <w:jc w:val="center"/>
        </w:trPr>
        <w:tc>
          <w:tcPr>
            <w:tcW w:w="1063"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Left colon</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52</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50.0%</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32</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49.2%</w:t>
            </w:r>
          </w:p>
        </w:tc>
        <w:tc>
          <w:tcPr>
            <w:tcW w:w="392"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52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r>
      <w:tr w:rsidR="00801C75" w:rsidRPr="00166A00" w:rsidTr="00801C75">
        <w:trPr>
          <w:jc w:val="center"/>
        </w:trPr>
        <w:tc>
          <w:tcPr>
            <w:tcW w:w="106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Inadequate</w:t>
            </w: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No</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52</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50.0%</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28</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43.1%</w:t>
            </w:r>
          </w:p>
        </w:tc>
        <w:tc>
          <w:tcPr>
            <w:tcW w:w="3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1.16</w:t>
            </w:r>
          </w:p>
        </w:tc>
        <w:tc>
          <w:tcPr>
            <w:tcW w:w="52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0.107</w:t>
            </w:r>
          </w:p>
        </w:tc>
      </w:tr>
      <w:tr w:rsidR="00801C75" w:rsidRPr="00166A00" w:rsidTr="00801C75">
        <w:trPr>
          <w:jc w:val="center"/>
        </w:trPr>
        <w:tc>
          <w:tcPr>
            <w:tcW w:w="1063"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Done</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29</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27.9%</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12</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18.5%</w:t>
            </w:r>
          </w:p>
        </w:tc>
        <w:tc>
          <w:tcPr>
            <w:tcW w:w="392"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52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r>
      <w:tr w:rsidR="00801C75" w:rsidRPr="00166A00" w:rsidTr="00801C75">
        <w:trPr>
          <w:jc w:val="center"/>
        </w:trPr>
        <w:tc>
          <w:tcPr>
            <w:tcW w:w="106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M</w:t>
            </w: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No</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82</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78.8%</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42</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64.6%</w:t>
            </w:r>
          </w:p>
        </w:tc>
        <w:tc>
          <w:tcPr>
            <w:tcW w:w="3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4.146</w:t>
            </w:r>
          </w:p>
        </w:tc>
        <w:tc>
          <w:tcPr>
            <w:tcW w:w="52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FF0000"/>
                <w:sz w:val="18"/>
                <w:szCs w:val="18"/>
              </w:rPr>
              <w:t>0.042*</w:t>
            </w:r>
          </w:p>
        </w:tc>
      </w:tr>
      <w:tr w:rsidR="00801C75" w:rsidRPr="00166A00" w:rsidTr="00801C75">
        <w:trPr>
          <w:jc w:val="center"/>
        </w:trPr>
        <w:tc>
          <w:tcPr>
            <w:tcW w:w="1063"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Lung</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22</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21.2%</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23</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35.4%</w:t>
            </w:r>
          </w:p>
        </w:tc>
        <w:tc>
          <w:tcPr>
            <w:tcW w:w="392"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52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r>
      <w:tr w:rsidR="00801C75" w:rsidRPr="00166A00" w:rsidTr="00801C75">
        <w:trPr>
          <w:jc w:val="center"/>
        </w:trPr>
        <w:tc>
          <w:tcPr>
            <w:tcW w:w="106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Stage</w:t>
            </w: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NA</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6</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5.8%</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4</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6.2%</w:t>
            </w:r>
          </w:p>
        </w:tc>
        <w:tc>
          <w:tcPr>
            <w:tcW w:w="3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0.863</w:t>
            </w:r>
          </w:p>
        </w:tc>
        <w:tc>
          <w:tcPr>
            <w:tcW w:w="52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0.834</w:t>
            </w:r>
          </w:p>
        </w:tc>
      </w:tr>
      <w:tr w:rsidR="00801C75" w:rsidRPr="00166A00" w:rsidTr="00801C75">
        <w:trPr>
          <w:jc w:val="center"/>
        </w:trPr>
        <w:tc>
          <w:tcPr>
            <w:tcW w:w="1063"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I</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5</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4.8%</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3</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4.6%</w:t>
            </w:r>
          </w:p>
        </w:tc>
        <w:tc>
          <w:tcPr>
            <w:tcW w:w="392"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52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r>
      <w:tr w:rsidR="00801C75" w:rsidRPr="00166A00" w:rsidTr="00801C75">
        <w:trPr>
          <w:jc w:val="center"/>
        </w:trPr>
        <w:tc>
          <w:tcPr>
            <w:tcW w:w="1063"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II</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30</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28.8%</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12</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18.5%</w:t>
            </w:r>
          </w:p>
        </w:tc>
        <w:tc>
          <w:tcPr>
            <w:tcW w:w="392"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52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r>
      <w:tr w:rsidR="00801C75" w:rsidRPr="00166A00" w:rsidTr="00801C75">
        <w:trPr>
          <w:jc w:val="center"/>
        </w:trPr>
        <w:tc>
          <w:tcPr>
            <w:tcW w:w="1063"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III</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41</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39.4%</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23</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35.4%</w:t>
            </w:r>
          </w:p>
        </w:tc>
        <w:tc>
          <w:tcPr>
            <w:tcW w:w="392"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52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r>
      <w:tr w:rsidR="00801C75" w:rsidRPr="00166A00" w:rsidTr="00801C75">
        <w:trPr>
          <w:jc w:val="center"/>
        </w:trPr>
        <w:tc>
          <w:tcPr>
            <w:tcW w:w="106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Grade</w:t>
            </w: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NA</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0</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0.0%</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3</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4.6%</w:t>
            </w:r>
          </w:p>
        </w:tc>
        <w:tc>
          <w:tcPr>
            <w:tcW w:w="3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3.715</w:t>
            </w:r>
          </w:p>
        </w:tc>
        <w:tc>
          <w:tcPr>
            <w:tcW w:w="52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0.053</w:t>
            </w:r>
          </w:p>
        </w:tc>
      </w:tr>
      <w:tr w:rsidR="00801C75" w:rsidRPr="00166A00" w:rsidTr="00801C75">
        <w:trPr>
          <w:jc w:val="center"/>
        </w:trPr>
        <w:tc>
          <w:tcPr>
            <w:tcW w:w="1063"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I</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1.0%</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1.5%</w:t>
            </w:r>
          </w:p>
        </w:tc>
        <w:tc>
          <w:tcPr>
            <w:tcW w:w="392"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52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r>
      <w:tr w:rsidR="00801C75" w:rsidRPr="00166A00" w:rsidTr="00801C75">
        <w:trPr>
          <w:jc w:val="center"/>
        </w:trPr>
        <w:tc>
          <w:tcPr>
            <w:tcW w:w="1063"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II</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77</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74.0%</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33</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50.8%</w:t>
            </w:r>
          </w:p>
        </w:tc>
        <w:tc>
          <w:tcPr>
            <w:tcW w:w="392"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52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r>
      <w:tr w:rsidR="00801C75" w:rsidRPr="00166A00" w:rsidTr="00801C75">
        <w:trPr>
          <w:jc w:val="center"/>
        </w:trPr>
        <w:tc>
          <w:tcPr>
            <w:tcW w:w="1063"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III</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4</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3.8%</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5</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7.7%</w:t>
            </w:r>
          </w:p>
        </w:tc>
        <w:tc>
          <w:tcPr>
            <w:tcW w:w="392"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52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r>
      <w:tr w:rsidR="00801C75" w:rsidRPr="00166A00" w:rsidTr="00801C75">
        <w:trPr>
          <w:jc w:val="center"/>
        </w:trPr>
        <w:tc>
          <w:tcPr>
            <w:tcW w:w="106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PNI</w:t>
            </w: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No</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64</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61.5%</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31</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47.7%</w:t>
            </w:r>
          </w:p>
        </w:tc>
        <w:tc>
          <w:tcPr>
            <w:tcW w:w="3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0.112</w:t>
            </w:r>
          </w:p>
        </w:tc>
        <w:tc>
          <w:tcPr>
            <w:tcW w:w="52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0.738</w:t>
            </w:r>
          </w:p>
        </w:tc>
      </w:tr>
      <w:tr w:rsidR="00801C75" w:rsidRPr="00166A00" w:rsidTr="00801C75">
        <w:trPr>
          <w:jc w:val="center"/>
        </w:trPr>
        <w:tc>
          <w:tcPr>
            <w:tcW w:w="1063"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Done</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14</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13.5%</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8</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12.3%</w:t>
            </w:r>
          </w:p>
        </w:tc>
        <w:tc>
          <w:tcPr>
            <w:tcW w:w="392"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52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r>
      <w:tr w:rsidR="00801C75" w:rsidRPr="00166A00" w:rsidTr="00801C75">
        <w:trPr>
          <w:jc w:val="center"/>
        </w:trPr>
        <w:tc>
          <w:tcPr>
            <w:tcW w:w="106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PVI</w:t>
            </w: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No</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74</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71.2%</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34</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52.3%</w:t>
            </w:r>
          </w:p>
        </w:tc>
        <w:tc>
          <w:tcPr>
            <w:tcW w:w="3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2.167</w:t>
            </w:r>
          </w:p>
        </w:tc>
        <w:tc>
          <w:tcPr>
            <w:tcW w:w="52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0.141</w:t>
            </w:r>
          </w:p>
        </w:tc>
      </w:tr>
      <w:tr w:rsidR="00801C75" w:rsidRPr="00166A00" w:rsidTr="00801C75">
        <w:trPr>
          <w:jc w:val="center"/>
        </w:trPr>
        <w:tc>
          <w:tcPr>
            <w:tcW w:w="1063"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Done</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4</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3.8%</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5</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7.7%</w:t>
            </w:r>
          </w:p>
        </w:tc>
        <w:tc>
          <w:tcPr>
            <w:tcW w:w="392"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52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r>
      <w:tr w:rsidR="00801C75" w:rsidRPr="00166A00" w:rsidTr="00801C75">
        <w:trPr>
          <w:jc w:val="center"/>
        </w:trPr>
        <w:tc>
          <w:tcPr>
            <w:tcW w:w="106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Mucinous activity</w:t>
            </w: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No</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54</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51.9%</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30</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46.2%</w:t>
            </w:r>
          </w:p>
        </w:tc>
        <w:tc>
          <w:tcPr>
            <w:tcW w:w="3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1.049</w:t>
            </w:r>
          </w:p>
        </w:tc>
        <w:tc>
          <w:tcPr>
            <w:tcW w:w="52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0.306</w:t>
            </w:r>
          </w:p>
        </w:tc>
      </w:tr>
      <w:tr w:rsidR="00801C75" w:rsidRPr="00166A00" w:rsidTr="00801C75">
        <w:trPr>
          <w:jc w:val="center"/>
        </w:trPr>
        <w:tc>
          <w:tcPr>
            <w:tcW w:w="1063"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Done</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28</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26.9%</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10</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15.4%</w:t>
            </w:r>
          </w:p>
        </w:tc>
        <w:tc>
          <w:tcPr>
            <w:tcW w:w="392"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52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r>
      <w:tr w:rsidR="00801C75" w:rsidRPr="00166A00" w:rsidTr="00801C75">
        <w:trPr>
          <w:jc w:val="center"/>
        </w:trPr>
        <w:tc>
          <w:tcPr>
            <w:tcW w:w="106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Peritoneal disease</w:t>
            </w: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No</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54</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51.9%</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24</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36.9%</w:t>
            </w:r>
          </w:p>
        </w:tc>
        <w:tc>
          <w:tcPr>
            <w:tcW w:w="3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1.144</w:t>
            </w:r>
          </w:p>
        </w:tc>
        <w:tc>
          <w:tcPr>
            <w:tcW w:w="52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0.285</w:t>
            </w:r>
          </w:p>
        </w:tc>
      </w:tr>
      <w:tr w:rsidR="00801C75" w:rsidRPr="00166A00" w:rsidTr="00801C75">
        <w:trPr>
          <w:jc w:val="center"/>
        </w:trPr>
        <w:tc>
          <w:tcPr>
            <w:tcW w:w="1063"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Done</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20</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19.2%</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14</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21.5%</w:t>
            </w:r>
          </w:p>
        </w:tc>
        <w:tc>
          <w:tcPr>
            <w:tcW w:w="392"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52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r>
      <w:tr w:rsidR="00801C75" w:rsidRPr="00166A00" w:rsidTr="00801C75">
        <w:trPr>
          <w:jc w:val="center"/>
        </w:trPr>
        <w:tc>
          <w:tcPr>
            <w:tcW w:w="106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Underlying disease</w:t>
            </w: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No</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45</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43.3%</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27</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41.5%</w:t>
            </w:r>
          </w:p>
        </w:tc>
        <w:tc>
          <w:tcPr>
            <w:tcW w:w="3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2.458</w:t>
            </w:r>
          </w:p>
        </w:tc>
        <w:tc>
          <w:tcPr>
            <w:tcW w:w="52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0.117</w:t>
            </w:r>
          </w:p>
        </w:tc>
      </w:tr>
      <w:tr w:rsidR="00801C75" w:rsidRPr="00166A00" w:rsidTr="00801C75">
        <w:trPr>
          <w:jc w:val="center"/>
        </w:trPr>
        <w:tc>
          <w:tcPr>
            <w:tcW w:w="1063"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Done</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25</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24.0%</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7</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10.8%</w:t>
            </w:r>
          </w:p>
        </w:tc>
        <w:tc>
          <w:tcPr>
            <w:tcW w:w="392"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52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r>
      <w:tr w:rsidR="00801C75" w:rsidRPr="00166A00" w:rsidTr="00801C75">
        <w:trPr>
          <w:jc w:val="center"/>
        </w:trPr>
        <w:tc>
          <w:tcPr>
            <w:tcW w:w="106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Adjuvant Type</w:t>
            </w: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1.00</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63</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60.6%</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30</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46.2%</w:t>
            </w:r>
          </w:p>
        </w:tc>
        <w:tc>
          <w:tcPr>
            <w:tcW w:w="3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2.612</w:t>
            </w:r>
          </w:p>
        </w:tc>
        <w:tc>
          <w:tcPr>
            <w:tcW w:w="52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0.625</w:t>
            </w:r>
          </w:p>
        </w:tc>
      </w:tr>
      <w:tr w:rsidR="00801C75" w:rsidRPr="00166A00" w:rsidTr="00801C75">
        <w:trPr>
          <w:jc w:val="center"/>
        </w:trPr>
        <w:tc>
          <w:tcPr>
            <w:tcW w:w="1063"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2.00</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9</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8.7%</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3</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4.6%</w:t>
            </w:r>
          </w:p>
        </w:tc>
        <w:tc>
          <w:tcPr>
            <w:tcW w:w="392"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52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r>
      <w:tr w:rsidR="00801C75" w:rsidRPr="00166A00" w:rsidTr="00801C75">
        <w:trPr>
          <w:jc w:val="center"/>
        </w:trPr>
        <w:tc>
          <w:tcPr>
            <w:tcW w:w="1063"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3.00</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7</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6.7%</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5</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7.7%</w:t>
            </w:r>
          </w:p>
        </w:tc>
        <w:tc>
          <w:tcPr>
            <w:tcW w:w="392"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52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r>
      <w:tr w:rsidR="00801C75" w:rsidRPr="00166A00" w:rsidTr="00801C75">
        <w:trPr>
          <w:jc w:val="center"/>
        </w:trPr>
        <w:tc>
          <w:tcPr>
            <w:tcW w:w="1063"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4.00</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1.0%</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1.5%</w:t>
            </w:r>
          </w:p>
        </w:tc>
        <w:tc>
          <w:tcPr>
            <w:tcW w:w="392"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52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r>
      <w:tr w:rsidR="00801C75" w:rsidRPr="00166A00" w:rsidTr="00801C75">
        <w:trPr>
          <w:jc w:val="center"/>
        </w:trPr>
        <w:tc>
          <w:tcPr>
            <w:tcW w:w="1063"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5.00</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1.9%</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3</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4.6%</w:t>
            </w:r>
          </w:p>
        </w:tc>
        <w:tc>
          <w:tcPr>
            <w:tcW w:w="392"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52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r>
      <w:tr w:rsidR="00801C75" w:rsidRPr="00166A00" w:rsidTr="00801C75">
        <w:trPr>
          <w:jc w:val="center"/>
        </w:trPr>
        <w:tc>
          <w:tcPr>
            <w:tcW w:w="106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Recurrence</w:t>
            </w: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No</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57</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54.8%</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36</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55.4%</w:t>
            </w:r>
          </w:p>
        </w:tc>
        <w:tc>
          <w:tcPr>
            <w:tcW w:w="3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3.889</w:t>
            </w:r>
          </w:p>
        </w:tc>
        <w:tc>
          <w:tcPr>
            <w:tcW w:w="52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0.069</w:t>
            </w:r>
          </w:p>
        </w:tc>
      </w:tr>
      <w:tr w:rsidR="00801C75" w:rsidRPr="00166A00" w:rsidTr="00801C75">
        <w:trPr>
          <w:jc w:val="center"/>
        </w:trPr>
        <w:tc>
          <w:tcPr>
            <w:tcW w:w="1063"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1042"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Yes</w:t>
            </w:r>
          </w:p>
        </w:tc>
        <w:tc>
          <w:tcPr>
            <w:tcW w:w="377"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25</w:t>
            </w:r>
          </w:p>
        </w:tc>
        <w:tc>
          <w:tcPr>
            <w:tcW w:w="574"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24.0%</w:t>
            </w:r>
          </w:p>
        </w:tc>
        <w:tc>
          <w:tcPr>
            <w:tcW w:w="40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6</w:t>
            </w:r>
          </w:p>
        </w:tc>
        <w:tc>
          <w:tcPr>
            <w:tcW w:w="625" w:type="pct"/>
            <w:tcBorders>
              <w:top w:val="nil"/>
              <w:left w:val="nil"/>
              <w:bottom w:val="single" w:sz="4" w:space="0" w:color="auto"/>
              <w:right w:val="single" w:sz="4" w:space="0" w:color="auto"/>
            </w:tcBorders>
            <w:shd w:val="clear" w:color="auto" w:fill="auto"/>
            <w:noWrap/>
            <w:vAlign w:val="center"/>
            <w:hideMark/>
          </w:tcPr>
          <w:p w:rsidR="00D27318" w:rsidRPr="00166A00" w:rsidRDefault="00D27318" w:rsidP="00331E80">
            <w:pPr>
              <w:bidi w:val="0"/>
              <w:snapToGrid w:val="0"/>
              <w:jc w:val="both"/>
              <w:rPr>
                <w:color w:val="000000"/>
                <w:sz w:val="18"/>
                <w:szCs w:val="18"/>
              </w:rPr>
            </w:pPr>
            <w:r w:rsidRPr="00166A00">
              <w:rPr>
                <w:color w:val="000000"/>
                <w:sz w:val="18"/>
                <w:szCs w:val="18"/>
              </w:rPr>
              <w:t>9.2%</w:t>
            </w:r>
          </w:p>
        </w:tc>
        <w:tc>
          <w:tcPr>
            <w:tcW w:w="392"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c>
          <w:tcPr>
            <w:tcW w:w="521" w:type="pct"/>
            <w:vMerge/>
            <w:tcBorders>
              <w:top w:val="nil"/>
              <w:left w:val="single" w:sz="4" w:space="0" w:color="auto"/>
              <w:bottom w:val="single" w:sz="4" w:space="0" w:color="auto"/>
              <w:right w:val="single" w:sz="4" w:space="0" w:color="auto"/>
            </w:tcBorders>
            <w:vAlign w:val="center"/>
            <w:hideMark/>
          </w:tcPr>
          <w:p w:rsidR="00D27318" w:rsidRPr="00166A00" w:rsidRDefault="00D27318" w:rsidP="00331E80">
            <w:pPr>
              <w:bidi w:val="0"/>
              <w:snapToGrid w:val="0"/>
              <w:jc w:val="both"/>
              <w:rPr>
                <w:color w:val="000000"/>
                <w:sz w:val="18"/>
                <w:szCs w:val="18"/>
              </w:rPr>
            </w:pPr>
          </w:p>
        </w:tc>
      </w:tr>
    </w:tbl>
    <w:p w:rsidR="0094756F" w:rsidRPr="00801C75" w:rsidRDefault="0094756F" w:rsidP="00331E80">
      <w:pPr>
        <w:bidi w:val="0"/>
        <w:snapToGrid w:val="0"/>
        <w:ind w:firstLine="425"/>
        <w:jc w:val="both"/>
        <w:rPr>
          <w:sz w:val="20"/>
          <w:szCs w:val="20"/>
          <w:lang w:eastAsia="ar-SA"/>
        </w:rPr>
      </w:pPr>
    </w:p>
    <w:p w:rsidR="00D27318" w:rsidRPr="00801C75" w:rsidRDefault="00D27318" w:rsidP="00331E80">
      <w:pPr>
        <w:bidi w:val="0"/>
        <w:snapToGrid w:val="0"/>
        <w:ind w:firstLine="425"/>
        <w:jc w:val="both"/>
        <w:rPr>
          <w:sz w:val="20"/>
          <w:szCs w:val="20"/>
          <w:lang w:eastAsia="ar-SA"/>
        </w:rPr>
      </w:pPr>
      <w:r w:rsidRPr="00801C75">
        <w:rPr>
          <w:sz w:val="20"/>
          <w:szCs w:val="20"/>
          <w:lang w:eastAsia="ar-SA"/>
        </w:rPr>
        <w:t>This table shows non-statistically significant relationship between platelet and all patient's parameters unless extend of the disease at diagnosis (P-value &gt;</w:t>
      </w:r>
      <w:r w:rsidR="00F026DF" w:rsidRPr="00801C75">
        <w:rPr>
          <w:sz w:val="20"/>
          <w:szCs w:val="20"/>
          <w:lang w:eastAsia="ar-SA"/>
        </w:rPr>
        <w:t>.</w:t>
      </w:r>
      <w:r w:rsidRPr="00801C75">
        <w:rPr>
          <w:sz w:val="20"/>
          <w:szCs w:val="20"/>
          <w:lang w:eastAsia="ar-SA"/>
        </w:rPr>
        <w:t xml:space="preserve">042). </w:t>
      </w:r>
    </w:p>
    <w:p w:rsidR="0094756F" w:rsidRPr="00801C75" w:rsidRDefault="0094756F" w:rsidP="00331E80">
      <w:pPr>
        <w:bidi w:val="0"/>
        <w:snapToGrid w:val="0"/>
        <w:jc w:val="center"/>
        <w:rPr>
          <w:b/>
          <w:bCs/>
          <w:sz w:val="20"/>
          <w:szCs w:val="20"/>
          <w:shd w:val="clear" w:color="auto" w:fill="FFFFFF"/>
        </w:rPr>
      </w:pPr>
      <w:bookmarkStart w:id="32" w:name="_Toc7857988"/>
    </w:p>
    <w:p w:rsidR="00D27318" w:rsidRPr="00801C75" w:rsidRDefault="005830D0" w:rsidP="00331E80">
      <w:pPr>
        <w:bidi w:val="0"/>
        <w:snapToGrid w:val="0"/>
        <w:jc w:val="center"/>
        <w:rPr>
          <w:sz w:val="20"/>
          <w:szCs w:val="20"/>
        </w:rPr>
      </w:pPr>
      <w:r w:rsidRPr="00801C75">
        <w:rPr>
          <w:b/>
          <w:bCs/>
          <w:sz w:val="20"/>
          <w:szCs w:val="20"/>
          <w:shd w:val="clear" w:color="auto" w:fill="FFFFFF"/>
        </w:rPr>
        <w:t>Table (</w:t>
      </w:r>
      <w:r w:rsidR="0014198C" w:rsidRPr="00801C75">
        <w:rPr>
          <w:b/>
          <w:bCs/>
          <w:sz w:val="20"/>
          <w:szCs w:val="20"/>
          <w:shd w:val="clear" w:color="auto" w:fill="FFFFFF"/>
        </w:rPr>
        <w:fldChar w:fldCharType="begin"/>
      </w:r>
      <w:r w:rsidRPr="00801C75">
        <w:rPr>
          <w:b/>
          <w:bCs/>
          <w:sz w:val="20"/>
          <w:szCs w:val="20"/>
          <w:shd w:val="clear" w:color="auto" w:fill="FFFFFF"/>
        </w:rPr>
        <w:instrText xml:space="preserve"> SEQ Table \* ARABIC </w:instrText>
      </w:r>
      <w:r w:rsidR="0014198C" w:rsidRPr="00801C75">
        <w:rPr>
          <w:b/>
          <w:bCs/>
          <w:sz w:val="20"/>
          <w:szCs w:val="20"/>
          <w:shd w:val="clear" w:color="auto" w:fill="FFFFFF"/>
        </w:rPr>
        <w:fldChar w:fldCharType="separate"/>
      </w:r>
      <w:r w:rsidR="00D60619">
        <w:rPr>
          <w:b/>
          <w:bCs/>
          <w:noProof/>
          <w:sz w:val="20"/>
          <w:szCs w:val="20"/>
          <w:shd w:val="clear" w:color="auto" w:fill="FFFFFF"/>
        </w:rPr>
        <w:t>18</w:t>
      </w:r>
      <w:r w:rsidR="0014198C" w:rsidRPr="00801C75">
        <w:rPr>
          <w:b/>
          <w:bCs/>
          <w:sz w:val="20"/>
          <w:szCs w:val="20"/>
          <w:shd w:val="clear" w:color="auto" w:fill="FFFFFF"/>
        </w:rPr>
        <w:fldChar w:fldCharType="end"/>
      </w:r>
      <w:r w:rsidRPr="00801C75">
        <w:rPr>
          <w:b/>
          <w:bCs/>
          <w:sz w:val="20"/>
          <w:szCs w:val="20"/>
          <w:shd w:val="clear" w:color="auto" w:fill="FFFFFF"/>
        </w:rPr>
        <w:t>)</w:t>
      </w:r>
      <w:r w:rsidRPr="00801C75">
        <w:rPr>
          <w:sz w:val="20"/>
          <w:szCs w:val="20"/>
          <w:shd w:val="clear" w:color="auto" w:fill="FFFFFF"/>
        </w:rPr>
        <w:t>:</w:t>
      </w:r>
      <w:r w:rsidR="00D27318" w:rsidRPr="00801C75">
        <w:rPr>
          <w:sz w:val="20"/>
          <w:szCs w:val="20"/>
        </w:rPr>
        <w:t xml:space="preserve"> Logistic Multi-regression analysis of factors affecting NLR diagnosis.</w:t>
      </w:r>
      <w:bookmarkEnd w:id="32"/>
    </w:p>
    <w:tbl>
      <w:tblPr>
        <w:tblW w:w="5000" w:type="pct"/>
        <w:jc w:val="center"/>
        <w:tblCellMar>
          <w:left w:w="57" w:type="dxa"/>
          <w:right w:w="57" w:type="dxa"/>
        </w:tblCellMar>
        <w:tblLook w:val="04A0"/>
      </w:tblPr>
      <w:tblGrid>
        <w:gridCol w:w="3467"/>
        <w:gridCol w:w="1035"/>
        <w:gridCol w:w="1438"/>
        <w:gridCol w:w="1355"/>
        <w:gridCol w:w="1099"/>
        <w:gridCol w:w="1080"/>
      </w:tblGrid>
      <w:tr w:rsidR="00801C75" w:rsidRPr="00801C75" w:rsidTr="00801C75">
        <w:trPr>
          <w:jc w:val="center"/>
        </w:trPr>
        <w:tc>
          <w:tcPr>
            <w:tcW w:w="1830" w:type="pct"/>
            <w:tcBorders>
              <w:top w:val="single" w:sz="4" w:space="0" w:color="auto"/>
              <w:left w:val="single" w:sz="4" w:space="0" w:color="auto"/>
              <w:bottom w:val="single" w:sz="4" w:space="0" w:color="auto"/>
              <w:right w:val="single" w:sz="4" w:space="0" w:color="auto"/>
            </w:tcBorders>
            <w:shd w:val="clear" w:color="auto" w:fill="C4D79B"/>
            <w:noWrap/>
            <w:vAlign w:val="center"/>
            <w:hideMark/>
          </w:tcPr>
          <w:p w:rsidR="00D27318" w:rsidRPr="00801C75" w:rsidRDefault="00D27318" w:rsidP="00331E80">
            <w:pPr>
              <w:bidi w:val="0"/>
              <w:snapToGrid w:val="0"/>
              <w:jc w:val="both"/>
              <w:rPr>
                <w:b/>
                <w:bCs/>
                <w:color w:val="000000"/>
                <w:sz w:val="20"/>
                <w:szCs w:val="18"/>
              </w:rPr>
            </w:pPr>
            <w:r w:rsidRPr="00801C75">
              <w:rPr>
                <w:b/>
                <w:bCs/>
                <w:color w:val="000000"/>
                <w:sz w:val="20"/>
                <w:szCs w:val="18"/>
              </w:rPr>
              <w:t>NLR</w:t>
            </w:r>
          </w:p>
        </w:tc>
        <w:tc>
          <w:tcPr>
            <w:tcW w:w="546" w:type="pct"/>
            <w:tcBorders>
              <w:top w:val="single" w:sz="4" w:space="0" w:color="auto"/>
              <w:left w:val="nil"/>
              <w:bottom w:val="single" w:sz="4" w:space="0" w:color="auto"/>
              <w:right w:val="single" w:sz="4" w:space="0" w:color="auto"/>
            </w:tcBorders>
            <w:shd w:val="clear" w:color="auto" w:fill="C4D79B"/>
            <w:noWrap/>
            <w:vAlign w:val="center"/>
            <w:hideMark/>
          </w:tcPr>
          <w:p w:rsidR="00D27318" w:rsidRPr="00801C75" w:rsidRDefault="00D27318" w:rsidP="00331E80">
            <w:pPr>
              <w:bidi w:val="0"/>
              <w:snapToGrid w:val="0"/>
              <w:jc w:val="both"/>
              <w:rPr>
                <w:b/>
                <w:bCs/>
                <w:color w:val="000000"/>
                <w:sz w:val="20"/>
                <w:szCs w:val="18"/>
              </w:rPr>
            </w:pPr>
            <w:r w:rsidRPr="00801C75">
              <w:rPr>
                <w:b/>
                <w:bCs/>
                <w:color w:val="000000"/>
                <w:sz w:val="20"/>
                <w:szCs w:val="18"/>
              </w:rPr>
              <w:t>B</w:t>
            </w:r>
          </w:p>
        </w:tc>
        <w:tc>
          <w:tcPr>
            <w:tcW w:w="759" w:type="pct"/>
            <w:tcBorders>
              <w:top w:val="single" w:sz="4" w:space="0" w:color="auto"/>
              <w:left w:val="nil"/>
              <w:bottom w:val="single" w:sz="4" w:space="0" w:color="auto"/>
              <w:right w:val="single" w:sz="4" w:space="0" w:color="auto"/>
            </w:tcBorders>
            <w:shd w:val="clear" w:color="auto" w:fill="C4D79B"/>
            <w:noWrap/>
            <w:vAlign w:val="center"/>
            <w:hideMark/>
          </w:tcPr>
          <w:p w:rsidR="00D27318" w:rsidRPr="00801C75" w:rsidRDefault="00D27318" w:rsidP="00331E80">
            <w:pPr>
              <w:bidi w:val="0"/>
              <w:snapToGrid w:val="0"/>
              <w:jc w:val="both"/>
              <w:rPr>
                <w:b/>
                <w:bCs/>
                <w:color w:val="000000"/>
                <w:sz w:val="20"/>
                <w:szCs w:val="18"/>
              </w:rPr>
            </w:pPr>
            <w:r w:rsidRPr="00801C75">
              <w:rPr>
                <w:b/>
                <w:bCs/>
                <w:color w:val="000000"/>
                <w:sz w:val="20"/>
                <w:szCs w:val="18"/>
              </w:rPr>
              <w:t>Sig.</w:t>
            </w:r>
          </w:p>
        </w:tc>
        <w:tc>
          <w:tcPr>
            <w:tcW w:w="715" w:type="pct"/>
            <w:tcBorders>
              <w:top w:val="single" w:sz="4" w:space="0" w:color="auto"/>
              <w:left w:val="nil"/>
              <w:bottom w:val="single" w:sz="4" w:space="0" w:color="auto"/>
              <w:right w:val="single" w:sz="4" w:space="0" w:color="auto"/>
            </w:tcBorders>
            <w:shd w:val="clear" w:color="auto" w:fill="C4D79B"/>
            <w:noWrap/>
            <w:vAlign w:val="center"/>
            <w:hideMark/>
          </w:tcPr>
          <w:p w:rsidR="00D27318" w:rsidRPr="00801C75" w:rsidRDefault="00D27318" w:rsidP="00331E80">
            <w:pPr>
              <w:bidi w:val="0"/>
              <w:snapToGrid w:val="0"/>
              <w:jc w:val="both"/>
              <w:rPr>
                <w:b/>
                <w:bCs/>
                <w:color w:val="000000"/>
                <w:sz w:val="20"/>
                <w:szCs w:val="18"/>
              </w:rPr>
            </w:pPr>
            <w:r w:rsidRPr="00801C75">
              <w:rPr>
                <w:b/>
                <w:bCs/>
                <w:color w:val="000000"/>
                <w:sz w:val="20"/>
                <w:szCs w:val="18"/>
              </w:rPr>
              <w:t>Exp</w:t>
            </w:r>
            <w:r w:rsidR="00801C75" w:rsidRPr="00801C75">
              <w:rPr>
                <w:b/>
                <w:bCs/>
                <w:color w:val="000000"/>
                <w:sz w:val="20"/>
                <w:szCs w:val="18"/>
              </w:rPr>
              <w:t>. (</w:t>
            </w:r>
            <w:r w:rsidRPr="00801C75">
              <w:rPr>
                <w:b/>
                <w:bCs/>
                <w:color w:val="000000"/>
                <w:sz w:val="20"/>
                <w:szCs w:val="18"/>
              </w:rPr>
              <w:t>B)</w:t>
            </w:r>
          </w:p>
        </w:tc>
        <w:tc>
          <w:tcPr>
            <w:tcW w:w="580" w:type="pct"/>
            <w:tcBorders>
              <w:top w:val="single" w:sz="4" w:space="0" w:color="auto"/>
              <w:left w:val="nil"/>
              <w:bottom w:val="single" w:sz="4" w:space="0" w:color="auto"/>
              <w:right w:val="single" w:sz="4" w:space="0" w:color="auto"/>
            </w:tcBorders>
            <w:shd w:val="clear" w:color="auto" w:fill="C4D79B"/>
            <w:noWrap/>
            <w:vAlign w:val="center"/>
            <w:hideMark/>
          </w:tcPr>
          <w:p w:rsidR="00D27318" w:rsidRPr="00801C75" w:rsidRDefault="00D27318" w:rsidP="00331E80">
            <w:pPr>
              <w:bidi w:val="0"/>
              <w:snapToGrid w:val="0"/>
              <w:jc w:val="both"/>
              <w:rPr>
                <w:b/>
                <w:bCs/>
                <w:color w:val="000000"/>
                <w:sz w:val="20"/>
                <w:szCs w:val="18"/>
              </w:rPr>
            </w:pPr>
            <w:r w:rsidRPr="00801C75">
              <w:rPr>
                <w:b/>
                <w:bCs/>
                <w:color w:val="000000"/>
                <w:sz w:val="20"/>
                <w:szCs w:val="18"/>
              </w:rPr>
              <w:t>Lower</w:t>
            </w:r>
          </w:p>
        </w:tc>
        <w:tc>
          <w:tcPr>
            <w:tcW w:w="570" w:type="pct"/>
            <w:tcBorders>
              <w:top w:val="single" w:sz="4" w:space="0" w:color="auto"/>
              <w:left w:val="nil"/>
              <w:bottom w:val="single" w:sz="4" w:space="0" w:color="auto"/>
              <w:right w:val="single" w:sz="4" w:space="0" w:color="auto"/>
            </w:tcBorders>
            <w:shd w:val="clear" w:color="auto" w:fill="C4D79B"/>
            <w:noWrap/>
            <w:vAlign w:val="center"/>
            <w:hideMark/>
          </w:tcPr>
          <w:p w:rsidR="00D27318" w:rsidRPr="00801C75" w:rsidRDefault="00D27318" w:rsidP="00331E80">
            <w:pPr>
              <w:bidi w:val="0"/>
              <w:snapToGrid w:val="0"/>
              <w:jc w:val="both"/>
              <w:rPr>
                <w:b/>
                <w:bCs/>
                <w:color w:val="000000"/>
                <w:sz w:val="20"/>
                <w:szCs w:val="18"/>
              </w:rPr>
            </w:pPr>
            <w:r w:rsidRPr="00801C75">
              <w:rPr>
                <w:b/>
                <w:bCs/>
                <w:color w:val="000000"/>
                <w:sz w:val="20"/>
                <w:szCs w:val="18"/>
              </w:rPr>
              <w:t>Upper</w:t>
            </w:r>
          </w:p>
        </w:tc>
      </w:tr>
      <w:tr w:rsidR="00D27318" w:rsidRPr="00801C75" w:rsidTr="00801C75">
        <w:trPr>
          <w:jc w:val="center"/>
        </w:trPr>
        <w:tc>
          <w:tcPr>
            <w:tcW w:w="1830" w:type="pct"/>
            <w:tcBorders>
              <w:top w:val="nil"/>
              <w:left w:val="single" w:sz="4" w:space="0" w:color="auto"/>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18"/>
              </w:rPr>
            </w:pPr>
            <w:r w:rsidRPr="00801C75">
              <w:rPr>
                <w:color w:val="000000"/>
                <w:sz w:val="20"/>
                <w:szCs w:val="18"/>
              </w:rPr>
              <w:t xml:space="preserve">Disease free survival </w:t>
            </w:r>
          </w:p>
        </w:tc>
        <w:tc>
          <w:tcPr>
            <w:tcW w:w="546"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18"/>
              </w:rPr>
            </w:pPr>
            <w:r w:rsidRPr="00801C75">
              <w:rPr>
                <w:color w:val="000000"/>
                <w:sz w:val="20"/>
                <w:szCs w:val="18"/>
              </w:rPr>
              <w:t>-0.932</w:t>
            </w:r>
          </w:p>
        </w:tc>
        <w:tc>
          <w:tcPr>
            <w:tcW w:w="759"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18"/>
              </w:rPr>
            </w:pPr>
            <w:r w:rsidRPr="00801C75">
              <w:rPr>
                <w:color w:val="000000"/>
                <w:sz w:val="20"/>
                <w:szCs w:val="18"/>
              </w:rPr>
              <w:t>0.032*</w:t>
            </w:r>
          </w:p>
        </w:tc>
        <w:tc>
          <w:tcPr>
            <w:tcW w:w="715"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18"/>
              </w:rPr>
            </w:pPr>
            <w:r w:rsidRPr="00801C75">
              <w:rPr>
                <w:color w:val="000000"/>
                <w:sz w:val="20"/>
                <w:szCs w:val="18"/>
              </w:rPr>
              <w:t>1.073</w:t>
            </w:r>
          </w:p>
        </w:tc>
        <w:tc>
          <w:tcPr>
            <w:tcW w:w="580"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18"/>
              </w:rPr>
            </w:pPr>
            <w:r w:rsidRPr="00801C75">
              <w:rPr>
                <w:color w:val="000000"/>
                <w:sz w:val="20"/>
                <w:szCs w:val="18"/>
              </w:rPr>
              <w:t>0.504</w:t>
            </w:r>
          </w:p>
        </w:tc>
        <w:tc>
          <w:tcPr>
            <w:tcW w:w="570"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18"/>
              </w:rPr>
            </w:pPr>
            <w:r w:rsidRPr="00801C75">
              <w:rPr>
                <w:color w:val="000000"/>
                <w:sz w:val="20"/>
                <w:szCs w:val="18"/>
              </w:rPr>
              <w:t>2.006</w:t>
            </w:r>
          </w:p>
        </w:tc>
      </w:tr>
      <w:tr w:rsidR="00D27318" w:rsidRPr="00801C75" w:rsidTr="00801C75">
        <w:trPr>
          <w:jc w:val="center"/>
        </w:trPr>
        <w:tc>
          <w:tcPr>
            <w:tcW w:w="1830" w:type="pct"/>
            <w:tcBorders>
              <w:top w:val="nil"/>
              <w:left w:val="single" w:sz="4" w:space="0" w:color="auto"/>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18"/>
              </w:rPr>
            </w:pPr>
            <w:r w:rsidRPr="00801C75">
              <w:rPr>
                <w:color w:val="000000"/>
                <w:sz w:val="20"/>
                <w:szCs w:val="18"/>
              </w:rPr>
              <w:t xml:space="preserve">Progression free survival </w:t>
            </w:r>
          </w:p>
        </w:tc>
        <w:tc>
          <w:tcPr>
            <w:tcW w:w="546"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18"/>
              </w:rPr>
            </w:pPr>
            <w:r w:rsidRPr="00801C75">
              <w:rPr>
                <w:color w:val="000000"/>
                <w:sz w:val="20"/>
                <w:szCs w:val="18"/>
              </w:rPr>
              <w:t>-0.297</w:t>
            </w:r>
          </w:p>
        </w:tc>
        <w:tc>
          <w:tcPr>
            <w:tcW w:w="759"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18"/>
              </w:rPr>
            </w:pPr>
            <w:r w:rsidRPr="00801C75">
              <w:rPr>
                <w:color w:val="000000"/>
                <w:sz w:val="20"/>
                <w:szCs w:val="18"/>
              </w:rPr>
              <w:t>0.038*</w:t>
            </w:r>
          </w:p>
        </w:tc>
        <w:tc>
          <w:tcPr>
            <w:tcW w:w="715"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18"/>
              </w:rPr>
            </w:pPr>
            <w:r w:rsidRPr="00801C75">
              <w:rPr>
                <w:color w:val="000000"/>
                <w:sz w:val="20"/>
                <w:szCs w:val="18"/>
              </w:rPr>
              <w:t>1.526</w:t>
            </w:r>
          </w:p>
        </w:tc>
        <w:tc>
          <w:tcPr>
            <w:tcW w:w="580"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18"/>
              </w:rPr>
            </w:pPr>
            <w:r w:rsidRPr="00801C75">
              <w:rPr>
                <w:color w:val="000000"/>
                <w:sz w:val="20"/>
                <w:szCs w:val="18"/>
              </w:rPr>
              <w:t>0.717</w:t>
            </w:r>
          </w:p>
        </w:tc>
        <w:tc>
          <w:tcPr>
            <w:tcW w:w="570"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18"/>
              </w:rPr>
            </w:pPr>
            <w:r w:rsidRPr="00801C75">
              <w:rPr>
                <w:color w:val="000000"/>
                <w:sz w:val="20"/>
                <w:szCs w:val="18"/>
              </w:rPr>
              <w:t>2.854</w:t>
            </w:r>
          </w:p>
        </w:tc>
      </w:tr>
      <w:tr w:rsidR="00D27318" w:rsidRPr="00801C75" w:rsidTr="00801C75">
        <w:trPr>
          <w:jc w:val="center"/>
        </w:trPr>
        <w:tc>
          <w:tcPr>
            <w:tcW w:w="1830" w:type="pct"/>
            <w:tcBorders>
              <w:top w:val="nil"/>
              <w:left w:val="single" w:sz="4" w:space="0" w:color="auto"/>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18"/>
              </w:rPr>
            </w:pPr>
            <w:r w:rsidRPr="00801C75">
              <w:rPr>
                <w:color w:val="000000"/>
                <w:sz w:val="20"/>
                <w:szCs w:val="18"/>
              </w:rPr>
              <w:t xml:space="preserve">Overall survival </w:t>
            </w:r>
          </w:p>
        </w:tc>
        <w:tc>
          <w:tcPr>
            <w:tcW w:w="546"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18"/>
              </w:rPr>
            </w:pPr>
            <w:r w:rsidRPr="00801C75">
              <w:rPr>
                <w:color w:val="000000"/>
                <w:sz w:val="20"/>
                <w:szCs w:val="18"/>
              </w:rPr>
              <w:t>-2.235</w:t>
            </w:r>
          </w:p>
        </w:tc>
        <w:tc>
          <w:tcPr>
            <w:tcW w:w="759"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18"/>
              </w:rPr>
            </w:pPr>
            <w:r w:rsidRPr="00801C75">
              <w:rPr>
                <w:color w:val="000000"/>
                <w:sz w:val="20"/>
                <w:szCs w:val="18"/>
              </w:rPr>
              <w:t>&lt;0.001**</w:t>
            </w:r>
          </w:p>
        </w:tc>
        <w:tc>
          <w:tcPr>
            <w:tcW w:w="715"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18"/>
              </w:rPr>
            </w:pPr>
            <w:r w:rsidRPr="00801C75">
              <w:rPr>
                <w:color w:val="000000"/>
                <w:sz w:val="20"/>
                <w:szCs w:val="18"/>
              </w:rPr>
              <w:t>2.408</w:t>
            </w:r>
          </w:p>
        </w:tc>
        <w:tc>
          <w:tcPr>
            <w:tcW w:w="580"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18"/>
              </w:rPr>
            </w:pPr>
            <w:r w:rsidRPr="00801C75">
              <w:rPr>
                <w:color w:val="000000"/>
                <w:sz w:val="20"/>
                <w:szCs w:val="18"/>
              </w:rPr>
              <w:t>1.132</w:t>
            </w:r>
          </w:p>
        </w:tc>
        <w:tc>
          <w:tcPr>
            <w:tcW w:w="570"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18"/>
              </w:rPr>
            </w:pPr>
            <w:r w:rsidRPr="00801C75">
              <w:rPr>
                <w:color w:val="000000"/>
                <w:sz w:val="20"/>
                <w:szCs w:val="18"/>
              </w:rPr>
              <w:t>4.503</w:t>
            </w:r>
          </w:p>
        </w:tc>
      </w:tr>
      <w:tr w:rsidR="00D27318" w:rsidRPr="00801C75" w:rsidTr="00801C75">
        <w:trPr>
          <w:jc w:val="center"/>
        </w:trPr>
        <w:tc>
          <w:tcPr>
            <w:tcW w:w="1830" w:type="pct"/>
            <w:tcBorders>
              <w:top w:val="nil"/>
              <w:left w:val="single" w:sz="4" w:space="0" w:color="auto"/>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18"/>
              </w:rPr>
            </w:pPr>
            <w:r w:rsidRPr="00801C75">
              <w:rPr>
                <w:color w:val="000000"/>
                <w:sz w:val="20"/>
                <w:szCs w:val="18"/>
              </w:rPr>
              <w:t>Sidedness</w:t>
            </w:r>
          </w:p>
        </w:tc>
        <w:tc>
          <w:tcPr>
            <w:tcW w:w="546"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18"/>
              </w:rPr>
            </w:pPr>
            <w:r w:rsidRPr="00801C75">
              <w:rPr>
                <w:color w:val="000000"/>
                <w:sz w:val="20"/>
                <w:szCs w:val="18"/>
              </w:rPr>
              <w:t>-0.337</w:t>
            </w:r>
          </w:p>
        </w:tc>
        <w:tc>
          <w:tcPr>
            <w:tcW w:w="759"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18"/>
              </w:rPr>
            </w:pPr>
            <w:r w:rsidRPr="00801C75">
              <w:rPr>
                <w:color w:val="000000"/>
                <w:sz w:val="20"/>
                <w:szCs w:val="18"/>
              </w:rPr>
              <w:t>0.364</w:t>
            </w:r>
          </w:p>
        </w:tc>
        <w:tc>
          <w:tcPr>
            <w:tcW w:w="715"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18"/>
              </w:rPr>
            </w:pPr>
            <w:r w:rsidRPr="00801C75">
              <w:rPr>
                <w:color w:val="000000"/>
                <w:sz w:val="20"/>
                <w:szCs w:val="18"/>
              </w:rPr>
              <w:t>0.663</w:t>
            </w:r>
          </w:p>
        </w:tc>
        <w:tc>
          <w:tcPr>
            <w:tcW w:w="580"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18"/>
              </w:rPr>
            </w:pPr>
            <w:r w:rsidRPr="00801C75">
              <w:rPr>
                <w:color w:val="000000"/>
                <w:sz w:val="20"/>
                <w:szCs w:val="18"/>
              </w:rPr>
              <w:t>0.312</w:t>
            </w:r>
          </w:p>
        </w:tc>
        <w:tc>
          <w:tcPr>
            <w:tcW w:w="570"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18"/>
              </w:rPr>
            </w:pPr>
            <w:r w:rsidRPr="00801C75">
              <w:rPr>
                <w:color w:val="000000"/>
                <w:sz w:val="20"/>
                <w:szCs w:val="18"/>
              </w:rPr>
              <w:t>1.240</w:t>
            </w:r>
          </w:p>
        </w:tc>
      </w:tr>
    </w:tbl>
    <w:p w:rsidR="0094756F" w:rsidRPr="00801C75" w:rsidRDefault="0094756F" w:rsidP="00331E80">
      <w:pPr>
        <w:bidi w:val="0"/>
        <w:snapToGrid w:val="0"/>
        <w:ind w:firstLine="425"/>
        <w:jc w:val="both"/>
        <w:rPr>
          <w:sz w:val="20"/>
          <w:szCs w:val="20"/>
          <w:lang w:eastAsia="ar-SA"/>
        </w:rPr>
      </w:pPr>
    </w:p>
    <w:p w:rsidR="00FC0DD6" w:rsidRPr="00801C75" w:rsidRDefault="00D27318" w:rsidP="00331E80">
      <w:pPr>
        <w:bidi w:val="0"/>
        <w:snapToGrid w:val="0"/>
        <w:ind w:firstLine="425"/>
        <w:jc w:val="both"/>
        <w:rPr>
          <w:sz w:val="20"/>
          <w:szCs w:val="20"/>
          <w:lang w:eastAsia="ar-SA"/>
        </w:rPr>
      </w:pPr>
      <w:r w:rsidRPr="00801C75">
        <w:rPr>
          <w:sz w:val="20"/>
          <w:szCs w:val="20"/>
          <w:lang w:eastAsia="ar-SA"/>
        </w:rPr>
        <w:lastRenderedPageBreak/>
        <w:t xml:space="preserve">Binary Logestic Multi-Regression analysis was done for NLR and of DFS, PFS and OS variables that showed statistically significant. It showed that abnormal NLR have predictors and significance decrease of DFS, PFS and OS. </w:t>
      </w:r>
      <w:bookmarkStart w:id="33" w:name="_Toc7857989"/>
    </w:p>
    <w:p w:rsidR="00D27318" w:rsidRPr="00801C75" w:rsidRDefault="005830D0" w:rsidP="00331E80">
      <w:pPr>
        <w:bidi w:val="0"/>
        <w:snapToGrid w:val="0"/>
        <w:jc w:val="center"/>
        <w:rPr>
          <w:sz w:val="20"/>
          <w:szCs w:val="20"/>
          <w:lang w:eastAsia="ar-SA"/>
        </w:rPr>
      </w:pPr>
      <w:r w:rsidRPr="00801C75">
        <w:rPr>
          <w:b/>
          <w:bCs/>
          <w:sz w:val="20"/>
          <w:szCs w:val="20"/>
          <w:shd w:val="clear" w:color="auto" w:fill="FFFFFF"/>
        </w:rPr>
        <w:t>Table (</w:t>
      </w:r>
      <w:r w:rsidR="0014198C" w:rsidRPr="00801C75">
        <w:rPr>
          <w:b/>
          <w:bCs/>
          <w:sz w:val="20"/>
          <w:szCs w:val="20"/>
          <w:shd w:val="clear" w:color="auto" w:fill="FFFFFF"/>
        </w:rPr>
        <w:fldChar w:fldCharType="begin"/>
      </w:r>
      <w:r w:rsidRPr="00801C75">
        <w:rPr>
          <w:b/>
          <w:bCs/>
          <w:sz w:val="20"/>
          <w:szCs w:val="20"/>
          <w:shd w:val="clear" w:color="auto" w:fill="FFFFFF"/>
        </w:rPr>
        <w:instrText xml:space="preserve"> SEQ Table \* ARABIC </w:instrText>
      </w:r>
      <w:r w:rsidR="0014198C" w:rsidRPr="00801C75">
        <w:rPr>
          <w:b/>
          <w:bCs/>
          <w:sz w:val="20"/>
          <w:szCs w:val="20"/>
          <w:shd w:val="clear" w:color="auto" w:fill="FFFFFF"/>
        </w:rPr>
        <w:fldChar w:fldCharType="separate"/>
      </w:r>
      <w:r w:rsidR="00D60619">
        <w:rPr>
          <w:b/>
          <w:bCs/>
          <w:noProof/>
          <w:sz w:val="20"/>
          <w:szCs w:val="20"/>
          <w:shd w:val="clear" w:color="auto" w:fill="FFFFFF"/>
        </w:rPr>
        <w:t>19</w:t>
      </w:r>
      <w:r w:rsidR="0014198C" w:rsidRPr="00801C75">
        <w:rPr>
          <w:b/>
          <w:bCs/>
          <w:sz w:val="20"/>
          <w:szCs w:val="20"/>
          <w:shd w:val="clear" w:color="auto" w:fill="FFFFFF"/>
        </w:rPr>
        <w:fldChar w:fldCharType="end"/>
      </w:r>
      <w:r w:rsidRPr="00801C75">
        <w:rPr>
          <w:b/>
          <w:bCs/>
          <w:sz w:val="20"/>
          <w:szCs w:val="20"/>
          <w:shd w:val="clear" w:color="auto" w:fill="FFFFFF"/>
        </w:rPr>
        <w:t>)</w:t>
      </w:r>
      <w:r w:rsidRPr="00801C75">
        <w:rPr>
          <w:sz w:val="20"/>
          <w:szCs w:val="20"/>
          <w:shd w:val="clear" w:color="auto" w:fill="FFFFFF"/>
        </w:rPr>
        <w:t>:</w:t>
      </w:r>
      <w:r w:rsidR="00D27318" w:rsidRPr="00801C75">
        <w:rPr>
          <w:sz w:val="20"/>
          <w:szCs w:val="20"/>
        </w:rPr>
        <w:t xml:space="preserve"> Logistic Multi-regression analysis of factors affecting platelet count diagnosis.</w:t>
      </w:r>
      <w:bookmarkEnd w:id="33"/>
    </w:p>
    <w:tbl>
      <w:tblPr>
        <w:tblW w:w="5000" w:type="pct"/>
        <w:jc w:val="center"/>
        <w:tblCellMar>
          <w:left w:w="57" w:type="dxa"/>
          <w:right w:w="57" w:type="dxa"/>
        </w:tblCellMar>
        <w:tblLook w:val="04A0"/>
      </w:tblPr>
      <w:tblGrid>
        <w:gridCol w:w="3600"/>
        <w:gridCol w:w="1074"/>
        <w:gridCol w:w="1131"/>
        <w:gridCol w:w="1406"/>
        <w:gridCol w:w="1141"/>
        <w:gridCol w:w="1122"/>
      </w:tblGrid>
      <w:tr w:rsidR="00801C75" w:rsidRPr="00801C75" w:rsidTr="00801C75">
        <w:trPr>
          <w:jc w:val="center"/>
        </w:trPr>
        <w:tc>
          <w:tcPr>
            <w:tcW w:w="1900" w:type="pct"/>
            <w:tcBorders>
              <w:top w:val="single" w:sz="4" w:space="0" w:color="auto"/>
              <w:left w:val="single" w:sz="4" w:space="0" w:color="auto"/>
              <w:bottom w:val="single" w:sz="4" w:space="0" w:color="auto"/>
              <w:right w:val="single" w:sz="4" w:space="0" w:color="auto"/>
            </w:tcBorders>
            <w:shd w:val="clear" w:color="auto" w:fill="C4D79B"/>
            <w:noWrap/>
            <w:vAlign w:val="center"/>
            <w:hideMark/>
          </w:tcPr>
          <w:p w:rsidR="00D27318" w:rsidRPr="00801C75" w:rsidRDefault="00D27318" w:rsidP="00331E80">
            <w:pPr>
              <w:bidi w:val="0"/>
              <w:snapToGrid w:val="0"/>
              <w:jc w:val="both"/>
              <w:rPr>
                <w:b/>
                <w:bCs/>
                <w:color w:val="000000"/>
                <w:sz w:val="20"/>
                <w:szCs w:val="20"/>
              </w:rPr>
            </w:pPr>
            <w:r w:rsidRPr="00801C75">
              <w:rPr>
                <w:b/>
                <w:bCs/>
                <w:color w:val="000000"/>
                <w:sz w:val="20"/>
                <w:szCs w:val="20"/>
              </w:rPr>
              <w:t xml:space="preserve">Platelet count </w:t>
            </w:r>
          </w:p>
        </w:tc>
        <w:tc>
          <w:tcPr>
            <w:tcW w:w="567" w:type="pct"/>
            <w:tcBorders>
              <w:top w:val="single" w:sz="4" w:space="0" w:color="auto"/>
              <w:left w:val="nil"/>
              <w:bottom w:val="single" w:sz="4" w:space="0" w:color="auto"/>
              <w:right w:val="single" w:sz="4" w:space="0" w:color="auto"/>
            </w:tcBorders>
            <w:shd w:val="clear" w:color="auto" w:fill="C4D79B"/>
            <w:noWrap/>
            <w:vAlign w:val="center"/>
            <w:hideMark/>
          </w:tcPr>
          <w:p w:rsidR="00D27318" w:rsidRPr="00801C75" w:rsidRDefault="00D27318" w:rsidP="00331E80">
            <w:pPr>
              <w:bidi w:val="0"/>
              <w:snapToGrid w:val="0"/>
              <w:jc w:val="both"/>
              <w:rPr>
                <w:b/>
                <w:bCs/>
                <w:color w:val="000000"/>
                <w:sz w:val="20"/>
                <w:szCs w:val="20"/>
              </w:rPr>
            </w:pPr>
            <w:r w:rsidRPr="00801C75">
              <w:rPr>
                <w:b/>
                <w:bCs/>
                <w:color w:val="000000"/>
                <w:sz w:val="20"/>
                <w:szCs w:val="20"/>
              </w:rPr>
              <w:t>B</w:t>
            </w:r>
          </w:p>
        </w:tc>
        <w:tc>
          <w:tcPr>
            <w:tcW w:w="597" w:type="pct"/>
            <w:tcBorders>
              <w:top w:val="single" w:sz="4" w:space="0" w:color="auto"/>
              <w:left w:val="nil"/>
              <w:bottom w:val="single" w:sz="4" w:space="0" w:color="auto"/>
              <w:right w:val="single" w:sz="4" w:space="0" w:color="auto"/>
            </w:tcBorders>
            <w:shd w:val="clear" w:color="auto" w:fill="C4D79B"/>
            <w:noWrap/>
            <w:vAlign w:val="center"/>
            <w:hideMark/>
          </w:tcPr>
          <w:p w:rsidR="00D27318" w:rsidRPr="00801C75" w:rsidRDefault="00D27318" w:rsidP="00331E80">
            <w:pPr>
              <w:bidi w:val="0"/>
              <w:snapToGrid w:val="0"/>
              <w:jc w:val="both"/>
              <w:rPr>
                <w:b/>
                <w:bCs/>
                <w:color w:val="000000"/>
                <w:sz w:val="20"/>
                <w:szCs w:val="20"/>
              </w:rPr>
            </w:pPr>
            <w:r w:rsidRPr="00801C75">
              <w:rPr>
                <w:b/>
                <w:bCs/>
                <w:color w:val="000000"/>
                <w:sz w:val="20"/>
                <w:szCs w:val="20"/>
              </w:rPr>
              <w:t>Sig.</w:t>
            </w:r>
          </w:p>
        </w:tc>
        <w:tc>
          <w:tcPr>
            <w:tcW w:w="742" w:type="pct"/>
            <w:tcBorders>
              <w:top w:val="single" w:sz="4" w:space="0" w:color="auto"/>
              <w:left w:val="nil"/>
              <w:bottom w:val="single" w:sz="4" w:space="0" w:color="auto"/>
              <w:right w:val="single" w:sz="4" w:space="0" w:color="auto"/>
            </w:tcBorders>
            <w:shd w:val="clear" w:color="auto" w:fill="C4D79B"/>
            <w:noWrap/>
            <w:vAlign w:val="center"/>
            <w:hideMark/>
          </w:tcPr>
          <w:p w:rsidR="00D27318" w:rsidRPr="00801C75" w:rsidRDefault="00D27318" w:rsidP="00331E80">
            <w:pPr>
              <w:bidi w:val="0"/>
              <w:snapToGrid w:val="0"/>
              <w:jc w:val="both"/>
              <w:rPr>
                <w:b/>
                <w:bCs/>
                <w:color w:val="000000"/>
                <w:sz w:val="20"/>
                <w:szCs w:val="20"/>
              </w:rPr>
            </w:pPr>
            <w:r w:rsidRPr="00801C75">
              <w:rPr>
                <w:b/>
                <w:bCs/>
                <w:color w:val="000000"/>
                <w:sz w:val="20"/>
                <w:szCs w:val="20"/>
              </w:rPr>
              <w:t>Exp</w:t>
            </w:r>
            <w:r w:rsidR="00801C75" w:rsidRPr="00801C75">
              <w:rPr>
                <w:b/>
                <w:bCs/>
                <w:color w:val="000000"/>
                <w:sz w:val="20"/>
                <w:szCs w:val="20"/>
              </w:rPr>
              <w:t>. (</w:t>
            </w:r>
            <w:r w:rsidRPr="00801C75">
              <w:rPr>
                <w:b/>
                <w:bCs/>
                <w:color w:val="000000"/>
                <w:sz w:val="20"/>
                <w:szCs w:val="20"/>
              </w:rPr>
              <w:t>B)</w:t>
            </w:r>
          </w:p>
        </w:tc>
        <w:tc>
          <w:tcPr>
            <w:tcW w:w="602" w:type="pct"/>
            <w:tcBorders>
              <w:top w:val="single" w:sz="4" w:space="0" w:color="auto"/>
              <w:left w:val="nil"/>
              <w:bottom w:val="single" w:sz="4" w:space="0" w:color="auto"/>
              <w:right w:val="single" w:sz="4" w:space="0" w:color="auto"/>
            </w:tcBorders>
            <w:shd w:val="clear" w:color="auto" w:fill="C4D79B"/>
            <w:noWrap/>
            <w:vAlign w:val="center"/>
            <w:hideMark/>
          </w:tcPr>
          <w:p w:rsidR="00D27318" w:rsidRPr="00801C75" w:rsidRDefault="00D27318" w:rsidP="00331E80">
            <w:pPr>
              <w:bidi w:val="0"/>
              <w:snapToGrid w:val="0"/>
              <w:jc w:val="both"/>
              <w:rPr>
                <w:b/>
                <w:bCs/>
                <w:color w:val="000000"/>
                <w:sz w:val="20"/>
                <w:szCs w:val="20"/>
              </w:rPr>
            </w:pPr>
            <w:r w:rsidRPr="00801C75">
              <w:rPr>
                <w:b/>
                <w:bCs/>
                <w:color w:val="000000"/>
                <w:sz w:val="20"/>
                <w:szCs w:val="20"/>
              </w:rPr>
              <w:t>Lower</w:t>
            </w:r>
          </w:p>
        </w:tc>
        <w:tc>
          <w:tcPr>
            <w:tcW w:w="592" w:type="pct"/>
            <w:tcBorders>
              <w:top w:val="single" w:sz="4" w:space="0" w:color="auto"/>
              <w:left w:val="nil"/>
              <w:bottom w:val="single" w:sz="4" w:space="0" w:color="auto"/>
              <w:right w:val="single" w:sz="4" w:space="0" w:color="auto"/>
            </w:tcBorders>
            <w:shd w:val="clear" w:color="auto" w:fill="C4D79B"/>
            <w:noWrap/>
            <w:vAlign w:val="center"/>
            <w:hideMark/>
          </w:tcPr>
          <w:p w:rsidR="00D27318" w:rsidRPr="00801C75" w:rsidRDefault="00D27318" w:rsidP="00331E80">
            <w:pPr>
              <w:bidi w:val="0"/>
              <w:snapToGrid w:val="0"/>
              <w:jc w:val="both"/>
              <w:rPr>
                <w:b/>
                <w:bCs/>
                <w:color w:val="000000"/>
                <w:sz w:val="20"/>
                <w:szCs w:val="20"/>
              </w:rPr>
            </w:pPr>
            <w:r w:rsidRPr="00801C75">
              <w:rPr>
                <w:b/>
                <w:bCs/>
                <w:color w:val="000000"/>
                <w:sz w:val="20"/>
                <w:szCs w:val="20"/>
              </w:rPr>
              <w:t>Upper</w:t>
            </w:r>
          </w:p>
        </w:tc>
      </w:tr>
      <w:tr w:rsidR="00D27318" w:rsidRPr="00801C75" w:rsidTr="00801C75">
        <w:trPr>
          <w:jc w:val="center"/>
        </w:trPr>
        <w:tc>
          <w:tcPr>
            <w:tcW w:w="1900" w:type="pct"/>
            <w:tcBorders>
              <w:top w:val="nil"/>
              <w:left w:val="single" w:sz="4" w:space="0" w:color="auto"/>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 xml:space="preserve">Disease free survival </w:t>
            </w:r>
          </w:p>
        </w:tc>
        <w:tc>
          <w:tcPr>
            <w:tcW w:w="567"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-0.811</w:t>
            </w:r>
          </w:p>
        </w:tc>
        <w:tc>
          <w:tcPr>
            <w:tcW w:w="597"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0.091</w:t>
            </w:r>
          </w:p>
        </w:tc>
        <w:tc>
          <w:tcPr>
            <w:tcW w:w="742"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0.955</w:t>
            </w:r>
          </w:p>
        </w:tc>
        <w:tc>
          <w:tcPr>
            <w:tcW w:w="602"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0.449</w:t>
            </w:r>
          </w:p>
        </w:tc>
        <w:tc>
          <w:tcPr>
            <w:tcW w:w="592"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1.785</w:t>
            </w:r>
          </w:p>
        </w:tc>
      </w:tr>
      <w:tr w:rsidR="00D27318" w:rsidRPr="00801C75" w:rsidTr="00801C75">
        <w:trPr>
          <w:jc w:val="center"/>
        </w:trPr>
        <w:tc>
          <w:tcPr>
            <w:tcW w:w="1900" w:type="pct"/>
            <w:tcBorders>
              <w:top w:val="nil"/>
              <w:left w:val="single" w:sz="4" w:space="0" w:color="auto"/>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 xml:space="preserve">Progression free survival </w:t>
            </w:r>
          </w:p>
        </w:tc>
        <w:tc>
          <w:tcPr>
            <w:tcW w:w="567"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-0.306</w:t>
            </w:r>
          </w:p>
        </w:tc>
        <w:tc>
          <w:tcPr>
            <w:tcW w:w="597"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0.043*</w:t>
            </w:r>
          </w:p>
        </w:tc>
        <w:tc>
          <w:tcPr>
            <w:tcW w:w="742"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1.358</w:t>
            </w:r>
          </w:p>
        </w:tc>
        <w:tc>
          <w:tcPr>
            <w:tcW w:w="602"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0.638</w:t>
            </w:r>
          </w:p>
        </w:tc>
        <w:tc>
          <w:tcPr>
            <w:tcW w:w="592"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2.540</w:t>
            </w:r>
          </w:p>
        </w:tc>
      </w:tr>
      <w:tr w:rsidR="00D27318" w:rsidRPr="00801C75" w:rsidTr="00801C75">
        <w:trPr>
          <w:jc w:val="center"/>
        </w:trPr>
        <w:tc>
          <w:tcPr>
            <w:tcW w:w="1900" w:type="pct"/>
            <w:tcBorders>
              <w:top w:val="nil"/>
              <w:left w:val="single" w:sz="4" w:space="0" w:color="auto"/>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 xml:space="preserve">Overall survival </w:t>
            </w:r>
          </w:p>
        </w:tc>
        <w:tc>
          <w:tcPr>
            <w:tcW w:w="567"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-1.944</w:t>
            </w:r>
          </w:p>
        </w:tc>
        <w:tc>
          <w:tcPr>
            <w:tcW w:w="597"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0.031*</w:t>
            </w:r>
          </w:p>
        </w:tc>
        <w:tc>
          <w:tcPr>
            <w:tcW w:w="742"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2.023</w:t>
            </w:r>
          </w:p>
        </w:tc>
        <w:tc>
          <w:tcPr>
            <w:tcW w:w="602"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0.951</w:t>
            </w:r>
          </w:p>
        </w:tc>
        <w:tc>
          <w:tcPr>
            <w:tcW w:w="592"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3.782</w:t>
            </w:r>
          </w:p>
        </w:tc>
      </w:tr>
      <w:tr w:rsidR="00D27318" w:rsidRPr="00801C75" w:rsidTr="00801C75">
        <w:trPr>
          <w:jc w:val="center"/>
        </w:trPr>
        <w:tc>
          <w:tcPr>
            <w:tcW w:w="1900" w:type="pct"/>
            <w:tcBorders>
              <w:top w:val="nil"/>
              <w:left w:val="single" w:sz="4" w:space="0" w:color="auto"/>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M</w:t>
            </w:r>
          </w:p>
        </w:tc>
        <w:tc>
          <w:tcPr>
            <w:tcW w:w="567"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-1.020</w:t>
            </w:r>
          </w:p>
        </w:tc>
        <w:tc>
          <w:tcPr>
            <w:tcW w:w="597"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0.047*</w:t>
            </w:r>
          </w:p>
        </w:tc>
        <w:tc>
          <w:tcPr>
            <w:tcW w:w="742"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1.917</w:t>
            </w:r>
          </w:p>
        </w:tc>
        <w:tc>
          <w:tcPr>
            <w:tcW w:w="602"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0.901</w:t>
            </w:r>
          </w:p>
        </w:tc>
        <w:tc>
          <w:tcPr>
            <w:tcW w:w="592" w:type="pct"/>
            <w:tcBorders>
              <w:top w:val="nil"/>
              <w:left w:val="nil"/>
              <w:bottom w:val="single" w:sz="4" w:space="0" w:color="auto"/>
              <w:right w:val="single" w:sz="4" w:space="0" w:color="auto"/>
            </w:tcBorders>
            <w:noWrap/>
            <w:vAlign w:val="center"/>
            <w:hideMark/>
          </w:tcPr>
          <w:p w:rsidR="00D27318" w:rsidRPr="00801C75" w:rsidRDefault="00D27318" w:rsidP="00331E80">
            <w:pPr>
              <w:bidi w:val="0"/>
              <w:snapToGrid w:val="0"/>
              <w:jc w:val="both"/>
              <w:rPr>
                <w:color w:val="000000"/>
                <w:sz w:val="20"/>
                <w:szCs w:val="20"/>
              </w:rPr>
            </w:pPr>
            <w:r w:rsidRPr="00801C75">
              <w:rPr>
                <w:color w:val="000000"/>
                <w:sz w:val="20"/>
                <w:szCs w:val="20"/>
              </w:rPr>
              <w:t>3.584</w:t>
            </w:r>
          </w:p>
        </w:tc>
      </w:tr>
    </w:tbl>
    <w:p w:rsidR="00981714" w:rsidRPr="00801C75" w:rsidRDefault="00981714" w:rsidP="00331E80">
      <w:pPr>
        <w:bidi w:val="0"/>
        <w:snapToGrid w:val="0"/>
        <w:ind w:firstLine="425"/>
        <w:jc w:val="both"/>
        <w:rPr>
          <w:sz w:val="20"/>
          <w:szCs w:val="20"/>
          <w:lang w:eastAsia="ar-SA"/>
        </w:rPr>
      </w:pPr>
    </w:p>
    <w:p w:rsidR="00331E80" w:rsidRDefault="00331E80" w:rsidP="00331E80">
      <w:pPr>
        <w:pStyle w:val="Heading1"/>
        <w:keepNext w:val="0"/>
        <w:keepLines w:val="0"/>
        <w:bidi w:val="0"/>
        <w:snapToGrid w:val="0"/>
        <w:spacing w:before="0"/>
        <w:ind w:firstLine="425"/>
        <w:jc w:val="both"/>
        <w:rPr>
          <w:rFonts w:ascii="Times New Roman" w:hAnsi="Times New Roman" w:cs="Times New Roman"/>
          <w:b w:val="0"/>
          <w:bCs w:val="0"/>
          <w:color w:val="auto"/>
          <w:sz w:val="20"/>
          <w:szCs w:val="20"/>
          <w:lang w:eastAsia="ar-SA"/>
        </w:rPr>
        <w:sectPr w:rsidR="00331E80" w:rsidSect="00801C75">
          <w:type w:val="continuous"/>
          <w:pgSz w:w="12240" w:h="15840" w:code="9"/>
          <w:pgMar w:top="1440" w:right="1440" w:bottom="1440" w:left="1440" w:header="720" w:footer="720" w:gutter="0"/>
          <w:pgBorders w:offsetFrom="page">
            <w:top w:val="none" w:sz="0" w:space="13" w:color="000000" w:shadow="1"/>
            <w:left w:val="none" w:sz="0" w:space="13" w:color="000000" w:shadow="1"/>
            <w:bottom w:val="none" w:sz="0" w:space="13" w:color="000000" w:shadow="1"/>
            <w:right w:val="none" w:sz="0" w:space="0" w:color="000000" w:shadow="1"/>
          </w:pgBorders>
          <w:cols w:space="720"/>
          <w:noEndnote/>
          <w:rtlGutter/>
          <w:docGrid w:linePitch="326"/>
        </w:sectPr>
      </w:pPr>
    </w:p>
    <w:p w:rsidR="00FC0DD6" w:rsidRPr="00801C75" w:rsidRDefault="00FC0DD6" w:rsidP="00331E80">
      <w:pPr>
        <w:pStyle w:val="Heading1"/>
        <w:keepNext w:val="0"/>
        <w:keepLines w:val="0"/>
        <w:bidi w:val="0"/>
        <w:snapToGrid w:val="0"/>
        <w:spacing w:before="0"/>
        <w:ind w:firstLine="425"/>
        <w:jc w:val="both"/>
        <w:rPr>
          <w:rFonts w:ascii="Times New Roman" w:eastAsia="Times New Roman" w:hAnsi="Times New Roman" w:cs="Times New Roman"/>
          <w:b w:val="0"/>
          <w:bCs w:val="0"/>
          <w:color w:val="auto"/>
          <w:sz w:val="20"/>
          <w:szCs w:val="20"/>
          <w:lang w:bidi="ar-EG"/>
        </w:rPr>
      </w:pPr>
      <w:r w:rsidRPr="00801C75">
        <w:rPr>
          <w:rFonts w:ascii="Times New Roman" w:hAnsi="Times New Roman" w:cs="Times New Roman"/>
          <w:b w:val="0"/>
          <w:bCs w:val="0"/>
          <w:color w:val="auto"/>
          <w:sz w:val="20"/>
          <w:szCs w:val="20"/>
          <w:lang w:eastAsia="ar-SA"/>
        </w:rPr>
        <w:lastRenderedPageBreak/>
        <w:t xml:space="preserve">Binary Logestic Multi-Regression analysis was done for platelet count and of PFS, OS and M variables that showed statistically significant. It showed that abnormal platelet count have predictors and significance decrease of PFS and OS. </w:t>
      </w:r>
    </w:p>
    <w:p w:rsidR="00FC0DD6" w:rsidRPr="00801C75" w:rsidRDefault="00FC0DD6" w:rsidP="00331E80">
      <w:pPr>
        <w:pStyle w:val="Heading1"/>
        <w:keepNext w:val="0"/>
        <w:keepLines w:val="0"/>
        <w:bidi w:val="0"/>
        <w:snapToGrid w:val="0"/>
        <w:spacing w:before="0"/>
        <w:jc w:val="both"/>
        <w:rPr>
          <w:rFonts w:ascii="Times New Roman" w:eastAsia="Times New Roman" w:hAnsi="Times New Roman" w:cs="Times New Roman"/>
          <w:color w:val="auto"/>
          <w:sz w:val="20"/>
          <w:szCs w:val="20"/>
          <w:lang w:bidi="ar-EG"/>
        </w:rPr>
      </w:pPr>
    </w:p>
    <w:p w:rsidR="00A0385B" w:rsidRPr="00801C75" w:rsidRDefault="0094756F" w:rsidP="00331E80">
      <w:pPr>
        <w:pStyle w:val="Heading1"/>
        <w:keepNext w:val="0"/>
        <w:keepLines w:val="0"/>
        <w:bidi w:val="0"/>
        <w:snapToGrid w:val="0"/>
        <w:spacing w:before="0"/>
        <w:jc w:val="both"/>
        <w:rPr>
          <w:rFonts w:ascii="Times New Roman" w:eastAsia="Times New Roman" w:hAnsi="Times New Roman" w:cs="Times New Roman"/>
          <w:color w:val="auto"/>
          <w:sz w:val="20"/>
          <w:szCs w:val="20"/>
          <w:lang w:bidi="ar-EG"/>
        </w:rPr>
      </w:pPr>
      <w:r w:rsidRPr="00801C75">
        <w:rPr>
          <w:rFonts w:ascii="Times New Roman" w:eastAsia="Times New Roman" w:hAnsi="Times New Roman" w:cs="Times New Roman"/>
          <w:color w:val="auto"/>
          <w:sz w:val="20"/>
          <w:szCs w:val="20"/>
          <w:lang w:bidi="ar-EG"/>
        </w:rPr>
        <w:t xml:space="preserve">4. </w:t>
      </w:r>
      <w:r w:rsidR="00A0385B" w:rsidRPr="00801C75">
        <w:rPr>
          <w:rFonts w:ascii="Times New Roman" w:eastAsia="Times New Roman" w:hAnsi="Times New Roman" w:cs="Times New Roman"/>
          <w:color w:val="auto"/>
          <w:sz w:val="20"/>
          <w:szCs w:val="20"/>
          <w:lang w:bidi="ar-EG"/>
        </w:rPr>
        <w:t>Discussion</w:t>
      </w:r>
    </w:p>
    <w:p w:rsidR="00AA1859" w:rsidRPr="00801C75" w:rsidRDefault="00AA1859" w:rsidP="00331E80">
      <w:pPr>
        <w:autoSpaceDE w:val="0"/>
        <w:autoSpaceDN w:val="0"/>
        <w:bidi w:val="0"/>
        <w:adjustRightInd w:val="0"/>
        <w:snapToGrid w:val="0"/>
        <w:ind w:firstLine="425"/>
        <w:jc w:val="both"/>
        <w:rPr>
          <w:color w:val="131413"/>
          <w:sz w:val="20"/>
          <w:szCs w:val="20"/>
        </w:rPr>
      </w:pPr>
      <w:r w:rsidRPr="00801C75">
        <w:rPr>
          <w:color w:val="131413"/>
          <w:sz w:val="20"/>
          <w:szCs w:val="20"/>
        </w:rPr>
        <w:t xml:space="preserve">Colorectal cancer remains a prominent cause of cancer morbidity and mortality, despite progress in its management. It is therefore clinically important to discover and validate prognostic markers for the disease that are practical, reliable, and inexpensive. This would help clinicians modulate their plan of management </w:t>
      </w:r>
      <w:r w:rsidRPr="00801C75">
        <w:rPr>
          <w:b/>
          <w:bCs/>
          <w:color w:val="131413"/>
          <w:sz w:val="20"/>
          <w:szCs w:val="20"/>
          <w:vertAlign w:val="superscript"/>
        </w:rPr>
        <w:t>(</w:t>
      </w:r>
      <w:r w:rsidR="00FF6164" w:rsidRPr="00801C75">
        <w:rPr>
          <w:b/>
          <w:bCs/>
          <w:color w:val="000000" w:themeColor="text1"/>
          <w:sz w:val="20"/>
          <w:szCs w:val="20"/>
          <w:shd w:val="clear" w:color="auto" w:fill="FFFFFF"/>
          <w:vertAlign w:val="superscript"/>
        </w:rPr>
        <w:t>20</w:t>
      </w:r>
      <w:r w:rsidRPr="00801C75">
        <w:rPr>
          <w:b/>
          <w:bCs/>
          <w:color w:val="131413"/>
          <w:sz w:val="20"/>
          <w:szCs w:val="20"/>
          <w:vertAlign w:val="superscript"/>
        </w:rPr>
        <w:t>)</w:t>
      </w:r>
      <w:r w:rsidRPr="00801C75">
        <w:rPr>
          <w:b/>
          <w:bCs/>
          <w:i/>
          <w:iCs/>
          <w:color w:val="131413"/>
          <w:sz w:val="20"/>
          <w:szCs w:val="20"/>
        </w:rPr>
        <w:t>.</w:t>
      </w:r>
    </w:p>
    <w:p w:rsidR="00AA1859" w:rsidRPr="00801C75" w:rsidRDefault="00AA1859" w:rsidP="00331E80">
      <w:pPr>
        <w:autoSpaceDE w:val="0"/>
        <w:autoSpaceDN w:val="0"/>
        <w:bidi w:val="0"/>
        <w:adjustRightInd w:val="0"/>
        <w:snapToGrid w:val="0"/>
        <w:ind w:firstLine="425"/>
        <w:jc w:val="both"/>
        <w:rPr>
          <w:b/>
          <w:bCs/>
          <w:i/>
          <w:iCs/>
          <w:color w:val="131413"/>
          <w:sz w:val="20"/>
          <w:szCs w:val="20"/>
        </w:rPr>
      </w:pPr>
      <w:r w:rsidRPr="00801C75">
        <w:rPr>
          <w:color w:val="131413"/>
          <w:sz w:val="20"/>
          <w:szCs w:val="20"/>
        </w:rPr>
        <w:t xml:space="preserve">Immune and other cells originating from the peripheral blood and recruited to the tumor environment can shape the tumor behavior both directly and indirectly through production of cytokines. More recently, immune cells have come to the forefront of cancer research with the successful introduction of immune blockade inhibitors, drugs that potentiate anti-cancer immune function by blocking inhibitory receptors expressed in lymphocytes (e.g., CTLA4, PD-1) </w:t>
      </w:r>
      <w:r w:rsidRPr="00801C75">
        <w:rPr>
          <w:b/>
          <w:bCs/>
          <w:color w:val="131413"/>
          <w:sz w:val="20"/>
          <w:szCs w:val="20"/>
          <w:vertAlign w:val="superscript"/>
        </w:rPr>
        <w:t>(</w:t>
      </w:r>
      <w:r w:rsidR="00FF6164" w:rsidRPr="00801C75">
        <w:rPr>
          <w:b/>
          <w:bCs/>
          <w:color w:val="131413"/>
          <w:sz w:val="20"/>
          <w:szCs w:val="20"/>
          <w:vertAlign w:val="superscript"/>
        </w:rPr>
        <w:t>21</w:t>
      </w:r>
      <w:r w:rsidRPr="00801C75">
        <w:rPr>
          <w:b/>
          <w:bCs/>
          <w:color w:val="131413"/>
          <w:sz w:val="20"/>
          <w:szCs w:val="20"/>
          <w:vertAlign w:val="superscript"/>
        </w:rPr>
        <w:t>)</w:t>
      </w:r>
      <w:r w:rsidRPr="00801C75">
        <w:rPr>
          <w:b/>
          <w:bCs/>
          <w:i/>
          <w:iCs/>
          <w:color w:val="131413"/>
          <w:sz w:val="20"/>
          <w:szCs w:val="20"/>
        </w:rPr>
        <w:t>.</w:t>
      </w:r>
    </w:p>
    <w:p w:rsidR="00AA1859" w:rsidRPr="00801C75" w:rsidRDefault="00AA1859" w:rsidP="00331E80">
      <w:pPr>
        <w:autoSpaceDE w:val="0"/>
        <w:autoSpaceDN w:val="0"/>
        <w:bidi w:val="0"/>
        <w:adjustRightInd w:val="0"/>
        <w:snapToGrid w:val="0"/>
        <w:ind w:firstLine="425"/>
        <w:jc w:val="both"/>
        <w:rPr>
          <w:color w:val="131413"/>
          <w:sz w:val="20"/>
          <w:szCs w:val="20"/>
        </w:rPr>
      </w:pPr>
      <w:r w:rsidRPr="00801C75">
        <w:rPr>
          <w:color w:val="131413"/>
          <w:sz w:val="20"/>
          <w:szCs w:val="20"/>
        </w:rPr>
        <w:t xml:space="preserve">Perturbations in the number of immune cells in peripheral blood may be the result of cytokines produced in the tumor which may in turn affect tumor progression. Lymphocytosis has been associated with positive prognosis in various cancers, therefore, increased numbers of circulating lymphocytes may be a marker of increased cytokine signals from the tumor that would mobilize and attract marrow or tissue lymphocytes to the tumor microenvironment where they could attack tumor cells under the right conditions </w:t>
      </w:r>
      <w:r w:rsidRPr="00801C75">
        <w:rPr>
          <w:b/>
          <w:bCs/>
          <w:color w:val="131413"/>
          <w:sz w:val="20"/>
          <w:szCs w:val="20"/>
          <w:vertAlign w:val="superscript"/>
        </w:rPr>
        <w:t>(</w:t>
      </w:r>
      <w:r w:rsidR="00196F89" w:rsidRPr="00801C75">
        <w:rPr>
          <w:b/>
          <w:bCs/>
          <w:color w:val="131413"/>
          <w:sz w:val="20"/>
          <w:szCs w:val="20"/>
          <w:vertAlign w:val="superscript"/>
        </w:rPr>
        <w:t>22</w:t>
      </w:r>
      <w:r w:rsidRPr="00801C75">
        <w:rPr>
          <w:b/>
          <w:bCs/>
          <w:color w:val="131413"/>
          <w:sz w:val="20"/>
          <w:szCs w:val="20"/>
          <w:vertAlign w:val="superscript"/>
        </w:rPr>
        <w:t>)</w:t>
      </w:r>
      <w:r w:rsidRPr="00801C75">
        <w:rPr>
          <w:color w:val="131413"/>
          <w:sz w:val="20"/>
          <w:szCs w:val="20"/>
        </w:rPr>
        <w:t>.</w:t>
      </w:r>
    </w:p>
    <w:p w:rsidR="00AA1859" w:rsidRPr="00801C75" w:rsidRDefault="00AA1859" w:rsidP="00331E80">
      <w:pPr>
        <w:autoSpaceDE w:val="0"/>
        <w:autoSpaceDN w:val="0"/>
        <w:bidi w:val="0"/>
        <w:adjustRightInd w:val="0"/>
        <w:snapToGrid w:val="0"/>
        <w:ind w:firstLine="425"/>
        <w:jc w:val="both"/>
        <w:rPr>
          <w:color w:val="131413"/>
          <w:sz w:val="20"/>
          <w:szCs w:val="20"/>
        </w:rPr>
      </w:pPr>
      <w:r w:rsidRPr="00801C75">
        <w:rPr>
          <w:color w:val="131413"/>
          <w:sz w:val="20"/>
          <w:szCs w:val="20"/>
        </w:rPr>
        <w:t xml:space="preserve">Neutrophils, on the other hand, have a more controversial role in cancer. Certain subsets of these pro-inflammatory cells may have a pro-tumorigenic effect by induction of immune suppression </w:t>
      </w:r>
      <w:r w:rsidRPr="00801C75">
        <w:rPr>
          <w:b/>
          <w:bCs/>
          <w:color w:val="131413"/>
          <w:sz w:val="20"/>
          <w:szCs w:val="20"/>
          <w:vertAlign w:val="superscript"/>
        </w:rPr>
        <w:t>(</w:t>
      </w:r>
      <w:r w:rsidR="00196F89" w:rsidRPr="00801C75">
        <w:rPr>
          <w:b/>
          <w:bCs/>
          <w:color w:val="131413"/>
          <w:sz w:val="20"/>
          <w:szCs w:val="20"/>
          <w:vertAlign w:val="superscript"/>
        </w:rPr>
        <w:t>23</w:t>
      </w:r>
      <w:r w:rsidRPr="00801C75">
        <w:rPr>
          <w:b/>
          <w:bCs/>
          <w:color w:val="131413"/>
          <w:sz w:val="20"/>
          <w:szCs w:val="20"/>
          <w:vertAlign w:val="superscript"/>
        </w:rPr>
        <w:t>)</w:t>
      </w:r>
      <w:r w:rsidR="00331E80" w:rsidRPr="00801C75">
        <w:rPr>
          <w:color w:val="131413"/>
          <w:sz w:val="20"/>
          <w:szCs w:val="20"/>
        </w:rPr>
        <w:t>.</w:t>
      </w:r>
      <w:r w:rsidR="00331E80">
        <w:rPr>
          <w:color w:val="131413"/>
          <w:sz w:val="20"/>
          <w:szCs w:val="20"/>
        </w:rPr>
        <w:t xml:space="preserve"> </w:t>
      </w:r>
      <w:r w:rsidR="00331E80" w:rsidRPr="00801C75">
        <w:rPr>
          <w:color w:val="131413"/>
          <w:sz w:val="20"/>
          <w:szCs w:val="20"/>
        </w:rPr>
        <w:t>D</w:t>
      </w:r>
      <w:r w:rsidRPr="00801C75">
        <w:rPr>
          <w:color w:val="131413"/>
          <w:sz w:val="20"/>
          <w:szCs w:val="20"/>
        </w:rPr>
        <w:t xml:space="preserve">ue to this effect, neutrophilia has generally been found to be a negative prognostic factor in several malignancies </w:t>
      </w:r>
      <w:r w:rsidRPr="00801C75">
        <w:rPr>
          <w:b/>
          <w:bCs/>
          <w:color w:val="131413"/>
          <w:sz w:val="20"/>
          <w:szCs w:val="20"/>
          <w:vertAlign w:val="superscript"/>
        </w:rPr>
        <w:t>(</w:t>
      </w:r>
      <w:r w:rsidR="00196F89" w:rsidRPr="00801C75">
        <w:rPr>
          <w:b/>
          <w:bCs/>
          <w:color w:val="131413"/>
          <w:sz w:val="20"/>
          <w:szCs w:val="20"/>
          <w:vertAlign w:val="superscript"/>
        </w:rPr>
        <w:t>24</w:t>
      </w:r>
      <w:r w:rsidRPr="00801C75">
        <w:rPr>
          <w:b/>
          <w:bCs/>
          <w:color w:val="131413"/>
          <w:sz w:val="20"/>
          <w:szCs w:val="20"/>
          <w:vertAlign w:val="superscript"/>
        </w:rPr>
        <w:t>)</w:t>
      </w:r>
      <w:r w:rsidRPr="00801C75">
        <w:rPr>
          <w:color w:val="131413"/>
          <w:sz w:val="20"/>
          <w:szCs w:val="20"/>
        </w:rPr>
        <w:t>.</w:t>
      </w:r>
    </w:p>
    <w:p w:rsidR="00AA1859" w:rsidRPr="00801C75" w:rsidRDefault="00AA1859" w:rsidP="00331E80">
      <w:pPr>
        <w:autoSpaceDE w:val="0"/>
        <w:autoSpaceDN w:val="0"/>
        <w:bidi w:val="0"/>
        <w:adjustRightInd w:val="0"/>
        <w:snapToGrid w:val="0"/>
        <w:ind w:firstLine="425"/>
        <w:jc w:val="both"/>
        <w:rPr>
          <w:b/>
          <w:bCs/>
          <w:i/>
          <w:iCs/>
          <w:color w:val="131413"/>
          <w:sz w:val="20"/>
          <w:szCs w:val="20"/>
          <w:lang w:val="en-GB"/>
        </w:rPr>
      </w:pPr>
      <w:r w:rsidRPr="00801C75">
        <w:rPr>
          <w:color w:val="131413"/>
          <w:sz w:val="20"/>
          <w:szCs w:val="20"/>
        </w:rPr>
        <w:t xml:space="preserve">Thrombocytosis has been associated with adverse canceroutcomes in several cancer sites. Mechanistically, platelets may promote carcinogenesis in several ways, such as a mechanical </w:t>
      </w:r>
      <w:r w:rsidRPr="00801C75">
        <w:rPr>
          <w:color w:val="131413"/>
          <w:sz w:val="20"/>
          <w:szCs w:val="20"/>
        </w:rPr>
        <w:lastRenderedPageBreak/>
        <w:t>protection of tumor cells in transit in the circulation, as well as by enriching the tumor micro-environment for several bioactive pro-tumorigenic molecules transported and released from their granule</w:t>
      </w:r>
      <w:r w:rsidR="00801C75" w:rsidRPr="00801C75">
        <w:rPr>
          <w:color w:val="131413"/>
          <w:sz w:val="20"/>
          <w:szCs w:val="20"/>
        </w:rPr>
        <w:t xml:space="preserve">s </w:t>
      </w:r>
      <w:r w:rsidR="00801C75" w:rsidRPr="00801C75">
        <w:rPr>
          <w:b/>
          <w:bCs/>
          <w:color w:val="131413"/>
          <w:sz w:val="20"/>
          <w:szCs w:val="20"/>
          <w:vertAlign w:val="superscript"/>
        </w:rPr>
        <w:t>(</w:t>
      </w:r>
      <w:r w:rsidR="001953AE" w:rsidRPr="00801C75">
        <w:rPr>
          <w:b/>
          <w:bCs/>
          <w:color w:val="131413"/>
          <w:sz w:val="20"/>
          <w:szCs w:val="20"/>
          <w:vertAlign w:val="superscript"/>
        </w:rPr>
        <w:t>25</w:t>
      </w:r>
      <w:r w:rsidRPr="00801C75">
        <w:rPr>
          <w:b/>
          <w:bCs/>
          <w:color w:val="131413"/>
          <w:sz w:val="20"/>
          <w:szCs w:val="20"/>
          <w:vertAlign w:val="superscript"/>
          <w:lang w:val="en-GB"/>
        </w:rPr>
        <w:t>)</w:t>
      </w:r>
      <w:r w:rsidRPr="00801C75">
        <w:rPr>
          <w:b/>
          <w:bCs/>
          <w:i/>
          <w:iCs/>
          <w:color w:val="131413"/>
          <w:sz w:val="20"/>
          <w:szCs w:val="20"/>
          <w:lang w:val="en-GB"/>
        </w:rPr>
        <w:t>.</w:t>
      </w:r>
    </w:p>
    <w:p w:rsidR="00AA1859" w:rsidRPr="00801C75" w:rsidRDefault="00AA1859" w:rsidP="00331E80">
      <w:pPr>
        <w:bidi w:val="0"/>
        <w:snapToGrid w:val="0"/>
        <w:ind w:firstLine="425"/>
        <w:jc w:val="both"/>
        <w:rPr>
          <w:color w:val="000000" w:themeColor="text1"/>
          <w:sz w:val="20"/>
          <w:szCs w:val="20"/>
          <w:lang w:val="en-GB" w:bidi="ar-EG"/>
        </w:rPr>
      </w:pPr>
      <w:r w:rsidRPr="00801C75">
        <w:rPr>
          <w:sz w:val="20"/>
          <w:szCs w:val="20"/>
          <w:lang w:val="en-GB" w:bidi="ar-EG"/>
        </w:rPr>
        <w:t xml:space="preserve">The current study was designed to give a close picture to the role of platelet count and neutrophil lymphocyte ratio in relation to progression free survival (PFS), disease free survival (DFS) and overall survival (OS) in colorectal cancer patients. </w:t>
      </w:r>
      <w:r w:rsidRPr="00801C75">
        <w:rPr>
          <w:rFonts w:eastAsia="ヒラギノ角ゴ Pro W3"/>
          <w:sz w:val="20"/>
          <w:szCs w:val="20"/>
        </w:rPr>
        <w:t xml:space="preserve">It aimed </w:t>
      </w:r>
      <w:r w:rsidRPr="00801C75">
        <w:rPr>
          <w:rFonts w:eastAsia="ヒラギノ角ゴ Pro W3"/>
          <w:color w:val="000000" w:themeColor="text1"/>
          <w:sz w:val="20"/>
          <w:szCs w:val="20"/>
        </w:rPr>
        <w:t>also at evaluation of the relation between NLR and platelet count with various clinicopathological factors that are known to affect the clinical outcome, as well as exploring if these values could be an independent prognostic factor.</w:t>
      </w:r>
    </w:p>
    <w:p w:rsidR="00AA1859" w:rsidRPr="00801C75" w:rsidRDefault="00AA1859" w:rsidP="00331E80">
      <w:pPr>
        <w:bidi w:val="0"/>
        <w:snapToGrid w:val="0"/>
        <w:ind w:firstLine="425"/>
        <w:jc w:val="both"/>
        <w:rPr>
          <w:color w:val="000000" w:themeColor="text1"/>
          <w:sz w:val="20"/>
          <w:szCs w:val="20"/>
          <w:lang w:val="en-GB" w:bidi="ar-EG"/>
        </w:rPr>
      </w:pPr>
      <w:r w:rsidRPr="00801C75">
        <w:rPr>
          <w:color w:val="000000" w:themeColor="text1"/>
          <w:sz w:val="20"/>
          <w:szCs w:val="20"/>
          <w:lang w:val="en-GB" w:bidi="ar-EG"/>
        </w:rPr>
        <w:t>In our study females were more affected than males, 66 (39.1%) were males and 103 (60.9%) were females.</w:t>
      </w:r>
    </w:p>
    <w:p w:rsidR="00AA1859" w:rsidRPr="00801C75" w:rsidRDefault="00AA1859" w:rsidP="00331E80">
      <w:pPr>
        <w:bidi w:val="0"/>
        <w:snapToGrid w:val="0"/>
        <w:ind w:firstLine="425"/>
        <w:jc w:val="both"/>
        <w:rPr>
          <w:color w:val="FF0000"/>
          <w:sz w:val="20"/>
          <w:szCs w:val="20"/>
          <w:lang w:val="en-GB" w:bidi="ar-EG"/>
        </w:rPr>
      </w:pPr>
      <w:r w:rsidRPr="00801C75">
        <w:rPr>
          <w:color w:val="000000" w:themeColor="text1"/>
          <w:sz w:val="20"/>
          <w:szCs w:val="20"/>
          <w:lang w:val="en-GB" w:bidi="ar-EG"/>
        </w:rPr>
        <w:t xml:space="preserve">Urban residents constituted 52.7% of cases, while rural residents constituted 13% of cases; this finding is similar to that reported from developed countries. As rural dwellers have </w:t>
      </w:r>
      <w:r w:rsidRPr="00801C75">
        <w:rPr>
          <w:sz w:val="20"/>
          <w:szCs w:val="20"/>
          <w:lang w:val="en-GB" w:bidi="ar-EG"/>
        </w:rPr>
        <w:t>a lower incidence of colorectal than urbanitie</w:t>
      </w:r>
      <w:r w:rsidR="00801C75" w:rsidRPr="00801C75">
        <w:rPr>
          <w:sz w:val="20"/>
          <w:szCs w:val="20"/>
          <w:lang w:val="en-GB" w:bidi="ar-EG"/>
        </w:rPr>
        <w:t xml:space="preserve">s </w:t>
      </w:r>
      <w:r w:rsidR="00801C75" w:rsidRPr="00801C75">
        <w:rPr>
          <w:b/>
          <w:bCs/>
          <w:color w:val="262626" w:themeColor="text1" w:themeTint="D9"/>
          <w:sz w:val="20"/>
          <w:szCs w:val="20"/>
          <w:vertAlign w:val="superscript"/>
          <w:lang w:val="en-GB" w:bidi="ar-EG"/>
        </w:rPr>
        <w:t>(</w:t>
      </w:r>
      <w:r w:rsidR="00643E40" w:rsidRPr="00801C75">
        <w:rPr>
          <w:b/>
          <w:bCs/>
          <w:color w:val="262626" w:themeColor="text1" w:themeTint="D9"/>
          <w:sz w:val="20"/>
          <w:szCs w:val="20"/>
          <w:vertAlign w:val="superscript"/>
          <w:lang w:val="en-GB" w:bidi="ar-EG"/>
        </w:rPr>
        <w:t>26</w:t>
      </w:r>
      <w:r w:rsidRPr="00801C75">
        <w:rPr>
          <w:b/>
          <w:bCs/>
          <w:color w:val="262626" w:themeColor="text1" w:themeTint="D9"/>
          <w:sz w:val="20"/>
          <w:szCs w:val="20"/>
          <w:vertAlign w:val="superscript"/>
          <w:lang w:val="en-GB" w:bidi="ar-EG"/>
        </w:rPr>
        <w:t>)</w:t>
      </w:r>
      <w:r w:rsidRPr="00801C75">
        <w:rPr>
          <w:b/>
          <w:bCs/>
          <w:i/>
          <w:iCs/>
          <w:color w:val="262626" w:themeColor="text1" w:themeTint="D9"/>
          <w:sz w:val="20"/>
          <w:szCs w:val="20"/>
          <w:lang w:val="en-GB" w:bidi="ar-EG"/>
        </w:rPr>
        <w:t>.</w:t>
      </w:r>
    </w:p>
    <w:p w:rsidR="00AA1859" w:rsidRPr="00801C75" w:rsidRDefault="00AA1859" w:rsidP="00331E80">
      <w:pPr>
        <w:bidi w:val="0"/>
        <w:snapToGrid w:val="0"/>
        <w:ind w:firstLine="425"/>
        <w:jc w:val="both"/>
        <w:rPr>
          <w:sz w:val="20"/>
          <w:szCs w:val="20"/>
          <w:lang w:val="en-GB" w:bidi="ar-EG"/>
        </w:rPr>
      </w:pPr>
      <w:r w:rsidRPr="00801C75">
        <w:rPr>
          <w:sz w:val="20"/>
          <w:szCs w:val="20"/>
          <w:lang w:val="en-GB" w:bidi="ar-EG"/>
        </w:rPr>
        <w:t>Fifty three patients in our study were heavy smokers (31.4</w:t>
      </w:r>
      <w:r w:rsidRPr="00801C75">
        <w:rPr>
          <w:color w:val="000000" w:themeColor="text1"/>
          <w:sz w:val="20"/>
          <w:szCs w:val="20"/>
          <w:lang w:val="en-GB" w:bidi="ar-EG"/>
        </w:rPr>
        <w:t xml:space="preserve">%), 29 (17.2%) patients were hypertensive, 24 (14.2%) were diabetic on treatment. Family history was positive in 18.9% of all patients with increased risk but with no statistical significance, may explained by </w:t>
      </w:r>
      <w:r w:rsidRPr="00801C75">
        <w:rPr>
          <w:sz w:val="20"/>
          <w:szCs w:val="20"/>
          <w:lang w:val="en-GB" w:bidi="ar-EG"/>
        </w:rPr>
        <w:t>the deficient recording of data, maybe a larger number of patients needed to be investigated.</w:t>
      </w:r>
    </w:p>
    <w:p w:rsidR="00AA1859" w:rsidRPr="00801C75" w:rsidRDefault="00AA1859" w:rsidP="00331E80">
      <w:pPr>
        <w:bidi w:val="0"/>
        <w:snapToGrid w:val="0"/>
        <w:ind w:firstLine="425"/>
        <w:jc w:val="both"/>
        <w:rPr>
          <w:sz w:val="20"/>
          <w:szCs w:val="20"/>
          <w:lang w:val="en-GB" w:bidi="ar-EG"/>
        </w:rPr>
      </w:pPr>
      <w:r w:rsidRPr="00801C75">
        <w:rPr>
          <w:sz w:val="20"/>
          <w:szCs w:val="20"/>
          <w:lang w:val="en-GB" w:bidi="ar-EG"/>
        </w:rPr>
        <w:t>TNM Classification of Malignant Tumors (TNM) disease stage was classified according to the American Joint Committee of Cancer, 8th edition. In our study, 124 patients presented with early and locally advanced tumors (stage I, II, III) and 45 patients presented with metastatic disease (stage IV).</w:t>
      </w:r>
    </w:p>
    <w:p w:rsidR="00AA1859" w:rsidRPr="00801C75" w:rsidRDefault="00AA1859" w:rsidP="00331E80">
      <w:pPr>
        <w:bidi w:val="0"/>
        <w:snapToGrid w:val="0"/>
        <w:ind w:firstLine="425"/>
        <w:jc w:val="both"/>
        <w:rPr>
          <w:color w:val="000000" w:themeColor="text1"/>
          <w:sz w:val="20"/>
          <w:szCs w:val="20"/>
        </w:rPr>
      </w:pPr>
      <w:r w:rsidRPr="00801C75">
        <w:rPr>
          <w:sz w:val="20"/>
          <w:szCs w:val="20"/>
          <w:lang w:val="en-GB"/>
        </w:rPr>
        <w:t xml:space="preserve">At the end of </w:t>
      </w:r>
      <w:r w:rsidRPr="00801C75">
        <w:rPr>
          <w:color w:val="000000" w:themeColor="text1"/>
          <w:sz w:val="20"/>
          <w:szCs w:val="20"/>
          <w:lang w:val="en-GB"/>
        </w:rPr>
        <w:t>this study, 50 patients (29.6%) died, 21 patients were locally advanced and 29 (64.4%) metastatic patients,</w:t>
      </w:r>
      <w:r w:rsidRPr="00801C75">
        <w:rPr>
          <w:color w:val="000000" w:themeColor="text1"/>
          <w:sz w:val="20"/>
          <w:szCs w:val="20"/>
        </w:rPr>
        <w:t xml:space="preserve"> which is statistically significant difference according to fate (P Value&lt;.001).</w:t>
      </w:r>
    </w:p>
    <w:p w:rsidR="00AA1859" w:rsidRPr="00801C75" w:rsidRDefault="00AA1859" w:rsidP="00331E80">
      <w:pPr>
        <w:pStyle w:val="Body0"/>
        <w:bidi w:val="0"/>
        <w:snapToGrid w:val="0"/>
        <w:spacing w:after="0" w:line="240" w:lineRule="auto"/>
        <w:ind w:firstLine="425"/>
        <w:jc w:val="both"/>
        <w:rPr>
          <w:rFonts w:ascii="Times New Roman" w:hAnsi="Times New Roman" w:cs="Times New Roman"/>
          <w:color w:val="000000" w:themeColor="text1"/>
          <w:sz w:val="20"/>
          <w:szCs w:val="20"/>
          <w:lang w:bidi="ar-EG"/>
        </w:rPr>
      </w:pPr>
      <w:r w:rsidRPr="00801C75">
        <w:rPr>
          <w:rFonts w:ascii="Times New Roman" w:hAnsi="Times New Roman" w:cs="Times New Roman"/>
          <w:color w:val="000000" w:themeColor="text1"/>
          <w:sz w:val="20"/>
          <w:szCs w:val="20"/>
          <w:lang w:bidi="ar-EG"/>
        </w:rPr>
        <w:t xml:space="preserve">Out of </w:t>
      </w:r>
      <w:r w:rsidRPr="00801C75">
        <w:rPr>
          <w:rFonts w:ascii="Times New Roman" w:hAnsi="Times New Roman" w:cs="Times New Roman"/>
          <w:color w:val="000000" w:themeColor="text1"/>
          <w:sz w:val="20"/>
          <w:szCs w:val="20"/>
          <w:lang w:val="en-GB"/>
        </w:rPr>
        <w:t>169 patients enrolled in this study</w:t>
      </w:r>
      <w:r w:rsidRPr="00801C75">
        <w:rPr>
          <w:rFonts w:ascii="Times New Roman" w:hAnsi="Times New Roman" w:cs="Times New Roman"/>
          <w:color w:val="000000" w:themeColor="text1"/>
          <w:sz w:val="20"/>
          <w:szCs w:val="20"/>
          <w:lang w:bidi="ar-EG"/>
        </w:rPr>
        <w:t>, 124 patients were resectable and underwent curative surgeries (right hemicolectomy, left hemicolectomy, APR and LAR).</w:t>
      </w:r>
    </w:p>
    <w:p w:rsidR="00AA1859" w:rsidRPr="00801C75" w:rsidRDefault="00AA1859" w:rsidP="00331E80">
      <w:pPr>
        <w:pStyle w:val="Body0"/>
        <w:bidi w:val="0"/>
        <w:snapToGrid w:val="0"/>
        <w:spacing w:after="0" w:line="240" w:lineRule="auto"/>
        <w:ind w:firstLine="425"/>
        <w:jc w:val="both"/>
        <w:rPr>
          <w:rFonts w:ascii="Times New Roman" w:hAnsi="Times New Roman" w:cs="Times New Roman"/>
          <w:sz w:val="20"/>
          <w:szCs w:val="20"/>
          <w:lang w:val="en-GB" w:bidi="ar-EG"/>
        </w:rPr>
      </w:pPr>
      <w:r w:rsidRPr="00801C75">
        <w:rPr>
          <w:rFonts w:ascii="Times New Roman" w:hAnsi="Times New Roman" w:cs="Times New Roman"/>
          <w:color w:val="000000" w:themeColor="text1"/>
          <w:sz w:val="20"/>
          <w:szCs w:val="20"/>
          <w:lang w:val="en-GB" w:bidi="ar-EG"/>
        </w:rPr>
        <w:lastRenderedPageBreak/>
        <w:t>Out of 124 patients, in 44 patients tumour was right-side located and 80 patient's tumour located in the left sided colon</w:t>
      </w:r>
      <w:r w:rsidRPr="00801C75">
        <w:rPr>
          <w:rFonts w:ascii="Times New Roman" w:hAnsi="Times New Roman" w:cs="Times New Roman"/>
          <w:sz w:val="20"/>
          <w:szCs w:val="20"/>
          <w:lang w:val="en-GB" w:bidi="ar-EG"/>
        </w:rPr>
        <w:t>.</w:t>
      </w:r>
    </w:p>
    <w:p w:rsidR="00AA1859" w:rsidRPr="00801C75" w:rsidRDefault="00AA1859" w:rsidP="00331E80">
      <w:pPr>
        <w:pStyle w:val="Body0"/>
        <w:bidi w:val="0"/>
        <w:snapToGrid w:val="0"/>
        <w:spacing w:after="0" w:line="240" w:lineRule="auto"/>
        <w:ind w:firstLine="425"/>
        <w:jc w:val="both"/>
        <w:rPr>
          <w:rFonts w:ascii="Times New Roman" w:hAnsi="Times New Roman" w:cs="Times New Roman"/>
          <w:sz w:val="20"/>
          <w:szCs w:val="20"/>
          <w:lang w:bidi="ar-EG"/>
        </w:rPr>
      </w:pPr>
      <w:r w:rsidRPr="00801C75">
        <w:rPr>
          <w:rFonts w:ascii="Times New Roman" w:hAnsi="Times New Roman" w:cs="Times New Roman"/>
          <w:color w:val="auto"/>
          <w:sz w:val="20"/>
          <w:szCs w:val="20"/>
          <w:shd w:val="clear" w:color="auto" w:fill="FFFFFF"/>
        </w:rPr>
        <w:t>In many studies, primary tumor location is a prognostic factor in CRC. In a meta-analysis of 66 studies including 1,427,846 patients with all stages of disease, left-sided primary tumor location (tumor location at or beyond the splenic flexure) was associated with a significantly reduced risk of death and this was independent of stage, race, and use of adjuvant chemotherap</w:t>
      </w:r>
      <w:r w:rsidR="00801C75" w:rsidRPr="00801C75">
        <w:rPr>
          <w:rFonts w:ascii="Times New Roman" w:hAnsi="Times New Roman" w:cs="Times New Roman"/>
          <w:color w:val="auto"/>
          <w:sz w:val="20"/>
          <w:szCs w:val="20"/>
          <w:shd w:val="clear" w:color="auto" w:fill="FFFFFF"/>
        </w:rPr>
        <w:t xml:space="preserve">y </w:t>
      </w:r>
      <w:r w:rsidR="00801C75" w:rsidRPr="00801C75">
        <w:rPr>
          <w:rFonts w:ascii="Times New Roman" w:hAnsi="Times New Roman" w:cs="Times New Roman"/>
          <w:b/>
          <w:bCs/>
          <w:color w:val="auto"/>
          <w:sz w:val="20"/>
          <w:szCs w:val="20"/>
          <w:shd w:val="clear" w:color="auto" w:fill="FFFFFF"/>
          <w:vertAlign w:val="superscript"/>
        </w:rPr>
        <w:t>(</w:t>
      </w:r>
      <w:r w:rsidR="00643E40" w:rsidRPr="00801C75">
        <w:rPr>
          <w:rFonts w:ascii="Times New Roman" w:eastAsia="Times New Roman" w:hAnsi="Times New Roman" w:cs="Times New Roman"/>
          <w:b/>
          <w:bCs/>
          <w:color w:val="auto"/>
          <w:sz w:val="20"/>
          <w:szCs w:val="20"/>
          <w:vertAlign w:val="superscript"/>
        </w:rPr>
        <w:t>27</w:t>
      </w:r>
      <w:r w:rsidRPr="00801C75">
        <w:rPr>
          <w:rFonts w:ascii="Times New Roman" w:hAnsi="Times New Roman" w:cs="Times New Roman"/>
          <w:color w:val="auto"/>
          <w:sz w:val="20"/>
          <w:szCs w:val="20"/>
          <w:vertAlign w:val="superscript"/>
          <w:lang w:bidi="ar-EG"/>
        </w:rPr>
        <w:t>)</w:t>
      </w:r>
      <w:r w:rsidRPr="00801C75">
        <w:rPr>
          <w:rFonts w:ascii="Times New Roman" w:hAnsi="Times New Roman" w:cs="Times New Roman"/>
          <w:color w:val="auto"/>
          <w:sz w:val="20"/>
          <w:szCs w:val="20"/>
          <w:lang w:bidi="ar-EG"/>
        </w:rPr>
        <w:t>.</w:t>
      </w:r>
    </w:p>
    <w:p w:rsidR="00801C75" w:rsidRPr="00801C75" w:rsidRDefault="00AA1859" w:rsidP="00331E80">
      <w:pPr>
        <w:pStyle w:val="Body0"/>
        <w:bidi w:val="0"/>
        <w:snapToGrid w:val="0"/>
        <w:spacing w:after="0" w:line="240" w:lineRule="auto"/>
        <w:ind w:firstLine="425"/>
        <w:jc w:val="both"/>
        <w:rPr>
          <w:rFonts w:ascii="Times New Roman" w:hAnsi="Times New Roman" w:cs="Times New Roman"/>
          <w:color w:val="auto"/>
          <w:sz w:val="20"/>
          <w:szCs w:val="20"/>
          <w:lang w:val="en-GB"/>
        </w:rPr>
      </w:pPr>
      <w:r w:rsidRPr="00801C75">
        <w:rPr>
          <w:rFonts w:ascii="Times New Roman" w:hAnsi="Times New Roman" w:cs="Times New Roman"/>
          <w:sz w:val="20"/>
          <w:szCs w:val="20"/>
          <w:lang w:bidi="ar-EG"/>
        </w:rPr>
        <w:t xml:space="preserve">Inadequate lymph node dissection (less than 12 lymph </w:t>
      </w:r>
      <w:r w:rsidRPr="00801C75">
        <w:rPr>
          <w:rFonts w:ascii="Times New Roman" w:hAnsi="Times New Roman" w:cs="Times New Roman"/>
          <w:color w:val="auto"/>
          <w:sz w:val="20"/>
          <w:szCs w:val="20"/>
          <w:lang w:bidi="ar-EG"/>
        </w:rPr>
        <w:t xml:space="preserve">nodes) was noted in </w:t>
      </w:r>
      <w:r w:rsidRPr="00801C75">
        <w:rPr>
          <w:rFonts w:ascii="Times New Roman" w:eastAsia="Times New Roman" w:hAnsi="Times New Roman" w:cs="Times New Roman"/>
          <w:color w:val="auto"/>
          <w:sz w:val="20"/>
          <w:szCs w:val="20"/>
        </w:rPr>
        <w:t>41 (33.1%)</w:t>
      </w:r>
      <w:r w:rsidRPr="00801C75">
        <w:rPr>
          <w:rFonts w:ascii="Times New Roman" w:hAnsi="Times New Roman" w:cs="Times New Roman"/>
          <w:color w:val="auto"/>
          <w:sz w:val="20"/>
          <w:szCs w:val="20"/>
          <w:lang w:val="en-GB" w:bidi="ar-EG"/>
        </w:rPr>
        <w:t xml:space="preserve"> patients </w:t>
      </w:r>
      <w:r w:rsidRPr="00801C75">
        <w:rPr>
          <w:rFonts w:ascii="Times New Roman" w:hAnsi="Times New Roman" w:cs="Times New Roman"/>
          <w:color w:val="auto"/>
          <w:sz w:val="20"/>
          <w:szCs w:val="20"/>
          <w:lang w:val="en-GB"/>
        </w:rPr>
        <w:t>in resected patients and it was statistically significant for both DFS and OS.</w:t>
      </w:r>
    </w:p>
    <w:p w:rsidR="00801C75" w:rsidRPr="00801C75" w:rsidRDefault="00801C75" w:rsidP="00331E80">
      <w:pPr>
        <w:pStyle w:val="Body0"/>
        <w:bidi w:val="0"/>
        <w:snapToGrid w:val="0"/>
        <w:spacing w:after="0" w:line="240" w:lineRule="auto"/>
        <w:ind w:firstLine="425"/>
        <w:jc w:val="both"/>
        <w:rPr>
          <w:rFonts w:ascii="Times New Roman" w:hAnsi="Times New Roman" w:cs="Times New Roman"/>
          <w:color w:val="auto"/>
          <w:sz w:val="20"/>
          <w:szCs w:val="20"/>
          <w:lang w:val="en-GB" w:bidi="ar-EG"/>
        </w:rPr>
      </w:pPr>
      <w:r w:rsidRPr="00801C75">
        <w:rPr>
          <w:rFonts w:ascii="Times New Roman" w:hAnsi="Times New Roman" w:cs="Times New Roman"/>
          <w:color w:val="auto"/>
          <w:sz w:val="20"/>
          <w:szCs w:val="20"/>
          <w:lang w:val="en-GB"/>
        </w:rPr>
        <w:t>O</w:t>
      </w:r>
      <w:r w:rsidR="00AA1859" w:rsidRPr="00801C75">
        <w:rPr>
          <w:rFonts w:ascii="Times New Roman" w:hAnsi="Times New Roman" w:cs="Times New Roman"/>
          <w:color w:val="auto"/>
          <w:sz w:val="20"/>
          <w:szCs w:val="20"/>
          <w:lang w:val="en-GB"/>
        </w:rPr>
        <w:t xml:space="preserve">verall survival was 27 month for adequately resected patients and 17.5 month among inadequately resected patients with P Value </w:t>
      </w:r>
      <w:r w:rsidR="00AA1859" w:rsidRPr="00801C75">
        <w:rPr>
          <w:rFonts w:ascii="Times New Roman" w:hAnsi="Times New Roman" w:cs="Times New Roman"/>
          <w:color w:val="auto"/>
          <w:sz w:val="20"/>
          <w:szCs w:val="20"/>
          <w:lang w:val="en-GB" w:bidi="ar-EG"/>
        </w:rPr>
        <w:t>=</w:t>
      </w:r>
      <w:r w:rsidR="00F026DF" w:rsidRPr="00801C75">
        <w:rPr>
          <w:rFonts w:ascii="Times New Roman" w:hAnsi="Times New Roman" w:cs="Times New Roman"/>
          <w:color w:val="auto"/>
          <w:sz w:val="20"/>
          <w:szCs w:val="20"/>
          <w:lang w:val="en-GB" w:bidi="ar-EG"/>
        </w:rPr>
        <w:t>.</w:t>
      </w:r>
      <w:r w:rsidR="00AA1859" w:rsidRPr="00801C75">
        <w:rPr>
          <w:rFonts w:ascii="Times New Roman" w:hAnsi="Times New Roman" w:cs="Times New Roman"/>
          <w:color w:val="auto"/>
          <w:sz w:val="20"/>
          <w:szCs w:val="20"/>
          <w:lang w:val="en-GB" w:bidi="ar-EG"/>
        </w:rPr>
        <w:t>002.</w:t>
      </w:r>
    </w:p>
    <w:p w:rsidR="00AA1859" w:rsidRPr="00801C75" w:rsidRDefault="00801C75" w:rsidP="00331E80">
      <w:pPr>
        <w:pStyle w:val="Body0"/>
        <w:bidi w:val="0"/>
        <w:snapToGrid w:val="0"/>
        <w:spacing w:after="0" w:line="240" w:lineRule="auto"/>
        <w:ind w:firstLine="425"/>
        <w:jc w:val="both"/>
        <w:rPr>
          <w:rFonts w:ascii="Times New Roman" w:hAnsi="Times New Roman" w:cs="Times New Roman"/>
          <w:color w:val="auto"/>
          <w:sz w:val="20"/>
          <w:szCs w:val="20"/>
          <w:lang w:val="en-GB"/>
        </w:rPr>
      </w:pPr>
      <w:r w:rsidRPr="00801C75">
        <w:rPr>
          <w:rFonts w:ascii="Times New Roman" w:hAnsi="Times New Roman" w:cs="Times New Roman"/>
          <w:color w:val="auto"/>
          <w:sz w:val="20"/>
          <w:szCs w:val="20"/>
          <w:lang w:val="en-GB"/>
        </w:rPr>
        <w:t>D</w:t>
      </w:r>
      <w:r w:rsidR="00AA1859" w:rsidRPr="00801C75">
        <w:rPr>
          <w:rFonts w:ascii="Times New Roman" w:hAnsi="Times New Roman" w:cs="Times New Roman"/>
          <w:color w:val="auto"/>
          <w:sz w:val="20"/>
          <w:szCs w:val="20"/>
          <w:lang w:val="en-GB"/>
        </w:rPr>
        <w:t>isease free survival was 19 month vs. 14 month in 1</w:t>
      </w:r>
      <w:r w:rsidR="00AA1859" w:rsidRPr="00801C75">
        <w:rPr>
          <w:rFonts w:ascii="Times New Roman" w:hAnsi="Times New Roman" w:cs="Times New Roman"/>
          <w:color w:val="auto"/>
          <w:sz w:val="20"/>
          <w:szCs w:val="20"/>
          <w:vertAlign w:val="superscript"/>
          <w:lang w:val="en-GB"/>
        </w:rPr>
        <w:t>st</w:t>
      </w:r>
      <w:r w:rsidR="00AA1859" w:rsidRPr="00801C75">
        <w:rPr>
          <w:rFonts w:ascii="Times New Roman" w:hAnsi="Times New Roman" w:cs="Times New Roman"/>
          <w:color w:val="auto"/>
          <w:sz w:val="20"/>
          <w:szCs w:val="20"/>
          <w:lang w:val="en-GB"/>
        </w:rPr>
        <w:t xml:space="preserve"> group and 2</w:t>
      </w:r>
      <w:r w:rsidR="00AA1859" w:rsidRPr="00801C75">
        <w:rPr>
          <w:rFonts w:ascii="Times New Roman" w:hAnsi="Times New Roman" w:cs="Times New Roman"/>
          <w:color w:val="auto"/>
          <w:sz w:val="20"/>
          <w:szCs w:val="20"/>
          <w:vertAlign w:val="superscript"/>
          <w:lang w:val="en-GB"/>
        </w:rPr>
        <w:t>nd</w:t>
      </w:r>
      <w:r w:rsidR="00AA1859" w:rsidRPr="00801C75">
        <w:rPr>
          <w:rFonts w:ascii="Times New Roman" w:hAnsi="Times New Roman" w:cs="Times New Roman"/>
          <w:color w:val="auto"/>
          <w:sz w:val="20"/>
          <w:szCs w:val="20"/>
          <w:lang w:val="en-GB"/>
        </w:rPr>
        <w:t xml:space="preserve"> group, respectively with P Value =</w:t>
      </w:r>
      <w:r w:rsidR="00F026DF" w:rsidRPr="00801C75">
        <w:rPr>
          <w:rFonts w:ascii="Times New Roman" w:hAnsi="Times New Roman" w:cs="Times New Roman"/>
          <w:color w:val="auto"/>
          <w:sz w:val="20"/>
          <w:szCs w:val="20"/>
          <w:lang w:val="en-GB"/>
        </w:rPr>
        <w:t>.</w:t>
      </w:r>
      <w:r w:rsidR="00AA1859" w:rsidRPr="00801C75">
        <w:rPr>
          <w:rFonts w:ascii="Times New Roman" w:hAnsi="Times New Roman" w:cs="Times New Roman"/>
          <w:color w:val="auto"/>
          <w:sz w:val="20"/>
          <w:szCs w:val="20"/>
          <w:lang w:val="en-GB"/>
        </w:rPr>
        <w:t>003).</w:t>
      </w:r>
    </w:p>
    <w:p w:rsidR="00AA1859" w:rsidRPr="00801C75" w:rsidRDefault="00AA1859" w:rsidP="00331E80">
      <w:pPr>
        <w:pStyle w:val="Body0"/>
        <w:bidi w:val="0"/>
        <w:snapToGrid w:val="0"/>
        <w:spacing w:after="0" w:line="240" w:lineRule="auto"/>
        <w:ind w:firstLine="425"/>
        <w:jc w:val="both"/>
        <w:rPr>
          <w:rFonts w:ascii="Times New Roman" w:hAnsi="Times New Roman" w:cs="Times New Roman"/>
          <w:sz w:val="20"/>
          <w:szCs w:val="20"/>
          <w:lang w:val="en-GB" w:bidi="ar-EG"/>
        </w:rPr>
      </w:pPr>
      <w:r w:rsidRPr="00801C75">
        <w:rPr>
          <w:rFonts w:ascii="Times New Roman" w:hAnsi="Times New Roman" w:cs="Times New Roman"/>
          <w:color w:val="auto"/>
          <w:sz w:val="20"/>
          <w:szCs w:val="20"/>
          <w:lang w:val="en-GB" w:bidi="ar-EG"/>
        </w:rPr>
        <w:t xml:space="preserve">This met the western literature that recommended that </w:t>
      </w:r>
      <w:r w:rsidRPr="00801C75">
        <w:rPr>
          <w:rFonts w:ascii="Times New Roman" w:hAnsi="Times New Roman" w:cs="Times New Roman"/>
          <w:color w:val="auto"/>
          <w:sz w:val="20"/>
          <w:szCs w:val="20"/>
          <w:shd w:val="clear" w:color="auto" w:fill="FFFFFF"/>
        </w:rPr>
        <w:t xml:space="preserve">the larger number of nodes may reflect the quality of the surgery and a more complete resection of the mesenteric pedicle, guidelines from </w:t>
      </w:r>
      <w:r w:rsidRPr="00801C75">
        <w:rPr>
          <w:rFonts w:ascii="Times New Roman" w:hAnsi="Times New Roman" w:cs="Times New Roman"/>
          <w:sz w:val="20"/>
          <w:szCs w:val="20"/>
          <w:shd w:val="clear" w:color="auto" w:fill="FFFFFF"/>
        </w:rPr>
        <w:t>expert groups recommend at least 12 nodes be examined histologically to accurately determine nodal statu</w:t>
      </w:r>
      <w:r w:rsidR="00801C75" w:rsidRPr="00801C75">
        <w:rPr>
          <w:rFonts w:ascii="Times New Roman" w:hAnsi="Times New Roman" w:cs="Times New Roman"/>
          <w:sz w:val="20"/>
          <w:szCs w:val="20"/>
          <w:shd w:val="clear" w:color="auto" w:fill="FFFFFF"/>
        </w:rPr>
        <w:t xml:space="preserve">s </w:t>
      </w:r>
      <w:r w:rsidR="00801C75" w:rsidRPr="00801C75">
        <w:rPr>
          <w:rFonts w:ascii="Times New Roman" w:eastAsia="Times New Roman" w:hAnsi="Times New Roman" w:cs="Times New Roman"/>
          <w:b/>
          <w:bCs/>
          <w:sz w:val="20"/>
          <w:szCs w:val="20"/>
          <w:vertAlign w:val="superscript"/>
        </w:rPr>
        <w:t>(</w:t>
      </w:r>
      <w:r w:rsidR="000603A8" w:rsidRPr="00801C75">
        <w:rPr>
          <w:rFonts w:ascii="Times New Roman" w:eastAsia="Times New Roman" w:hAnsi="Times New Roman" w:cs="Times New Roman"/>
          <w:b/>
          <w:bCs/>
          <w:sz w:val="20"/>
          <w:szCs w:val="20"/>
          <w:vertAlign w:val="superscript"/>
        </w:rPr>
        <w:t>28</w:t>
      </w:r>
      <w:r w:rsidRPr="00801C75">
        <w:rPr>
          <w:rFonts w:ascii="Times New Roman" w:eastAsia="Times New Roman" w:hAnsi="Times New Roman" w:cs="Times New Roman"/>
          <w:b/>
          <w:bCs/>
          <w:sz w:val="20"/>
          <w:szCs w:val="20"/>
          <w:vertAlign w:val="superscript"/>
          <w:lang w:val="en-GB"/>
        </w:rPr>
        <w:t>)</w:t>
      </w:r>
      <w:r w:rsidRPr="00801C75">
        <w:rPr>
          <w:rFonts w:ascii="Times New Roman" w:hAnsi="Times New Roman" w:cs="Times New Roman"/>
          <w:sz w:val="20"/>
          <w:szCs w:val="20"/>
          <w:lang w:val="en-GB" w:bidi="ar-EG"/>
        </w:rPr>
        <w:t>.</w:t>
      </w:r>
    </w:p>
    <w:p w:rsidR="00AA1859" w:rsidRPr="00801C75" w:rsidRDefault="00AA1859" w:rsidP="00331E80">
      <w:pPr>
        <w:pStyle w:val="Body0"/>
        <w:bidi w:val="0"/>
        <w:snapToGrid w:val="0"/>
        <w:spacing w:after="0" w:line="240" w:lineRule="auto"/>
        <w:ind w:firstLine="425"/>
        <w:jc w:val="both"/>
        <w:rPr>
          <w:rFonts w:ascii="Times New Roman" w:hAnsi="Times New Roman" w:cs="Times New Roman"/>
          <w:sz w:val="20"/>
          <w:szCs w:val="20"/>
          <w:shd w:val="clear" w:color="auto" w:fill="FFFFFF"/>
        </w:rPr>
      </w:pPr>
      <w:r w:rsidRPr="00801C75">
        <w:rPr>
          <w:rFonts w:ascii="Times New Roman" w:hAnsi="Times New Roman" w:cs="Times New Roman"/>
          <w:sz w:val="20"/>
          <w:szCs w:val="20"/>
          <w:shd w:val="clear" w:color="auto" w:fill="FFFFFF"/>
        </w:rPr>
        <w:t>Histologic grades in our study ranges between grade I-III, found to be statistically significant with disease free survival (P Value=</w:t>
      </w:r>
      <w:r w:rsidR="00F026DF" w:rsidRPr="00801C75">
        <w:rPr>
          <w:rFonts w:ascii="Times New Roman" w:hAnsi="Times New Roman" w:cs="Times New Roman"/>
          <w:sz w:val="20"/>
          <w:szCs w:val="20"/>
          <w:shd w:val="clear" w:color="auto" w:fill="FFFFFF"/>
        </w:rPr>
        <w:t>.</w:t>
      </w:r>
      <w:r w:rsidRPr="00801C75">
        <w:rPr>
          <w:rFonts w:ascii="Times New Roman" w:hAnsi="Times New Roman" w:cs="Times New Roman"/>
          <w:sz w:val="20"/>
          <w:szCs w:val="20"/>
          <w:shd w:val="clear" w:color="auto" w:fill="FFFFFF"/>
        </w:rPr>
        <w:t>048).</w:t>
      </w:r>
    </w:p>
    <w:p w:rsidR="00AA1859" w:rsidRPr="00801C75" w:rsidRDefault="00AA1859" w:rsidP="00331E80">
      <w:pPr>
        <w:pStyle w:val="Body0"/>
        <w:bidi w:val="0"/>
        <w:snapToGrid w:val="0"/>
        <w:spacing w:after="0" w:line="240" w:lineRule="auto"/>
        <w:ind w:firstLine="425"/>
        <w:jc w:val="both"/>
        <w:rPr>
          <w:rFonts w:ascii="Times New Roman" w:hAnsi="Times New Roman" w:cs="Times New Roman"/>
          <w:sz w:val="20"/>
          <w:szCs w:val="20"/>
          <w:shd w:val="clear" w:color="auto" w:fill="FFFFFF"/>
          <w:lang w:val="en-GB"/>
        </w:rPr>
      </w:pPr>
      <w:r w:rsidRPr="00801C75">
        <w:rPr>
          <w:rFonts w:ascii="Times New Roman" w:hAnsi="Times New Roman" w:cs="Times New Roman"/>
          <w:sz w:val="20"/>
          <w:szCs w:val="20"/>
          <w:shd w:val="clear" w:color="auto" w:fill="FFFFFF"/>
          <w:lang w:val="en-GB"/>
        </w:rPr>
        <w:t>Disease free survival was 28, 13 and 7.2 months for patients with grade I, II and III tumors, respectively.</w:t>
      </w:r>
    </w:p>
    <w:p w:rsidR="00AA1859" w:rsidRPr="00801C75" w:rsidRDefault="00AA1859" w:rsidP="00331E80">
      <w:pPr>
        <w:pStyle w:val="Body0"/>
        <w:bidi w:val="0"/>
        <w:snapToGrid w:val="0"/>
        <w:spacing w:after="0" w:line="240" w:lineRule="auto"/>
        <w:ind w:firstLine="425"/>
        <w:jc w:val="both"/>
        <w:rPr>
          <w:rFonts w:ascii="Times New Roman" w:eastAsia="Times New Roman" w:hAnsi="Times New Roman" w:cs="Times New Roman"/>
          <w:b/>
          <w:bCs/>
          <w:i/>
          <w:iCs/>
          <w:color w:val="000000" w:themeColor="text1"/>
          <w:sz w:val="20"/>
          <w:szCs w:val="20"/>
        </w:rPr>
      </w:pPr>
      <w:r w:rsidRPr="00801C75">
        <w:rPr>
          <w:rFonts w:ascii="Times New Roman" w:hAnsi="Times New Roman" w:cs="Times New Roman"/>
          <w:sz w:val="20"/>
          <w:szCs w:val="20"/>
          <w:shd w:val="clear" w:color="auto" w:fill="FFFFFF"/>
        </w:rPr>
        <w:t xml:space="preserve">Grade reflects the degree of tumor differentiation, poorly differentiated histology is one of </w:t>
      </w:r>
      <w:r w:rsidRPr="00801C75">
        <w:rPr>
          <w:rFonts w:ascii="Times New Roman" w:hAnsi="Times New Roman" w:cs="Times New Roman"/>
          <w:color w:val="000000" w:themeColor="text1"/>
          <w:sz w:val="20"/>
          <w:szCs w:val="20"/>
          <w:shd w:val="clear" w:color="auto" w:fill="FFFFFF"/>
        </w:rPr>
        <w:t>the clinicopathological features used to define "high-risk" stage II disease by ASCO, </w:t>
      </w:r>
      <w:hyperlink r:id="rId14" w:tgtFrame="_blank" w:history="1">
        <w:r w:rsidRPr="00801C75">
          <w:rPr>
            <w:rStyle w:val="Hyperlink"/>
            <w:rFonts w:ascii="Times New Roman" w:hAnsi="Times New Roman" w:cs="Times New Roman"/>
            <w:color w:val="000000" w:themeColor="text1"/>
            <w:sz w:val="20"/>
            <w:szCs w:val="20"/>
            <w:u w:val="none"/>
            <w:shd w:val="clear" w:color="auto" w:fill="FFFFFF"/>
          </w:rPr>
          <w:t>NCCN,</w:t>
        </w:r>
      </w:hyperlink>
      <w:r w:rsidRPr="00801C75">
        <w:rPr>
          <w:rFonts w:ascii="Times New Roman" w:hAnsi="Times New Roman" w:cs="Times New Roman"/>
          <w:color w:val="000000" w:themeColor="text1"/>
          <w:sz w:val="20"/>
          <w:szCs w:val="20"/>
          <w:shd w:val="clear" w:color="auto" w:fill="FFFFFF"/>
        </w:rPr>
        <w:t> and ESM</w:t>
      </w:r>
      <w:r w:rsidR="00801C75" w:rsidRPr="00801C75">
        <w:rPr>
          <w:rFonts w:ascii="Times New Roman" w:hAnsi="Times New Roman" w:cs="Times New Roman"/>
          <w:color w:val="000000" w:themeColor="text1"/>
          <w:sz w:val="20"/>
          <w:szCs w:val="20"/>
          <w:shd w:val="clear" w:color="auto" w:fill="FFFFFF"/>
        </w:rPr>
        <w:t xml:space="preserve">O </w:t>
      </w:r>
      <w:r w:rsidR="00801C75" w:rsidRPr="00801C75">
        <w:rPr>
          <w:rFonts w:ascii="Times New Roman" w:hAnsi="Times New Roman" w:cs="Times New Roman"/>
          <w:b/>
          <w:bCs/>
          <w:color w:val="000000" w:themeColor="text1"/>
          <w:sz w:val="20"/>
          <w:szCs w:val="20"/>
          <w:shd w:val="clear" w:color="auto" w:fill="FFFFFF"/>
          <w:vertAlign w:val="superscript"/>
        </w:rPr>
        <w:t>(</w:t>
      </w:r>
      <w:r w:rsidR="000603A8" w:rsidRPr="00801C75">
        <w:rPr>
          <w:rFonts w:ascii="Times New Roman" w:eastAsia="Times New Roman" w:hAnsi="Times New Roman" w:cs="Times New Roman"/>
          <w:b/>
          <w:bCs/>
          <w:color w:val="000000" w:themeColor="text1"/>
          <w:sz w:val="20"/>
          <w:szCs w:val="20"/>
          <w:vertAlign w:val="superscript"/>
        </w:rPr>
        <w:t>29</w:t>
      </w:r>
      <w:r w:rsidRPr="00801C75">
        <w:rPr>
          <w:rFonts w:ascii="Times New Roman" w:eastAsia="Times New Roman" w:hAnsi="Times New Roman" w:cs="Times New Roman"/>
          <w:b/>
          <w:bCs/>
          <w:color w:val="000000" w:themeColor="text1"/>
          <w:sz w:val="20"/>
          <w:szCs w:val="20"/>
          <w:vertAlign w:val="superscript"/>
        </w:rPr>
        <w:t>)</w:t>
      </w:r>
      <w:r w:rsidRPr="00801C75">
        <w:rPr>
          <w:rFonts w:ascii="Times New Roman" w:eastAsia="Times New Roman" w:hAnsi="Times New Roman" w:cs="Times New Roman"/>
          <w:b/>
          <w:bCs/>
          <w:i/>
          <w:iCs/>
          <w:color w:val="000000" w:themeColor="text1"/>
          <w:sz w:val="20"/>
          <w:szCs w:val="20"/>
        </w:rPr>
        <w:t>.</w:t>
      </w:r>
    </w:p>
    <w:p w:rsidR="00AA1859" w:rsidRPr="00801C75" w:rsidRDefault="00AA1859" w:rsidP="00331E80">
      <w:pPr>
        <w:pStyle w:val="Body0"/>
        <w:bidi w:val="0"/>
        <w:snapToGrid w:val="0"/>
        <w:spacing w:after="0" w:line="240" w:lineRule="auto"/>
        <w:ind w:firstLine="425"/>
        <w:jc w:val="both"/>
        <w:rPr>
          <w:rFonts w:ascii="Times New Roman" w:hAnsi="Times New Roman" w:cs="Times New Roman"/>
          <w:sz w:val="20"/>
          <w:szCs w:val="20"/>
          <w:lang w:val="en-GB" w:bidi="ar-EG"/>
        </w:rPr>
      </w:pPr>
      <w:r w:rsidRPr="00801C75">
        <w:rPr>
          <w:rFonts w:ascii="Times New Roman" w:eastAsia="Times New Roman" w:hAnsi="Times New Roman" w:cs="Times New Roman"/>
          <w:sz w:val="20"/>
          <w:szCs w:val="20"/>
        </w:rPr>
        <w:t xml:space="preserve">In our study LVI found to be an adverse prognostic factor statistically </w:t>
      </w:r>
      <w:r w:rsidRPr="00801C75">
        <w:rPr>
          <w:rFonts w:ascii="Times New Roman" w:eastAsia="Times New Roman" w:hAnsi="Times New Roman" w:cs="Times New Roman"/>
          <w:color w:val="auto"/>
          <w:sz w:val="20"/>
          <w:szCs w:val="20"/>
        </w:rPr>
        <w:t>significant (P Value=</w:t>
      </w:r>
      <w:r w:rsidR="00F026DF" w:rsidRPr="00801C75">
        <w:rPr>
          <w:rFonts w:ascii="Times New Roman" w:eastAsia="Times New Roman" w:hAnsi="Times New Roman" w:cs="Times New Roman"/>
          <w:color w:val="auto"/>
          <w:sz w:val="20"/>
          <w:szCs w:val="20"/>
        </w:rPr>
        <w:t>.</w:t>
      </w:r>
      <w:r w:rsidRPr="00801C75">
        <w:rPr>
          <w:rFonts w:ascii="Times New Roman" w:eastAsia="Times New Roman" w:hAnsi="Times New Roman" w:cs="Times New Roman"/>
          <w:color w:val="auto"/>
          <w:sz w:val="20"/>
          <w:szCs w:val="20"/>
        </w:rPr>
        <w:t xml:space="preserve">033) which met the western literature that admit </w:t>
      </w:r>
      <w:r w:rsidRPr="00801C75">
        <w:rPr>
          <w:rFonts w:ascii="Times New Roman" w:hAnsi="Times New Roman" w:cs="Times New Roman"/>
          <w:color w:val="auto"/>
          <w:sz w:val="20"/>
          <w:szCs w:val="20"/>
          <w:shd w:val="clear" w:color="auto" w:fill="FFFFFF"/>
        </w:rPr>
        <w:t xml:space="preserve">tumor invasion into veins or small nonmuscularized vessels is an important </w:t>
      </w:r>
      <w:r w:rsidRPr="00801C75">
        <w:rPr>
          <w:rFonts w:ascii="Times New Roman" w:hAnsi="Times New Roman" w:cs="Times New Roman"/>
          <w:sz w:val="20"/>
          <w:szCs w:val="20"/>
          <w:shd w:val="clear" w:color="auto" w:fill="FFFFFF"/>
        </w:rPr>
        <w:t xml:space="preserve">prognostic determinantrepresent independent adverse prognostic factors </w:t>
      </w:r>
      <w:r w:rsidRPr="00801C75">
        <w:rPr>
          <w:rFonts w:ascii="Times New Roman" w:hAnsi="Times New Roman" w:cs="Times New Roman"/>
          <w:b/>
          <w:bCs/>
          <w:sz w:val="20"/>
          <w:szCs w:val="20"/>
          <w:shd w:val="clear" w:color="auto" w:fill="FFFFFF"/>
          <w:vertAlign w:val="superscript"/>
        </w:rPr>
        <w:t>(</w:t>
      </w:r>
      <w:r w:rsidR="000603A8" w:rsidRPr="00801C75">
        <w:rPr>
          <w:rFonts w:ascii="Times New Roman" w:eastAsia="Times New Roman" w:hAnsi="Times New Roman" w:cs="Times New Roman"/>
          <w:b/>
          <w:bCs/>
          <w:sz w:val="20"/>
          <w:szCs w:val="20"/>
          <w:vertAlign w:val="superscript"/>
        </w:rPr>
        <w:t>30</w:t>
      </w:r>
      <w:r w:rsidRPr="00801C75">
        <w:rPr>
          <w:rFonts w:ascii="Times New Roman" w:eastAsia="Times New Roman" w:hAnsi="Times New Roman" w:cs="Times New Roman"/>
          <w:b/>
          <w:bCs/>
          <w:sz w:val="20"/>
          <w:szCs w:val="20"/>
          <w:vertAlign w:val="superscript"/>
        </w:rPr>
        <w:t>)</w:t>
      </w:r>
      <w:r w:rsidRPr="00801C75">
        <w:rPr>
          <w:rFonts w:ascii="Times New Roman" w:eastAsia="Times New Roman" w:hAnsi="Times New Roman" w:cs="Times New Roman"/>
          <w:b/>
          <w:bCs/>
          <w:i/>
          <w:iCs/>
          <w:sz w:val="20"/>
          <w:szCs w:val="20"/>
          <w:lang w:val="en-GB"/>
        </w:rPr>
        <w:t>.</w:t>
      </w:r>
    </w:p>
    <w:p w:rsidR="00AA1859" w:rsidRPr="00801C75" w:rsidRDefault="00AA1859" w:rsidP="00331E80">
      <w:pPr>
        <w:pStyle w:val="Body0"/>
        <w:bidi w:val="0"/>
        <w:snapToGrid w:val="0"/>
        <w:spacing w:after="0" w:line="240" w:lineRule="auto"/>
        <w:ind w:firstLine="425"/>
        <w:jc w:val="both"/>
        <w:rPr>
          <w:rFonts w:ascii="Times New Roman" w:hAnsi="Times New Roman" w:cs="Times New Roman"/>
          <w:color w:val="FF0000"/>
          <w:sz w:val="20"/>
          <w:szCs w:val="20"/>
          <w:lang w:val="en-GB" w:bidi="ar-EG"/>
        </w:rPr>
      </w:pPr>
      <w:r w:rsidRPr="00801C75">
        <w:rPr>
          <w:rFonts w:ascii="Times New Roman" w:hAnsi="Times New Roman" w:cs="Times New Roman"/>
          <w:sz w:val="20"/>
          <w:szCs w:val="20"/>
          <w:lang w:val="en-GB" w:bidi="ar-EG"/>
        </w:rPr>
        <w:t xml:space="preserve">Perineural invasion (PNI), mucinous activity </w:t>
      </w:r>
      <w:r w:rsidRPr="00801C75">
        <w:rPr>
          <w:rFonts w:ascii="Times New Roman" w:hAnsi="Times New Roman" w:cs="Times New Roman"/>
          <w:color w:val="auto"/>
          <w:sz w:val="20"/>
          <w:szCs w:val="20"/>
          <w:lang w:val="en-GB" w:bidi="ar-EG"/>
        </w:rPr>
        <w:t xml:space="preserve">and peritoneal disease are generally associated with an increased risk. PNI in the current study was </w:t>
      </w:r>
      <w:r w:rsidRPr="00801C75">
        <w:rPr>
          <w:rFonts w:ascii="Times New Roman" w:hAnsi="Times New Roman" w:cs="Times New Roman"/>
          <w:color w:val="000000" w:themeColor="text1"/>
          <w:sz w:val="20"/>
          <w:szCs w:val="20"/>
          <w:lang w:val="en-GB" w:bidi="ar-EG"/>
        </w:rPr>
        <w:t>reported only in 58% of patients, mucinous activity reported in 62% and peritoneal disease was reported in 54% only of cases with P Value equals (.21,</w:t>
      </w:r>
      <w:r w:rsidR="00F026DF" w:rsidRPr="00801C75">
        <w:rPr>
          <w:rFonts w:ascii="Times New Roman" w:hAnsi="Times New Roman" w:cs="Times New Roman"/>
          <w:color w:val="000000" w:themeColor="text1"/>
          <w:sz w:val="20"/>
          <w:szCs w:val="20"/>
          <w:lang w:val="en-GB" w:bidi="ar-EG"/>
        </w:rPr>
        <w:t>.</w:t>
      </w:r>
      <w:r w:rsidRPr="00801C75">
        <w:rPr>
          <w:rFonts w:ascii="Times New Roman" w:hAnsi="Times New Roman" w:cs="Times New Roman"/>
          <w:color w:val="000000" w:themeColor="text1"/>
          <w:sz w:val="20"/>
          <w:szCs w:val="20"/>
          <w:lang w:val="en-GB" w:bidi="ar-EG"/>
        </w:rPr>
        <w:t>25 and</w:t>
      </w:r>
      <w:r w:rsidR="00F026DF" w:rsidRPr="00801C75">
        <w:rPr>
          <w:rFonts w:ascii="Times New Roman" w:hAnsi="Times New Roman" w:cs="Times New Roman"/>
          <w:color w:val="000000" w:themeColor="text1"/>
          <w:sz w:val="20"/>
          <w:szCs w:val="20"/>
          <w:lang w:val="en-GB" w:bidi="ar-EG"/>
        </w:rPr>
        <w:t>.</w:t>
      </w:r>
      <w:r w:rsidRPr="00801C75">
        <w:rPr>
          <w:rFonts w:ascii="Times New Roman" w:hAnsi="Times New Roman" w:cs="Times New Roman"/>
          <w:color w:val="000000" w:themeColor="text1"/>
          <w:sz w:val="20"/>
          <w:szCs w:val="20"/>
          <w:lang w:val="en-GB" w:bidi="ar-EG"/>
        </w:rPr>
        <w:t xml:space="preserve">46, respectively) in relation to overall Survival for all patients. This discrepancy may be explained by the deficient recording of the pathological data of </w:t>
      </w:r>
      <w:r w:rsidRPr="00801C75">
        <w:rPr>
          <w:rFonts w:ascii="Times New Roman" w:hAnsi="Times New Roman" w:cs="Times New Roman"/>
          <w:sz w:val="20"/>
          <w:szCs w:val="20"/>
          <w:lang w:val="en-GB" w:bidi="ar-EG"/>
        </w:rPr>
        <w:t xml:space="preserve">patients </w:t>
      </w:r>
      <w:r w:rsidRPr="00801C75">
        <w:rPr>
          <w:rFonts w:ascii="Times New Roman" w:hAnsi="Times New Roman" w:cs="Times New Roman"/>
          <w:sz w:val="20"/>
          <w:szCs w:val="20"/>
          <w:lang w:val="en-GB" w:bidi="ar-EG"/>
        </w:rPr>
        <w:lastRenderedPageBreak/>
        <w:t xml:space="preserve">that has rendered proper assessment of these variables as prognostic variables. </w:t>
      </w:r>
    </w:p>
    <w:p w:rsidR="00AA1859" w:rsidRPr="00801C75" w:rsidRDefault="00AA1859" w:rsidP="00331E80">
      <w:pPr>
        <w:pStyle w:val="Body0"/>
        <w:bidi w:val="0"/>
        <w:snapToGrid w:val="0"/>
        <w:spacing w:after="0" w:line="240" w:lineRule="auto"/>
        <w:ind w:firstLine="425"/>
        <w:jc w:val="both"/>
        <w:rPr>
          <w:rFonts w:ascii="Times New Roman" w:hAnsi="Times New Roman" w:cs="Times New Roman"/>
          <w:color w:val="auto"/>
          <w:sz w:val="20"/>
          <w:szCs w:val="20"/>
          <w:lang w:val="en-GB" w:bidi="ar-EG"/>
        </w:rPr>
      </w:pPr>
      <w:r w:rsidRPr="00801C75">
        <w:rPr>
          <w:rFonts w:ascii="Times New Roman" w:hAnsi="Times New Roman" w:cs="Times New Roman"/>
          <w:sz w:val="20"/>
          <w:szCs w:val="20"/>
          <w:lang w:val="en-GB" w:bidi="ar-EG"/>
        </w:rPr>
        <w:t>In metastatic group</w:t>
      </w:r>
      <w:r w:rsidRPr="00801C75">
        <w:rPr>
          <w:rFonts w:ascii="Times New Roman" w:hAnsi="Times New Roman" w:cs="Times New Roman"/>
          <w:color w:val="auto"/>
          <w:sz w:val="20"/>
          <w:szCs w:val="20"/>
          <w:lang w:val="en-GB" w:bidi="ar-EG"/>
        </w:rPr>
        <w:t xml:space="preserve"> (</w:t>
      </w:r>
      <w:r w:rsidRPr="00801C75">
        <w:rPr>
          <w:rFonts w:ascii="Times New Roman" w:hAnsi="Times New Roman" w:cs="Times New Roman"/>
          <w:color w:val="auto"/>
          <w:sz w:val="20"/>
          <w:szCs w:val="20"/>
        </w:rPr>
        <w:t>45 patients) 25 patients (55.6%) were metastatic to liver; 17 patients (37.8%) were metastatic to lung. Among those patients: 7 patients were metastatic to both lung and liver at time of diagnosis</w:t>
      </w:r>
      <w:r w:rsidRPr="00801C75">
        <w:rPr>
          <w:rFonts w:ascii="Times New Roman" w:hAnsi="Times New Roman" w:cs="Times New Roman"/>
          <w:color w:val="auto"/>
          <w:sz w:val="20"/>
          <w:szCs w:val="20"/>
          <w:lang w:bidi="ar-EG"/>
        </w:rPr>
        <w:t>.</w:t>
      </w:r>
    </w:p>
    <w:p w:rsidR="00AA1859" w:rsidRPr="00801C75" w:rsidRDefault="00AA1859" w:rsidP="00331E80">
      <w:pPr>
        <w:pStyle w:val="Body0"/>
        <w:bidi w:val="0"/>
        <w:snapToGrid w:val="0"/>
        <w:spacing w:after="0" w:line="240" w:lineRule="auto"/>
        <w:ind w:firstLine="425"/>
        <w:jc w:val="both"/>
        <w:rPr>
          <w:rFonts w:ascii="Times New Roman" w:hAnsi="Times New Roman" w:cs="Times New Roman"/>
          <w:sz w:val="20"/>
          <w:szCs w:val="20"/>
          <w:lang w:val="en-GB" w:bidi="ar-EG"/>
        </w:rPr>
      </w:pPr>
      <w:r w:rsidRPr="00801C75">
        <w:rPr>
          <w:rFonts w:ascii="Times New Roman" w:hAnsi="Times New Roman" w:cs="Times New Roman"/>
          <w:sz w:val="20"/>
          <w:szCs w:val="20"/>
          <w:lang w:val="en-GB" w:bidi="ar-EG"/>
        </w:rPr>
        <w:t>During follow up of patients who finished adjuvant treatment, recurrence occurred in 31 patients (25%) of all patient group. T</w:t>
      </w:r>
      <w:r w:rsidRPr="00801C75">
        <w:rPr>
          <w:rFonts w:ascii="Times New Roman" w:hAnsi="Times New Roman" w:cs="Times New Roman"/>
          <w:sz w:val="20"/>
          <w:szCs w:val="20"/>
          <w:lang w:val="en-GB"/>
        </w:rPr>
        <w:t>he most frequent sites of recurrence was locally by 29% (mostly in rectal cancer) and to liver by 25.8% (mostly colonic origin) of the total sites</w:t>
      </w:r>
      <w:r w:rsidR="00331E80" w:rsidRPr="00801C75">
        <w:rPr>
          <w:rFonts w:ascii="Times New Roman" w:hAnsi="Times New Roman" w:cs="Times New Roman"/>
          <w:sz w:val="20"/>
          <w:szCs w:val="20"/>
          <w:lang w:val="en-GB"/>
        </w:rPr>
        <w:t>.</w:t>
      </w:r>
      <w:r w:rsidR="00331E80">
        <w:rPr>
          <w:rFonts w:ascii="Times New Roman" w:hAnsi="Times New Roman" w:cs="Times New Roman"/>
          <w:sz w:val="20"/>
          <w:szCs w:val="20"/>
          <w:lang w:val="en-GB"/>
        </w:rPr>
        <w:t xml:space="preserve"> </w:t>
      </w:r>
      <w:r w:rsidR="00331E80" w:rsidRPr="00801C75">
        <w:rPr>
          <w:rFonts w:ascii="Times New Roman" w:hAnsi="Times New Roman" w:cs="Times New Roman"/>
          <w:color w:val="auto"/>
          <w:sz w:val="20"/>
          <w:szCs w:val="20"/>
          <w:lang w:val="en-GB" w:bidi="ar-EG"/>
        </w:rPr>
        <w:t>T</w:t>
      </w:r>
      <w:r w:rsidRPr="00801C75">
        <w:rPr>
          <w:rFonts w:ascii="Times New Roman" w:hAnsi="Times New Roman" w:cs="Times New Roman"/>
          <w:color w:val="auto"/>
          <w:sz w:val="20"/>
          <w:szCs w:val="20"/>
          <w:lang w:val="en-GB" w:bidi="ar-EG"/>
        </w:rPr>
        <w:t xml:space="preserve">hese </w:t>
      </w:r>
      <w:r w:rsidRPr="00801C75">
        <w:rPr>
          <w:rFonts w:ascii="Times New Roman" w:hAnsi="Times New Roman" w:cs="Times New Roman"/>
          <w:sz w:val="20"/>
          <w:szCs w:val="20"/>
          <w:lang w:val="en-GB" w:bidi="ar-EG"/>
        </w:rPr>
        <w:t>results have met the international studies. In 2007 a meta-analysis done in Japan enrolled</w:t>
      </w:r>
      <w:r w:rsidRPr="00801C75">
        <w:rPr>
          <w:rFonts w:ascii="Times New Roman" w:hAnsi="Times New Roman" w:cs="Times New Roman"/>
          <w:sz w:val="20"/>
          <w:szCs w:val="20"/>
        </w:rPr>
        <w:t xml:space="preserve"> 5,230 patients who underwent curative resection for colorectal cancer, recurrence occurred in 906</w:t>
      </w:r>
      <w:r w:rsidRPr="00801C75">
        <w:rPr>
          <w:rFonts w:ascii="Times New Roman" w:hAnsi="Times New Roman" w:cs="Times New Roman"/>
          <w:sz w:val="20"/>
          <w:szCs w:val="20"/>
          <w:lang w:bidi="ar-EG"/>
        </w:rPr>
        <w:t xml:space="preserve"> patient </w:t>
      </w:r>
      <w:r w:rsidRPr="00801C75">
        <w:rPr>
          <w:rFonts w:ascii="Times New Roman" w:hAnsi="Times New Roman" w:cs="Times New Roman"/>
          <w:sz w:val="20"/>
          <w:szCs w:val="20"/>
          <w:lang w:val="en-GB" w:bidi="ar-EG"/>
        </w:rPr>
        <w:t xml:space="preserve">(17%). </w:t>
      </w:r>
      <w:r w:rsidRPr="00801C75">
        <w:rPr>
          <w:rFonts w:ascii="Times New Roman" w:hAnsi="Times New Roman" w:cs="Times New Roman"/>
          <w:sz w:val="20"/>
          <w:szCs w:val="20"/>
        </w:rPr>
        <w:t>The liver was the most frequent recurrent site (41.1%), the second site was the lung by (27.5%</w:t>
      </w:r>
      <w:r w:rsidR="00801C75" w:rsidRPr="00801C75">
        <w:rPr>
          <w:rFonts w:ascii="Times New Roman" w:hAnsi="Times New Roman" w:cs="Times New Roman"/>
          <w:sz w:val="20"/>
          <w:szCs w:val="20"/>
        </w:rPr>
        <w:t xml:space="preserve">) </w:t>
      </w:r>
      <w:r w:rsidR="00801C75" w:rsidRPr="00801C75">
        <w:rPr>
          <w:rFonts w:ascii="Times New Roman" w:hAnsi="Times New Roman" w:cs="Times New Roman"/>
          <w:b/>
          <w:bCs/>
          <w:sz w:val="20"/>
          <w:szCs w:val="20"/>
          <w:vertAlign w:val="superscript"/>
          <w:lang w:bidi="ar-EG"/>
        </w:rPr>
        <w:t>(</w:t>
      </w:r>
      <w:r w:rsidR="000603A8" w:rsidRPr="00801C75">
        <w:rPr>
          <w:rFonts w:ascii="Times New Roman" w:hAnsi="Times New Roman" w:cs="Times New Roman"/>
          <w:b/>
          <w:bCs/>
          <w:sz w:val="20"/>
          <w:szCs w:val="20"/>
          <w:vertAlign w:val="superscript"/>
        </w:rPr>
        <w:t>31</w:t>
      </w:r>
      <w:r w:rsidRPr="00801C75">
        <w:rPr>
          <w:rFonts w:ascii="Times New Roman" w:hAnsi="Times New Roman" w:cs="Times New Roman"/>
          <w:b/>
          <w:bCs/>
          <w:sz w:val="20"/>
          <w:szCs w:val="20"/>
          <w:vertAlign w:val="superscript"/>
          <w:lang w:val="en-GB" w:bidi="ar-EG"/>
        </w:rPr>
        <w:t>)</w:t>
      </w:r>
      <w:r w:rsidRPr="00801C75">
        <w:rPr>
          <w:rFonts w:ascii="Times New Roman" w:hAnsi="Times New Roman" w:cs="Times New Roman"/>
          <w:sz w:val="20"/>
          <w:szCs w:val="20"/>
          <w:lang w:val="en-GB" w:bidi="ar-EG"/>
        </w:rPr>
        <w:t>.</w:t>
      </w:r>
    </w:p>
    <w:p w:rsidR="00AA1859" w:rsidRPr="00801C75" w:rsidRDefault="00AA1859" w:rsidP="00331E80">
      <w:pPr>
        <w:pStyle w:val="Body0"/>
        <w:bidi w:val="0"/>
        <w:snapToGrid w:val="0"/>
        <w:spacing w:after="0" w:line="240" w:lineRule="auto"/>
        <w:ind w:firstLine="425"/>
        <w:jc w:val="both"/>
        <w:rPr>
          <w:rFonts w:ascii="Times New Roman" w:hAnsi="Times New Roman" w:cs="Times New Roman"/>
          <w:sz w:val="20"/>
          <w:szCs w:val="20"/>
          <w:lang w:val="en-GB" w:bidi="ar-EG"/>
        </w:rPr>
      </w:pPr>
      <w:r w:rsidRPr="00801C75">
        <w:rPr>
          <w:rFonts w:ascii="Times New Roman" w:hAnsi="Times New Roman" w:cs="Times New Roman"/>
          <w:sz w:val="20"/>
          <w:szCs w:val="20"/>
          <w:lang w:val="en-GB" w:bidi="ar-EG"/>
        </w:rPr>
        <w:t>Back to pre-treatment laboratory data values, Receiver</w:t>
      </w:r>
      <w:r w:rsidRPr="00801C75">
        <w:rPr>
          <w:rFonts w:ascii="Times New Roman" w:hAnsi="Times New Roman" w:cs="Times New Roman"/>
          <w:sz w:val="20"/>
          <w:szCs w:val="20"/>
        </w:rPr>
        <w:t xml:space="preserve"> operating characteristics (ROC) curve was used to define the best cut off value of those laboratory data.</w:t>
      </w:r>
    </w:p>
    <w:p w:rsidR="00AA1859" w:rsidRPr="00801C75" w:rsidRDefault="00AA1859" w:rsidP="00331E80">
      <w:pPr>
        <w:pStyle w:val="Body0"/>
        <w:bidi w:val="0"/>
        <w:snapToGrid w:val="0"/>
        <w:spacing w:after="0" w:line="240" w:lineRule="auto"/>
        <w:ind w:firstLine="425"/>
        <w:jc w:val="both"/>
        <w:rPr>
          <w:rFonts w:ascii="Times New Roman" w:hAnsi="Times New Roman" w:cs="Times New Roman"/>
          <w:sz w:val="20"/>
          <w:szCs w:val="20"/>
          <w:lang w:val="en-GB" w:bidi="ar-EG"/>
        </w:rPr>
      </w:pPr>
      <w:r w:rsidRPr="00801C75">
        <w:rPr>
          <w:rFonts w:ascii="Times New Roman" w:hAnsi="Times New Roman" w:cs="Times New Roman"/>
          <w:sz w:val="20"/>
          <w:szCs w:val="20"/>
          <w:lang w:val="en-GB" w:bidi="ar-EG"/>
        </w:rPr>
        <w:t>In this study CEA cut-off was ≥ 5, Platelet was ≥310 and NLR was ≥2.</w:t>
      </w:r>
    </w:p>
    <w:p w:rsidR="00AA1859" w:rsidRPr="00801C75" w:rsidRDefault="00AA1859" w:rsidP="00331E80">
      <w:pPr>
        <w:autoSpaceDE w:val="0"/>
        <w:autoSpaceDN w:val="0"/>
        <w:bidi w:val="0"/>
        <w:adjustRightInd w:val="0"/>
        <w:snapToGrid w:val="0"/>
        <w:ind w:firstLine="425"/>
        <w:jc w:val="both"/>
        <w:rPr>
          <w:sz w:val="20"/>
          <w:szCs w:val="20"/>
          <w:lang w:val="en-GB"/>
        </w:rPr>
      </w:pPr>
      <w:r w:rsidRPr="00801C75">
        <w:rPr>
          <w:sz w:val="20"/>
          <w:szCs w:val="20"/>
        </w:rPr>
        <w:t xml:space="preserve">Although the applicable thresholds of NLR, albumin, CEA and </w:t>
      </w:r>
      <w:r w:rsidRPr="00801C75">
        <w:rPr>
          <w:sz w:val="20"/>
          <w:szCs w:val="20"/>
          <w:lang w:val="en-GB"/>
        </w:rPr>
        <w:t>platelet count</w:t>
      </w:r>
      <w:r w:rsidRPr="00801C75">
        <w:rPr>
          <w:sz w:val="20"/>
          <w:szCs w:val="20"/>
        </w:rPr>
        <w:t xml:space="preserve"> were observed by the ROC curves, the optimal thresholds of these parameters in our study were consistent with other studies</w:t>
      </w:r>
      <w:r w:rsidRPr="00801C75">
        <w:rPr>
          <w:sz w:val="20"/>
          <w:szCs w:val="20"/>
          <w:lang w:val="en-GB"/>
        </w:rPr>
        <w:t xml:space="preserve"> and wasn't consistence to the range of some previous studies.</w:t>
      </w:r>
    </w:p>
    <w:p w:rsidR="00AA1859" w:rsidRPr="00801C75" w:rsidRDefault="00AA1859" w:rsidP="00331E80">
      <w:pPr>
        <w:autoSpaceDE w:val="0"/>
        <w:autoSpaceDN w:val="0"/>
        <w:bidi w:val="0"/>
        <w:adjustRightInd w:val="0"/>
        <w:snapToGrid w:val="0"/>
        <w:ind w:firstLine="425"/>
        <w:jc w:val="both"/>
        <w:rPr>
          <w:sz w:val="20"/>
          <w:szCs w:val="20"/>
          <w:lang w:val="en-GB" w:bidi="ar-EG"/>
        </w:rPr>
      </w:pPr>
      <w:r w:rsidRPr="00801C75">
        <w:rPr>
          <w:sz w:val="20"/>
          <w:szCs w:val="20"/>
          <w:lang w:val="en-GB"/>
        </w:rPr>
        <w:t>An example for studies resulted in near same cut-off values was a study conducted in 2017 when Chen</w:t>
      </w:r>
      <w:r w:rsidR="005B33EB" w:rsidRPr="00801C75">
        <w:rPr>
          <w:sz w:val="20"/>
          <w:szCs w:val="20"/>
          <w:lang w:val="en-GB"/>
        </w:rPr>
        <w:t xml:space="preserve">et al. </w:t>
      </w:r>
      <w:r w:rsidRPr="00801C75">
        <w:rPr>
          <w:sz w:val="20"/>
          <w:szCs w:val="20"/>
          <w:lang w:val="en-GB"/>
        </w:rPr>
        <w:t xml:space="preserve">enrolled 1383 cases with colorectal cancer, PLR cut-off was 210 and </w:t>
      </w:r>
      <w:r w:rsidRPr="00801C75">
        <w:rPr>
          <w:sz w:val="20"/>
          <w:szCs w:val="20"/>
        </w:rPr>
        <w:t xml:space="preserve">NLR </w:t>
      </w:r>
      <w:r w:rsidRPr="00801C75">
        <w:rPr>
          <w:sz w:val="20"/>
          <w:szCs w:val="20"/>
          <w:lang w:val="en-GB"/>
        </w:rPr>
        <w:t>cut-off was 2.70</w:t>
      </w:r>
      <w:r w:rsidRPr="00801C75">
        <w:rPr>
          <w:b/>
          <w:bCs/>
          <w:sz w:val="20"/>
          <w:szCs w:val="20"/>
          <w:vertAlign w:val="superscript"/>
          <w:lang w:bidi="ar-EG"/>
        </w:rPr>
        <w:t>)</w:t>
      </w:r>
      <w:r w:rsidR="005B33EB" w:rsidRPr="00801C75">
        <w:rPr>
          <w:b/>
          <w:bCs/>
          <w:sz w:val="20"/>
          <w:szCs w:val="20"/>
          <w:vertAlign w:val="superscript"/>
          <w:lang w:val="en-GB" w:bidi="ar-EG"/>
        </w:rPr>
        <w:t>32)</w:t>
      </w:r>
      <w:r w:rsidR="00F026DF" w:rsidRPr="00801C75">
        <w:rPr>
          <w:sz w:val="20"/>
          <w:szCs w:val="20"/>
          <w:lang w:val="en-GB" w:bidi="ar-EG"/>
        </w:rPr>
        <w:t>.</w:t>
      </w:r>
      <w:r w:rsidRPr="00801C75">
        <w:rPr>
          <w:sz w:val="20"/>
          <w:szCs w:val="20"/>
          <w:lang w:val="en-GB" w:bidi="ar-EG"/>
        </w:rPr>
        <w:t xml:space="preserve"> In 2017, Absenger </w:t>
      </w:r>
      <w:r w:rsidR="00CC6C88" w:rsidRPr="00801C75">
        <w:rPr>
          <w:sz w:val="20"/>
          <w:szCs w:val="20"/>
          <w:lang w:val="en-GB" w:bidi="ar-EG"/>
        </w:rPr>
        <w:t xml:space="preserve">et al. </w:t>
      </w:r>
      <w:r w:rsidRPr="00801C75">
        <w:rPr>
          <w:sz w:val="20"/>
          <w:szCs w:val="20"/>
          <w:lang w:val="en-GB" w:bidi="ar-EG"/>
        </w:rPr>
        <w:t>conducted a study on 370 colon patients where optimum cut-off NLR was 2.2</w:t>
      </w:r>
      <w:r w:rsidR="00CC6C88" w:rsidRPr="00801C75">
        <w:rPr>
          <w:b/>
          <w:bCs/>
          <w:sz w:val="20"/>
          <w:szCs w:val="20"/>
          <w:vertAlign w:val="superscript"/>
          <w:lang w:val="en-GB"/>
        </w:rPr>
        <w:t>(33)</w:t>
      </w:r>
      <w:r w:rsidR="00CC6C88" w:rsidRPr="00801C75">
        <w:rPr>
          <w:sz w:val="20"/>
          <w:szCs w:val="20"/>
          <w:lang w:val="en-GB"/>
        </w:rPr>
        <w:t>.</w:t>
      </w:r>
    </w:p>
    <w:p w:rsidR="00AA1859" w:rsidRPr="00801C75" w:rsidRDefault="00AA1859" w:rsidP="00331E80">
      <w:pPr>
        <w:autoSpaceDE w:val="0"/>
        <w:autoSpaceDN w:val="0"/>
        <w:bidi w:val="0"/>
        <w:adjustRightInd w:val="0"/>
        <w:snapToGrid w:val="0"/>
        <w:ind w:firstLine="425"/>
        <w:jc w:val="both"/>
        <w:rPr>
          <w:color w:val="262626" w:themeColor="text1" w:themeTint="D9"/>
          <w:sz w:val="20"/>
          <w:szCs w:val="20"/>
        </w:rPr>
      </w:pPr>
      <w:r w:rsidRPr="00801C75">
        <w:rPr>
          <w:color w:val="262626" w:themeColor="text1" w:themeTint="D9"/>
          <w:sz w:val="20"/>
          <w:szCs w:val="20"/>
          <w:lang w:val="en-GB"/>
        </w:rPr>
        <w:t xml:space="preserve">On the other hand, here are </w:t>
      </w:r>
      <w:r w:rsidRPr="00801C75">
        <w:rPr>
          <w:color w:val="262626" w:themeColor="text1" w:themeTint="D9"/>
          <w:sz w:val="20"/>
          <w:szCs w:val="20"/>
        </w:rPr>
        <w:t>some previous reportsthat weren't consistence with our values.</w:t>
      </w:r>
    </w:p>
    <w:p w:rsidR="00AA1859" w:rsidRPr="00801C75" w:rsidRDefault="00AA1859" w:rsidP="00331E80">
      <w:pPr>
        <w:autoSpaceDE w:val="0"/>
        <w:autoSpaceDN w:val="0"/>
        <w:bidi w:val="0"/>
        <w:adjustRightInd w:val="0"/>
        <w:snapToGrid w:val="0"/>
        <w:ind w:firstLine="425"/>
        <w:jc w:val="both"/>
        <w:rPr>
          <w:b/>
          <w:bCs/>
          <w:i/>
          <w:iCs/>
          <w:sz w:val="20"/>
          <w:szCs w:val="20"/>
          <w:lang w:val="en-GB" w:bidi="ar-EG"/>
        </w:rPr>
      </w:pPr>
      <w:r w:rsidRPr="00801C75">
        <w:rPr>
          <w:color w:val="262626" w:themeColor="text1" w:themeTint="D9"/>
          <w:sz w:val="20"/>
          <w:szCs w:val="20"/>
          <w:lang w:val="en-GB"/>
        </w:rPr>
        <w:t xml:space="preserve">Such </w:t>
      </w:r>
      <w:r w:rsidRPr="00801C75">
        <w:rPr>
          <w:color w:val="262626" w:themeColor="text1" w:themeTint="D9"/>
          <w:sz w:val="20"/>
          <w:szCs w:val="20"/>
        </w:rPr>
        <w:t xml:space="preserve">an example in a study conducted in 2017 in China, optimum cutoff of NLR was 10.5 </w:t>
      </w:r>
      <w:r w:rsidRPr="00801C75">
        <w:rPr>
          <w:b/>
          <w:bCs/>
          <w:color w:val="262626" w:themeColor="text1" w:themeTint="D9"/>
          <w:sz w:val="20"/>
          <w:szCs w:val="20"/>
          <w:vertAlign w:val="superscript"/>
        </w:rPr>
        <w:t>(</w:t>
      </w:r>
      <w:r w:rsidR="001F0428" w:rsidRPr="00801C75">
        <w:rPr>
          <w:b/>
          <w:bCs/>
          <w:color w:val="262626" w:themeColor="text1" w:themeTint="D9"/>
          <w:sz w:val="20"/>
          <w:szCs w:val="20"/>
          <w:vertAlign w:val="superscript"/>
        </w:rPr>
        <w:t>34</w:t>
      </w:r>
      <w:r w:rsidRPr="00801C75">
        <w:rPr>
          <w:b/>
          <w:bCs/>
          <w:color w:val="000000" w:themeColor="text1"/>
          <w:sz w:val="20"/>
          <w:szCs w:val="20"/>
          <w:vertAlign w:val="superscript"/>
          <w:lang w:val="en-GB"/>
        </w:rPr>
        <w:t>)</w:t>
      </w:r>
      <w:r w:rsidR="00331E80" w:rsidRPr="00801C75">
        <w:rPr>
          <w:color w:val="000000" w:themeColor="text1"/>
          <w:sz w:val="20"/>
          <w:szCs w:val="20"/>
          <w:lang w:val="en-GB"/>
        </w:rPr>
        <w:t>.</w:t>
      </w:r>
      <w:r w:rsidR="00331E80">
        <w:rPr>
          <w:color w:val="000000" w:themeColor="text1"/>
          <w:sz w:val="20"/>
          <w:szCs w:val="20"/>
          <w:lang w:val="en-GB"/>
        </w:rPr>
        <w:t xml:space="preserve"> </w:t>
      </w:r>
      <w:r w:rsidR="00331E80" w:rsidRPr="00801C75">
        <w:rPr>
          <w:color w:val="000000" w:themeColor="text1"/>
          <w:sz w:val="20"/>
          <w:szCs w:val="20"/>
          <w:lang w:val="en-GB"/>
        </w:rPr>
        <w:t>A</w:t>
      </w:r>
      <w:r w:rsidRPr="00801C75">
        <w:rPr>
          <w:color w:val="000000" w:themeColor="text1"/>
          <w:sz w:val="20"/>
          <w:szCs w:val="20"/>
          <w:lang w:val="en-GB"/>
        </w:rPr>
        <w:t xml:space="preserve">lso a study conducted in 2018 by Mercier and his colleagues, 152 metastatic </w:t>
      </w:r>
      <w:r w:rsidRPr="00801C75">
        <w:rPr>
          <w:sz w:val="20"/>
          <w:szCs w:val="20"/>
          <w:lang w:val="en-GB"/>
        </w:rPr>
        <w:t>colon cancer patients were included. The optimum cut-off of Plt was ≥ 350 and NLR was ≥5.6</w:t>
      </w:r>
      <w:r w:rsidRPr="00801C75">
        <w:rPr>
          <w:b/>
          <w:bCs/>
          <w:sz w:val="20"/>
          <w:szCs w:val="20"/>
          <w:vertAlign w:val="superscript"/>
          <w:lang w:val="en-GB" w:bidi="ar-EG"/>
        </w:rPr>
        <w:t>(</w:t>
      </w:r>
      <w:r w:rsidR="00335783" w:rsidRPr="00801C75">
        <w:rPr>
          <w:b/>
          <w:bCs/>
          <w:sz w:val="20"/>
          <w:szCs w:val="20"/>
          <w:vertAlign w:val="superscript"/>
          <w:lang w:val="en-GB" w:bidi="ar-EG"/>
        </w:rPr>
        <w:t>35)</w:t>
      </w:r>
      <w:r w:rsidR="00335783" w:rsidRPr="00801C75">
        <w:rPr>
          <w:sz w:val="20"/>
          <w:szCs w:val="20"/>
          <w:lang w:val="en-GB" w:bidi="ar-EG"/>
        </w:rPr>
        <w:t>.</w:t>
      </w:r>
    </w:p>
    <w:p w:rsidR="00AA1859" w:rsidRPr="00801C75" w:rsidRDefault="00AA1859" w:rsidP="00331E80">
      <w:pPr>
        <w:bidi w:val="0"/>
        <w:snapToGrid w:val="0"/>
        <w:ind w:firstLine="425"/>
        <w:jc w:val="both"/>
        <w:rPr>
          <w:sz w:val="20"/>
          <w:szCs w:val="20"/>
        </w:rPr>
      </w:pPr>
      <w:r w:rsidRPr="00801C75">
        <w:rPr>
          <w:sz w:val="20"/>
          <w:szCs w:val="20"/>
          <w:lang w:val="en-GB"/>
        </w:rPr>
        <w:t xml:space="preserve">In our study </w:t>
      </w:r>
      <w:r w:rsidRPr="00801C75">
        <w:rPr>
          <w:b/>
          <w:bCs/>
          <w:sz w:val="20"/>
          <w:szCs w:val="20"/>
        </w:rPr>
        <w:t>CEA</w:t>
      </w:r>
      <w:r w:rsidRPr="00801C75">
        <w:rPr>
          <w:sz w:val="20"/>
          <w:szCs w:val="20"/>
        </w:rPr>
        <w:t xml:space="preserve"> cut-off was ≥5, with sensitivity of 49% specificity of 85% positive predictive value of 70%, negative predictive value of 54% with diagnostic accuracy of 56%. </w:t>
      </w:r>
    </w:p>
    <w:p w:rsidR="008D3F74" w:rsidRPr="00801C75" w:rsidRDefault="00AA1859" w:rsidP="00331E80">
      <w:pPr>
        <w:autoSpaceDE w:val="0"/>
        <w:autoSpaceDN w:val="0"/>
        <w:bidi w:val="0"/>
        <w:adjustRightInd w:val="0"/>
        <w:snapToGrid w:val="0"/>
        <w:ind w:firstLine="425"/>
        <w:jc w:val="both"/>
        <w:rPr>
          <w:b/>
          <w:bCs/>
          <w:i/>
          <w:iCs/>
          <w:color w:val="262626" w:themeColor="text1" w:themeTint="D9"/>
          <w:sz w:val="20"/>
          <w:szCs w:val="20"/>
          <w:lang w:val="en-GB"/>
        </w:rPr>
      </w:pPr>
      <w:r w:rsidRPr="00801C75">
        <w:rPr>
          <w:sz w:val="20"/>
          <w:szCs w:val="20"/>
          <w:lang w:val="en-GB"/>
        </w:rPr>
        <w:t>CEA value correlates with poorer prognosis in our study as there is statistical significant difference between CEA values in early stages colorectal cancer and stage IV, with P Value=</w:t>
      </w:r>
      <w:r w:rsidR="00F026DF" w:rsidRPr="00801C75">
        <w:rPr>
          <w:sz w:val="20"/>
          <w:szCs w:val="20"/>
          <w:lang w:val="en-GB"/>
        </w:rPr>
        <w:t>.</w:t>
      </w:r>
      <w:r w:rsidRPr="00801C75">
        <w:rPr>
          <w:sz w:val="20"/>
          <w:szCs w:val="20"/>
          <w:lang w:val="en-GB"/>
        </w:rPr>
        <w:t>004, Also was statistically significant with overall survival of all patient</w:t>
      </w:r>
      <w:r w:rsidR="00801C75" w:rsidRPr="00801C75">
        <w:rPr>
          <w:sz w:val="20"/>
          <w:szCs w:val="20"/>
          <w:lang w:val="en-GB"/>
        </w:rPr>
        <w:t>s (</w:t>
      </w:r>
      <w:r w:rsidRPr="00801C75">
        <w:rPr>
          <w:sz w:val="20"/>
          <w:szCs w:val="20"/>
          <w:lang w:val="en-GB"/>
        </w:rPr>
        <w:t>P Value≤</w:t>
      </w:r>
      <w:r w:rsidR="00F026DF" w:rsidRPr="00801C75">
        <w:rPr>
          <w:sz w:val="20"/>
          <w:szCs w:val="20"/>
          <w:lang w:val="en-GB"/>
        </w:rPr>
        <w:t>.</w:t>
      </w:r>
      <w:r w:rsidRPr="00801C75">
        <w:rPr>
          <w:sz w:val="20"/>
          <w:szCs w:val="20"/>
          <w:lang w:val="en-GB"/>
        </w:rPr>
        <w:t xml:space="preserve">001) which met many western studies discussing the same issue </w:t>
      </w:r>
      <w:r w:rsidRPr="00801C75">
        <w:rPr>
          <w:b/>
          <w:bCs/>
          <w:sz w:val="20"/>
          <w:szCs w:val="20"/>
          <w:vertAlign w:val="superscript"/>
        </w:rPr>
        <w:t>(</w:t>
      </w:r>
      <w:r w:rsidR="00564F06" w:rsidRPr="00801C75">
        <w:rPr>
          <w:b/>
          <w:bCs/>
          <w:sz w:val="20"/>
          <w:szCs w:val="20"/>
          <w:vertAlign w:val="superscript"/>
        </w:rPr>
        <w:t>32</w:t>
      </w:r>
      <w:r w:rsidR="00801C75" w:rsidRPr="00801C75">
        <w:rPr>
          <w:b/>
          <w:bCs/>
          <w:sz w:val="20"/>
          <w:szCs w:val="20"/>
          <w:vertAlign w:val="superscript"/>
          <w:lang w:bidi="ar-EG"/>
        </w:rPr>
        <w:t xml:space="preserve"> &amp; </w:t>
      </w:r>
      <w:r w:rsidR="00564F06" w:rsidRPr="00801C75">
        <w:rPr>
          <w:b/>
          <w:bCs/>
          <w:color w:val="262626" w:themeColor="text1" w:themeTint="D9"/>
          <w:sz w:val="20"/>
          <w:szCs w:val="20"/>
          <w:vertAlign w:val="superscript"/>
          <w:lang w:val="en-GB"/>
        </w:rPr>
        <w:t>33</w:t>
      </w:r>
      <w:r w:rsidR="00DE4DBB" w:rsidRPr="00801C75">
        <w:rPr>
          <w:b/>
          <w:bCs/>
          <w:color w:val="262626" w:themeColor="text1" w:themeTint="D9"/>
          <w:sz w:val="20"/>
          <w:szCs w:val="20"/>
          <w:vertAlign w:val="superscript"/>
          <w:lang w:val="en-GB"/>
        </w:rPr>
        <w:t>,36</w:t>
      </w:r>
      <w:r w:rsidR="008D3F74" w:rsidRPr="00801C75">
        <w:rPr>
          <w:b/>
          <w:bCs/>
          <w:color w:val="262626" w:themeColor="text1" w:themeTint="D9"/>
          <w:sz w:val="20"/>
          <w:szCs w:val="20"/>
          <w:vertAlign w:val="superscript"/>
          <w:lang w:val="en-GB"/>
        </w:rPr>
        <w:t>)</w:t>
      </w:r>
      <w:r w:rsidR="008D3F74" w:rsidRPr="00801C75">
        <w:rPr>
          <w:b/>
          <w:bCs/>
          <w:i/>
          <w:iCs/>
          <w:color w:val="262626" w:themeColor="text1" w:themeTint="D9"/>
          <w:sz w:val="20"/>
          <w:szCs w:val="20"/>
          <w:lang w:val="en-GB"/>
        </w:rPr>
        <w:t>.</w:t>
      </w:r>
    </w:p>
    <w:p w:rsidR="00AA1859" w:rsidRPr="00801C75" w:rsidRDefault="00AA1859" w:rsidP="00331E80">
      <w:pPr>
        <w:pStyle w:val="Body0"/>
        <w:bidi w:val="0"/>
        <w:snapToGrid w:val="0"/>
        <w:spacing w:after="0" w:line="240" w:lineRule="auto"/>
        <w:ind w:firstLine="425"/>
        <w:jc w:val="both"/>
        <w:rPr>
          <w:rFonts w:ascii="Times New Roman" w:hAnsi="Times New Roman" w:cs="Times New Roman"/>
          <w:sz w:val="20"/>
          <w:szCs w:val="20"/>
        </w:rPr>
      </w:pPr>
      <w:r w:rsidRPr="00801C75">
        <w:rPr>
          <w:rFonts w:ascii="Times New Roman" w:hAnsi="Times New Roman" w:cs="Times New Roman"/>
          <w:sz w:val="20"/>
          <w:szCs w:val="20"/>
          <w:lang w:val="en-GB"/>
        </w:rPr>
        <w:lastRenderedPageBreak/>
        <w:t>In our study</w:t>
      </w:r>
      <w:r w:rsidRPr="00801C75">
        <w:rPr>
          <w:rFonts w:ascii="Times New Roman" w:hAnsi="Times New Roman" w:cs="Times New Roman"/>
          <w:sz w:val="20"/>
          <w:szCs w:val="20"/>
        </w:rPr>
        <w:t xml:space="preserve"> Platelet count cutoff was ≥310, with sensitivity of 56.5% specificity of 90% positive predictive value of 90%, negative predictive value of 62% with diagnostic accuracy of 58.9% (according to ROC curve).</w:t>
      </w:r>
    </w:p>
    <w:p w:rsidR="00AA1859" w:rsidRPr="00801C75" w:rsidRDefault="00AA1859" w:rsidP="00331E80">
      <w:pPr>
        <w:autoSpaceDE w:val="0"/>
        <w:autoSpaceDN w:val="0"/>
        <w:bidi w:val="0"/>
        <w:adjustRightInd w:val="0"/>
        <w:snapToGrid w:val="0"/>
        <w:ind w:firstLine="425"/>
        <w:jc w:val="both"/>
        <w:rPr>
          <w:sz w:val="20"/>
          <w:szCs w:val="20"/>
        </w:rPr>
      </w:pPr>
      <w:r w:rsidRPr="00801C75">
        <w:rPr>
          <w:sz w:val="20"/>
          <w:szCs w:val="20"/>
          <w:lang w:val="en-GB"/>
        </w:rPr>
        <w:t>Among 169 enrolled patients in the current study</w:t>
      </w:r>
      <w:r w:rsidR="00331E80" w:rsidRPr="00801C75">
        <w:rPr>
          <w:sz w:val="20"/>
          <w:szCs w:val="20"/>
          <w:lang w:val="en-GB"/>
        </w:rPr>
        <w:t>,</w:t>
      </w:r>
      <w:r w:rsidR="00331E80">
        <w:rPr>
          <w:sz w:val="20"/>
          <w:szCs w:val="20"/>
          <w:lang w:val="en-GB"/>
        </w:rPr>
        <w:t xml:space="preserve"> </w:t>
      </w:r>
      <w:r w:rsidR="00331E80" w:rsidRPr="00801C75">
        <w:rPr>
          <w:sz w:val="20"/>
          <w:szCs w:val="20"/>
        </w:rPr>
        <w:t>O</w:t>
      </w:r>
      <w:r w:rsidRPr="00801C75">
        <w:rPr>
          <w:sz w:val="20"/>
          <w:szCs w:val="20"/>
        </w:rPr>
        <w:t xml:space="preserve">S, PFS </w:t>
      </w:r>
      <w:r w:rsidRPr="00801C75">
        <w:rPr>
          <w:sz w:val="20"/>
          <w:szCs w:val="20"/>
          <w:lang w:val="en-GB"/>
        </w:rPr>
        <w:t xml:space="preserve">and DFS </w:t>
      </w:r>
      <w:r w:rsidRPr="00801C75">
        <w:rPr>
          <w:sz w:val="20"/>
          <w:szCs w:val="20"/>
        </w:rPr>
        <w:t>were shorter in patients with elevated platelet counts than in patients with normal counts with significance statistically, OAS was 50.6 and 15.1 month for normalized and elevated platelet groups, respectively.</w:t>
      </w:r>
    </w:p>
    <w:p w:rsidR="00801C75" w:rsidRPr="00801C75" w:rsidRDefault="00AA1859" w:rsidP="00331E80">
      <w:pPr>
        <w:autoSpaceDE w:val="0"/>
        <w:autoSpaceDN w:val="0"/>
        <w:bidi w:val="0"/>
        <w:adjustRightInd w:val="0"/>
        <w:snapToGrid w:val="0"/>
        <w:ind w:firstLine="425"/>
        <w:jc w:val="both"/>
        <w:rPr>
          <w:sz w:val="20"/>
          <w:szCs w:val="20"/>
          <w:lang w:val="en-GB"/>
        </w:rPr>
      </w:pPr>
      <w:r w:rsidRPr="00801C75">
        <w:rPr>
          <w:sz w:val="20"/>
          <w:szCs w:val="20"/>
          <w:lang w:val="en-GB"/>
        </w:rPr>
        <w:t>Disease free survival was 25.9m for normalized platelet count limb and 7.8 month for the other limb. PFS was 26 vs. 8 months among both limbs.</w:t>
      </w:r>
    </w:p>
    <w:p w:rsidR="00AA1859" w:rsidRPr="00801C75" w:rsidRDefault="00801C75" w:rsidP="00331E80">
      <w:pPr>
        <w:autoSpaceDE w:val="0"/>
        <w:autoSpaceDN w:val="0"/>
        <w:bidi w:val="0"/>
        <w:adjustRightInd w:val="0"/>
        <w:snapToGrid w:val="0"/>
        <w:ind w:firstLine="425"/>
        <w:jc w:val="both"/>
        <w:rPr>
          <w:color w:val="FF0000"/>
          <w:sz w:val="20"/>
          <w:szCs w:val="20"/>
        </w:rPr>
      </w:pPr>
      <w:r w:rsidRPr="00801C75">
        <w:rPr>
          <w:sz w:val="20"/>
          <w:szCs w:val="20"/>
        </w:rPr>
        <w:t>P</w:t>
      </w:r>
      <w:r w:rsidR="00AA1859" w:rsidRPr="00801C75">
        <w:rPr>
          <w:sz w:val="20"/>
          <w:szCs w:val="20"/>
        </w:rPr>
        <w:t xml:space="preserve"> values &lt;.001, &lt;.001 and 0.007 respectively.</w:t>
      </w:r>
    </w:p>
    <w:p w:rsidR="00AA1859" w:rsidRPr="00801C75" w:rsidRDefault="00AA1859" w:rsidP="00331E80">
      <w:pPr>
        <w:pStyle w:val="Body0"/>
        <w:bidi w:val="0"/>
        <w:snapToGrid w:val="0"/>
        <w:spacing w:after="0" w:line="240" w:lineRule="auto"/>
        <w:ind w:firstLine="425"/>
        <w:jc w:val="both"/>
        <w:rPr>
          <w:rFonts w:ascii="Times New Roman" w:hAnsi="Times New Roman" w:cs="Times New Roman"/>
          <w:sz w:val="20"/>
          <w:szCs w:val="20"/>
        </w:rPr>
      </w:pPr>
      <w:r w:rsidRPr="00801C75">
        <w:rPr>
          <w:rFonts w:ascii="Times New Roman" w:hAnsi="Times New Roman" w:cs="Times New Roman"/>
          <w:sz w:val="20"/>
          <w:szCs w:val="20"/>
        </w:rPr>
        <w:t>Values of pre-treatment platelet revealed more frequent thrombocytosis in metastatic group than locally advanced group, yet statistically was not significant (P Value=</w:t>
      </w:r>
      <w:r w:rsidR="00F026DF" w:rsidRPr="00801C75">
        <w:rPr>
          <w:rFonts w:ascii="Times New Roman" w:hAnsi="Times New Roman" w:cs="Times New Roman"/>
          <w:sz w:val="20"/>
          <w:szCs w:val="20"/>
        </w:rPr>
        <w:t>.</w:t>
      </w:r>
      <w:r w:rsidRPr="00801C75">
        <w:rPr>
          <w:rFonts w:ascii="Times New Roman" w:hAnsi="Times New Roman" w:cs="Times New Roman"/>
          <w:sz w:val="20"/>
          <w:szCs w:val="20"/>
        </w:rPr>
        <w:t>066)</w:t>
      </w:r>
      <w:r w:rsidRPr="00801C75">
        <w:rPr>
          <w:rFonts w:ascii="Times New Roman" w:hAnsi="Times New Roman" w:cs="Times New Roman"/>
          <w:sz w:val="20"/>
          <w:szCs w:val="20"/>
          <w:lang w:val="en-GB"/>
        </w:rPr>
        <w:t>.</w:t>
      </w:r>
    </w:p>
    <w:p w:rsidR="004A518F" w:rsidRPr="00801C75" w:rsidRDefault="00AA1859" w:rsidP="00331E80">
      <w:pPr>
        <w:autoSpaceDE w:val="0"/>
        <w:autoSpaceDN w:val="0"/>
        <w:bidi w:val="0"/>
        <w:adjustRightInd w:val="0"/>
        <w:snapToGrid w:val="0"/>
        <w:ind w:firstLine="425"/>
        <w:jc w:val="both"/>
        <w:rPr>
          <w:sz w:val="20"/>
          <w:szCs w:val="20"/>
        </w:rPr>
      </w:pPr>
      <w:r w:rsidRPr="00801C75">
        <w:rPr>
          <w:sz w:val="20"/>
          <w:szCs w:val="20"/>
        </w:rPr>
        <w:t>These results met t</w:t>
      </w:r>
      <w:r w:rsidR="004A518F" w:rsidRPr="00801C75">
        <w:rPr>
          <w:sz w:val="20"/>
          <w:szCs w:val="20"/>
        </w:rPr>
        <w:t xml:space="preserve">he end point of several studies </w:t>
      </w:r>
      <w:r w:rsidR="004A518F" w:rsidRPr="00801C75">
        <w:rPr>
          <w:b/>
          <w:bCs/>
          <w:sz w:val="20"/>
          <w:szCs w:val="20"/>
          <w:vertAlign w:val="superscript"/>
        </w:rPr>
        <w:t>(</w:t>
      </w:r>
      <w:r w:rsidR="00DE4DBB" w:rsidRPr="00801C75">
        <w:rPr>
          <w:b/>
          <w:bCs/>
          <w:sz w:val="20"/>
          <w:szCs w:val="20"/>
          <w:vertAlign w:val="superscript"/>
        </w:rPr>
        <w:t>36,37</w:t>
      </w:r>
      <w:r w:rsidR="004A518F" w:rsidRPr="00801C75">
        <w:rPr>
          <w:b/>
          <w:bCs/>
          <w:sz w:val="20"/>
          <w:szCs w:val="20"/>
          <w:vertAlign w:val="superscript"/>
        </w:rPr>
        <w:t>)</w:t>
      </w:r>
      <w:r w:rsidR="004A518F" w:rsidRPr="00801C75">
        <w:rPr>
          <w:b/>
          <w:bCs/>
          <w:i/>
          <w:iCs/>
          <w:sz w:val="20"/>
          <w:szCs w:val="20"/>
        </w:rPr>
        <w:t>.</w:t>
      </w:r>
    </w:p>
    <w:p w:rsidR="00AA1859" w:rsidRPr="00801C75" w:rsidRDefault="00AA1859" w:rsidP="00331E80">
      <w:pPr>
        <w:autoSpaceDE w:val="0"/>
        <w:autoSpaceDN w:val="0"/>
        <w:bidi w:val="0"/>
        <w:adjustRightInd w:val="0"/>
        <w:snapToGrid w:val="0"/>
        <w:ind w:firstLine="425"/>
        <w:jc w:val="both"/>
        <w:rPr>
          <w:b/>
          <w:bCs/>
          <w:i/>
          <w:iCs/>
          <w:sz w:val="20"/>
          <w:szCs w:val="20"/>
          <w:lang w:val="en-GB"/>
        </w:rPr>
      </w:pPr>
      <w:r w:rsidRPr="00801C75">
        <w:rPr>
          <w:sz w:val="20"/>
          <w:szCs w:val="20"/>
        </w:rPr>
        <w:t>However, one study revealed a different conclusion. It included 630 patients and used a cut-off platelet count value of more than 450; the authors did not find a significant association between elevated platelet counts and surviva</w:t>
      </w:r>
      <w:r w:rsidR="00801C75" w:rsidRPr="00801C75">
        <w:rPr>
          <w:sz w:val="20"/>
          <w:szCs w:val="20"/>
        </w:rPr>
        <w:t xml:space="preserve">l </w:t>
      </w:r>
      <w:r w:rsidR="00801C75" w:rsidRPr="00801C75">
        <w:rPr>
          <w:b/>
          <w:bCs/>
          <w:sz w:val="20"/>
          <w:szCs w:val="20"/>
          <w:vertAlign w:val="superscript"/>
        </w:rPr>
        <w:t>(</w:t>
      </w:r>
      <w:r w:rsidR="00DE4DBB" w:rsidRPr="00801C75">
        <w:rPr>
          <w:b/>
          <w:bCs/>
          <w:sz w:val="20"/>
          <w:szCs w:val="20"/>
          <w:vertAlign w:val="superscript"/>
        </w:rPr>
        <w:t>38</w:t>
      </w:r>
      <w:r w:rsidRPr="00801C75">
        <w:rPr>
          <w:b/>
          <w:bCs/>
          <w:sz w:val="20"/>
          <w:szCs w:val="20"/>
          <w:vertAlign w:val="superscript"/>
          <w:lang w:val="en-GB"/>
        </w:rPr>
        <w:t>)</w:t>
      </w:r>
      <w:r w:rsidRPr="00801C75">
        <w:rPr>
          <w:b/>
          <w:bCs/>
          <w:i/>
          <w:iCs/>
          <w:sz w:val="20"/>
          <w:szCs w:val="20"/>
          <w:lang w:val="en-GB"/>
        </w:rPr>
        <w:t>.</w:t>
      </w:r>
    </w:p>
    <w:p w:rsidR="00AA1859" w:rsidRPr="00801C75" w:rsidRDefault="00AA1859" w:rsidP="00331E80">
      <w:pPr>
        <w:autoSpaceDE w:val="0"/>
        <w:autoSpaceDN w:val="0"/>
        <w:bidi w:val="0"/>
        <w:adjustRightInd w:val="0"/>
        <w:snapToGrid w:val="0"/>
        <w:ind w:firstLine="425"/>
        <w:jc w:val="both"/>
        <w:rPr>
          <w:sz w:val="20"/>
          <w:szCs w:val="20"/>
        </w:rPr>
      </w:pPr>
      <w:r w:rsidRPr="00801C75">
        <w:rPr>
          <w:sz w:val="20"/>
          <w:szCs w:val="20"/>
        </w:rPr>
        <w:t xml:space="preserve">In our study the </w:t>
      </w:r>
      <w:r w:rsidRPr="00801C75">
        <w:rPr>
          <w:b/>
          <w:bCs/>
          <w:sz w:val="20"/>
          <w:szCs w:val="20"/>
        </w:rPr>
        <w:t>NLR</w:t>
      </w:r>
      <w:r w:rsidRPr="00801C75">
        <w:rPr>
          <w:sz w:val="20"/>
          <w:szCs w:val="20"/>
        </w:rPr>
        <w:t>cut-off was ≥2, with sensitivity of 68.2% specificity of 75.4% positive predictive value of 78.4%, negative predictive value of 64.5% with diagnostic accuracy of 75.5% according to ROC Curve.</w:t>
      </w:r>
    </w:p>
    <w:p w:rsidR="00AA1859" w:rsidRPr="00801C75" w:rsidRDefault="00AA1859" w:rsidP="00331E80">
      <w:pPr>
        <w:autoSpaceDE w:val="0"/>
        <w:autoSpaceDN w:val="0"/>
        <w:bidi w:val="0"/>
        <w:adjustRightInd w:val="0"/>
        <w:snapToGrid w:val="0"/>
        <w:ind w:firstLine="425"/>
        <w:jc w:val="both"/>
        <w:rPr>
          <w:sz w:val="20"/>
          <w:szCs w:val="20"/>
        </w:rPr>
      </w:pPr>
      <w:r w:rsidRPr="00801C75">
        <w:rPr>
          <w:sz w:val="20"/>
          <w:szCs w:val="20"/>
          <w:lang w:val="en-GB"/>
        </w:rPr>
        <w:t>Among 169 enrolled patients</w:t>
      </w:r>
      <w:r w:rsidR="00331E80" w:rsidRPr="00801C75">
        <w:rPr>
          <w:sz w:val="20"/>
          <w:szCs w:val="20"/>
          <w:lang w:val="en-GB"/>
        </w:rPr>
        <w:t>,</w:t>
      </w:r>
      <w:r w:rsidR="00331E80">
        <w:rPr>
          <w:sz w:val="20"/>
          <w:szCs w:val="20"/>
          <w:lang w:val="en-GB"/>
        </w:rPr>
        <w:t xml:space="preserve"> </w:t>
      </w:r>
      <w:r w:rsidR="00331E80" w:rsidRPr="00801C75">
        <w:rPr>
          <w:sz w:val="20"/>
          <w:szCs w:val="20"/>
        </w:rPr>
        <w:t>O</w:t>
      </w:r>
      <w:r w:rsidRPr="00801C75">
        <w:rPr>
          <w:sz w:val="20"/>
          <w:szCs w:val="20"/>
        </w:rPr>
        <w:t xml:space="preserve">S, PFS </w:t>
      </w:r>
      <w:r w:rsidRPr="00801C75">
        <w:rPr>
          <w:sz w:val="20"/>
          <w:szCs w:val="20"/>
          <w:lang w:val="en-GB"/>
        </w:rPr>
        <w:t xml:space="preserve">and DFS </w:t>
      </w:r>
      <w:r w:rsidRPr="00801C75">
        <w:rPr>
          <w:sz w:val="20"/>
          <w:szCs w:val="20"/>
        </w:rPr>
        <w:t>were shorter in patients with elevated NLR ratio than in patients with normalized ratio with significance statistically.</w:t>
      </w:r>
    </w:p>
    <w:p w:rsidR="00AA1859" w:rsidRPr="00801C75" w:rsidRDefault="00AA1859" w:rsidP="00331E80">
      <w:pPr>
        <w:autoSpaceDE w:val="0"/>
        <w:autoSpaceDN w:val="0"/>
        <w:bidi w:val="0"/>
        <w:adjustRightInd w:val="0"/>
        <w:snapToGrid w:val="0"/>
        <w:ind w:firstLine="425"/>
        <w:jc w:val="both"/>
        <w:rPr>
          <w:color w:val="000000" w:themeColor="text1"/>
          <w:sz w:val="20"/>
          <w:szCs w:val="20"/>
          <w:lang w:val="en-GB"/>
        </w:rPr>
      </w:pPr>
      <w:r w:rsidRPr="00801C75">
        <w:rPr>
          <w:color w:val="000000" w:themeColor="text1"/>
          <w:sz w:val="20"/>
          <w:szCs w:val="20"/>
        </w:rPr>
        <w:t xml:space="preserve">Disease free survival among the initially non metastatic group was 33 month in normalized NLR limb and 12 month in NLR ≥2 limb with P value &lt;.001. Progression free survival among the initially metastatic group was 25.8 month among normalized NLR limb and 8.8 month among NLR ≥2 limb </w:t>
      </w:r>
      <w:r w:rsidRPr="00801C75">
        <w:rPr>
          <w:color w:val="000000" w:themeColor="text1"/>
          <w:sz w:val="20"/>
          <w:szCs w:val="20"/>
          <w:lang w:val="en-GB"/>
        </w:rPr>
        <w:t>with P Value</w:t>
      </w:r>
      <w:r w:rsidR="00F026DF" w:rsidRPr="00801C75">
        <w:rPr>
          <w:color w:val="000000" w:themeColor="text1"/>
          <w:sz w:val="20"/>
          <w:szCs w:val="20"/>
          <w:lang w:val="en-GB"/>
        </w:rPr>
        <w:t>.</w:t>
      </w:r>
      <w:r w:rsidRPr="00801C75">
        <w:rPr>
          <w:color w:val="000000" w:themeColor="text1"/>
          <w:sz w:val="20"/>
          <w:szCs w:val="20"/>
          <w:lang w:val="en-GB"/>
        </w:rPr>
        <w:t>002.</w:t>
      </w:r>
    </w:p>
    <w:p w:rsidR="004A518F" w:rsidRPr="00801C75" w:rsidRDefault="00AA1859" w:rsidP="00331E80">
      <w:pPr>
        <w:autoSpaceDE w:val="0"/>
        <w:autoSpaceDN w:val="0"/>
        <w:bidi w:val="0"/>
        <w:adjustRightInd w:val="0"/>
        <w:snapToGrid w:val="0"/>
        <w:ind w:firstLine="425"/>
        <w:jc w:val="both"/>
        <w:rPr>
          <w:sz w:val="20"/>
          <w:szCs w:val="20"/>
        </w:rPr>
      </w:pPr>
      <w:r w:rsidRPr="00801C75">
        <w:rPr>
          <w:color w:val="000000" w:themeColor="text1"/>
          <w:sz w:val="20"/>
          <w:szCs w:val="20"/>
        </w:rPr>
        <w:t xml:space="preserve">Overall survival for all patients was 41 month for normalized ratio and 23 month for NLR ≥2 limb with P value of &lt;.001, </w:t>
      </w:r>
      <w:r w:rsidRPr="00801C75">
        <w:rPr>
          <w:sz w:val="20"/>
          <w:szCs w:val="20"/>
        </w:rPr>
        <w:t>which met end point of many international studies</w:t>
      </w:r>
      <w:r w:rsidR="004A518F" w:rsidRPr="00801C75">
        <w:rPr>
          <w:b/>
          <w:bCs/>
          <w:sz w:val="20"/>
          <w:szCs w:val="20"/>
          <w:vertAlign w:val="superscript"/>
          <w:lang w:val="en-GB"/>
        </w:rPr>
        <w:t xml:space="preserve"> (</w:t>
      </w:r>
      <w:r w:rsidR="00C16147" w:rsidRPr="00801C75">
        <w:rPr>
          <w:rStyle w:val="CharAttribute0"/>
          <w:rFonts w:eastAsia="Batang"/>
          <w:b/>
          <w:bCs/>
          <w:color w:val="000000" w:themeColor="text1"/>
          <w:sz w:val="20"/>
          <w:szCs w:val="20"/>
          <w:vertAlign w:val="superscript"/>
          <w:lang w:bidi="ar-EG"/>
        </w:rPr>
        <w:t>10</w:t>
      </w:r>
      <w:r w:rsidR="00564F06" w:rsidRPr="00801C75">
        <w:rPr>
          <w:b/>
          <w:bCs/>
          <w:sz w:val="20"/>
          <w:szCs w:val="20"/>
          <w:vertAlign w:val="superscript"/>
        </w:rPr>
        <w:t>,</w:t>
      </w:r>
      <w:r w:rsidR="00335783" w:rsidRPr="00801C75">
        <w:rPr>
          <w:b/>
          <w:bCs/>
          <w:sz w:val="20"/>
          <w:szCs w:val="20"/>
          <w:vertAlign w:val="superscript"/>
        </w:rPr>
        <w:t>35</w:t>
      </w:r>
      <w:r w:rsidR="004A518F" w:rsidRPr="00801C75">
        <w:rPr>
          <w:b/>
          <w:bCs/>
          <w:color w:val="131413"/>
          <w:sz w:val="20"/>
          <w:szCs w:val="20"/>
          <w:vertAlign w:val="superscript"/>
          <w:lang w:val="en-GB"/>
        </w:rPr>
        <w:t>)</w:t>
      </w:r>
      <w:r w:rsidR="004A518F" w:rsidRPr="00801C75">
        <w:rPr>
          <w:b/>
          <w:bCs/>
          <w:i/>
          <w:iCs/>
          <w:color w:val="131413"/>
          <w:sz w:val="20"/>
          <w:szCs w:val="20"/>
          <w:lang w:val="en-GB"/>
        </w:rPr>
        <w:t>.</w:t>
      </w:r>
    </w:p>
    <w:p w:rsidR="00801C75" w:rsidRPr="00801C75" w:rsidRDefault="00AA1859" w:rsidP="00331E80">
      <w:pPr>
        <w:autoSpaceDE w:val="0"/>
        <w:autoSpaceDN w:val="0"/>
        <w:bidi w:val="0"/>
        <w:adjustRightInd w:val="0"/>
        <w:snapToGrid w:val="0"/>
        <w:ind w:firstLine="425"/>
        <w:jc w:val="both"/>
        <w:rPr>
          <w:color w:val="262626" w:themeColor="text1" w:themeTint="D9"/>
          <w:sz w:val="20"/>
          <w:szCs w:val="20"/>
          <w:lang w:val="en-GB"/>
        </w:rPr>
      </w:pPr>
      <w:r w:rsidRPr="00801C75">
        <w:rPr>
          <w:color w:val="262626" w:themeColor="text1" w:themeTint="D9"/>
          <w:sz w:val="20"/>
          <w:szCs w:val="20"/>
          <w:lang w:val="en-GB"/>
        </w:rPr>
        <w:t>Neutrophil lymphocytes ratio remained significant in the multivariate analysis including OS, DFS and PFS for total number of patients.</w:t>
      </w:r>
    </w:p>
    <w:p w:rsidR="00AA1859" w:rsidRPr="00801C75" w:rsidRDefault="00801C75" w:rsidP="00331E80">
      <w:pPr>
        <w:autoSpaceDE w:val="0"/>
        <w:autoSpaceDN w:val="0"/>
        <w:bidi w:val="0"/>
        <w:adjustRightInd w:val="0"/>
        <w:snapToGrid w:val="0"/>
        <w:ind w:firstLine="425"/>
        <w:jc w:val="both"/>
        <w:rPr>
          <w:color w:val="262626" w:themeColor="text1" w:themeTint="D9"/>
          <w:sz w:val="20"/>
          <w:szCs w:val="20"/>
          <w:lang w:val="en-GB"/>
        </w:rPr>
      </w:pPr>
      <w:r w:rsidRPr="00801C75">
        <w:rPr>
          <w:color w:val="262626" w:themeColor="text1" w:themeTint="D9"/>
          <w:sz w:val="20"/>
          <w:szCs w:val="20"/>
          <w:lang w:val="en-GB"/>
        </w:rPr>
        <w:t>I</w:t>
      </w:r>
      <w:r w:rsidR="00AA1859" w:rsidRPr="00801C75">
        <w:rPr>
          <w:color w:val="262626" w:themeColor="text1" w:themeTint="D9"/>
          <w:sz w:val="20"/>
          <w:szCs w:val="20"/>
          <w:lang w:val="en-GB"/>
        </w:rPr>
        <w:t xml:space="preserve">n univariate analysis, the elevated postoperative NLR was associated with worse OS, DFS and PFS. </w:t>
      </w:r>
    </w:p>
    <w:p w:rsidR="00AA1859" w:rsidRPr="00801C75" w:rsidRDefault="00AA1859" w:rsidP="00331E80">
      <w:pPr>
        <w:autoSpaceDE w:val="0"/>
        <w:autoSpaceDN w:val="0"/>
        <w:bidi w:val="0"/>
        <w:adjustRightInd w:val="0"/>
        <w:snapToGrid w:val="0"/>
        <w:ind w:firstLine="425"/>
        <w:jc w:val="both"/>
        <w:rPr>
          <w:color w:val="262626" w:themeColor="text1" w:themeTint="D9"/>
          <w:sz w:val="20"/>
          <w:szCs w:val="20"/>
          <w:lang w:val="en-GB"/>
        </w:rPr>
      </w:pPr>
      <w:r w:rsidRPr="00801C75">
        <w:rPr>
          <w:color w:val="262626" w:themeColor="text1" w:themeTint="D9"/>
          <w:sz w:val="20"/>
          <w:szCs w:val="20"/>
          <w:lang w:val="en-GB"/>
        </w:rPr>
        <w:t>Platelet remained significant in the multivariate analysis and confirmed as independent prognostic factor to Worse OS, DFS and PFs in colorectal cancer patients.</w:t>
      </w:r>
    </w:p>
    <w:p w:rsidR="00AA1859" w:rsidRPr="00801C75" w:rsidRDefault="00AA1859" w:rsidP="00331E80">
      <w:pPr>
        <w:autoSpaceDE w:val="0"/>
        <w:autoSpaceDN w:val="0"/>
        <w:bidi w:val="0"/>
        <w:adjustRightInd w:val="0"/>
        <w:snapToGrid w:val="0"/>
        <w:ind w:firstLine="425"/>
        <w:jc w:val="both"/>
        <w:rPr>
          <w:b/>
          <w:bCs/>
          <w:i/>
          <w:iCs/>
          <w:color w:val="262626" w:themeColor="text1" w:themeTint="D9"/>
          <w:sz w:val="20"/>
          <w:szCs w:val="20"/>
          <w:lang w:val="en-GB"/>
        </w:rPr>
      </w:pPr>
      <w:r w:rsidRPr="00801C75">
        <w:rPr>
          <w:color w:val="262626" w:themeColor="text1" w:themeTint="D9"/>
          <w:sz w:val="20"/>
          <w:szCs w:val="20"/>
          <w:lang w:val="en-GB"/>
        </w:rPr>
        <w:lastRenderedPageBreak/>
        <w:t xml:space="preserve">These data are consistence with those showed in some previous studies, as shown in a study conducted by </w:t>
      </w:r>
      <w:r w:rsidRPr="00801C75">
        <w:rPr>
          <w:color w:val="000000" w:themeColor="text1"/>
          <w:sz w:val="20"/>
          <w:szCs w:val="20"/>
          <w:lang w:val="en-GB"/>
        </w:rPr>
        <w:t xml:space="preserve">Wanbin </w:t>
      </w:r>
      <w:r w:rsidR="001F0428" w:rsidRPr="00801C75">
        <w:rPr>
          <w:color w:val="000000" w:themeColor="text1"/>
          <w:sz w:val="20"/>
          <w:szCs w:val="20"/>
          <w:lang w:val="en-GB"/>
        </w:rPr>
        <w:t xml:space="preserve">et al. </w:t>
      </w:r>
      <w:r w:rsidR="001F0428" w:rsidRPr="00801C75">
        <w:rPr>
          <w:b/>
          <w:bCs/>
          <w:color w:val="262626" w:themeColor="text1" w:themeTint="D9"/>
          <w:sz w:val="20"/>
          <w:szCs w:val="20"/>
          <w:vertAlign w:val="superscript"/>
          <w:lang w:val="en-GB"/>
        </w:rPr>
        <w:t xml:space="preserve">(34) </w:t>
      </w:r>
      <w:r w:rsidRPr="00801C75">
        <w:rPr>
          <w:color w:val="000000" w:themeColor="text1"/>
          <w:sz w:val="20"/>
          <w:szCs w:val="20"/>
          <w:lang w:val="en-GB"/>
        </w:rPr>
        <w:t xml:space="preserve">where the main finding was that NLR confirmed as independent prognostic </w:t>
      </w:r>
      <w:r w:rsidRPr="00801C75">
        <w:rPr>
          <w:color w:val="262626" w:themeColor="text1" w:themeTint="D9"/>
          <w:sz w:val="20"/>
          <w:szCs w:val="20"/>
          <w:lang w:val="en-GB"/>
        </w:rPr>
        <w:t>factor regardless Age, sex and stage in coloncancer patients</w:t>
      </w:r>
      <w:r w:rsidR="00331E80" w:rsidRPr="00801C75">
        <w:rPr>
          <w:color w:val="262626" w:themeColor="text1" w:themeTint="D9"/>
          <w:sz w:val="20"/>
          <w:szCs w:val="20"/>
          <w:lang w:val="en-GB"/>
        </w:rPr>
        <w:t>.</w:t>
      </w:r>
      <w:r w:rsidR="00331E80">
        <w:rPr>
          <w:color w:val="262626" w:themeColor="text1" w:themeTint="D9"/>
          <w:sz w:val="20"/>
          <w:szCs w:val="20"/>
          <w:lang w:val="en-GB"/>
        </w:rPr>
        <w:t xml:space="preserve"> </w:t>
      </w:r>
      <w:r w:rsidR="00331E80" w:rsidRPr="00801C75">
        <w:rPr>
          <w:color w:val="262626" w:themeColor="text1" w:themeTint="D9"/>
          <w:sz w:val="20"/>
          <w:szCs w:val="20"/>
          <w:lang w:val="en-GB"/>
        </w:rPr>
        <w:t>A</w:t>
      </w:r>
      <w:r w:rsidRPr="00801C75">
        <w:rPr>
          <w:color w:val="262626" w:themeColor="text1" w:themeTint="D9"/>
          <w:sz w:val="20"/>
          <w:szCs w:val="20"/>
          <w:lang w:val="en-GB"/>
        </w:rPr>
        <w:t xml:space="preserve">lso </w:t>
      </w:r>
      <w:r w:rsidRPr="00801C75">
        <w:rPr>
          <w:color w:val="000000" w:themeColor="text1"/>
          <w:sz w:val="20"/>
          <w:szCs w:val="20"/>
          <w:lang w:val="en-GB"/>
        </w:rPr>
        <w:t xml:space="preserve">in previous study </w:t>
      </w:r>
      <w:r w:rsidRPr="00801C75">
        <w:rPr>
          <w:color w:val="262626" w:themeColor="text1" w:themeTint="D9"/>
          <w:sz w:val="20"/>
          <w:szCs w:val="20"/>
          <w:lang w:val="en-GB"/>
        </w:rPr>
        <w:t xml:space="preserve">conducted by Absenger </w:t>
      </w:r>
      <w:r w:rsidR="00CC6C88" w:rsidRPr="00801C75">
        <w:rPr>
          <w:color w:val="262626" w:themeColor="text1" w:themeTint="D9"/>
          <w:sz w:val="20"/>
          <w:szCs w:val="20"/>
          <w:lang w:val="en-GB"/>
        </w:rPr>
        <w:t>et al.</w:t>
      </w:r>
      <w:r w:rsidRPr="00801C75">
        <w:rPr>
          <w:color w:val="262626" w:themeColor="text1" w:themeTint="D9"/>
          <w:sz w:val="20"/>
          <w:szCs w:val="20"/>
          <w:lang w:val="en-GB"/>
        </w:rPr>
        <w:t xml:space="preserve">, showed the same results regarding multivariate analysis of those studied factors </w:t>
      </w:r>
      <w:r w:rsidRPr="00801C75">
        <w:rPr>
          <w:b/>
          <w:bCs/>
          <w:color w:val="262626" w:themeColor="text1" w:themeTint="D9"/>
          <w:sz w:val="20"/>
          <w:szCs w:val="20"/>
          <w:vertAlign w:val="superscript"/>
          <w:lang w:val="en-GB"/>
        </w:rPr>
        <w:t>(</w:t>
      </w:r>
      <w:r w:rsidR="00CC6C88" w:rsidRPr="00801C75">
        <w:rPr>
          <w:b/>
          <w:bCs/>
          <w:color w:val="262626" w:themeColor="text1" w:themeTint="D9"/>
          <w:sz w:val="20"/>
          <w:szCs w:val="20"/>
          <w:vertAlign w:val="superscript"/>
          <w:lang w:val="en-GB"/>
        </w:rPr>
        <w:t>33</w:t>
      </w:r>
      <w:r w:rsidRPr="00801C75">
        <w:rPr>
          <w:b/>
          <w:bCs/>
          <w:color w:val="262626" w:themeColor="text1" w:themeTint="D9"/>
          <w:sz w:val="20"/>
          <w:szCs w:val="20"/>
          <w:vertAlign w:val="superscript"/>
          <w:lang w:val="en-GB"/>
        </w:rPr>
        <w:t>)</w:t>
      </w:r>
      <w:r w:rsidRPr="00801C75">
        <w:rPr>
          <w:b/>
          <w:bCs/>
          <w:i/>
          <w:iCs/>
          <w:color w:val="262626" w:themeColor="text1" w:themeTint="D9"/>
          <w:sz w:val="20"/>
          <w:szCs w:val="20"/>
          <w:lang w:val="en-GB"/>
        </w:rPr>
        <w:t>.</w:t>
      </w:r>
    </w:p>
    <w:p w:rsidR="00AA1859" w:rsidRPr="00801C75" w:rsidRDefault="00AA1859" w:rsidP="00331E80">
      <w:pPr>
        <w:autoSpaceDE w:val="0"/>
        <w:autoSpaceDN w:val="0"/>
        <w:bidi w:val="0"/>
        <w:adjustRightInd w:val="0"/>
        <w:snapToGrid w:val="0"/>
        <w:ind w:firstLine="425"/>
        <w:jc w:val="both"/>
        <w:rPr>
          <w:sz w:val="20"/>
          <w:szCs w:val="20"/>
        </w:rPr>
      </w:pPr>
      <w:r w:rsidRPr="00801C75">
        <w:rPr>
          <w:sz w:val="20"/>
          <w:szCs w:val="20"/>
        </w:rPr>
        <w:t>Those data may provide new ideas and evidence for clinical applications aimed at evaluating prognosis in patients with colorectal cancer. A less expensive and simpler method of bio-prediction may therefore be developed in the near future.</w:t>
      </w:r>
    </w:p>
    <w:p w:rsidR="00AA1859" w:rsidRPr="00801C75" w:rsidRDefault="00AA1859" w:rsidP="00331E80">
      <w:pPr>
        <w:bidi w:val="0"/>
        <w:snapToGrid w:val="0"/>
        <w:ind w:firstLine="425"/>
        <w:jc w:val="both"/>
        <w:rPr>
          <w:sz w:val="20"/>
          <w:szCs w:val="20"/>
          <w:lang w:bidi="ar-EG"/>
        </w:rPr>
      </w:pPr>
      <w:r w:rsidRPr="00801C75">
        <w:rPr>
          <w:sz w:val="20"/>
          <w:szCs w:val="20"/>
          <w:lang w:val="en-GB" w:bidi="ar-EG"/>
        </w:rPr>
        <w:t>Regarding</w:t>
      </w:r>
      <w:r w:rsidRPr="00801C75">
        <w:rPr>
          <w:sz w:val="20"/>
          <w:szCs w:val="20"/>
        </w:rPr>
        <w:t xml:space="preserve"> platelet count that can be influenced by several diseases and drugs (including blood coagulation disorders, blood diseases, splenic disease, and aspirin), those factors should be excluded in the future studies to more rigorously demonstrate the prognostic value of platelet counts.</w:t>
      </w:r>
    </w:p>
    <w:p w:rsidR="00AA1859" w:rsidRPr="00801C75" w:rsidRDefault="00AA1859" w:rsidP="00331E80">
      <w:pPr>
        <w:bidi w:val="0"/>
        <w:snapToGrid w:val="0"/>
        <w:ind w:firstLine="425"/>
        <w:jc w:val="both"/>
        <w:rPr>
          <w:sz w:val="20"/>
          <w:szCs w:val="20"/>
          <w:lang w:bidi="ar-EG"/>
        </w:rPr>
      </w:pPr>
      <w:r w:rsidRPr="00801C75">
        <w:rPr>
          <w:sz w:val="20"/>
          <w:szCs w:val="20"/>
        </w:rPr>
        <w:t>Our study is of retrospective design, small sample size (especially in metastatic group) and single-center experience with exclusion of approximately two third of the initial number of patients for various reasons including absence of many essential data in medical reports, which could not be representative of all CRC patients in general and might weaken the meaning of our finding, so we can't generalize our results.</w:t>
      </w:r>
    </w:p>
    <w:p w:rsidR="00981714" w:rsidRPr="00801C75" w:rsidRDefault="00AA1859" w:rsidP="00331E80">
      <w:pPr>
        <w:bidi w:val="0"/>
        <w:snapToGrid w:val="0"/>
        <w:ind w:firstLine="425"/>
        <w:jc w:val="both"/>
        <w:rPr>
          <w:sz w:val="20"/>
          <w:szCs w:val="20"/>
          <w:lang w:bidi="ar-EG"/>
        </w:rPr>
      </w:pPr>
      <w:r w:rsidRPr="00801C75">
        <w:rPr>
          <w:sz w:val="20"/>
          <w:szCs w:val="20"/>
        </w:rPr>
        <w:t>Bu</w:t>
      </w:r>
      <w:r w:rsidRPr="00801C75">
        <w:rPr>
          <w:sz w:val="20"/>
          <w:szCs w:val="20"/>
          <w:lang w:val="en-GB"/>
        </w:rPr>
        <w:t xml:space="preserve">t at least it helps to recognize more adverse prognostic and </w:t>
      </w:r>
      <w:r w:rsidRPr="00801C75">
        <w:rPr>
          <w:color w:val="000000" w:themeColor="text1"/>
          <w:sz w:val="20"/>
          <w:szCs w:val="20"/>
          <w:lang w:val="en-GB"/>
        </w:rPr>
        <w:t>predictive factors for newly diagnosed CRC patients and offering appropriate treatment strategies, optimum surveillance schedule and monitoring. It may</w:t>
      </w:r>
      <w:r w:rsidRPr="00801C75">
        <w:rPr>
          <w:color w:val="000000" w:themeColor="text1"/>
          <w:sz w:val="20"/>
          <w:szCs w:val="20"/>
        </w:rPr>
        <w:t xml:space="preserve"> open the door </w:t>
      </w:r>
      <w:r w:rsidRPr="00801C75">
        <w:rPr>
          <w:sz w:val="20"/>
          <w:szCs w:val="20"/>
        </w:rPr>
        <w:t>for further investigation with larger scale and long term follow-up in the near future.</w:t>
      </w:r>
    </w:p>
    <w:p w:rsidR="0094756F" w:rsidRPr="00801C75" w:rsidRDefault="0094756F" w:rsidP="00331E80">
      <w:pPr>
        <w:pStyle w:val="Heading1"/>
        <w:keepNext w:val="0"/>
        <w:keepLines w:val="0"/>
        <w:bidi w:val="0"/>
        <w:snapToGrid w:val="0"/>
        <w:spacing w:before="0"/>
        <w:jc w:val="both"/>
        <w:rPr>
          <w:rFonts w:ascii="Times New Roman" w:eastAsia="Times New Roman" w:hAnsi="Times New Roman" w:cs="Times New Roman"/>
          <w:color w:val="auto"/>
          <w:sz w:val="20"/>
          <w:szCs w:val="20"/>
          <w:lang w:bidi="ar-EG"/>
        </w:rPr>
      </w:pPr>
    </w:p>
    <w:p w:rsidR="00800E3E" w:rsidRPr="00801C75" w:rsidRDefault="00800E3E" w:rsidP="00331E80">
      <w:pPr>
        <w:pStyle w:val="Heading1"/>
        <w:keepNext w:val="0"/>
        <w:keepLines w:val="0"/>
        <w:bidi w:val="0"/>
        <w:snapToGrid w:val="0"/>
        <w:spacing w:before="0"/>
        <w:jc w:val="both"/>
        <w:rPr>
          <w:rFonts w:ascii="Times New Roman" w:eastAsia="Times New Roman" w:hAnsi="Times New Roman" w:cs="Times New Roman"/>
          <w:color w:val="auto"/>
          <w:sz w:val="20"/>
          <w:szCs w:val="20"/>
          <w:lang w:bidi="ar-EG"/>
        </w:rPr>
      </w:pPr>
      <w:r w:rsidRPr="00801C75">
        <w:rPr>
          <w:rFonts w:ascii="Times New Roman" w:eastAsia="Times New Roman" w:hAnsi="Times New Roman" w:cs="Times New Roman"/>
          <w:color w:val="auto"/>
          <w:sz w:val="20"/>
          <w:szCs w:val="20"/>
          <w:lang w:bidi="ar-EG"/>
        </w:rPr>
        <w:t xml:space="preserve">Conclusion </w:t>
      </w:r>
    </w:p>
    <w:p w:rsidR="00800E3E" w:rsidRPr="00801C75" w:rsidRDefault="00800E3E" w:rsidP="00331E80">
      <w:pPr>
        <w:pStyle w:val="ListParagraph"/>
        <w:numPr>
          <w:ilvl w:val="0"/>
          <w:numId w:val="10"/>
        </w:numPr>
        <w:autoSpaceDE w:val="0"/>
        <w:autoSpaceDN w:val="0"/>
        <w:adjustRightInd w:val="0"/>
        <w:snapToGrid w:val="0"/>
        <w:spacing w:after="0" w:line="240" w:lineRule="auto"/>
        <w:ind w:left="0" w:firstLine="425"/>
        <w:jc w:val="both"/>
        <w:rPr>
          <w:rFonts w:ascii="Times New Roman" w:hAnsi="Times New Roman" w:cs="Times New Roman"/>
          <w:color w:val="131413"/>
          <w:sz w:val="20"/>
          <w:szCs w:val="20"/>
        </w:rPr>
      </w:pPr>
      <w:r w:rsidRPr="00801C75">
        <w:rPr>
          <w:rFonts w:ascii="Times New Roman" w:hAnsi="Times New Roman" w:cs="Times New Roman"/>
          <w:color w:val="131413"/>
          <w:sz w:val="20"/>
          <w:szCs w:val="20"/>
        </w:rPr>
        <w:t>The association between cancer and inflammation was first recognized on the basis of observations that tumors frequently</w:t>
      </w:r>
      <w:r w:rsidR="007B5424" w:rsidRPr="00801C75">
        <w:rPr>
          <w:rFonts w:ascii="Times New Roman" w:hAnsi="Times New Roman" w:cs="Times New Roman"/>
          <w:color w:val="131413"/>
          <w:sz w:val="20"/>
          <w:szCs w:val="20"/>
        </w:rPr>
        <w:t xml:space="preserve"> a</w:t>
      </w:r>
      <w:r w:rsidRPr="00801C75">
        <w:rPr>
          <w:rFonts w:ascii="Times New Roman" w:hAnsi="Times New Roman" w:cs="Times New Roman"/>
          <w:color w:val="131413"/>
          <w:sz w:val="20"/>
          <w:szCs w:val="20"/>
        </w:rPr>
        <w:t>rise at sites of chronic inflammation so many triggers of chronic inflammation increase the risk of developing cancer.</w:t>
      </w:r>
    </w:p>
    <w:p w:rsidR="00800E3E" w:rsidRPr="00801C75" w:rsidRDefault="00800E3E" w:rsidP="00331E80">
      <w:pPr>
        <w:pStyle w:val="ListParagraph"/>
        <w:numPr>
          <w:ilvl w:val="0"/>
          <w:numId w:val="10"/>
        </w:numPr>
        <w:autoSpaceDE w:val="0"/>
        <w:autoSpaceDN w:val="0"/>
        <w:adjustRightInd w:val="0"/>
        <w:snapToGrid w:val="0"/>
        <w:spacing w:after="0" w:line="240" w:lineRule="auto"/>
        <w:ind w:left="0" w:firstLine="425"/>
        <w:jc w:val="both"/>
        <w:rPr>
          <w:rFonts w:ascii="Times New Roman" w:hAnsi="Times New Roman" w:cs="Times New Roman"/>
          <w:color w:val="131413"/>
          <w:sz w:val="20"/>
          <w:szCs w:val="20"/>
        </w:rPr>
      </w:pPr>
      <w:r w:rsidRPr="00801C75">
        <w:rPr>
          <w:rFonts w:ascii="Times New Roman" w:hAnsi="Times New Roman" w:cs="Times New Roman"/>
          <w:color w:val="131413"/>
          <w:sz w:val="20"/>
          <w:szCs w:val="20"/>
        </w:rPr>
        <w:t>This study is demonstrating a strong association between elevated neutrophil count and poor outcome in patients with cancer in both overall survival and disease free survival.</w:t>
      </w:r>
    </w:p>
    <w:p w:rsidR="00800E3E" w:rsidRPr="00801C75" w:rsidRDefault="00800E3E" w:rsidP="00331E80">
      <w:pPr>
        <w:pStyle w:val="ListParagraph"/>
        <w:numPr>
          <w:ilvl w:val="0"/>
          <w:numId w:val="10"/>
        </w:numPr>
        <w:autoSpaceDE w:val="0"/>
        <w:autoSpaceDN w:val="0"/>
        <w:adjustRightInd w:val="0"/>
        <w:snapToGrid w:val="0"/>
        <w:spacing w:after="0" w:line="240" w:lineRule="auto"/>
        <w:ind w:left="0" w:firstLine="425"/>
        <w:jc w:val="both"/>
        <w:rPr>
          <w:rFonts w:ascii="Times New Roman" w:hAnsi="Times New Roman" w:cs="Times New Roman"/>
          <w:color w:val="131413"/>
          <w:sz w:val="20"/>
          <w:szCs w:val="20"/>
        </w:rPr>
      </w:pPr>
      <w:r w:rsidRPr="00801C75">
        <w:rPr>
          <w:rFonts w:ascii="Times New Roman" w:hAnsi="Times New Roman" w:cs="Times New Roman"/>
          <w:color w:val="131413"/>
          <w:sz w:val="20"/>
          <w:szCs w:val="20"/>
        </w:rPr>
        <w:t>This study demonstrates a great link between thrombocytosis and OAS, PFS and DFS in both locally advanced and metastatic sittings.</w:t>
      </w:r>
    </w:p>
    <w:p w:rsidR="00981714" w:rsidRPr="00166A00" w:rsidRDefault="00800E3E" w:rsidP="00331E80">
      <w:pPr>
        <w:pStyle w:val="ListParagraph"/>
        <w:numPr>
          <w:ilvl w:val="0"/>
          <w:numId w:val="10"/>
        </w:numPr>
        <w:autoSpaceDE w:val="0"/>
        <w:autoSpaceDN w:val="0"/>
        <w:adjustRightInd w:val="0"/>
        <w:snapToGrid w:val="0"/>
        <w:spacing w:after="0" w:line="240" w:lineRule="auto"/>
        <w:ind w:left="0" w:firstLine="425"/>
        <w:jc w:val="both"/>
        <w:rPr>
          <w:rFonts w:ascii="Times New Roman" w:hAnsi="Times New Roman" w:cs="Times New Roman"/>
          <w:color w:val="131413"/>
          <w:sz w:val="20"/>
          <w:szCs w:val="20"/>
        </w:rPr>
      </w:pPr>
      <w:r w:rsidRPr="00801C75">
        <w:rPr>
          <w:rFonts w:ascii="Times New Roman" w:hAnsi="Times New Roman" w:cs="Times New Roman"/>
          <w:color w:val="131413"/>
          <w:sz w:val="20"/>
          <w:szCs w:val="20"/>
        </w:rPr>
        <w:t>Median of OAS in locally advanced group is 31.4 month while in metastatic group it's 19.9 month, median of DFS in locally advanced group is 19.8 month and PFS in metastatic group is 15 month, with statistically difference.</w:t>
      </w:r>
    </w:p>
    <w:p w:rsidR="00166A00" w:rsidRPr="00166A00" w:rsidRDefault="00166A00" w:rsidP="00166A00">
      <w:pPr>
        <w:autoSpaceDE w:val="0"/>
        <w:autoSpaceDN w:val="0"/>
        <w:bidi w:val="0"/>
        <w:adjustRightInd w:val="0"/>
        <w:snapToGrid w:val="0"/>
        <w:jc w:val="both"/>
        <w:rPr>
          <w:color w:val="131413"/>
          <w:sz w:val="20"/>
          <w:szCs w:val="20"/>
          <w:lang w:eastAsia="zh-CN"/>
        </w:rPr>
      </w:pPr>
    </w:p>
    <w:p w:rsidR="0094756F" w:rsidRPr="00801C75" w:rsidRDefault="0094756F" w:rsidP="00331E80">
      <w:pPr>
        <w:pStyle w:val="Heading1"/>
        <w:keepNext w:val="0"/>
        <w:keepLines w:val="0"/>
        <w:bidi w:val="0"/>
        <w:snapToGrid w:val="0"/>
        <w:spacing w:before="0"/>
        <w:jc w:val="both"/>
        <w:rPr>
          <w:rFonts w:ascii="Times New Roman" w:eastAsia="Times New Roman" w:hAnsi="Times New Roman" w:cs="Times New Roman"/>
          <w:color w:val="auto"/>
          <w:sz w:val="20"/>
          <w:szCs w:val="20"/>
          <w:lang w:bidi="ar-EG"/>
        </w:rPr>
      </w:pPr>
    </w:p>
    <w:p w:rsidR="00FE38D6" w:rsidRPr="00801C75" w:rsidRDefault="00FE38D6" w:rsidP="00331E80">
      <w:pPr>
        <w:pStyle w:val="Heading1"/>
        <w:keepNext w:val="0"/>
        <w:keepLines w:val="0"/>
        <w:bidi w:val="0"/>
        <w:snapToGrid w:val="0"/>
        <w:spacing w:before="0"/>
        <w:jc w:val="both"/>
        <w:rPr>
          <w:rFonts w:ascii="Times New Roman" w:eastAsia="Times New Roman" w:hAnsi="Times New Roman" w:cs="Times New Roman"/>
          <w:color w:val="auto"/>
          <w:sz w:val="20"/>
          <w:szCs w:val="20"/>
          <w:lang w:bidi="ar-EG"/>
        </w:rPr>
      </w:pPr>
      <w:r w:rsidRPr="00801C75">
        <w:rPr>
          <w:rFonts w:ascii="Times New Roman" w:eastAsia="Times New Roman" w:hAnsi="Times New Roman" w:cs="Times New Roman"/>
          <w:color w:val="auto"/>
          <w:sz w:val="20"/>
          <w:szCs w:val="20"/>
          <w:lang w:bidi="ar-EG"/>
        </w:rPr>
        <w:lastRenderedPageBreak/>
        <w:t>References</w:t>
      </w:r>
    </w:p>
    <w:p w:rsidR="00DE4DBB" w:rsidRPr="00331E80" w:rsidRDefault="00DE4DBB" w:rsidP="00331E80">
      <w:pPr>
        <w:pStyle w:val="ListParagraph"/>
        <w:numPr>
          <w:ilvl w:val="0"/>
          <w:numId w:val="14"/>
        </w:numPr>
        <w:snapToGrid w:val="0"/>
        <w:spacing w:after="0" w:line="240" w:lineRule="auto"/>
        <w:ind w:left="425" w:hanging="425"/>
        <w:jc w:val="both"/>
        <w:rPr>
          <w:rFonts w:ascii="Times New Roman" w:hAnsi="Times New Roman" w:cs="Times New Roman"/>
          <w:sz w:val="20"/>
          <w:szCs w:val="20"/>
        </w:rPr>
      </w:pPr>
      <w:r w:rsidRPr="00331E80">
        <w:rPr>
          <w:rFonts w:ascii="Times New Roman" w:hAnsi="Times New Roman" w:cs="Times New Roman"/>
          <w:bCs/>
          <w:sz w:val="20"/>
          <w:szCs w:val="20"/>
        </w:rPr>
        <w:t>Surveillance,</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Epidemiology,</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and</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End</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Results</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(SEER)</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Cancer</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Statistics</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(2016)</w:t>
      </w:r>
      <w:r w:rsidRPr="00331E80">
        <w:rPr>
          <w:rFonts w:ascii="Times New Roman" w:hAnsi="Times New Roman" w:cs="Times New Roman"/>
          <w:sz w:val="20"/>
          <w:szCs w:val="20"/>
        </w:rPr>
        <w:t>.</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Available</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at:</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(https://seer.cancer.gov/statfacts/html/colorect.html).</w:t>
      </w:r>
    </w:p>
    <w:p w:rsidR="00DE4DBB" w:rsidRPr="00331E80" w:rsidRDefault="00DE4DBB" w:rsidP="00331E80">
      <w:pPr>
        <w:pStyle w:val="ListParagraph"/>
        <w:numPr>
          <w:ilvl w:val="0"/>
          <w:numId w:val="14"/>
        </w:numPr>
        <w:snapToGrid w:val="0"/>
        <w:spacing w:after="0" w:line="240" w:lineRule="auto"/>
        <w:ind w:left="425" w:hanging="425"/>
        <w:jc w:val="both"/>
        <w:rPr>
          <w:rFonts w:ascii="Times New Roman" w:hAnsi="Times New Roman" w:cs="Times New Roman"/>
          <w:sz w:val="20"/>
          <w:szCs w:val="20"/>
        </w:rPr>
      </w:pPr>
      <w:r w:rsidRPr="00331E80">
        <w:rPr>
          <w:rFonts w:ascii="Times New Roman" w:hAnsi="Times New Roman" w:cs="Times New Roman"/>
          <w:bCs/>
          <w:sz w:val="20"/>
          <w:szCs w:val="20"/>
          <w:lang w:bidi="ar-EG"/>
        </w:rPr>
        <w:t>Siegel</w:t>
      </w:r>
      <w:r w:rsidR="00801C75" w:rsidRPr="00331E80">
        <w:rPr>
          <w:rFonts w:ascii="Times New Roman" w:hAnsi="Times New Roman" w:cs="Times New Roman"/>
          <w:bCs/>
          <w:sz w:val="20"/>
          <w:szCs w:val="20"/>
          <w:lang w:bidi="ar-EG"/>
        </w:rPr>
        <w:t xml:space="preserve"> </w:t>
      </w:r>
      <w:r w:rsidRPr="00331E80">
        <w:rPr>
          <w:rFonts w:ascii="Times New Roman" w:hAnsi="Times New Roman" w:cs="Times New Roman"/>
          <w:bCs/>
          <w:sz w:val="20"/>
          <w:szCs w:val="20"/>
          <w:lang w:bidi="ar-EG"/>
        </w:rPr>
        <w:t>RL,</w:t>
      </w:r>
      <w:r w:rsidR="00801C75" w:rsidRPr="00331E80">
        <w:rPr>
          <w:rFonts w:ascii="Times New Roman" w:hAnsi="Times New Roman" w:cs="Times New Roman"/>
          <w:bCs/>
          <w:sz w:val="20"/>
          <w:szCs w:val="20"/>
          <w:lang w:bidi="ar-EG"/>
        </w:rPr>
        <w:t xml:space="preserve"> </w:t>
      </w:r>
      <w:r w:rsidRPr="00331E80">
        <w:rPr>
          <w:rFonts w:ascii="Times New Roman" w:hAnsi="Times New Roman" w:cs="Times New Roman"/>
          <w:bCs/>
          <w:sz w:val="20"/>
          <w:szCs w:val="20"/>
          <w:lang w:bidi="ar-EG"/>
        </w:rPr>
        <w:t>Fedewa</w:t>
      </w:r>
      <w:r w:rsidR="00801C75" w:rsidRPr="00331E80">
        <w:rPr>
          <w:rFonts w:ascii="Times New Roman" w:hAnsi="Times New Roman" w:cs="Times New Roman"/>
          <w:bCs/>
          <w:sz w:val="20"/>
          <w:szCs w:val="20"/>
          <w:lang w:bidi="ar-EG"/>
        </w:rPr>
        <w:t xml:space="preserve"> </w:t>
      </w:r>
      <w:r w:rsidRPr="00331E80">
        <w:rPr>
          <w:rFonts w:ascii="Times New Roman" w:hAnsi="Times New Roman" w:cs="Times New Roman"/>
          <w:bCs/>
          <w:sz w:val="20"/>
          <w:szCs w:val="20"/>
          <w:lang w:bidi="ar-EG"/>
        </w:rPr>
        <w:t>SA,</w:t>
      </w:r>
      <w:r w:rsidR="00801C75" w:rsidRPr="00331E80">
        <w:rPr>
          <w:rFonts w:ascii="Times New Roman" w:hAnsi="Times New Roman" w:cs="Times New Roman"/>
          <w:bCs/>
          <w:sz w:val="20"/>
          <w:szCs w:val="20"/>
          <w:lang w:bidi="ar-EG"/>
        </w:rPr>
        <w:t xml:space="preserve"> </w:t>
      </w:r>
      <w:r w:rsidRPr="00331E80">
        <w:rPr>
          <w:rFonts w:ascii="Times New Roman" w:hAnsi="Times New Roman" w:cs="Times New Roman"/>
          <w:bCs/>
          <w:sz w:val="20"/>
          <w:szCs w:val="20"/>
          <w:lang w:bidi="ar-EG"/>
        </w:rPr>
        <w:t>Anderson</w:t>
      </w:r>
      <w:r w:rsidR="00801C75" w:rsidRPr="00331E80">
        <w:rPr>
          <w:rFonts w:ascii="Times New Roman" w:hAnsi="Times New Roman" w:cs="Times New Roman"/>
          <w:bCs/>
          <w:sz w:val="20"/>
          <w:szCs w:val="20"/>
          <w:lang w:bidi="ar-EG"/>
        </w:rPr>
        <w:t xml:space="preserve"> </w:t>
      </w:r>
      <w:r w:rsidRPr="00331E80">
        <w:rPr>
          <w:rFonts w:ascii="Times New Roman" w:hAnsi="Times New Roman" w:cs="Times New Roman"/>
          <w:bCs/>
          <w:sz w:val="20"/>
          <w:szCs w:val="20"/>
          <w:lang w:bidi="ar-EG"/>
        </w:rPr>
        <w:t>WF,</w:t>
      </w:r>
      <w:r w:rsidR="00801C75" w:rsidRPr="00331E80">
        <w:rPr>
          <w:rFonts w:ascii="Times New Roman" w:hAnsi="Times New Roman" w:cs="Times New Roman"/>
          <w:bCs/>
          <w:sz w:val="20"/>
          <w:szCs w:val="20"/>
          <w:lang w:bidi="ar-EG"/>
        </w:rPr>
        <w:t xml:space="preserve"> </w:t>
      </w:r>
      <w:r w:rsidRPr="00331E80">
        <w:rPr>
          <w:rFonts w:ascii="Times New Roman" w:hAnsi="Times New Roman" w:cs="Times New Roman"/>
          <w:bCs/>
          <w:sz w:val="20"/>
          <w:szCs w:val="20"/>
          <w:lang w:bidi="ar-EG"/>
        </w:rPr>
        <w:t>et</w:t>
      </w:r>
      <w:r w:rsidR="00801C75" w:rsidRPr="00331E80">
        <w:rPr>
          <w:rFonts w:ascii="Times New Roman" w:hAnsi="Times New Roman" w:cs="Times New Roman"/>
          <w:bCs/>
          <w:sz w:val="20"/>
          <w:szCs w:val="20"/>
          <w:lang w:bidi="ar-EG"/>
        </w:rPr>
        <w:t xml:space="preserve"> </w:t>
      </w:r>
      <w:r w:rsidRPr="00331E80">
        <w:rPr>
          <w:rFonts w:ascii="Times New Roman" w:hAnsi="Times New Roman" w:cs="Times New Roman"/>
          <w:bCs/>
          <w:sz w:val="20"/>
          <w:szCs w:val="20"/>
          <w:lang w:bidi="ar-EG"/>
        </w:rPr>
        <w:t>al.</w:t>
      </w:r>
      <w:r w:rsidR="00801C75" w:rsidRPr="00331E80">
        <w:rPr>
          <w:rFonts w:ascii="Times New Roman" w:hAnsi="Times New Roman" w:cs="Times New Roman"/>
          <w:bCs/>
          <w:sz w:val="20"/>
          <w:szCs w:val="20"/>
          <w:lang w:bidi="ar-EG"/>
        </w:rPr>
        <w:t xml:space="preserve"> </w:t>
      </w:r>
      <w:r w:rsidRPr="00331E80">
        <w:rPr>
          <w:rFonts w:ascii="Times New Roman" w:hAnsi="Times New Roman" w:cs="Times New Roman"/>
          <w:bCs/>
          <w:sz w:val="20"/>
          <w:szCs w:val="20"/>
          <w:lang w:bidi="ar-EG"/>
        </w:rPr>
        <w:t>(2017):</w:t>
      </w:r>
      <w:r w:rsidR="00801C75" w:rsidRPr="00331E80">
        <w:rPr>
          <w:rFonts w:ascii="Times New Roman" w:hAnsi="Times New Roman" w:cs="Times New Roman"/>
          <w:sz w:val="20"/>
          <w:szCs w:val="20"/>
          <w:lang w:bidi="ar-EG"/>
        </w:rPr>
        <w:t xml:space="preserve"> </w:t>
      </w:r>
      <w:r w:rsidRPr="00331E80">
        <w:rPr>
          <w:rFonts w:ascii="Times New Roman" w:hAnsi="Times New Roman" w:cs="Times New Roman"/>
          <w:sz w:val="20"/>
          <w:szCs w:val="20"/>
          <w:lang w:bidi="ar-EG"/>
        </w:rPr>
        <w:t>Colorectal</w:t>
      </w:r>
      <w:r w:rsidR="00801C75" w:rsidRPr="00331E80">
        <w:rPr>
          <w:rFonts w:ascii="Times New Roman" w:hAnsi="Times New Roman" w:cs="Times New Roman"/>
          <w:sz w:val="20"/>
          <w:szCs w:val="20"/>
          <w:lang w:bidi="ar-EG"/>
        </w:rPr>
        <w:t xml:space="preserve"> </w:t>
      </w:r>
      <w:r w:rsidRPr="00331E80">
        <w:rPr>
          <w:rFonts w:ascii="Times New Roman" w:hAnsi="Times New Roman" w:cs="Times New Roman"/>
          <w:sz w:val="20"/>
          <w:szCs w:val="20"/>
          <w:lang w:bidi="ar-EG"/>
        </w:rPr>
        <w:t>Cancer</w:t>
      </w:r>
      <w:r w:rsidR="00801C75" w:rsidRPr="00331E80">
        <w:rPr>
          <w:rFonts w:ascii="Times New Roman" w:hAnsi="Times New Roman" w:cs="Times New Roman"/>
          <w:sz w:val="20"/>
          <w:szCs w:val="20"/>
          <w:lang w:bidi="ar-EG"/>
        </w:rPr>
        <w:t xml:space="preserve"> </w:t>
      </w:r>
      <w:r w:rsidRPr="00331E80">
        <w:rPr>
          <w:rFonts w:ascii="Times New Roman" w:hAnsi="Times New Roman" w:cs="Times New Roman"/>
          <w:sz w:val="20"/>
          <w:szCs w:val="20"/>
          <w:lang w:bidi="ar-EG"/>
        </w:rPr>
        <w:t>Incidence</w:t>
      </w:r>
      <w:r w:rsidR="00801C75" w:rsidRPr="00331E80">
        <w:rPr>
          <w:rFonts w:ascii="Times New Roman" w:hAnsi="Times New Roman" w:cs="Times New Roman"/>
          <w:sz w:val="20"/>
          <w:szCs w:val="20"/>
          <w:lang w:bidi="ar-EG"/>
        </w:rPr>
        <w:t xml:space="preserve"> </w:t>
      </w:r>
      <w:r w:rsidRPr="00331E80">
        <w:rPr>
          <w:rFonts w:ascii="Times New Roman" w:hAnsi="Times New Roman" w:cs="Times New Roman"/>
          <w:sz w:val="20"/>
          <w:szCs w:val="20"/>
          <w:lang w:bidi="ar-EG"/>
        </w:rPr>
        <w:t>Patterns</w:t>
      </w:r>
      <w:r w:rsidR="00801C75" w:rsidRPr="00331E80">
        <w:rPr>
          <w:rFonts w:ascii="Times New Roman" w:hAnsi="Times New Roman" w:cs="Times New Roman"/>
          <w:sz w:val="20"/>
          <w:szCs w:val="20"/>
          <w:lang w:bidi="ar-EG"/>
        </w:rPr>
        <w:t xml:space="preserve"> </w:t>
      </w:r>
      <w:r w:rsidRPr="00331E80">
        <w:rPr>
          <w:rFonts w:ascii="Times New Roman" w:hAnsi="Times New Roman" w:cs="Times New Roman"/>
          <w:sz w:val="20"/>
          <w:szCs w:val="20"/>
          <w:lang w:bidi="ar-EG"/>
        </w:rPr>
        <w:t>in</w:t>
      </w:r>
      <w:r w:rsidR="00801C75" w:rsidRPr="00331E80">
        <w:rPr>
          <w:rFonts w:ascii="Times New Roman" w:hAnsi="Times New Roman" w:cs="Times New Roman"/>
          <w:sz w:val="20"/>
          <w:szCs w:val="20"/>
          <w:lang w:bidi="ar-EG"/>
        </w:rPr>
        <w:t xml:space="preserve"> </w:t>
      </w:r>
      <w:r w:rsidRPr="00331E80">
        <w:rPr>
          <w:rFonts w:ascii="Times New Roman" w:hAnsi="Times New Roman" w:cs="Times New Roman"/>
          <w:sz w:val="20"/>
          <w:szCs w:val="20"/>
          <w:lang w:bidi="ar-EG"/>
        </w:rPr>
        <w:t>the</w:t>
      </w:r>
      <w:r w:rsidR="00801C75" w:rsidRPr="00331E80">
        <w:rPr>
          <w:rFonts w:ascii="Times New Roman" w:hAnsi="Times New Roman" w:cs="Times New Roman"/>
          <w:sz w:val="20"/>
          <w:szCs w:val="20"/>
          <w:lang w:bidi="ar-EG"/>
        </w:rPr>
        <w:t xml:space="preserve"> </w:t>
      </w:r>
      <w:r w:rsidRPr="00331E80">
        <w:rPr>
          <w:rFonts w:ascii="Times New Roman" w:hAnsi="Times New Roman" w:cs="Times New Roman"/>
          <w:sz w:val="20"/>
          <w:szCs w:val="20"/>
          <w:lang w:bidi="ar-EG"/>
        </w:rPr>
        <w:t>United</w:t>
      </w:r>
      <w:r w:rsidR="00801C75" w:rsidRPr="00331E80">
        <w:rPr>
          <w:rFonts w:ascii="Times New Roman" w:hAnsi="Times New Roman" w:cs="Times New Roman"/>
          <w:sz w:val="20"/>
          <w:szCs w:val="20"/>
          <w:lang w:bidi="ar-EG"/>
        </w:rPr>
        <w:t xml:space="preserve"> </w:t>
      </w:r>
      <w:r w:rsidRPr="00331E80">
        <w:rPr>
          <w:rFonts w:ascii="Times New Roman" w:hAnsi="Times New Roman" w:cs="Times New Roman"/>
          <w:sz w:val="20"/>
          <w:szCs w:val="20"/>
          <w:lang w:bidi="ar-EG"/>
        </w:rPr>
        <w:t>States,</w:t>
      </w:r>
      <w:r w:rsidR="00801C75" w:rsidRPr="00331E80">
        <w:rPr>
          <w:rFonts w:ascii="Times New Roman" w:hAnsi="Times New Roman" w:cs="Times New Roman"/>
          <w:sz w:val="20"/>
          <w:szCs w:val="20"/>
          <w:lang w:bidi="ar-EG"/>
        </w:rPr>
        <w:t xml:space="preserve"> </w:t>
      </w:r>
      <w:r w:rsidRPr="00331E80">
        <w:rPr>
          <w:rFonts w:ascii="Times New Roman" w:hAnsi="Times New Roman" w:cs="Times New Roman"/>
          <w:sz w:val="20"/>
          <w:szCs w:val="20"/>
          <w:lang w:bidi="ar-EG"/>
        </w:rPr>
        <w:t>1974–2013.</w:t>
      </w:r>
      <w:r w:rsidR="00801C75" w:rsidRPr="00331E80">
        <w:rPr>
          <w:rFonts w:ascii="Times New Roman" w:hAnsi="Times New Roman" w:cs="Times New Roman"/>
          <w:sz w:val="20"/>
          <w:szCs w:val="20"/>
          <w:lang w:bidi="ar-EG"/>
        </w:rPr>
        <w:t xml:space="preserve"> </w:t>
      </w:r>
      <w:r w:rsidRPr="00331E80">
        <w:rPr>
          <w:rFonts w:ascii="Times New Roman" w:hAnsi="Times New Roman" w:cs="Times New Roman"/>
          <w:sz w:val="20"/>
          <w:szCs w:val="20"/>
          <w:lang w:bidi="ar-EG"/>
        </w:rPr>
        <w:t>JNCI</w:t>
      </w:r>
      <w:r w:rsidR="00801C75" w:rsidRPr="00331E80">
        <w:rPr>
          <w:rFonts w:ascii="Times New Roman" w:hAnsi="Times New Roman" w:cs="Times New Roman"/>
          <w:sz w:val="20"/>
          <w:szCs w:val="20"/>
          <w:lang w:bidi="ar-EG"/>
        </w:rPr>
        <w:t xml:space="preserve"> </w:t>
      </w:r>
      <w:r w:rsidRPr="00331E80">
        <w:rPr>
          <w:rFonts w:ascii="Times New Roman" w:hAnsi="Times New Roman" w:cs="Times New Roman"/>
          <w:sz w:val="20"/>
          <w:szCs w:val="20"/>
          <w:lang w:bidi="ar-EG"/>
        </w:rPr>
        <w:t>J</w:t>
      </w:r>
      <w:r w:rsidR="00801C75" w:rsidRPr="00331E80">
        <w:rPr>
          <w:rFonts w:ascii="Times New Roman" w:hAnsi="Times New Roman" w:cs="Times New Roman"/>
          <w:sz w:val="20"/>
          <w:szCs w:val="20"/>
          <w:lang w:bidi="ar-EG"/>
        </w:rPr>
        <w:t xml:space="preserve"> </w:t>
      </w:r>
      <w:r w:rsidRPr="00331E80">
        <w:rPr>
          <w:rFonts w:ascii="Times New Roman" w:hAnsi="Times New Roman" w:cs="Times New Roman"/>
          <w:sz w:val="20"/>
          <w:szCs w:val="20"/>
          <w:lang w:bidi="ar-EG"/>
        </w:rPr>
        <w:t>Natl</w:t>
      </w:r>
      <w:r w:rsidR="00801C75" w:rsidRPr="00331E80">
        <w:rPr>
          <w:rFonts w:ascii="Times New Roman" w:hAnsi="Times New Roman" w:cs="Times New Roman"/>
          <w:sz w:val="20"/>
          <w:szCs w:val="20"/>
          <w:lang w:bidi="ar-EG"/>
        </w:rPr>
        <w:t xml:space="preserve"> </w:t>
      </w:r>
      <w:r w:rsidRPr="00331E80">
        <w:rPr>
          <w:rFonts w:ascii="Times New Roman" w:hAnsi="Times New Roman" w:cs="Times New Roman"/>
          <w:sz w:val="20"/>
          <w:szCs w:val="20"/>
          <w:lang w:bidi="ar-EG"/>
        </w:rPr>
        <w:t>Cancer</w:t>
      </w:r>
      <w:r w:rsidR="00801C75" w:rsidRPr="00331E80">
        <w:rPr>
          <w:rFonts w:ascii="Times New Roman" w:hAnsi="Times New Roman" w:cs="Times New Roman"/>
          <w:sz w:val="20"/>
          <w:szCs w:val="20"/>
          <w:lang w:bidi="ar-EG"/>
        </w:rPr>
        <w:t xml:space="preserve"> </w:t>
      </w:r>
      <w:r w:rsidRPr="00331E80">
        <w:rPr>
          <w:rFonts w:ascii="Times New Roman" w:hAnsi="Times New Roman" w:cs="Times New Roman"/>
          <w:sz w:val="20"/>
          <w:szCs w:val="20"/>
          <w:lang w:bidi="ar-EG"/>
        </w:rPr>
        <w:t>Inst,</w:t>
      </w:r>
      <w:r w:rsidR="00801C75" w:rsidRPr="00331E80">
        <w:rPr>
          <w:rFonts w:ascii="Times New Roman" w:hAnsi="Times New Roman" w:cs="Times New Roman"/>
          <w:sz w:val="20"/>
          <w:szCs w:val="20"/>
          <w:lang w:bidi="ar-EG"/>
        </w:rPr>
        <w:t xml:space="preserve"> </w:t>
      </w:r>
      <w:r w:rsidRPr="00331E80">
        <w:rPr>
          <w:rFonts w:ascii="Times New Roman" w:hAnsi="Times New Roman" w:cs="Times New Roman"/>
          <w:sz w:val="20"/>
          <w:szCs w:val="20"/>
          <w:lang w:bidi="ar-EG"/>
        </w:rPr>
        <w:t>Vol.</w:t>
      </w:r>
      <w:r w:rsidR="00801C75" w:rsidRPr="00331E80">
        <w:rPr>
          <w:rFonts w:ascii="Times New Roman" w:hAnsi="Times New Roman" w:cs="Times New Roman"/>
          <w:sz w:val="20"/>
          <w:szCs w:val="20"/>
          <w:lang w:bidi="ar-EG"/>
        </w:rPr>
        <w:t xml:space="preserve"> </w:t>
      </w:r>
      <w:r w:rsidRPr="00331E80">
        <w:rPr>
          <w:rFonts w:ascii="Times New Roman" w:hAnsi="Times New Roman" w:cs="Times New Roman"/>
          <w:sz w:val="20"/>
          <w:szCs w:val="20"/>
          <w:lang w:bidi="ar-EG"/>
        </w:rPr>
        <w:t>109,</w:t>
      </w:r>
      <w:r w:rsidR="00801C75" w:rsidRPr="00331E80">
        <w:rPr>
          <w:rFonts w:ascii="Times New Roman" w:hAnsi="Times New Roman" w:cs="Times New Roman"/>
          <w:sz w:val="20"/>
          <w:szCs w:val="20"/>
          <w:lang w:bidi="ar-EG"/>
        </w:rPr>
        <w:t xml:space="preserve"> </w:t>
      </w:r>
      <w:r w:rsidRPr="00331E80">
        <w:rPr>
          <w:rFonts w:ascii="Times New Roman" w:hAnsi="Times New Roman" w:cs="Times New Roman"/>
          <w:sz w:val="20"/>
          <w:szCs w:val="20"/>
          <w:lang w:bidi="ar-EG"/>
        </w:rPr>
        <w:t>No.</w:t>
      </w:r>
      <w:r w:rsidR="00801C75" w:rsidRPr="00331E80">
        <w:rPr>
          <w:rFonts w:ascii="Times New Roman" w:hAnsi="Times New Roman" w:cs="Times New Roman"/>
          <w:sz w:val="20"/>
          <w:szCs w:val="20"/>
          <w:lang w:bidi="ar-EG"/>
        </w:rPr>
        <w:t xml:space="preserve"> </w:t>
      </w:r>
      <w:r w:rsidRPr="00331E80">
        <w:rPr>
          <w:rFonts w:ascii="Times New Roman" w:hAnsi="Times New Roman" w:cs="Times New Roman"/>
          <w:sz w:val="20"/>
          <w:szCs w:val="20"/>
          <w:lang w:bidi="ar-EG"/>
        </w:rPr>
        <w:t>8.</w:t>
      </w:r>
    </w:p>
    <w:p w:rsidR="00DE4DBB" w:rsidRPr="00331E80" w:rsidRDefault="00DE4DBB" w:rsidP="00331E80">
      <w:pPr>
        <w:pStyle w:val="ListParagraph"/>
        <w:numPr>
          <w:ilvl w:val="0"/>
          <w:numId w:val="14"/>
        </w:numPr>
        <w:snapToGrid w:val="0"/>
        <w:spacing w:after="0" w:line="240" w:lineRule="auto"/>
        <w:ind w:left="425" w:hanging="425"/>
        <w:jc w:val="both"/>
        <w:rPr>
          <w:rFonts w:ascii="Times New Roman" w:hAnsi="Times New Roman" w:cs="Times New Roman"/>
          <w:bCs/>
          <w:sz w:val="20"/>
          <w:szCs w:val="20"/>
        </w:rPr>
      </w:pPr>
      <w:r w:rsidRPr="00331E80">
        <w:rPr>
          <w:rFonts w:ascii="Times New Roman" w:hAnsi="Times New Roman" w:cs="Times New Roman"/>
          <w:bCs/>
          <w:sz w:val="20"/>
          <w:szCs w:val="20"/>
        </w:rPr>
        <w:t>Ibrahim</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AS,</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Khaled</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HM,</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Mikhail</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NH</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et</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al.</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(2014):</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Cancer</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incidence</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in</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Egypt:</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results</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of</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the</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national</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population</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based</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cancer</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registry</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program.</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Journal</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of</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cancer</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Epidemiology;</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2014:437971.</w:t>
      </w:r>
    </w:p>
    <w:p w:rsidR="00AA414E" w:rsidRPr="00331E80" w:rsidRDefault="00AA414E" w:rsidP="00331E80">
      <w:pPr>
        <w:pStyle w:val="ListParagraph"/>
        <w:numPr>
          <w:ilvl w:val="0"/>
          <w:numId w:val="14"/>
        </w:numPr>
        <w:snapToGrid w:val="0"/>
        <w:spacing w:after="0" w:line="240" w:lineRule="auto"/>
        <w:ind w:left="425" w:hanging="425"/>
        <w:jc w:val="both"/>
        <w:rPr>
          <w:rFonts w:ascii="Times New Roman" w:hAnsi="Times New Roman" w:cs="Times New Roman"/>
          <w:sz w:val="20"/>
          <w:szCs w:val="20"/>
        </w:rPr>
      </w:pPr>
      <w:r w:rsidRPr="00331E80">
        <w:rPr>
          <w:rFonts w:ascii="Times New Roman" w:hAnsi="Times New Roman" w:cs="Times New Roman"/>
          <w:bCs/>
          <w:color w:val="000000"/>
          <w:sz w:val="20"/>
          <w:szCs w:val="20"/>
        </w:rPr>
        <w:t>Lutgens</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MW,</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van</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Oijen</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MG,</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van</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der</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Heijden</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GJ</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et</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al.</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(2013):</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Declining</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risk</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of</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colorectal</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cancer</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in</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inflammatory</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bowel</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disease:</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an</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updated</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meta-analysis</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of</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population-based</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cohort</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studies.</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Inflamm</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Bowel</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Dis.;</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19:</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789-799.</w:t>
      </w:r>
    </w:p>
    <w:p w:rsidR="00AA414E" w:rsidRPr="00331E80" w:rsidRDefault="00AA414E" w:rsidP="00331E80">
      <w:pPr>
        <w:pStyle w:val="ListParagraph"/>
        <w:numPr>
          <w:ilvl w:val="0"/>
          <w:numId w:val="14"/>
        </w:numPr>
        <w:shd w:val="clear" w:color="auto" w:fill="FFFFFF"/>
        <w:snapToGrid w:val="0"/>
        <w:spacing w:after="0" w:line="240" w:lineRule="auto"/>
        <w:ind w:left="425" w:hanging="425"/>
        <w:jc w:val="both"/>
        <w:rPr>
          <w:rFonts w:ascii="Times New Roman" w:hAnsi="Times New Roman" w:cs="Times New Roman"/>
          <w:color w:val="000000"/>
          <w:sz w:val="20"/>
          <w:szCs w:val="20"/>
        </w:rPr>
      </w:pPr>
      <w:r w:rsidRPr="00331E80">
        <w:rPr>
          <w:rFonts w:ascii="Times New Roman" w:hAnsi="Times New Roman" w:cs="Times New Roman"/>
          <w:bCs/>
          <w:color w:val="000000"/>
          <w:sz w:val="20"/>
          <w:szCs w:val="20"/>
        </w:rPr>
        <w:t>Protic,</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M.,</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Stojadinovic,</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A.,</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Nissan,</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A.,</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Wainberg,</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Z.,</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Steele,</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S.</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R.,</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Chen,</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D.</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C.,</w:t>
      </w:r>
      <w:r w:rsidR="00801C75" w:rsidRPr="00331E80">
        <w:rPr>
          <w:rFonts w:ascii="Times New Roman" w:hAnsi="Times New Roman" w:cs="Times New Roman"/>
          <w:bCs/>
          <w:color w:val="000000"/>
          <w:sz w:val="20"/>
          <w:szCs w:val="20"/>
        </w:rPr>
        <w:t>…</w:t>
      </w:r>
      <w:r w:rsidRPr="00331E80">
        <w:rPr>
          <w:rFonts w:ascii="Times New Roman" w:hAnsi="Times New Roman" w:cs="Times New Roman"/>
          <w:bCs/>
          <w:color w:val="000000"/>
          <w:sz w:val="20"/>
          <w:szCs w:val="20"/>
        </w:rPr>
        <w:t>Bilchik,</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A.</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J.</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(2015).</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color w:val="000000"/>
          <w:sz w:val="20"/>
          <w:szCs w:val="20"/>
        </w:rPr>
        <w:t>Prognostic</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Effect</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of</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Ultra-Staging</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Node-Negative</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Colon</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Cancer</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Without</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Adjuvant</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Chemotherapy:</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A</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Prospective</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National</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Cancer</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Institute-Sponsored</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Clinical</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Trial.</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Journal</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of</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the</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American</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College</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of</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Surgeons,</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221(3),</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643–651.</w:t>
      </w:r>
    </w:p>
    <w:p w:rsidR="00AA414E" w:rsidRPr="00166A00" w:rsidRDefault="00AA414E" w:rsidP="00331E80">
      <w:pPr>
        <w:pStyle w:val="ListParagraph"/>
        <w:numPr>
          <w:ilvl w:val="0"/>
          <w:numId w:val="14"/>
        </w:numPr>
        <w:snapToGrid w:val="0"/>
        <w:spacing w:after="0" w:line="240" w:lineRule="auto"/>
        <w:ind w:left="425" w:hanging="425"/>
        <w:jc w:val="both"/>
        <w:rPr>
          <w:rFonts w:ascii="Times New Roman" w:hAnsi="Times New Roman" w:cs="Times New Roman"/>
          <w:sz w:val="20"/>
          <w:szCs w:val="20"/>
          <w:lang w:bidi="ar-EG"/>
        </w:rPr>
      </w:pPr>
      <w:r w:rsidRPr="00166A00">
        <w:rPr>
          <w:rFonts w:ascii="Times New Roman" w:hAnsi="Times New Roman" w:cs="Times New Roman"/>
          <w:bCs/>
          <w:sz w:val="20"/>
          <w:szCs w:val="20"/>
        </w:rPr>
        <w:t>Compton</w:t>
      </w:r>
      <w:r w:rsidR="00801C75" w:rsidRPr="00166A00">
        <w:rPr>
          <w:rFonts w:ascii="Times New Roman" w:hAnsi="Times New Roman" w:cs="Times New Roman"/>
          <w:bCs/>
          <w:sz w:val="20"/>
          <w:szCs w:val="20"/>
        </w:rPr>
        <w:t xml:space="preserve"> </w:t>
      </w:r>
      <w:r w:rsidRPr="00166A00">
        <w:rPr>
          <w:rFonts w:ascii="Times New Roman" w:hAnsi="Times New Roman" w:cs="Times New Roman"/>
          <w:bCs/>
          <w:sz w:val="20"/>
          <w:szCs w:val="20"/>
        </w:rPr>
        <w:t>CC,</w:t>
      </w:r>
      <w:r w:rsidR="00801C75" w:rsidRPr="00166A00">
        <w:rPr>
          <w:rFonts w:ascii="Times New Roman" w:hAnsi="Times New Roman" w:cs="Times New Roman"/>
          <w:bCs/>
          <w:sz w:val="20"/>
          <w:szCs w:val="20"/>
        </w:rPr>
        <w:t xml:space="preserve"> </w:t>
      </w:r>
      <w:r w:rsidRPr="00166A00">
        <w:rPr>
          <w:rFonts w:ascii="Times New Roman" w:hAnsi="Times New Roman" w:cs="Times New Roman"/>
          <w:bCs/>
          <w:sz w:val="20"/>
          <w:szCs w:val="20"/>
        </w:rPr>
        <w:t>Lawrence</w:t>
      </w:r>
      <w:r w:rsidR="00801C75" w:rsidRPr="00166A00">
        <w:rPr>
          <w:rFonts w:ascii="Times New Roman" w:hAnsi="Times New Roman" w:cs="Times New Roman"/>
          <w:bCs/>
          <w:sz w:val="20"/>
          <w:szCs w:val="20"/>
        </w:rPr>
        <w:t xml:space="preserve"> </w:t>
      </w:r>
      <w:r w:rsidRPr="00166A00">
        <w:rPr>
          <w:rFonts w:ascii="Times New Roman" w:hAnsi="Times New Roman" w:cs="Times New Roman"/>
          <w:bCs/>
          <w:sz w:val="20"/>
          <w:szCs w:val="20"/>
        </w:rPr>
        <w:t>Cooper</w:t>
      </w:r>
      <w:r w:rsidR="00801C75" w:rsidRPr="00166A00">
        <w:rPr>
          <w:rFonts w:ascii="Times New Roman" w:hAnsi="Times New Roman" w:cs="Times New Roman"/>
          <w:bCs/>
          <w:sz w:val="20"/>
          <w:szCs w:val="20"/>
        </w:rPr>
        <w:t xml:space="preserve"> </w:t>
      </w:r>
      <w:r w:rsidRPr="00166A00">
        <w:rPr>
          <w:rFonts w:ascii="Times New Roman" w:hAnsi="Times New Roman" w:cs="Times New Roman"/>
          <w:bCs/>
          <w:sz w:val="20"/>
          <w:szCs w:val="20"/>
        </w:rPr>
        <w:t>HS,</w:t>
      </w:r>
      <w:r w:rsidR="00801C75" w:rsidRPr="00166A00">
        <w:rPr>
          <w:rFonts w:ascii="Times New Roman" w:hAnsi="Times New Roman" w:cs="Times New Roman"/>
          <w:bCs/>
          <w:sz w:val="20"/>
          <w:szCs w:val="20"/>
        </w:rPr>
        <w:t xml:space="preserve"> </w:t>
      </w:r>
      <w:r w:rsidRPr="00166A00">
        <w:rPr>
          <w:rFonts w:ascii="Times New Roman" w:hAnsi="Times New Roman" w:cs="Times New Roman"/>
          <w:bCs/>
          <w:sz w:val="20"/>
          <w:szCs w:val="20"/>
        </w:rPr>
        <w:t>Stanley</w:t>
      </w:r>
      <w:r w:rsidR="00801C75" w:rsidRPr="00166A00">
        <w:rPr>
          <w:rFonts w:ascii="Times New Roman" w:hAnsi="Times New Roman" w:cs="Times New Roman"/>
          <w:bCs/>
          <w:sz w:val="20"/>
          <w:szCs w:val="20"/>
        </w:rPr>
        <w:t xml:space="preserve"> </w:t>
      </w:r>
      <w:r w:rsidRPr="00166A00">
        <w:rPr>
          <w:rFonts w:ascii="Times New Roman" w:hAnsi="Times New Roman" w:cs="Times New Roman"/>
          <w:bCs/>
          <w:sz w:val="20"/>
          <w:szCs w:val="20"/>
        </w:rPr>
        <w:t>R</w:t>
      </w:r>
      <w:r w:rsidR="00801C75" w:rsidRPr="00166A00">
        <w:rPr>
          <w:rFonts w:ascii="Times New Roman" w:hAnsi="Times New Roman" w:cs="Times New Roman"/>
          <w:bCs/>
          <w:sz w:val="20"/>
          <w:szCs w:val="20"/>
        </w:rPr>
        <w:t xml:space="preserve"> </w:t>
      </w:r>
      <w:r w:rsidRPr="00166A00">
        <w:rPr>
          <w:rFonts w:ascii="Times New Roman" w:hAnsi="Times New Roman" w:cs="Times New Roman"/>
          <w:bCs/>
          <w:sz w:val="20"/>
          <w:szCs w:val="20"/>
        </w:rPr>
        <w:t>et</w:t>
      </w:r>
      <w:r w:rsidR="00801C75" w:rsidRPr="00166A00">
        <w:rPr>
          <w:rFonts w:ascii="Times New Roman" w:hAnsi="Times New Roman" w:cs="Times New Roman"/>
          <w:bCs/>
          <w:sz w:val="20"/>
          <w:szCs w:val="20"/>
        </w:rPr>
        <w:t xml:space="preserve"> </w:t>
      </w:r>
      <w:r w:rsidRPr="00166A00">
        <w:rPr>
          <w:rFonts w:ascii="Times New Roman" w:hAnsi="Times New Roman" w:cs="Times New Roman"/>
          <w:bCs/>
          <w:sz w:val="20"/>
          <w:szCs w:val="20"/>
        </w:rPr>
        <w:t>al.</w:t>
      </w:r>
      <w:r w:rsidR="00801C75" w:rsidRPr="00166A00">
        <w:rPr>
          <w:rFonts w:ascii="Times New Roman" w:hAnsi="Times New Roman" w:cs="Times New Roman"/>
          <w:bCs/>
          <w:sz w:val="20"/>
          <w:szCs w:val="20"/>
        </w:rPr>
        <w:t xml:space="preserve"> </w:t>
      </w:r>
      <w:r w:rsidRPr="00166A00">
        <w:rPr>
          <w:rFonts w:ascii="Times New Roman" w:hAnsi="Times New Roman" w:cs="Times New Roman"/>
          <w:bCs/>
          <w:sz w:val="20"/>
          <w:szCs w:val="20"/>
        </w:rPr>
        <w:t>(2000):</w:t>
      </w:r>
      <w:r w:rsidR="00801C75" w:rsidRPr="00166A00">
        <w:rPr>
          <w:rFonts w:ascii="Times New Roman" w:hAnsi="Times New Roman" w:cs="Times New Roman"/>
          <w:bCs/>
          <w:sz w:val="20"/>
          <w:szCs w:val="20"/>
        </w:rPr>
        <w:t xml:space="preserve"> </w:t>
      </w:r>
      <w:r w:rsidRPr="00166A00">
        <w:rPr>
          <w:rFonts w:ascii="Times New Roman" w:hAnsi="Times New Roman" w:cs="Times New Roman"/>
          <w:bCs/>
          <w:sz w:val="20"/>
          <w:szCs w:val="20"/>
        </w:rPr>
        <w:t>American</w:t>
      </w:r>
      <w:r w:rsidR="00801C75" w:rsidRPr="00166A00">
        <w:rPr>
          <w:rFonts w:ascii="Times New Roman" w:hAnsi="Times New Roman" w:cs="Times New Roman"/>
          <w:bCs/>
          <w:sz w:val="20"/>
          <w:szCs w:val="20"/>
        </w:rPr>
        <w:t xml:space="preserve"> </w:t>
      </w:r>
      <w:r w:rsidRPr="00166A00">
        <w:rPr>
          <w:rFonts w:ascii="Times New Roman" w:hAnsi="Times New Roman" w:cs="Times New Roman"/>
          <w:bCs/>
          <w:sz w:val="20"/>
          <w:szCs w:val="20"/>
        </w:rPr>
        <w:t>joint</w:t>
      </w:r>
      <w:r w:rsidR="00801C75" w:rsidRPr="00166A00">
        <w:rPr>
          <w:rFonts w:ascii="Times New Roman" w:hAnsi="Times New Roman" w:cs="Times New Roman"/>
          <w:bCs/>
          <w:sz w:val="20"/>
          <w:szCs w:val="20"/>
        </w:rPr>
        <w:t xml:space="preserve"> </w:t>
      </w:r>
      <w:r w:rsidRPr="00166A00">
        <w:rPr>
          <w:rFonts w:ascii="Times New Roman" w:hAnsi="Times New Roman" w:cs="Times New Roman"/>
          <w:bCs/>
          <w:sz w:val="20"/>
          <w:szCs w:val="20"/>
        </w:rPr>
        <w:t>committee</w:t>
      </w:r>
      <w:r w:rsidR="00801C75" w:rsidRPr="00166A00">
        <w:rPr>
          <w:rFonts w:ascii="Times New Roman" w:hAnsi="Times New Roman" w:cs="Times New Roman"/>
          <w:bCs/>
          <w:sz w:val="20"/>
          <w:szCs w:val="20"/>
        </w:rPr>
        <w:t xml:space="preserve"> </w:t>
      </w:r>
      <w:r w:rsidRPr="00166A00">
        <w:rPr>
          <w:rFonts w:ascii="Times New Roman" w:hAnsi="Times New Roman" w:cs="Times New Roman"/>
          <w:bCs/>
          <w:sz w:val="20"/>
          <w:szCs w:val="20"/>
        </w:rPr>
        <w:t>on</w:t>
      </w:r>
      <w:r w:rsidR="00801C75" w:rsidRPr="00166A00">
        <w:rPr>
          <w:rFonts w:ascii="Times New Roman" w:hAnsi="Times New Roman" w:cs="Times New Roman"/>
          <w:bCs/>
          <w:sz w:val="20"/>
          <w:szCs w:val="20"/>
        </w:rPr>
        <w:t xml:space="preserve"> </w:t>
      </w:r>
      <w:r w:rsidRPr="00166A00">
        <w:rPr>
          <w:rFonts w:ascii="Times New Roman" w:hAnsi="Times New Roman" w:cs="Times New Roman"/>
          <w:bCs/>
          <w:sz w:val="20"/>
          <w:szCs w:val="20"/>
        </w:rPr>
        <w:t>cancer</w:t>
      </w:r>
      <w:r w:rsidR="00801C75" w:rsidRPr="00166A00">
        <w:rPr>
          <w:rFonts w:ascii="Times New Roman" w:hAnsi="Times New Roman" w:cs="Times New Roman"/>
          <w:bCs/>
          <w:sz w:val="20"/>
          <w:szCs w:val="20"/>
        </w:rPr>
        <w:t xml:space="preserve"> </w:t>
      </w:r>
      <w:r w:rsidRPr="00166A00">
        <w:rPr>
          <w:rFonts w:ascii="Times New Roman" w:hAnsi="Times New Roman" w:cs="Times New Roman"/>
          <w:bCs/>
          <w:sz w:val="20"/>
          <w:szCs w:val="20"/>
        </w:rPr>
        <w:t>prognostic</w:t>
      </w:r>
      <w:r w:rsidR="00801C75" w:rsidRPr="00166A00">
        <w:rPr>
          <w:rFonts w:ascii="Times New Roman" w:hAnsi="Times New Roman" w:cs="Times New Roman"/>
          <w:bCs/>
          <w:sz w:val="20"/>
          <w:szCs w:val="20"/>
        </w:rPr>
        <w:t xml:space="preserve"> </w:t>
      </w:r>
      <w:r w:rsidRPr="00166A00">
        <w:rPr>
          <w:rFonts w:ascii="Times New Roman" w:hAnsi="Times New Roman" w:cs="Times New Roman"/>
          <w:bCs/>
          <w:sz w:val="20"/>
          <w:szCs w:val="20"/>
        </w:rPr>
        <w:t>factors</w:t>
      </w:r>
      <w:r w:rsidR="00801C75" w:rsidRPr="00166A00">
        <w:rPr>
          <w:rFonts w:ascii="Times New Roman" w:hAnsi="Times New Roman" w:cs="Times New Roman"/>
          <w:bCs/>
          <w:sz w:val="20"/>
          <w:szCs w:val="20"/>
        </w:rPr>
        <w:t xml:space="preserve"> </w:t>
      </w:r>
      <w:r w:rsidRPr="00166A00">
        <w:rPr>
          <w:rFonts w:ascii="Times New Roman" w:hAnsi="Times New Roman" w:cs="Times New Roman"/>
          <w:bCs/>
          <w:sz w:val="20"/>
          <w:szCs w:val="20"/>
        </w:rPr>
        <w:t>consensus</w:t>
      </w:r>
      <w:r w:rsidR="00801C75" w:rsidRPr="00166A00">
        <w:rPr>
          <w:rFonts w:ascii="Times New Roman" w:hAnsi="Times New Roman" w:cs="Times New Roman"/>
          <w:bCs/>
          <w:sz w:val="20"/>
          <w:szCs w:val="20"/>
        </w:rPr>
        <w:t xml:space="preserve"> </w:t>
      </w:r>
      <w:r w:rsidRPr="00166A00">
        <w:rPr>
          <w:rFonts w:ascii="Times New Roman" w:hAnsi="Times New Roman" w:cs="Times New Roman"/>
          <w:bCs/>
          <w:sz w:val="20"/>
          <w:szCs w:val="20"/>
        </w:rPr>
        <w:t>conference,</w:t>
      </w:r>
      <w:r w:rsidR="00801C75" w:rsidRPr="00166A00">
        <w:rPr>
          <w:rFonts w:ascii="Times New Roman" w:hAnsi="Times New Roman" w:cs="Times New Roman"/>
          <w:bCs/>
          <w:sz w:val="20"/>
          <w:szCs w:val="20"/>
        </w:rPr>
        <w:t xml:space="preserve"> </w:t>
      </w:r>
      <w:r w:rsidRPr="00166A00">
        <w:rPr>
          <w:rFonts w:ascii="Times New Roman" w:hAnsi="Times New Roman" w:cs="Times New Roman"/>
          <w:bCs/>
          <w:sz w:val="20"/>
          <w:szCs w:val="20"/>
        </w:rPr>
        <w:t>Arch</w:t>
      </w:r>
      <w:r w:rsidR="00801C75" w:rsidRPr="00166A00">
        <w:rPr>
          <w:rFonts w:ascii="Times New Roman" w:hAnsi="Times New Roman" w:cs="Times New Roman"/>
          <w:bCs/>
          <w:sz w:val="20"/>
          <w:szCs w:val="20"/>
        </w:rPr>
        <w:t xml:space="preserve"> </w:t>
      </w:r>
      <w:r w:rsidRPr="00166A00">
        <w:rPr>
          <w:rFonts w:ascii="Times New Roman" w:hAnsi="Times New Roman" w:cs="Times New Roman"/>
          <w:bCs/>
          <w:sz w:val="20"/>
          <w:szCs w:val="20"/>
        </w:rPr>
        <w:t>Patho</w:t>
      </w:r>
      <w:r w:rsidR="00801C75" w:rsidRPr="00166A00">
        <w:rPr>
          <w:rFonts w:ascii="Times New Roman" w:hAnsi="Times New Roman" w:cs="Times New Roman"/>
          <w:bCs/>
          <w:sz w:val="20"/>
          <w:szCs w:val="20"/>
        </w:rPr>
        <w:t xml:space="preserve"> </w:t>
      </w:r>
      <w:r w:rsidRPr="00166A00">
        <w:rPr>
          <w:rFonts w:ascii="Times New Roman" w:hAnsi="Times New Roman" w:cs="Times New Roman"/>
          <w:bCs/>
          <w:sz w:val="20"/>
          <w:szCs w:val="20"/>
        </w:rPr>
        <w:t>lab</w:t>
      </w:r>
      <w:r w:rsidR="00801C75" w:rsidRPr="00166A00">
        <w:rPr>
          <w:rFonts w:ascii="Times New Roman" w:hAnsi="Times New Roman" w:cs="Times New Roman"/>
          <w:bCs/>
          <w:sz w:val="20"/>
          <w:szCs w:val="20"/>
        </w:rPr>
        <w:t xml:space="preserve"> </w:t>
      </w:r>
      <w:r w:rsidRPr="00166A00">
        <w:rPr>
          <w:rFonts w:ascii="Times New Roman" w:hAnsi="Times New Roman" w:cs="Times New Roman"/>
          <w:bCs/>
          <w:sz w:val="20"/>
          <w:szCs w:val="20"/>
        </w:rPr>
        <w:t>Med</w:t>
      </w:r>
      <w:r w:rsidR="00801C75" w:rsidRPr="00166A00">
        <w:rPr>
          <w:rFonts w:ascii="Times New Roman" w:hAnsi="Times New Roman" w:cs="Times New Roman"/>
          <w:bCs/>
          <w:sz w:val="20"/>
          <w:szCs w:val="20"/>
        </w:rPr>
        <w:t xml:space="preserve"> </w:t>
      </w:r>
      <w:r w:rsidRPr="00166A00">
        <w:rPr>
          <w:rFonts w:ascii="Times New Roman" w:hAnsi="Times New Roman" w:cs="Times New Roman"/>
          <w:bCs/>
          <w:sz w:val="20"/>
          <w:szCs w:val="20"/>
        </w:rPr>
        <w:t>124:7.</w:t>
      </w:r>
      <w:r w:rsidR="00166A00">
        <w:rPr>
          <w:rFonts w:ascii="Times New Roman" w:eastAsiaTheme="minorEastAsia" w:hAnsi="Times New Roman" w:cs="Times New Roman" w:hint="eastAsia"/>
          <w:bCs/>
          <w:sz w:val="20"/>
          <w:szCs w:val="20"/>
          <w:lang w:eastAsia="zh-CN"/>
        </w:rPr>
        <w:t xml:space="preserve"> </w:t>
      </w:r>
      <w:r w:rsidRPr="00166A00">
        <w:rPr>
          <w:rStyle w:val="CharAttribute0"/>
          <w:rFonts w:eastAsia="Batang" w:cs="Times New Roman"/>
          <w:sz w:val="20"/>
          <w:szCs w:val="20"/>
          <w:lang w:bidi="ar-EG"/>
        </w:rPr>
        <w:t>Walsh</w:t>
      </w:r>
      <w:r w:rsidR="00801C75" w:rsidRPr="00166A00">
        <w:rPr>
          <w:rStyle w:val="CharAttribute0"/>
          <w:rFonts w:eastAsia="Batang" w:cs="Times New Roman"/>
          <w:sz w:val="20"/>
          <w:szCs w:val="20"/>
          <w:lang w:bidi="ar-EG"/>
        </w:rPr>
        <w:t xml:space="preserve"> </w:t>
      </w:r>
      <w:r w:rsidRPr="00166A00">
        <w:rPr>
          <w:rStyle w:val="CharAttribute0"/>
          <w:rFonts w:eastAsia="Batang" w:cs="Times New Roman"/>
          <w:sz w:val="20"/>
          <w:szCs w:val="20"/>
          <w:lang w:bidi="ar-EG"/>
        </w:rPr>
        <w:t>et</w:t>
      </w:r>
      <w:r w:rsidR="00801C75" w:rsidRPr="00166A00">
        <w:rPr>
          <w:rStyle w:val="CharAttribute0"/>
          <w:rFonts w:eastAsia="Batang" w:cs="Times New Roman"/>
          <w:sz w:val="20"/>
          <w:szCs w:val="20"/>
          <w:lang w:bidi="ar-EG"/>
        </w:rPr>
        <w:t xml:space="preserve"> </w:t>
      </w:r>
      <w:r w:rsidRPr="00166A00">
        <w:rPr>
          <w:rStyle w:val="CharAttribute0"/>
          <w:rFonts w:eastAsia="Batang" w:cs="Times New Roman"/>
          <w:sz w:val="20"/>
          <w:szCs w:val="20"/>
          <w:lang w:bidi="ar-EG"/>
        </w:rPr>
        <w:t>al.</w:t>
      </w:r>
      <w:r w:rsidR="00801C75" w:rsidRPr="00166A00">
        <w:rPr>
          <w:rStyle w:val="CharAttribute0"/>
          <w:rFonts w:eastAsia="Batang" w:cs="Times New Roman"/>
          <w:sz w:val="20"/>
          <w:szCs w:val="20"/>
          <w:lang w:bidi="ar-EG"/>
        </w:rPr>
        <w:t xml:space="preserve"> </w:t>
      </w:r>
      <w:r w:rsidRPr="00166A00">
        <w:rPr>
          <w:rStyle w:val="CharAttribute0"/>
          <w:rFonts w:eastAsia="Batang" w:cs="Times New Roman"/>
          <w:sz w:val="20"/>
          <w:szCs w:val="20"/>
          <w:lang w:bidi="ar-EG"/>
        </w:rPr>
        <w:t>(2014)</w:t>
      </w:r>
      <w:r w:rsidR="00801C75" w:rsidRPr="00166A00">
        <w:rPr>
          <w:rStyle w:val="CharAttribute0"/>
          <w:rFonts w:eastAsia="Batang" w:cs="Times New Roman"/>
          <w:sz w:val="20"/>
          <w:szCs w:val="20"/>
          <w:lang w:bidi="ar-EG"/>
        </w:rPr>
        <w:t xml:space="preserve"> </w:t>
      </w:r>
    </w:p>
    <w:p w:rsidR="00166A00" w:rsidRDefault="00AA414E" w:rsidP="00331E80">
      <w:pPr>
        <w:pStyle w:val="ListParagraph"/>
        <w:numPr>
          <w:ilvl w:val="0"/>
          <w:numId w:val="14"/>
        </w:numPr>
        <w:shd w:val="clear" w:color="auto" w:fill="FFFFFF"/>
        <w:snapToGrid w:val="0"/>
        <w:spacing w:after="0" w:line="240" w:lineRule="auto"/>
        <w:ind w:left="425" w:hanging="425"/>
        <w:jc w:val="both"/>
        <w:rPr>
          <w:rFonts w:ascii="Times New Roman" w:hAnsi="Times New Roman" w:cs="Times New Roman"/>
          <w:color w:val="000000"/>
          <w:sz w:val="20"/>
          <w:szCs w:val="20"/>
        </w:rPr>
      </w:pPr>
      <w:r w:rsidRPr="00331E80">
        <w:rPr>
          <w:rFonts w:ascii="Times New Roman" w:hAnsi="Times New Roman" w:cs="Times New Roman"/>
          <w:color w:val="000000"/>
          <w:sz w:val="20"/>
          <w:szCs w:val="20"/>
        </w:rPr>
        <w:t>Templeton,</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A.</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J.,</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McNamara,</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M.</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G.,</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Šeruga,</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B.,</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Vera-Badillo,</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F.</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E.,</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Aneja,</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P.,</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Ocaña,</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A.,</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Amir,</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E.</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(2014).</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Prognostic</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Role</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of</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Neutrophil-to-Lymphocyte</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Ratio</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in</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Solid</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Tumors:</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A</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Systematic</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Review</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and</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Meta-Analysis.</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JNCI:</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Journal</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of</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the</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National</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Cancer</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Institute,</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106(</w:t>
      </w:r>
      <w:r w:rsidR="00166A00" w:rsidRPr="00331E80">
        <w:rPr>
          <w:rFonts w:ascii="Times New Roman" w:hAnsi="Times New Roman" w:cs="Times New Roman"/>
          <w:color w:val="000000"/>
          <w:sz w:val="20"/>
          <w:szCs w:val="20"/>
        </w:rPr>
        <w:t>6</w:t>
      </w:r>
      <w:r w:rsidR="00166A00">
        <w:rPr>
          <w:rFonts w:ascii="Times New Roman" w:hAnsi="Times New Roman" w:cs="Times New Roman"/>
          <w:color w:val="000000"/>
          <w:sz w:val="20"/>
          <w:szCs w:val="20"/>
        </w:rPr>
        <w:t>.</w:t>
      </w:r>
    </w:p>
    <w:p w:rsidR="00AA414E" w:rsidRPr="00331E80" w:rsidRDefault="00AA414E" w:rsidP="00331E80">
      <w:pPr>
        <w:pStyle w:val="ListParagraph"/>
        <w:numPr>
          <w:ilvl w:val="0"/>
          <w:numId w:val="14"/>
        </w:numPr>
        <w:snapToGrid w:val="0"/>
        <w:spacing w:after="0" w:line="240" w:lineRule="auto"/>
        <w:ind w:left="425" w:hanging="425"/>
        <w:jc w:val="both"/>
        <w:rPr>
          <w:rFonts w:ascii="Times New Roman" w:hAnsi="Times New Roman" w:cs="Times New Roman"/>
          <w:bCs/>
          <w:sz w:val="20"/>
          <w:szCs w:val="20"/>
        </w:rPr>
      </w:pPr>
      <w:r w:rsidRPr="00331E80">
        <w:rPr>
          <w:rFonts w:ascii="Times New Roman" w:hAnsi="Times New Roman" w:cs="Times New Roman"/>
          <w:bCs/>
          <w:sz w:val="20"/>
          <w:szCs w:val="20"/>
        </w:rPr>
        <w:t>Ohsugi</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Y,</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et</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al.,</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(2007):</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Recent</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advances</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in</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immunopathophysiology</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of</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interleukin-6:</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an</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innovative</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therapeutic</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drug,</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tocilizumab</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(recombinant</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humanized</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anti-human</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interleukin-6</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receptor</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antibody),</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unveils</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the</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mysterious</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etiology</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of</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immune-mediated</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inflammatory</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diseases.</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Biol</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Pharm</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Bull</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30:2001–2006.</w:t>
      </w:r>
    </w:p>
    <w:p w:rsidR="00DE4DBB" w:rsidRPr="00331E80" w:rsidRDefault="00DE4DBB" w:rsidP="00331E80">
      <w:pPr>
        <w:pStyle w:val="ListParagraph"/>
        <w:numPr>
          <w:ilvl w:val="0"/>
          <w:numId w:val="14"/>
        </w:numPr>
        <w:autoSpaceDE w:val="0"/>
        <w:autoSpaceDN w:val="0"/>
        <w:snapToGrid w:val="0"/>
        <w:spacing w:after="0" w:line="240" w:lineRule="auto"/>
        <w:ind w:left="425" w:hanging="425"/>
        <w:jc w:val="both"/>
        <w:rPr>
          <w:rFonts w:ascii="Times New Roman" w:eastAsia="Batang" w:hAnsi="Times New Roman" w:cs="Times New Roman"/>
          <w:bCs/>
          <w:sz w:val="20"/>
          <w:szCs w:val="20"/>
          <w:lang w:val="fr-FR"/>
        </w:rPr>
      </w:pPr>
      <w:r w:rsidRPr="00331E80">
        <w:rPr>
          <w:rFonts w:ascii="Times New Roman" w:hAnsi="Times New Roman" w:cs="Times New Roman"/>
          <w:bCs/>
          <w:sz w:val="20"/>
          <w:szCs w:val="20"/>
        </w:rPr>
        <w:t>Ishizuka</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M,</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Nagata</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H</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and</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Takagi</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K,</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et</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al.</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(2013):</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Combination</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of</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platelet</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count</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and</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neutrophil</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to</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lymphocyte</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ratio</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is</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a</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useful</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predictor</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of</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postoperative</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survival</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in</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patients</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with</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colorectal</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cancer,</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population</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study.</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lang w:val="fr-FR"/>
        </w:rPr>
        <w:t>BJC</w:t>
      </w:r>
      <w:r w:rsidR="00801C75" w:rsidRPr="00331E80">
        <w:rPr>
          <w:rFonts w:ascii="Times New Roman" w:hAnsi="Times New Roman" w:cs="Times New Roman"/>
          <w:bCs/>
          <w:sz w:val="20"/>
          <w:szCs w:val="20"/>
          <w:lang w:val="fr-FR"/>
        </w:rPr>
        <w:t xml:space="preserve"> </w:t>
      </w:r>
      <w:r w:rsidRPr="00331E80">
        <w:rPr>
          <w:rFonts w:ascii="Times New Roman" w:hAnsi="Times New Roman" w:cs="Times New Roman"/>
          <w:bCs/>
          <w:color w:val="000000"/>
          <w:sz w:val="20"/>
          <w:szCs w:val="20"/>
          <w:lang w:val="fr-FR"/>
        </w:rPr>
        <w:t>109(2):</w:t>
      </w:r>
      <w:r w:rsidR="00801C75" w:rsidRPr="00331E80">
        <w:rPr>
          <w:rFonts w:ascii="Times New Roman" w:hAnsi="Times New Roman" w:cs="Times New Roman"/>
          <w:bCs/>
          <w:color w:val="000000"/>
          <w:sz w:val="20"/>
          <w:szCs w:val="20"/>
          <w:lang w:val="fr-FR"/>
        </w:rPr>
        <w:t xml:space="preserve"> </w:t>
      </w:r>
      <w:r w:rsidRPr="00331E80">
        <w:rPr>
          <w:rFonts w:ascii="Times New Roman" w:hAnsi="Times New Roman" w:cs="Times New Roman"/>
          <w:bCs/>
          <w:sz w:val="20"/>
          <w:szCs w:val="20"/>
          <w:lang w:val="fr-FR"/>
        </w:rPr>
        <w:t>401-407.</w:t>
      </w:r>
    </w:p>
    <w:p w:rsidR="00DE4DBB" w:rsidRPr="00331E80" w:rsidRDefault="00DE4DBB" w:rsidP="00331E80">
      <w:pPr>
        <w:pStyle w:val="ListParagraph"/>
        <w:numPr>
          <w:ilvl w:val="0"/>
          <w:numId w:val="14"/>
        </w:numPr>
        <w:snapToGrid w:val="0"/>
        <w:spacing w:after="0" w:line="240" w:lineRule="auto"/>
        <w:ind w:left="425" w:hanging="425"/>
        <w:jc w:val="both"/>
        <w:rPr>
          <w:rFonts w:ascii="Times New Roman" w:hAnsi="Times New Roman" w:cs="Times New Roman"/>
          <w:bCs/>
          <w:sz w:val="20"/>
          <w:szCs w:val="20"/>
        </w:rPr>
      </w:pPr>
      <w:r w:rsidRPr="00331E80">
        <w:rPr>
          <w:rFonts w:ascii="Times New Roman" w:hAnsi="Times New Roman" w:cs="Times New Roman"/>
          <w:bCs/>
          <w:sz w:val="20"/>
          <w:szCs w:val="20"/>
        </w:rPr>
        <w:t>McMillan</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DC</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(2013):</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The</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systemic</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inflammation-based</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Glasgow</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Prognostic</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Score:</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a</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decade</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of</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experience</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in</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patients</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with</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cancer.</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Cancer</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Treat</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Rev</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39(5):</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534–540.</w:t>
      </w:r>
    </w:p>
    <w:p w:rsidR="00DE4DBB" w:rsidRPr="00331E80" w:rsidRDefault="00DE4DBB" w:rsidP="00331E80">
      <w:pPr>
        <w:pStyle w:val="ListParagraph"/>
        <w:numPr>
          <w:ilvl w:val="0"/>
          <w:numId w:val="14"/>
        </w:numPr>
        <w:snapToGrid w:val="0"/>
        <w:spacing w:after="0" w:line="240" w:lineRule="auto"/>
        <w:ind w:left="425" w:hanging="425"/>
        <w:jc w:val="both"/>
        <w:rPr>
          <w:rFonts w:ascii="Times New Roman" w:hAnsi="Times New Roman" w:cs="Times New Roman"/>
          <w:color w:val="131413"/>
          <w:sz w:val="20"/>
          <w:szCs w:val="20"/>
        </w:rPr>
      </w:pPr>
      <w:r w:rsidRPr="00331E80">
        <w:rPr>
          <w:rFonts w:ascii="Times New Roman" w:hAnsi="Times New Roman" w:cs="Times New Roman"/>
          <w:bCs/>
          <w:sz w:val="20"/>
          <w:szCs w:val="20"/>
        </w:rPr>
        <w:lastRenderedPageBreak/>
        <w:t>Chua</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W,</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Charles</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KA,</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Baracos</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VE</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and</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Clarke</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SJ</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(2011):</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Neutrophil/lymphocyte</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ratio</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predicts</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chemotherapy</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outcome</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in</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patients</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with</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advanced</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colorectal</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cancer,</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population</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study.</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British</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Journal</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of</w:t>
      </w:r>
      <w:r w:rsidR="00801C75" w:rsidRPr="00331E80">
        <w:rPr>
          <w:rFonts w:ascii="Times New Roman" w:hAnsi="Times New Roman" w:cs="Times New Roman"/>
          <w:bCs/>
          <w:sz w:val="20"/>
          <w:szCs w:val="20"/>
        </w:rPr>
        <w:t xml:space="preserve"> </w:t>
      </w:r>
      <w:r w:rsidRPr="00331E80">
        <w:rPr>
          <w:rFonts w:ascii="Times New Roman" w:hAnsi="Times New Roman" w:cs="Times New Roman"/>
          <w:bCs/>
          <w:color w:val="000000"/>
          <w:sz w:val="20"/>
          <w:szCs w:val="20"/>
        </w:rPr>
        <w:t>cancer</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104(8):</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sz w:val="20"/>
          <w:szCs w:val="20"/>
        </w:rPr>
        <w:t>1288-1295</w:t>
      </w:r>
      <w:r w:rsidRPr="00331E80">
        <w:rPr>
          <w:rFonts w:ascii="Times New Roman" w:hAnsi="Times New Roman" w:cs="Times New Roman"/>
          <w:color w:val="131413"/>
          <w:sz w:val="20"/>
          <w:szCs w:val="20"/>
        </w:rPr>
        <w:t>.</w:t>
      </w:r>
    </w:p>
    <w:p w:rsidR="00DE4DBB" w:rsidRPr="00331E80" w:rsidRDefault="00DE4DBB" w:rsidP="00331E80">
      <w:pPr>
        <w:pStyle w:val="ListParagraph"/>
        <w:numPr>
          <w:ilvl w:val="0"/>
          <w:numId w:val="14"/>
        </w:numPr>
        <w:snapToGrid w:val="0"/>
        <w:spacing w:after="0" w:line="240" w:lineRule="auto"/>
        <w:ind w:left="425" w:hanging="425"/>
        <w:jc w:val="both"/>
        <w:rPr>
          <w:rStyle w:val="fontstyle01"/>
          <w:rFonts w:ascii="Times New Roman" w:hAnsi="Times New Roman" w:cs="Times New Roman"/>
          <w:sz w:val="20"/>
          <w:szCs w:val="20"/>
        </w:rPr>
      </w:pPr>
      <w:r w:rsidRPr="00331E80">
        <w:rPr>
          <w:rStyle w:val="fontstyle01"/>
          <w:rFonts w:ascii="Times New Roman" w:hAnsi="Times New Roman" w:cs="Times New Roman"/>
          <w:sz w:val="20"/>
          <w:szCs w:val="20"/>
        </w:rPr>
        <w:t>Wilson</w:t>
      </w:r>
      <w:r w:rsidR="00801C75" w:rsidRPr="00331E80">
        <w:rPr>
          <w:rStyle w:val="fontstyle01"/>
          <w:rFonts w:ascii="Times New Roman" w:hAnsi="Times New Roman" w:cs="Times New Roman"/>
          <w:sz w:val="20"/>
          <w:szCs w:val="20"/>
        </w:rPr>
        <w:t xml:space="preserve"> </w:t>
      </w:r>
      <w:r w:rsidRPr="00331E80">
        <w:rPr>
          <w:rStyle w:val="fontstyle01"/>
          <w:rFonts w:ascii="Times New Roman" w:hAnsi="Times New Roman" w:cs="Times New Roman"/>
          <w:sz w:val="20"/>
          <w:szCs w:val="20"/>
        </w:rPr>
        <w:t>K,</w:t>
      </w:r>
      <w:r w:rsidR="00801C75" w:rsidRPr="00331E80">
        <w:rPr>
          <w:rStyle w:val="fontstyle01"/>
          <w:rFonts w:ascii="Times New Roman" w:hAnsi="Times New Roman" w:cs="Times New Roman"/>
          <w:sz w:val="20"/>
          <w:szCs w:val="20"/>
        </w:rPr>
        <w:t xml:space="preserve"> </w:t>
      </w:r>
      <w:r w:rsidRPr="00331E80">
        <w:rPr>
          <w:rStyle w:val="fontstyle01"/>
          <w:rFonts w:ascii="Times New Roman" w:hAnsi="Times New Roman" w:cs="Times New Roman"/>
          <w:sz w:val="20"/>
          <w:szCs w:val="20"/>
        </w:rPr>
        <w:t>Shapiro</w:t>
      </w:r>
      <w:r w:rsidR="00801C75" w:rsidRPr="00331E80">
        <w:rPr>
          <w:rStyle w:val="fontstyle01"/>
          <w:rFonts w:ascii="Times New Roman" w:hAnsi="Times New Roman" w:cs="Times New Roman"/>
          <w:sz w:val="20"/>
          <w:szCs w:val="20"/>
        </w:rPr>
        <w:t xml:space="preserve"> </w:t>
      </w:r>
      <w:r w:rsidRPr="00331E80">
        <w:rPr>
          <w:rStyle w:val="fontstyle01"/>
          <w:rFonts w:ascii="Times New Roman" w:hAnsi="Times New Roman" w:cs="Times New Roman"/>
          <w:sz w:val="20"/>
          <w:szCs w:val="20"/>
        </w:rPr>
        <w:t>J,</w:t>
      </w:r>
      <w:r w:rsidR="00801C75" w:rsidRPr="00331E80">
        <w:rPr>
          <w:rStyle w:val="fontstyle01"/>
          <w:rFonts w:ascii="Times New Roman" w:hAnsi="Times New Roman" w:cs="Times New Roman"/>
          <w:sz w:val="20"/>
          <w:szCs w:val="20"/>
        </w:rPr>
        <w:t xml:space="preserve"> </w:t>
      </w:r>
      <w:r w:rsidRPr="00331E80">
        <w:rPr>
          <w:rStyle w:val="fontstyle01"/>
          <w:rFonts w:ascii="Times New Roman" w:hAnsi="Times New Roman" w:cs="Times New Roman"/>
          <w:sz w:val="20"/>
          <w:szCs w:val="20"/>
        </w:rPr>
        <w:t>Tebbu</w:t>
      </w:r>
      <w:r w:rsidR="00801C75" w:rsidRPr="00331E80">
        <w:rPr>
          <w:rStyle w:val="fontstyle01"/>
          <w:rFonts w:ascii="Times New Roman" w:hAnsi="Times New Roman" w:cs="Times New Roman"/>
          <w:sz w:val="20"/>
          <w:szCs w:val="20"/>
        </w:rPr>
        <w:t xml:space="preserve"> </w:t>
      </w:r>
      <w:r w:rsidRPr="00331E80">
        <w:rPr>
          <w:rStyle w:val="fontstyle01"/>
          <w:rFonts w:ascii="Times New Roman" w:hAnsi="Times New Roman" w:cs="Times New Roman"/>
          <w:sz w:val="20"/>
          <w:szCs w:val="20"/>
        </w:rPr>
        <w:t>N</w:t>
      </w:r>
      <w:r w:rsidR="00801C75" w:rsidRPr="00331E80">
        <w:rPr>
          <w:rStyle w:val="fontstyle01"/>
          <w:rFonts w:ascii="Times New Roman" w:hAnsi="Times New Roman" w:cs="Times New Roman"/>
          <w:sz w:val="20"/>
          <w:szCs w:val="20"/>
        </w:rPr>
        <w:t xml:space="preserve"> </w:t>
      </w:r>
      <w:r w:rsidRPr="00331E80">
        <w:rPr>
          <w:rStyle w:val="fontstyle01"/>
          <w:rFonts w:ascii="Times New Roman" w:hAnsi="Times New Roman" w:cs="Times New Roman"/>
          <w:sz w:val="20"/>
          <w:szCs w:val="20"/>
        </w:rPr>
        <w:t>and</w:t>
      </w:r>
      <w:r w:rsidR="00801C75" w:rsidRPr="00331E80">
        <w:rPr>
          <w:rStyle w:val="fontstyle01"/>
          <w:rFonts w:ascii="Times New Roman" w:hAnsi="Times New Roman" w:cs="Times New Roman"/>
          <w:sz w:val="20"/>
          <w:szCs w:val="20"/>
        </w:rPr>
        <w:t xml:space="preserve"> </w:t>
      </w:r>
      <w:r w:rsidRPr="00331E80">
        <w:rPr>
          <w:rStyle w:val="fontstyle01"/>
          <w:rFonts w:ascii="Times New Roman" w:hAnsi="Times New Roman" w:cs="Times New Roman"/>
          <w:sz w:val="20"/>
          <w:szCs w:val="20"/>
        </w:rPr>
        <w:t>Jonker</w:t>
      </w:r>
      <w:r w:rsidR="00801C75" w:rsidRPr="00331E80">
        <w:rPr>
          <w:rStyle w:val="fontstyle01"/>
          <w:rFonts w:ascii="Times New Roman" w:hAnsi="Times New Roman" w:cs="Times New Roman"/>
          <w:sz w:val="20"/>
          <w:szCs w:val="20"/>
        </w:rPr>
        <w:t xml:space="preserve"> </w:t>
      </w:r>
      <w:r w:rsidRPr="00331E80">
        <w:rPr>
          <w:rStyle w:val="fontstyle01"/>
          <w:rFonts w:ascii="Times New Roman" w:hAnsi="Times New Roman" w:cs="Times New Roman"/>
          <w:sz w:val="20"/>
          <w:szCs w:val="20"/>
        </w:rPr>
        <w:t>DJ,</w:t>
      </w:r>
      <w:r w:rsidR="00801C75" w:rsidRPr="00331E80">
        <w:rPr>
          <w:rStyle w:val="fontstyle01"/>
          <w:rFonts w:ascii="Times New Roman" w:hAnsi="Times New Roman" w:cs="Times New Roman"/>
          <w:sz w:val="20"/>
          <w:szCs w:val="20"/>
        </w:rPr>
        <w:t xml:space="preserve"> </w:t>
      </w:r>
      <w:r w:rsidRPr="00331E80">
        <w:rPr>
          <w:rStyle w:val="fontstyle01"/>
          <w:rFonts w:ascii="Times New Roman" w:hAnsi="Times New Roman" w:cs="Times New Roman"/>
          <w:sz w:val="20"/>
          <w:szCs w:val="20"/>
        </w:rPr>
        <w:t>et</w:t>
      </w:r>
      <w:r w:rsidR="00801C75" w:rsidRPr="00331E80">
        <w:rPr>
          <w:rStyle w:val="fontstyle01"/>
          <w:rFonts w:ascii="Times New Roman" w:hAnsi="Times New Roman" w:cs="Times New Roman"/>
          <w:sz w:val="20"/>
          <w:szCs w:val="20"/>
        </w:rPr>
        <w:t xml:space="preserve"> </w:t>
      </w:r>
      <w:r w:rsidRPr="00331E80">
        <w:rPr>
          <w:rStyle w:val="fontstyle01"/>
          <w:rFonts w:ascii="Times New Roman" w:hAnsi="Times New Roman" w:cs="Times New Roman"/>
          <w:sz w:val="20"/>
          <w:szCs w:val="20"/>
        </w:rPr>
        <w:t>al.</w:t>
      </w:r>
      <w:r w:rsidR="00801C75" w:rsidRPr="00331E80">
        <w:rPr>
          <w:rStyle w:val="fontstyle01"/>
          <w:rFonts w:ascii="Times New Roman" w:hAnsi="Times New Roman" w:cs="Times New Roman"/>
          <w:sz w:val="20"/>
          <w:szCs w:val="20"/>
        </w:rPr>
        <w:t xml:space="preserve"> </w:t>
      </w:r>
      <w:r w:rsidRPr="00331E80">
        <w:rPr>
          <w:rStyle w:val="fontstyle01"/>
          <w:rFonts w:ascii="Times New Roman" w:hAnsi="Times New Roman" w:cs="Times New Roman"/>
          <w:sz w:val="20"/>
          <w:szCs w:val="20"/>
        </w:rPr>
        <w:t>(2017):</w:t>
      </w:r>
      <w:r w:rsidR="00801C75" w:rsidRPr="00331E80">
        <w:rPr>
          <w:rStyle w:val="fontstyle01"/>
          <w:rFonts w:ascii="Times New Roman" w:hAnsi="Times New Roman" w:cs="Times New Roman"/>
          <w:sz w:val="20"/>
          <w:szCs w:val="20"/>
        </w:rPr>
        <w:t xml:space="preserve"> </w:t>
      </w:r>
      <w:r w:rsidRPr="00331E80">
        <w:rPr>
          <w:rStyle w:val="fontstyle01"/>
          <w:rFonts w:ascii="Times New Roman" w:hAnsi="Times New Roman" w:cs="Times New Roman"/>
          <w:sz w:val="20"/>
          <w:szCs w:val="20"/>
        </w:rPr>
        <w:t>Analysis</w:t>
      </w:r>
      <w:r w:rsidR="00801C75" w:rsidRPr="00331E80">
        <w:rPr>
          <w:rStyle w:val="fontstyle01"/>
          <w:rFonts w:ascii="Times New Roman" w:hAnsi="Times New Roman" w:cs="Times New Roman"/>
          <w:sz w:val="20"/>
          <w:szCs w:val="20"/>
        </w:rPr>
        <w:t xml:space="preserve"> </w:t>
      </w:r>
      <w:r w:rsidRPr="00331E80">
        <w:rPr>
          <w:rStyle w:val="fontstyle01"/>
          <w:rFonts w:ascii="Times New Roman" w:hAnsi="Times New Roman" w:cs="Times New Roman"/>
          <w:sz w:val="20"/>
          <w:szCs w:val="20"/>
        </w:rPr>
        <w:t>of</w:t>
      </w:r>
      <w:r w:rsidR="00801C75" w:rsidRPr="00331E80">
        <w:rPr>
          <w:rStyle w:val="fontstyle01"/>
          <w:rFonts w:ascii="Times New Roman" w:hAnsi="Times New Roman" w:cs="Times New Roman"/>
          <w:sz w:val="20"/>
          <w:szCs w:val="20"/>
        </w:rPr>
        <w:t xml:space="preserve"> </w:t>
      </w:r>
      <w:r w:rsidRPr="00331E80">
        <w:rPr>
          <w:rStyle w:val="fontstyle01"/>
          <w:rFonts w:ascii="Times New Roman" w:hAnsi="Times New Roman" w:cs="Times New Roman"/>
          <w:sz w:val="20"/>
          <w:szCs w:val="20"/>
        </w:rPr>
        <w:t>the</w:t>
      </w:r>
      <w:r w:rsidR="00801C75" w:rsidRPr="00331E80">
        <w:rPr>
          <w:rStyle w:val="fontstyle01"/>
          <w:rFonts w:ascii="Times New Roman" w:hAnsi="Times New Roman" w:cs="Times New Roman"/>
          <w:sz w:val="20"/>
          <w:szCs w:val="20"/>
        </w:rPr>
        <w:t xml:space="preserve"> </w:t>
      </w:r>
      <w:r w:rsidRPr="00331E80">
        <w:rPr>
          <w:rStyle w:val="fontstyle01"/>
          <w:rFonts w:ascii="Times New Roman" w:hAnsi="Times New Roman" w:cs="Times New Roman"/>
          <w:sz w:val="20"/>
          <w:szCs w:val="20"/>
        </w:rPr>
        <w:t>CO.17</w:t>
      </w:r>
      <w:r w:rsidR="00801C75" w:rsidRPr="00331E80">
        <w:rPr>
          <w:rStyle w:val="fontstyle01"/>
          <w:rFonts w:ascii="Times New Roman" w:hAnsi="Times New Roman" w:cs="Times New Roman"/>
          <w:sz w:val="20"/>
          <w:szCs w:val="20"/>
        </w:rPr>
        <w:t xml:space="preserve"> </w:t>
      </w:r>
      <w:r w:rsidRPr="00331E80">
        <w:rPr>
          <w:rStyle w:val="fontstyle01"/>
          <w:rFonts w:ascii="Times New Roman" w:hAnsi="Times New Roman" w:cs="Times New Roman"/>
          <w:sz w:val="20"/>
          <w:szCs w:val="20"/>
        </w:rPr>
        <w:t>and</w:t>
      </w:r>
      <w:r w:rsidR="00801C75" w:rsidRPr="00331E80">
        <w:rPr>
          <w:rStyle w:val="fontstyle01"/>
          <w:rFonts w:ascii="Times New Roman" w:hAnsi="Times New Roman" w:cs="Times New Roman"/>
          <w:sz w:val="20"/>
          <w:szCs w:val="20"/>
        </w:rPr>
        <w:t xml:space="preserve"> </w:t>
      </w:r>
      <w:r w:rsidRPr="00331E80">
        <w:rPr>
          <w:rStyle w:val="fontstyle01"/>
          <w:rFonts w:ascii="Times New Roman" w:hAnsi="Times New Roman" w:cs="Times New Roman"/>
          <w:sz w:val="20"/>
          <w:szCs w:val="20"/>
        </w:rPr>
        <w:t>CO.20</w:t>
      </w:r>
      <w:r w:rsidR="00801C75" w:rsidRPr="00331E80">
        <w:rPr>
          <w:rStyle w:val="fontstyle01"/>
          <w:rFonts w:ascii="Times New Roman" w:hAnsi="Times New Roman" w:cs="Times New Roman"/>
          <w:sz w:val="20"/>
          <w:szCs w:val="20"/>
        </w:rPr>
        <w:t xml:space="preserve"> </w:t>
      </w:r>
      <w:r w:rsidRPr="00331E80">
        <w:rPr>
          <w:rStyle w:val="fontstyle01"/>
          <w:rFonts w:ascii="Times New Roman" w:hAnsi="Times New Roman" w:cs="Times New Roman"/>
          <w:sz w:val="20"/>
          <w:szCs w:val="20"/>
        </w:rPr>
        <w:t>studies</w:t>
      </w:r>
      <w:r w:rsidR="00801C75" w:rsidRPr="00331E80">
        <w:rPr>
          <w:rStyle w:val="fontstyle01"/>
          <w:rFonts w:ascii="Times New Roman" w:hAnsi="Times New Roman" w:cs="Times New Roman"/>
          <w:sz w:val="20"/>
          <w:szCs w:val="20"/>
        </w:rPr>
        <w:t xml:space="preserve"> </w:t>
      </w:r>
      <w:r w:rsidRPr="00331E80">
        <w:rPr>
          <w:rStyle w:val="fontstyle01"/>
          <w:rFonts w:ascii="Times New Roman" w:hAnsi="Times New Roman" w:cs="Times New Roman"/>
          <w:sz w:val="20"/>
          <w:szCs w:val="20"/>
        </w:rPr>
        <w:t>Ann</w:t>
      </w:r>
      <w:r w:rsidR="00801C75" w:rsidRPr="00331E80">
        <w:rPr>
          <w:rStyle w:val="fontstyle01"/>
          <w:rFonts w:ascii="Times New Roman" w:hAnsi="Times New Roman" w:cs="Times New Roman"/>
          <w:sz w:val="20"/>
          <w:szCs w:val="20"/>
        </w:rPr>
        <w:t xml:space="preserve"> </w:t>
      </w:r>
      <w:r w:rsidRPr="00331E80">
        <w:rPr>
          <w:rStyle w:val="fontstyle01"/>
          <w:rFonts w:ascii="Times New Roman" w:hAnsi="Times New Roman" w:cs="Times New Roman"/>
          <w:sz w:val="20"/>
          <w:szCs w:val="20"/>
        </w:rPr>
        <w:t>Oncol</w:t>
      </w:r>
      <w:r w:rsidR="00801C75" w:rsidRPr="00331E80">
        <w:rPr>
          <w:rStyle w:val="fontstyle01"/>
          <w:rFonts w:ascii="Times New Roman" w:hAnsi="Times New Roman" w:cs="Times New Roman"/>
          <w:sz w:val="20"/>
          <w:szCs w:val="20"/>
        </w:rPr>
        <w:t xml:space="preserve"> </w:t>
      </w:r>
      <w:r w:rsidRPr="00331E80">
        <w:rPr>
          <w:rStyle w:val="fontstyle01"/>
          <w:rFonts w:ascii="Times New Roman" w:hAnsi="Times New Roman" w:cs="Times New Roman"/>
          <w:sz w:val="20"/>
          <w:szCs w:val="20"/>
        </w:rPr>
        <w:t>27</w:t>
      </w:r>
      <w:r w:rsidR="00801C75" w:rsidRPr="00331E80">
        <w:rPr>
          <w:rStyle w:val="fontstyle01"/>
          <w:rFonts w:ascii="Times New Roman" w:hAnsi="Times New Roman" w:cs="Times New Roman"/>
          <w:sz w:val="20"/>
          <w:szCs w:val="20"/>
        </w:rPr>
        <w:t xml:space="preserve"> </w:t>
      </w:r>
      <w:r w:rsidRPr="00331E80">
        <w:rPr>
          <w:rStyle w:val="fontstyle01"/>
          <w:rFonts w:ascii="Times New Roman" w:hAnsi="Times New Roman" w:cs="Times New Roman"/>
          <w:sz w:val="20"/>
          <w:szCs w:val="20"/>
        </w:rPr>
        <w:t>(suppl_6):</w:t>
      </w:r>
      <w:r w:rsidR="00801C75" w:rsidRPr="00331E80">
        <w:rPr>
          <w:rStyle w:val="fontstyle01"/>
          <w:rFonts w:ascii="Times New Roman" w:hAnsi="Times New Roman" w:cs="Times New Roman"/>
          <w:sz w:val="20"/>
          <w:szCs w:val="20"/>
        </w:rPr>
        <w:t xml:space="preserve"> </w:t>
      </w:r>
      <w:r w:rsidRPr="00331E80">
        <w:rPr>
          <w:rStyle w:val="fontstyle01"/>
          <w:rFonts w:ascii="Times New Roman" w:hAnsi="Times New Roman" w:cs="Times New Roman"/>
          <w:sz w:val="20"/>
          <w:szCs w:val="20"/>
        </w:rPr>
        <w:t>588P.</w:t>
      </w:r>
    </w:p>
    <w:p w:rsidR="00DE4DBB" w:rsidRPr="00331E80" w:rsidRDefault="00DE4DBB" w:rsidP="00331E80">
      <w:pPr>
        <w:pStyle w:val="ListParagraph"/>
        <w:numPr>
          <w:ilvl w:val="0"/>
          <w:numId w:val="14"/>
        </w:numPr>
        <w:autoSpaceDE w:val="0"/>
        <w:autoSpaceDN w:val="0"/>
        <w:snapToGrid w:val="0"/>
        <w:spacing w:after="0" w:line="240" w:lineRule="auto"/>
        <w:ind w:left="425" w:hanging="425"/>
        <w:jc w:val="both"/>
        <w:rPr>
          <w:rFonts w:ascii="Times New Roman" w:eastAsia="Batang" w:hAnsi="Times New Roman" w:cs="Times New Roman"/>
          <w:bCs/>
          <w:color w:val="000000"/>
          <w:sz w:val="20"/>
          <w:szCs w:val="20"/>
        </w:rPr>
      </w:pPr>
      <w:r w:rsidRPr="00331E80">
        <w:rPr>
          <w:rFonts w:ascii="Times New Roman" w:hAnsi="Times New Roman" w:cs="Times New Roman"/>
          <w:bCs/>
          <w:sz w:val="20"/>
          <w:szCs w:val="20"/>
          <w:lang w:val="fr-FR"/>
        </w:rPr>
        <w:t>Li</w:t>
      </w:r>
      <w:r w:rsidR="00801C75" w:rsidRPr="00331E80">
        <w:rPr>
          <w:rFonts w:ascii="Times New Roman" w:hAnsi="Times New Roman" w:cs="Times New Roman"/>
          <w:bCs/>
          <w:sz w:val="20"/>
          <w:szCs w:val="20"/>
          <w:lang w:val="fr-FR"/>
        </w:rPr>
        <w:t xml:space="preserve"> </w:t>
      </w:r>
      <w:r w:rsidRPr="00331E80">
        <w:rPr>
          <w:rFonts w:ascii="Times New Roman" w:hAnsi="Times New Roman" w:cs="Times New Roman"/>
          <w:bCs/>
          <w:sz w:val="20"/>
          <w:szCs w:val="20"/>
          <w:lang w:val="fr-FR"/>
        </w:rPr>
        <w:t>M,</w:t>
      </w:r>
      <w:r w:rsidR="00801C75" w:rsidRPr="00331E80">
        <w:rPr>
          <w:rFonts w:ascii="Times New Roman" w:hAnsi="Times New Roman" w:cs="Times New Roman"/>
          <w:bCs/>
          <w:sz w:val="20"/>
          <w:szCs w:val="20"/>
          <w:lang w:val="fr-FR"/>
        </w:rPr>
        <w:t xml:space="preserve"> </w:t>
      </w:r>
      <w:r w:rsidRPr="00331E80">
        <w:rPr>
          <w:rFonts w:ascii="Times New Roman" w:hAnsi="Times New Roman" w:cs="Times New Roman"/>
          <w:bCs/>
          <w:sz w:val="20"/>
          <w:szCs w:val="20"/>
          <w:lang w:val="fr-FR"/>
        </w:rPr>
        <w:t>Liu</w:t>
      </w:r>
      <w:r w:rsidR="00801C75" w:rsidRPr="00331E80">
        <w:rPr>
          <w:rFonts w:ascii="Times New Roman" w:hAnsi="Times New Roman" w:cs="Times New Roman"/>
          <w:bCs/>
          <w:sz w:val="20"/>
          <w:szCs w:val="20"/>
          <w:lang w:val="fr-FR"/>
        </w:rPr>
        <w:t xml:space="preserve"> </w:t>
      </w:r>
      <w:r w:rsidRPr="00331E80">
        <w:rPr>
          <w:rFonts w:ascii="Times New Roman" w:hAnsi="Times New Roman" w:cs="Times New Roman"/>
          <w:bCs/>
          <w:sz w:val="20"/>
          <w:szCs w:val="20"/>
          <w:lang w:val="fr-FR"/>
        </w:rPr>
        <w:t>X</w:t>
      </w:r>
      <w:r w:rsidR="00801C75" w:rsidRPr="00331E80">
        <w:rPr>
          <w:rFonts w:ascii="Times New Roman" w:hAnsi="Times New Roman" w:cs="Times New Roman"/>
          <w:bCs/>
          <w:sz w:val="20"/>
          <w:szCs w:val="20"/>
          <w:lang w:val="fr-FR"/>
        </w:rPr>
        <w:t xml:space="preserve"> </w:t>
      </w:r>
      <w:r w:rsidRPr="00331E80">
        <w:rPr>
          <w:rFonts w:ascii="Times New Roman" w:hAnsi="Times New Roman" w:cs="Times New Roman"/>
          <w:bCs/>
          <w:sz w:val="20"/>
          <w:szCs w:val="20"/>
          <w:lang w:val="fr-FR"/>
        </w:rPr>
        <w:t>and</w:t>
      </w:r>
      <w:r w:rsidR="00801C75" w:rsidRPr="00331E80">
        <w:rPr>
          <w:rFonts w:ascii="Times New Roman" w:hAnsi="Times New Roman" w:cs="Times New Roman"/>
          <w:bCs/>
          <w:sz w:val="20"/>
          <w:szCs w:val="20"/>
          <w:lang w:val="fr-FR"/>
        </w:rPr>
        <w:t xml:space="preserve"> </w:t>
      </w:r>
      <w:r w:rsidRPr="00331E80">
        <w:rPr>
          <w:rFonts w:ascii="Times New Roman" w:hAnsi="Times New Roman" w:cs="Times New Roman"/>
          <w:bCs/>
          <w:sz w:val="20"/>
          <w:szCs w:val="20"/>
          <w:lang w:val="fr-FR"/>
        </w:rPr>
        <w:t>Zhang</w:t>
      </w:r>
      <w:r w:rsidR="00801C75" w:rsidRPr="00331E80">
        <w:rPr>
          <w:rFonts w:ascii="Times New Roman" w:hAnsi="Times New Roman" w:cs="Times New Roman"/>
          <w:bCs/>
          <w:sz w:val="20"/>
          <w:szCs w:val="20"/>
          <w:lang w:val="fr-FR"/>
        </w:rPr>
        <w:t xml:space="preserve"> </w:t>
      </w:r>
      <w:r w:rsidRPr="00331E80">
        <w:rPr>
          <w:rFonts w:ascii="Times New Roman" w:hAnsi="Times New Roman" w:cs="Times New Roman"/>
          <w:bCs/>
          <w:sz w:val="20"/>
          <w:szCs w:val="20"/>
          <w:lang w:val="fr-FR"/>
        </w:rPr>
        <w:t>X,</w:t>
      </w:r>
      <w:r w:rsidR="00801C75" w:rsidRPr="00331E80">
        <w:rPr>
          <w:rFonts w:ascii="Times New Roman" w:hAnsi="Times New Roman" w:cs="Times New Roman"/>
          <w:bCs/>
          <w:sz w:val="20"/>
          <w:szCs w:val="20"/>
          <w:lang w:val="fr-FR"/>
        </w:rPr>
        <w:t xml:space="preserve"> </w:t>
      </w:r>
      <w:r w:rsidRPr="00331E80">
        <w:rPr>
          <w:rFonts w:ascii="Times New Roman" w:hAnsi="Times New Roman" w:cs="Times New Roman"/>
          <w:bCs/>
          <w:sz w:val="20"/>
          <w:szCs w:val="20"/>
          <w:lang w:val="fr-FR"/>
        </w:rPr>
        <w:t>et</w:t>
      </w:r>
      <w:r w:rsidR="00801C75" w:rsidRPr="00331E80">
        <w:rPr>
          <w:rFonts w:ascii="Times New Roman" w:hAnsi="Times New Roman" w:cs="Times New Roman"/>
          <w:bCs/>
          <w:sz w:val="20"/>
          <w:szCs w:val="20"/>
          <w:lang w:val="fr-FR"/>
        </w:rPr>
        <w:t xml:space="preserve"> </w:t>
      </w:r>
      <w:r w:rsidRPr="00331E80">
        <w:rPr>
          <w:rFonts w:ascii="Times New Roman" w:hAnsi="Times New Roman" w:cs="Times New Roman"/>
          <w:bCs/>
          <w:sz w:val="20"/>
          <w:szCs w:val="20"/>
          <w:lang w:val="fr-FR"/>
        </w:rPr>
        <w:t>al.</w:t>
      </w:r>
      <w:r w:rsidR="00801C75" w:rsidRPr="00331E80">
        <w:rPr>
          <w:rFonts w:ascii="Times New Roman" w:hAnsi="Times New Roman" w:cs="Times New Roman"/>
          <w:bCs/>
          <w:sz w:val="20"/>
          <w:szCs w:val="20"/>
          <w:lang w:val="fr-FR"/>
        </w:rPr>
        <w:t xml:space="preserve"> </w:t>
      </w:r>
      <w:r w:rsidRPr="00331E80">
        <w:rPr>
          <w:rFonts w:ascii="Times New Roman" w:hAnsi="Times New Roman" w:cs="Times New Roman"/>
          <w:bCs/>
          <w:sz w:val="20"/>
          <w:szCs w:val="20"/>
        </w:rPr>
        <w:t>(2014):</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Prognostic</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role</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of</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neutrophil</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to</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lymphocyte</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ratio</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in</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colorectal</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cancer,</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systemic</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review</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and</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meta-analysis</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International</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journal</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of</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cancer;</w:t>
      </w:r>
      <w:r w:rsidRPr="00331E80">
        <w:rPr>
          <w:rFonts w:ascii="Times New Roman" w:hAnsi="Times New Roman" w:cs="Times New Roman"/>
          <w:bCs/>
          <w:color w:val="000000"/>
          <w:sz w:val="20"/>
          <w:szCs w:val="20"/>
        </w:rPr>
        <w:t>134(10):2403-2413.</w:t>
      </w:r>
    </w:p>
    <w:p w:rsidR="00DE4DBB" w:rsidRPr="00331E80" w:rsidRDefault="00DE4DBB" w:rsidP="00331E80">
      <w:pPr>
        <w:pStyle w:val="ListParagraph"/>
        <w:numPr>
          <w:ilvl w:val="0"/>
          <w:numId w:val="14"/>
        </w:numPr>
        <w:snapToGrid w:val="0"/>
        <w:spacing w:after="0" w:line="240" w:lineRule="auto"/>
        <w:ind w:left="425" w:hanging="425"/>
        <w:jc w:val="both"/>
        <w:rPr>
          <w:rFonts w:ascii="Times New Roman" w:hAnsi="Times New Roman" w:cs="Times New Roman"/>
          <w:noProof/>
          <w:sz w:val="20"/>
          <w:szCs w:val="20"/>
        </w:rPr>
      </w:pPr>
      <w:r w:rsidRPr="00331E80">
        <w:rPr>
          <w:rFonts w:ascii="Times New Roman" w:hAnsi="Times New Roman" w:cs="Times New Roman"/>
          <w:bCs/>
          <w:noProof/>
          <w:sz w:val="20"/>
          <w:szCs w:val="20"/>
        </w:rPr>
        <w:t>Amin</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M.B.,</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Edge</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S.,</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Greene</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F.</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er</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al.</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(2017):</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AJCC</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Cancer</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Staging</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Manual</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8th</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edition.</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Available</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online</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at:</w:t>
      </w:r>
      <w:r w:rsidR="00801C75" w:rsidRPr="00331E80">
        <w:rPr>
          <w:rFonts w:ascii="Times New Roman" w:hAnsi="Times New Roman" w:cs="Times New Roman"/>
          <w:noProof/>
          <w:sz w:val="20"/>
          <w:szCs w:val="20"/>
        </w:rPr>
        <w:t xml:space="preserve"> </w:t>
      </w:r>
      <w:r w:rsidRPr="00331E80">
        <w:rPr>
          <w:rFonts w:ascii="Times New Roman" w:eastAsiaTheme="majorEastAsia" w:hAnsi="Times New Roman" w:cs="Times New Roman"/>
          <w:noProof/>
          <w:sz w:val="20"/>
          <w:szCs w:val="20"/>
        </w:rPr>
        <w:t>https://cancerstaging.org</w:t>
      </w:r>
      <w:r w:rsidRPr="00331E80">
        <w:rPr>
          <w:rFonts w:ascii="Times New Roman" w:hAnsi="Times New Roman" w:cs="Times New Roman"/>
          <w:noProof/>
          <w:sz w:val="20"/>
          <w:szCs w:val="20"/>
        </w:rPr>
        <w:t>.</w:t>
      </w:r>
    </w:p>
    <w:p w:rsidR="00DE4DBB" w:rsidRPr="00331E80" w:rsidRDefault="00DE4DBB" w:rsidP="00331E80">
      <w:pPr>
        <w:pStyle w:val="ListParagraph"/>
        <w:numPr>
          <w:ilvl w:val="0"/>
          <w:numId w:val="14"/>
        </w:numPr>
        <w:snapToGrid w:val="0"/>
        <w:spacing w:after="0" w:line="240" w:lineRule="auto"/>
        <w:ind w:left="425" w:hanging="425"/>
        <w:jc w:val="both"/>
        <w:rPr>
          <w:rFonts w:ascii="Times New Roman" w:hAnsi="Times New Roman" w:cs="Times New Roman"/>
          <w:sz w:val="20"/>
          <w:szCs w:val="20"/>
          <w:shd w:val="clear" w:color="auto" w:fill="FFFFFF"/>
        </w:rPr>
      </w:pPr>
      <w:r w:rsidRPr="00331E80">
        <w:rPr>
          <w:rFonts w:ascii="Times New Roman" w:hAnsi="Times New Roman" w:cs="Times New Roman"/>
          <w:bCs/>
          <w:sz w:val="20"/>
          <w:szCs w:val="20"/>
          <w:lang w:val="fr-FR"/>
        </w:rPr>
        <w:t>Weiser</w:t>
      </w:r>
      <w:r w:rsidR="00801C75" w:rsidRPr="00331E80">
        <w:rPr>
          <w:rFonts w:ascii="Times New Roman" w:hAnsi="Times New Roman" w:cs="Times New Roman"/>
          <w:bCs/>
          <w:sz w:val="20"/>
          <w:szCs w:val="20"/>
          <w:lang w:val="fr-FR"/>
        </w:rPr>
        <w:t xml:space="preserve"> </w:t>
      </w:r>
      <w:r w:rsidRPr="00331E80">
        <w:rPr>
          <w:rFonts w:ascii="Times New Roman" w:hAnsi="Times New Roman" w:cs="Times New Roman"/>
          <w:bCs/>
          <w:sz w:val="20"/>
          <w:szCs w:val="20"/>
          <w:lang w:val="fr-FR"/>
        </w:rPr>
        <w:t>M</w:t>
      </w:r>
      <w:r w:rsidR="00801C75" w:rsidRPr="00331E80">
        <w:rPr>
          <w:rFonts w:ascii="Times New Roman" w:hAnsi="Times New Roman" w:cs="Times New Roman"/>
          <w:bCs/>
          <w:sz w:val="20"/>
          <w:szCs w:val="20"/>
          <w:lang w:val="fr-FR"/>
        </w:rPr>
        <w:t xml:space="preserve"> </w:t>
      </w:r>
      <w:r w:rsidRPr="00331E80">
        <w:rPr>
          <w:rFonts w:ascii="Times New Roman" w:hAnsi="Times New Roman" w:cs="Times New Roman"/>
          <w:bCs/>
          <w:sz w:val="20"/>
          <w:szCs w:val="20"/>
          <w:lang w:val="fr-FR"/>
        </w:rPr>
        <w:t>et</w:t>
      </w:r>
      <w:r w:rsidR="00801C75" w:rsidRPr="00331E80">
        <w:rPr>
          <w:rFonts w:ascii="Times New Roman" w:hAnsi="Times New Roman" w:cs="Times New Roman"/>
          <w:bCs/>
          <w:sz w:val="20"/>
          <w:szCs w:val="20"/>
          <w:lang w:val="fr-FR"/>
        </w:rPr>
        <w:t xml:space="preserve"> </w:t>
      </w:r>
      <w:r w:rsidRPr="00331E80">
        <w:rPr>
          <w:rFonts w:ascii="Times New Roman" w:hAnsi="Times New Roman" w:cs="Times New Roman"/>
          <w:bCs/>
          <w:sz w:val="20"/>
          <w:szCs w:val="20"/>
          <w:lang w:val="fr-FR"/>
        </w:rPr>
        <w:t>al.</w:t>
      </w:r>
      <w:r w:rsidR="00801C75" w:rsidRPr="00331E80">
        <w:rPr>
          <w:rFonts w:ascii="Times New Roman" w:hAnsi="Times New Roman" w:cs="Times New Roman"/>
          <w:bCs/>
          <w:sz w:val="20"/>
          <w:szCs w:val="20"/>
          <w:lang w:val="fr-FR"/>
        </w:rPr>
        <w:t xml:space="preserve"> </w:t>
      </w:r>
      <w:r w:rsidRPr="00331E80">
        <w:rPr>
          <w:rFonts w:ascii="Times New Roman" w:hAnsi="Times New Roman" w:cs="Times New Roman"/>
          <w:bCs/>
          <w:sz w:val="20"/>
          <w:szCs w:val="20"/>
        </w:rPr>
        <w:t>(2018):</w:t>
      </w:r>
      <w:r w:rsidR="00801C75" w:rsidRPr="00331E80">
        <w:rPr>
          <w:rFonts w:ascii="Times New Roman" w:hAnsi="Times New Roman" w:cs="Times New Roman"/>
          <w:bCs/>
          <w:sz w:val="20"/>
          <w:szCs w:val="20"/>
        </w:rPr>
        <w:t xml:space="preserve"> </w:t>
      </w:r>
      <w:r w:rsidRPr="00331E80">
        <w:rPr>
          <w:rFonts w:ascii="Times New Roman" w:hAnsi="Times New Roman" w:cs="Times New Roman"/>
          <w:sz w:val="20"/>
          <w:szCs w:val="20"/>
          <w:shd w:val="clear" w:color="auto" w:fill="FFFFFF"/>
        </w:rPr>
        <w:t>The</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American</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Joint</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Committee</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on</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Cancer</w:t>
      </w:r>
      <w:r w:rsidR="00801C75" w:rsidRPr="00331E80">
        <w:rPr>
          <w:rFonts w:ascii="Times New Roman" w:hAnsi="Times New Roman" w:cs="Times New Roman"/>
          <w:sz w:val="20"/>
          <w:szCs w:val="20"/>
          <w:shd w:val="clear" w:color="auto" w:fill="FFFFFF"/>
        </w:rPr>
        <w:t xml:space="preserve"> </w:t>
      </w:r>
      <w:r w:rsidRPr="00331E80">
        <w:rPr>
          <w:rStyle w:val="nowrap"/>
          <w:rFonts w:ascii="Times New Roman" w:hAnsi="Times New Roman" w:cs="Times New Roman"/>
          <w:sz w:val="20"/>
          <w:szCs w:val="20"/>
          <w:shd w:val="clear" w:color="auto" w:fill="FFFFFF"/>
        </w:rPr>
        <w:t>(AJCC)</w:t>
      </w:r>
      <w:r w:rsidR="00801C75" w:rsidRPr="00331E80">
        <w:rPr>
          <w:rFonts w:ascii="Times New Roman" w:hAnsi="Times New Roman" w:cs="Times New Roman"/>
          <w:sz w:val="20"/>
          <w:szCs w:val="20"/>
          <w:lang w:val="en-GB"/>
        </w:rPr>
        <w:t xml:space="preserve"> </w:t>
      </w:r>
      <w:r w:rsidRPr="00331E80">
        <w:rPr>
          <w:rFonts w:ascii="Times New Roman" w:hAnsi="Times New Roman" w:cs="Times New Roman"/>
          <w:sz w:val="20"/>
          <w:szCs w:val="20"/>
          <w:lang w:val="en-GB"/>
        </w:rPr>
        <w:t>of</w:t>
      </w:r>
      <w:r w:rsidR="00801C75" w:rsidRPr="00331E80">
        <w:rPr>
          <w:rFonts w:ascii="Times New Roman" w:hAnsi="Times New Roman" w:cs="Times New Roman"/>
          <w:sz w:val="20"/>
          <w:szCs w:val="20"/>
          <w:lang w:val="en-GB"/>
        </w:rPr>
        <w:t xml:space="preserve"> </w:t>
      </w:r>
      <w:r w:rsidRPr="00331E80">
        <w:rPr>
          <w:rFonts w:ascii="Times New Roman" w:hAnsi="Times New Roman" w:cs="Times New Roman"/>
          <w:sz w:val="20"/>
          <w:szCs w:val="20"/>
          <w:lang w:val="en-GB"/>
        </w:rPr>
        <w:t>colorectal</w:t>
      </w:r>
      <w:r w:rsidR="00801C75" w:rsidRPr="00331E80">
        <w:rPr>
          <w:rFonts w:ascii="Times New Roman" w:hAnsi="Times New Roman" w:cs="Times New Roman"/>
          <w:sz w:val="20"/>
          <w:szCs w:val="20"/>
          <w:lang w:val="en-GB"/>
        </w:rPr>
        <w:t xml:space="preserve"> </w:t>
      </w:r>
      <w:r w:rsidRPr="00331E80">
        <w:rPr>
          <w:rFonts w:ascii="Times New Roman" w:hAnsi="Times New Roman" w:cs="Times New Roman"/>
          <w:sz w:val="20"/>
          <w:szCs w:val="20"/>
          <w:lang w:val="en-GB"/>
        </w:rPr>
        <w:t>cancer.</w:t>
      </w:r>
      <w:r w:rsidR="00801C75" w:rsidRPr="00331E80">
        <w:rPr>
          <w:rFonts w:ascii="Times New Roman" w:hAnsi="Times New Roman" w:cs="Times New Roman"/>
          <w:sz w:val="20"/>
          <w:szCs w:val="20"/>
          <w:lang w:val="en-GB"/>
        </w:rPr>
        <w:t xml:space="preserve"> </w:t>
      </w:r>
      <w:r w:rsidRPr="00331E80">
        <w:rPr>
          <w:rFonts w:ascii="Times New Roman" w:hAnsi="Times New Roman" w:cs="Times New Roman"/>
          <w:sz w:val="20"/>
          <w:szCs w:val="20"/>
          <w:lang w:val="en-GB"/>
        </w:rPr>
        <w:t>8</w:t>
      </w:r>
      <w:r w:rsidRPr="00331E80">
        <w:rPr>
          <w:rFonts w:ascii="Times New Roman" w:hAnsi="Times New Roman" w:cs="Times New Roman"/>
          <w:sz w:val="20"/>
          <w:szCs w:val="20"/>
          <w:vertAlign w:val="superscript"/>
          <w:lang w:val="en-GB"/>
        </w:rPr>
        <w:t>th</w:t>
      </w:r>
      <w:r w:rsidR="00801C75" w:rsidRPr="00331E80">
        <w:rPr>
          <w:rFonts w:ascii="Times New Roman" w:hAnsi="Times New Roman" w:cs="Times New Roman"/>
          <w:sz w:val="20"/>
          <w:szCs w:val="20"/>
          <w:lang w:val="en-GB"/>
        </w:rPr>
        <w:t xml:space="preserve"> </w:t>
      </w:r>
      <w:r w:rsidRPr="00331E80">
        <w:rPr>
          <w:rFonts w:ascii="Times New Roman" w:hAnsi="Times New Roman" w:cs="Times New Roman"/>
          <w:sz w:val="20"/>
          <w:szCs w:val="20"/>
          <w:lang w:val="en-GB"/>
        </w:rPr>
        <w:t>edition,</w:t>
      </w:r>
      <w:r w:rsidR="00801C75" w:rsidRPr="00331E80">
        <w:rPr>
          <w:rFonts w:ascii="Times New Roman" w:hAnsi="Times New Roman" w:cs="Times New Roman"/>
          <w:sz w:val="20"/>
          <w:szCs w:val="20"/>
          <w:shd w:val="clear" w:color="auto" w:fill="FCFCFC"/>
        </w:rPr>
        <w:t xml:space="preserve"> </w:t>
      </w:r>
      <w:r w:rsidRPr="00331E80">
        <w:rPr>
          <w:rFonts w:ascii="Times New Roman" w:hAnsi="Times New Roman" w:cs="Times New Roman"/>
          <w:sz w:val="20"/>
          <w:szCs w:val="20"/>
          <w:shd w:val="clear" w:color="auto" w:fill="FCFCFC"/>
        </w:rPr>
        <w:t>25</w:t>
      </w:r>
      <w:r w:rsidR="00801C75" w:rsidRPr="00331E80">
        <w:rPr>
          <w:rFonts w:ascii="Times New Roman" w:hAnsi="Times New Roman" w:cs="Times New Roman"/>
          <w:sz w:val="20"/>
          <w:szCs w:val="20"/>
          <w:shd w:val="clear" w:color="auto" w:fill="FCFCFC"/>
        </w:rPr>
        <w:t xml:space="preserve"> </w:t>
      </w:r>
      <w:r w:rsidRPr="00331E80">
        <w:rPr>
          <w:rFonts w:ascii="Times New Roman" w:hAnsi="Times New Roman" w:cs="Times New Roman"/>
          <w:sz w:val="20"/>
          <w:szCs w:val="20"/>
          <w:shd w:val="clear" w:color="auto" w:fill="FCFCFC"/>
        </w:rPr>
        <w:t>(6):</w:t>
      </w:r>
      <w:r w:rsidR="00801C75" w:rsidRPr="00331E80">
        <w:rPr>
          <w:rFonts w:ascii="Times New Roman" w:hAnsi="Times New Roman" w:cs="Times New Roman"/>
          <w:sz w:val="20"/>
          <w:szCs w:val="20"/>
          <w:shd w:val="clear" w:color="auto" w:fill="FCFCFC"/>
        </w:rPr>
        <w:t xml:space="preserve"> </w:t>
      </w:r>
      <w:r w:rsidRPr="00331E80">
        <w:rPr>
          <w:rFonts w:ascii="Times New Roman" w:hAnsi="Times New Roman" w:cs="Times New Roman"/>
          <w:sz w:val="20"/>
          <w:szCs w:val="20"/>
          <w:shd w:val="clear" w:color="auto" w:fill="FCFCFC"/>
        </w:rPr>
        <w:t>1454–1455</w:t>
      </w:r>
      <w:r w:rsidRPr="00331E80">
        <w:rPr>
          <w:rFonts w:ascii="Times New Roman" w:hAnsi="Times New Roman" w:cs="Times New Roman"/>
          <w:sz w:val="20"/>
          <w:szCs w:val="20"/>
          <w:shd w:val="clear" w:color="auto" w:fill="FFFFFF"/>
        </w:rPr>
        <w:t>.</w:t>
      </w:r>
    </w:p>
    <w:p w:rsidR="00DE4DBB" w:rsidRPr="00331E80" w:rsidRDefault="00DE4DBB" w:rsidP="00331E80">
      <w:pPr>
        <w:pStyle w:val="ListParagraph"/>
        <w:numPr>
          <w:ilvl w:val="0"/>
          <w:numId w:val="14"/>
        </w:numPr>
        <w:snapToGrid w:val="0"/>
        <w:spacing w:after="0" w:line="240" w:lineRule="auto"/>
        <w:ind w:left="425" w:hanging="425"/>
        <w:jc w:val="both"/>
        <w:rPr>
          <w:rFonts w:ascii="Times New Roman" w:hAnsi="Times New Roman" w:cs="Times New Roman"/>
          <w:noProof/>
          <w:sz w:val="20"/>
          <w:szCs w:val="20"/>
        </w:rPr>
      </w:pPr>
      <w:r w:rsidRPr="00331E80">
        <w:rPr>
          <w:rFonts w:ascii="Times New Roman" w:hAnsi="Times New Roman" w:cs="Times New Roman"/>
          <w:bCs/>
          <w:noProof/>
          <w:sz w:val="20"/>
          <w:szCs w:val="20"/>
        </w:rPr>
        <w:t>Isenhauera</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E</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A,</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Therasseb</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P,</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Bogaertsc</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J,</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et</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al.</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(2009):</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New</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response</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evaluation</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criteria</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in</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solid</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tumours:</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Revised</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RECIST</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guidelines</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(version</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1.1).</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European</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Journal</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of</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Cancer</w:t>
      </w:r>
      <w:r w:rsidRPr="00331E80">
        <w:rPr>
          <w:rFonts w:ascii="Times New Roman" w:hAnsi="Times New Roman" w:cs="Times New Roman"/>
          <w:noProof/>
          <w:sz w:val="20"/>
          <w:szCs w:val="20"/>
          <w:lang w:val="en-GB"/>
        </w:rPr>
        <w:t>,</w:t>
      </w:r>
      <w:r w:rsidRPr="00331E80">
        <w:rPr>
          <w:rFonts w:ascii="Times New Roman" w:hAnsi="Times New Roman" w:cs="Times New Roman"/>
          <w:noProof/>
          <w:sz w:val="20"/>
          <w:szCs w:val="20"/>
        </w:rPr>
        <w:t>4</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5:</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2</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2</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8</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–247.</w:t>
      </w:r>
    </w:p>
    <w:p w:rsidR="00DE4DBB" w:rsidRPr="00331E80" w:rsidRDefault="00DE4DBB" w:rsidP="00331E80">
      <w:pPr>
        <w:pStyle w:val="ListParagraph"/>
        <w:numPr>
          <w:ilvl w:val="0"/>
          <w:numId w:val="14"/>
        </w:numPr>
        <w:snapToGrid w:val="0"/>
        <w:spacing w:after="0" w:line="240" w:lineRule="auto"/>
        <w:ind w:left="425" w:hanging="425"/>
        <w:jc w:val="both"/>
        <w:rPr>
          <w:rFonts w:ascii="Times New Roman" w:hAnsi="Times New Roman" w:cs="Times New Roman"/>
          <w:noProof/>
          <w:sz w:val="20"/>
          <w:szCs w:val="20"/>
        </w:rPr>
      </w:pPr>
      <w:r w:rsidRPr="00331E80">
        <w:rPr>
          <w:rFonts w:ascii="Times New Roman" w:hAnsi="Times New Roman" w:cs="Times New Roman"/>
          <w:bCs/>
          <w:noProof/>
          <w:sz w:val="20"/>
          <w:szCs w:val="20"/>
        </w:rPr>
        <w:t>Oken</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MM,</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Creech</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RH,</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Tormey</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DC,</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et</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al.</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(1982):</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Toxicity</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And</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Response</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Criteria</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Of</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The</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Eastern</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Cooperative</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Oncology</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Group.</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Am</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J</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Clin</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Oncol</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5:649-655.</w:t>
      </w:r>
    </w:p>
    <w:p w:rsidR="00DE4DBB" w:rsidRPr="00331E80" w:rsidRDefault="00DE4DBB" w:rsidP="00331E80">
      <w:pPr>
        <w:pStyle w:val="ListParagraph"/>
        <w:numPr>
          <w:ilvl w:val="0"/>
          <w:numId w:val="14"/>
        </w:numPr>
        <w:snapToGrid w:val="0"/>
        <w:spacing w:after="0" w:line="240" w:lineRule="auto"/>
        <w:ind w:left="425" w:hanging="425"/>
        <w:jc w:val="both"/>
        <w:rPr>
          <w:rFonts w:ascii="Times New Roman" w:hAnsi="Times New Roman" w:cs="Times New Roman"/>
          <w:noProof/>
          <w:sz w:val="20"/>
          <w:szCs w:val="20"/>
        </w:rPr>
      </w:pPr>
      <w:r w:rsidRPr="00331E80">
        <w:rPr>
          <w:rFonts w:ascii="Times New Roman" w:hAnsi="Times New Roman" w:cs="Times New Roman"/>
          <w:bCs/>
          <w:noProof/>
          <w:sz w:val="20"/>
          <w:szCs w:val="20"/>
        </w:rPr>
        <w:t>Common</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Terminology</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Criteria</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for</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Adverse</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Events</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(CTCAE)</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Version</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4.03.</w:t>
      </w:r>
      <w:r w:rsidR="00801C75" w:rsidRPr="00331E80">
        <w:rPr>
          <w:rFonts w:ascii="Times New Roman" w:hAnsi="Times New Roman" w:cs="Times New Roman"/>
          <w:bCs/>
          <w:noProof/>
          <w:sz w:val="20"/>
          <w:szCs w:val="20"/>
        </w:rPr>
        <w:t xml:space="preserve"> </w:t>
      </w:r>
      <w:r w:rsidRPr="00331E80">
        <w:rPr>
          <w:rFonts w:ascii="Times New Roman" w:hAnsi="Times New Roman" w:cs="Times New Roman"/>
          <w:bCs/>
          <w:noProof/>
          <w:sz w:val="20"/>
          <w:szCs w:val="20"/>
        </w:rPr>
        <w:t>(2010):</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NIH</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Publication</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No.09-5410.</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Available</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online</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at</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website</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of</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the</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National</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Cancer</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Institute</w:t>
      </w:r>
      <w:r w:rsidR="00801C75" w:rsidRPr="00331E80">
        <w:rPr>
          <w:rFonts w:ascii="Times New Roman" w:hAnsi="Times New Roman" w:cs="Times New Roman"/>
          <w:noProof/>
          <w:sz w:val="20"/>
          <w:szCs w:val="20"/>
        </w:rPr>
        <w:t xml:space="preserve"> </w:t>
      </w:r>
      <w:r w:rsidRPr="00331E80">
        <w:rPr>
          <w:rFonts w:ascii="Times New Roman" w:hAnsi="Times New Roman" w:cs="Times New Roman"/>
          <w:noProof/>
          <w:sz w:val="20"/>
          <w:szCs w:val="20"/>
        </w:rPr>
        <w:t>http://www.cancer.gov.</w:t>
      </w:r>
    </w:p>
    <w:p w:rsidR="00DE4DBB" w:rsidRPr="00331E80" w:rsidRDefault="00DE4DBB" w:rsidP="00331E80">
      <w:pPr>
        <w:pStyle w:val="ListParagraph"/>
        <w:numPr>
          <w:ilvl w:val="0"/>
          <w:numId w:val="14"/>
        </w:numPr>
        <w:snapToGrid w:val="0"/>
        <w:spacing w:after="0" w:line="240" w:lineRule="auto"/>
        <w:ind w:left="425" w:hanging="425"/>
        <w:jc w:val="both"/>
        <w:rPr>
          <w:rFonts w:ascii="Times New Roman" w:hAnsi="Times New Roman" w:cs="Times New Roman"/>
          <w:color w:val="000000" w:themeColor="text1"/>
          <w:sz w:val="20"/>
          <w:szCs w:val="20"/>
        </w:rPr>
      </w:pPr>
      <w:r w:rsidRPr="00331E80">
        <w:rPr>
          <w:rFonts w:ascii="Times New Roman" w:hAnsi="Times New Roman" w:cs="Times New Roman"/>
          <w:bCs/>
          <w:color w:val="000000" w:themeColor="text1"/>
          <w:sz w:val="20"/>
          <w:szCs w:val="20"/>
          <w:shd w:val="clear" w:color="auto" w:fill="FFFFFF"/>
        </w:rPr>
        <w:t>Danielsen,</w:t>
      </w:r>
      <w:r w:rsidR="00801C75" w:rsidRPr="00331E80">
        <w:rPr>
          <w:rFonts w:ascii="Times New Roman" w:hAnsi="Times New Roman" w:cs="Times New Roman"/>
          <w:bCs/>
          <w:color w:val="000000" w:themeColor="text1"/>
          <w:sz w:val="20"/>
          <w:szCs w:val="20"/>
          <w:shd w:val="clear" w:color="auto" w:fill="FFFFFF"/>
        </w:rPr>
        <w:t xml:space="preserve"> </w:t>
      </w:r>
      <w:r w:rsidRPr="00331E80">
        <w:rPr>
          <w:rFonts w:ascii="Times New Roman" w:hAnsi="Times New Roman" w:cs="Times New Roman"/>
          <w:bCs/>
          <w:color w:val="000000" w:themeColor="text1"/>
          <w:sz w:val="20"/>
          <w:szCs w:val="20"/>
          <w:shd w:val="clear" w:color="auto" w:fill="FFFFFF"/>
        </w:rPr>
        <w:t>H.</w:t>
      </w:r>
      <w:r w:rsidR="00801C75" w:rsidRPr="00331E80">
        <w:rPr>
          <w:rFonts w:ascii="Times New Roman" w:hAnsi="Times New Roman" w:cs="Times New Roman"/>
          <w:bCs/>
          <w:color w:val="000000" w:themeColor="text1"/>
          <w:sz w:val="20"/>
          <w:szCs w:val="20"/>
          <w:shd w:val="clear" w:color="auto" w:fill="FFFFFF"/>
        </w:rPr>
        <w:t xml:space="preserve"> </w:t>
      </w:r>
      <w:r w:rsidRPr="00331E80">
        <w:rPr>
          <w:rFonts w:ascii="Times New Roman" w:hAnsi="Times New Roman" w:cs="Times New Roman"/>
          <w:bCs/>
          <w:color w:val="000000" w:themeColor="text1"/>
          <w:sz w:val="20"/>
          <w:szCs w:val="20"/>
          <w:shd w:val="clear" w:color="auto" w:fill="FFFFFF"/>
        </w:rPr>
        <w:t>E.,</w:t>
      </w:r>
      <w:r w:rsidR="00801C75" w:rsidRPr="00331E80">
        <w:rPr>
          <w:rFonts w:ascii="Times New Roman" w:hAnsi="Times New Roman" w:cs="Times New Roman"/>
          <w:bCs/>
          <w:color w:val="000000" w:themeColor="text1"/>
          <w:sz w:val="20"/>
          <w:szCs w:val="20"/>
          <w:shd w:val="clear" w:color="auto" w:fill="FFFFFF"/>
        </w:rPr>
        <w:t xml:space="preserve"> </w:t>
      </w:r>
      <w:r w:rsidRPr="00331E80">
        <w:rPr>
          <w:rFonts w:ascii="Times New Roman" w:hAnsi="Times New Roman" w:cs="Times New Roman"/>
          <w:bCs/>
          <w:color w:val="000000" w:themeColor="text1"/>
          <w:sz w:val="20"/>
          <w:szCs w:val="20"/>
          <w:shd w:val="clear" w:color="auto" w:fill="FFFFFF"/>
        </w:rPr>
        <w:t>Hveem,</w:t>
      </w:r>
      <w:r w:rsidR="00801C75" w:rsidRPr="00331E80">
        <w:rPr>
          <w:rFonts w:ascii="Times New Roman" w:hAnsi="Times New Roman" w:cs="Times New Roman"/>
          <w:bCs/>
          <w:color w:val="000000" w:themeColor="text1"/>
          <w:sz w:val="20"/>
          <w:szCs w:val="20"/>
          <w:shd w:val="clear" w:color="auto" w:fill="FFFFFF"/>
        </w:rPr>
        <w:t xml:space="preserve"> </w:t>
      </w:r>
      <w:r w:rsidRPr="00331E80">
        <w:rPr>
          <w:rFonts w:ascii="Times New Roman" w:hAnsi="Times New Roman" w:cs="Times New Roman"/>
          <w:bCs/>
          <w:color w:val="000000" w:themeColor="text1"/>
          <w:sz w:val="20"/>
          <w:szCs w:val="20"/>
          <w:shd w:val="clear" w:color="auto" w:fill="FFFFFF"/>
        </w:rPr>
        <w:t>T.</w:t>
      </w:r>
      <w:r w:rsidR="00801C75" w:rsidRPr="00331E80">
        <w:rPr>
          <w:rFonts w:ascii="Times New Roman" w:hAnsi="Times New Roman" w:cs="Times New Roman"/>
          <w:bCs/>
          <w:color w:val="000000" w:themeColor="text1"/>
          <w:sz w:val="20"/>
          <w:szCs w:val="20"/>
          <w:shd w:val="clear" w:color="auto" w:fill="FFFFFF"/>
        </w:rPr>
        <w:t xml:space="preserve"> </w:t>
      </w:r>
      <w:r w:rsidRPr="00331E80">
        <w:rPr>
          <w:rFonts w:ascii="Times New Roman" w:hAnsi="Times New Roman" w:cs="Times New Roman"/>
          <w:bCs/>
          <w:color w:val="000000" w:themeColor="text1"/>
          <w:sz w:val="20"/>
          <w:szCs w:val="20"/>
          <w:shd w:val="clear" w:color="auto" w:fill="FFFFFF"/>
        </w:rPr>
        <w:t>S.,</w:t>
      </w:r>
      <w:r w:rsidR="00801C75" w:rsidRPr="00331E80">
        <w:rPr>
          <w:rFonts w:ascii="Times New Roman" w:hAnsi="Times New Roman" w:cs="Times New Roman"/>
          <w:bCs/>
          <w:color w:val="000000" w:themeColor="text1"/>
          <w:sz w:val="20"/>
          <w:szCs w:val="20"/>
          <w:shd w:val="clear" w:color="auto" w:fill="FFFFFF"/>
        </w:rPr>
        <w:t xml:space="preserve"> </w:t>
      </w:r>
      <w:r w:rsidRPr="00331E80">
        <w:rPr>
          <w:rFonts w:ascii="Times New Roman" w:hAnsi="Times New Roman" w:cs="Times New Roman"/>
          <w:bCs/>
          <w:color w:val="000000" w:themeColor="text1"/>
          <w:sz w:val="20"/>
          <w:szCs w:val="20"/>
          <w:shd w:val="clear" w:color="auto" w:fill="FFFFFF"/>
          <w:lang w:val="en-GB"/>
        </w:rPr>
        <w:t>et</w:t>
      </w:r>
      <w:r w:rsidR="00801C75" w:rsidRPr="00331E80">
        <w:rPr>
          <w:rFonts w:ascii="Times New Roman" w:hAnsi="Times New Roman" w:cs="Times New Roman"/>
          <w:bCs/>
          <w:color w:val="000000" w:themeColor="text1"/>
          <w:sz w:val="20"/>
          <w:szCs w:val="20"/>
          <w:shd w:val="clear" w:color="auto" w:fill="FFFFFF"/>
          <w:lang w:val="en-GB"/>
        </w:rPr>
        <w:t xml:space="preserve"> </w:t>
      </w:r>
      <w:r w:rsidRPr="00331E80">
        <w:rPr>
          <w:rFonts w:ascii="Times New Roman" w:hAnsi="Times New Roman" w:cs="Times New Roman"/>
          <w:bCs/>
          <w:color w:val="000000" w:themeColor="text1"/>
          <w:sz w:val="20"/>
          <w:szCs w:val="20"/>
          <w:shd w:val="clear" w:color="auto" w:fill="FFFFFF"/>
          <w:lang w:val="en-GB"/>
        </w:rPr>
        <w:t>al.,</w:t>
      </w:r>
      <w:r w:rsidR="00801C75" w:rsidRPr="00331E80">
        <w:rPr>
          <w:rFonts w:ascii="Times New Roman" w:hAnsi="Times New Roman" w:cs="Times New Roman"/>
          <w:bCs/>
          <w:color w:val="000000" w:themeColor="text1"/>
          <w:sz w:val="20"/>
          <w:szCs w:val="20"/>
          <w:shd w:val="clear" w:color="auto" w:fill="FFFFFF"/>
        </w:rPr>
        <w:t xml:space="preserve"> </w:t>
      </w:r>
      <w:r w:rsidRPr="00331E80">
        <w:rPr>
          <w:rFonts w:ascii="Times New Roman" w:hAnsi="Times New Roman" w:cs="Times New Roman"/>
          <w:bCs/>
          <w:color w:val="000000" w:themeColor="text1"/>
          <w:sz w:val="20"/>
          <w:szCs w:val="20"/>
          <w:shd w:val="clear" w:color="auto" w:fill="FFFFFF"/>
        </w:rPr>
        <w:t>(2017)</w:t>
      </w:r>
      <w:r w:rsidRPr="00331E80">
        <w:rPr>
          <w:rFonts w:ascii="Times New Roman" w:hAnsi="Times New Roman" w:cs="Times New Roman"/>
          <w:color w:val="000000" w:themeColor="text1"/>
          <w:sz w:val="20"/>
          <w:szCs w:val="20"/>
          <w:shd w:val="clear" w:color="auto" w:fill="FFFFFF"/>
        </w:rPr>
        <w:t>;</w:t>
      </w:r>
      <w:r w:rsidR="00801C75" w:rsidRPr="00331E80">
        <w:rPr>
          <w:rFonts w:ascii="Times New Roman" w:hAnsi="Times New Roman" w:cs="Times New Roman"/>
          <w:color w:val="000000" w:themeColor="text1"/>
          <w:sz w:val="20"/>
          <w:szCs w:val="20"/>
          <w:shd w:val="clear" w:color="auto" w:fill="FFFFFF"/>
        </w:rPr>
        <w:t xml:space="preserve"> </w:t>
      </w:r>
      <w:r w:rsidRPr="00331E80">
        <w:rPr>
          <w:rFonts w:ascii="Times New Roman" w:hAnsi="Times New Roman" w:cs="Times New Roman"/>
          <w:color w:val="000000" w:themeColor="text1"/>
          <w:sz w:val="20"/>
          <w:szCs w:val="20"/>
          <w:shd w:val="clear" w:color="auto" w:fill="FFFFFF"/>
        </w:rPr>
        <w:t>Prognostic</w:t>
      </w:r>
      <w:r w:rsidR="00801C75" w:rsidRPr="00331E80">
        <w:rPr>
          <w:rFonts w:ascii="Times New Roman" w:hAnsi="Times New Roman" w:cs="Times New Roman"/>
          <w:color w:val="000000" w:themeColor="text1"/>
          <w:sz w:val="20"/>
          <w:szCs w:val="20"/>
          <w:shd w:val="clear" w:color="auto" w:fill="FFFFFF"/>
        </w:rPr>
        <w:t xml:space="preserve"> </w:t>
      </w:r>
      <w:r w:rsidRPr="00331E80">
        <w:rPr>
          <w:rFonts w:ascii="Times New Roman" w:hAnsi="Times New Roman" w:cs="Times New Roman"/>
          <w:color w:val="000000" w:themeColor="text1"/>
          <w:sz w:val="20"/>
          <w:szCs w:val="20"/>
          <w:shd w:val="clear" w:color="auto" w:fill="FFFFFF"/>
        </w:rPr>
        <w:t>markers</w:t>
      </w:r>
      <w:r w:rsidR="00801C75" w:rsidRPr="00331E80">
        <w:rPr>
          <w:rFonts w:ascii="Times New Roman" w:hAnsi="Times New Roman" w:cs="Times New Roman"/>
          <w:color w:val="000000" w:themeColor="text1"/>
          <w:sz w:val="20"/>
          <w:szCs w:val="20"/>
          <w:shd w:val="clear" w:color="auto" w:fill="FFFFFF"/>
        </w:rPr>
        <w:t xml:space="preserve"> </w:t>
      </w:r>
      <w:r w:rsidRPr="00331E80">
        <w:rPr>
          <w:rFonts w:ascii="Times New Roman" w:hAnsi="Times New Roman" w:cs="Times New Roman"/>
          <w:color w:val="000000" w:themeColor="text1"/>
          <w:sz w:val="20"/>
          <w:szCs w:val="20"/>
          <w:shd w:val="clear" w:color="auto" w:fill="FFFFFF"/>
        </w:rPr>
        <w:t>for</w:t>
      </w:r>
      <w:r w:rsidR="00801C75" w:rsidRPr="00331E80">
        <w:rPr>
          <w:rFonts w:ascii="Times New Roman" w:hAnsi="Times New Roman" w:cs="Times New Roman"/>
          <w:color w:val="000000" w:themeColor="text1"/>
          <w:sz w:val="20"/>
          <w:szCs w:val="20"/>
          <w:shd w:val="clear" w:color="auto" w:fill="FFFFFF"/>
        </w:rPr>
        <w:t xml:space="preserve"> </w:t>
      </w:r>
      <w:r w:rsidRPr="00331E80">
        <w:rPr>
          <w:rFonts w:ascii="Times New Roman" w:hAnsi="Times New Roman" w:cs="Times New Roman"/>
          <w:color w:val="000000" w:themeColor="text1"/>
          <w:sz w:val="20"/>
          <w:szCs w:val="20"/>
          <w:shd w:val="clear" w:color="auto" w:fill="FFFFFF"/>
        </w:rPr>
        <w:t>colorectal</w:t>
      </w:r>
      <w:r w:rsidR="00801C75" w:rsidRPr="00331E80">
        <w:rPr>
          <w:rFonts w:ascii="Times New Roman" w:hAnsi="Times New Roman" w:cs="Times New Roman"/>
          <w:color w:val="000000" w:themeColor="text1"/>
          <w:sz w:val="20"/>
          <w:szCs w:val="20"/>
          <w:shd w:val="clear" w:color="auto" w:fill="FFFFFF"/>
        </w:rPr>
        <w:t xml:space="preserve"> </w:t>
      </w:r>
      <w:r w:rsidRPr="00331E80">
        <w:rPr>
          <w:rFonts w:ascii="Times New Roman" w:hAnsi="Times New Roman" w:cs="Times New Roman"/>
          <w:color w:val="000000" w:themeColor="text1"/>
          <w:sz w:val="20"/>
          <w:szCs w:val="20"/>
          <w:shd w:val="clear" w:color="auto" w:fill="FFFFFF"/>
        </w:rPr>
        <w:t>cancer:</w:t>
      </w:r>
      <w:r w:rsidR="00801C75" w:rsidRPr="00331E80">
        <w:rPr>
          <w:rFonts w:ascii="Times New Roman" w:hAnsi="Times New Roman" w:cs="Times New Roman"/>
          <w:color w:val="000000" w:themeColor="text1"/>
          <w:sz w:val="20"/>
          <w:szCs w:val="20"/>
          <w:shd w:val="clear" w:color="auto" w:fill="FFFFFF"/>
        </w:rPr>
        <w:t xml:space="preserve"> </w:t>
      </w:r>
      <w:r w:rsidRPr="00331E80">
        <w:rPr>
          <w:rFonts w:ascii="Times New Roman" w:hAnsi="Times New Roman" w:cs="Times New Roman"/>
          <w:color w:val="000000" w:themeColor="text1"/>
          <w:sz w:val="20"/>
          <w:szCs w:val="20"/>
          <w:shd w:val="clear" w:color="auto" w:fill="FFFFFF"/>
        </w:rPr>
        <w:t>estimating</w:t>
      </w:r>
      <w:r w:rsidR="00801C75" w:rsidRPr="00331E80">
        <w:rPr>
          <w:rFonts w:ascii="Times New Roman" w:hAnsi="Times New Roman" w:cs="Times New Roman"/>
          <w:color w:val="000000" w:themeColor="text1"/>
          <w:sz w:val="20"/>
          <w:szCs w:val="20"/>
          <w:shd w:val="clear" w:color="auto" w:fill="FFFFFF"/>
        </w:rPr>
        <w:t xml:space="preserve"> </w:t>
      </w:r>
      <w:r w:rsidRPr="00331E80">
        <w:rPr>
          <w:rFonts w:ascii="Times New Roman" w:hAnsi="Times New Roman" w:cs="Times New Roman"/>
          <w:color w:val="000000" w:themeColor="text1"/>
          <w:sz w:val="20"/>
          <w:szCs w:val="20"/>
          <w:shd w:val="clear" w:color="auto" w:fill="FFFFFF"/>
        </w:rPr>
        <w:t>ploidy</w:t>
      </w:r>
      <w:r w:rsidR="00801C75" w:rsidRPr="00331E80">
        <w:rPr>
          <w:rFonts w:ascii="Times New Roman" w:hAnsi="Times New Roman" w:cs="Times New Roman"/>
          <w:color w:val="000000" w:themeColor="text1"/>
          <w:sz w:val="20"/>
          <w:szCs w:val="20"/>
          <w:shd w:val="clear" w:color="auto" w:fill="FFFFFF"/>
        </w:rPr>
        <w:t xml:space="preserve"> </w:t>
      </w:r>
      <w:r w:rsidRPr="00331E80">
        <w:rPr>
          <w:rFonts w:ascii="Times New Roman" w:hAnsi="Times New Roman" w:cs="Times New Roman"/>
          <w:color w:val="000000" w:themeColor="text1"/>
          <w:sz w:val="20"/>
          <w:szCs w:val="20"/>
          <w:shd w:val="clear" w:color="auto" w:fill="FFFFFF"/>
        </w:rPr>
        <w:t>and</w:t>
      </w:r>
      <w:r w:rsidR="00801C75" w:rsidRPr="00331E80">
        <w:rPr>
          <w:rFonts w:ascii="Times New Roman" w:hAnsi="Times New Roman" w:cs="Times New Roman"/>
          <w:color w:val="000000" w:themeColor="text1"/>
          <w:sz w:val="20"/>
          <w:szCs w:val="20"/>
          <w:shd w:val="clear" w:color="auto" w:fill="FFFFFF"/>
        </w:rPr>
        <w:t xml:space="preserve"> </w:t>
      </w:r>
      <w:r w:rsidRPr="00331E80">
        <w:rPr>
          <w:rFonts w:ascii="Times New Roman" w:hAnsi="Times New Roman" w:cs="Times New Roman"/>
          <w:color w:val="000000" w:themeColor="text1"/>
          <w:sz w:val="20"/>
          <w:szCs w:val="20"/>
          <w:shd w:val="clear" w:color="auto" w:fill="FFFFFF"/>
        </w:rPr>
        <w:t>stroma.</w:t>
      </w:r>
      <w:r w:rsidR="00801C75" w:rsidRPr="00331E80">
        <w:rPr>
          <w:rFonts w:ascii="Times New Roman" w:hAnsi="Times New Roman" w:cs="Times New Roman"/>
          <w:color w:val="000000" w:themeColor="text1"/>
          <w:sz w:val="20"/>
          <w:szCs w:val="20"/>
          <w:shd w:val="clear" w:color="auto" w:fill="FFFFFF"/>
        </w:rPr>
        <w:t xml:space="preserve"> </w:t>
      </w:r>
      <w:r w:rsidRPr="00331E80">
        <w:rPr>
          <w:rFonts w:ascii="Times New Roman" w:hAnsi="Times New Roman" w:cs="Times New Roman"/>
          <w:color w:val="000000" w:themeColor="text1"/>
          <w:sz w:val="20"/>
          <w:szCs w:val="20"/>
          <w:shd w:val="clear" w:color="auto" w:fill="FFFFFF"/>
        </w:rPr>
        <w:t>Annals</w:t>
      </w:r>
      <w:r w:rsidR="00801C75" w:rsidRPr="00331E80">
        <w:rPr>
          <w:rFonts w:ascii="Times New Roman" w:hAnsi="Times New Roman" w:cs="Times New Roman"/>
          <w:color w:val="000000" w:themeColor="text1"/>
          <w:sz w:val="20"/>
          <w:szCs w:val="20"/>
          <w:shd w:val="clear" w:color="auto" w:fill="FFFFFF"/>
        </w:rPr>
        <w:t xml:space="preserve"> </w:t>
      </w:r>
      <w:r w:rsidRPr="00331E80">
        <w:rPr>
          <w:rFonts w:ascii="Times New Roman" w:hAnsi="Times New Roman" w:cs="Times New Roman"/>
          <w:color w:val="000000" w:themeColor="text1"/>
          <w:sz w:val="20"/>
          <w:szCs w:val="20"/>
          <w:shd w:val="clear" w:color="auto" w:fill="FFFFFF"/>
        </w:rPr>
        <w:t>of</w:t>
      </w:r>
      <w:r w:rsidR="00801C75" w:rsidRPr="00331E80">
        <w:rPr>
          <w:rFonts w:ascii="Times New Roman" w:hAnsi="Times New Roman" w:cs="Times New Roman"/>
          <w:color w:val="000000" w:themeColor="text1"/>
          <w:sz w:val="20"/>
          <w:szCs w:val="20"/>
          <w:shd w:val="clear" w:color="auto" w:fill="FFFFFF"/>
        </w:rPr>
        <w:t xml:space="preserve"> </w:t>
      </w:r>
      <w:r w:rsidRPr="00331E80">
        <w:rPr>
          <w:rFonts w:ascii="Times New Roman" w:hAnsi="Times New Roman" w:cs="Times New Roman"/>
          <w:color w:val="000000" w:themeColor="text1"/>
          <w:sz w:val="20"/>
          <w:szCs w:val="20"/>
          <w:shd w:val="clear" w:color="auto" w:fill="FFFFFF"/>
        </w:rPr>
        <w:t>Oncology,</w:t>
      </w:r>
      <w:r w:rsidR="00801C75" w:rsidRPr="00331E80">
        <w:rPr>
          <w:rFonts w:ascii="Times New Roman" w:hAnsi="Times New Roman" w:cs="Times New Roman"/>
          <w:color w:val="000000" w:themeColor="text1"/>
          <w:sz w:val="20"/>
          <w:szCs w:val="20"/>
          <w:shd w:val="clear" w:color="auto" w:fill="FFFFFF"/>
        </w:rPr>
        <w:t xml:space="preserve"> </w:t>
      </w:r>
      <w:r w:rsidRPr="00331E80">
        <w:rPr>
          <w:rFonts w:ascii="Times New Roman" w:hAnsi="Times New Roman" w:cs="Times New Roman"/>
          <w:color w:val="000000" w:themeColor="text1"/>
          <w:sz w:val="20"/>
          <w:szCs w:val="20"/>
          <w:shd w:val="clear" w:color="auto" w:fill="FFFFFF"/>
        </w:rPr>
        <w:t>29(3),</w:t>
      </w:r>
      <w:r w:rsidR="00801C75" w:rsidRPr="00331E80">
        <w:rPr>
          <w:rFonts w:ascii="Times New Roman" w:hAnsi="Times New Roman" w:cs="Times New Roman"/>
          <w:color w:val="000000" w:themeColor="text1"/>
          <w:sz w:val="20"/>
          <w:szCs w:val="20"/>
          <w:shd w:val="clear" w:color="auto" w:fill="FFFFFF"/>
        </w:rPr>
        <w:t xml:space="preserve"> </w:t>
      </w:r>
      <w:r w:rsidRPr="00331E80">
        <w:rPr>
          <w:rFonts w:ascii="Times New Roman" w:hAnsi="Times New Roman" w:cs="Times New Roman"/>
          <w:color w:val="000000" w:themeColor="text1"/>
          <w:sz w:val="20"/>
          <w:szCs w:val="20"/>
          <w:shd w:val="clear" w:color="auto" w:fill="FFFFFF"/>
        </w:rPr>
        <w:t>616–623.</w:t>
      </w:r>
    </w:p>
    <w:p w:rsidR="00DE4DBB" w:rsidRPr="00331E80" w:rsidRDefault="00DE4DBB" w:rsidP="00331E80">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color w:val="131413"/>
          <w:sz w:val="20"/>
          <w:szCs w:val="20"/>
        </w:rPr>
      </w:pPr>
      <w:r w:rsidRPr="00331E80">
        <w:rPr>
          <w:rFonts w:ascii="Times New Roman" w:hAnsi="Times New Roman" w:cs="Times New Roman"/>
          <w:bCs/>
          <w:color w:val="131413"/>
          <w:sz w:val="20"/>
          <w:szCs w:val="20"/>
        </w:rPr>
        <w:t>Voutsadakis</w:t>
      </w:r>
      <w:r w:rsidR="00801C75" w:rsidRPr="00331E80">
        <w:rPr>
          <w:rFonts w:ascii="Times New Roman" w:hAnsi="Times New Roman" w:cs="Times New Roman"/>
          <w:bCs/>
          <w:color w:val="131413"/>
          <w:sz w:val="20"/>
          <w:szCs w:val="20"/>
        </w:rPr>
        <w:t xml:space="preserve"> </w:t>
      </w:r>
      <w:r w:rsidRPr="00331E80">
        <w:rPr>
          <w:rFonts w:ascii="Times New Roman" w:hAnsi="Times New Roman" w:cs="Times New Roman"/>
          <w:bCs/>
          <w:color w:val="131413"/>
          <w:sz w:val="20"/>
          <w:szCs w:val="20"/>
        </w:rPr>
        <w:t>IA</w:t>
      </w:r>
      <w:r w:rsidR="00801C75" w:rsidRPr="00331E80">
        <w:rPr>
          <w:rFonts w:ascii="Times New Roman" w:hAnsi="Times New Roman" w:cs="Times New Roman"/>
          <w:bCs/>
          <w:color w:val="131413"/>
          <w:sz w:val="20"/>
          <w:szCs w:val="20"/>
        </w:rPr>
        <w:t xml:space="preserve"> </w:t>
      </w:r>
      <w:r w:rsidRPr="00331E80">
        <w:rPr>
          <w:rFonts w:ascii="Times New Roman" w:hAnsi="Times New Roman" w:cs="Times New Roman"/>
          <w:bCs/>
          <w:color w:val="131413"/>
          <w:sz w:val="20"/>
          <w:szCs w:val="20"/>
          <w:lang w:val="en-GB"/>
        </w:rPr>
        <w:t>(2016):</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Immune</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blockade</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inhibition</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in</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breast</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cancer.</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Anticancer</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Res;</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36:5607–5622.</w:t>
      </w:r>
    </w:p>
    <w:p w:rsidR="00DE4DBB" w:rsidRPr="00331E80" w:rsidRDefault="00DE4DBB" w:rsidP="00331E80">
      <w:pPr>
        <w:pStyle w:val="ListParagraph"/>
        <w:numPr>
          <w:ilvl w:val="0"/>
          <w:numId w:val="14"/>
        </w:numPr>
        <w:snapToGrid w:val="0"/>
        <w:spacing w:after="0" w:line="240" w:lineRule="auto"/>
        <w:ind w:left="425" w:hanging="425"/>
        <w:jc w:val="both"/>
        <w:rPr>
          <w:rFonts w:ascii="Times New Roman" w:hAnsi="Times New Roman" w:cs="Times New Roman"/>
          <w:color w:val="131413"/>
          <w:sz w:val="20"/>
          <w:szCs w:val="20"/>
        </w:rPr>
      </w:pPr>
      <w:r w:rsidRPr="00331E80">
        <w:rPr>
          <w:rFonts w:ascii="Times New Roman" w:hAnsi="Times New Roman" w:cs="Times New Roman"/>
          <w:bCs/>
          <w:color w:val="131413"/>
          <w:sz w:val="20"/>
          <w:szCs w:val="20"/>
        </w:rPr>
        <w:t>Shibutani</w:t>
      </w:r>
      <w:r w:rsidR="00801C75" w:rsidRPr="00331E80">
        <w:rPr>
          <w:rFonts w:ascii="Times New Roman" w:hAnsi="Times New Roman" w:cs="Times New Roman"/>
          <w:bCs/>
          <w:color w:val="131413"/>
          <w:sz w:val="20"/>
          <w:szCs w:val="20"/>
        </w:rPr>
        <w:t xml:space="preserve"> </w:t>
      </w:r>
      <w:r w:rsidRPr="00331E80">
        <w:rPr>
          <w:rFonts w:ascii="Times New Roman" w:hAnsi="Times New Roman" w:cs="Times New Roman"/>
          <w:bCs/>
          <w:color w:val="131413"/>
          <w:sz w:val="20"/>
          <w:szCs w:val="20"/>
        </w:rPr>
        <w:t>M,</w:t>
      </w:r>
      <w:r w:rsidR="00801C75" w:rsidRPr="00331E80">
        <w:rPr>
          <w:rFonts w:ascii="Times New Roman" w:hAnsi="Times New Roman" w:cs="Times New Roman"/>
          <w:bCs/>
          <w:color w:val="131413"/>
          <w:sz w:val="20"/>
          <w:szCs w:val="20"/>
        </w:rPr>
        <w:t xml:space="preserve"> </w:t>
      </w:r>
      <w:r w:rsidRPr="00331E80">
        <w:rPr>
          <w:rFonts w:ascii="Times New Roman" w:hAnsi="Times New Roman" w:cs="Times New Roman"/>
          <w:bCs/>
          <w:color w:val="131413"/>
          <w:sz w:val="20"/>
          <w:szCs w:val="20"/>
        </w:rPr>
        <w:t>Maeda</w:t>
      </w:r>
      <w:r w:rsidR="00801C75" w:rsidRPr="00331E80">
        <w:rPr>
          <w:rFonts w:ascii="Times New Roman" w:hAnsi="Times New Roman" w:cs="Times New Roman"/>
          <w:bCs/>
          <w:color w:val="131413"/>
          <w:sz w:val="20"/>
          <w:szCs w:val="20"/>
        </w:rPr>
        <w:t xml:space="preserve"> </w:t>
      </w:r>
      <w:r w:rsidRPr="00331E80">
        <w:rPr>
          <w:rFonts w:ascii="Times New Roman" w:hAnsi="Times New Roman" w:cs="Times New Roman"/>
          <w:bCs/>
          <w:color w:val="131413"/>
          <w:sz w:val="20"/>
          <w:szCs w:val="20"/>
        </w:rPr>
        <w:t>K,</w:t>
      </w:r>
      <w:r w:rsidR="00801C75" w:rsidRPr="00331E80">
        <w:rPr>
          <w:rFonts w:ascii="Times New Roman" w:hAnsi="Times New Roman" w:cs="Times New Roman"/>
          <w:bCs/>
          <w:color w:val="131413"/>
          <w:sz w:val="20"/>
          <w:szCs w:val="20"/>
        </w:rPr>
        <w:t xml:space="preserve"> </w:t>
      </w:r>
      <w:r w:rsidRPr="00331E80">
        <w:rPr>
          <w:rFonts w:ascii="Times New Roman" w:hAnsi="Times New Roman" w:cs="Times New Roman"/>
          <w:bCs/>
          <w:color w:val="131413"/>
          <w:sz w:val="20"/>
          <w:szCs w:val="20"/>
        </w:rPr>
        <w:t>Nagahara</w:t>
      </w:r>
      <w:r w:rsidR="00801C75" w:rsidRPr="00331E80">
        <w:rPr>
          <w:rFonts w:ascii="Times New Roman" w:hAnsi="Times New Roman" w:cs="Times New Roman"/>
          <w:bCs/>
          <w:color w:val="131413"/>
          <w:sz w:val="20"/>
          <w:szCs w:val="20"/>
        </w:rPr>
        <w:t xml:space="preserve"> </w:t>
      </w:r>
      <w:r w:rsidRPr="00331E80">
        <w:rPr>
          <w:rFonts w:ascii="Times New Roman" w:hAnsi="Times New Roman" w:cs="Times New Roman"/>
          <w:bCs/>
          <w:color w:val="131413"/>
          <w:sz w:val="20"/>
          <w:szCs w:val="20"/>
        </w:rPr>
        <w:t>H,</w:t>
      </w:r>
      <w:r w:rsidR="00801C75" w:rsidRPr="00331E80">
        <w:rPr>
          <w:rFonts w:ascii="Times New Roman" w:hAnsi="Times New Roman" w:cs="Times New Roman"/>
          <w:bCs/>
          <w:color w:val="131413"/>
          <w:sz w:val="20"/>
          <w:szCs w:val="20"/>
        </w:rPr>
        <w:t xml:space="preserve"> </w:t>
      </w:r>
      <w:r w:rsidRPr="00331E80">
        <w:rPr>
          <w:rFonts w:ascii="Times New Roman" w:hAnsi="Times New Roman" w:cs="Times New Roman"/>
          <w:bCs/>
          <w:color w:val="131413"/>
          <w:sz w:val="20"/>
          <w:szCs w:val="20"/>
        </w:rPr>
        <w:t>et</w:t>
      </w:r>
      <w:r w:rsidR="00801C75" w:rsidRPr="00331E80">
        <w:rPr>
          <w:rFonts w:ascii="Times New Roman" w:hAnsi="Times New Roman" w:cs="Times New Roman"/>
          <w:bCs/>
          <w:color w:val="131413"/>
          <w:sz w:val="20"/>
          <w:szCs w:val="20"/>
        </w:rPr>
        <w:t xml:space="preserve"> </w:t>
      </w:r>
      <w:r w:rsidRPr="00331E80">
        <w:rPr>
          <w:rFonts w:ascii="Times New Roman" w:hAnsi="Times New Roman" w:cs="Times New Roman"/>
          <w:bCs/>
          <w:color w:val="131413"/>
          <w:sz w:val="20"/>
          <w:szCs w:val="20"/>
        </w:rPr>
        <w:t>al.</w:t>
      </w:r>
      <w:r w:rsidR="00801C75" w:rsidRPr="00331E80">
        <w:rPr>
          <w:rFonts w:ascii="Times New Roman" w:hAnsi="Times New Roman" w:cs="Times New Roman"/>
          <w:bCs/>
          <w:color w:val="131413"/>
          <w:sz w:val="20"/>
          <w:szCs w:val="20"/>
        </w:rPr>
        <w:t xml:space="preserve"> </w:t>
      </w:r>
      <w:r w:rsidRPr="00331E80">
        <w:rPr>
          <w:rFonts w:ascii="Times New Roman" w:hAnsi="Times New Roman" w:cs="Times New Roman"/>
          <w:bCs/>
          <w:color w:val="131413"/>
          <w:sz w:val="20"/>
          <w:szCs w:val="20"/>
        </w:rPr>
        <w:t>(2017):</w:t>
      </w:r>
      <w:r w:rsidR="00801C75" w:rsidRPr="00331E80">
        <w:rPr>
          <w:rFonts w:ascii="Times New Roman" w:hAnsi="Times New Roman" w:cs="Times New Roman"/>
          <w:bCs/>
          <w:color w:val="131413"/>
          <w:sz w:val="20"/>
          <w:szCs w:val="20"/>
        </w:rPr>
        <w:t xml:space="preserve"> </w:t>
      </w:r>
      <w:r w:rsidRPr="00331E80">
        <w:rPr>
          <w:rFonts w:ascii="Times New Roman" w:hAnsi="Times New Roman" w:cs="Times New Roman"/>
          <w:color w:val="131413"/>
          <w:sz w:val="20"/>
          <w:szCs w:val="20"/>
        </w:rPr>
        <w:t>Prognostic</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significance</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of</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the</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preoperative</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lymphocyte-tomonoocyte</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ratio</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in</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patients</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with</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colorectal</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cancer.</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Oncol</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Lett,</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13,</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1000–6.</w:t>
      </w:r>
    </w:p>
    <w:p w:rsidR="00DE4DBB" w:rsidRPr="00331E80" w:rsidRDefault="00DE4DBB" w:rsidP="00331E80">
      <w:pPr>
        <w:pStyle w:val="ListParagraph"/>
        <w:numPr>
          <w:ilvl w:val="0"/>
          <w:numId w:val="14"/>
        </w:numPr>
        <w:snapToGrid w:val="0"/>
        <w:spacing w:after="0" w:line="240" w:lineRule="auto"/>
        <w:ind w:left="425" w:hanging="425"/>
        <w:jc w:val="both"/>
        <w:rPr>
          <w:rFonts w:ascii="Times New Roman" w:hAnsi="Times New Roman" w:cs="Times New Roman"/>
          <w:color w:val="131413"/>
          <w:sz w:val="20"/>
          <w:szCs w:val="20"/>
        </w:rPr>
      </w:pPr>
      <w:r w:rsidRPr="00331E80">
        <w:rPr>
          <w:rFonts w:ascii="Times New Roman" w:hAnsi="Times New Roman" w:cs="Times New Roman"/>
          <w:bCs/>
          <w:color w:val="131413"/>
          <w:sz w:val="20"/>
          <w:szCs w:val="20"/>
        </w:rPr>
        <w:t>Whiteside</w:t>
      </w:r>
      <w:r w:rsidR="00801C75" w:rsidRPr="00331E80">
        <w:rPr>
          <w:rFonts w:ascii="Times New Roman" w:hAnsi="Times New Roman" w:cs="Times New Roman"/>
          <w:bCs/>
          <w:color w:val="131413"/>
          <w:sz w:val="20"/>
          <w:szCs w:val="20"/>
        </w:rPr>
        <w:t xml:space="preserve"> </w:t>
      </w:r>
      <w:r w:rsidRPr="00331E80">
        <w:rPr>
          <w:rFonts w:ascii="Times New Roman" w:hAnsi="Times New Roman" w:cs="Times New Roman"/>
          <w:bCs/>
          <w:color w:val="131413"/>
          <w:sz w:val="20"/>
          <w:szCs w:val="20"/>
        </w:rPr>
        <w:t>TL.</w:t>
      </w:r>
      <w:r w:rsidR="00801C75" w:rsidRPr="00331E80">
        <w:rPr>
          <w:rFonts w:ascii="Times New Roman" w:hAnsi="Times New Roman" w:cs="Times New Roman"/>
          <w:bCs/>
          <w:color w:val="131413"/>
          <w:sz w:val="20"/>
          <w:szCs w:val="20"/>
        </w:rPr>
        <w:t xml:space="preserve"> </w:t>
      </w:r>
      <w:r w:rsidRPr="00331E80">
        <w:rPr>
          <w:rFonts w:ascii="Times New Roman" w:hAnsi="Times New Roman" w:cs="Times New Roman"/>
          <w:bCs/>
          <w:color w:val="131413"/>
          <w:sz w:val="20"/>
          <w:szCs w:val="20"/>
        </w:rPr>
        <w:t>(2008):</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The</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tumor</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microenvironment</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and</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its</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role</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in</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promoting</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tumor</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growth.</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Oncogene</w:t>
      </w:r>
      <w:r w:rsidRPr="00331E80">
        <w:rPr>
          <w:rFonts w:ascii="Times New Roman" w:hAnsi="Times New Roman" w:cs="Times New Roman"/>
          <w:color w:val="131413"/>
          <w:sz w:val="20"/>
          <w:szCs w:val="20"/>
          <w:lang w:val="en-GB"/>
        </w:rPr>
        <w:t>,</w:t>
      </w:r>
      <w:r w:rsidR="00801C75" w:rsidRPr="00331E80">
        <w:rPr>
          <w:rFonts w:ascii="Times New Roman" w:hAnsi="Times New Roman" w:cs="Times New Roman"/>
          <w:color w:val="131413"/>
          <w:sz w:val="20"/>
          <w:szCs w:val="20"/>
          <w:lang w:val="en-GB"/>
        </w:rPr>
        <w:t xml:space="preserve"> </w:t>
      </w:r>
      <w:r w:rsidRPr="00331E80">
        <w:rPr>
          <w:rFonts w:ascii="Times New Roman" w:hAnsi="Times New Roman" w:cs="Times New Roman"/>
          <w:color w:val="131413"/>
          <w:sz w:val="20"/>
          <w:szCs w:val="20"/>
        </w:rPr>
        <w:t>27,</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5904–12.</w:t>
      </w:r>
    </w:p>
    <w:p w:rsidR="00DE4DBB" w:rsidRPr="00331E80" w:rsidRDefault="00DE4DBB" w:rsidP="00331E80">
      <w:pPr>
        <w:pStyle w:val="ListParagraph"/>
        <w:numPr>
          <w:ilvl w:val="0"/>
          <w:numId w:val="14"/>
        </w:numPr>
        <w:snapToGrid w:val="0"/>
        <w:spacing w:after="0" w:line="240" w:lineRule="auto"/>
        <w:ind w:left="425" w:hanging="425"/>
        <w:jc w:val="both"/>
        <w:rPr>
          <w:rFonts w:ascii="Times New Roman" w:hAnsi="Times New Roman" w:cs="Times New Roman"/>
          <w:bCs/>
          <w:sz w:val="20"/>
          <w:szCs w:val="20"/>
        </w:rPr>
      </w:pPr>
      <w:r w:rsidRPr="00331E80">
        <w:rPr>
          <w:rFonts w:ascii="Times New Roman" w:hAnsi="Times New Roman" w:cs="Times New Roman"/>
          <w:bCs/>
          <w:color w:val="131413"/>
          <w:sz w:val="20"/>
          <w:szCs w:val="20"/>
        </w:rPr>
        <w:t>Younes</w:t>
      </w:r>
      <w:r w:rsidR="00801C75" w:rsidRPr="00331E80">
        <w:rPr>
          <w:rFonts w:ascii="Times New Roman" w:hAnsi="Times New Roman" w:cs="Times New Roman"/>
          <w:bCs/>
          <w:color w:val="131413"/>
          <w:sz w:val="20"/>
          <w:szCs w:val="20"/>
        </w:rPr>
        <w:t xml:space="preserve"> </w:t>
      </w:r>
      <w:r w:rsidRPr="00331E80">
        <w:rPr>
          <w:rFonts w:ascii="Times New Roman" w:hAnsi="Times New Roman" w:cs="Times New Roman"/>
          <w:bCs/>
          <w:color w:val="131413"/>
          <w:sz w:val="20"/>
          <w:szCs w:val="20"/>
        </w:rPr>
        <w:t>G,</w:t>
      </w:r>
      <w:r w:rsidR="00801C75" w:rsidRPr="00331E80">
        <w:rPr>
          <w:rFonts w:ascii="Times New Roman" w:hAnsi="Times New Roman" w:cs="Times New Roman"/>
          <w:bCs/>
          <w:color w:val="131413"/>
          <w:sz w:val="20"/>
          <w:szCs w:val="20"/>
        </w:rPr>
        <w:t xml:space="preserve"> </w:t>
      </w:r>
      <w:r w:rsidRPr="00331E80">
        <w:rPr>
          <w:rFonts w:ascii="Times New Roman" w:hAnsi="Times New Roman" w:cs="Times New Roman"/>
          <w:bCs/>
          <w:color w:val="131413"/>
          <w:sz w:val="20"/>
          <w:szCs w:val="20"/>
        </w:rPr>
        <w:t>Segev</w:t>
      </w:r>
      <w:r w:rsidR="00801C75" w:rsidRPr="00331E80">
        <w:rPr>
          <w:rFonts w:ascii="Times New Roman" w:hAnsi="Times New Roman" w:cs="Times New Roman"/>
          <w:bCs/>
          <w:color w:val="131413"/>
          <w:sz w:val="20"/>
          <w:szCs w:val="20"/>
        </w:rPr>
        <w:t xml:space="preserve"> </w:t>
      </w:r>
      <w:r w:rsidRPr="00331E80">
        <w:rPr>
          <w:rFonts w:ascii="Times New Roman" w:hAnsi="Times New Roman" w:cs="Times New Roman"/>
          <w:bCs/>
          <w:color w:val="131413"/>
          <w:sz w:val="20"/>
          <w:szCs w:val="20"/>
        </w:rPr>
        <w:t>Y,</w:t>
      </w:r>
      <w:r w:rsidR="00801C75" w:rsidRPr="00331E80">
        <w:rPr>
          <w:rFonts w:ascii="Times New Roman" w:hAnsi="Times New Roman" w:cs="Times New Roman"/>
          <w:bCs/>
          <w:color w:val="131413"/>
          <w:sz w:val="20"/>
          <w:szCs w:val="20"/>
        </w:rPr>
        <w:t xml:space="preserve"> </w:t>
      </w:r>
      <w:r w:rsidRPr="00331E80">
        <w:rPr>
          <w:rFonts w:ascii="Times New Roman" w:hAnsi="Times New Roman" w:cs="Times New Roman"/>
          <w:bCs/>
          <w:color w:val="131413"/>
          <w:sz w:val="20"/>
          <w:szCs w:val="20"/>
        </w:rPr>
        <w:t>Begal</w:t>
      </w:r>
      <w:r w:rsidR="00801C75" w:rsidRPr="00331E80">
        <w:rPr>
          <w:rFonts w:ascii="Times New Roman" w:hAnsi="Times New Roman" w:cs="Times New Roman"/>
          <w:bCs/>
          <w:color w:val="131413"/>
          <w:sz w:val="20"/>
          <w:szCs w:val="20"/>
        </w:rPr>
        <w:t xml:space="preserve"> </w:t>
      </w:r>
      <w:r w:rsidRPr="00331E80">
        <w:rPr>
          <w:rFonts w:ascii="Times New Roman" w:hAnsi="Times New Roman" w:cs="Times New Roman"/>
          <w:bCs/>
          <w:color w:val="131413"/>
          <w:sz w:val="20"/>
          <w:szCs w:val="20"/>
        </w:rPr>
        <w:t>J,</w:t>
      </w:r>
      <w:r w:rsidR="00801C75" w:rsidRPr="00331E80">
        <w:rPr>
          <w:rFonts w:ascii="Times New Roman" w:hAnsi="Times New Roman" w:cs="Times New Roman"/>
          <w:bCs/>
          <w:color w:val="131413"/>
          <w:sz w:val="20"/>
          <w:szCs w:val="20"/>
        </w:rPr>
        <w:t xml:space="preserve"> </w:t>
      </w:r>
      <w:r w:rsidRPr="00331E80">
        <w:rPr>
          <w:rFonts w:ascii="Times New Roman" w:hAnsi="Times New Roman" w:cs="Times New Roman"/>
          <w:bCs/>
          <w:color w:val="131413"/>
          <w:sz w:val="20"/>
          <w:szCs w:val="20"/>
        </w:rPr>
        <w:t>et</w:t>
      </w:r>
      <w:r w:rsidR="00801C75" w:rsidRPr="00331E80">
        <w:rPr>
          <w:rFonts w:ascii="Times New Roman" w:hAnsi="Times New Roman" w:cs="Times New Roman"/>
          <w:bCs/>
          <w:color w:val="131413"/>
          <w:sz w:val="20"/>
          <w:szCs w:val="20"/>
        </w:rPr>
        <w:t xml:space="preserve"> </w:t>
      </w:r>
      <w:r w:rsidRPr="00331E80">
        <w:rPr>
          <w:rFonts w:ascii="Times New Roman" w:hAnsi="Times New Roman" w:cs="Times New Roman"/>
          <w:bCs/>
          <w:color w:val="131413"/>
          <w:sz w:val="20"/>
          <w:szCs w:val="20"/>
        </w:rPr>
        <w:t>al.</w:t>
      </w:r>
      <w:r w:rsidR="00801C75" w:rsidRPr="00331E80">
        <w:rPr>
          <w:rFonts w:ascii="Times New Roman" w:hAnsi="Times New Roman" w:cs="Times New Roman"/>
          <w:bCs/>
          <w:color w:val="131413"/>
          <w:sz w:val="20"/>
          <w:szCs w:val="20"/>
        </w:rPr>
        <w:t xml:space="preserve"> </w:t>
      </w:r>
      <w:r w:rsidRPr="00331E80">
        <w:rPr>
          <w:rFonts w:ascii="Times New Roman" w:hAnsi="Times New Roman" w:cs="Times New Roman"/>
          <w:bCs/>
          <w:color w:val="131413"/>
          <w:sz w:val="20"/>
          <w:szCs w:val="20"/>
        </w:rPr>
        <w:t>(2016):</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The</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prognostic</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significance</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of</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hematological</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parameters</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in</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women</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with</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uterine</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serous</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papillary</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carcinoma</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(USPC).</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Eur</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J</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Gyneco</w:t>
      </w:r>
      <w:r w:rsidR="00166A00" w:rsidRPr="00331E80">
        <w:rPr>
          <w:rFonts w:ascii="Times New Roman" w:hAnsi="Times New Roman" w:cs="Times New Roman"/>
          <w:color w:val="131413"/>
          <w:sz w:val="20"/>
          <w:szCs w:val="20"/>
        </w:rPr>
        <w:t>l</w:t>
      </w:r>
      <w:r w:rsidR="00166A00">
        <w:rPr>
          <w:rFonts w:ascii="Times New Roman" w:hAnsi="Times New Roman" w:cs="Times New Roman"/>
          <w:color w:val="131413"/>
          <w:sz w:val="20"/>
          <w:szCs w:val="20"/>
        </w:rPr>
        <w:t xml:space="preserve"> </w:t>
      </w:r>
      <w:r w:rsidR="00166A00" w:rsidRPr="00331E80">
        <w:rPr>
          <w:rFonts w:ascii="Times New Roman" w:hAnsi="Times New Roman" w:cs="Times New Roman"/>
          <w:color w:val="131413"/>
          <w:sz w:val="20"/>
          <w:szCs w:val="20"/>
        </w:rPr>
        <w:t>R</w:t>
      </w:r>
      <w:r w:rsidRPr="00331E80">
        <w:rPr>
          <w:rFonts w:ascii="Times New Roman" w:hAnsi="Times New Roman" w:cs="Times New Roman"/>
          <w:color w:val="131413"/>
          <w:sz w:val="20"/>
          <w:szCs w:val="20"/>
        </w:rPr>
        <w:t>eprod</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Biol,</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199,</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16–20.</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w:t>
      </w:r>
    </w:p>
    <w:p w:rsidR="00DE4DBB" w:rsidRPr="00331E80" w:rsidRDefault="00DE4DBB" w:rsidP="00331E80">
      <w:pPr>
        <w:pStyle w:val="ListParagraph"/>
        <w:numPr>
          <w:ilvl w:val="0"/>
          <w:numId w:val="14"/>
        </w:numPr>
        <w:snapToGrid w:val="0"/>
        <w:spacing w:after="0" w:line="240" w:lineRule="auto"/>
        <w:ind w:left="425" w:hanging="425"/>
        <w:jc w:val="both"/>
        <w:rPr>
          <w:rFonts w:ascii="Times New Roman" w:hAnsi="Times New Roman" w:cs="Times New Roman"/>
          <w:color w:val="131413"/>
          <w:sz w:val="20"/>
          <w:szCs w:val="20"/>
        </w:rPr>
      </w:pPr>
      <w:r w:rsidRPr="00331E80">
        <w:rPr>
          <w:rFonts w:ascii="Times New Roman" w:hAnsi="Times New Roman" w:cs="Times New Roman"/>
          <w:bCs/>
          <w:color w:val="131413"/>
          <w:sz w:val="20"/>
          <w:szCs w:val="20"/>
        </w:rPr>
        <w:t>Steele</w:t>
      </w:r>
      <w:r w:rsidR="00801C75" w:rsidRPr="00331E80">
        <w:rPr>
          <w:rFonts w:ascii="Times New Roman" w:hAnsi="Times New Roman" w:cs="Times New Roman"/>
          <w:bCs/>
          <w:color w:val="131413"/>
          <w:sz w:val="20"/>
          <w:szCs w:val="20"/>
        </w:rPr>
        <w:t xml:space="preserve"> </w:t>
      </w:r>
      <w:r w:rsidRPr="00331E80">
        <w:rPr>
          <w:rFonts w:ascii="Times New Roman" w:hAnsi="Times New Roman" w:cs="Times New Roman"/>
          <w:bCs/>
          <w:color w:val="131413"/>
          <w:sz w:val="20"/>
          <w:szCs w:val="20"/>
        </w:rPr>
        <w:t>M</w:t>
      </w:r>
      <w:r w:rsidR="00801C75" w:rsidRPr="00331E80">
        <w:rPr>
          <w:rFonts w:ascii="Times New Roman" w:hAnsi="Times New Roman" w:cs="Times New Roman"/>
          <w:bCs/>
          <w:color w:val="131413"/>
          <w:sz w:val="20"/>
          <w:szCs w:val="20"/>
        </w:rPr>
        <w:t xml:space="preserve"> </w:t>
      </w:r>
      <w:r w:rsidRPr="00331E80">
        <w:rPr>
          <w:rFonts w:ascii="Times New Roman" w:hAnsi="Times New Roman" w:cs="Times New Roman"/>
          <w:bCs/>
          <w:color w:val="131413"/>
          <w:sz w:val="20"/>
          <w:szCs w:val="20"/>
          <w:lang w:val="en-GB" w:bidi="ar-EG"/>
        </w:rPr>
        <w:t>and</w:t>
      </w:r>
      <w:r w:rsidR="00801C75" w:rsidRPr="00331E80">
        <w:rPr>
          <w:rFonts w:ascii="Times New Roman" w:hAnsi="Times New Roman" w:cs="Times New Roman"/>
          <w:bCs/>
          <w:color w:val="131413"/>
          <w:sz w:val="20"/>
          <w:szCs w:val="20"/>
        </w:rPr>
        <w:t xml:space="preserve"> </w:t>
      </w:r>
      <w:r w:rsidRPr="00331E80">
        <w:rPr>
          <w:rFonts w:ascii="Times New Roman" w:hAnsi="Times New Roman" w:cs="Times New Roman"/>
          <w:bCs/>
          <w:color w:val="131413"/>
          <w:sz w:val="20"/>
          <w:szCs w:val="20"/>
        </w:rPr>
        <w:t>Voutsadakis</w:t>
      </w:r>
      <w:r w:rsidR="00801C75" w:rsidRPr="00331E80">
        <w:rPr>
          <w:rFonts w:ascii="Times New Roman" w:hAnsi="Times New Roman" w:cs="Times New Roman"/>
          <w:bCs/>
          <w:color w:val="131413"/>
          <w:sz w:val="20"/>
          <w:szCs w:val="20"/>
        </w:rPr>
        <w:t xml:space="preserve"> </w:t>
      </w:r>
      <w:r w:rsidRPr="00331E80">
        <w:rPr>
          <w:rFonts w:ascii="Times New Roman" w:hAnsi="Times New Roman" w:cs="Times New Roman"/>
          <w:bCs/>
          <w:color w:val="131413"/>
          <w:sz w:val="20"/>
          <w:szCs w:val="20"/>
        </w:rPr>
        <w:t>IA.</w:t>
      </w:r>
      <w:r w:rsidR="00801C75" w:rsidRPr="00331E80">
        <w:rPr>
          <w:rFonts w:ascii="Times New Roman" w:hAnsi="Times New Roman" w:cs="Times New Roman"/>
          <w:bCs/>
          <w:color w:val="131413"/>
          <w:sz w:val="20"/>
          <w:szCs w:val="20"/>
        </w:rPr>
        <w:t xml:space="preserve"> </w:t>
      </w:r>
      <w:r w:rsidRPr="00331E80">
        <w:rPr>
          <w:rFonts w:ascii="Times New Roman" w:hAnsi="Times New Roman" w:cs="Times New Roman"/>
          <w:bCs/>
          <w:color w:val="131413"/>
          <w:sz w:val="20"/>
          <w:szCs w:val="20"/>
        </w:rPr>
        <w:t>(2017):</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Pre-treatment</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platelet</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counts</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as</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a</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prognostic</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and</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predictive</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factor</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in</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stage</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II</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and</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III</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rectal</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lastRenderedPageBreak/>
        <w:t>adenocarcinoma.</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World</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J</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Gastrointest</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Oncol,</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9</w:t>
      </w:r>
      <w:r w:rsidRPr="00331E80">
        <w:rPr>
          <w:rFonts w:ascii="Times New Roman" w:hAnsi="Times New Roman" w:cs="Times New Roman"/>
          <w:color w:val="131413"/>
          <w:sz w:val="20"/>
          <w:szCs w:val="20"/>
          <w:lang w:val="en-GB"/>
        </w:rPr>
        <w:t>,</w:t>
      </w:r>
      <w:r w:rsidR="00801C75" w:rsidRPr="00331E80">
        <w:rPr>
          <w:rFonts w:ascii="Times New Roman" w:hAnsi="Times New Roman" w:cs="Times New Roman"/>
          <w:color w:val="131413"/>
          <w:sz w:val="20"/>
          <w:szCs w:val="20"/>
        </w:rPr>
        <w:t xml:space="preserve"> </w:t>
      </w:r>
      <w:r w:rsidRPr="00331E80">
        <w:rPr>
          <w:rFonts w:ascii="Times New Roman" w:hAnsi="Times New Roman" w:cs="Times New Roman"/>
          <w:color w:val="131413"/>
          <w:sz w:val="20"/>
          <w:szCs w:val="20"/>
        </w:rPr>
        <w:t>42–49.</w:t>
      </w:r>
    </w:p>
    <w:p w:rsidR="00DE4DBB" w:rsidRPr="00331E80" w:rsidRDefault="00DE4DBB" w:rsidP="00331E80">
      <w:pPr>
        <w:pStyle w:val="ListParagraph"/>
        <w:numPr>
          <w:ilvl w:val="0"/>
          <w:numId w:val="14"/>
        </w:numPr>
        <w:snapToGrid w:val="0"/>
        <w:spacing w:after="0" w:line="240" w:lineRule="auto"/>
        <w:ind w:left="425" w:hanging="425"/>
        <w:jc w:val="both"/>
        <w:rPr>
          <w:rFonts w:ascii="Times New Roman" w:hAnsi="Times New Roman" w:cs="Times New Roman"/>
          <w:bCs/>
          <w:sz w:val="20"/>
          <w:szCs w:val="20"/>
        </w:rPr>
      </w:pPr>
      <w:r w:rsidRPr="00331E80">
        <w:rPr>
          <w:rFonts w:ascii="Times New Roman" w:hAnsi="Times New Roman" w:cs="Times New Roman"/>
          <w:bCs/>
          <w:color w:val="000000"/>
          <w:sz w:val="20"/>
          <w:szCs w:val="20"/>
          <w:shd w:val="clear" w:color="auto" w:fill="FFFFFF"/>
        </w:rPr>
        <w:t>Wen,</w:t>
      </w:r>
      <w:r w:rsidR="00801C75" w:rsidRPr="00331E80">
        <w:rPr>
          <w:rFonts w:ascii="Times New Roman" w:hAnsi="Times New Roman" w:cs="Times New Roman"/>
          <w:bCs/>
          <w:color w:val="000000"/>
          <w:sz w:val="20"/>
          <w:szCs w:val="20"/>
          <w:shd w:val="clear" w:color="auto" w:fill="FFFFFF"/>
        </w:rPr>
        <w:t xml:space="preserve"> </w:t>
      </w:r>
      <w:r w:rsidRPr="00331E80">
        <w:rPr>
          <w:rFonts w:ascii="Times New Roman" w:hAnsi="Times New Roman" w:cs="Times New Roman"/>
          <w:bCs/>
          <w:color w:val="000000"/>
          <w:sz w:val="20"/>
          <w:szCs w:val="20"/>
          <w:shd w:val="clear" w:color="auto" w:fill="FFFFFF"/>
        </w:rPr>
        <w:t>D.,</w:t>
      </w:r>
      <w:r w:rsidR="00801C75" w:rsidRPr="00331E80">
        <w:rPr>
          <w:rFonts w:ascii="Times New Roman" w:hAnsi="Times New Roman" w:cs="Times New Roman"/>
          <w:bCs/>
          <w:color w:val="000000"/>
          <w:sz w:val="20"/>
          <w:szCs w:val="20"/>
          <w:shd w:val="clear" w:color="auto" w:fill="FFFFFF"/>
        </w:rPr>
        <w:t xml:space="preserve"> </w:t>
      </w:r>
      <w:r w:rsidRPr="00331E80">
        <w:rPr>
          <w:rFonts w:ascii="Times New Roman" w:hAnsi="Times New Roman" w:cs="Times New Roman"/>
          <w:bCs/>
          <w:color w:val="000000"/>
          <w:sz w:val="20"/>
          <w:szCs w:val="20"/>
          <w:shd w:val="clear" w:color="auto" w:fill="FFFFFF"/>
        </w:rPr>
        <w:t>Zou,</w:t>
      </w:r>
      <w:r w:rsidR="00801C75" w:rsidRPr="00331E80">
        <w:rPr>
          <w:rFonts w:ascii="Times New Roman" w:hAnsi="Times New Roman" w:cs="Times New Roman"/>
          <w:bCs/>
          <w:color w:val="000000"/>
          <w:sz w:val="20"/>
          <w:szCs w:val="20"/>
          <w:shd w:val="clear" w:color="auto" w:fill="FFFFFF"/>
        </w:rPr>
        <w:t xml:space="preserve"> </w:t>
      </w:r>
      <w:r w:rsidRPr="00331E80">
        <w:rPr>
          <w:rFonts w:ascii="Times New Roman" w:hAnsi="Times New Roman" w:cs="Times New Roman"/>
          <w:bCs/>
          <w:color w:val="000000"/>
          <w:sz w:val="20"/>
          <w:szCs w:val="20"/>
          <w:shd w:val="clear" w:color="auto" w:fill="FFFFFF"/>
        </w:rPr>
        <w:t>W.,</w:t>
      </w:r>
      <w:r w:rsidR="00801C75" w:rsidRPr="00331E80">
        <w:rPr>
          <w:rFonts w:ascii="Times New Roman" w:hAnsi="Times New Roman" w:cs="Times New Roman"/>
          <w:bCs/>
          <w:color w:val="000000"/>
          <w:sz w:val="20"/>
          <w:szCs w:val="20"/>
          <w:shd w:val="clear" w:color="auto" w:fill="FFFFFF"/>
        </w:rPr>
        <w:t xml:space="preserve"> </w:t>
      </w:r>
      <w:r w:rsidRPr="00331E80">
        <w:rPr>
          <w:rFonts w:ascii="Times New Roman" w:hAnsi="Times New Roman" w:cs="Times New Roman"/>
          <w:bCs/>
          <w:color w:val="000000"/>
          <w:sz w:val="20"/>
          <w:szCs w:val="20"/>
          <w:shd w:val="clear" w:color="auto" w:fill="FFFFFF"/>
        </w:rPr>
        <w:t>Wen,</w:t>
      </w:r>
      <w:r w:rsidR="00801C75" w:rsidRPr="00331E80">
        <w:rPr>
          <w:rFonts w:ascii="Times New Roman" w:hAnsi="Times New Roman" w:cs="Times New Roman"/>
          <w:bCs/>
          <w:color w:val="000000"/>
          <w:sz w:val="20"/>
          <w:szCs w:val="20"/>
          <w:shd w:val="clear" w:color="auto" w:fill="FFFFFF"/>
        </w:rPr>
        <w:t xml:space="preserve"> </w:t>
      </w:r>
      <w:r w:rsidRPr="00331E80">
        <w:rPr>
          <w:rFonts w:ascii="Times New Roman" w:hAnsi="Times New Roman" w:cs="Times New Roman"/>
          <w:bCs/>
          <w:color w:val="000000"/>
          <w:sz w:val="20"/>
          <w:szCs w:val="20"/>
          <w:shd w:val="clear" w:color="auto" w:fill="FFFFFF"/>
        </w:rPr>
        <w:t>X.</w:t>
      </w:r>
      <w:r w:rsidR="00801C75" w:rsidRPr="00331E80">
        <w:rPr>
          <w:rFonts w:ascii="Times New Roman" w:hAnsi="Times New Roman" w:cs="Times New Roman"/>
          <w:bCs/>
          <w:color w:val="000000"/>
          <w:sz w:val="20"/>
          <w:szCs w:val="20"/>
          <w:shd w:val="clear" w:color="auto" w:fill="FFFFFF"/>
        </w:rPr>
        <w:t xml:space="preserve"> </w:t>
      </w:r>
      <w:r w:rsidRPr="00331E80">
        <w:rPr>
          <w:rFonts w:ascii="Times New Roman" w:hAnsi="Times New Roman" w:cs="Times New Roman"/>
          <w:bCs/>
          <w:color w:val="000000"/>
          <w:sz w:val="20"/>
          <w:szCs w:val="20"/>
          <w:shd w:val="clear" w:color="auto" w:fill="FFFFFF"/>
        </w:rPr>
        <w:t>et</w:t>
      </w:r>
      <w:r w:rsidR="00801C75" w:rsidRPr="00331E80">
        <w:rPr>
          <w:rFonts w:ascii="Times New Roman" w:hAnsi="Times New Roman" w:cs="Times New Roman"/>
          <w:bCs/>
          <w:color w:val="000000"/>
          <w:sz w:val="20"/>
          <w:szCs w:val="20"/>
          <w:shd w:val="clear" w:color="auto" w:fill="FFFFFF"/>
        </w:rPr>
        <w:t xml:space="preserve"> </w:t>
      </w:r>
      <w:r w:rsidRPr="00331E80">
        <w:rPr>
          <w:rFonts w:ascii="Times New Roman" w:hAnsi="Times New Roman" w:cs="Times New Roman"/>
          <w:bCs/>
          <w:color w:val="000000"/>
          <w:sz w:val="20"/>
          <w:szCs w:val="20"/>
          <w:shd w:val="clear" w:color="auto" w:fill="FFFFFF"/>
        </w:rPr>
        <w:t>al,</w:t>
      </w:r>
      <w:r w:rsidR="00801C75" w:rsidRPr="00331E80">
        <w:rPr>
          <w:rFonts w:ascii="Times New Roman" w:hAnsi="Times New Roman" w:cs="Times New Roman"/>
          <w:bCs/>
          <w:color w:val="000000"/>
          <w:sz w:val="20"/>
          <w:szCs w:val="20"/>
          <w:shd w:val="clear" w:color="auto" w:fill="FFFFFF"/>
        </w:rPr>
        <w:t xml:space="preserve"> </w:t>
      </w:r>
      <w:r w:rsidRPr="00331E80">
        <w:rPr>
          <w:rFonts w:ascii="Times New Roman" w:hAnsi="Times New Roman" w:cs="Times New Roman"/>
          <w:bCs/>
          <w:color w:val="000000"/>
          <w:sz w:val="20"/>
          <w:szCs w:val="20"/>
          <w:shd w:val="clear" w:color="auto" w:fill="FFFFFF"/>
        </w:rPr>
        <w:t>(2018):</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Urban–rural</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disparity</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in</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colorectal</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cancer</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incidence</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and</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increasing</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trend</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in</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relation</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to</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socioeconomic</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development</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and</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urbanization</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in</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China.</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Journal</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of</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International</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Medical</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Research,</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46(10),</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4181–4196.</w:t>
      </w:r>
    </w:p>
    <w:p w:rsidR="00DE4DBB" w:rsidRPr="00331E80" w:rsidRDefault="00DE4DBB" w:rsidP="00331E80">
      <w:pPr>
        <w:pStyle w:val="ListParagraph"/>
        <w:numPr>
          <w:ilvl w:val="0"/>
          <w:numId w:val="14"/>
        </w:numPr>
        <w:snapToGrid w:val="0"/>
        <w:spacing w:after="0" w:line="240" w:lineRule="auto"/>
        <w:ind w:left="425" w:hanging="425"/>
        <w:jc w:val="both"/>
        <w:rPr>
          <w:rFonts w:ascii="Times New Roman" w:hAnsi="Times New Roman" w:cs="Times New Roman"/>
          <w:color w:val="000000"/>
          <w:sz w:val="20"/>
          <w:szCs w:val="20"/>
          <w:lang w:bidi="ar-EG"/>
        </w:rPr>
      </w:pPr>
      <w:r w:rsidRPr="00331E80">
        <w:rPr>
          <w:rFonts w:ascii="Times New Roman" w:hAnsi="Times New Roman" w:cs="Times New Roman"/>
          <w:bCs/>
          <w:color w:val="000000"/>
          <w:sz w:val="20"/>
          <w:szCs w:val="20"/>
        </w:rPr>
        <w:t>Petrelli</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F,</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Tomasello</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G,</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Borgonovo</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K,</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et</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al.</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(2016):</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color w:val="000000"/>
          <w:sz w:val="20"/>
          <w:szCs w:val="20"/>
        </w:rPr>
        <w:t>Prognostic</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Survival</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Associated</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With</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Left-Sided</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vs</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Right-Sided</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Colon</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Cancer:</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A</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Systematic</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Review</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and</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Meta-analysis</w:t>
      </w:r>
      <w:r w:rsidR="00331E80" w:rsidRPr="00331E80">
        <w:rPr>
          <w:rFonts w:ascii="Times New Roman" w:hAnsi="Times New Roman" w:cs="Times New Roman"/>
          <w:color w:val="000000"/>
          <w:sz w:val="20"/>
          <w:szCs w:val="20"/>
        </w:rPr>
        <w:t>.</w:t>
      </w:r>
      <w:r w:rsidR="00331E80">
        <w:rPr>
          <w:rFonts w:ascii="Times New Roman" w:hAnsi="Times New Roman" w:cs="Times New Roman"/>
          <w:color w:val="000000"/>
          <w:sz w:val="20"/>
          <w:szCs w:val="20"/>
        </w:rPr>
        <w:t xml:space="preserve"> </w:t>
      </w:r>
      <w:r w:rsidR="00331E80" w:rsidRPr="00331E80">
        <w:rPr>
          <w:rFonts w:ascii="Times New Roman" w:hAnsi="Times New Roman" w:cs="Times New Roman"/>
          <w:color w:val="000000"/>
          <w:sz w:val="20"/>
          <w:szCs w:val="20"/>
        </w:rPr>
        <w:t>J</w:t>
      </w:r>
      <w:r w:rsidRPr="00331E80">
        <w:rPr>
          <w:rFonts w:ascii="Times New Roman" w:hAnsi="Times New Roman" w:cs="Times New Roman"/>
          <w:color w:val="000000"/>
          <w:sz w:val="20"/>
          <w:szCs w:val="20"/>
        </w:rPr>
        <w:t>AMA</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Oncol</w:t>
      </w:r>
      <w:r w:rsidRPr="00331E80">
        <w:rPr>
          <w:rFonts w:ascii="Times New Roman" w:hAnsi="Times New Roman" w:cs="Times New Roman"/>
          <w:color w:val="000000"/>
          <w:sz w:val="20"/>
          <w:szCs w:val="20"/>
          <w:shd w:val="clear" w:color="auto" w:fill="FFFFFF"/>
        </w:rPr>
        <w:t>ogy,</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3(2):211-219.</w:t>
      </w:r>
      <w:r w:rsidR="00801C75" w:rsidRPr="00331E80">
        <w:rPr>
          <w:rFonts w:ascii="Times New Roman" w:hAnsi="Times New Roman" w:cs="Times New Roman"/>
          <w:color w:val="000000"/>
          <w:sz w:val="20"/>
          <w:szCs w:val="20"/>
          <w:shd w:val="clear" w:color="auto" w:fill="FFFFFF"/>
        </w:rPr>
        <w:t xml:space="preserve"> </w:t>
      </w:r>
    </w:p>
    <w:p w:rsidR="00166A00" w:rsidRDefault="00DE4DBB" w:rsidP="00331E80">
      <w:pPr>
        <w:pStyle w:val="ListParagraph"/>
        <w:numPr>
          <w:ilvl w:val="0"/>
          <w:numId w:val="14"/>
        </w:numPr>
        <w:snapToGrid w:val="0"/>
        <w:spacing w:after="0" w:line="240" w:lineRule="auto"/>
        <w:ind w:left="425" w:hanging="425"/>
        <w:jc w:val="both"/>
        <w:rPr>
          <w:rFonts w:ascii="Times New Roman" w:hAnsi="Times New Roman" w:cs="Times New Roman"/>
          <w:color w:val="000000"/>
          <w:sz w:val="20"/>
          <w:szCs w:val="20"/>
        </w:rPr>
      </w:pPr>
      <w:r w:rsidRPr="00331E80">
        <w:rPr>
          <w:rFonts w:ascii="Times New Roman" w:hAnsi="Times New Roman" w:cs="Times New Roman"/>
          <w:bCs/>
          <w:color w:val="000000"/>
          <w:sz w:val="20"/>
          <w:szCs w:val="20"/>
          <w:lang w:val="fr-FR"/>
        </w:rPr>
        <w:t>De</w:t>
      </w:r>
      <w:r w:rsidR="00801C75" w:rsidRPr="00331E80">
        <w:rPr>
          <w:rFonts w:ascii="Times New Roman" w:hAnsi="Times New Roman" w:cs="Times New Roman"/>
          <w:bCs/>
          <w:color w:val="000000"/>
          <w:sz w:val="20"/>
          <w:szCs w:val="20"/>
          <w:lang w:val="fr-FR"/>
        </w:rPr>
        <w:t xml:space="preserve"> </w:t>
      </w:r>
      <w:r w:rsidRPr="00331E80">
        <w:rPr>
          <w:rFonts w:ascii="Times New Roman" w:hAnsi="Times New Roman" w:cs="Times New Roman"/>
          <w:bCs/>
          <w:color w:val="000000"/>
          <w:sz w:val="20"/>
          <w:szCs w:val="20"/>
          <w:lang w:val="fr-FR"/>
        </w:rPr>
        <w:t>Campos-Lobato</w:t>
      </w:r>
      <w:r w:rsidR="00801C75" w:rsidRPr="00331E80">
        <w:rPr>
          <w:rFonts w:ascii="Times New Roman" w:hAnsi="Times New Roman" w:cs="Times New Roman"/>
          <w:bCs/>
          <w:color w:val="000000"/>
          <w:sz w:val="20"/>
          <w:szCs w:val="20"/>
          <w:lang w:val="fr-FR"/>
        </w:rPr>
        <w:t xml:space="preserve"> </w:t>
      </w:r>
      <w:r w:rsidRPr="00331E80">
        <w:rPr>
          <w:rFonts w:ascii="Times New Roman" w:hAnsi="Times New Roman" w:cs="Times New Roman"/>
          <w:bCs/>
          <w:color w:val="000000"/>
          <w:sz w:val="20"/>
          <w:szCs w:val="20"/>
          <w:lang w:val="fr-FR"/>
        </w:rPr>
        <w:t>LF,</w:t>
      </w:r>
      <w:r w:rsidR="00801C75" w:rsidRPr="00331E80">
        <w:rPr>
          <w:rFonts w:ascii="Times New Roman" w:hAnsi="Times New Roman" w:cs="Times New Roman"/>
          <w:bCs/>
          <w:color w:val="000000"/>
          <w:sz w:val="20"/>
          <w:szCs w:val="20"/>
          <w:lang w:val="fr-FR"/>
        </w:rPr>
        <w:t xml:space="preserve"> </w:t>
      </w:r>
      <w:r w:rsidRPr="00331E80">
        <w:rPr>
          <w:rFonts w:ascii="Times New Roman" w:hAnsi="Times New Roman" w:cs="Times New Roman"/>
          <w:bCs/>
          <w:color w:val="000000"/>
          <w:sz w:val="20"/>
          <w:szCs w:val="20"/>
          <w:lang w:val="fr-FR"/>
        </w:rPr>
        <w:t>Stocchi</w:t>
      </w:r>
      <w:r w:rsidR="00801C75" w:rsidRPr="00331E80">
        <w:rPr>
          <w:rFonts w:ascii="Times New Roman" w:hAnsi="Times New Roman" w:cs="Times New Roman"/>
          <w:bCs/>
          <w:color w:val="000000"/>
          <w:sz w:val="20"/>
          <w:szCs w:val="20"/>
          <w:lang w:val="fr-FR"/>
        </w:rPr>
        <w:t xml:space="preserve"> </w:t>
      </w:r>
      <w:r w:rsidRPr="00331E80">
        <w:rPr>
          <w:rFonts w:ascii="Times New Roman" w:hAnsi="Times New Roman" w:cs="Times New Roman"/>
          <w:bCs/>
          <w:color w:val="000000"/>
          <w:sz w:val="20"/>
          <w:szCs w:val="20"/>
          <w:lang w:val="fr-FR"/>
        </w:rPr>
        <w:t>L,</w:t>
      </w:r>
      <w:r w:rsidR="00801C75" w:rsidRPr="00331E80">
        <w:rPr>
          <w:rFonts w:ascii="Times New Roman" w:hAnsi="Times New Roman" w:cs="Times New Roman"/>
          <w:bCs/>
          <w:color w:val="000000"/>
          <w:sz w:val="20"/>
          <w:szCs w:val="20"/>
          <w:lang w:val="fr-FR"/>
        </w:rPr>
        <w:t xml:space="preserve"> </w:t>
      </w:r>
      <w:r w:rsidRPr="00331E80">
        <w:rPr>
          <w:rFonts w:ascii="Times New Roman" w:hAnsi="Times New Roman" w:cs="Times New Roman"/>
          <w:bCs/>
          <w:color w:val="000000"/>
          <w:sz w:val="20"/>
          <w:szCs w:val="20"/>
          <w:lang w:val="fr-FR"/>
        </w:rPr>
        <w:t>de</w:t>
      </w:r>
      <w:r w:rsidR="00801C75" w:rsidRPr="00331E80">
        <w:rPr>
          <w:rFonts w:ascii="Times New Roman" w:hAnsi="Times New Roman" w:cs="Times New Roman"/>
          <w:bCs/>
          <w:color w:val="000000"/>
          <w:sz w:val="20"/>
          <w:szCs w:val="20"/>
          <w:lang w:val="fr-FR"/>
        </w:rPr>
        <w:t xml:space="preserve"> </w:t>
      </w:r>
      <w:r w:rsidRPr="00331E80">
        <w:rPr>
          <w:rFonts w:ascii="Times New Roman" w:hAnsi="Times New Roman" w:cs="Times New Roman"/>
          <w:bCs/>
          <w:color w:val="000000"/>
          <w:sz w:val="20"/>
          <w:szCs w:val="20"/>
          <w:lang w:val="fr-FR"/>
        </w:rPr>
        <w:t>Sousa</w:t>
      </w:r>
      <w:r w:rsidR="00801C75" w:rsidRPr="00331E80">
        <w:rPr>
          <w:rFonts w:ascii="Times New Roman" w:hAnsi="Times New Roman" w:cs="Times New Roman"/>
          <w:bCs/>
          <w:color w:val="000000"/>
          <w:sz w:val="20"/>
          <w:szCs w:val="20"/>
          <w:lang w:val="fr-FR"/>
        </w:rPr>
        <w:t xml:space="preserve"> </w:t>
      </w:r>
      <w:r w:rsidRPr="00331E80">
        <w:rPr>
          <w:rFonts w:ascii="Times New Roman" w:hAnsi="Times New Roman" w:cs="Times New Roman"/>
          <w:bCs/>
          <w:color w:val="000000"/>
          <w:sz w:val="20"/>
          <w:szCs w:val="20"/>
          <w:lang w:val="fr-FR"/>
        </w:rPr>
        <w:t>JB</w:t>
      </w:r>
      <w:r w:rsidR="00331E80" w:rsidRPr="00331E80">
        <w:rPr>
          <w:rFonts w:ascii="Times New Roman" w:hAnsi="Times New Roman" w:cs="Times New Roman"/>
          <w:bCs/>
          <w:color w:val="000000"/>
          <w:sz w:val="20"/>
          <w:szCs w:val="20"/>
          <w:lang w:val="fr-FR"/>
        </w:rPr>
        <w:t>,</w:t>
      </w:r>
      <w:r w:rsidR="00331E80">
        <w:rPr>
          <w:rFonts w:ascii="Times New Roman" w:hAnsi="Times New Roman" w:cs="Times New Roman"/>
          <w:bCs/>
          <w:color w:val="000000"/>
          <w:sz w:val="20"/>
          <w:szCs w:val="20"/>
          <w:lang w:val="fr-FR"/>
        </w:rPr>
        <w:t xml:space="preserve"> </w:t>
      </w:r>
      <w:r w:rsidR="00331E80" w:rsidRPr="00331E80">
        <w:rPr>
          <w:rFonts w:ascii="Times New Roman" w:hAnsi="Times New Roman" w:cs="Times New Roman"/>
          <w:bCs/>
          <w:color w:val="000000"/>
          <w:sz w:val="20"/>
          <w:szCs w:val="20"/>
          <w:lang w:val="fr-FR"/>
        </w:rPr>
        <w:t>e</w:t>
      </w:r>
      <w:r w:rsidRPr="00331E80">
        <w:rPr>
          <w:rFonts w:ascii="Times New Roman" w:hAnsi="Times New Roman" w:cs="Times New Roman"/>
          <w:bCs/>
          <w:color w:val="000000"/>
          <w:sz w:val="20"/>
          <w:szCs w:val="20"/>
          <w:lang w:val="fr-FR"/>
        </w:rPr>
        <w:t>t</w:t>
      </w:r>
      <w:r w:rsidR="00801C75" w:rsidRPr="00331E80">
        <w:rPr>
          <w:rFonts w:ascii="Times New Roman" w:hAnsi="Times New Roman" w:cs="Times New Roman"/>
          <w:bCs/>
          <w:color w:val="000000"/>
          <w:sz w:val="20"/>
          <w:szCs w:val="20"/>
          <w:lang w:val="fr-FR"/>
        </w:rPr>
        <w:t xml:space="preserve"> </w:t>
      </w:r>
      <w:r w:rsidRPr="00331E80">
        <w:rPr>
          <w:rFonts w:ascii="Times New Roman" w:hAnsi="Times New Roman" w:cs="Times New Roman"/>
          <w:bCs/>
          <w:color w:val="000000"/>
          <w:sz w:val="20"/>
          <w:szCs w:val="20"/>
          <w:lang w:val="fr-FR"/>
        </w:rPr>
        <w:t>al.</w:t>
      </w:r>
      <w:r w:rsidR="00801C75" w:rsidRPr="00331E80">
        <w:rPr>
          <w:rFonts w:ascii="Times New Roman" w:hAnsi="Times New Roman" w:cs="Times New Roman"/>
          <w:bCs/>
          <w:color w:val="000000"/>
          <w:sz w:val="20"/>
          <w:szCs w:val="20"/>
          <w:lang w:val="fr-FR"/>
        </w:rPr>
        <w:t xml:space="preserve"> </w:t>
      </w:r>
      <w:r w:rsidRPr="00331E80">
        <w:rPr>
          <w:rFonts w:ascii="Times New Roman" w:hAnsi="Times New Roman" w:cs="Times New Roman"/>
          <w:bCs/>
          <w:color w:val="000000"/>
          <w:sz w:val="20"/>
          <w:szCs w:val="20"/>
        </w:rPr>
        <w:t>(2013)</w:t>
      </w:r>
      <w:r w:rsidR="00331E80" w:rsidRPr="00331E80">
        <w:rPr>
          <w:rFonts w:ascii="Times New Roman" w:hAnsi="Times New Roman" w:cs="Times New Roman"/>
          <w:bCs/>
          <w:color w:val="000000"/>
          <w:sz w:val="20"/>
          <w:szCs w:val="20"/>
        </w:rPr>
        <w:t>:</w:t>
      </w:r>
      <w:r w:rsidR="00331E80">
        <w:rPr>
          <w:rFonts w:ascii="Times New Roman" w:hAnsi="Times New Roman" w:cs="Times New Roman"/>
          <w:bCs/>
          <w:color w:val="000000"/>
          <w:sz w:val="20"/>
          <w:szCs w:val="20"/>
        </w:rPr>
        <w:t xml:space="preserve"> </w:t>
      </w:r>
      <w:r w:rsidR="00331E80" w:rsidRPr="00331E80">
        <w:rPr>
          <w:rFonts w:ascii="Times New Roman" w:hAnsi="Times New Roman" w:cs="Times New Roman"/>
          <w:color w:val="000000"/>
          <w:sz w:val="20"/>
          <w:szCs w:val="20"/>
          <w:shd w:val="clear" w:color="auto" w:fill="FFFFFF"/>
        </w:rPr>
        <w:t>L</w:t>
      </w:r>
      <w:r w:rsidRPr="00331E80">
        <w:rPr>
          <w:rFonts w:ascii="Times New Roman" w:hAnsi="Times New Roman" w:cs="Times New Roman"/>
          <w:color w:val="000000"/>
          <w:sz w:val="20"/>
          <w:szCs w:val="20"/>
          <w:shd w:val="clear" w:color="auto" w:fill="FFFFFF"/>
        </w:rPr>
        <w:t>ess</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than</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12</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nodes</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in</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the</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surgical</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specimen</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after</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total</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mesorectal</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excision</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following</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neoadjuvant</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chemo</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radiation:</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it</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means</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more</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than</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you</w:t>
      </w:r>
      <w:r w:rsidR="00801C75" w:rsidRPr="00331E80">
        <w:rPr>
          <w:rFonts w:ascii="Times New Roman" w:hAnsi="Times New Roman" w:cs="Times New Roman"/>
          <w:color w:val="000000"/>
          <w:sz w:val="20"/>
          <w:szCs w:val="20"/>
          <w:shd w:val="clear" w:color="auto" w:fill="FFFFFF"/>
        </w:rPr>
        <w:t xml:space="preserve"> </w:t>
      </w:r>
      <w:r w:rsidRPr="00331E80">
        <w:rPr>
          <w:rFonts w:ascii="Times New Roman" w:hAnsi="Times New Roman" w:cs="Times New Roman"/>
          <w:color w:val="000000"/>
          <w:sz w:val="20"/>
          <w:szCs w:val="20"/>
          <w:shd w:val="clear" w:color="auto" w:fill="FFFFFF"/>
        </w:rPr>
        <w:t>think!.</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Ann</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Surg</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Oncol;</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20(11):3398-340</w:t>
      </w:r>
      <w:r w:rsidR="00166A00" w:rsidRPr="00331E80">
        <w:rPr>
          <w:rFonts w:ascii="Times New Roman" w:hAnsi="Times New Roman" w:cs="Times New Roman"/>
          <w:color w:val="000000"/>
          <w:sz w:val="20"/>
          <w:szCs w:val="20"/>
        </w:rPr>
        <w:t>6</w:t>
      </w:r>
      <w:r w:rsidR="00166A00">
        <w:rPr>
          <w:rFonts w:ascii="Times New Roman" w:hAnsi="Times New Roman" w:cs="Times New Roman"/>
          <w:color w:val="000000"/>
          <w:sz w:val="20"/>
          <w:szCs w:val="20"/>
        </w:rPr>
        <w:t>.</w:t>
      </w:r>
    </w:p>
    <w:p w:rsidR="00DE4DBB" w:rsidRPr="00331E80" w:rsidRDefault="00DE4DBB" w:rsidP="00331E80">
      <w:pPr>
        <w:pStyle w:val="ListParagraph"/>
        <w:numPr>
          <w:ilvl w:val="0"/>
          <w:numId w:val="14"/>
        </w:numPr>
        <w:snapToGrid w:val="0"/>
        <w:spacing w:after="0" w:line="240" w:lineRule="auto"/>
        <w:ind w:left="425" w:hanging="425"/>
        <w:jc w:val="both"/>
        <w:rPr>
          <w:rFonts w:ascii="Times New Roman" w:hAnsi="Times New Roman" w:cs="Times New Roman"/>
          <w:color w:val="000000"/>
          <w:sz w:val="20"/>
          <w:szCs w:val="20"/>
          <w:lang w:val="fr-FR" w:bidi="ar-EG"/>
        </w:rPr>
      </w:pPr>
      <w:r w:rsidRPr="00331E80">
        <w:rPr>
          <w:rFonts w:ascii="Times New Roman" w:hAnsi="Times New Roman" w:cs="Times New Roman"/>
          <w:bCs/>
          <w:color w:val="000000"/>
          <w:sz w:val="20"/>
          <w:szCs w:val="20"/>
        </w:rPr>
        <w:t>Schmoll</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HJ,</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Van</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Cutsem</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E</w:t>
      </w:r>
      <w:r w:rsidR="00331E80" w:rsidRPr="00331E80">
        <w:rPr>
          <w:rFonts w:ascii="Times New Roman" w:hAnsi="Times New Roman" w:cs="Times New Roman"/>
          <w:bCs/>
          <w:color w:val="000000"/>
          <w:sz w:val="20"/>
          <w:szCs w:val="20"/>
          <w:lang w:val="en-GB"/>
        </w:rPr>
        <w:t>,</w:t>
      </w:r>
      <w:r w:rsidR="00331E80">
        <w:rPr>
          <w:rFonts w:ascii="Times New Roman" w:hAnsi="Times New Roman" w:cs="Times New Roman"/>
          <w:bCs/>
          <w:color w:val="000000"/>
          <w:sz w:val="20"/>
          <w:szCs w:val="20"/>
          <w:lang w:val="en-GB"/>
        </w:rPr>
        <w:t xml:space="preserve"> </w:t>
      </w:r>
      <w:r w:rsidR="00331E80" w:rsidRPr="00331E80">
        <w:rPr>
          <w:rFonts w:ascii="Times New Roman" w:hAnsi="Times New Roman" w:cs="Times New Roman"/>
          <w:bCs/>
          <w:color w:val="000000"/>
          <w:sz w:val="20"/>
          <w:szCs w:val="20"/>
        </w:rPr>
        <w:t>S</w:t>
      </w:r>
      <w:r w:rsidRPr="00331E80">
        <w:rPr>
          <w:rFonts w:ascii="Times New Roman" w:hAnsi="Times New Roman" w:cs="Times New Roman"/>
          <w:bCs/>
          <w:color w:val="000000"/>
          <w:sz w:val="20"/>
          <w:szCs w:val="20"/>
        </w:rPr>
        <w:t>tein</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A,</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et</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al.</w:t>
      </w:r>
      <w:r w:rsidR="00801C75" w:rsidRPr="00331E80">
        <w:rPr>
          <w:rFonts w:ascii="Times New Roman" w:hAnsi="Times New Roman" w:cs="Times New Roman"/>
          <w:bCs/>
          <w:color w:val="000000"/>
          <w:sz w:val="20"/>
          <w:szCs w:val="20"/>
        </w:rPr>
        <w:t xml:space="preserve"> </w:t>
      </w:r>
      <w:r w:rsidRPr="00331E80">
        <w:rPr>
          <w:rFonts w:ascii="Times New Roman" w:hAnsi="Times New Roman" w:cs="Times New Roman"/>
          <w:bCs/>
          <w:color w:val="000000"/>
          <w:sz w:val="20"/>
          <w:szCs w:val="20"/>
        </w:rPr>
        <w:t>(2012)</w:t>
      </w:r>
      <w:r w:rsidR="00331E80" w:rsidRPr="00331E80">
        <w:rPr>
          <w:rFonts w:ascii="Times New Roman" w:hAnsi="Times New Roman" w:cs="Times New Roman"/>
          <w:bCs/>
          <w:color w:val="000000"/>
          <w:sz w:val="20"/>
          <w:szCs w:val="20"/>
        </w:rPr>
        <w:t>:</w:t>
      </w:r>
      <w:r w:rsidR="00331E80">
        <w:rPr>
          <w:rFonts w:ascii="Times New Roman" w:hAnsi="Times New Roman" w:cs="Times New Roman"/>
          <w:bCs/>
          <w:color w:val="000000"/>
          <w:sz w:val="20"/>
          <w:szCs w:val="20"/>
        </w:rPr>
        <w:t xml:space="preserve"> </w:t>
      </w:r>
      <w:r w:rsidR="00331E80" w:rsidRPr="00331E80">
        <w:rPr>
          <w:rFonts w:ascii="Times New Roman" w:hAnsi="Times New Roman" w:cs="Times New Roman"/>
          <w:color w:val="000000"/>
          <w:sz w:val="20"/>
          <w:szCs w:val="20"/>
        </w:rPr>
        <w:t>E</w:t>
      </w:r>
      <w:r w:rsidRPr="00331E80">
        <w:rPr>
          <w:rFonts w:ascii="Times New Roman" w:hAnsi="Times New Roman" w:cs="Times New Roman"/>
          <w:color w:val="000000"/>
          <w:sz w:val="20"/>
          <w:szCs w:val="20"/>
        </w:rPr>
        <w:t>SMO</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Consensus</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Guidelines</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for</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management</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of</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patients</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with</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colon</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and</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rectal</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cancer</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a</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personalized</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approach</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to</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clinical</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decision</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rPr>
        <w:t>making.</w:t>
      </w:r>
      <w:r w:rsidR="00801C75" w:rsidRPr="00331E80">
        <w:rPr>
          <w:rFonts w:ascii="Times New Roman" w:hAnsi="Times New Roman" w:cs="Times New Roman"/>
          <w:color w:val="000000"/>
          <w:sz w:val="20"/>
          <w:szCs w:val="20"/>
        </w:rPr>
        <w:t xml:space="preserve"> </w:t>
      </w:r>
      <w:r w:rsidRPr="00331E80">
        <w:rPr>
          <w:rFonts w:ascii="Times New Roman" w:hAnsi="Times New Roman" w:cs="Times New Roman"/>
          <w:color w:val="000000"/>
          <w:sz w:val="20"/>
          <w:szCs w:val="20"/>
          <w:lang w:val="fr-FR"/>
        </w:rPr>
        <w:t>Ann</w:t>
      </w:r>
      <w:r w:rsidR="00801C75" w:rsidRPr="00331E80">
        <w:rPr>
          <w:rFonts w:ascii="Times New Roman" w:hAnsi="Times New Roman" w:cs="Times New Roman"/>
          <w:color w:val="000000"/>
          <w:sz w:val="20"/>
          <w:szCs w:val="20"/>
          <w:lang w:val="fr-FR"/>
        </w:rPr>
        <w:t xml:space="preserve"> </w:t>
      </w:r>
      <w:r w:rsidRPr="00331E80">
        <w:rPr>
          <w:rFonts w:ascii="Times New Roman" w:hAnsi="Times New Roman" w:cs="Times New Roman"/>
          <w:color w:val="000000"/>
          <w:sz w:val="20"/>
          <w:szCs w:val="20"/>
          <w:lang w:val="fr-FR"/>
        </w:rPr>
        <w:t>Oncol.;</w:t>
      </w:r>
      <w:r w:rsidR="00801C75" w:rsidRPr="00331E80">
        <w:rPr>
          <w:rFonts w:ascii="Times New Roman" w:hAnsi="Times New Roman" w:cs="Times New Roman"/>
          <w:color w:val="000000"/>
          <w:sz w:val="20"/>
          <w:szCs w:val="20"/>
          <w:lang w:val="fr-FR"/>
        </w:rPr>
        <w:t xml:space="preserve"> </w:t>
      </w:r>
      <w:r w:rsidRPr="00331E80">
        <w:rPr>
          <w:rFonts w:ascii="Times New Roman" w:hAnsi="Times New Roman" w:cs="Times New Roman"/>
          <w:color w:val="000000"/>
          <w:sz w:val="20"/>
          <w:szCs w:val="20"/>
          <w:lang w:val="fr-FR"/>
        </w:rPr>
        <w:t>23(10):2479.</w:t>
      </w:r>
      <w:r w:rsidR="00801C75" w:rsidRPr="00331E80">
        <w:rPr>
          <w:rFonts w:ascii="Times New Roman" w:hAnsi="Times New Roman" w:cs="Times New Roman"/>
          <w:color w:val="000000"/>
          <w:sz w:val="20"/>
          <w:szCs w:val="20"/>
          <w:lang w:val="fr-FR"/>
        </w:rPr>
        <w:t xml:space="preserve"> </w:t>
      </w:r>
    </w:p>
    <w:p w:rsidR="00DE4DBB" w:rsidRPr="00331E80" w:rsidRDefault="00DE4DBB" w:rsidP="00331E80">
      <w:pPr>
        <w:pStyle w:val="ListParagraph"/>
        <w:numPr>
          <w:ilvl w:val="0"/>
          <w:numId w:val="14"/>
        </w:numPr>
        <w:snapToGrid w:val="0"/>
        <w:spacing w:after="0" w:line="240" w:lineRule="auto"/>
        <w:ind w:left="425" w:hanging="425"/>
        <w:jc w:val="both"/>
        <w:rPr>
          <w:rFonts w:ascii="Times New Roman" w:hAnsi="Times New Roman" w:cs="Times New Roman"/>
          <w:color w:val="000000"/>
          <w:sz w:val="20"/>
          <w:szCs w:val="20"/>
          <w:lang w:val="fr-FR" w:bidi="ar-EG"/>
        </w:rPr>
      </w:pPr>
      <w:r w:rsidRPr="00331E80">
        <w:rPr>
          <w:rFonts w:ascii="Times New Roman" w:hAnsi="Times New Roman" w:cs="Times New Roman"/>
          <w:bCs/>
          <w:color w:val="000000"/>
          <w:sz w:val="20"/>
          <w:szCs w:val="20"/>
          <w:lang w:val="fr-FR"/>
        </w:rPr>
        <w:t>Hogan</w:t>
      </w:r>
      <w:r w:rsidR="00801C75" w:rsidRPr="00331E80">
        <w:rPr>
          <w:rFonts w:ascii="Times New Roman" w:hAnsi="Times New Roman" w:cs="Times New Roman"/>
          <w:bCs/>
          <w:color w:val="000000"/>
          <w:sz w:val="20"/>
          <w:szCs w:val="20"/>
          <w:lang w:val="fr-FR"/>
        </w:rPr>
        <w:t xml:space="preserve"> </w:t>
      </w:r>
      <w:r w:rsidRPr="00331E80">
        <w:rPr>
          <w:rFonts w:ascii="Times New Roman" w:hAnsi="Times New Roman" w:cs="Times New Roman"/>
          <w:bCs/>
          <w:color w:val="000000"/>
          <w:sz w:val="20"/>
          <w:szCs w:val="20"/>
          <w:lang w:val="fr-FR"/>
        </w:rPr>
        <w:t>J,</w:t>
      </w:r>
      <w:r w:rsidR="00801C75" w:rsidRPr="00331E80">
        <w:rPr>
          <w:rFonts w:ascii="Times New Roman" w:hAnsi="Times New Roman" w:cs="Times New Roman"/>
          <w:bCs/>
          <w:color w:val="000000"/>
          <w:sz w:val="20"/>
          <w:szCs w:val="20"/>
          <w:lang w:val="fr-FR"/>
        </w:rPr>
        <w:t xml:space="preserve"> </w:t>
      </w:r>
      <w:r w:rsidRPr="00331E80">
        <w:rPr>
          <w:rFonts w:ascii="Times New Roman" w:hAnsi="Times New Roman" w:cs="Times New Roman"/>
          <w:bCs/>
          <w:color w:val="000000"/>
          <w:sz w:val="20"/>
          <w:szCs w:val="20"/>
          <w:lang w:val="fr-FR"/>
        </w:rPr>
        <w:t>Chang</w:t>
      </w:r>
      <w:r w:rsidR="00801C75" w:rsidRPr="00331E80">
        <w:rPr>
          <w:rFonts w:ascii="Times New Roman" w:hAnsi="Times New Roman" w:cs="Times New Roman"/>
          <w:bCs/>
          <w:color w:val="000000"/>
          <w:sz w:val="20"/>
          <w:szCs w:val="20"/>
          <w:lang w:val="fr-FR"/>
        </w:rPr>
        <w:t xml:space="preserve"> </w:t>
      </w:r>
      <w:r w:rsidRPr="00331E80">
        <w:rPr>
          <w:rFonts w:ascii="Times New Roman" w:hAnsi="Times New Roman" w:cs="Times New Roman"/>
          <w:bCs/>
          <w:color w:val="000000"/>
          <w:sz w:val="20"/>
          <w:szCs w:val="20"/>
          <w:lang w:val="fr-FR"/>
        </w:rPr>
        <w:t>KH</w:t>
      </w:r>
      <w:r w:rsidR="00331E80" w:rsidRPr="00331E80">
        <w:rPr>
          <w:rFonts w:ascii="Times New Roman" w:hAnsi="Times New Roman" w:cs="Times New Roman"/>
          <w:bCs/>
          <w:color w:val="000000"/>
          <w:sz w:val="20"/>
          <w:szCs w:val="20"/>
          <w:lang w:val="fr-FR"/>
        </w:rPr>
        <w:t>,</w:t>
      </w:r>
      <w:r w:rsidR="00331E80">
        <w:rPr>
          <w:rFonts w:ascii="Times New Roman" w:hAnsi="Times New Roman" w:cs="Times New Roman"/>
          <w:bCs/>
          <w:color w:val="000000"/>
          <w:sz w:val="20"/>
          <w:szCs w:val="20"/>
          <w:lang w:val="fr-FR"/>
        </w:rPr>
        <w:t xml:space="preserve"> </w:t>
      </w:r>
      <w:r w:rsidR="00331E80" w:rsidRPr="00331E80">
        <w:rPr>
          <w:rFonts w:ascii="Times New Roman" w:hAnsi="Times New Roman" w:cs="Times New Roman"/>
          <w:bCs/>
          <w:color w:val="000000"/>
          <w:sz w:val="20"/>
          <w:szCs w:val="20"/>
          <w:lang w:val="fr-FR"/>
        </w:rPr>
        <w:t>D</w:t>
      </w:r>
      <w:r w:rsidRPr="00331E80">
        <w:rPr>
          <w:rFonts w:ascii="Times New Roman" w:hAnsi="Times New Roman" w:cs="Times New Roman"/>
          <w:bCs/>
          <w:color w:val="000000"/>
          <w:sz w:val="20"/>
          <w:szCs w:val="20"/>
          <w:lang w:val="fr-FR"/>
        </w:rPr>
        <w:t>uff</w:t>
      </w:r>
      <w:r w:rsidR="00801C75" w:rsidRPr="00331E80">
        <w:rPr>
          <w:rFonts w:ascii="Times New Roman" w:hAnsi="Times New Roman" w:cs="Times New Roman"/>
          <w:bCs/>
          <w:color w:val="000000"/>
          <w:sz w:val="20"/>
          <w:szCs w:val="20"/>
          <w:lang w:val="fr-FR"/>
        </w:rPr>
        <w:t xml:space="preserve"> </w:t>
      </w:r>
      <w:r w:rsidRPr="00331E80">
        <w:rPr>
          <w:rFonts w:ascii="Times New Roman" w:hAnsi="Times New Roman" w:cs="Times New Roman"/>
          <w:bCs/>
          <w:color w:val="000000"/>
          <w:sz w:val="20"/>
          <w:szCs w:val="20"/>
          <w:lang w:val="fr-FR"/>
        </w:rPr>
        <w:t>G,</w:t>
      </w:r>
      <w:r w:rsidR="00801C75" w:rsidRPr="00331E80">
        <w:rPr>
          <w:rFonts w:ascii="Times New Roman" w:hAnsi="Times New Roman" w:cs="Times New Roman"/>
          <w:bCs/>
          <w:color w:val="000000"/>
          <w:sz w:val="20"/>
          <w:szCs w:val="20"/>
          <w:lang w:val="fr-FR"/>
        </w:rPr>
        <w:t xml:space="preserve"> </w:t>
      </w:r>
      <w:r w:rsidRPr="00331E80">
        <w:rPr>
          <w:rFonts w:ascii="Times New Roman" w:hAnsi="Times New Roman" w:cs="Times New Roman"/>
          <w:bCs/>
          <w:color w:val="000000"/>
          <w:sz w:val="20"/>
          <w:szCs w:val="20"/>
          <w:lang w:val="fr-FR"/>
        </w:rPr>
        <w:t>et</w:t>
      </w:r>
      <w:r w:rsidR="00801C75" w:rsidRPr="00331E80">
        <w:rPr>
          <w:rFonts w:ascii="Times New Roman" w:hAnsi="Times New Roman" w:cs="Times New Roman"/>
          <w:bCs/>
          <w:color w:val="000000"/>
          <w:sz w:val="20"/>
          <w:szCs w:val="20"/>
          <w:lang w:val="fr-FR"/>
        </w:rPr>
        <w:t xml:space="preserve"> </w:t>
      </w:r>
      <w:r w:rsidRPr="00331E80">
        <w:rPr>
          <w:rFonts w:ascii="Times New Roman" w:hAnsi="Times New Roman" w:cs="Times New Roman"/>
          <w:bCs/>
          <w:color w:val="000000"/>
          <w:sz w:val="20"/>
          <w:szCs w:val="20"/>
          <w:lang w:val="fr-FR"/>
        </w:rPr>
        <w:t>al.</w:t>
      </w:r>
      <w:r w:rsidR="00801C75" w:rsidRPr="00331E80">
        <w:rPr>
          <w:rFonts w:ascii="Times New Roman" w:hAnsi="Times New Roman" w:cs="Times New Roman"/>
          <w:bCs/>
          <w:color w:val="000000"/>
          <w:sz w:val="20"/>
          <w:szCs w:val="20"/>
          <w:lang w:val="fr-FR"/>
        </w:rPr>
        <w:t xml:space="preserve"> </w:t>
      </w:r>
      <w:r w:rsidRPr="00331E80">
        <w:rPr>
          <w:rFonts w:ascii="Times New Roman" w:hAnsi="Times New Roman" w:cs="Times New Roman"/>
          <w:bCs/>
          <w:color w:val="000000"/>
          <w:sz w:val="20"/>
          <w:szCs w:val="20"/>
          <w:lang w:val="fr-FR"/>
        </w:rPr>
        <w:t>(2015)</w:t>
      </w:r>
      <w:r w:rsidRPr="00331E80">
        <w:rPr>
          <w:rFonts w:ascii="Times New Roman" w:hAnsi="Times New Roman" w:cs="Times New Roman"/>
          <w:color w:val="000000"/>
          <w:sz w:val="20"/>
          <w:szCs w:val="20"/>
          <w:lang w:val="fr-FR"/>
        </w:rPr>
        <w:t>:</w:t>
      </w:r>
      <w:r w:rsidR="00801C75" w:rsidRPr="00331E80">
        <w:rPr>
          <w:rFonts w:ascii="Times New Roman" w:hAnsi="Times New Roman" w:cs="Times New Roman"/>
          <w:color w:val="000000"/>
          <w:sz w:val="20"/>
          <w:szCs w:val="20"/>
          <w:lang w:val="fr-FR"/>
        </w:rPr>
        <w:t xml:space="preserve"> </w:t>
      </w:r>
      <w:r w:rsidRPr="00331E80">
        <w:rPr>
          <w:rFonts w:ascii="Times New Roman" w:hAnsi="Times New Roman" w:cs="Times New Roman"/>
          <w:color w:val="000000"/>
          <w:sz w:val="20"/>
          <w:szCs w:val="20"/>
          <w:lang w:val="fr-FR"/>
        </w:rPr>
        <w:t>Lymphvascular</w:t>
      </w:r>
      <w:r w:rsidR="00801C75" w:rsidRPr="00331E80">
        <w:rPr>
          <w:rFonts w:ascii="Times New Roman" w:hAnsi="Times New Roman" w:cs="Times New Roman"/>
          <w:color w:val="000000"/>
          <w:sz w:val="20"/>
          <w:szCs w:val="20"/>
          <w:lang w:val="fr-FR"/>
        </w:rPr>
        <w:t xml:space="preserve"> </w:t>
      </w:r>
      <w:r w:rsidRPr="00331E80">
        <w:rPr>
          <w:rFonts w:ascii="Times New Roman" w:hAnsi="Times New Roman" w:cs="Times New Roman"/>
          <w:color w:val="000000"/>
          <w:sz w:val="20"/>
          <w:szCs w:val="20"/>
          <w:lang w:val="fr-FR"/>
        </w:rPr>
        <w:t>invasion:</w:t>
      </w:r>
      <w:r w:rsidR="00801C75" w:rsidRPr="00331E80">
        <w:rPr>
          <w:rFonts w:ascii="Times New Roman" w:hAnsi="Times New Roman" w:cs="Times New Roman"/>
          <w:color w:val="000000"/>
          <w:sz w:val="20"/>
          <w:szCs w:val="20"/>
          <w:lang w:val="fr-FR"/>
        </w:rPr>
        <w:t xml:space="preserve"> </w:t>
      </w:r>
      <w:r w:rsidRPr="00331E80">
        <w:rPr>
          <w:rFonts w:ascii="Times New Roman" w:hAnsi="Times New Roman" w:cs="Times New Roman"/>
          <w:color w:val="000000"/>
          <w:sz w:val="20"/>
          <w:szCs w:val="20"/>
          <w:lang w:val="fr-FR"/>
        </w:rPr>
        <w:t>acomprehensive</w:t>
      </w:r>
      <w:r w:rsidR="00D60619">
        <w:rPr>
          <w:rFonts w:ascii="Times New Roman" w:eastAsiaTheme="minorEastAsia" w:hAnsi="Times New Roman" w:cs="Times New Roman" w:hint="eastAsia"/>
          <w:color w:val="000000"/>
          <w:sz w:val="20"/>
          <w:szCs w:val="20"/>
          <w:lang w:val="fr-FR" w:eastAsia="zh-CN"/>
        </w:rPr>
        <w:t xml:space="preserve"> </w:t>
      </w:r>
      <w:r w:rsidRPr="00331E80">
        <w:rPr>
          <w:rFonts w:ascii="Times New Roman" w:hAnsi="Times New Roman" w:cs="Times New Roman"/>
          <w:color w:val="000000"/>
          <w:sz w:val="20"/>
          <w:szCs w:val="20"/>
          <w:lang w:val="fr-FR"/>
        </w:rPr>
        <w:t>appraisal</w:t>
      </w:r>
      <w:r w:rsidR="00801C75" w:rsidRPr="00331E80">
        <w:rPr>
          <w:rFonts w:ascii="Times New Roman" w:hAnsi="Times New Roman" w:cs="Times New Roman"/>
          <w:color w:val="000000"/>
          <w:sz w:val="20"/>
          <w:szCs w:val="20"/>
          <w:lang w:val="fr-FR"/>
        </w:rPr>
        <w:t xml:space="preserve"> </w:t>
      </w:r>
      <w:r w:rsidRPr="00331E80">
        <w:rPr>
          <w:rFonts w:ascii="Times New Roman" w:hAnsi="Times New Roman" w:cs="Times New Roman"/>
          <w:color w:val="000000"/>
          <w:sz w:val="20"/>
          <w:szCs w:val="20"/>
          <w:lang w:val="fr-FR"/>
        </w:rPr>
        <w:t>in</w:t>
      </w:r>
      <w:r w:rsidR="00801C75" w:rsidRPr="00331E80">
        <w:rPr>
          <w:rFonts w:ascii="Times New Roman" w:hAnsi="Times New Roman" w:cs="Times New Roman"/>
          <w:color w:val="000000"/>
          <w:sz w:val="20"/>
          <w:szCs w:val="20"/>
          <w:lang w:val="fr-FR"/>
        </w:rPr>
        <w:t xml:space="preserve"> </w:t>
      </w:r>
      <w:r w:rsidRPr="00331E80">
        <w:rPr>
          <w:rFonts w:ascii="Times New Roman" w:hAnsi="Times New Roman" w:cs="Times New Roman"/>
          <w:color w:val="000000"/>
          <w:sz w:val="20"/>
          <w:szCs w:val="20"/>
          <w:lang w:val="fr-FR"/>
        </w:rPr>
        <w:t>colon</w:t>
      </w:r>
      <w:r w:rsidR="00801C75" w:rsidRPr="00331E80">
        <w:rPr>
          <w:rFonts w:ascii="Times New Roman" w:hAnsi="Times New Roman" w:cs="Times New Roman"/>
          <w:color w:val="000000"/>
          <w:sz w:val="20"/>
          <w:szCs w:val="20"/>
          <w:lang w:val="fr-FR"/>
        </w:rPr>
        <w:t xml:space="preserve"> </w:t>
      </w:r>
      <w:r w:rsidRPr="00331E80">
        <w:rPr>
          <w:rFonts w:ascii="Times New Roman" w:hAnsi="Times New Roman" w:cs="Times New Roman"/>
          <w:color w:val="000000"/>
          <w:sz w:val="20"/>
          <w:szCs w:val="20"/>
          <w:lang w:val="fr-FR"/>
        </w:rPr>
        <w:t>and</w:t>
      </w:r>
      <w:r w:rsidR="00801C75" w:rsidRPr="00331E80">
        <w:rPr>
          <w:rFonts w:ascii="Times New Roman" w:hAnsi="Times New Roman" w:cs="Times New Roman"/>
          <w:color w:val="000000"/>
          <w:sz w:val="20"/>
          <w:szCs w:val="20"/>
          <w:lang w:val="fr-FR"/>
        </w:rPr>
        <w:t xml:space="preserve"> </w:t>
      </w:r>
      <w:r w:rsidRPr="00331E80">
        <w:rPr>
          <w:rFonts w:ascii="Times New Roman" w:hAnsi="Times New Roman" w:cs="Times New Roman"/>
          <w:color w:val="000000"/>
          <w:sz w:val="20"/>
          <w:szCs w:val="20"/>
          <w:lang w:val="fr-FR"/>
        </w:rPr>
        <w:t>rectal</w:t>
      </w:r>
      <w:r w:rsidR="00801C75" w:rsidRPr="00331E80">
        <w:rPr>
          <w:rFonts w:ascii="Times New Roman" w:hAnsi="Times New Roman" w:cs="Times New Roman"/>
          <w:color w:val="000000"/>
          <w:sz w:val="20"/>
          <w:szCs w:val="20"/>
          <w:lang w:val="fr-FR"/>
        </w:rPr>
        <w:t xml:space="preserve"> </w:t>
      </w:r>
      <w:r w:rsidRPr="00331E80">
        <w:rPr>
          <w:rFonts w:ascii="Times New Roman" w:hAnsi="Times New Roman" w:cs="Times New Roman"/>
          <w:color w:val="000000"/>
          <w:sz w:val="20"/>
          <w:szCs w:val="20"/>
          <w:lang w:val="fr-FR"/>
        </w:rPr>
        <w:t>adenocarcinoma</w:t>
      </w:r>
      <w:r w:rsidR="00331E80" w:rsidRPr="00331E80">
        <w:rPr>
          <w:rFonts w:ascii="Times New Roman" w:hAnsi="Times New Roman" w:cs="Times New Roman"/>
          <w:color w:val="000000"/>
          <w:sz w:val="20"/>
          <w:szCs w:val="20"/>
          <w:lang w:val="fr-FR"/>
        </w:rPr>
        <w:t>.</w:t>
      </w:r>
      <w:r w:rsidR="00331E80">
        <w:rPr>
          <w:rFonts w:ascii="Times New Roman" w:hAnsi="Times New Roman" w:cs="Times New Roman"/>
          <w:color w:val="000000"/>
          <w:sz w:val="20"/>
          <w:szCs w:val="20"/>
          <w:lang w:val="fr-FR"/>
        </w:rPr>
        <w:t xml:space="preserve"> </w:t>
      </w:r>
      <w:r w:rsidR="00331E80" w:rsidRPr="00331E80">
        <w:rPr>
          <w:rFonts w:ascii="Times New Roman" w:hAnsi="Times New Roman" w:cs="Times New Roman"/>
          <w:color w:val="000000"/>
          <w:sz w:val="20"/>
          <w:szCs w:val="20"/>
          <w:lang w:val="fr-FR"/>
        </w:rPr>
        <w:t>D</w:t>
      </w:r>
      <w:r w:rsidRPr="00331E80">
        <w:rPr>
          <w:rFonts w:ascii="Times New Roman" w:hAnsi="Times New Roman" w:cs="Times New Roman"/>
          <w:color w:val="000000"/>
          <w:sz w:val="20"/>
          <w:szCs w:val="20"/>
          <w:lang w:val="fr-FR"/>
        </w:rPr>
        <w:t>is</w:t>
      </w:r>
      <w:r w:rsidR="00801C75" w:rsidRPr="00331E80">
        <w:rPr>
          <w:rFonts w:ascii="Times New Roman" w:hAnsi="Times New Roman" w:cs="Times New Roman"/>
          <w:color w:val="000000"/>
          <w:sz w:val="20"/>
          <w:szCs w:val="20"/>
          <w:lang w:val="fr-FR"/>
        </w:rPr>
        <w:t xml:space="preserve"> </w:t>
      </w:r>
      <w:r w:rsidRPr="00331E80">
        <w:rPr>
          <w:rFonts w:ascii="Times New Roman" w:hAnsi="Times New Roman" w:cs="Times New Roman"/>
          <w:color w:val="000000"/>
          <w:sz w:val="20"/>
          <w:szCs w:val="20"/>
          <w:lang w:val="fr-FR"/>
        </w:rPr>
        <w:t>Colon</w:t>
      </w:r>
      <w:r w:rsidR="00801C75" w:rsidRPr="00331E80">
        <w:rPr>
          <w:rFonts w:ascii="Times New Roman" w:hAnsi="Times New Roman" w:cs="Times New Roman"/>
          <w:color w:val="000000"/>
          <w:sz w:val="20"/>
          <w:szCs w:val="20"/>
          <w:lang w:val="fr-FR"/>
        </w:rPr>
        <w:t xml:space="preserve"> </w:t>
      </w:r>
      <w:r w:rsidRPr="00331E80">
        <w:rPr>
          <w:rFonts w:ascii="Times New Roman" w:hAnsi="Times New Roman" w:cs="Times New Roman"/>
          <w:color w:val="000000"/>
          <w:sz w:val="20"/>
          <w:szCs w:val="20"/>
          <w:lang w:val="fr-FR"/>
        </w:rPr>
        <w:t>Rectum;</w:t>
      </w:r>
      <w:r w:rsidR="00801C75" w:rsidRPr="00331E80">
        <w:rPr>
          <w:rFonts w:ascii="Times New Roman" w:hAnsi="Times New Roman" w:cs="Times New Roman"/>
          <w:color w:val="000000"/>
          <w:sz w:val="20"/>
          <w:szCs w:val="20"/>
          <w:lang w:val="fr-FR"/>
        </w:rPr>
        <w:t xml:space="preserve"> </w:t>
      </w:r>
      <w:r w:rsidRPr="00331E80">
        <w:rPr>
          <w:rFonts w:ascii="Times New Roman" w:hAnsi="Times New Roman" w:cs="Times New Roman"/>
          <w:color w:val="000000"/>
          <w:sz w:val="20"/>
          <w:szCs w:val="20"/>
          <w:lang w:val="fr-FR"/>
        </w:rPr>
        <w:t>58(6):547-55</w:t>
      </w:r>
      <w:r w:rsidRPr="00331E80">
        <w:rPr>
          <w:rFonts w:ascii="Times New Roman" w:hAnsi="Times New Roman" w:cs="Times New Roman"/>
          <w:bCs/>
          <w:color w:val="000000"/>
          <w:sz w:val="20"/>
          <w:szCs w:val="20"/>
          <w:lang w:val="fr-FR" w:bidi="ar-EG"/>
        </w:rPr>
        <w:t>.</w:t>
      </w:r>
    </w:p>
    <w:p w:rsidR="00DE4DBB" w:rsidRPr="00331E80" w:rsidRDefault="00DE4DBB" w:rsidP="00331E80">
      <w:pPr>
        <w:pStyle w:val="ListParagraph"/>
        <w:numPr>
          <w:ilvl w:val="0"/>
          <w:numId w:val="14"/>
        </w:numPr>
        <w:snapToGrid w:val="0"/>
        <w:spacing w:after="0" w:line="240" w:lineRule="auto"/>
        <w:ind w:left="425" w:hanging="425"/>
        <w:jc w:val="both"/>
        <w:rPr>
          <w:rFonts w:ascii="Times New Roman" w:hAnsi="Times New Roman" w:cs="Times New Roman"/>
          <w:color w:val="131413"/>
          <w:sz w:val="20"/>
          <w:szCs w:val="20"/>
        </w:rPr>
      </w:pPr>
      <w:r w:rsidRPr="00331E80">
        <w:rPr>
          <w:rFonts w:ascii="Times New Roman" w:hAnsi="Times New Roman" w:cs="Times New Roman"/>
          <w:bCs/>
          <w:sz w:val="20"/>
          <w:szCs w:val="20"/>
        </w:rPr>
        <w:t>Kobayashi</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H,</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Mochizuki</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H,</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Sugihara</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K,</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et</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al.</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(2007):</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Characteristics</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of</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recurrence</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and</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lastRenderedPageBreak/>
        <w:t>surveillance</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tools</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after</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curative</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resection</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for</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colorectal</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cancer:</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a</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multicenter</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study.</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Surgery,</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141,</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67-75.</w:t>
      </w:r>
    </w:p>
    <w:p w:rsidR="00DE4DBB" w:rsidRPr="0063403F" w:rsidRDefault="00DE4DBB" w:rsidP="00331E80">
      <w:pPr>
        <w:pStyle w:val="ListParagraph"/>
        <w:numPr>
          <w:ilvl w:val="0"/>
          <w:numId w:val="14"/>
        </w:numPr>
        <w:snapToGrid w:val="0"/>
        <w:spacing w:after="0" w:line="240" w:lineRule="auto"/>
        <w:ind w:left="425" w:hanging="425"/>
        <w:jc w:val="both"/>
        <w:rPr>
          <w:rFonts w:ascii="Times New Roman" w:hAnsi="Times New Roman" w:cs="Times New Roman"/>
          <w:bCs/>
          <w:sz w:val="20"/>
          <w:szCs w:val="20"/>
          <w:shd w:val="clear" w:color="auto" w:fill="FFFFFF"/>
        </w:rPr>
      </w:pPr>
      <w:r w:rsidRPr="00331E80">
        <w:rPr>
          <w:rFonts w:ascii="Times New Roman" w:hAnsi="Times New Roman" w:cs="Times New Roman"/>
          <w:bCs/>
          <w:sz w:val="20"/>
          <w:szCs w:val="20"/>
        </w:rPr>
        <w:t>Chen</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J,</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Zhai</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E</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and</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Yuan</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Y,</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et</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al.</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(2017</w:t>
      </w:r>
      <w:r w:rsidRPr="00331E80">
        <w:rPr>
          <w:rFonts w:ascii="Times New Roman" w:hAnsi="Times New Roman" w:cs="Times New Roman"/>
          <w:sz w:val="20"/>
          <w:szCs w:val="20"/>
        </w:rPr>
        <w:t>):</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Sy</w:t>
      </w:r>
      <w:r w:rsidRPr="0063403F">
        <w:rPr>
          <w:rFonts w:ascii="Times New Roman" w:hAnsi="Times New Roman" w:cs="Times New Roman"/>
          <w:bCs/>
          <w:sz w:val="20"/>
          <w:szCs w:val="20"/>
          <w:shd w:val="clear" w:color="auto" w:fill="FFFFFF"/>
        </w:rPr>
        <w:t>stemic</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immune-inflammation</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index</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for</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predicting</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prognosis</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of</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colorectal</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cancer</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World</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J</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Gastroenterol,</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23(34):</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6261-6272.</w:t>
      </w:r>
    </w:p>
    <w:p w:rsidR="00DE4DBB" w:rsidRPr="0063403F" w:rsidRDefault="00DE4DBB" w:rsidP="00331E80">
      <w:pPr>
        <w:pStyle w:val="ListParagraph"/>
        <w:numPr>
          <w:ilvl w:val="0"/>
          <w:numId w:val="14"/>
        </w:numPr>
        <w:snapToGrid w:val="0"/>
        <w:spacing w:after="0" w:line="240" w:lineRule="auto"/>
        <w:ind w:left="425" w:hanging="425"/>
        <w:jc w:val="both"/>
        <w:rPr>
          <w:rFonts w:ascii="Times New Roman" w:hAnsi="Times New Roman" w:cs="Times New Roman"/>
          <w:bCs/>
          <w:sz w:val="20"/>
          <w:szCs w:val="20"/>
          <w:shd w:val="clear" w:color="auto" w:fill="FFFFFF"/>
        </w:rPr>
      </w:pPr>
      <w:r w:rsidRPr="0063403F">
        <w:rPr>
          <w:rFonts w:ascii="Times New Roman" w:hAnsi="Times New Roman" w:cs="Times New Roman"/>
          <w:bCs/>
          <w:sz w:val="20"/>
          <w:szCs w:val="20"/>
          <w:shd w:val="clear" w:color="auto" w:fill="FFFFFF"/>
        </w:rPr>
        <w:t>Absenger</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G,</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Szkandera</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J,</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Pichler</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M</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et</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al.</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(2013):</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A</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derived</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neutrophil</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to</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lymphocyte</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ratio</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predicts</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clinical</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outcome</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in</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stage</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II</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and</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III</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colon</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cancer</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patients.</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Br</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J</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Cancer,</w:t>
      </w:r>
      <w:r w:rsidR="00801C75" w:rsidRPr="0063403F">
        <w:rPr>
          <w:rFonts w:ascii="Times New Roman" w:hAnsi="Times New Roman" w:cs="Times New Roman"/>
          <w:bCs/>
          <w:sz w:val="20"/>
          <w:szCs w:val="20"/>
          <w:shd w:val="clear" w:color="auto" w:fill="FFFFFF"/>
        </w:rPr>
        <w:t xml:space="preserve"> </w:t>
      </w:r>
      <w:r w:rsidRPr="0063403F">
        <w:rPr>
          <w:rFonts w:ascii="Times New Roman" w:hAnsi="Times New Roman" w:cs="Times New Roman"/>
          <w:bCs/>
          <w:sz w:val="20"/>
          <w:szCs w:val="20"/>
          <w:shd w:val="clear" w:color="auto" w:fill="FFFFFF"/>
        </w:rPr>
        <w:t>109,395–400.</w:t>
      </w:r>
    </w:p>
    <w:p w:rsidR="00DE4DBB" w:rsidRPr="00331E80" w:rsidRDefault="00DE4DBB" w:rsidP="00331E80">
      <w:pPr>
        <w:pStyle w:val="ListParagraph"/>
        <w:numPr>
          <w:ilvl w:val="0"/>
          <w:numId w:val="14"/>
        </w:numPr>
        <w:snapToGrid w:val="0"/>
        <w:spacing w:after="0" w:line="240" w:lineRule="auto"/>
        <w:ind w:left="425" w:hanging="425"/>
        <w:jc w:val="both"/>
        <w:rPr>
          <w:rFonts w:ascii="Times New Roman" w:hAnsi="Times New Roman" w:cs="Times New Roman"/>
          <w:color w:val="131413"/>
          <w:sz w:val="20"/>
          <w:szCs w:val="20"/>
        </w:rPr>
      </w:pPr>
      <w:r w:rsidRPr="00331E80">
        <w:rPr>
          <w:rFonts w:ascii="Times New Roman" w:hAnsi="Times New Roman" w:cs="Times New Roman"/>
          <w:bCs/>
          <w:sz w:val="20"/>
          <w:szCs w:val="20"/>
          <w:shd w:val="clear" w:color="auto" w:fill="FFFFFF"/>
        </w:rPr>
        <w:t>Mercier</w:t>
      </w:r>
      <w:r w:rsidR="00801C75" w:rsidRPr="00331E80">
        <w:rPr>
          <w:rFonts w:ascii="Times New Roman" w:hAnsi="Times New Roman" w:cs="Times New Roman"/>
          <w:bCs/>
          <w:sz w:val="20"/>
          <w:szCs w:val="20"/>
          <w:shd w:val="clear" w:color="auto" w:fill="FFFFFF"/>
        </w:rPr>
        <w:t xml:space="preserve"> </w:t>
      </w:r>
      <w:r w:rsidRPr="00331E80">
        <w:rPr>
          <w:rFonts w:ascii="Times New Roman" w:hAnsi="Times New Roman" w:cs="Times New Roman"/>
          <w:bCs/>
          <w:sz w:val="20"/>
          <w:szCs w:val="20"/>
          <w:shd w:val="clear" w:color="auto" w:fill="FFFFFF"/>
        </w:rPr>
        <w:t>J</w:t>
      </w:r>
      <w:r w:rsidRPr="00331E80">
        <w:rPr>
          <w:rFonts w:ascii="Times New Roman" w:hAnsi="Times New Roman" w:cs="Times New Roman"/>
          <w:bCs/>
          <w:sz w:val="20"/>
          <w:szCs w:val="20"/>
          <w:shd w:val="clear" w:color="auto" w:fill="FFFFFF"/>
          <w:lang w:val="en-GB"/>
        </w:rPr>
        <w:t>,</w:t>
      </w:r>
      <w:r w:rsidR="00801C75" w:rsidRPr="00331E80">
        <w:rPr>
          <w:rFonts w:ascii="Times New Roman" w:hAnsi="Times New Roman" w:cs="Times New Roman"/>
          <w:bCs/>
          <w:sz w:val="20"/>
          <w:szCs w:val="20"/>
          <w:shd w:val="clear" w:color="auto" w:fill="FFFFFF"/>
        </w:rPr>
        <w:t xml:space="preserve"> </w:t>
      </w:r>
      <w:r w:rsidRPr="00331E80">
        <w:rPr>
          <w:rFonts w:ascii="Times New Roman" w:hAnsi="Times New Roman" w:cs="Times New Roman"/>
          <w:bCs/>
          <w:sz w:val="20"/>
          <w:szCs w:val="20"/>
          <w:shd w:val="clear" w:color="auto" w:fill="FFFFFF"/>
        </w:rPr>
        <w:t>Voutsadakis</w:t>
      </w:r>
      <w:r w:rsidR="00801C75" w:rsidRPr="00331E80">
        <w:rPr>
          <w:rFonts w:ascii="Times New Roman" w:hAnsi="Times New Roman" w:cs="Times New Roman"/>
          <w:bCs/>
          <w:sz w:val="20"/>
          <w:szCs w:val="20"/>
          <w:shd w:val="clear" w:color="auto" w:fill="FFFFFF"/>
        </w:rPr>
        <w:t xml:space="preserve"> </w:t>
      </w:r>
      <w:r w:rsidRPr="00331E80">
        <w:rPr>
          <w:rFonts w:ascii="Times New Roman" w:hAnsi="Times New Roman" w:cs="Times New Roman"/>
          <w:bCs/>
          <w:sz w:val="20"/>
          <w:szCs w:val="20"/>
          <w:shd w:val="clear" w:color="auto" w:fill="FFFFFF"/>
        </w:rPr>
        <w:t>and</w:t>
      </w:r>
      <w:r w:rsidR="00801C75" w:rsidRPr="00331E80">
        <w:rPr>
          <w:rFonts w:ascii="Times New Roman" w:hAnsi="Times New Roman" w:cs="Times New Roman"/>
          <w:bCs/>
          <w:sz w:val="20"/>
          <w:szCs w:val="20"/>
          <w:shd w:val="clear" w:color="auto" w:fill="FFFFFF"/>
        </w:rPr>
        <w:t xml:space="preserve"> </w:t>
      </w:r>
      <w:r w:rsidRPr="00331E80">
        <w:rPr>
          <w:rFonts w:ascii="Times New Roman" w:hAnsi="Times New Roman" w:cs="Times New Roman"/>
          <w:bCs/>
          <w:sz w:val="20"/>
          <w:szCs w:val="20"/>
          <w:shd w:val="clear" w:color="auto" w:fill="FFFFFF"/>
        </w:rPr>
        <w:t>L</w:t>
      </w:r>
      <w:r w:rsidR="00801C75" w:rsidRPr="00331E80">
        <w:rPr>
          <w:rFonts w:ascii="Times New Roman" w:hAnsi="Times New Roman" w:cs="Times New Roman"/>
          <w:bCs/>
          <w:sz w:val="20"/>
          <w:szCs w:val="20"/>
          <w:shd w:val="clear" w:color="auto" w:fill="FFFFFF"/>
        </w:rPr>
        <w:t xml:space="preserve"> </w:t>
      </w:r>
      <w:r w:rsidRPr="00331E80">
        <w:rPr>
          <w:rFonts w:ascii="Times New Roman" w:hAnsi="Times New Roman" w:cs="Times New Roman"/>
          <w:bCs/>
          <w:sz w:val="20"/>
          <w:szCs w:val="20"/>
          <w:shd w:val="clear" w:color="auto" w:fill="FFFFFF"/>
        </w:rPr>
        <w:t>A.</w:t>
      </w:r>
      <w:r w:rsidR="00801C75" w:rsidRPr="00331E80">
        <w:rPr>
          <w:rFonts w:ascii="Times New Roman" w:hAnsi="Times New Roman" w:cs="Times New Roman"/>
          <w:bCs/>
          <w:sz w:val="20"/>
          <w:szCs w:val="20"/>
          <w:shd w:val="clear" w:color="auto" w:fill="FFFFFF"/>
        </w:rPr>
        <w:t xml:space="preserve"> </w:t>
      </w:r>
      <w:r w:rsidRPr="00331E80">
        <w:rPr>
          <w:rFonts w:ascii="Times New Roman" w:hAnsi="Times New Roman" w:cs="Times New Roman"/>
          <w:bCs/>
          <w:sz w:val="20"/>
          <w:szCs w:val="20"/>
          <w:shd w:val="clear" w:color="auto" w:fill="FFFFFF"/>
        </w:rPr>
        <w:t>et</w:t>
      </w:r>
      <w:r w:rsidR="00801C75" w:rsidRPr="00331E80">
        <w:rPr>
          <w:rFonts w:ascii="Times New Roman" w:hAnsi="Times New Roman" w:cs="Times New Roman"/>
          <w:bCs/>
          <w:sz w:val="20"/>
          <w:szCs w:val="20"/>
          <w:shd w:val="clear" w:color="auto" w:fill="FFFFFF"/>
        </w:rPr>
        <w:t xml:space="preserve"> </w:t>
      </w:r>
      <w:r w:rsidRPr="00331E80">
        <w:rPr>
          <w:rFonts w:ascii="Times New Roman" w:hAnsi="Times New Roman" w:cs="Times New Roman"/>
          <w:bCs/>
          <w:sz w:val="20"/>
          <w:szCs w:val="20"/>
          <w:shd w:val="clear" w:color="auto" w:fill="FFFFFF"/>
        </w:rPr>
        <w:t>al.</w:t>
      </w:r>
      <w:r w:rsidR="00801C75" w:rsidRPr="00331E80">
        <w:rPr>
          <w:rFonts w:ascii="Times New Roman" w:hAnsi="Times New Roman" w:cs="Times New Roman"/>
          <w:bCs/>
          <w:sz w:val="20"/>
          <w:szCs w:val="20"/>
          <w:shd w:val="clear" w:color="auto" w:fill="FFFFFF"/>
        </w:rPr>
        <w:t xml:space="preserve"> </w:t>
      </w:r>
      <w:r w:rsidRPr="00331E80">
        <w:rPr>
          <w:rFonts w:ascii="Times New Roman" w:hAnsi="Times New Roman" w:cs="Times New Roman"/>
          <w:bCs/>
          <w:sz w:val="20"/>
          <w:szCs w:val="20"/>
          <w:shd w:val="clear" w:color="auto" w:fill="FFFFFF"/>
        </w:rPr>
        <w:t>(2018):</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Comparison</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of</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Hematologic</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and</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Other</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Prognostic</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Markers</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in</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Metastatic</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Colorectal</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Cancer.</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Journal</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of</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Gastrointestinal</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Cancer.</w:t>
      </w:r>
    </w:p>
    <w:p w:rsidR="00DE4DBB" w:rsidRPr="00331E80" w:rsidRDefault="00DE4DBB" w:rsidP="00331E80">
      <w:pPr>
        <w:pStyle w:val="ListParagraph"/>
        <w:numPr>
          <w:ilvl w:val="0"/>
          <w:numId w:val="14"/>
        </w:numPr>
        <w:autoSpaceDE w:val="0"/>
        <w:autoSpaceDN w:val="0"/>
        <w:snapToGrid w:val="0"/>
        <w:spacing w:after="0" w:line="240" w:lineRule="auto"/>
        <w:ind w:left="425" w:hanging="425"/>
        <w:jc w:val="both"/>
        <w:rPr>
          <w:rStyle w:val="page"/>
          <w:rFonts w:ascii="Times New Roman" w:eastAsia="Batang" w:hAnsi="Times New Roman" w:cs="Times New Roman"/>
          <w:bCs/>
          <w:color w:val="000000"/>
          <w:sz w:val="20"/>
          <w:szCs w:val="20"/>
        </w:rPr>
      </w:pPr>
      <w:r w:rsidRPr="00331E80">
        <w:rPr>
          <w:rFonts w:ascii="Times New Roman" w:hAnsi="Times New Roman" w:cs="Times New Roman"/>
          <w:bCs/>
          <w:sz w:val="20"/>
          <w:szCs w:val="20"/>
          <w:shd w:val="clear" w:color="auto" w:fill="FFFFFF"/>
          <w:lang w:val="fr-FR"/>
        </w:rPr>
        <w:t>Wan</w:t>
      </w:r>
      <w:r w:rsidR="00166A00" w:rsidRPr="00331E80">
        <w:rPr>
          <w:rFonts w:ascii="Times New Roman" w:hAnsi="Times New Roman" w:cs="Times New Roman"/>
          <w:bCs/>
          <w:sz w:val="20"/>
          <w:szCs w:val="20"/>
          <w:shd w:val="clear" w:color="auto" w:fill="FFFFFF"/>
          <w:lang w:val="fr-FR"/>
        </w:rPr>
        <w:t>g</w:t>
      </w:r>
      <w:r w:rsidR="00166A00">
        <w:rPr>
          <w:rFonts w:ascii="Times New Roman" w:hAnsi="Times New Roman" w:cs="Times New Roman"/>
          <w:bCs/>
          <w:sz w:val="20"/>
          <w:szCs w:val="20"/>
          <w:shd w:val="clear" w:color="auto" w:fill="FFFFFF"/>
          <w:lang w:val="fr-FR"/>
        </w:rPr>
        <w:t xml:space="preserve"> </w:t>
      </w:r>
      <w:r w:rsidR="00166A00" w:rsidRPr="00331E80">
        <w:rPr>
          <w:rFonts w:ascii="Times New Roman" w:hAnsi="Times New Roman" w:cs="Times New Roman"/>
          <w:bCs/>
          <w:sz w:val="20"/>
          <w:szCs w:val="20"/>
          <w:shd w:val="clear" w:color="auto" w:fill="FFFFFF"/>
          <w:lang w:val="fr-FR"/>
        </w:rPr>
        <w:t>Y</w:t>
      </w:r>
      <w:r w:rsidRPr="00331E80">
        <w:rPr>
          <w:rFonts w:ascii="Times New Roman" w:hAnsi="Times New Roman" w:cs="Times New Roman"/>
          <w:bCs/>
          <w:sz w:val="20"/>
          <w:szCs w:val="20"/>
          <w:shd w:val="clear" w:color="auto" w:fill="FFFFFF"/>
          <w:lang w:val="fr-FR"/>
        </w:rPr>
        <w:t>,</w:t>
      </w:r>
      <w:r w:rsidR="00801C75" w:rsidRPr="00331E80">
        <w:rPr>
          <w:rFonts w:ascii="Times New Roman" w:hAnsi="Times New Roman" w:cs="Times New Roman"/>
          <w:bCs/>
          <w:sz w:val="20"/>
          <w:szCs w:val="20"/>
          <w:shd w:val="clear" w:color="auto" w:fill="FFFFFF"/>
          <w:lang w:val="fr-FR"/>
        </w:rPr>
        <w:t xml:space="preserve"> </w:t>
      </w:r>
      <w:r w:rsidRPr="00331E80">
        <w:rPr>
          <w:rFonts w:ascii="Times New Roman" w:hAnsi="Times New Roman" w:cs="Times New Roman"/>
          <w:bCs/>
          <w:sz w:val="20"/>
          <w:szCs w:val="20"/>
          <w:shd w:val="clear" w:color="auto" w:fill="FFFFFF"/>
          <w:lang w:val="fr-FR"/>
        </w:rPr>
        <w:t>Deng</w:t>
      </w:r>
      <w:r w:rsidR="00801C75" w:rsidRPr="00331E80">
        <w:rPr>
          <w:rFonts w:ascii="Times New Roman" w:hAnsi="Times New Roman" w:cs="Times New Roman"/>
          <w:bCs/>
          <w:sz w:val="20"/>
          <w:szCs w:val="20"/>
          <w:shd w:val="clear" w:color="auto" w:fill="FFFFFF"/>
          <w:lang w:val="fr-FR"/>
        </w:rPr>
        <w:t xml:space="preserve"> </w:t>
      </w:r>
      <w:r w:rsidRPr="00331E80">
        <w:rPr>
          <w:rFonts w:ascii="Times New Roman" w:hAnsi="Times New Roman" w:cs="Times New Roman"/>
          <w:bCs/>
          <w:sz w:val="20"/>
          <w:szCs w:val="20"/>
          <w:shd w:val="clear" w:color="auto" w:fill="FFFFFF"/>
          <w:lang w:val="fr-FR"/>
        </w:rPr>
        <w:t>S,</w:t>
      </w:r>
      <w:r w:rsidR="00801C75" w:rsidRPr="00331E80">
        <w:rPr>
          <w:rFonts w:ascii="Times New Roman" w:hAnsi="Times New Roman" w:cs="Times New Roman"/>
          <w:bCs/>
          <w:sz w:val="20"/>
          <w:szCs w:val="20"/>
          <w:shd w:val="clear" w:color="auto" w:fill="FFFFFF"/>
          <w:lang w:val="fr-FR"/>
        </w:rPr>
        <w:t xml:space="preserve"> </w:t>
      </w:r>
      <w:r w:rsidRPr="00331E80">
        <w:rPr>
          <w:rFonts w:ascii="Times New Roman" w:hAnsi="Times New Roman" w:cs="Times New Roman"/>
          <w:bCs/>
          <w:sz w:val="20"/>
          <w:szCs w:val="20"/>
          <w:shd w:val="clear" w:color="auto" w:fill="FFFFFF"/>
          <w:lang w:val="fr-FR"/>
        </w:rPr>
        <w:t>Yang</w:t>
      </w:r>
      <w:r w:rsidR="00801C75" w:rsidRPr="00331E80">
        <w:rPr>
          <w:rFonts w:ascii="Times New Roman" w:hAnsi="Times New Roman" w:cs="Times New Roman"/>
          <w:bCs/>
          <w:sz w:val="20"/>
          <w:szCs w:val="20"/>
          <w:shd w:val="clear" w:color="auto" w:fill="FFFFFF"/>
          <w:lang w:val="fr-FR"/>
        </w:rPr>
        <w:t xml:space="preserve"> </w:t>
      </w:r>
      <w:r w:rsidRPr="00331E80">
        <w:rPr>
          <w:rFonts w:ascii="Times New Roman" w:hAnsi="Times New Roman" w:cs="Times New Roman"/>
          <w:bCs/>
          <w:sz w:val="20"/>
          <w:szCs w:val="20"/>
          <w:shd w:val="clear" w:color="auto" w:fill="FFFFFF"/>
          <w:lang w:val="fr-FR"/>
        </w:rPr>
        <w:t>Y</w:t>
      </w:r>
      <w:r w:rsidR="00801C75" w:rsidRPr="00331E80">
        <w:rPr>
          <w:rFonts w:ascii="Times New Roman" w:hAnsi="Times New Roman" w:cs="Times New Roman"/>
          <w:bCs/>
          <w:sz w:val="20"/>
          <w:szCs w:val="20"/>
          <w:shd w:val="clear" w:color="auto" w:fill="FFFFFF"/>
          <w:lang w:val="fr-FR"/>
        </w:rPr>
        <w:t xml:space="preserve"> </w:t>
      </w:r>
      <w:r w:rsidRPr="00331E80">
        <w:rPr>
          <w:rFonts w:ascii="Times New Roman" w:hAnsi="Times New Roman" w:cs="Times New Roman"/>
          <w:bCs/>
          <w:sz w:val="20"/>
          <w:szCs w:val="20"/>
          <w:shd w:val="clear" w:color="auto" w:fill="FFFFFF"/>
          <w:lang w:val="fr-FR"/>
        </w:rPr>
        <w:t>et</w:t>
      </w:r>
      <w:r w:rsidR="00801C75" w:rsidRPr="00331E80">
        <w:rPr>
          <w:rFonts w:ascii="Times New Roman" w:hAnsi="Times New Roman" w:cs="Times New Roman"/>
          <w:bCs/>
          <w:sz w:val="20"/>
          <w:szCs w:val="20"/>
          <w:shd w:val="clear" w:color="auto" w:fill="FFFFFF"/>
          <w:lang w:val="fr-FR"/>
        </w:rPr>
        <w:t xml:space="preserve"> </w:t>
      </w:r>
      <w:r w:rsidRPr="00331E80">
        <w:rPr>
          <w:rFonts w:ascii="Times New Roman" w:hAnsi="Times New Roman" w:cs="Times New Roman"/>
          <w:bCs/>
          <w:sz w:val="20"/>
          <w:szCs w:val="20"/>
          <w:shd w:val="clear" w:color="auto" w:fill="FFFFFF"/>
          <w:lang w:val="fr-FR"/>
        </w:rPr>
        <w:t>al.</w:t>
      </w:r>
      <w:r w:rsidR="00801C75" w:rsidRPr="00331E80">
        <w:rPr>
          <w:rFonts w:ascii="Times New Roman" w:hAnsi="Times New Roman" w:cs="Times New Roman"/>
          <w:bCs/>
          <w:sz w:val="20"/>
          <w:szCs w:val="20"/>
          <w:shd w:val="clear" w:color="auto" w:fill="FFFFFF"/>
          <w:lang w:val="fr-FR"/>
        </w:rPr>
        <w:t xml:space="preserve"> </w:t>
      </w:r>
      <w:r w:rsidRPr="00331E80">
        <w:rPr>
          <w:rFonts w:ascii="Times New Roman" w:hAnsi="Times New Roman" w:cs="Times New Roman"/>
          <w:bCs/>
          <w:sz w:val="20"/>
          <w:szCs w:val="20"/>
          <w:shd w:val="clear" w:color="auto" w:fill="FFFFFF"/>
        </w:rPr>
        <w:t>(2017):</w:t>
      </w:r>
      <w:r w:rsidR="00801C75" w:rsidRPr="00331E80">
        <w:rPr>
          <w:rFonts w:ascii="Times New Roman" w:hAnsi="Times New Roman" w:cs="Times New Roman"/>
          <w:bCs/>
          <w:sz w:val="20"/>
          <w:szCs w:val="20"/>
          <w:shd w:val="clear" w:color="auto" w:fill="FFFFFF"/>
        </w:rPr>
        <w:t xml:space="preserve"> </w:t>
      </w:r>
      <w:r w:rsidRPr="00331E80">
        <w:rPr>
          <w:rFonts w:ascii="Times New Roman" w:hAnsi="Times New Roman" w:cs="Times New Roman"/>
          <w:sz w:val="20"/>
          <w:szCs w:val="20"/>
          <w:shd w:val="clear" w:color="auto" w:fill="FFFFFF"/>
        </w:rPr>
        <w:t>The</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pretreatment</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thrombocytosis</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may</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predict</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prognosis</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of</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patients</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with</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colorectal</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cancer:</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A</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systematic</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review</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and</w:t>
      </w:r>
      <w:r w:rsidR="00801C75" w:rsidRPr="00331E80">
        <w:rPr>
          <w:rFonts w:ascii="Times New Roman" w:hAnsi="Times New Roman" w:cs="Times New Roman"/>
          <w:sz w:val="20"/>
          <w:szCs w:val="20"/>
          <w:shd w:val="clear" w:color="auto" w:fill="FFFFFF"/>
        </w:rPr>
        <w:t xml:space="preserve"> </w:t>
      </w:r>
      <w:r w:rsidRPr="00331E80">
        <w:rPr>
          <w:rFonts w:ascii="Times New Roman" w:hAnsi="Times New Roman" w:cs="Times New Roman"/>
          <w:sz w:val="20"/>
          <w:szCs w:val="20"/>
          <w:shd w:val="clear" w:color="auto" w:fill="FFFFFF"/>
        </w:rPr>
        <w:t>meta-analysis.</w:t>
      </w:r>
      <w:r w:rsidR="00801C75" w:rsidRPr="00331E80">
        <w:rPr>
          <w:rFonts w:ascii="Times New Roman" w:hAnsi="Times New Roman" w:cs="Times New Roman"/>
          <w:sz w:val="20"/>
          <w:szCs w:val="20"/>
          <w:shd w:val="clear" w:color="auto" w:fill="FFFFFF"/>
        </w:rPr>
        <w:t xml:space="preserve"> </w:t>
      </w:r>
      <w:r w:rsidRPr="00331E80">
        <w:rPr>
          <w:rStyle w:val="journalname"/>
          <w:rFonts w:ascii="Times New Roman" w:hAnsi="Times New Roman" w:cs="Times New Roman"/>
          <w:sz w:val="20"/>
          <w:szCs w:val="20"/>
          <w:shd w:val="clear" w:color="auto" w:fill="FFFFFF"/>
        </w:rPr>
        <w:t>Biomarkers</w:t>
      </w:r>
      <w:r w:rsidR="00801C75" w:rsidRPr="00331E80">
        <w:rPr>
          <w:rStyle w:val="journalname"/>
          <w:rFonts w:ascii="Times New Roman" w:hAnsi="Times New Roman" w:cs="Times New Roman"/>
          <w:sz w:val="20"/>
          <w:szCs w:val="20"/>
          <w:shd w:val="clear" w:color="auto" w:fill="FFFFFF"/>
        </w:rPr>
        <w:t xml:space="preserve"> </w:t>
      </w:r>
      <w:r w:rsidRPr="00331E80">
        <w:rPr>
          <w:rStyle w:val="journalname"/>
          <w:rFonts w:ascii="Times New Roman" w:hAnsi="Times New Roman" w:cs="Times New Roman"/>
          <w:sz w:val="20"/>
          <w:szCs w:val="20"/>
          <w:shd w:val="clear" w:color="auto" w:fill="FFFFFF"/>
        </w:rPr>
        <w:t>in</w:t>
      </w:r>
      <w:r w:rsidR="00801C75" w:rsidRPr="00331E80">
        <w:rPr>
          <w:rStyle w:val="journalname"/>
          <w:rFonts w:ascii="Times New Roman" w:hAnsi="Times New Roman" w:cs="Times New Roman"/>
          <w:sz w:val="20"/>
          <w:szCs w:val="20"/>
          <w:shd w:val="clear" w:color="auto" w:fill="FFFFFF"/>
        </w:rPr>
        <w:t xml:space="preserve"> </w:t>
      </w:r>
      <w:r w:rsidRPr="00331E80">
        <w:rPr>
          <w:rStyle w:val="journalname"/>
          <w:rFonts w:ascii="Times New Roman" w:hAnsi="Times New Roman" w:cs="Times New Roman"/>
          <w:sz w:val="20"/>
          <w:szCs w:val="20"/>
          <w:shd w:val="clear" w:color="auto" w:fill="FFFFFF"/>
        </w:rPr>
        <w:t>Medicine</w:t>
      </w:r>
      <w:r w:rsidRPr="00331E80">
        <w:rPr>
          <w:rFonts w:ascii="Times New Roman" w:hAnsi="Times New Roman" w:cs="Times New Roman"/>
          <w:sz w:val="20"/>
          <w:szCs w:val="20"/>
          <w:shd w:val="clear" w:color="auto" w:fill="FFFFFF"/>
        </w:rPr>
        <w:t>;</w:t>
      </w:r>
      <w:r w:rsidR="00801C75" w:rsidRPr="00331E80">
        <w:rPr>
          <w:rStyle w:val="volume"/>
          <w:rFonts w:ascii="Times New Roman" w:hAnsi="Times New Roman"/>
          <w:sz w:val="20"/>
          <w:szCs w:val="20"/>
          <w:shd w:val="clear" w:color="auto" w:fill="FFFFFF"/>
        </w:rPr>
        <w:t xml:space="preserve"> </w:t>
      </w:r>
      <w:r w:rsidRPr="00331E80">
        <w:rPr>
          <w:rStyle w:val="volume"/>
          <w:rFonts w:ascii="Times New Roman" w:hAnsi="Times New Roman"/>
          <w:sz w:val="20"/>
          <w:szCs w:val="20"/>
          <w:shd w:val="clear" w:color="auto" w:fill="FFFFFF"/>
        </w:rPr>
        <w:t>11</w:t>
      </w:r>
      <w:r w:rsidRPr="00331E80">
        <w:rPr>
          <w:rStyle w:val="page"/>
          <w:rFonts w:ascii="Times New Roman" w:hAnsi="Times New Roman" w:cs="Times New Roman"/>
          <w:sz w:val="20"/>
          <w:szCs w:val="20"/>
          <w:shd w:val="clear" w:color="auto" w:fill="FFFFFF"/>
        </w:rPr>
        <w:t>(2):195-210.</w:t>
      </w:r>
    </w:p>
    <w:p w:rsidR="00DE4DBB" w:rsidRPr="00331E80" w:rsidRDefault="00DE4DBB" w:rsidP="00331E80">
      <w:pPr>
        <w:pStyle w:val="ListParagraph"/>
        <w:numPr>
          <w:ilvl w:val="0"/>
          <w:numId w:val="14"/>
        </w:numPr>
        <w:autoSpaceDE w:val="0"/>
        <w:autoSpaceDN w:val="0"/>
        <w:snapToGrid w:val="0"/>
        <w:spacing w:after="0" w:line="240" w:lineRule="auto"/>
        <w:ind w:left="425" w:hanging="425"/>
        <w:jc w:val="both"/>
        <w:rPr>
          <w:rFonts w:ascii="Times New Roman" w:eastAsia="Batang" w:hAnsi="Times New Roman" w:cs="Times New Roman"/>
          <w:bCs/>
          <w:color w:val="000000"/>
          <w:sz w:val="20"/>
          <w:szCs w:val="20"/>
        </w:rPr>
      </w:pPr>
      <w:r w:rsidRPr="00331E80">
        <w:rPr>
          <w:rFonts w:ascii="Times New Roman" w:hAnsi="Times New Roman" w:cs="Times New Roman"/>
          <w:bCs/>
          <w:sz w:val="20"/>
          <w:szCs w:val="20"/>
        </w:rPr>
        <w:t>Rao</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X,</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Zhang</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H,</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and</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Xu</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Z,</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et</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al.</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(2018)</w:t>
      </w:r>
      <w:r w:rsidR="00331E80" w:rsidRPr="00331E80">
        <w:rPr>
          <w:rFonts w:ascii="Times New Roman" w:hAnsi="Times New Roman" w:cs="Times New Roman"/>
          <w:bCs/>
          <w:sz w:val="20"/>
          <w:szCs w:val="20"/>
        </w:rPr>
        <w:t>:</w:t>
      </w:r>
      <w:r w:rsidR="00331E80">
        <w:rPr>
          <w:rFonts w:ascii="Times New Roman" w:hAnsi="Times New Roman" w:cs="Times New Roman"/>
          <w:bCs/>
          <w:sz w:val="20"/>
          <w:szCs w:val="20"/>
        </w:rPr>
        <w:t xml:space="preserve"> </w:t>
      </w:r>
      <w:r w:rsidR="00331E80" w:rsidRPr="00331E80">
        <w:rPr>
          <w:rFonts w:ascii="Times New Roman" w:hAnsi="Times New Roman" w:cs="Times New Roman"/>
          <w:sz w:val="20"/>
          <w:szCs w:val="20"/>
        </w:rPr>
        <w:t>P</w:t>
      </w:r>
      <w:r w:rsidRPr="00331E80">
        <w:rPr>
          <w:rFonts w:ascii="Times New Roman" w:hAnsi="Times New Roman" w:cs="Times New Roman"/>
          <w:sz w:val="20"/>
          <w:szCs w:val="20"/>
        </w:rPr>
        <w:t>oor</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prognostic</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role</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of</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the</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pretreatment</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platelet</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counts</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in</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colorectal</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cancer.</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A</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meta-analysis.</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Medicine</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(2018)</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97:23.</w:t>
      </w:r>
    </w:p>
    <w:p w:rsidR="00DE4DBB" w:rsidRPr="00331E80" w:rsidRDefault="00DE4DBB" w:rsidP="00331E80">
      <w:pPr>
        <w:pStyle w:val="ListParagraph"/>
        <w:numPr>
          <w:ilvl w:val="0"/>
          <w:numId w:val="14"/>
        </w:numPr>
        <w:snapToGrid w:val="0"/>
        <w:spacing w:after="0" w:line="240" w:lineRule="auto"/>
        <w:ind w:left="425" w:hanging="425"/>
        <w:jc w:val="both"/>
        <w:rPr>
          <w:color w:val="131413"/>
          <w:sz w:val="20"/>
          <w:szCs w:val="20"/>
        </w:rPr>
      </w:pPr>
      <w:r w:rsidRPr="00331E80">
        <w:rPr>
          <w:rFonts w:ascii="Times New Roman" w:hAnsi="Times New Roman" w:cs="Times New Roman"/>
          <w:bCs/>
          <w:sz w:val="20"/>
          <w:szCs w:val="20"/>
        </w:rPr>
        <w:t>Nyasavajjala</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SM,</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Runau</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F</w:t>
      </w:r>
      <w:r w:rsidR="00801C75" w:rsidRPr="00331E80">
        <w:rPr>
          <w:rFonts w:ascii="Times New Roman" w:hAnsi="Times New Roman" w:cs="Times New Roman"/>
          <w:bCs/>
          <w:sz w:val="20"/>
          <w:szCs w:val="20"/>
          <w:lang w:val="en-GB"/>
        </w:rPr>
        <w:t xml:space="preserve"> </w:t>
      </w:r>
      <w:r w:rsidRPr="00331E80">
        <w:rPr>
          <w:rFonts w:ascii="Times New Roman" w:hAnsi="Times New Roman" w:cs="Times New Roman"/>
          <w:bCs/>
          <w:sz w:val="20"/>
          <w:szCs w:val="20"/>
          <w:lang w:val="en-GB"/>
        </w:rPr>
        <w:t>and</w:t>
      </w:r>
      <w:r w:rsidR="00801C75" w:rsidRPr="00331E80">
        <w:rPr>
          <w:rFonts w:ascii="Times New Roman" w:hAnsi="Times New Roman" w:cs="Times New Roman"/>
          <w:bCs/>
          <w:sz w:val="20"/>
          <w:szCs w:val="20"/>
          <w:lang w:val="en-GB"/>
        </w:rPr>
        <w:t xml:space="preserve"> </w:t>
      </w:r>
      <w:r w:rsidRPr="00331E80">
        <w:rPr>
          <w:rFonts w:ascii="Times New Roman" w:hAnsi="Times New Roman" w:cs="Times New Roman"/>
          <w:bCs/>
          <w:sz w:val="20"/>
          <w:szCs w:val="20"/>
        </w:rPr>
        <w:t>Datta</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S,</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et</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al.</w:t>
      </w:r>
      <w:r w:rsidR="00801C75" w:rsidRPr="00331E80">
        <w:rPr>
          <w:rFonts w:ascii="Times New Roman" w:hAnsi="Times New Roman" w:cs="Times New Roman"/>
          <w:bCs/>
          <w:sz w:val="20"/>
          <w:szCs w:val="20"/>
        </w:rPr>
        <w:t xml:space="preserve"> </w:t>
      </w:r>
      <w:r w:rsidRPr="00331E80">
        <w:rPr>
          <w:rFonts w:ascii="Times New Roman" w:hAnsi="Times New Roman" w:cs="Times New Roman"/>
          <w:bCs/>
          <w:sz w:val="20"/>
          <w:szCs w:val="20"/>
        </w:rPr>
        <w:t>(2010):</w:t>
      </w:r>
      <w:r w:rsidR="00801C75" w:rsidRPr="00331E80">
        <w:rPr>
          <w:rFonts w:ascii="Times New Roman" w:hAnsi="Times New Roman" w:cs="Times New Roman"/>
          <w:bCs/>
          <w:sz w:val="20"/>
          <w:szCs w:val="20"/>
        </w:rPr>
        <w:t xml:space="preserve"> </w:t>
      </w:r>
      <w:r w:rsidRPr="00331E80">
        <w:rPr>
          <w:rFonts w:ascii="Times New Roman" w:hAnsi="Times New Roman" w:cs="Times New Roman"/>
          <w:sz w:val="20"/>
          <w:szCs w:val="20"/>
        </w:rPr>
        <w:t>Is</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there</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a</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role</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for</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pre-operative</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thrombocytosis</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in</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the</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management</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of</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colorectal</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cancer?</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Int</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J</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Surg</w:t>
      </w:r>
      <w:r w:rsidRPr="00331E80">
        <w:rPr>
          <w:rFonts w:ascii="Times New Roman" w:hAnsi="Times New Roman" w:cs="Times New Roman"/>
          <w:sz w:val="20"/>
          <w:szCs w:val="20"/>
          <w:lang w:val="en-GB"/>
        </w:rPr>
        <w:t>,</w:t>
      </w:r>
      <w:r w:rsidR="00801C75" w:rsidRPr="00331E80">
        <w:rPr>
          <w:rFonts w:ascii="Times New Roman" w:hAnsi="Times New Roman" w:cs="Times New Roman"/>
          <w:sz w:val="20"/>
          <w:szCs w:val="20"/>
        </w:rPr>
        <w:t xml:space="preserve"> </w:t>
      </w:r>
      <w:r w:rsidRPr="00331E80">
        <w:rPr>
          <w:rFonts w:ascii="Times New Roman" w:hAnsi="Times New Roman" w:cs="Times New Roman"/>
          <w:sz w:val="20"/>
          <w:szCs w:val="20"/>
        </w:rPr>
        <w:t>8</w:t>
      </w:r>
      <w:r w:rsidRPr="00331E80">
        <w:rPr>
          <w:sz w:val="20"/>
          <w:szCs w:val="20"/>
        </w:rPr>
        <w:t>,</w:t>
      </w:r>
      <w:r w:rsidR="00801C75" w:rsidRPr="00331E80">
        <w:rPr>
          <w:sz w:val="20"/>
          <w:szCs w:val="20"/>
        </w:rPr>
        <w:t xml:space="preserve"> </w:t>
      </w:r>
      <w:r w:rsidRPr="00331E80">
        <w:rPr>
          <w:sz w:val="20"/>
          <w:szCs w:val="20"/>
        </w:rPr>
        <w:t>436–8.</w:t>
      </w:r>
    </w:p>
    <w:p w:rsidR="00331E80" w:rsidRDefault="00331E80" w:rsidP="00331E80">
      <w:pPr>
        <w:bidi w:val="0"/>
        <w:snapToGrid w:val="0"/>
        <w:ind w:left="425" w:hanging="425"/>
        <w:jc w:val="both"/>
        <w:rPr>
          <w:bCs/>
          <w:sz w:val="20"/>
          <w:szCs w:val="20"/>
        </w:rPr>
        <w:sectPr w:rsidR="00331E80" w:rsidSect="00331E80">
          <w:type w:val="continuous"/>
          <w:pgSz w:w="12240" w:h="15840" w:code="9"/>
          <w:pgMar w:top="1440" w:right="1440" w:bottom="1440" w:left="1440" w:header="720" w:footer="720" w:gutter="0"/>
          <w:pgBorders w:offsetFrom="page">
            <w:top w:val="none" w:sz="0" w:space="13" w:color="000000" w:shadow="1"/>
            <w:left w:val="none" w:sz="0" w:space="13" w:color="000000" w:shadow="1"/>
            <w:bottom w:val="none" w:sz="0" w:space="13" w:color="000000" w:shadow="1"/>
            <w:right w:val="none" w:sz="0" w:space="0" w:color="000000" w:shadow="1"/>
          </w:pgBorders>
          <w:cols w:num="2" w:space="600"/>
          <w:noEndnote/>
          <w:rtlGutter/>
          <w:docGrid w:linePitch="326"/>
        </w:sectPr>
      </w:pPr>
    </w:p>
    <w:p w:rsidR="00DE4DBB" w:rsidRPr="00801C75" w:rsidRDefault="00DE4DBB" w:rsidP="00331E80">
      <w:pPr>
        <w:bidi w:val="0"/>
        <w:snapToGrid w:val="0"/>
        <w:ind w:left="425" w:hanging="425"/>
        <w:jc w:val="both"/>
        <w:rPr>
          <w:bCs/>
          <w:sz w:val="20"/>
          <w:szCs w:val="20"/>
        </w:rPr>
      </w:pPr>
    </w:p>
    <w:p w:rsidR="00801C75" w:rsidRDefault="00801C75" w:rsidP="00331E80">
      <w:pPr>
        <w:shd w:val="clear" w:color="auto" w:fill="FFFFFF"/>
        <w:bidi w:val="0"/>
        <w:snapToGrid w:val="0"/>
        <w:ind w:left="425" w:hanging="425"/>
        <w:jc w:val="both"/>
        <w:rPr>
          <w:color w:val="000000"/>
          <w:sz w:val="20"/>
          <w:szCs w:val="20"/>
          <w:lang w:eastAsia="zh-CN"/>
        </w:rPr>
      </w:pPr>
    </w:p>
    <w:p w:rsidR="00331E80" w:rsidRPr="00801C75" w:rsidRDefault="00331E80" w:rsidP="00331E80">
      <w:pPr>
        <w:shd w:val="clear" w:color="auto" w:fill="FFFFFF"/>
        <w:bidi w:val="0"/>
        <w:snapToGrid w:val="0"/>
        <w:ind w:firstLine="425"/>
        <w:jc w:val="both"/>
        <w:rPr>
          <w:color w:val="000000"/>
          <w:sz w:val="20"/>
          <w:szCs w:val="20"/>
          <w:lang w:eastAsia="zh-CN"/>
        </w:rPr>
      </w:pPr>
    </w:p>
    <w:p w:rsidR="00A54828" w:rsidRPr="00801C75" w:rsidRDefault="00801C75" w:rsidP="00331E80">
      <w:pPr>
        <w:shd w:val="clear" w:color="auto" w:fill="FFFFFF"/>
        <w:bidi w:val="0"/>
        <w:snapToGrid w:val="0"/>
        <w:jc w:val="both"/>
        <w:rPr>
          <w:color w:val="000000"/>
          <w:sz w:val="20"/>
          <w:szCs w:val="20"/>
        </w:rPr>
      </w:pPr>
      <w:r w:rsidRPr="00801C75">
        <w:rPr>
          <w:color w:val="000000"/>
          <w:sz w:val="20"/>
          <w:szCs w:val="20"/>
        </w:rPr>
        <w:t>7/7/2019</w:t>
      </w:r>
    </w:p>
    <w:sectPr w:rsidR="00A54828" w:rsidRPr="00801C75" w:rsidSect="00801C75">
      <w:type w:val="continuous"/>
      <w:pgSz w:w="12240" w:h="15840" w:code="9"/>
      <w:pgMar w:top="1440" w:right="1440" w:bottom="1440" w:left="1440" w:header="720" w:footer="720" w:gutter="0"/>
      <w:pgBorders w:offsetFrom="page">
        <w:top w:val="none" w:sz="0" w:space="13" w:color="000000" w:shadow="1"/>
        <w:left w:val="none" w:sz="0" w:space="13" w:color="000000" w:shadow="1"/>
        <w:bottom w:val="none" w:sz="0" w:space="13" w:color="000000" w:shadow="1"/>
        <w:right w:val="none" w:sz="0" w:space="0" w:color="000000" w:shadow="1"/>
      </w:pgBorders>
      <w:cols w:space="720"/>
      <w:noEndnote/>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994" w:rsidRDefault="00086994" w:rsidP="004F0BC6">
      <w:r>
        <w:separator/>
      </w:r>
    </w:p>
  </w:endnote>
  <w:endnote w:type="continuationSeparator" w:id="0">
    <w:p w:rsidR="00086994" w:rsidRDefault="00086994" w:rsidP="004F0B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B2"/>
    <w:family w:val="auto"/>
    <w:pitch w:val="variable"/>
    <w:sig w:usb0="00002001" w:usb1="00000000" w:usb2="00000000" w:usb3="00000000" w:csb0="0000004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Times LT Std">
    <w:altName w:val="Times LT Std"/>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DINPro-Light">
    <w:altName w:val="DINPro-Light"/>
    <w:panose1 w:val="00000000000000000000"/>
    <w:charset w:val="00"/>
    <w:family w:val="swiss"/>
    <w:notTrueType/>
    <w:pitch w:val="default"/>
    <w:sig w:usb0="00000003" w:usb1="00000000" w:usb2="00000000" w:usb3="00000000" w:csb0="00000001" w:csb1="00000000"/>
  </w:font>
  <w:font w:name="NexusSerif-Regular">
    <w:altName w:val="NexusSerif-Regular"/>
    <w:panose1 w:val="00000000000000000000"/>
    <w:charset w:val="00"/>
    <w:family w:val="roman"/>
    <w:notTrueType/>
    <w:pitch w:val="default"/>
    <w:sig w:usb0="00000003" w:usb1="00000000" w:usb2="00000000" w:usb3="00000000" w:csb0="00000001"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ITC Garamond Std Book">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UB-AntiqueOliveLight">
    <w:altName w:val="Arial Unicode MS"/>
    <w:panose1 w:val="00000000000000000000"/>
    <w:charset w:val="80"/>
    <w:family w:val="auto"/>
    <w:notTrueType/>
    <w:pitch w:val="default"/>
    <w:sig w:usb0="00000001" w:usb1="08070000" w:usb2="00000010" w:usb3="00000000" w:csb0="00020000"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Stencil">
    <w:altName w:val="Gabriola"/>
    <w:charset w:val="00"/>
    <w:family w:val="decorativ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Britannic Bold">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lbertus Extra Bold">
    <w:charset w:val="00"/>
    <w:family w:val="swiss"/>
    <w:pitch w:val="variable"/>
    <w:sig w:usb0="00000207" w:usb1="00000000" w:usb2="00000000" w:usb3="00000000" w:csb0="00000097" w:csb1="00000000"/>
  </w:font>
  <w:font w:name="AngsanaUPC">
    <w:panose1 w:val="02020603050405020304"/>
    <w:charset w:val="00"/>
    <w:family w:val="roman"/>
    <w:pitch w:val="variable"/>
    <w:sig w:usb0="81000003" w:usb1="00000000" w:usb2="00000000" w:usb3="00000000" w:csb0="00010001" w:csb1="00000000"/>
  </w:font>
  <w:font w:name="Myriad Pro Light">
    <w:panose1 w:val="00000000000000000000"/>
    <w:charset w:val="00"/>
    <w:family w:val="swiss"/>
    <w:notTrueType/>
    <w:pitch w:val="variable"/>
    <w:sig w:usb0="20000287" w:usb1="00000001" w:usb2="00000000" w:usb3="00000000" w:csb0="0000019F" w:csb1="00000000"/>
  </w:font>
  <w:font w:name="PT Bold Heading">
    <w:charset w:val="B2"/>
    <w:family w:val="auto"/>
    <w:pitch w:val="variable"/>
    <w:sig w:usb0="00002001" w:usb1="80000000" w:usb2="00000008" w:usb3="00000000" w:csb0="00000040"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Kepler Std">
    <w:altName w:val="Kepler Std"/>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dvTT5ada87cc">
    <w:altName w:val="Times New Roman"/>
    <w:panose1 w:val="00000000000000000000"/>
    <w:charset w:val="00"/>
    <w:family w:val="roman"/>
    <w:notTrueType/>
    <w:pitch w:val="default"/>
    <w:sig w:usb0="00000000" w:usb1="00000000" w:usb2="00000000" w:usb3="00000000" w:csb0="00000000" w:csb1="00000000"/>
  </w:font>
  <w:font w:name="宋">
    <w:altName w:val="Arial Unicode MS"/>
    <w:panose1 w:val="00000000000000000000"/>
    <w:charset w:val="86"/>
    <w:family w:val="roman"/>
    <w:notTrueType/>
    <w:pitch w:val="default"/>
    <w:sig w:usb0="00000001" w:usb1="080E0000" w:usb2="00000010" w:usb3="00000000" w:csb0="00040000"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80" w:rsidRDefault="0014198C" w:rsidP="00F63E85">
    <w:pPr>
      <w:pStyle w:val="Footer"/>
      <w:framePr w:wrap="around" w:vAnchor="text" w:hAnchor="text" w:xAlign="center" w:y="1"/>
      <w:rPr>
        <w:rStyle w:val="PageNumber"/>
      </w:rPr>
    </w:pPr>
    <w:r>
      <w:rPr>
        <w:rStyle w:val="PageNumber"/>
        <w:rtl/>
      </w:rPr>
      <w:fldChar w:fldCharType="begin"/>
    </w:r>
    <w:r w:rsidR="00331E80">
      <w:rPr>
        <w:rStyle w:val="PageNumber"/>
      </w:rPr>
      <w:instrText xml:space="preserve">PAGE  </w:instrText>
    </w:r>
    <w:r>
      <w:rPr>
        <w:rStyle w:val="PageNumber"/>
        <w:rtl/>
      </w:rPr>
      <w:fldChar w:fldCharType="end"/>
    </w:r>
  </w:p>
  <w:p w:rsidR="00331E80" w:rsidRDefault="00331E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80" w:rsidRPr="001904A9" w:rsidRDefault="0014198C" w:rsidP="001904A9">
    <w:pPr>
      <w:bidi w:val="0"/>
      <w:jc w:val="center"/>
      <w:rPr>
        <w:sz w:val="20"/>
      </w:rPr>
    </w:pPr>
    <w:r w:rsidRPr="001904A9">
      <w:rPr>
        <w:sz w:val="20"/>
      </w:rPr>
      <w:fldChar w:fldCharType="begin"/>
    </w:r>
    <w:r w:rsidR="001904A9" w:rsidRPr="001904A9">
      <w:rPr>
        <w:sz w:val="20"/>
      </w:rPr>
      <w:instrText xml:space="preserve"> page </w:instrText>
    </w:r>
    <w:r w:rsidRPr="001904A9">
      <w:rPr>
        <w:sz w:val="20"/>
      </w:rPr>
      <w:fldChar w:fldCharType="separate"/>
    </w:r>
    <w:r w:rsidR="00D60619">
      <w:rPr>
        <w:noProof/>
        <w:sz w:val="20"/>
      </w:rPr>
      <w:t>51</w:t>
    </w:r>
    <w:r w:rsidRPr="001904A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994" w:rsidRDefault="00086994" w:rsidP="004F0BC6">
      <w:r>
        <w:separator/>
      </w:r>
    </w:p>
  </w:footnote>
  <w:footnote w:type="continuationSeparator" w:id="0">
    <w:p w:rsidR="00086994" w:rsidRDefault="00086994" w:rsidP="004F0B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A9" w:rsidRPr="001904A9" w:rsidRDefault="001904A9" w:rsidP="001904A9">
    <w:pPr>
      <w:pBdr>
        <w:bottom w:val="thinThickMediumGap" w:sz="12" w:space="1" w:color="auto"/>
      </w:pBdr>
      <w:tabs>
        <w:tab w:val="left" w:pos="851"/>
        <w:tab w:val="right" w:pos="8364"/>
      </w:tabs>
      <w:bidi w:val="0"/>
      <w:adjustRightInd w:val="0"/>
      <w:snapToGrid w:val="0"/>
      <w:jc w:val="both"/>
      <w:rPr>
        <w:iCs/>
        <w:color w:val="0000FF"/>
        <w:sz w:val="20"/>
      </w:rPr>
    </w:pPr>
    <w:r w:rsidRPr="001904A9">
      <w:rPr>
        <w:rFonts w:hint="eastAsia"/>
        <w:iCs/>
        <w:color w:val="000000"/>
        <w:sz w:val="20"/>
      </w:rPr>
      <w:tab/>
    </w:r>
    <w:r w:rsidRPr="001904A9">
      <w:rPr>
        <w:iCs/>
        <w:color w:val="000000"/>
        <w:sz w:val="20"/>
      </w:rPr>
      <w:t xml:space="preserve">Cancer Biology </w:t>
    </w:r>
    <w:r w:rsidRPr="001904A9">
      <w:rPr>
        <w:iCs/>
        <w:sz w:val="20"/>
      </w:rPr>
      <w:t>201</w:t>
    </w:r>
    <w:r w:rsidRPr="001904A9">
      <w:rPr>
        <w:rFonts w:hint="eastAsia"/>
        <w:iCs/>
        <w:sz w:val="20"/>
      </w:rPr>
      <w:t>9</w:t>
    </w:r>
    <w:r w:rsidRPr="001904A9">
      <w:rPr>
        <w:iCs/>
        <w:sz w:val="20"/>
      </w:rPr>
      <w:t>;</w:t>
    </w:r>
    <w:r w:rsidRPr="001904A9">
      <w:rPr>
        <w:rFonts w:hint="eastAsia"/>
        <w:iCs/>
        <w:sz w:val="20"/>
      </w:rPr>
      <w:t>9</w:t>
    </w:r>
    <w:r w:rsidRPr="001904A9">
      <w:rPr>
        <w:iCs/>
        <w:sz w:val="20"/>
      </w:rPr>
      <w:t>(</w:t>
    </w:r>
    <w:r w:rsidRPr="001904A9">
      <w:rPr>
        <w:rFonts w:hint="eastAsia"/>
        <w:iCs/>
        <w:sz w:val="20"/>
      </w:rPr>
      <w:t>3</w:t>
    </w:r>
    <w:r w:rsidRPr="001904A9">
      <w:rPr>
        <w:iCs/>
        <w:sz w:val="20"/>
      </w:rPr>
      <w:t xml:space="preserve">)  </w:t>
    </w:r>
    <w:r w:rsidRPr="001904A9">
      <w:rPr>
        <w:rFonts w:hint="eastAsia"/>
        <w:iCs/>
        <w:sz w:val="20"/>
      </w:rPr>
      <w:t xml:space="preserve">   </w:t>
    </w:r>
    <w:r w:rsidRPr="001904A9">
      <w:rPr>
        <w:rFonts w:hint="eastAsia"/>
        <w:iCs/>
        <w:sz w:val="20"/>
      </w:rPr>
      <w:tab/>
      <w:t xml:space="preserve">   </w:t>
    </w:r>
    <w:r w:rsidRPr="001904A9">
      <w:rPr>
        <w:iCs/>
        <w:sz w:val="20"/>
      </w:rPr>
      <w:t xml:space="preserve"> </w:t>
    </w:r>
    <w:r w:rsidRPr="001904A9">
      <w:rPr>
        <w:sz w:val="20"/>
      </w:rPr>
      <w:t xml:space="preserve">  </w:t>
    </w:r>
    <w:hyperlink r:id="rId1" w:history="1">
      <w:r w:rsidRPr="001904A9">
        <w:rPr>
          <w:rStyle w:val="Hyperlink"/>
          <w:color w:val="0000FF"/>
          <w:sz w:val="20"/>
        </w:rPr>
        <w:t>http://www.cancerbio.net</w:t>
      </w:r>
    </w:hyperlink>
    <w:r w:rsidRPr="001904A9">
      <w:rPr>
        <w:rFonts w:hint="eastAsia"/>
        <w:sz w:val="20"/>
      </w:rPr>
      <w:t xml:space="preserve">   </w:t>
    </w:r>
    <w:r w:rsidRPr="001904A9">
      <w:rPr>
        <w:rFonts w:hint="eastAsia"/>
        <w:b/>
        <w:i/>
        <w:color w:val="FF0000"/>
        <w:sz w:val="20"/>
        <w:szCs w:val="20"/>
        <w:bdr w:val="single" w:sz="4" w:space="0" w:color="FF0000"/>
      </w:rPr>
      <w:t>CBJ</w:t>
    </w:r>
  </w:p>
  <w:p w:rsidR="001904A9" w:rsidRPr="001904A9" w:rsidRDefault="001904A9" w:rsidP="001904A9">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E8CEB34"/>
    <w:lvl w:ilvl="0">
      <w:start w:val="1"/>
      <w:numFmt w:val="bullet"/>
      <w:pStyle w:val="ListBullet"/>
      <w:lvlText w:val=""/>
      <w:lvlJc w:val="left"/>
      <w:pPr>
        <w:tabs>
          <w:tab w:val="num" w:pos="720"/>
        </w:tabs>
        <w:ind w:left="720" w:hanging="360"/>
      </w:pPr>
      <w:rPr>
        <w:rFonts w:ascii="Symbol" w:hAnsi="Symbol" w:hint="default"/>
      </w:rPr>
    </w:lvl>
  </w:abstractNum>
  <w:abstractNum w:abstractNumId="1">
    <w:nsid w:val="1D0B65B7"/>
    <w:multiLevelType w:val="multilevel"/>
    <w:tmpl w:val="B0146FD0"/>
    <w:styleLink w:val="List21"/>
    <w:lvl w:ilvl="0">
      <w:start w:val="1"/>
      <w:numFmt w:val="bullet"/>
      <w:lvlText w:val="•"/>
      <w:lvlJc w:val="left"/>
      <w:pPr>
        <w:tabs>
          <w:tab w:val="num" w:pos="720"/>
        </w:tabs>
        <w:ind w:left="720" w:hanging="360"/>
      </w:pPr>
      <w:rPr>
        <w:rFonts w:ascii="Times New Roman" w:eastAsia="Times New Roman" w:hAnsi="Times New Roman" w:cs="Times New Roman"/>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500"/>
        </w:tabs>
        <w:ind w:left="1500" w:hanging="420"/>
      </w:pPr>
      <w:rPr>
        <w:rFonts w:ascii="Cambria" w:eastAsia="Cambria" w:hAnsi="Cambria" w:cs="Cambria"/>
        <w:caps w:val="0"/>
        <w:smallCaps w:val="0"/>
        <w:strike w:val="0"/>
        <w:dstrike w:val="0"/>
        <w:outline w:val="0"/>
        <w:color w:val="000000"/>
        <w:spacing w:val="0"/>
        <w:kern w:val="0"/>
        <w:position w:val="0"/>
        <w:sz w:val="28"/>
        <w:szCs w:val="28"/>
        <w:u w:val="none" w:color="000000"/>
        <w:vertAlign w:val="baseline"/>
        <w:lang w:val="en-US"/>
      </w:rPr>
    </w:lvl>
    <w:lvl w:ilvl="2">
      <w:start w:val="1"/>
      <w:numFmt w:val="bullet"/>
      <w:lvlText w:val="▪"/>
      <w:lvlJc w:val="left"/>
      <w:pPr>
        <w:tabs>
          <w:tab w:val="num" w:pos="2220"/>
        </w:tabs>
        <w:ind w:left="2220" w:hanging="420"/>
      </w:pPr>
      <w:rPr>
        <w:rFonts w:ascii="Cambria" w:eastAsia="Cambria" w:hAnsi="Cambria" w:cs="Cambria"/>
        <w:caps w:val="0"/>
        <w:smallCaps w:val="0"/>
        <w:strike w:val="0"/>
        <w:dstrike w:val="0"/>
        <w:outline w:val="0"/>
        <w:color w:val="000000"/>
        <w:spacing w:val="0"/>
        <w:kern w:val="0"/>
        <w:position w:val="0"/>
        <w:sz w:val="28"/>
        <w:szCs w:val="28"/>
        <w:u w:val="none" w:color="000000"/>
        <w:vertAlign w:val="baseline"/>
        <w:lang w:val="en-US"/>
      </w:rPr>
    </w:lvl>
    <w:lvl w:ilvl="3">
      <w:start w:val="1"/>
      <w:numFmt w:val="bullet"/>
      <w:lvlText w:val="•"/>
      <w:lvlJc w:val="left"/>
      <w:pPr>
        <w:tabs>
          <w:tab w:val="num" w:pos="2940"/>
        </w:tabs>
        <w:ind w:left="2940" w:hanging="420"/>
      </w:pPr>
      <w:rPr>
        <w:rFonts w:ascii="Cambria" w:eastAsia="Cambria" w:hAnsi="Cambria" w:cs="Cambria"/>
        <w:caps w:val="0"/>
        <w:smallCaps w:val="0"/>
        <w:strike w:val="0"/>
        <w:dstrike w:val="0"/>
        <w:outline w:val="0"/>
        <w:color w:val="000000"/>
        <w:spacing w:val="0"/>
        <w:kern w:val="0"/>
        <w:position w:val="0"/>
        <w:sz w:val="28"/>
        <w:szCs w:val="28"/>
        <w:u w:val="none" w:color="000000"/>
        <w:vertAlign w:val="baseline"/>
        <w:lang w:val="en-US"/>
      </w:rPr>
    </w:lvl>
    <w:lvl w:ilvl="4">
      <w:start w:val="1"/>
      <w:numFmt w:val="bullet"/>
      <w:lvlText w:val="o"/>
      <w:lvlJc w:val="left"/>
      <w:pPr>
        <w:tabs>
          <w:tab w:val="num" w:pos="3660"/>
        </w:tabs>
        <w:ind w:left="3660" w:hanging="420"/>
      </w:pPr>
      <w:rPr>
        <w:rFonts w:ascii="Cambria" w:eastAsia="Cambria" w:hAnsi="Cambria" w:cs="Cambria"/>
        <w:caps w:val="0"/>
        <w:smallCaps w:val="0"/>
        <w:strike w:val="0"/>
        <w:dstrike w:val="0"/>
        <w:outline w:val="0"/>
        <w:color w:val="000000"/>
        <w:spacing w:val="0"/>
        <w:kern w:val="0"/>
        <w:position w:val="0"/>
        <w:sz w:val="28"/>
        <w:szCs w:val="28"/>
        <w:u w:val="none" w:color="000000"/>
        <w:vertAlign w:val="baseline"/>
        <w:lang w:val="en-US"/>
      </w:rPr>
    </w:lvl>
    <w:lvl w:ilvl="5">
      <w:start w:val="1"/>
      <w:numFmt w:val="bullet"/>
      <w:lvlText w:val="▪"/>
      <w:lvlJc w:val="left"/>
      <w:pPr>
        <w:tabs>
          <w:tab w:val="num" w:pos="4380"/>
        </w:tabs>
        <w:ind w:left="4380" w:hanging="420"/>
      </w:pPr>
      <w:rPr>
        <w:rFonts w:ascii="Cambria" w:eastAsia="Cambria" w:hAnsi="Cambria" w:cs="Cambria"/>
        <w:caps w:val="0"/>
        <w:smallCaps w:val="0"/>
        <w:strike w:val="0"/>
        <w:dstrike w:val="0"/>
        <w:outline w:val="0"/>
        <w:color w:val="000000"/>
        <w:spacing w:val="0"/>
        <w:kern w:val="0"/>
        <w:position w:val="0"/>
        <w:sz w:val="28"/>
        <w:szCs w:val="28"/>
        <w:u w:val="none" w:color="000000"/>
        <w:vertAlign w:val="baseline"/>
        <w:lang w:val="en-US"/>
      </w:rPr>
    </w:lvl>
    <w:lvl w:ilvl="6">
      <w:start w:val="1"/>
      <w:numFmt w:val="bullet"/>
      <w:lvlText w:val="•"/>
      <w:lvlJc w:val="left"/>
      <w:pPr>
        <w:tabs>
          <w:tab w:val="num" w:pos="5100"/>
        </w:tabs>
        <w:ind w:left="5100" w:hanging="420"/>
      </w:pPr>
      <w:rPr>
        <w:rFonts w:ascii="Cambria" w:eastAsia="Cambria" w:hAnsi="Cambria" w:cs="Cambria"/>
        <w:caps w:val="0"/>
        <w:smallCaps w:val="0"/>
        <w:strike w:val="0"/>
        <w:dstrike w:val="0"/>
        <w:outline w:val="0"/>
        <w:color w:val="000000"/>
        <w:spacing w:val="0"/>
        <w:kern w:val="0"/>
        <w:position w:val="0"/>
        <w:sz w:val="28"/>
        <w:szCs w:val="28"/>
        <w:u w:val="none" w:color="000000"/>
        <w:vertAlign w:val="baseline"/>
        <w:lang w:val="en-US"/>
      </w:rPr>
    </w:lvl>
    <w:lvl w:ilvl="7">
      <w:start w:val="1"/>
      <w:numFmt w:val="bullet"/>
      <w:lvlText w:val="o"/>
      <w:lvlJc w:val="left"/>
      <w:pPr>
        <w:tabs>
          <w:tab w:val="num" w:pos="5820"/>
        </w:tabs>
        <w:ind w:left="5820" w:hanging="420"/>
      </w:pPr>
      <w:rPr>
        <w:rFonts w:ascii="Cambria" w:eastAsia="Cambria" w:hAnsi="Cambria" w:cs="Cambria"/>
        <w:caps w:val="0"/>
        <w:smallCaps w:val="0"/>
        <w:strike w:val="0"/>
        <w:dstrike w:val="0"/>
        <w:outline w:val="0"/>
        <w:color w:val="000000"/>
        <w:spacing w:val="0"/>
        <w:kern w:val="0"/>
        <w:position w:val="0"/>
        <w:sz w:val="28"/>
        <w:szCs w:val="28"/>
        <w:u w:val="none" w:color="000000"/>
        <w:vertAlign w:val="baseline"/>
        <w:lang w:val="en-US"/>
      </w:rPr>
    </w:lvl>
    <w:lvl w:ilvl="8">
      <w:start w:val="1"/>
      <w:numFmt w:val="bullet"/>
      <w:lvlText w:val="▪"/>
      <w:lvlJc w:val="left"/>
      <w:pPr>
        <w:tabs>
          <w:tab w:val="num" w:pos="6540"/>
        </w:tabs>
        <w:ind w:left="6540" w:hanging="420"/>
      </w:pPr>
      <w:rPr>
        <w:rFonts w:ascii="Cambria" w:eastAsia="Cambria" w:hAnsi="Cambria" w:cs="Cambria"/>
        <w:caps w:val="0"/>
        <w:smallCaps w:val="0"/>
        <w:strike w:val="0"/>
        <w:dstrike w:val="0"/>
        <w:outline w:val="0"/>
        <w:color w:val="000000"/>
        <w:spacing w:val="0"/>
        <w:kern w:val="0"/>
        <w:position w:val="0"/>
        <w:sz w:val="28"/>
        <w:szCs w:val="28"/>
        <w:u w:val="none" w:color="000000"/>
        <w:vertAlign w:val="baseline"/>
        <w:lang w:val="en-US"/>
      </w:rPr>
    </w:lvl>
  </w:abstractNum>
  <w:abstractNum w:abstractNumId="2">
    <w:nsid w:val="215A3FB0"/>
    <w:multiLevelType w:val="hybridMultilevel"/>
    <w:tmpl w:val="0D34C6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F76476"/>
    <w:multiLevelType w:val="hybridMultilevel"/>
    <w:tmpl w:val="74DA3476"/>
    <w:lvl w:ilvl="0" w:tplc="252A2D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28E742A"/>
    <w:multiLevelType w:val="multilevel"/>
    <w:tmpl w:val="3C3A0956"/>
    <w:lvl w:ilvl="0">
      <w:start w:val="1"/>
      <w:numFmt w:val="bullet"/>
      <w:pStyle w:val="127"/>
      <w:lvlText w:val=""/>
      <w:lvlJc w:val="left"/>
      <w:pPr>
        <w:tabs>
          <w:tab w:val="num" w:pos="0"/>
        </w:tabs>
        <w:ind w:left="357" w:hanging="357"/>
      </w:pPr>
      <w:rPr>
        <w:rFonts w:ascii="Symbol" w:hAnsi="Symbol" w:hint="default"/>
        <w:color w:val="auto"/>
        <w:sz w:val="28"/>
      </w:rPr>
    </w:lvl>
    <w:lvl w:ilvl="1">
      <w:start w:val="1"/>
      <w:numFmt w:val="bullet"/>
      <w:lvlText w:val=""/>
      <w:lvlJc w:val="left"/>
      <w:pPr>
        <w:tabs>
          <w:tab w:val="num" w:pos="357"/>
        </w:tabs>
        <w:ind w:left="720" w:hanging="363"/>
      </w:pPr>
      <w:rPr>
        <w:rFonts w:ascii="Symbol" w:hAnsi="Symbol" w:hint="default"/>
        <w:color w:val="auto"/>
      </w:rPr>
    </w:lvl>
    <w:lvl w:ilvl="2">
      <w:start w:val="1"/>
      <w:numFmt w:val="bullet"/>
      <w:lvlText w:val=""/>
      <w:lvlJc w:val="left"/>
      <w:pPr>
        <w:tabs>
          <w:tab w:val="num" w:pos="720"/>
        </w:tabs>
        <w:ind w:left="1077" w:hanging="357"/>
      </w:pPr>
      <w:rPr>
        <w:rFonts w:ascii="Symbol" w:hAnsi="Symbol" w:hint="default"/>
        <w:color w:val="auto"/>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48342C43"/>
    <w:multiLevelType w:val="multilevel"/>
    <w:tmpl w:val="8F0E8CB4"/>
    <w:styleLink w:val="List0"/>
    <w:lvl w:ilvl="0">
      <w:start w:val="1"/>
      <w:numFmt w:val="bullet"/>
      <w:lvlText w:val="•"/>
      <w:lvlJc w:val="left"/>
      <w:pPr>
        <w:tabs>
          <w:tab w:val="num" w:pos="1440"/>
        </w:tabs>
        <w:ind w:left="1440" w:hanging="360"/>
      </w:pPr>
      <w:rPr>
        <w:rFonts w:ascii="Times New Roman" w:eastAsia="Times New Roman" w:hAnsi="Times New Roman" w:cs="Times New Roman"/>
        <w:b/>
        <w:bCs/>
        <w:color w:val="000000"/>
        <w:position w:val="0"/>
        <w:sz w:val="22"/>
        <w:szCs w:val="22"/>
        <w:u w:color="000000"/>
      </w:rPr>
    </w:lvl>
    <w:lvl w:ilvl="1">
      <w:start w:val="1"/>
      <w:numFmt w:val="bullet"/>
      <w:lvlText w:val="o"/>
      <w:lvlJc w:val="left"/>
      <w:pPr>
        <w:tabs>
          <w:tab w:val="num" w:pos="2280"/>
        </w:tabs>
        <w:ind w:left="2280" w:hanging="480"/>
      </w:pPr>
      <w:rPr>
        <w:rFonts w:ascii="Cambria" w:eastAsia="Cambria" w:hAnsi="Cambria" w:cs="Cambria"/>
        <w:b/>
        <w:bCs/>
        <w:color w:val="000000"/>
        <w:position w:val="0"/>
        <w:sz w:val="32"/>
        <w:szCs w:val="32"/>
        <w:u w:color="000000"/>
      </w:rPr>
    </w:lvl>
    <w:lvl w:ilvl="2">
      <w:start w:val="1"/>
      <w:numFmt w:val="bullet"/>
      <w:lvlText w:val="▪"/>
      <w:lvlJc w:val="left"/>
      <w:pPr>
        <w:tabs>
          <w:tab w:val="num" w:pos="3000"/>
        </w:tabs>
        <w:ind w:left="3000" w:hanging="480"/>
      </w:pPr>
      <w:rPr>
        <w:rFonts w:ascii="Cambria" w:eastAsia="Cambria" w:hAnsi="Cambria" w:cs="Cambria"/>
        <w:b/>
        <w:bCs/>
        <w:color w:val="000000"/>
        <w:position w:val="0"/>
        <w:sz w:val="32"/>
        <w:szCs w:val="32"/>
        <w:u w:color="000000"/>
      </w:rPr>
    </w:lvl>
    <w:lvl w:ilvl="3">
      <w:start w:val="1"/>
      <w:numFmt w:val="bullet"/>
      <w:lvlText w:val="•"/>
      <w:lvlJc w:val="left"/>
      <w:pPr>
        <w:tabs>
          <w:tab w:val="num" w:pos="3720"/>
        </w:tabs>
        <w:ind w:left="3720" w:hanging="480"/>
      </w:pPr>
      <w:rPr>
        <w:rFonts w:ascii="Cambria" w:eastAsia="Cambria" w:hAnsi="Cambria" w:cs="Cambria"/>
        <w:b/>
        <w:bCs/>
        <w:color w:val="000000"/>
        <w:position w:val="0"/>
        <w:sz w:val="32"/>
        <w:szCs w:val="32"/>
        <w:u w:color="000000"/>
      </w:rPr>
    </w:lvl>
    <w:lvl w:ilvl="4">
      <w:start w:val="1"/>
      <w:numFmt w:val="bullet"/>
      <w:lvlText w:val="o"/>
      <w:lvlJc w:val="left"/>
      <w:pPr>
        <w:tabs>
          <w:tab w:val="num" w:pos="4440"/>
        </w:tabs>
        <w:ind w:left="4440" w:hanging="480"/>
      </w:pPr>
      <w:rPr>
        <w:rFonts w:ascii="Cambria" w:eastAsia="Cambria" w:hAnsi="Cambria" w:cs="Cambria"/>
        <w:b/>
        <w:bCs/>
        <w:color w:val="000000"/>
        <w:position w:val="0"/>
        <w:sz w:val="32"/>
        <w:szCs w:val="32"/>
        <w:u w:color="000000"/>
      </w:rPr>
    </w:lvl>
    <w:lvl w:ilvl="5">
      <w:start w:val="1"/>
      <w:numFmt w:val="bullet"/>
      <w:lvlText w:val="▪"/>
      <w:lvlJc w:val="left"/>
      <w:pPr>
        <w:tabs>
          <w:tab w:val="num" w:pos="5160"/>
        </w:tabs>
        <w:ind w:left="5160" w:hanging="480"/>
      </w:pPr>
      <w:rPr>
        <w:rFonts w:ascii="Cambria" w:eastAsia="Cambria" w:hAnsi="Cambria" w:cs="Cambria"/>
        <w:b/>
        <w:bCs/>
        <w:color w:val="000000"/>
        <w:position w:val="0"/>
        <w:sz w:val="32"/>
        <w:szCs w:val="32"/>
        <w:u w:color="000000"/>
      </w:rPr>
    </w:lvl>
    <w:lvl w:ilvl="6">
      <w:start w:val="1"/>
      <w:numFmt w:val="bullet"/>
      <w:lvlText w:val="•"/>
      <w:lvlJc w:val="left"/>
      <w:pPr>
        <w:tabs>
          <w:tab w:val="num" w:pos="5880"/>
        </w:tabs>
        <w:ind w:left="5880" w:hanging="480"/>
      </w:pPr>
      <w:rPr>
        <w:rFonts w:ascii="Cambria" w:eastAsia="Cambria" w:hAnsi="Cambria" w:cs="Cambria"/>
        <w:b/>
        <w:bCs/>
        <w:color w:val="000000"/>
        <w:position w:val="0"/>
        <w:sz w:val="32"/>
        <w:szCs w:val="32"/>
        <w:u w:color="000000"/>
      </w:rPr>
    </w:lvl>
    <w:lvl w:ilvl="7">
      <w:start w:val="1"/>
      <w:numFmt w:val="bullet"/>
      <w:lvlText w:val="o"/>
      <w:lvlJc w:val="left"/>
      <w:pPr>
        <w:tabs>
          <w:tab w:val="num" w:pos="6600"/>
        </w:tabs>
        <w:ind w:left="6600" w:hanging="480"/>
      </w:pPr>
      <w:rPr>
        <w:rFonts w:ascii="Cambria" w:eastAsia="Cambria" w:hAnsi="Cambria" w:cs="Cambria"/>
        <w:b/>
        <w:bCs/>
        <w:color w:val="000000"/>
        <w:position w:val="0"/>
        <w:sz w:val="32"/>
        <w:szCs w:val="32"/>
        <w:u w:color="000000"/>
      </w:rPr>
    </w:lvl>
    <w:lvl w:ilvl="8">
      <w:start w:val="1"/>
      <w:numFmt w:val="bullet"/>
      <w:lvlText w:val="▪"/>
      <w:lvlJc w:val="left"/>
      <w:pPr>
        <w:tabs>
          <w:tab w:val="num" w:pos="7320"/>
        </w:tabs>
        <w:ind w:left="7320" w:hanging="480"/>
      </w:pPr>
      <w:rPr>
        <w:rFonts w:ascii="Cambria" w:eastAsia="Cambria" w:hAnsi="Cambria" w:cs="Cambria"/>
        <w:b/>
        <w:bCs/>
        <w:color w:val="000000"/>
        <w:position w:val="0"/>
        <w:sz w:val="32"/>
        <w:szCs w:val="32"/>
        <w:u w:color="000000"/>
      </w:rPr>
    </w:lvl>
  </w:abstractNum>
  <w:abstractNum w:abstractNumId="6">
    <w:nsid w:val="493D68B7"/>
    <w:multiLevelType w:val="multilevel"/>
    <w:tmpl w:val="03E01B5E"/>
    <w:styleLink w:val="List1"/>
    <w:lvl w:ilvl="0">
      <w:start w:val="1"/>
      <w:numFmt w:val="bullet"/>
      <w:lvlText w:val="•"/>
      <w:lvlJc w:val="left"/>
      <w:pPr>
        <w:tabs>
          <w:tab w:val="num" w:pos="720"/>
        </w:tabs>
        <w:ind w:left="720" w:hanging="360"/>
      </w:pPr>
      <w:rPr>
        <w:rFonts w:ascii="Times New Roman" w:eastAsia="Times New Roman" w:hAnsi="Times New Roman" w:cs="Times New Roman"/>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500"/>
        </w:tabs>
        <w:ind w:left="1500" w:hanging="420"/>
      </w:pPr>
      <w:rPr>
        <w:rFonts w:ascii="Cambria" w:eastAsia="Cambria" w:hAnsi="Cambria" w:cs="Cambria"/>
        <w:caps w:val="0"/>
        <w:smallCaps w:val="0"/>
        <w:strike w:val="0"/>
        <w:dstrike w:val="0"/>
        <w:outline w:val="0"/>
        <w:color w:val="000000"/>
        <w:spacing w:val="0"/>
        <w:kern w:val="0"/>
        <w:position w:val="0"/>
        <w:sz w:val="28"/>
        <w:szCs w:val="28"/>
        <w:u w:val="none" w:color="000000"/>
        <w:vertAlign w:val="baseline"/>
        <w:lang w:val="en-US"/>
      </w:rPr>
    </w:lvl>
    <w:lvl w:ilvl="2">
      <w:start w:val="1"/>
      <w:numFmt w:val="bullet"/>
      <w:lvlText w:val="▪"/>
      <w:lvlJc w:val="left"/>
      <w:pPr>
        <w:tabs>
          <w:tab w:val="num" w:pos="2220"/>
        </w:tabs>
        <w:ind w:left="2220" w:hanging="420"/>
      </w:pPr>
      <w:rPr>
        <w:rFonts w:ascii="Cambria" w:eastAsia="Cambria" w:hAnsi="Cambria" w:cs="Cambria"/>
        <w:caps w:val="0"/>
        <w:smallCaps w:val="0"/>
        <w:strike w:val="0"/>
        <w:dstrike w:val="0"/>
        <w:outline w:val="0"/>
        <w:color w:val="000000"/>
        <w:spacing w:val="0"/>
        <w:kern w:val="0"/>
        <w:position w:val="0"/>
        <w:sz w:val="28"/>
        <w:szCs w:val="28"/>
        <w:u w:val="none" w:color="000000"/>
        <w:vertAlign w:val="baseline"/>
        <w:lang w:val="en-US"/>
      </w:rPr>
    </w:lvl>
    <w:lvl w:ilvl="3">
      <w:start w:val="1"/>
      <w:numFmt w:val="bullet"/>
      <w:lvlText w:val="•"/>
      <w:lvlJc w:val="left"/>
      <w:pPr>
        <w:tabs>
          <w:tab w:val="num" w:pos="2940"/>
        </w:tabs>
        <w:ind w:left="2940" w:hanging="420"/>
      </w:pPr>
      <w:rPr>
        <w:rFonts w:ascii="Cambria" w:eastAsia="Cambria" w:hAnsi="Cambria" w:cs="Cambria"/>
        <w:caps w:val="0"/>
        <w:smallCaps w:val="0"/>
        <w:strike w:val="0"/>
        <w:dstrike w:val="0"/>
        <w:outline w:val="0"/>
        <w:color w:val="000000"/>
        <w:spacing w:val="0"/>
        <w:kern w:val="0"/>
        <w:position w:val="0"/>
        <w:sz w:val="28"/>
        <w:szCs w:val="28"/>
        <w:u w:val="none" w:color="000000"/>
        <w:vertAlign w:val="baseline"/>
        <w:lang w:val="en-US"/>
      </w:rPr>
    </w:lvl>
    <w:lvl w:ilvl="4">
      <w:start w:val="1"/>
      <w:numFmt w:val="bullet"/>
      <w:lvlText w:val="o"/>
      <w:lvlJc w:val="left"/>
      <w:pPr>
        <w:tabs>
          <w:tab w:val="num" w:pos="3660"/>
        </w:tabs>
        <w:ind w:left="3660" w:hanging="420"/>
      </w:pPr>
      <w:rPr>
        <w:rFonts w:ascii="Cambria" w:eastAsia="Cambria" w:hAnsi="Cambria" w:cs="Cambria"/>
        <w:caps w:val="0"/>
        <w:smallCaps w:val="0"/>
        <w:strike w:val="0"/>
        <w:dstrike w:val="0"/>
        <w:outline w:val="0"/>
        <w:color w:val="000000"/>
        <w:spacing w:val="0"/>
        <w:kern w:val="0"/>
        <w:position w:val="0"/>
        <w:sz w:val="28"/>
        <w:szCs w:val="28"/>
        <w:u w:val="none" w:color="000000"/>
        <w:vertAlign w:val="baseline"/>
        <w:lang w:val="en-US"/>
      </w:rPr>
    </w:lvl>
    <w:lvl w:ilvl="5">
      <w:start w:val="1"/>
      <w:numFmt w:val="bullet"/>
      <w:lvlText w:val="▪"/>
      <w:lvlJc w:val="left"/>
      <w:pPr>
        <w:tabs>
          <w:tab w:val="num" w:pos="4380"/>
        </w:tabs>
        <w:ind w:left="4380" w:hanging="420"/>
      </w:pPr>
      <w:rPr>
        <w:rFonts w:ascii="Cambria" w:eastAsia="Cambria" w:hAnsi="Cambria" w:cs="Cambria"/>
        <w:caps w:val="0"/>
        <w:smallCaps w:val="0"/>
        <w:strike w:val="0"/>
        <w:dstrike w:val="0"/>
        <w:outline w:val="0"/>
        <w:color w:val="000000"/>
        <w:spacing w:val="0"/>
        <w:kern w:val="0"/>
        <w:position w:val="0"/>
        <w:sz w:val="28"/>
        <w:szCs w:val="28"/>
        <w:u w:val="none" w:color="000000"/>
        <w:vertAlign w:val="baseline"/>
        <w:lang w:val="en-US"/>
      </w:rPr>
    </w:lvl>
    <w:lvl w:ilvl="6">
      <w:start w:val="1"/>
      <w:numFmt w:val="bullet"/>
      <w:lvlText w:val="•"/>
      <w:lvlJc w:val="left"/>
      <w:pPr>
        <w:tabs>
          <w:tab w:val="num" w:pos="5100"/>
        </w:tabs>
        <w:ind w:left="5100" w:hanging="420"/>
      </w:pPr>
      <w:rPr>
        <w:rFonts w:ascii="Cambria" w:eastAsia="Cambria" w:hAnsi="Cambria" w:cs="Cambria"/>
        <w:caps w:val="0"/>
        <w:smallCaps w:val="0"/>
        <w:strike w:val="0"/>
        <w:dstrike w:val="0"/>
        <w:outline w:val="0"/>
        <w:color w:val="000000"/>
        <w:spacing w:val="0"/>
        <w:kern w:val="0"/>
        <w:position w:val="0"/>
        <w:sz w:val="28"/>
        <w:szCs w:val="28"/>
        <w:u w:val="none" w:color="000000"/>
        <w:vertAlign w:val="baseline"/>
        <w:lang w:val="en-US"/>
      </w:rPr>
    </w:lvl>
    <w:lvl w:ilvl="7">
      <w:start w:val="1"/>
      <w:numFmt w:val="bullet"/>
      <w:lvlText w:val="o"/>
      <w:lvlJc w:val="left"/>
      <w:pPr>
        <w:tabs>
          <w:tab w:val="num" w:pos="5820"/>
        </w:tabs>
        <w:ind w:left="5820" w:hanging="420"/>
      </w:pPr>
      <w:rPr>
        <w:rFonts w:ascii="Cambria" w:eastAsia="Cambria" w:hAnsi="Cambria" w:cs="Cambria"/>
        <w:caps w:val="0"/>
        <w:smallCaps w:val="0"/>
        <w:strike w:val="0"/>
        <w:dstrike w:val="0"/>
        <w:outline w:val="0"/>
        <w:color w:val="000000"/>
        <w:spacing w:val="0"/>
        <w:kern w:val="0"/>
        <w:position w:val="0"/>
        <w:sz w:val="28"/>
        <w:szCs w:val="28"/>
        <w:u w:val="none" w:color="000000"/>
        <w:vertAlign w:val="baseline"/>
        <w:lang w:val="en-US"/>
      </w:rPr>
    </w:lvl>
    <w:lvl w:ilvl="8">
      <w:start w:val="1"/>
      <w:numFmt w:val="bullet"/>
      <w:lvlText w:val="▪"/>
      <w:lvlJc w:val="left"/>
      <w:pPr>
        <w:tabs>
          <w:tab w:val="num" w:pos="6540"/>
        </w:tabs>
        <w:ind w:left="6540" w:hanging="420"/>
      </w:pPr>
      <w:rPr>
        <w:rFonts w:ascii="Cambria" w:eastAsia="Cambria" w:hAnsi="Cambria" w:cs="Cambria"/>
        <w:caps w:val="0"/>
        <w:smallCaps w:val="0"/>
        <w:strike w:val="0"/>
        <w:dstrike w:val="0"/>
        <w:outline w:val="0"/>
        <w:color w:val="000000"/>
        <w:spacing w:val="0"/>
        <w:kern w:val="0"/>
        <w:position w:val="0"/>
        <w:sz w:val="28"/>
        <w:szCs w:val="28"/>
        <w:u w:val="none" w:color="000000"/>
        <w:vertAlign w:val="baseline"/>
        <w:lang w:val="en-US"/>
      </w:rPr>
    </w:lvl>
  </w:abstractNum>
  <w:abstractNum w:abstractNumId="7">
    <w:nsid w:val="49E77565"/>
    <w:multiLevelType w:val="hybridMultilevel"/>
    <w:tmpl w:val="CEEA6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5264C10"/>
    <w:multiLevelType w:val="hybridMultilevel"/>
    <w:tmpl w:val="4A028A56"/>
    <w:lvl w:ilvl="0" w:tplc="EAC2C66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9FF4CAA4">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E61CCA"/>
    <w:multiLevelType w:val="hybridMultilevel"/>
    <w:tmpl w:val="87589A36"/>
    <w:lvl w:ilvl="0" w:tplc="9D24D4E0">
      <w:start w:val="1"/>
      <w:numFmt w:val="bullet"/>
      <w:pStyle w:val="title3"/>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hint="default"/>
      </w:rPr>
    </w:lvl>
    <w:lvl w:ilvl="2" w:tplc="04090005">
      <w:start w:val="1"/>
      <w:numFmt w:val="bullet"/>
      <w:lvlText w:val=""/>
      <w:lvlJc w:val="left"/>
      <w:pPr>
        <w:ind w:left="2227" w:hanging="360"/>
      </w:pPr>
      <w:rPr>
        <w:rFonts w:ascii="Wingdings" w:hAnsi="Wingdings" w:hint="default"/>
      </w:rPr>
    </w:lvl>
    <w:lvl w:ilvl="3" w:tplc="04090001">
      <w:start w:val="1"/>
      <w:numFmt w:val="bullet"/>
      <w:lvlText w:val=""/>
      <w:lvlJc w:val="left"/>
      <w:pPr>
        <w:ind w:left="2947" w:hanging="360"/>
      </w:pPr>
      <w:rPr>
        <w:rFonts w:ascii="Symbol" w:hAnsi="Symbol" w:hint="default"/>
      </w:rPr>
    </w:lvl>
    <w:lvl w:ilvl="4" w:tplc="04090003">
      <w:start w:val="1"/>
      <w:numFmt w:val="bullet"/>
      <w:lvlText w:val="o"/>
      <w:lvlJc w:val="left"/>
      <w:pPr>
        <w:ind w:left="3667" w:hanging="360"/>
      </w:pPr>
      <w:rPr>
        <w:rFonts w:ascii="Courier New" w:hAnsi="Courier New" w:hint="default"/>
      </w:rPr>
    </w:lvl>
    <w:lvl w:ilvl="5" w:tplc="04090005">
      <w:start w:val="1"/>
      <w:numFmt w:val="bullet"/>
      <w:lvlText w:val=""/>
      <w:lvlJc w:val="left"/>
      <w:pPr>
        <w:ind w:left="4387" w:hanging="360"/>
      </w:pPr>
      <w:rPr>
        <w:rFonts w:ascii="Wingdings" w:hAnsi="Wingdings" w:hint="default"/>
      </w:rPr>
    </w:lvl>
    <w:lvl w:ilvl="6" w:tplc="04090001">
      <w:start w:val="1"/>
      <w:numFmt w:val="bullet"/>
      <w:lvlText w:val=""/>
      <w:lvlJc w:val="left"/>
      <w:pPr>
        <w:ind w:left="5107" w:hanging="360"/>
      </w:pPr>
      <w:rPr>
        <w:rFonts w:ascii="Symbol" w:hAnsi="Symbol" w:hint="default"/>
      </w:rPr>
    </w:lvl>
    <w:lvl w:ilvl="7" w:tplc="04090003">
      <w:start w:val="1"/>
      <w:numFmt w:val="bullet"/>
      <w:lvlText w:val="o"/>
      <w:lvlJc w:val="left"/>
      <w:pPr>
        <w:ind w:left="5827" w:hanging="360"/>
      </w:pPr>
      <w:rPr>
        <w:rFonts w:ascii="Courier New" w:hAnsi="Courier New" w:hint="default"/>
      </w:rPr>
    </w:lvl>
    <w:lvl w:ilvl="8" w:tplc="04090005">
      <w:start w:val="1"/>
      <w:numFmt w:val="bullet"/>
      <w:lvlText w:val=""/>
      <w:lvlJc w:val="left"/>
      <w:pPr>
        <w:ind w:left="6547" w:hanging="360"/>
      </w:pPr>
      <w:rPr>
        <w:rFonts w:ascii="Wingdings" w:hAnsi="Wingdings" w:hint="default"/>
      </w:rPr>
    </w:lvl>
  </w:abstractNum>
  <w:abstractNum w:abstractNumId="10">
    <w:nsid w:val="5996128D"/>
    <w:multiLevelType w:val="hybridMultilevel"/>
    <w:tmpl w:val="CC602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A515E5"/>
    <w:multiLevelType w:val="multilevel"/>
    <w:tmpl w:val="7A3A6AA6"/>
    <w:lvl w:ilvl="0">
      <w:start w:val="1"/>
      <w:numFmt w:val="decimal"/>
      <w:pStyle w:val="145"/>
      <w:suff w:val="space"/>
      <w:lvlText w:val="[%1]"/>
      <w:lvlJc w:val="left"/>
      <w:pPr>
        <w:ind w:left="965" w:hanging="539"/>
      </w:pPr>
      <w:rPr>
        <w:rFonts w:ascii="Times New Roman" w:hAnsi="Times New Roman" w:cs="Simplified Arabic" w:hint="default"/>
        <w:b/>
        <w:bCs/>
        <w:i w:val="0"/>
        <w:iCs w:val="0"/>
        <w:sz w:val="28"/>
        <w:szCs w:val="28"/>
      </w:rPr>
    </w:lvl>
    <w:lvl w:ilvl="1">
      <w:start w:val="1"/>
      <w:numFmt w:val="decimal"/>
      <w:suff w:val="space"/>
      <w:lvlText w:val="%1-%2-"/>
      <w:lvlJc w:val="left"/>
      <w:pPr>
        <w:ind w:left="681" w:hanging="539"/>
      </w:pPr>
      <w:rPr>
        <w:rFonts w:ascii="Times New Roman" w:hAnsi="Times New Roman" w:cs="Arabic Transparent" w:hint="default"/>
        <w:b/>
        <w:bCs/>
        <w:i w:val="0"/>
        <w:iCs w:val="0"/>
        <w:sz w:val="30"/>
        <w:szCs w:val="30"/>
      </w:rPr>
    </w:lvl>
    <w:lvl w:ilvl="2">
      <w:start w:val="1"/>
      <w:numFmt w:val="decimal"/>
      <w:suff w:val="space"/>
      <w:lvlText w:val="%1-%2-%3-"/>
      <w:lvlJc w:val="left"/>
      <w:pPr>
        <w:ind w:left="964" w:hanging="538"/>
      </w:pPr>
      <w:rPr>
        <w:rFonts w:cs="Times New Roman" w:hint="default"/>
      </w:rPr>
    </w:lvl>
    <w:lvl w:ilvl="3">
      <w:start w:val="1"/>
      <w:numFmt w:val="decimal"/>
      <w:suff w:val="space"/>
      <w:lvlText w:val="%1-%2-%3-%4-"/>
      <w:lvlJc w:val="left"/>
      <w:pPr>
        <w:ind w:left="1049" w:hanging="623"/>
      </w:pPr>
      <w:rPr>
        <w:rFonts w:cs="Times New Roman" w:hint="default"/>
      </w:rPr>
    </w:lvl>
    <w:lvl w:ilvl="4">
      <w:start w:val="1"/>
      <w:numFmt w:val="decimal"/>
      <w:suff w:val="space"/>
      <w:lvlText w:val="%1-%2-%3-%4-%5-"/>
      <w:lvlJc w:val="left"/>
      <w:pPr>
        <w:ind w:left="1276" w:hanging="850"/>
      </w:pPr>
      <w:rPr>
        <w:rFonts w:cs="Times New Roman" w:hint="default"/>
      </w:rPr>
    </w:lvl>
    <w:lvl w:ilvl="5">
      <w:start w:val="1"/>
      <w:numFmt w:val="decimal"/>
      <w:suff w:val="space"/>
      <w:lvlText w:val="%1-%2-%3-%4-%5-%6-"/>
      <w:lvlJc w:val="left"/>
      <w:pPr>
        <w:ind w:left="2297" w:hanging="1871"/>
      </w:pPr>
      <w:rPr>
        <w:rFonts w:cs="Times New Roman" w:hint="default"/>
      </w:rPr>
    </w:lvl>
    <w:lvl w:ilvl="6">
      <w:start w:val="1"/>
      <w:numFmt w:val="decimal"/>
      <w:suff w:val="space"/>
      <w:lvlText w:val="%7-%1-%2-%3-%4-%5-%6-"/>
      <w:lvlJc w:val="left"/>
      <w:pPr>
        <w:ind w:left="2523" w:hanging="2097"/>
      </w:pPr>
      <w:rPr>
        <w:rFonts w:cs="Times New Roman" w:hint="default"/>
      </w:rPr>
    </w:lvl>
    <w:lvl w:ilvl="7">
      <w:start w:val="1"/>
      <w:numFmt w:val="decimal"/>
      <w:lvlText w:val="%1-%2-%3-%4-%5-%6-%7-%8-"/>
      <w:lvlJc w:val="left"/>
      <w:pPr>
        <w:tabs>
          <w:tab w:val="num" w:pos="8062"/>
        </w:tabs>
        <w:ind w:left="3886" w:hanging="1224"/>
      </w:pPr>
      <w:rPr>
        <w:rFonts w:cs="Times New Roman" w:hint="default"/>
      </w:rPr>
    </w:lvl>
    <w:lvl w:ilvl="8">
      <w:start w:val="1"/>
      <w:numFmt w:val="decimal"/>
      <w:lvlText w:val="%1.%2.%3.%4.%5.%6.%7.%8.%9."/>
      <w:lvlJc w:val="left"/>
      <w:pPr>
        <w:tabs>
          <w:tab w:val="num" w:pos="8782"/>
        </w:tabs>
        <w:ind w:left="4462" w:hanging="1440"/>
      </w:pPr>
      <w:rPr>
        <w:rFonts w:cs="Times New Roman" w:hint="default"/>
      </w:rPr>
    </w:lvl>
  </w:abstractNum>
  <w:abstractNum w:abstractNumId="12">
    <w:nsid w:val="70B06427"/>
    <w:multiLevelType w:val="hybridMultilevel"/>
    <w:tmpl w:val="CC602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CB2199"/>
    <w:multiLevelType w:val="multilevel"/>
    <w:tmpl w:val="34C8366C"/>
    <w:styleLink w:val="List31"/>
    <w:lvl w:ilvl="0">
      <w:start w:val="1"/>
      <w:numFmt w:val="bullet"/>
      <w:lvlText w:val="•"/>
      <w:lvlJc w:val="left"/>
      <w:pPr>
        <w:tabs>
          <w:tab w:val="num" w:pos="720"/>
        </w:tabs>
        <w:ind w:left="720" w:hanging="360"/>
      </w:pPr>
      <w:rPr>
        <w:rFonts w:ascii="Times New Roman" w:eastAsia="Times New Roman" w:hAnsi="Times New Roman" w:cs="Times New Roman"/>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500"/>
        </w:tabs>
        <w:ind w:left="1500" w:hanging="420"/>
      </w:pPr>
      <w:rPr>
        <w:rFonts w:ascii="Cambria" w:eastAsia="Cambria" w:hAnsi="Cambria" w:cs="Cambria"/>
        <w:caps w:val="0"/>
        <w:smallCaps w:val="0"/>
        <w:strike w:val="0"/>
        <w:dstrike w:val="0"/>
        <w:outline w:val="0"/>
        <w:color w:val="000000"/>
        <w:spacing w:val="0"/>
        <w:kern w:val="0"/>
        <w:position w:val="0"/>
        <w:sz w:val="28"/>
        <w:szCs w:val="28"/>
        <w:u w:val="none" w:color="000000"/>
        <w:vertAlign w:val="baseline"/>
        <w:lang w:val="en-US"/>
      </w:rPr>
    </w:lvl>
    <w:lvl w:ilvl="2">
      <w:start w:val="1"/>
      <w:numFmt w:val="bullet"/>
      <w:lvlText w:val="▪"/>
      <w:lvlJc w:val="left"/>
      <w:pPr>
        <w:tabs>
          <w:tab w:val="num" w:pos="2220"/>
        </w:tabs>
        <w:ind w:left="2220" w:hanging="420"/>
      </w:pPr>
      <w:rPr>
        <w:rFonts w:ascii="Cambria" w:eastAsia="Cambria" w:hAnsi="Cambria" w:cs="Cambria"/>
        <w:caps w:val="0"/>
        <w:smallCaps w:val="0"/>
        <w:strike w:val="0"/>
        <w:dstrike w:val="0"/>
        <w:outline w:val="0"/>
        <w:color w:val="000000"/>
        <w:spacing w:val="0"/>
        <w:kern w:val="0"/>
        <w:position w:val="0"/>
        <w:sz w:val="28"/>
        <w:szCs w:val="28"/>
        <w:u w:val="none" w:color="000000"/>
        <w:vertAlign w:val="baseline"/>
        <w:lang w:val="en-US"/>
      </w:rPr>
    </w:lvl>
    <w:lvl w:ilvl="3">
      <w:start w:val="1"/>
      <w:numFmt w:val="bullet"/>
      <w:lvlText w:val="•"/>
      <w:lvlJc w:val="left"/>
      <w:pPr>
        <w:tabs>
          <w:tab w:val="num" w:pos="2940"/>
        </w:tabs>
        <w:ind w:left="2940" w:hanging="420"/>
      </w:pPr>
      <w:rPr>
        <w:rFonts w:ascii="Cambria" w:eastAsia="Cambria" w:hAnsi="Cambria" w:cs="Cambria"/>
        <w:caps w:val="0"/>
        <w:smallCaps w:val="0"/>
        <w:strike w:val="0"/>
        <w:dstrike w:val="0"/>
        <w:outline w:val="0"/>
        <w:color w:val="000000"/>
        <w:spacing w:val="0"/>
        <w:kern w:val="0"/>
        <w:position w:val="0"/>
        <w:sz w:val="28"/>
        <w:szCs w:val="28"/>
        <w:u w:val="none" w:color="000000"/>
        <w:vertAlign w:val="baseline"/>
        <w:lang w:val="en-US"/>
      </w:rPr>
    </w:lvl>
    <w:lvl w:ilvl="4">
      <w:start w:val="1"/>
      <w:numFmt w:val="bullet"/>
      <w:lvlText w:val="o"/>
      <w:lvlJc w:val="left"/>
      <w:pPr>
        <w:tabs>
          <w:tab w:val="num" w:pos="3660"/>
        </w:tabs>
        <w:ind w:left="3660" w:hanging="420"/>
      </w:pPr>
      <w:rPr>
        <w:rFonts w:ascii="Cambria" w:eastAsia="Cambria" w:hAnsi="Cambria" w:cs="Cambria"/>
        <w:caps w:val="0"/>
        <w:smallCaps w:val="0"/>
        <w:strike w:val="0"/>
        <w:dstrike w:val="0"/>
        <w:outline w:val="0"/>
        <w:color w:val="000000"/>
        <w:spacing w:val="0"/>
        <w:kern w:val="0"/>
        <w:position w:val="0"/>
        <w:sz w:val="28"/>
        <w:szCs w:val="28"/>
        <w:u w:val="none" w:color="000000"/>
        <w:vertAlign w:val="baseline"/>
        <w:lang w:val="en-US"/>
      </w:rPr>
    </w:lvl>
    <w:lvl w:ilvl="5">
      <w:start w:val="1"/>
      <w:numFmt w:val="bullet"/>
      <w:lvlText w:val="▪"/>
      <w:lvlJc w:val="left"/>
      <w:pPr>
        <w:tabs>
          <w:tab w:val="num" w:pos="4380"/>
        </w:tabs>
        <w:ind w:left="4380" w:hanging="420"/>
      </w:pPr>
      <w:rPr>
        <w:rFonts w:ascii="Cambria" w:eastAsia="Cambria" w:hAnsi="Cambria" w:cs="Cambria"/>
        <w:caps w:val="0"/>
        <w:smallCaps w:val="0"/>
        <w:strike w:val="0"/>
        <w:dstrike w:val="0"/>
        <w:outline w:val="0"/>
        <w:color w:val="000000"/>
        <w:spacing w:val="0"/>
        <w:kern w:val="0"/>
        <w:position w:val="0"/>
        <w:sz w:val="28"/>
        <w:szCs w:val="28"/>
        <w:u w:val="none" w:color="000000"/>
        <w:vertAlign w:val="baseline"/>
        <w:lang w:val="en-US"/>
      </w:rPr>
    </w:lvl>
    <w:lvl w:ilvl="6">
      <w:start w:val="1"/>
      <w:numFmt w:val="bullet"/>
      <w:lvlText w:val="•"/>
      <w:lvlJc w:val="left"/>
      <w:pPr>
        <w:tabs>
          <w:tab w:val="num" w:pos="5100"/>
        </w:tabs>
        <w:ind w:left="5100" w:hanging="420"/>
      </w:pPr>
      <w:rPr>
        <w:rFonts w:ascii="Cambria" w:eastAsia="Cambria" w:hAnsi="Cambria" w:cs="Cambria"/>
        <w:caps w:val="0"/>
        <w:smallCaps w:val="0"/>
        <w:strike w:val="0"/>
        <w:dstrike w:val="0"/>
        <w:outline w:val="0"/>
        <w:color w:val="000000"/>
        <w:spacing w:val="0"/>
        <w:kern w:val="0"/>
        <w:position w:val="0"/>
        <w:sz w:val="28"/>
        <w:szCs w:val="28"/>
        <w:u w:val="none" w:color="000000"/>
        <w:vertAlign w:val="baseline"/>
        <w:lang w:val="en-US"/>
      </w:rPr>
    </w:lvl>
    <w:lvl w:ilvl="7">
      <w:start w:val="1"/>
      <w:numFmt w:val="bullet"/>
      <w:lvlText w:val="o"/>
      <w:lvlJc w:val="left"/>
      <w:pPr>
        <w:tabs>
          <w:tab w:val="num" w:pos="5820"/>
        </w:tabs>
        <w:ind w:left="5820" w:hanging="420"/>
      </w:pPr>
      <w:rPr>
        <w:rFonts w:ascii="Cambria" w:eastAsia="Cambria" w:hAnsi="Cambria" w:cs="Cambria"/>
        <w:caps w:val="0"/>
        <w:smallCaps w:val="0"/>
        <w:strike w:val="0"/>
        <w:dstrike w:val="0"/>
        <w:outline w:val="0"/>
        <w:color w:val="000000"/>
        <w:spacing w:val="0"/>
        <w:kern w:val="0"/>
        <w:position w:val="0"/>
        <w:sz w:val="28"/>
        <w:szCs w:val="28"/>
        <w:u w:val="none" w:color="000000"/>
        <w:vertAlign w:val="baseline"/>
        <w:lang w:val="en-US"/>
      </w:rPr>
    </w:lvl>
    <w:lvl w:ilvl="8">
      <w:start w:val="1"/>
      <w:numFmt w:val="bullet"/>
      <w:lvlText w:val="▪"/>
      <w:lvlJc w:val="left"/>
      <w:pPr>
        <w:tabs>
          <w:tab w:val="num" w:pos="6540"/>
        </w:tabs>
        <w:ind w:left="6540" w:hanging="420"/>
      </w:pPr>
      <w:rPr>
        <w:rFonts w:ascii="Cambria" w:eastAsia="Cambria" w:hAnsi="Cambria" w:cs="Cambria"/>
        <w:caps w:val="0"/>
        <w:smallCaps w:val="0"/>
        <w:strike w:val="0"/>
        <w:dstrike w:val="0"/>
        <w:outline w:val="0"/>
        <w:color w:val="000000"/>
        <w:spacing w:val="0"/>
        <w:kern w:val="0"/>
        <w:position w:val="0"/>
        <w:sz w:val="28"/>
        <w:szCs w:val="28"/>
        <w:u w:val="none" w:color="000000"/>
        <w:vertAlign w:val="baseline"/>
        <w:lang w:val="en-US"/>
      </w:rPr>
    </w:lvl>
  </w:abstractNum>
  <w:num w:numId="1">
    <w:abstractNumId w:val="0"/>
  </w:num>
  <w:num w:numId="2">
    <w:abstractNumId w:val="9"/>
  </w:num>
  <w:num w:numId="3">
    <w:abstractNumId w:val="4"/>
  </w:num>
  <w:num w:numId="4">
    <w:abstractNumId w:val="11"/>
  </w:num>
  <w:num w:numId="5">
    <w:abstractNumId w:val="5"/>
  </w:num>
  <w:num w:numId="6">
    <w:abstractNumId w:val="6"/>
  </w:num>
  <w:num w:numId="7">
    <w:abstractNumId w:val="1"/>
  </w:num>
  <w:num w:numId="8">
    <w:abstractNumId w:val="13"/>
  </w:num>
  <w:num w:numId="9">
    <w:abstractNumId w:val="8"/>
  </w:num>
  <w:num w:numId="10">
    <w:abstractNumId w:val="10"/>
  </w:num>
  <w:num w:numId="11">
    <w:abstractNumId w:val="12"/>
  </w:num>
  <w:num w:numId="12">
    <w:abstractNumId w:val="7"/>
  </w:num>
  <w:num w:numId="13">
    <w:abstractNumId w:val="2"/>
  </w:num>
  <w:num w:numId="14">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cumentProtection w:edit="readOnly" w:enforcement="0"/>
  <w:defaultTabStop w:val="720"/>
  <w:drawingGridHorizontalSpacing w:val="120"/>
  <w:displayHorizontalDrawingGridEvery w:val="2"/>
  <w:characterSpacingControl w:val="doNotCompress"/>
  <w:hdrShapeDefaults>
    <o:shapedefaults v:ext="edit" spidmax="32770"/>
  </w:hdrShapeDefaults>
  <w:footnotePr>
    <w:footnote w:id="-1"/>
    <w:footnote w:id="0"/>
  </w:footnotePr>
  <w:endnotePr>
    <w:endnote w:id="-1"/>
    <w:endnote w:id="0"/>
  </w:endnotePr>
  <w:compat>
    <w:useFELayout/>
  </w:compat>
  <w:rsids>
    <w:rsidRoot w:val="001E5ABF"/>
    <w:rsid w:val="00000C4C"/>
    <w:rsid w:val="00000D33"/>
    <w:rsid w:val="00001F61"/>
    <w:rsid w:val="00003715"/>
    <w:rsid w:val="00004672"/>
    <w:rsid w:val="000049EB"/>
    <w:rsid w:val="00005C30"/>
    <w:rsid w:val="000064E1"/>
    <w:rsid w:val="00006D9C"/>
    <w:rsid w:val="00007895"/>
    <w:rsid w:val="00007DAA"/>
    <w:rsid w:val="0001010A"/>
    <w:rsid w:val="00010750"/>
    <w:rsid w:val="0001632D"/>
    <w:rsid w:val="000166AB"/>
    <w:rsid w:val="00016CC0"/>
    <w:rsid w:val="000172D5"/>
    <w:rsid w:val="000179C0"/>
    <w:rsid w:val="00017AD4"/>
    <w:rsid w:val="00020C89"/>
    <w:rsid w:val="0002160A"/>
    <w:rsid w:val="00023189"/>
    <w:rsid w:val="00023298"/>
    <w:rsid w:val="00025061"/>
    <w:rsid w:val="00025542"/>
    <w:rsid w:val="00026040"/>
    <w:rsid w:val="0002714E"/>
    <w:rsid w:val="0002719B"/>
    <w:rsid w:val="00027904"/>
    <w:rsid w:val="00030553"/>
    <w:rsid w:val="00031B89"/>
    <w:rsid w:val="000320C8"/>
    <w:rsid w:val="00032B62"/>
    <w:rsid w:val="00032D85"/>
    <w:rsid w:val="00033134"/>
    <w:rsid w:val="0003374A"/>
    <w:rsid w:val="00033F1E"/>
    <w:rsid w:val="000343D5"/>
    <w:rsid w:val="00034982"/>
    <w:rsid w:val="0003503C"/>
    <w:rsid w:val="00035356"/>
    <w:rsid w:val="000362E0"/>
    <w:rsid w:val="00036534"/>
    <w:rsid w:val="00037C60"/>
    <w:rsid w:val="000406A1"/>
    <w:rsid w:val="000409E3"/>
    <w:rsid w:val="00042716"/>
    <w:rsid w:val="0004278B"/>
    <w:rsid w:val="00044AE1"/>
    <w:rsid w:val="000453D8"/>
    <w:rsid w:val="00047EB9"/>
    <w:rsid w:val="000505FA"/>
    <w:rsid w:val="00050E37"/>
    <w:rsid w:val="000512B3"/>
    <w:rsid w:val="000530D7"/>
    <w:rsid w:val="0005334F"/>
    <w:rsid w:val="000536B2"/>
    <w:rsid w:val="00053EB9"/>
    <w:rsid w:val="000547FB"/>
    <w:rsid w:val="0005562C"/>
    <w:rsid w:val="00056181"/>
    <w:rsid w:val="000603A8"/>
    <w:rsid w:val="00060A34"/>
    <w:rsid w:val="000624B9"/>
    <w:rsid w:val="000625AC"/>
    <w:rsid w:val="00062B4D"/>
    <w:rsid w:val="00063EED"/>
    <w:rsid w:val="00064146"/>
    <w:rsid w:val="0006417D"/>
    <w:rsid w:val="000655CA"/>
    <w:rsid w:val="000659F7"/>
    <w:rsid w:val="00067DEB"/>
    <w:rsid w:val="00071A25"/>
    <w:rsid w:val="00071B24"/>
    <w:rsid w:val="00071CCC"/>
    <w:rsid w:val="000720E2"/>
    <w:rsid w:val="000736AB"/>
    <w:rsid w:val="00075109"/>
    <w:rsid w:val="000760EA"/>
    <w:rsid w:val="00077684"/>
    <w:rsid w:val="00077724"/>
    <w:rsid w:val="00077E39"/>
    <w:rsid w:val="0008056F"/>
    <w:rsid w:val="00081F2A"/>
    <w:rsid w:val="0008348D"/>
    <w:rsid w:val="00083677"/>
    <w:rsid w:val="00083AC7"/>
    <w:rsid w:val="00083B0C"/>
    <w:rsid w:val="00086083"/>
    <w:rsid w:val="00086994"/>
    <w:rsid w:val="0008749D"/>
    <w:rsid w:val="00087F6D"/>
    <w:rsid w:val="0009134F"/>
    <w:rsid w:val="000919CE"/>
    <w:rsid w:val="000928E0"/>
    <w:rsid w:val="00092C03"/>
    <w:rsid w:val="0009384C"/>
    <w:rsid w:val="00094055"/>
    <w:rsid w:val="00095BD3"/>
    <w:rsid w:val="000A04A3"/>
    <w:rsid w:val="000A05DE"/>
    <w:rsid w:val="000A1380"/>
    <w:rsid w:val="000A18B8"/>
    <w:rsid w:val="000A2237"/>
    <w:rsid w:val="000A30FC"/>
    <w:rsid w:val="000A40DF"/>
    <w:rsid w:val="000A4F4D"/>
    <w:rsid w:val="000B0081"/>
    <w:rsid w:val="000B0354"/>
    <w:rsid w:val="000B1B48"/>
    <w:rsid w:val="000B20A4"/>
    <w:rsid w:val="000B2AB4"/>
    <w:rsid w:val="000B2F0E"/>
    <w:rsid w:val="000B379E"/>
    <w:rsid w:val="000B3A1D"/>
    <w:rsid w:val="000B45FA"/>
    <w:rsid w:val="000B6310"/>
    <w:rsid w:val="000B6DF1"/>
    <w:rsid w:val="000B76E4"/>
    <w:rsid w:val="000C19DB"/>
    <w:rsid w:val="000C2BE5"/>
    <w:rsid w:val="000C2FB3"/>
    <w:rsid w:val="000C31EF"/>
    <w:rsid w:val="000C35B5"/>
    <w:rsid w:val="000C3622"/>
    <w:rsid w:val="000C36EA"/>
    <w:rsid w:val="000C6FA3"/>
    <w:rsid w:val="000C7F4A"/>
    <w:rsid w:val="000D01D5"/>
    <w:rsid w:val="000D029E"/>
    <w:rsid w:val="000D04B5"/>
    <w:rsid w:val="000D0A16"/>
    <w:rsid w:val="000D13BE"/>
    <w:rsid w:val="000D15D3"/>
    <w:rsid w:val="000D1EA6"/>
    <w:rsid w:val="000D25B4"/>
    <w:rsid w:val="000D3F3D"/>
    <w:rsid w:val="000D405F"/>
    <w:rsid w:val="000D5B66"/>
    <w:rsid w:val="000D729E"/>
    <w:rsid w:val="000D7EBE"/>
    <w:rsid w:val="000E0094"/>
    <w:rsid w:val="000E03CD"/>
    <w:rsid w:val="000E0A6B"/>
    <w:rsid w:val="000E155C"/>
    <w:rsid w:val="000E2087"/>
    <w:rsid w:val="000E2FD9"/>
    <w:rsid w:val="000E3877"/>
    <w:rsid w:val="000E3BE1"/>
    <w:rsid w:val="000E549E"/>
    <w:rsid w:val="000E750F"/>
    <w:rsid w:val="000F0B93"/>
    <w:rsid w:val="000F1349"/>
    <w:rsid w:val="000F1EDE"/>
    <w:rsid w:val="000F23F9"/>
    <w:rsid w:val="000F2AC9"/>
    <w:rsid w:val="000F3CBE"/>
    <w:rsid w:val="000F3CE7"/>
    <w:rsid w:val="000F5047"/>
    <w:rsid w:val="000F5D2B"/>
    <w:rsid w:val="000F6A4B"/>
    <w:rsid w:val="000F6DD3"/>
    <w:rsid w:val="000F6E0B"/>
    <w:rsid w:val="000F6E82"/>
    <w:rsid w:val="001013B1"/>
    <w:rsid w:val="0010406E"/>
    <w:rsid w:val="00104E58"/>
    <w:rsid w:val="00105FC7"/>
    <w:rsid w:val="00106B02"/>
    <w:rsid w:val="00106CD4"/>
    <w:rsid w:val="001077A2"/>
    <w:rsid w:val="00107A01"/>
    <w:rsid w:val="00107D56"/>
    <w:rsid w:val="00110FB2"/>
    <w:rsid w:val="0011166E"/>
    <w:rsid w:val="00111B78"/>
    <w:rsid w:val="001124BB"/>
    <w:rsid w:val="0011269F"/>
    <w:rsid w:val="00112BE7"/>
    <w:rsid w:val="001135D9"/>
    <w:rsid w:val="00114033"/>
    <w:rsid w:val="001161CD"/>
    <w:rsid w:val="00117164"/>
    <w:rsid w:val="00120383"/>
    <w:rsid w:val="0012118A"/>
    <w:rsid w:val="00122159"/>
    <w:rsid w:val="00122235"/>
    <w:rsid w:val="001224B2"/>
    <w:rsid w:val="0012298E"/>
    <w:rsid w:val="00122E52"/>
    <w:rsid w:val="00123B37"/>
    <w:rsid w:val="00125342"/>
    <w:rsid w:val="00125648"/>
    <w:rsid w:val="001256A5"/>
    <w:rsid w:val="00125DCC"/>
    <w:rsid w:val="0012668A"/>
    <w:rsid w:val="00127557"/>
    <w:rsid w:val="00127900"/>
    <w:rsid w:val="00130E20"/>
    <w:rsid w:val="0013217E"/>
    <w:rsid w:val="0013283C"/>
    <w:rsid w:val="00132E7A"/>
    <w:rsid w:val="0013301C"/>
    <w:rsid w:val="00134D75"/>
    <w:rsid w:val="00135AC4"/>
    <w:rsid w:val="001365CE"/>
    <w:rsid w:val="00137337"/>
    <w:rsid w:val="001376ED"/>
    <w:rsid w:val="00137EE0"/>
    <w:rsid w:val="00140111"/>
    <w:rsid w:val="001418BF"/>
    <w:rsid w:val="0014198C"/>
    <w:rsid w:val="00141CE5"/>
    <w:rsid w:val="001429F1"/>
    <w:rsid w:val="001430E9"/>
    <w:rsid w:val="00143904"/>
    <w:rsid w:val="00143941"/>
    <w:rsid w:val="00145956"/>
    <w:rsid w:val="001462CE"/>
    <w:rsid w:val="00146F1E"/>
    <w:rsid w:val="0014706E"/>
    <w:rsid w:val="001475FE"/>
    <w:rsid w:val="00150079"/>
    <w:rsid w:val="001504B7"/>
    <w:rsid w:val="00150B94"/>
    <w:rsid w:val="00151175"/>
    <w:rsid w:val="00151829"/>
    <w:rsid w:val="0015275F"/>
    <w:rsid w:val="00153381"/>
    <w:rsid w:val="001534A3"/>
    <w:rsid w:val="0015470E"/>
    <w:rsid w:val="001549BE"/>
    <w:rsid w:val="00154AEC"/>
    <w:rsid w:val="00155D0F"/>
    <w:rsid w:val="001562A1"/>
    <w:rsid w:val="00156A54"/>
    <w:rsid w:val="001603E9"/>
    <w:rsid w:val="00160863"/>
    <w:rsid w:val="00160890"/>
    <w:rsid w:val="00160EE7"/>
    <w:rsid w:val="00161AC0"/>
    <w:rsid w:val="001633AB"/>
    <w:rsid w:val="001643EF"/>
    <w:rsid w:val="001659B4"/>
    <w:rsid w:val="00166044"/>
    <w:rsid w:val="00166A00"/>
    <w:rsid w:val="001700FE"/>
    <w:rsid w:val="0017035B"/>
    <w:rsid w:val="00170B7D"/>
    <w:rsid w:val="00170FE8"/>
    <w:rsid w:val="00172A79"/>
    <w:rsid w:val="00172C42"/>
    <w:rsid w:val="00174D02"/>
    <w:rsid w:val="00174FC6"/>
    <w:rsid w:val="00175528"/>
    <w:rsid w:val="00175EC7"/>
    <w:rsid w:val="00176112"/>
    <w:rsid w:val="00176205"/>
    <w:rsid w:val="001764A3"/>
    <w:rsid w:val="00176D7B"/>
    <w:rsid w:val="00180393"/>
    <w:rsid w:val="00182295"/>
    <w:rsid w:val="00182E45"/>
    <w:rsid w:val="00184271"/>
    <w:rsid w:val="001846C6"/>
    <w:rsid w:val="00185681"/>
    <w:rsid w:val="00186C05"/>
    <w:rsid w:val="001871B3"/>
    <w:rsid w:val="001904A9"/>
    <w:rsid w:val="00193B5D"/>
    <w:rsid w:val="00193D68"/>
    <w:rsid w:val="0019483E"/>
    <w:rsid w:val="001953AE"/>
    <w:rsid w:val="00195D34"/>
    <w:rsid w:val="00195D55"/>
    <w:rsid w:val="00196F89"/>
    <w:rsid w:val="001973CF"/>
    <w:rsid w:val="00197FC3"/>
    <w:rsid w:val="001A0737"/>
    <w:rsid w:val="001A0DDF"/>
    <w:rsid w:val="001A1606"/>
    <w:rsid w:val="001A1EB2"/>
    <w:rsid w:val="001A2FFE"/>
    <w:rsid w:val="001A3F7B"/>
    <w:rsid w:val="001A5755"/>
    <w:rsid w:val="001A658E"/>
    <w:rsid w:val="001A687E"/>
    <w:rsid w:val="001A70E4"/>
    <w:rsid w:val="001B1AD8"/>
    <w:rsid w:val="001B206E"/>
    <w:rsid w:val="001B29C9"/>
    <w:rsid w:val="001B46EF"/>
    <w:rsid w:val="001B5AEF"/>
    <w:rsid w:val="001B7596"/>
    <w:rsid w:val="001C1EBA"/>
    <w:rsid w:val="001C2FCD"/>
    <w:rsid w:val="001C4635"/>
    <w:rsid w:val="001C4BB3"/>
    <w:rsid w:val="001C524B"/>
    <w:rsid w:val="001C52EF"/>
    <w:rsid w:val="001C5BFE"/>
    <w:rsid w:val="001C5C79"/>
    <w:rsid w:val="001D190B"/>
    <w:rsid w:val="001D281A"/>
    <w:rsid w:val="001D3803"/>
    <w:rsid w:val="001D3AE6"/>
    <w:rsid w:val="001D3FE1"/>
    <w:rsid w:val="001D5B56"/>
    <w:rsid w:val="001D71AB"/>
    <w:rsid w:val="001E016B"/>
    <w:rsid w:val="001E01D0"/>
    <w:rsid w:val="001E02C9"/>
    <w:rsid w:val="001E15A6"/>
    <w:rsid w:val="001E2656"/>
    <w:rsid w:val="001E41A2"/>
    <w:rsid w:val="001E5A59"/>
    <w:rsid w:val="001E5ABF"/>
    <w:rsid w:val="001E660B"/>
    <w:rsid w:val="001E7F0A"/>
    <w:rsid w:val="001F03A9"/>
    <w:rsid w:val="001F0428"/>
    <w:rsid w:val="001F05F9"/>
    <w:rsid w:val="001F0712"/>
    <w:rsid w:val="001F0A76"/>
    <w:rsid w:val="001F1C1C"/>
    <w:rsid w:val="001F284D"/>
    <w:rsid w:val="001F29A2"/>
    <w:rsid w:val="001F3D41"/>
    <w:rsid w:val="001F6370"/>
    <w:rsid w:val="001F6FB1"/>
    <w:rsid w:val="001F778A"/>
    <w:rsid w:val="00200EB6"/>
    <w:rsid w:val="0020130E"/>
    <w:rsid w:val="00201330"/>
    <w:rsid w:val="002022A7"/>
    <w:rsid w:val="00204663"/>
    <w:rsid w:val="002048F6"/>
    <w:rsid w:val="00204AFA"/>
    <w:rsid w:val="00204F6B"/>
    <w:rsid w:val="002060CF"/>
    <w:rsid w:val="00206CF2"/>
    <w:rsid w:val="00207F92"/>
    <w:rsid w:val="0021080D"/>
    <w:rsid w:val="0021362C"/>
    <w:rsid w:val="00213A98"/>
    <w:rsid w:val="00215390"/>
    <w:rsid w:val="002156EE"/>
    <w:rsid w:val="00216453"/>
    <w:rsid w:val="0021716B"/>
    <w:rsid w:val="0022067C"/>
    <w:rsid w:val="00221175"/>
    <w:rsid w:val="00221358"/>
    <w:rsid w:val="002217B0"/>
    <w:rsid w:val="00223DC8"/>
    <w:rsid w:val="00224776"/>
    <w:rsid w:val="00225294"/>
    <w:rsid w:val="002271AC"/>
    <w:rsid w:val="00227DAF"/>
    <w:rsid w:val="002329AF"/>
    <w:rsid w:val="002341F0"/>
    <w:rsid w:val="002342FA"/>
    <w:rsid w:val="00234565"/>
    <w:rsid w:val="00234FC2"/>
    <w:rsid w:val="002354D8"/>
    <w:rsid w:val="00235DDA"/>
    <w:rsid w:val="0023612B"/>
    <w:rsid w:val="002361F2"/>
    <w:rsid w:val="00237890"/>
    <w:rsid w:val="00240444"/>
    <w:rsid w:val="002405CB"/>
    <w:rsid w:val="002408E4"/>
    <w:rsid w:val="00240D58"/>
    <w:rsid w:val="0024120B"/>
    <w:rsid w:val="0024139A"/>
    <w:rsid w:val="002414C4"/>
    <w:rsid w:val="00241D4B"/>
    <w:rsid w:val="002444D5"/>
    <w:rsid w:val="002448F4"/>
    <w:rsid w:val="00244F6C"/>
    <w:rsid w:val="0024504E"/>
    <w:rsid w:val="00245097"/>
    <w:rsid w:val="00245A78"/>
    <w:rsid w:val="00245CA3"/>
    <w:rsid w:val="0024665F"/>
    <w:rsid w:val="00247D15"/>
    <w:rsid w:val="00250AE3"/>
    <w:rsid w:val="0025119F"/>
    <w:rsid w:val="00251B4F"/>
    <w:rsid w:val="00252050"/>
    <w:rsid w:val="00252D59"/>
    <w:rsid w:val="00253DC3"/>
    <w:rsid w:val="00254074"/>
    <w:rsid w:val="00255F9A"/>
    <w:rsid w:val="00256BAF"/>
    <w:rsid w:val="002610A4"/>
    <w:rsid w:val="00261883"/>
    <w:rsid w:val="00262B93"/>
    <w:rsid w:val="00262D77"/>
    <w:rsid w:val="00262FD3"/>
    <w:rsid w:val="00263212"/>
    <w:rsid w:val="00266543"/>
    <w:rsid w:val="002665C6"/>
    <w:rsid w:val="002671F4"/>
    <w:rsid w:val="00270252"/>
    <w:rsid w:val="002705AD"/>
    <w:rsid w:val="00273778"/>
    <w:rsid w:val="00276C79"/>
    <w:rsid w:val="00276CE8"/>
    <w:rsid w:val="002814C0"/>
    <w:rsid w:val="00281DEC"/>
    <w:rsid w:val="00282731"/>
    <w:rsid w:val="00284EB6"/>
    <w:rsid w:val="00286258"/>
    <w:rsid w:val="00287401"/>
    <w:rsid w:val="00287B96"/>
    <w:rsid w:val="00287FFB"/>
    <w:rsid w:val="002905E3"/>
    <w:rsid w:val="002908DF"/>
    <w:rsid w:val="00293249"/>
    <w:rsid w:val="0029340C"/>
    <w:rsid w:val="002938B3"/>
    <w:rsid w:val="002938F4"/>
    <w:rsid w:val="00295E7C"/>
    <w:rsid w:val="00296D11"/>
    <w:rsid w:val="00296ED3"/>
    <w:rsid w:val="002A0229"/>
    <w:rsid w:val="002A07FB"/>
    <w:rsid w:val="002A0993"/>
    <w:rsid w:val="002A2FFC"/>
    <w:rsid w:val="002A33FC"/>
    <w:rsid w:val="002A3518"/>
    <w:rsid w:val="002A56F9"/>
    <w:rsid w:val="002A575B"/>
    <w:rsid w:val="002A687F"/>
    <w:rsid w:val="002A7446"/>
    <w:rsid w:val="002B013A"/>
    <w:rsid w:val="002B469C"/>
    <w:rsid w:val="002B53B3"/>
    <w:rsid w:val="002B58A6"/>
    <w:rsid w:val="002B5B5D"/>
    <w:rsid w:val="002B6B33"/>
    <w:rsid w:val="002B6D82"/>
    <w:rsid w:val="002B73C7"/>
    <w:rsid w:val="002B75DD"/>
    <w:rsid w:val="002B7954"/>
    <w:rsid w:val="002B7BE1"/>
    <w:rsid w:val="002C0864"/>
    <w:rsid w:val="002C140F"/>
    <w:rsid w:val="002C1E05"/>
    <w:rsid w:val="002C2E4E"/>
    <w:rsid w:val="002C38AB"/>
    <w:rsid w:val="002C4926"/>
    <w:rsid w:val="002C51A4"/>
    <w:rsid w:val="002C5304"/>
    <w:rsid w:val="002C5A54"/>
    <w:rsid w:val="002C5F19"/>
    <w:rsid w:val="002C64DF"/>
    <w:rsid w:val="002C6D17"/>
    <w:rsid w:val="002C779E"/>
    <w:rsid w:val="002D0646"/>
    <w:rsid w:val="002D0A79"/>
    <w:rsid w:val="002D1856"/>
    <w:rsid w:val="002D1859"/>
    <w:rsid w:val="002D388E"/>
    <w:rsid w:val="002D4157"/>
    <w:rsid w:val="002D4272"/>
    <w:rsid w:val="002D5D91"/>
    <w:rsid w:val="002D70ED"/>
    <w:rsid w:val="002D7234"/>
    <w:rsid w:val="002D7C2A"/>
    <w:rsid w:val="002E043F"/>
    <w:rsid w:val="002E0459"/>
    <w:rsid w:val="002E26B8"/>
    <w:rsid w:val="002E431B"/>
    <w:rsid w:val="002E60B7"/>
    <w:rsid w:val="002E7858"/>
    <w:rsid w:val="002E7C66"/>
    <w:rsid w:val="002E7EC2"/>
    <w:rsid w:val="002F0C8D"/>
    <w:rsid w:val="002F10B4"/>
    <w:rsid w:val="002F15EB"/>
    <w:rsid w:val="002F1DD8"/>
    <w:rsid w:val="002F2932"/>
    <w:rsid w:val="002F381D"/>
    <w:rsid w:val="002F43A8"/>
    <w:rsid w:val="002F489C"/>
    <w:rsid w:val="002F4C8C"/>
    <w:rsid w:val="002F4D28"/>
    <w:rsid w:val="003015CF"/>
    <w:rsid w:val="00301B90"/>
    <w:rsid w:val="00302175"/>
    <w:rsid w:val="00302996"/>
    <w:rsid w:val="00303AA2"/>
    <w:rsid w:val="003040AA"/>
    <w:rsid w:val="00304CCF"/>
    <w:rsid w:val="00305E02"/>
    <w:rsid w:val="00305F21"/>
    <w:rsid w:val="003079D0"/>
    <w:rsid w:val="0031073F"/>
    <w:rsid w:val="0031125D"/>
    <w:rsid w:val="0031222B"/>
    <w:rsid w:val="00312727"/>
    <w:rsid w:val="0031442C"/>
    <w:rsid w:val="00315379"/>
    <w:rsid w:val="0031570F"/>
    <w:rsid w:val="003174BD"/>
    <w:rsid w:val="00317A2E"/>
    <w:rsid w:val="003209B6"/>
    <w:rsid w:val="003217A0"/>
    <w:rsid w:val="00321871"/>
    <w:rsid w:val="00322630"/>
    <w:rsid w:val="003229B4"/>
    <w:rsid w:val="00322B39"/>
    <w:rsid w:val="00322D87"/>
    <w:rsid w:val="003239AD"/>
    <w:rsid w:val="00323F80"/>
    <w:rsid w:val="003244A9"/>
    <w:rsid w:val="00324E45"/>
    <w:rsid w:val="00324ED1"/>
    <w:rsid w:val="00325088"/>
    <w:rsid w:val="00325126"/>
    <w:rsid w:val="00325747"/>
    <w:rsid w:val="00325BFC"/>
    <w:rsid w:val="003264B5"/>
    <w:rsid w:val="00327842"/>
    <w:rsid w:val="00327E6C"/>
    <w:rsid w:val="0033148B"/>
    <w:rsid w:val="00331E80"/>
    <w:rsid w:val="003339A5"/>
    <w:rsid w:val="003351C0"/>
    <w:rsid w:val="0033559C"/>
    <w:rsid w:val="00335783"/>
    <w:rsid w:val="00336B03"/>
    <w:rsid w:val="003373EA"/>
    <w:rsid w:val="00337DE5"/>
    <w:rsid w:val="00341126"/>
    <w:rsid w:val="0034142C"/>
    <w:rsid w:val="0034207B"/>
    <w:rsid w:val="003423CE"/>
    <w:rsid w:val="00342698"/>
    <w:rsid w:val="00343570"/>
    <w:rsid w:val="003436AF"/>
    <w:rsid w:val="0034453D"/>
    <w:rsid w:val="0034686E"/>
    <w:rsid w:val="00347064"/>
    <w:rsid w:val="00347B74"/>
    <w:rsid w:val="00350E88"/>
    <w:rsid w:val="00352C34"/>
    <w:rsid w:val="00353CE1"/>
    <w:rsid w:val="00355E8C"/>
    <w:rsid w:val="00355F8D"/>
    <w:rsid w:val="003574B3"/>
    <w:rsid w:val="003576B1"/>
    <w:rsid w:val="00357BBE"/>
    <w:rsid w:val="00357E21"/>
    <w:rsid w:val="003600D6"/>
    <w:rsid w:val="00360314"/>
    <w:rsid w:val="00361738"/>
    <w:rsid w:val="00362F48"/>
    <w:rsid w:val="00364C00"/>
    <w:rsid w:val="003656E2"/>
    <w:rsid w:val="00367800"/>
    <w:rsid w:val="003716D4"/>
    <w:rsid w:val="003735E4"/>
    <w:rsid w:val="0037377B"/>
    <w:rsid w:val="00373B71"/>
    <w:rsid w:val="00377112"/>
    <w:rsid w:val="00380A62"/>
    <w:rsid w:val="00380E94"/>
    <w:rsid w:val="00381A6F"/>
    <w:rsid w:val="003820BA"/>
    <w:rsid w:val="00382E6A"/>
    <w:rsid w:val="0038466F"/>
    <w:rsid w:val="003858C8"/>
    <w:rsid w:val="00385CE3"/>
    <w:rsid w:val="00387684"/>
    <w:rsid w:val="00390284"/>
    <w:rsid w:val="00390CD5"/>
    <w:rsid w:val="00391110"/>
    <w:rsid w:val="0039116A"/>
    <w:rsid w:val="003922C8"/>
    <w:rsid w:val="00393513"/>
    <w:rsid w:val="00393F3B"/>
    <w:rsid w:val="0039607A"/>
    <w:rsid w:val="00396CC8"/>
    <w:rsid w:val="003A1916"/>
    <w:rsid w:val="003A5075"/>
    <w:rsid w:val="003A68C8"/>
    <w:rsid w:val="003A6A97"/>
    <w:rsid w:val="003A75C1"/>
    <w:rsid w:val="003A7D9C"/>
    <w:rsid w:val="003B17CD"/>
    <w:rsid w:val="003B2725"/>
    <w:rsid w:val="003B28D9"/>
    <w:rsid w:val="003B2F4D"/>
    <w:rsid w:val="003B48B4"/>
    <w:rsid w:val="003B5D66"/>
    <w:rsid w:val="003B60C3"/>
    <w:rsid w:val="003B70BA"/>
    <w:rsid w:val="003C027E"/>
    <w:rsid w:val="003C0E66"/>
    <w:rsid w:val="003C138F"/>
    <w:rsid w:val="003C1AAC"/>
    <w:rsid w:val="003C3CC5"/>
    <w:rsid w:val="003C4992"/>
    <w:rsid w:val="003C4EA8"/>
    <w:rsid w:val="003C50F2"/>
    <w:rsid w:val="003C51CF"/>
    <w:rsid w:val="003C594A"/>
    <w:rsid w:val="003C5B79"/>
    <w:rsid w:val="003D12C2"/>
    <w:rsid w:val="003D15B9"/>
    <w:rsid w:val="003D4614"/>
    <w:rsid w:val="003D6185"/>
    <w:rsid w:val="003D7167"/>
    <w:rsid w:val="003D77F0"/>
    <w:rsid w:val="003D78F8"/>
    <w:rsid w:val="003E01C2"/>
    <w:rsid w:val="003E183E"/>
    <w:rsid w:val="003E1B9A"/>
    <w:rsid w:val="003E2150"/>
    <w:rsid w:val="003E29A4"/>
    <w:rsid w:val="003E2B1B"/>
    <w:rsid w:val="003E3E40"/>
    <w:rsid w:val="003E477B"/>
    <w:rsid w:val="003E481B"/>
    <w:rsid w:val="003E54D2"/>
    <w:rsid w:val="003E55A2"/>
    <w:rsid w:val="003E56D9"/>
    <w:rsid w:val="003E6AE5"/>
    <w:rsid w:val="003E7F70"/>
    <w:rsid w:val="003F01EA"/>
    <w:rsid w:val="003F1681"/>
    <w:rsid w:val="003F18D4"/>
    <w:rsid w:val="003F1946"/>
    <w:rsid w:val="003F34A1"/>
    <w:rsid w:val="003F35A1"/>
    <w:rsid w:val="003F3D1D"/>
    <w:rsid w:val="003F477D"/>
    <w:rsid w:val="003F51DE"/>
    <w:rsid w:val="003F5945"/>
    <w:rsid w:val="003F5BFE"/>
    <w:rsid w:val="003F7190"/>
    <w:rsid w:val="003F7D66"/>
    <w:rsid w:val="0040051E"/>
    <w:rsid w:val="00400FA7"/>
    <w:rsid w:val="00401147"/>
    <w:rsid w:val="0040122E"/>
    <w:rsid w:val="004013D8"/>
    <w:rsid w:val="0040203F"/>
    <w:rsid w:val="00402064"/>
    <w:rsid w:val="00402421"/>
    <w:rsid w:val="00404596"/>
    <w:rsid w:val="00404880"/>
    <w:rsid w:val="0040552F"/>
    <w:rsid w:val="00406D6C"/>
    <w:rsid w:val="004119AC"/>
    <w:rsid w:val="00412805"/>
    <w:rsid w:val="00413623"/>
    <w:rsid w:val="00414C85"/>
    <w:rsid w:val="00414F56"/>
    <w:rsid w:val="004155F0"/>
    <w:rsid w:val="00415BE8"/>
    <w:rsid w:val="00415ED8"/>
    <w:rsid w:val="00415F5C"/>
    <w:rsid w:val="0041615F"/>
    <w:rsid w:val="00417D67"/>
    <w:rsid w:val="00421968"/>
    <w:rsid w:val="00421A2D"/>
    <w:rsid w:val="00421B37"/>
    <w:rsid w:val="00421B66"/>
    <w:rsid w:val="00423068"/>
    <w:rsid w:val="004230EB"/>
    <w:rsid w:val="00426093"/>
    <w:rsid w:val="004267E9"/>
    <w:rsid w:val="00426C6A"/>
    <w:rsid w:val="00426EB4"/>
    <w:rsid w:val="0043234F"/>
    <w:rsid w:val="0043434A"/>
    <w:rsid w:val="004355A4"/>
    <w:rsid w:val="00436A9A"/>
    <w:rsid w:val="00436C4A"/>
    <w:rsid w:val="00436F25"/>
    <w:rsid w:val="00437EA6"/>
    <w:rsid w:val="00437FA6"/>
    <w:rsid w:val="00440C1A"/>
    <w:rsid w:val="00441CD0"/>
    <w:rsid w:val="00443FD0"/>
    <w:rsid w:val="004442F8"/>
    <w:rsid w:val="00444F0B"/>
    <w:rsid w:val="004455E1"/>
    <w:rsid w:val="00445C9C"/>
    <w:rsid w:val="00446C3C"/>
    <w:rsid w:val="00447389"/>
    <w:rsid w:val="0045067A"/>
    <w:rsid w:val="0045085E"/>
    <w:rsid w:val="00450F05"/>
    <w:rsid w:val="00451310"/>
    <w:rsid w:val="00451327"/>
    <w:rsid w:val="00452201"/>
    <w:rsid w:val="00452819"/>
    <w:rsid w:val="0045297D"/>
    <w:rsid w:val="00454B26"/>
    <w:rsid w:val="00454BF8"/>
    <w:rsid w:val="00455FE8"/>
    <w:rsid w:val="0045696D"/>
    <w:rsid w:val="00456FE3"/>
    <w:rsid w:val="0045762C"/>
    <w:rsid w:val="00457C06"/>
    <w:rsid w:val="00461C52"/>
    <w:rsid w:val="00461F85"/>
    <w:rsid w:val="00462856"/>
    <w:rsid w:val="004649D1"/>
    <w:rsid w:val="00465832"/>
    <w:rsid w:val="00465E01"/>
    <w:rsid w:val="004663B2"/>
    <w:rsid w:val="004668FD"/>
    <w:rsid w:val="0047034B"/>
    <w:rsid w:val="004705AF"/>
    <w:rsid w:val="004713B1"/>
    <w:rsid w:val="00472EDC"/>
    <w:rsid w:val="00473447"/>
    <w:rsid w:val="00473C9B"/>
    <w:rsid w:val="00475B6F"/>
    <w:rsid w:val="00476A66"/>
    <w:rsid w:val="00476D61"/>
    <w:rsid w:val="004778A0"/>
    <w:rsid w:val="004803AE"/>
    <w:rsid w:val="00480706"/>
    <w:rsid w:val="00481246"/>
    <w:rsid w:val="00481251"/>
    <w:rsid w:val="0048283D"/>
    <w:rsid w:val="00482A8A"/>
    <w:rsid w:val="004835BB"/>
    <w:rsid w:val="004837A0"/>
    <w:rsid w:val="0048442C"/>
    <w:rsid w:val="004846FF"/>
    <w:rsid w:val="00485706"/>
    <w:rsid w:val="00486F18"/>
    <w:rsid w:val="00487156"/>
    <w:rsid w:val="00487FCE"/>
    <w:rsid w:val="0049044A"/>
    <w:rsid w:val="00490877"/>
    <w:rsid w:val="00490A9A"/>
    <w:rsid w:val="00490E9B"/>
    <w:rsid w:val="0049122C"/>
    <w:rsid w:val="00491C55"/>
    <w:rsid w:val="004925D2"/>
    <w:rsid w:val="0049367C"/>
    <w:rsid w:val="00494077"/>
    <w:rsid w:val="00494889"/>
    <w:rsid w:val="004952A6"/>
    <w:rsid w:val="00495E0B"/>
    <w:rsid w:val="004964B7"/>
    <w:rsid w:val="0049683E"/>
    <w:rsid w:val="00496B9C"/>
    <w:rsid w:val="004971B1"/>
    <w:rsid w:val="004A0898"/>
    <w:rsid w:val="004A0C7D"/>
    <w:rsid w:val="004A2A0F"/>
    <w:rsid w:val="004A3773"/>
    <w:rsid w:val="004A47A1"/>
    <w:rsid w:val="004A518F"/>
    <w:rsid w:val="004A63B7"/>
    <w:rsid w:val="004A6670"/>
    <w:rsid w:val="004A78BA"/>
    <w:rsid w:val="004A7C59"/>
    <w:rsid w:val="004B1592"/>
    <w:rsid w:val="004B2E3C"/>
    <w:rsid w:val="004B3CA0"/>
    <w:rsid w:val="004B47E9"/>
    <w:rsid w:val="004B5397"/>
    <w:rsid w:val="004B6214"/>
    <w:rsid w:val="004B6264"/>
    <w:rsid w:val="004B6CD1"/>
    <w:rsid w:val="004C0002"/>
    <w:rsid w:val="004C0D27"/>
    <w:rsid w:val="004C1702"/>
    <w:rsid w:val="004C1A46"/>
    <w:rsid w:val="004C2A9E"/>
    <w:rsid w:val="004C2ED4"/>
    <w:rsid w:val="004C2FC5"/>
    <w:rsid w:val="004C3017"/>
    <w:rsid w:val="004C3027"/>
    <w:rsid w:val="004C347B"/>
    <w:rsid w:val="004C3945"/>
    <w:rsid w:val="004C3ABE"/>
    <w:rsid w:val="004C3D15"/>
    <w:rsid w:val="004C3D37"/>
    <w:rsid w:val="004C3EB3"/>
    <w:rsid w:val="004C423F"/>
    <w:rsid w:val="004C4BCE"/>
    <w:rsid w:val="004C4CDC"/>
    <w:rsid w:val="004C581D"/>
    <w:rsid w:val="004C65BD"/>
    <w:rsid w:val="004C6DAD"/>
    <w:rsid w:val="004C6DEF"/>
    <w:rsid w:val="004D22BF"/>
    <w:rsid w:val="004D3499"/>
    <w:rsid w:val="004D3A7A"/>
    <w:rsid w:val="004D46A1"/>
    <w:rsid w:val="004D548D"/>
    <w:rsid w:val="004D62E0"/>
    <w:rsid w:val="004D6F66"/>
    <w:rsid w:val="004E0DE8"/>
    <w:rsid w:val="004E0EC7"/>
    <w:rsid w:val="004E1BE7"/>
    <w:rsid w:val="004E44A9"/>
    <w:rsid w:val="004E4B6D"/>
    <w:rsid w:val="004E5E9F"/>
    <w:rsid w:val="004E6CFD"/>
    <w:rsid w:val="004E6D5F"/>
    <w:rsid w:val="004F0BC6"/>
    <w:rsid w:val="004F18E9"/>
    <w:rsid w:val="004F28E0"/>
    <w:rsid w:val="004F3F10"/>
    <w:rsid w:val="004F3FB1"/>
    <w:rsid w:val="004F45E6"/>
    <w:rsid w:val="004F4634"/>
    <w:rsid w:val="004F53F2"/>
    <w:rsid w:val="004F55EF"/>
    <w:rsid w:val="004F5D48"/>
    <w:rsid w:val="004F7A25"/>
    <w:rsid w:val="004F7E00"/>
    <w:rsid w:val="005011F1"/>
    <w:rsid w:val="005017F4"/>
    <w:rsid w:val="00502BEC"/>
    <w:rsid w:val="0050376A"/>
    <w:rsid w:val="00503C7E"/>
    <w:rsid w:val="005042FA"/>
    <w:rsid w:val="00504D22"/>
    <w:rsid w:val="00505183"/>
    <w:rsid w:val="0050568E"/>
    <w:rsid w:val="00505BCE"/>
    <w:rsid w:val="00506226"/>
    <w:rsid w:val="00506F42"/>
    <w:rsid w:val="00507309"/>
    <w:rsid w:val="00507EB4"/>
    <w:rsid w:val="0051056F"/>
    <w:rsid w:val="00510780"/>
    <w:rsid w:val="0051185C"/>
    <w:rsid w:val="005126FD"/>
    <w:rsid w:val="00513427"/>
    <w:rsid w:val="00514406"/>
    <w:rsid w:val="00514B46"/>
    <w:rsid w:val="005167FE"/>
    <w:rsid w:val="00516B1A"/>
    <w:rsid w:val="00516FD1"/>
    <w:rsid w:val="0052004F"/>
    <w:rsid w:val="005200A5"/>
    <w:rsid w:val="00520354"/>
    <w:rsid w:val="005204E8"/>
    <w:rsid w:val="00520862"/>
    <w:rsid w:val="00522BBD"/>
    <w:rsid w:val="00522BFB"/>
    <w:rsid w:val="00524075"/>
    <w:rsid w:val="00525C63"/>
    <w:rsid w:val="005261E8"/>
    <w:rsid w:val="00526CA7"/>
    <w:rsid w:val="00526D55"/>
    <w:rsid w:val="00530569"/>
    <w:rsid w:val="00530793"/>
    <w:rsid w:val="00530A82"/>
    <w:rsid w:val="00531490"/>
    <w:rsid w:val="00531961"/>
    <w:rsid w:val="0053304E"/>
    <w:rsid w:val="00534466"/>
    <w:rsid w:val="005346B2"/>
    <w:rsid w:val="00534B39"/>
    <w:rsid w:val="00535617"/>
    <w:rsid w:val="00537FD3"/>
    <w:rsid w:val="00540906"/>
    <w:rsid w:val="00540EB5"/>
    <w:rsid w:val="005417B7"/>
    <w:rsid w:val="00541803"/>
    <w:rsid w:val="00541D81"/>
    <w:rsid w:val="00542C91"/>
    <w:rsid w:val="00542FBF"/>
    <w:rsid w:val="00542FD8"/>
    <w:rsid w:val="005442A8"/>
    <w:rsid w:val="005444CB"/>
    <w:rsid w:val="00545C3D"/>
    <w:rsid w:val="00545F39"/>
    <w:rsid w:val="0054795D"/>
    <w:rsid w:val="00547964"/>
    <w:rsid w:val="0055211C"/>
    <w:rsid w:val="005531DC"/>
    <w:rsid w:val="00553A0E"/>
    <w:rsid w:val="00553E4E"/>
    <w:rsid w:val="0055412B"/>
    <w:rsid w:val="0055489C"/>
    <w:rsid w:val="00554B35"/>
    <w:rsid w:val="00556096"/>
    <w:rsid w:val="00556A06"/>
    <w:rsid w:val="00556A56"/>
    <w:rsid w:val="0055776F"/>
    <w:rsid w:val="0056021E"/>
    <w:rsid w:val="005602D7"/>
    <w:rsid w:val="005603A1"/>
    <w:rsid w:val="0056143B"/>
    <w:rsid w:val="00561C37"/>
    <w:rsid w:val="005623BB"/>
    <w:rsid w:val="005625C7"/>
    <w:rsid w:val="00562CF4"/>
    <w:rsid w:val="00564F06"/>
    <w:rsid w:val="005653C4"/>
    <w:rsid w:val="00565B78"/>
    <w:rsid w:val="005668C2"/>
    <w:rsid w:val="00566C82"/>
    <w:rsid w:val="0056756C"/>
    <w:rsid w:val="0057042E"/>
    <w:rsid w:val="00570702"/>
    <w:rsid w:val="005726C9"/>
    <w:rsid w:val="00572D13"/>
    <w:rsid w:val="005731E0"/>
    <w:rsid w:val="0057577A"/>
    <w:rsid w:val="00575979"/>
    <w:rsid w:val="005762CC"/>
    <w:rsid w:val="00576311"/>
    <w:rsid w:val="00576E19"/>
    <w:rsid w:val="0058008A"/>
    <w:rsid w:val="00580270"/>
    <w:rsid w:val="00580767"/>
    <w:rsid w:val="00581961"/>
    <w:rsid w:val="0058281A"/>
    <w:rsid w:val="005830D0"/>
    <w:rsid w:val="005839B2"/>
    <w:rsid w:val="005849B6"/>
    <w:rsid w:val="0058722C"/>
    <w:rsid w:val="005906D1"/>
    <w:rsid w:val="00593668"/>
    <w:rsid w:val="00593EFF"/>
    <w:rsid w:val="00595040"/>
    <w:rsid w:val="005950F5"/>
    <w:rsid w:val="00595212"/>
    <w:rsid w:val="00595A7B"/>
    <w:rsid w:val="00595B8B"/>
    <w:rsid w:val="00596118"/>
    <w:rsid w:val="005A1CEE"/>
    <w:rsid w:val="005A20DD"/>
    <w:rsid w:val="005A5AAF"/>
    <w:rsid w:val="005A5C21"/>
    <w:rsid w:val="005A7EC5"/>
    <w:rsid w:val="005B0553"/>
    <w:rsid w:val="005B07D8"/>
    <w:rsid w:val="005B0874"/>
    <w:rsid w:val="005B0BBF"/>
    <w:rsid w:val="005B1091"/>
    <w:rsid w:val="005B29C2"/>
    <w:rsid w:val="005B2B8C"/>
    <w:rsid w:val="005B33EB"/>
    <w:rsid w:val="005B3E9C"/>
    <w:rsid w:val="005B45D7"/>
    <w:rsid w:val="005B6221"/>
    <w:rsid w:val="005B665E"/>
    <w:rsid w:val="005B7F76"/>
    <w:rsid w:val="005C234D"/>
    <w:rsid w:val="005C3393"/>
    <w:rsid w:val="005C367C"/>
    <w:rsid w:val="005C36CD"/>
    <w:rsid w:val="005C4451"/>
    <w:rsid w:val="005C47EC"/>
    <w:rsid w:val="005C493E"/>
    <w:rsid w:val="005C4F0C"/>
    <w:rsid w:val="005C54AE"/>
    <w:rsid w:val="005C5737"/>
    <w:rsid w:val="005C6241"/>
    <w:rsid w:val="005C69CC"/>
    <w:rsid w:val="005C7710"/>
    <w:rsid w:val="005C7C2C"/>
    <w:rsid w:val="005D067A"/>
    <w:rsid w:val="005D097B"/>
    <w:rsid w:val="005D1DE1"/>
    <w:rsid w:val="005D252F"/>
    <w:rsid w:val="005D2E08"/>
    <w:rsid w:val="005D3BB2"/>
    <w:rsid w:val="005D3F88"/>
    <w:rsid w:val="005D4085"/>
    <w:rsid w:val="005D6214"/>
    <w:rsid w:val="005D6274"/>
    <w:rsid w:val="005D6792"/>
    <w:rsid w:val="005D7AE3"/>
    <w:rsid w:val="005E0211"/>
    <w:rsid w:val="005E023C"/>
    <w:rsid w:val="005E0506"/>
    <w:rsid w:val="005E14B4"/>
    <w:rsid w:val="005E172E"/>
    <w:rsid w:val="005E6395"/>
    <w:rsid w:val="005E6C06"/>
    <w:rsid w:val="005E7257"/>
    <w:rsid w:val="005E7F73"/>
    <w:rsid w:val="005F0223"/>
    <w:rsid w:val="005F1D74"/>
    <w:rsid w:val="005F2EE2"/>
    <w:rsid w:val="005F3F7E"/>
    <w:rsid w:val="005F44FF"/>
    <w:rsid w:val="005F49DC"/>
    <w:rsid w:val="005F599B"/>
    <w:rsid w:val="005F67CA"/>
    <w:rsid w:val="005F67FF"/>
    <w:rsid w:val="005F7001"/>
    <w:rsid w:val="006027B9"/>
    <w:rsid w:val="0060423A"/>
    <w:rsid w:val="0060486C"/>
    <w:rsid w:val="0060579C"/>
    <w:rsid w:val="0060637A"/>
    <w:rsid w:val="00606FCE"/>
    <w:rsid w:val="00607070"/>
    <w:rsid w:val="0060759E"/>
    <w:rsid w:val="00607A26"/>
    <w:rsid w:val="00607BC3"/>
    <w:rsid w:val="00610CD5"/>
    <w:rsid w:val="00611950"/>
    <w:rsid w:val="00611DE8"/>
    <w:rsid w:val="00611F2C"/>
    <w:rsid w:val="00612495"/>
    <w:rsid w:val="006144A1"/>
    <w:rsid w:val="006149C0"/>
    <w:rsid w:val="00616FBB"/>
    <w:rsid w:val="00620258"/>
    <w:rsid w:val="006216D4"/>
    <w:rsid w:val="00621728"/>
    <w:rsid w:val="00621D8F"/>
    <w:rsid w:val="00621EF1"/>
    <w:rsid w:val="00623E06"/>
    <w:rsid w:val="00624932"/>
    <w:rsid w:val="00630056"/>
    <w:rsid w:val="006323A4"/>
    <w:rsid w:val="00632ADF"/>
    <w:rsid w:val="0063340B"/>
    <w:rsid w:val="00633F70"/>
    <w:rsid w:val="0063403F"/>
    <w:rsid w:val="0063605C"/>
    <w:rsid w:val="0063798D"/>
    <w:rsid w:val="006405D1"/>
    <w:rsid w:val="00640C08"/>
    <w:rsid w:val="00640E01"/>
    <w:rsid w:val="006414C1"/>
    <w:rsid w:val="006417D6"/>
    <w:rsid w:val="0064186E"/>
    <w:rsid w:val="00641ABC"/>
    <w:rsid w:val="00641E6D"/>
    <w:rsid w:val="00643E40"/>
    <w:rsid w:val="0064466A"/>
    <w:rsid w:val="006449C4"/>
    <w:rsid w:val="006467AB"/>
    <w:rsid w:val="00646BAD"/>
    <w:rsid w:val="00646F36"/>
    <w:rsid w:val="00650DF1"/>
    <w:rsid w:val="0065145D"/>
    <w:rsid w:val="00651833"/>
    <w:rsid w:val="00651917"/>
    <w:rsid w:val="00651E9C"/>
    <w:rsid w:val="00655C3D"/>
    <w:rsid w:val="00656502"/>
    <w:rsid w:val="00657863"/>
    <w:rsid w:val="00660377"/>
    <w:rsid w:val="00660514"/>
    <w:rsid w:val="00660635"/>
    <w:rsid w:val="00661ADA"/>
    <w:rsid w:val="0066243F"/>
    <w:rsid w:val="0066271F"/>
    <w:rsid w:val="00663283"/>
    <w:rsid w:val="00664525"/>
    <w:rsid w:val="00664F84"/>
    <w:rsid w:val="006658C2"/>
    <w:rsid w:val="00665ED7"/>
    <w:rsid w:val="00666100"/>
    <w:rsid w:val="00666720"/>
    <w:rsid w:val="006704E7"/>
    <w:rsid w:val="006713A2"/>
    <w:rsid w:val="0067153E"/>
    <w:rsid w:val="006727DF"/>
    <w:rsid w:val="006731F7"/>
    <w:rsid w:val="00673823"/>
    <w:rsid w:val="00673CBA"/>
    <w:rsid w:val="0067464B"/>
    <w:rsid w:val="00675949"/>
    <w:rsid w:val="00675F15"/>
    <w:rsid w:val="006762A2"/>
    <w:rsid w:val="006768FD"/>
    <w:rsid w:val="00677142"/>
    <w:rsid w:val="0067788E"/>
    <w:rsid w:val="00680352"/>
    <w:rsid w:val="00680BAB"/>
    <w:rsid w:val="006814CF"/>
    <w:rsid w:val="006824E1"/>
    <w:rsid w:val="006828D6"/>
    <w:rsid w:val="00682A40"/>
    <w:rsid w:val="00682DDD"/>
    <w:rsid w:val="00683317"/>
    <w:rsid w:val="00684738"/>
    <w:rsid w:val="0068492D"/>
    <w:rsid w:val="006850DE"/>
    <w:rsid w:val="0068637C"/>
    <w:rsid w:val="0068672E"/>
    <w:rsid w:val="006900DC"/>
    <w:rsid w:val="00690526"/>
    <w:rsid w:val="006908F5"/>
    <w:rsid w:val="00690C78"/>
    <w:rsid w:val="00690DC1"/>
    <w:rsid w:val="00692A41"/>
    <w:rsid w:val="006950B0"/>
    <w:rsid w:val="00695184"/>
    <w:rsid w:val="00695FBE"/>
    <w:rsid w:val="00696E1E"/>
    <w:rsid w:val="00696EAA"/>
    <w:rsid w:val="006971AA"/>
    <w:rsid w:val="0069798C"/>
    <w:rsid w:val="006A0159"/>
    <w:rsid w:val="006A02D4"/>
    <w:rsid w:val="006A14AD"/>
    <w:rsid w:val="006A21E0"/>
    <w:rsid w:val="006A249E"/>
    <w:rsid w:val="006A293A"/>
    <w:rsid w:val="006A3723"/>
    <w:rsid w:val="006A38E6"/>
    <w:rsid w:val="006A3A93"/>
    <w:rsid w:val="006A45E4"/>
    <w:rsid w:val="006A5AAC"/>
    <w:rsid w:val="006A6601"/>
    <w:rsid w:val="006B068B"/>
    <w:rsid w:val="006B1066"/>
    <w:rsid w:val="006B129A"/>
    <w:rsid w:val="006B1CCC"/>
    <w:rsid w:val="006B1DAA"/>
    <w:rsid w:val="006B2974"/>
    <w:rsid w:val="006B2D31"/>
    <w:rsid w:val="006B2FF9"/>
    <w:rsid w:val="006B3BEC"/>
    <w:rsid w:val="006B44FA"/>
    <w:rsid w:val="006B50A1"/>
    <w:rsid w:val="006B7536"/>
    <w:rsid w:val="006B75B2"/>
    <w:rsid w:val="006C17B2"/>
    <w:rsid w:val="006C1E5E"/>
    <w:rsid w:val="006C22C4"/>
    <w:rsid w:val="006C3778"/>
    <w:rsid w:val="006C4131"/>
    <w:rsid w:val="006C7589"/>
    <w:rsid w:val="006D0202"/>
    <w:rsid w:val="006D0243"/>
    <w:rsid w:val="006D3A4E"/>
    <w:rsid w:val="006D40E7"/>
    <w:rsid w:val="006D45AD"/>
    <w:rsid w:val="006D4641"/>
    <w:rsid w:val="006D4EA3"/>
    <w:rsid w:val="006D525C"/>
    <w:rsid w:val="006D5A9F"/>
    <w:rsid w:val="006D612E"/>
    <w:rsid w:val="006E0E4E"/>
    <w:rsid w:val="006E15C3"/>
    <w:rsid w:val="006E174C"/>
    <w:rsid w:val="006E5A80"/>
    <w:rsid w:val="006E5D6B"/>
    <w:rsid w:val="006E7D73"/>
    <w:rsid w:val="006F0A41"/>
    <w:rsid w:val="006F1E24"/>
    <w:rsid w:val="006F24C5"/>
    <w:rsid w:val="006F2CDC"/>
    <w:rsid w:val="006F38E5"/>
    <w:rsid w:val="006F3EE0"/>
    <w:rsid w:val="006F5693"/>
    <w:rsid w:val="006F5EB8"/>
    <w:rsid w:val="006F69C6"/>
    <w:rsid w:val="007008CB"/>
    <w:rsid w:val="00702E9A"/>
    <w:rsid w:val="00703D84"/>
    <w:rsid w:val="007049B4"/>
    <w:rsid w:val="007054A0"/>
    <w:rsid w:val="00705A43"/>
    <w:rsid w:val="007063F7"/>
    <w:rsid w:val="00707C5C"/>
    <w:rsid w:val="00710275"/>
    <w:rsid w:val="00710974"/>
    <w:rsid w:val="00711924"/>
    <w:rsid w:val="00712844"/>
    <w:rsid w:val="0071287F"/>
    <w:rsid w:val="007139A6"/>
    <w:rsid w:val="00713A3D"/>
    <w:rsid w:val="0071508E"/>
    <w:rsid w:val="00716735"/>
    <w:rsid w:val="00716794"/>
    <w:rsid w:val="007173B2"/>
    <w:rsid w:val="00717A8E"/>
    <w:rsid w:val="00720143"/>
    <w:rsid w:val="00720534"/>
    <w:rsid w:val="00721CA1"/>
    <w:rsid w:val="007225A5"/>
    <w:rsid w:val="00723F35"/>
    <w:rsid w:val="007259E1"/>
    <w:rsid w:val="007259E2"/>
    <w:rsid w:val="00726DA4"/>
    <w:rsid w:val="00726F65"/>
    <w:rsid w:val="00730324"/>
    <w:rsid w:val="00730B27"/>
    <w:rsid w:val="00731FBA"/>
    <w:rsid w:val="007325E7"/>
    <w:rsid w:val="00732B7B"/>
    <w:rsid w:val="00732BDB"/>
    <w:rsid w:val="00732C31"/>
    <w:rsid w:val="00732D00"/>
    <w:rsid w:val="00732E42"/>
    <w:rsid w:val="007336ED"/>
    <w:rsid w:val="00733767"/>
    <w:rsid w:val="0073383C"/>
    <w:rsid w:val="00733C10"/>
    <w:rsid w:val="00733C1F"/>
    <w:rsid w:val="007349D1"/>
    <w:rsid w:val="00734E82"/>
    <w:rsid w:val="00734F54"/>
    <w:rsid w:val="00735C5D"/>
    <w:rsid w:val="00735CBF"/>
    <w:rsid w:val="00736D96"/>
    <w:rsid w:val="00736DFD"/>
    <w:rsid w:val="00737346"/>
    <w:rsid w:val="00740503"/>
    <w:rsid w:val="007410C0"/>
    <w:rsid w:val="00742157"/>
    <w:rsid w:val="007426FA"/>
    <w:rsid w:val="00743E39"/>
    <w:rsid w:val="007450C2"/>
    <w:rsid w:val="0074669F"/>
    <w:rsid w:val="00747A12"/>
    <w:rsid w:val="00747BA6"/>
    <w:rsid w:val="007517A4"/>
    <w:rsid w:val="0075194C"/>
    <w:rsid w:val="00751B67"/>
    <w:rsid w:val="00753713"/>
    <w:rsid w:val="00753814"/>
    <w:rsid w:val="00753B50"/>
    <w:rsid w:val="00753D6A"/>
    <w:rsid w:val="00753FA5"/>
    <w:rsid w:val="007547EA"/>
    <w:rsid w:val="00755282"/>
    <w:rsid w:val="0075587D"/>
    <w:rsid w:val="00760B0C"/>
    <w:rsid w:val="00761402"/>
    <w:rsid w:val="007614E9"/>
    <w:rsid w:val="00761DAE"/>
    <w:rsid w:val="00762BCB"/>
    <w:rsid w:val="007632F3"/>
    <w:rsid w:val="00763321"/>
    <w:rsid w:val="00763F3C"/>
    <w:rsid w:val="0076408A"/>
    <w:rsid w:val="007651D6"/>
    <w:rsid w:val="007657B2"/>
    <w:rsid w:val="007662FA"/>
    <w:rsid w:val="007672D3"/>
    <w:rsid w:val="00767421"/>
    <w:rsid w:val="00770D7E"/>
    <w:rsid w:val="00770DBC"/>
    <w:rsid w:val="00773AF1"/>
    <w:rsid w:val="007740FF"/>
    <w:rsid w:val="00775B4A"/>
    <w:rsid w:val="00775DEB"/>
    <w:rsid w:val="0077611B"/>
    <w:rsid w:val="00776DAB"/>
    <w:rsid w:val="00777750"/>
    <w:rsid w:val="007779E9"/>
    <w:rsid w:val="00777AA1"/>
    <w:rsid w:val="00777CC2"/>
    <w:rsid w:val="00780706"/>
    <w:rsid w:val="00781ABA"/>
    <w:rsid w:val="00782A40"/>
    <w:rsid w:val="00782D07"/>
    <w:rsid w:val="00783096"/>
    <w:rsid w:val="00785536"/>
    <w:rsid w:val="0078599D"/>
    <w:rsid w:val="00786222"/>
    <w:rsid w:val="007865B0"/>
    <w:rsid w:val="00786B4C"/>
    <w:rsid w:val="00791145"/>
    <w:rsid w:val="00791F55"/>
    <w:rsid w:val="00792921"/>
    <w:rsid w:val="00793EE1"/>
    <w:rsid w:val="00796DBA"/>
    <w:rsid w:val="007975CB"/>
    <w:rsid w:val="00797A0D"/>
    <w:rsid w:val="007A0F76"/>
    <w:rsid w:val="007A1FAD"/>
    <w:rsid w:val="007A265D"/>
    <w:rsid w:val="007A3D45"/>
    <w:rsid w:val="007A4A9B"/>
    <w:rsid w:val="007A4EAA"/>
    <w:rsid w:val="007A4FA7"/>
    <w:rsid w:val="007A5785"/>
    <w:rsid w:val="007A6826"/>
    <w:rsid w:val="007A73B2"/>
    <w:rsid w:val="007B14B9"/>
    <w:rsid w:val="007B1DC5"/>
    <w:rsid w:val="007B22C2"/>
    <w:rsid w:val="007B32C0"/>
    <w:rsid w:val="007B3547"/>
    <w:rsid w:val="007B4EFD"/>
    <w:rsid w:val="007B4F52"/>
    <w:rsid w:val="007B5001"/>
    <w:rsid w:val="007B5194"/>
    <w:rsid w:val="007B5424"/>
    <w:rsid w:val="007B5987"/>
    <w:rsid w:val="007B6010"/>
    <w:rsid w:val="007B6491"/>
    <w:rsid w:val="007B67BD"/>
    <w:rsid w:val="007B6A97"/>
    <w:rsid w:val="007B742B"/>
    <w:rsid w:val="007B7615"/>
    <w:rsid w:val="007B7BD3"/>
    <w:rsid w:val="007C0DFB"/>
    <w:rsid w:val="007C140E"/>
    <w:rsid w:val="007C1B21"/>
    <w:rsid w:val="007C1C5E"/>
    <w:rsid w:val="007C3690"/>
    <w:rsid w:val="007C3744"/>
    <w:rsid w:val="007C4A75"/>
    <w:rsid w:val="007C5EA7"/>
    <w:rsid w:val="007C6950"/>
    <w:rsid w:val="007D04E9"/>
    <w:rsid w:val="007D2FB3"/>
    <w:rsid w:val="007D3572"/>
    <w:rsid w:val="007D37F8"/>
    <w:rsid w:val="007D4893"/>
    <w:rsid w:val="007D5AED"/>
    <w:rsid w:val="007D6093"/>
    <w:rsid w:val="007D70C2"/>
    <w:rsid w:val="007E1573"/>
    <w:rsid w:val="007E28E3"/>
    <w:rsid w:val="007E29BD"/>
    <w:rsid w:val="007E2C2D"/>
    <w:rsid w:val="007E5D5D"/>
    <w:rsid w:val="007E7D67"/>
    <w:rsid w:val="007F0015"/>
    <w:rsid w:val="007F0219"/>
    <w:rsid w:val="007F0398"/>
    <w:rsid w:val="007F17BE"/>
    <w:rsid w:val="007F1E45"/>
    <w:rsid w:val="007F2329"/>
    <w:rsid w:val="007F29E2"/>
    <w:rsid w:val="007F3E66"/>
    <w:rsid w:val="007F45BB"/>
    <w:rsid w:val="007F4E1F"/>
    <w:rsid w:val="007F5518"/>
    <w:rsid w:val="007F6E03"/>
    <w:rsid w:val="007F7153"/>
    <w:rsid w:val="007F752F"/>
    <w:rsid w:val="008002BD"/>
    <w:rsid w:val="00800B1B"/>
    <w:rsid w:val="00800E3E"/>
    <w:rsid w:val="008012FB"/>
    <w:rsid w:val="00801B99"/>
    <w:rsid w:val="00801C75"/>
    <w:rsid w:val="00802537"/>
    <w:rsid w:val="00802730"/>
    <w:rsid w:val="00802D31"/>
    <w:rsid w:val="00804512"/>
    <w:rsid w:val="008045C8"/>
    <w:rsid w:val="00804CC6"/>
    <w:rsid w:val="008063EE"/>
    <w:rsid w:val="00806983"/>
    <w:rsid w:val="00806CD2"/>
    <w:rsid w:val="00806E96"/>
    <w:rsid w:val="0081095C"/>
    <w:rsid w:val="00810DB1"/>
    <w:rsid w:val="00810FC3"/>
    <w:rsid w:val="00812615"/>
    <w:rsid w:val="00812E71"/>
    <w:rsid w:val="00814AB5"/>
    <w:rsid w:val="00817F54"/>
    <w:rsid w:val="00820A15"/>
    <w:rsid w:val="008219EE"/>
    <w:rsid w:val="00823781"/>
    <w:rsid w:val="008252E4"/>
    <w:rsid w:val="0082566E"/>
    <w:rsid w:val="008256AA"/>
    <w:rsid w:val="0082656A"/>
    <w:rsid w:val="00826C2C"/>
    <w:rsid w:val="00827164"/>
    <w:rsid w:val="008273AE"/>
    <w:rsid w:val="00831D22"/>
    <w:rsid w:val="00833C52"/>
    <w:rsid w:val="00833DA3"/>
    <w:rsid w:val="008345FF"/>
    <w:rsid w:val="00834B9F"/>
    <w:rsid w:val="00834F09"/>
    <w:rsid w:val="0083554D"/>
    <w:rsid w:val="0083571D"/>
    <w:rsid w:val="00836AD7"/>
    <w:rsid w:val="00836CF6"/>
    <w:rsid w:val="00840882"/>
    <w:rsid w:val="008431CC"/>
    <w:rsid w:val="00843553"/>
    <w:rsid w:val="00843B49"/>
    <w:rsid w:val="008459F0"/>
    <w:rsid w:val="00847436"/>
    <w:rsid w:val="00851538"/>
    <w:rsid w:val="00852148"/>
    <w:rsid w:val="00852EB4"/>
    <w:rsid w:val="00861F4A"/>
    <w:rsid w:val="008629CA"/>
    <w:rsid w:val="00864324"/>
    <w:rsid w:val="00864936"/>
    <w:rsid w:val="008650C9"/>
    <w:rsid w:val="00865637"/>
    <w:rsid w:val="00866302"/>
    <w:rsid w:val="0086738F"/>
    <w:rsid w:val="00867CF3"/>
    <w:rsid w:val="00870AA0"/>
    <w:rsid w:val="00870C51"/>
    <w:rsid w:val="00872DF5"/>
    <w:rsid w:val="008738B5"/>
    <w:rsid w:val="00873B20"/>
    <w:rsid w:val="00874768"/>
    <w:rsid w:val="00877543"/>
    <w:rsid w:val="008829C5"/>
    <w:rsid w:val="00882A48"/>
    <w:rsid w:val="008856E0"/>
    <w:rsid w:val="00885A67"/>
    <w:rsid w:val="008863A2"/>
    <w:rsid w:val="00886DA1"/>
    <w:rsid w:val="00887B10"/>
    <w:rsid w:val="00887B4C"/>
    <w:rsid w:val="00890106"/>
    <w:rsid w:val="00890A2D"/>
    <w:rsid w:val="00890C0D"/>
    <w:rsid w:val="0089151C"/>
    <w:rsid w:val="00892774"/>
    <w:rsid w:val="00895573"/>
    <w:rsid w:val="00896E89"/>
    <w:rsid w:val="008A0FB7"/>
    <w:rsid w:val="008A1267"/>
    <w:rsid w:val="008A16E6"/>
    <w:rsid w:val="008A1A5D"/>
    <w:rsid w:val="008A3630"/>
    <w:rsid w:val="008A38DE"/>
    <w:rsid w:val="008A3CD2"/>
    <w:rsid w:val="008A5A52"/>
    <w:rsid w:val="008A625A"/>
    <w:rsid w:val="008A6541"/>
    <w:rsid w:val="008B097F"/>
    <w:rsid w:val="008B1783"/>
    <w:rsid w:val="008B268C"/>
    <w:rsid w:val="008B4579"/>
    <w:rsid w:val="008B5B1F"/>
    <w:rsid w:val="008B7E59"/>
    <w:rsid w:val="008C0324"/>
    <w:rsid w:val="008C31D4"/>
    <w:rsid w:val="008C328E"/>
    <w:rsid w:val="008C46B8"/>
    <w:rsid w:val="008C6EB7"/>
    <w:rsid w:val="008D0B6A"/>
    <w:rsid w:val="008D1312"/>
    <w:rsid w:val="008D2022"/>
    <w:rsid w:val="008D3C83"/>
    <w:rsid w:val="008D3F74"/>
    <w:rsid w:val="008D4311"/>
    <w:rsid w:val="008D52FD"/>
    <w:rsid w:val="008D547D"/>
    <w:rsid w:val="008D5D17"/>
    <w:rsid w:val="008D681B"/>
    <w:rsid w:val="008D7703"/>
    <w:rsid w:val="008E04B4"/>
    <w:rsid w:val="008E3ED3"/>
    <w:rsid w:val="008E4095"/>
    <w:rsid w:val="008E471B"/>
    <w:rsid w:val="008E6465"/>
    <w:rsid w:val="008E65F3"/>
    <w:rsid w:val="008E6E3B"/>
    <w:rsid w:val="008E711A"/>
    <w:rsid w:val="008E7C82"/>
    <w:rsid w:val="008F0288"/>
    <w:rsid w:val="008F159D"/>
    <w:rsid w:val="008F5817"/>
    <w:rsid w:val="008F64F5"/>
    <w:rsid w:val="008F67EE"/>
    <w:rsid w:val="008F6ACA"/>
    <w:rsid w:val="008F7557"/>
    <w:rsid w:val="008F7E80"/>
    <w:rsid w:val="008F7EA5"/>
    <w:rsid w:val="00902626"/>
    <w:rsid w:val="00902C5E"/>
    <w:rsid w:val="00902D35"/>
    <w:rsid w:val="0090331D"/>
    <w:rsid w:val="00905261"/>
    <w:rsid w:val="009055E0"/>
    <w:rsid w:val="00905DD9"/>
    <w:rsid w:val="00906F2B"/>
    <w:rsid w:val="009075FC"/>
    <w:rsid w:val="00907A35"/>
    <w:rsid w:val="00911EC9"/>
    <w:rsid w:val="009122BA"/>
    <w:rsid w:val="009125BE"/>
    <w:rsid w:val="00912EA4"/>
    <w:rsid w:val="00913019"/>
    <w:rsid w:val="009130D8"/>
    <w:rsid w:val="009134E6"/>
    <w:rsid w:val="00913C92"/>
    <w:rsid w:val="009150B7"/>
    <w:rsid w:val="00921031"/>
    <w:rsid w:val="00922B08"/>
    <w:rsid w:val="00922E9D"/>
    <w:rsid w:val="009233D7"/>
    <w:rsid w:val="00923B14"/>
    <w:rsid w:val="00924845"/>
    <w:rsid w:val="00925015"/>
    <w:rsid w:val="009251EC"/>
    <w:rsid w:val="00925976"/>
    <w:rsid w:val="009261CB"/>
    <w:rsid w:val="0092790E"/>
    <w:rsid w:val="009303A9"/>
    <w:rsid w:val="00930B3E"/>
    <w:rsid w:val="00933C3B"/>
    <w:rsid w:val="00934D2D"/>
    <w:rsid w:val="00934F3D"/>
    <w:rsid w:val="0093599E"/>
    <w:rsid w:val="00935ECE"/>
    <w:rsid w:val="00937050"/>
    <w:rsid w:val="00937D02"/>
    <w:rsid w:val="00937D62"/>
    <w:rsid w:val="009408BC"/>
    <w:rsid w:val="00940CAE"/>
    <w:rsid w:val="0094216C"/>
    <w:rsid w:val="00942E77"/>
    <w:rsid w:val="00943A0C"/>
    <w:rsid w:val="00944395"/>
    <w:rsid w:val="009455A7"/>
    <w:rsid w:val="00945620"/>
    <w:rsid w:val="009469EF"/>
    <w:rsid w:val="0094756F"/>
    <w:rsid w:val="00947CC0"/>
    <w:rsid w:val="009501DB"/>
    <w:rsid w:val="00950E9D"/>
    <w:rsid w:val="00951084"/>
    <w:rsid w:val="0095140B"/>
    <w:rsid w:val="009524D7"/>
    <w:rsid w:val="00952735"/>
    <w:rsid w:val="009530AD"/>
    <w:rsid w:val="00953B26"/>
    <w:rsid w:val="0095517B"/>
    <w:rsid w:val="009557A8"/>
    <w:rsid w:val="0095786C"/>
    <w:rsid w:val="00957874"/>
    <w:rsid w:val="0096039A"/>
    <w:rsid w:val="00960AA5"/>
    <w:rsid w:val="00963019"/>
    <w:rsid w:val="009636FC"/>
    <w:rsid w:val="00963BC9"/>
    <w:rsid w:val="0096435D"/>
    <w:rsid w:val="0097052E"/>
    <w:rsid w:val="00970F1A"/>
    <w:rsid w:val="00972770"/>
    <w:rsid w:val="00972D0E"/>
    <w:rsid w:val="00973097"/>
    <w:rsid w:val="00973D6A"/>
    <w:rsid w:val="0097543C"/>
    <w:rsid w:val="00975795"/>
    <w:rsid w:val="00977418"/>
    <w:rsid w:val="00977B5B"/>
    <w:rsid w:val="00980002"/>
    <w:rsid w:val="00980280"/>
    <w:rsid w:val="00980A4C"/>
    <w:rsid w:val="00981714"/>
    <w:rsid w:val="009821BA"/>
    <w:rsid w:val="0098423D"/>
    <w:rsid w:val="00984853"/>
    <w:rsid w:val="00985A62"/>
    <w:rsid w:val="00985FD1"/>
    <w:rsid w:val="009863CA"/>
    <w:rsid w:val="0098753F"/>
    <w:rsid w:val="00987590"/>
    <w:rsid w:val="0099184F"/>
    <w:rsid w:val="0099407F"/>
    <w:rsid w:val="009941DC"/>
    <w:rsid w:val="00994E8C"/>
    <w:rsid w:val="00997F1F"/>
    <w:rsid w:val="00997F72"/>
    <w:rsid w:val="00997FE8"/>
    <w:rsid w:val="009A046D"/>
    <w:rsid w:val="009A07FD"/>
    <w:rsid w:val="009A3D95"/>
    <w:rsid w:val="009A401B"/>
    <w:rsid w:val="009A448B"/>
    <w:rsid w:val="009A64FB"/>
    <w:rsid w:val="009A6AC6"/>
    <w:rsid w:val="009B1476"/>
    <w:rsid w:val="009B1C84"/>
    <w:rsid w:val="009B2873"/>
    <w:rsid w:val="009B2B80"/>
    <w:rsid w:val="009B3686"/>
    <w:rsid w:val="009B37E7"/>
    <w:rsid w:val="009B3F2F"/>
    <w:rsid w:val="009B52E2"/>
    <w:rsid w:val="009B6968"/>
    <w:rsid w:val="009B6997"/>
    <w:rsid w:val="009B6FC1"/>
    <w:rsid w:val="009C02A8"/>
    <w:rsid w:val="009C04DC"/>
    <w:rsid w:val="009C0736"/>
    <w:rsid w:val="009C1989"/>
    <w:rsid w:val="009C5BF3"/>
    <w:rsid w:val="009C792E"/>
    <w:rsid w:val="009D1BE9"/>
    <w:rsid w:val="009D1E19"/>
    <w:rsid w:val="009D3BAE"/>
    <w:rsid w:val="009D4033"/>
    <w:rsid w:val="009D58C3"/>
    <w:rsid w:val="009D622D"/>
    <w:rsid w:val="009D6BD9"/>
    <w:rsid w:val="009D7D0C"/>
    <w:rsid w:val="009E00D7"/>
    <w:rsid w:val="009E0A5C"/>
    <w:rsid w:val="009E2B27"/>
    <w:rsid w:val="009E2C03"/>
    <w:rsid w:val="009E374C"/>
    <w:rsid w:val="009E3769"/>
    <w:rsid w:val="009E38F3"/>
    <w:rsid w:val="009E4210"/>
    <w:rsid w:val="009E438C"/>
    <w:rsid w:val="009E5026"/>
    <w:rsid w:val="009E7084"/>
    <w:rsid w:val="009E757E"/>
    <w:rsid w:val="009E7D16"/>
    <w:rsid w:val="009F05D6"/>
    <w:rsid w:val="009F1B5C"/>
    <w:rsid w:val="009F4690"/>
    <w:rsid w:val="009F5419"/>
    <w:rsid w:val="009F5453"/>
    <w:rsid w:val="009F7614"/>
    <w:rsid w:val="009F7C04"/>
    <w:rsid w:val="00A000AC"/>
    <w:rsid w:val="00A00654"/>
    <w:rsid w:val="00A006E6"/>
    <w:rsid w:val="00A009D9"/>
    <w:rsid w:val="00A00A34"/>
    <w:rsid w:val="00A00B00"/>
    <w:rsid w:val="00A011BB"/>
    <w:rsid w:val="00A0225F"/>
    <w:rsid w:val="00A022B5"/>
    <w:rsid w:val="00A0385B"/>
    <w:rsid w:val="00A03A28"/>
    <w:rsid w:val="00A04BDB"/>
    <w:rsid w:val="00A051BB"/>
    <w:rsid w:val="00A053D5"/>
    <w:rsid w:val="00A063BD"/>
    <w:rsid w:val="00A110B7"/>
    <w:rsid w:val="00A11E6A"/>
    <w:rsid w:val="00A12317"/>
    <w:rsid w:val="00A126CE"/>
    <w:rsid w:val="00A130AC"/>
    <w:rsid w:val="00A142F5"/>
    <w:rsid w:val="00A15359"/>
    <w:rsid w:val="00A15B8F"/>
    <w:rsid w:val="00A1738A"/>
    <w:rsid w:val="00A2099F"/>
    <w:rsid w:val="00A20A6B"/>
    <w:rsid w:val="00A2103C"/>
    <w:rsid w:val="00A22313"/>
    <w:rsid w:val="00A2379F"/>
    <w:rsid w:val="00A2402D"/>
    <w:rsid w:val="00A25348"/>
    <w:rsid w:val="00A255BB"/>
    <w:rsid w:val="00A26B1B"/>
    <w:rsid w:val="00A30A58"/>
    <w:rsid w:val="00A31904"/>
    <w:rsid w:val="00A3325D"/>
    <w:rsid w:val="00A33346"/>
    <w:rsid w:val="00A33C01"/>
    <w:rsid w:val="00A35053"/>
    <w:rsid w:val="00A35062"/>
    <w:rsid w:val="00A36330"/>
    <w:rsid w:val="00A36733"/>
    <w:rsid w:val="00A3735B"/>
    <w:rsid w:val="00A37686"/>
    <w:rsid w:val="00A37E82"/>
    <w:rsid w:val="00A40C58"/>
    <w:rsid w:val="00A42425"/>
    <w:rsid w:val="00A43AA2"/>
    <w:rsid w:val="00A43B7A"/>
    <w:rsid w:val="00A43F87"/>
    <w:rsid w:val="00A458A8"/>
    <w:rsid w:val="00A4594D"/>
    <w:rsid w:val="00A45C70"/>
    <w:rsid w:val="00A46503"/>
    <w:rsid w:val="00A46A58"/>
    <w:rsid w:val="00A46FCC"/>
    <w:rsid w:val="00A47F84"/>
    <w:rsid w:val="00A50761"/>
    <w:rsid w:val="00A509B8"/>
    <w:rsid w:val="00A51130"/>
    <w:rsid w:val="00A52085"/>
    <w:rsid w:val="00A5271A"/>
    <w:rsid w:val="00A54828"/>
    <w:rsid w:val="00A54CD6"/>
    <w:rsid w:val="00A54D2A"/>
    <w:rsid w:val="00A55752"/>
    <w:rsid w:val="00A55F87"/>
    <w:rsid w:val="00A56353"/>
    <w:rsid w:val="00A565B4"/>
    <w:rsid w:val="00A56638"/>
    <w:rsid w:val="00A56F0A"/>
    <w:rsid w:val="00A576FA"/>
    <w:rsid w:val="00A60A8E"/>
    <w:rsid w:val="00A613C8"/>
    <w:rsid w:val="00A62D0C"/>
    <w:rsid w:val="00A632C1"/>
    <w:rsid w:val="00A635F0"/>
    <w:rsid w:val="00A63C0F"/>
    <w:rsid w:val="00A64A60"/>
    <w:rsid w:val="00A652D6"/>
    <w:rsid w:val="00A6632E"/>
    <w:rsid w:val="00A66496"/>
    <w:rsid w:val="00A66C26"/>
    <w:rsid w:val="00A67202"/>
    <w:rsid w:val="00A704CC"/>
    <w:rsid w:val="00A71E2F"/>
    <w:rsid w:val="00A74003"/>
    <w:rsid w:val="00A753FE"/>
    <w:rsid w:val="00A75E1A"/>
    <w:rsid w:val="00A75E8C"/>
    <w:rsid w:val="00A76393"/>
    <w:rsid w:val="00A76BA8"/>
    <w:rsid w:val="00A8050E"/>
    <w:rsid w:val="00A81886"/>
    <w:rsid w:val="00A81B48"/>
    <w:rsid w:val="00A82280"/>
    <w:rsid w:val="00A82837"/>
    <w:rsid w:val="00A82FFC"/>
    <w:rsid w:val="00A83212"/>
    <w:rsid w:val="00A84530"/>
    <w:rsid w:val="00A85739"/>
    <w:rsid w:val="00A858A5"/>
    <w:rsid w:val="00A90596"/>
    <w:rsid w:val="00A90B5F"/>
    <w:rsid w:val="00A916F2"/>
    <w:rsid w:val="00A91775"/>
    <w:rsid w:val="00A91D74"/>
    <w:rsid w:val="00A93ADC"/>
    <w:rsid w:val="00A93FE0"/>
    <w:rsid w:val="00A94FB5"/>
    <w:rsid w:val="00A95AB7"/>
    <w:rsid w:val="00A96212"/>
    <w:rsid w:val="00A9773D"/>
    <w:rsid w:val="00AA02EE"/>
    <w:rsid w:val="00AA050C"/>
    <w:rsid w:val="00AA055A"/>
    <w:rsid w:val="00AA0B92"/>
    <w:rsid w:val="00AA16E4"/>
    <w:rsid w:val="00AA1859"/>
    <w:rsid w:val="00AA222E"/>
    <w:rsid w:val="00AA3464"/>
    <w:rsid w:val="00AA414E"/>
    <w:rsid w:val="00AA4607"/>
    <w:rsid w:val="00AA4B93"/>
    <w:rsid w:val="00AA5CAE"/>
    <w:rsid w:val="00AA652F"/>
    <w:rsid w:val="00AA678B"/>
    <w:rsid w:val="00AA79CD"/>
    <w:rsid w:val="00AA7D05"/>
    <w:rsid w:val="00AB071E"/>
    <w:rsid w:val="00AB233C"/>
    <w:rsid w:val="00AB23E4"/>
    <w:rsid w:val="00AB2E65"/>
    <w:rsid w:val="00AB3BB8"/>
    <w:rsid w:val="00AB424D"/>
    <w:rsid w:val="00AB50BE"/>
    <w:rsid w:val="00AB55C9"/>
    <w:rsid w:val="00AB5D24"/>
    <w:rsid w:val="00AB6DC2"/>
    <w:rsid w:val="00AB7746"/>
    <w:rsid w:val="00AC053F"/>
    <w:rsid w:val="00AC11CB"/>
    <w:rsid w:val="00AC419E"/>
    <w:rsid w:val="00AC5733"/>
    <w:rsid w:val="00AC75B0"/>
    <w:rsid w:val="00AC7D79"/>
    <w:rsid w:val="00AC7F04"/>
    <w:rsid w:val="00AD0F48"/>
    <w:rsid w:val="00AD11D6"/>
    <w:rsid w:val="00AD1284"/>
    <w:rsid w:val="00AD155F"/>
    <w:rsid w:val="00AD22AF"/>
    <w:rsid w:val="00AD34FF"/>
    <w:rsid w:val="00AD3EFA"/>
    <w:rsid w:val="00AD5836"/>
    <w:rsid w:val="00AE1602"/>
    <w:rsid w:val="00AE276D"/>
    <w:rsid w:val="00AE33EE"/>
    <w:rsid w:val="00AE5529"/>
    <w:rsid w:val="00AE60A3"/>
    <w:rsid w:val="00AE6F47"/>
    <w:rsid w:val="00AF1062"/>
    <w:rsid w:val="00AF1091"/>
    <w:rsid w:val="00AF1359"/>
    <w:rsid w:val="00AF1713"/>
    <w:rsid w:val="00AF26A0"/>
    <w:rsid w:val="00AF2E00"/>
    <w:rsid w:val="00AF3129"/>
    <w:rsid w:val="00AF31EE"/>
    <w:rsid w:val="00AF5403"/>
    <w:rsid w:val="00AF563E"/>
    <w:rsid w:val="00AF58D2"/>
    <w:rsid w:val="00AF610B"/>
    <w:rsid w:val="00AF61C6"/>
    <w:rsid w:val="00AF7595"/>
    <w:rsid w:val="00B015EF"/>
    <w:rsid w:val="00B01C7D"/>
    <w:rsid w:val="00B02A58"/>
    <w:rsid w:val="00B03CC0"/>
    <w:rsid w:val="00B057BD"/>
    <w:rsid w:val="00B10E4D"/>
    <w:rsid w:val="00B111DD"/>
    <w:rsid w:val="00B11E95"/>
    <w:rsid w:val="00B130EE"/>
    <w:rsid w:val="00B132AD"/>
    <w:rsid w:val="00B13503"/>
    <w:rsid w:val="00B1487F"/>
    <w:rsid w:val="00B15900"/>
    <w:rsid w:val="00B2142B"/>
    <w:rsid w:val="00B219FC"/>
    <w:rsid w:val="00B21F95"/>
    <w:rsid w:val="00B221A5"/>
    <w:rsid w:val="00B225C1"/>
    <w:rsid w:val="00B23858"/>
    <w:rsid w:val="00B2388B"/>
    <w:rsid w:val="00B24810"/>
    <w:rsid w:val="00B248C5"/>
    <w:rsid w:val="00B24BDF"/>
    <w:rsid w:val="00B2534F"/>
    <w:rsid w:val="00B25FB0"/>
    <w:rsid w:val="00B26AAC"/>
    <w:rsid w:val="00B30783"/>
    <w:rsid w:val="00B31590"/>
    <w:rsid w:val="00B31C21"/>
    <w:rsid w:val="00B31CA0"/>
    <w:rsid w:val="00B33B8E"/>
    <w:rsid w:val="00B34BCA"/>
    <w:rsid w:val="00B36EF2"/>
    <w:rsid w:val="00B37C17"/>
    <w:rsid w:val="00B409A5"/>
    <w:rsid w:val="00B40D3E"/>
    <w:rsid w:val="00B41055"/>
    <w:rsid w:val="00B42663"/>
    <w:rsid w:val="00B42A84"/>
    <w:rsid w:val="00B43225"/>
    <w:rsid w:val="00B434EE"/>
    <w:rsid w:val="00B43DCC"/>
    <w:rsid w:val="00B4455A"/>
    <w:rsid w:val="00B44636"/>
    <w:rsid w:val="00B44B62"/>
    <w:rsid w:val="00B46382"/>
    <w:rsid w:val="00B515E2"/>
    <w:rsid w:val="00B52B47"/>
    <w:rsid w:val="00B53037"/>
    <w:rsid w:val="00B530DF"/>
    <w:rsid w:val="00B54736"/>
    <w:rsid w:val="00B54FF2"/>
    <w:rsid w:val="00B55790"/>
    <w:rsid w:val="00B55D5A"/>
    <w:rsid w:val="00B5648D"/>
    <w:rsid w:val="00B56CE2"/>
    <w:rsid w:val="00B604AA"/>
    <w:rsid w:val="00B60720"/>
    <w:rsid w:val="00B608A5"/>
    <w:rsid w:val="00B621AD"/>
    <w:rsid w:val="00B6282D"/>
    <w:rsid w:val="00B63CBE"/>
    <w:rsid w:val="00B63CD7"/>
    <w:rsid w:val="00B63D40"/>
    <w:rsid w:val="00B6465B"/>
    <w:rsid w:val="00B64E9C"/>
    <w:rsid w:val="00B65047"/>
    <w:rsid w:val="00B657A1"/>
    <w:rsid w:val="00B6629B"/>
    <w:rsid w:val="00B66EF4"/>
    <w:rsid w:val="00B70111"/>
    <w:rsid w:val="00B706E2"/>
    <w:rsid w:val="00B70B5D"/>
    <w:rsid w:val="00B70BBD"/>
    <w:rsid w:val="00B71321"/>
    <w:rsid w:val="00B737D0"/>
    <w:rsid w:val="00B73BF0"/>
    <w:rsid w:val="00B7528C"/>
    <w:rsid w:val="00B75F33"/>
    <w:rsid w:val="00B76B81"/>
    <w:rsid w:val="00B8002F"/>
    <w:rsid w:val="00B800DE"/>
    <w:rsid w:val="00B815D8"/>
    <w:rsid w:val="00B8233B"/>
    <w:rsid w:val="00B84E06"/>
    <w:rsid w:val="00B854B7"/>
    <w:rsid w:val="00B87148"/>
    <w:rsid w:val="00B87DEF"/>
    <w:rsid w:val="00B9003F"/>
    <w:rsid w:val="00B90689"/>
    <w:rsid w:val="00B907C9"/>
    <w:rsid w:val="00B910F2"/>
    <w:rsid w:val="00B916BF"/>
    <w:rsid w:val="00B9252E"/>
    <w:rsid w:val="00B93569"/>
    <w:rsid w:val="00B93AAA"/>
    <w:rsid w:val="00B93BA2"/>
    <w:rsid w:val="00B96530"/>
    <w:rsid w:val="00B96665"/>
    <w:rsid w:val="00B96B85"/>
    <w:rsid w:val="00B97876"/>
    <w:rsid w:val="00B97BD6"/>
    <w:rsid w:val="00BA1E5D"/>
    <w:rsid w:val="00BA49D0"/>
    <w:rsid w:val="00BA6BEB"/>
    <w:rsid w:val="00BA73E3"/>
    <w:rsid w:val="00BB0C8C"/>
    <w:rsid w:val="00BB0CC6"/>
    <w:rsid w:val="00BB1FA4"/>
    <w:rsid w:val="00BB2675"/>
    <w:rsid w:val="00BB2C5A"/>
    <w:rsid w:val="00BB3049"/>
    <w:rsid w:val="00BB315F"/>
    <w:rsid w:val="00BB3571"/>
    <w:rsid w:val="00BB37DE"/>
    <w:rsid w:val="00BB3C98"/>
    <w:rsid w:val="00BB4536"/>
    <w:rsid w:val="00BB517C"/>
    <w:rsid w:val="00BC014B"/>
    <w:rsid w:val="00BC017F"/>
    <w:rsid w:val="00BC01F1"/>
    <w:rsid w:val="00BC0D55"/>
    <w:rsid w:val="00BC1148"/>
    <w:rsid w:val="00BC1CDC"/>
    <w:rsid w:val="00BC23F6"/>
    <w:rsid w:val="00BC2786"/>
    <w:rsid w:val="00BC36D3"/>
    <w:rsid w:val="00BC3AE8"/>
    <w:rsid w:val="00BC4E5A"/>
    <w:rsid w:val="00BC69BD"/>
    <w:rsid w:val="00BC7F40"/>
    <w:rsid w:val="00BD0474"/>
    <w:rsid w:val="00BD1533"/>
    <w:rsid w:val="00BD1A70"/>
    <w:rsid w:val="00BD386E"/>
    <w:rsid w:val="00BD531E"/>
    <w:rsid w:val="00BD5F43"/>
    <w:rsid w:val="00BD5F89"/>
    <w:rsid w:val="00BD674F"/>
    <w:rsid w:val="00BD6C51"/>
    <w:rsid w:val="00BE01B9"/>
    <w:rsid w:val="00BE04FD"/>
    <w:rsid w:val="00BE11B1"/>
    <w:rsid w:val="00BE15A3"/>
    <w:rsid w:val="00BE1889"/>
    <w:rsid w:val="00BE216D"/>
    <w:rsid w:val="00BE2850"/>
    <w:rsid w:val="00BE2A61"/>
    <w:rsid w:val="00BE2C16"/>
    <w:rsid w:val="00BE2D77"/>
    <w:rsid w:val="00BE4B74"/>
    <w:rsid w:val="00BE6033"/>
    <w:rsid w:val="00BE6D64"/>
    <w:rsid w:val="00BE7CB2"/>
    <w:rsid w:val="00BF043A"/>
    <w:rsid w:val="00BF0762"/>
    <w:rsid w:val="00BF17B1"/>
    <w:rsid w:val="00BF20CE"/>
    <w:rsid w:val="00BF2750"/>
    <w:rsid w:val="00BF4672"/>
    <w:rsid w:val="00BF573F"/>
    <w:rsid w:val="00BF5C20"/>
    <w:rsid w:val="00BF6309"/>
    <w:rsid w:val="00BF7435"/>
    <w:rsid w:val="00BF7D5D"/>
    <w:rsid w:val="00BF7F11"/>
    <w:rsid w:val="00C0159A"/>
    <w:rsid w:val="00C021E8"/>
    <w:rsid w:val="00C028BE"/>
    <w:rsid w:val="00C03620"/>
    <w:rsid w:val="00C0406B"/>
    <w:rsid w:val="00C04AE3"/>
    <w:rsid w:val="00C050FB"/>
    <w:rsid w:val="00C05CC7"/>
    <w:rsid w:val="00C069FE"/>
    <w:rsid w:val="00C06BC5"/>
    <w:rsid w:val="00C06EBA"/>
    <w:rsid w:val="00C074C5"/>
    <w:rsid w:val="00C07C8E"/>
    <w:rsid w:val="00C10CD6"/>
    <w:rsid w:val="00C11BD8"/>
    <w:rsid w:val="00C12067"/>
    <w:rsid w:val="00C12138"/>
    <w:rsid w:val="00C12280"/>
    <w:rsid w:val="00C12B67"/>
    <w:rsid w:val="00C14B0A"/>
    <w:rsid w:val="00C14CB1"/>
    <w:rsid w:val="00C16147"/>
    <w:rsid w:val="00C167B7"/>
    <w:rsid w:val="00C175C5"/>
    <w:rsid w:val="00C17E46"/>
    <w:rsid w:val="00C17E68"/>
    <w:rsid w:val="00C22888"/>
    <w:rsid w:val="00C229A7"/>
    <w:rsid w:val="00C23CC6"/>
    <w:rsid w:val="00C2402C"/>
    <w:rsid w:val="00C24EE9"/>
    <w:rsid w:val="00C25A6F"/>
    <w:rsid w:val="00C2645C"/>
    <w:rsid w:val="00C26F6F"/>
    <w:rsid w:val="00C27749"/>
    <w:rsid w:val="00C27B1F"/>
    <w:rsid w:val="00C302EC"/>
    <w:rsid w:val="00C30FC6"/>
    <w:rsid w:val="00C31609"/>
    <w:rsid w:val="00C31F75"/>
    <w:rsid w:val="00C323D4"/>
    <w:rsid w:val="00C329C8"/>
    <w:rsid w:val="00C33F52"/>
    <w:rsid w:val="00C34CC4"/>
    <w:rsid w:val="00C36D2D"/>
    <w:rsid w:val="00C36E01"/>
    <w:rsid w:val="00C36E53"/>
    <w:rsid w:val="00C37177"/>
    <w:rsid w:val="00C376D1"/>
    <w:rsid w:val="00C37E9C"/>
    <w:rsid w:val="00C41150"/>
    <w:rsid w:val="00C4201F"/>
    <w:rsid w:val="00C424DB"/>
    <w:rsid w:val="00C4343D"/>
    <w:rsid w:val="00C43682"/>
    <w:rsid w:val="00C43873"/>
    <w:rsid w:val="00C43FFB"/>
    <w:rsid w:val="00C458F2"/>
    <w:rsid w:val="00C46429"/>
    <w:rsid w:val="00C46906"/>
    <w:rsid w:val="00C46914"/>
    <w:rsid w:val="00C46F1A"/>
    <w:rsid w:val="00C46F98"/>
    <w:rsid w:val="00C47D1C"/>
    <w:rsid w:val="00C5033F"/>
    <w:rsid w:val="00C50BE5"/>
    <w:rsid w:val="00C5198A"/>
    <w:rsid w:val="00C52FE9"/>
    <w:rsid w:val="00C536AE"/>
    <w:rsid w:val="00C53E3C"/>
    <w:rsid w:val="00C55CDB"/>
    <w:rsid w:val="00C56994"/>
    <w:rsid w:val="00C57353"/>
    <w:rsid w:val="00C6004D"/>
    <w:rsid w:val="00C60A73"/>
    <w:rsid w:val="00C61278"/>
    <w:rsid w:val="00C614C9"/>
    <w:rsid w:val="00C61D71"/>
    <w:rsid w:val="00C62BFF"/>
    <w:rsid w:val="00C6492A"/>
    <w:rsid w:val="00C64B3F"/>
    <w:rsid w:val="00C65572"/>
    <w:rsid w:val="00C65AF2"/>
    <w:rsid w:val="00C66CFD"/>
    <w:rsid w:val="00C67634"/>
    <w:rsid w:val="00C70472"/>
    <w:rsid w:val="00C70620"/>
    <w:rsid w:val="00C707B5"/>
    <w:rsid w:val="00C710BD"/>
    <w:rsid w:val="00C7127A"/>
    <w:rsid w:val="00C72823"/>
    <w:rsid w:val="00C72930"/>
    <w:rsid w:val="00C73CEC"/>
    <w:rsid w:val="00C74444"/>
    <w:rsid w:val="00C74CBE"/>
    <w:rsid w:val="00C75A94"/>
    <w:rsid w:val="00C761DE"/>
    <w:rsid w:val="00C764D4"/>
    <w:rsid w:val="00C77069"/>
    <w:rsid w:val="00C77C88"/>
    <w:rsid w:val="00C77F80"/>
    <w:rsid w:val="00C80364"/>
    <w:rsid w:val="00C80437"/>
    <w:rsid w:val="00C80851"/>
    <w:rsid w:val="00C80F06"/>
    <w:rsid w:val="00C8133B"/>
    <w:rsid w:val="00C823EF"/>
    <w:rsid w:val="00C82742"/>
    <w:rsid w:val="00C830D7"/>
    <w:rsid w:val="00C832B5"/>
    <w:rsid w:val="00C851D5"/>
    <w:rsid w:val="00C85767"/>
    <w:rsid w:val="00C8632E"/>
    <w:rsid w:val="00C90F83"/>
    <w:rsid w:val="00C91102"/>
    <w:rsid w:val="00C91561"/>
    <w:rsid w:val="00C917F5"/>
    <w:rsid w:val="00C91973"/>
    <w:rsid w:val="00C91D9F"/>
    <w:rsid w:val="00C93E68"/>
    <w:rsid w:val="00C950F1"/>
    <w:rsid w:val="00C95201"/>
    <w:rsid w:val="00C96C1D"/>
    <w:rsid w:val="00C9763D"/>
    <w:rsid w:val="00CA02D0"/>
    <w:rsid w:val="00CA0AFE"/>
    <w:rsid w:val="00CA21F9"/>
    <w:rsid w:val="00CA3E3F"/>
    <w:rsid w:val="00CA483F"/>
    <w:rsid w:val="00CA554E"/>
    <w:rsid w:val="00CA56CC"/>
    <w:rsid w:val="00CA58C6"/>
    <w:rsid w:val="00CA63F1"/>
    <w:rsid w:val="00CA6401"/>
    <w:rsid w:val="00CA768E"/>
    <w:rsid w:val="00CB0CA6"/>
    <w:rsid w:val="00CB2A78"/>
    <w:rsid w:val="00CB34F7"/>
    <w:rsid w:val="00CB5203"/>
    <w:rsid w:val="00CB6518"/>
    <w:rsid w:val="00CB657B"/>
    <w:rsid w:val="00CC1020"/>
    <w:rsid w:val="00CC10DE"/>
    <w:rsid w:val="00CC1930"/>
    <w:rsid w:val="00CC2A60"/>
    <w:rsid w:val="00CC2B91"/>
    <w:rsid w:val="00CC3DC1"/>
    <w:rsid w:val="00CC3E15"/>
    <w:rsid w:val="00CC3F03"/>
    <w:rsid w:val="00CC4A1E"/>
    <w:rsid w:val="00CC4D9E"/>
    <w:rsid w:val="00CC6C2C"/>
    <w:rsid w:val="00CC6C88"/>
    <w:rsid w:val="00CD2D76"/>
    <w:rsid w:val="00CD34E2"/>
    <w:rsid w:val="00CD4C6F"/>
    <w:rsid w:val="00CD4E24"/>
    <w:rsid w:val="00CD54EE"/>
    <w:rsid w:val="00CD5D09"/>
    <w:rsid w:val="00CD60EA"/>
    <w:rsid w:val="00CD6C90"/>
    <w:rsid w:val="00CD79CE"/>
    <w:rsid w:val="00CE152A"/>
    <w:rsid w:val="00CE26FA"/>
    <w:rsid w:val="00CE43A5"/>
    <w:rsid w:val="00CE7607"/>
    <w:rsid w:val="00CE7B50"/>
    <w:rsid w:val="00CF116D"/>
    <w:rsid w:val="00CF35B2"/>
    <w:rsid w:val="00CF3B63"/>
    <w:rsid w:val="00CF5C99"/>
    <w:rsid w:val="00CF62C5"/>
    <w:rsid w:val="00D00B8E"/>
    <w:rsid w:val="00D00C5F"/>
    <w:rsid w:val="00D02A0B"/>
    <w:rsid w:val="00D02ADF"/>
    <w:rsid w:val="00D03E69"/>
    <w:rsid w:val="00D03EE6"/>
    <w:rsid w:val="00D044C7"/>
    <w:rsid w:val="00D049DD"/>
    <w:rsid w:val="00D0604F"/>
    <w:rsid w:val="00D061AE"/>
    <w:rsid w:val="00D07002"/>
    <w:rsid w:val="00D07034"/>
    <w:rsid w:val="00D07D99"/>
    <w:rsid w:val="00D1016E"/>
    <w:rsid w:val="00D13B93"/>
    <w:rsid w:val="00D1495B"/>
    <w:rsid w:val="00D15FEF"/>
    <w:rsid w:val="00D1625C"/>
    <w:rsid w:val="00D16EFE"/>
    <w:rsid w:val="00D20A64"/>
    <w:rsid w:val="00D20AFE"/>
    <w:rsid w:val="00D211E6"/>
    <w:rsid w:val="00D22BD7"/>
    <w:rsid w:val="00D236D0"/>
    <w:rsid w:val="00D241B1"/>
    <w:rsid w:val="00D258C3"/>
    <w:rsid w:val="00D25C55"/>
    <w:rsid w:val="00D261A9"/>
    <w:rsid w:val="00D27318"/>
    <w:rsid w:val="00D3018C"/>
    <w:rsid w:val="00D3148F"/>
    <w:rsid w:val="00D32816"/>
    <w:rsid w:val="00D3396D"/>
    <w:rsid w:val="00D33C8E"/>
    <w:rsid w:val="00D33CD3"/>
    <w:rsid w:val="00D3420F"/>
    <w:rsid w:val="00D34520"/>
    <w:rsid w:val="00D34D0A"/>
    <w:rsid w:val="00D37281"/>
    <w:rsid w:val="00D40171"/>
    <w:rsid w:val="00D40F8C"/>
    <w:rsid w:val="00D4136C"/>
    <w:rsid w:val="00D44755"/>
    <w:rsid w:val="00D450FD"/>
    <w:rsid w:val="00D45767"/>
    <w:rsid w:val="00D45AA6"/>
    <w:rsid w:val="00D460FB"/>
    <w:rsid w:val="00D469D9"/>
    <w:rsid w:val="00D47154"/>
    <w:rsid w:val="00D502C5"/>
    <w:rsid w:val="00D51542"/>
    <w:rsid w:val="00D51B84"/>
    <w:rsid w:val="00D51FC9"/>
    <w:rsid w:val="00D53848"/>
    <w:rsid w:val="00D53D96"/>
    <w:rsid w:val="00D54665"/>
    <w:rsid w:val="00D55799"/>
    <w:rsid w:val="00D56857"/>
    <w:rsid w:val="00D569A2"/>
    <w:rsid w:val="00D569A5"/>
    <w:rsid w:val="00D57F1E"/>
    <w:rsid w:val="00D6049F"/>
    <w:rsid w:val="00D60619"/>
    <w:rsid w:val="00D60D48"/>
    <w:rsid w:val="00D628BC"/>
    <w:rsid w:val="00D63220"/>
    <w:rsid w:val="00D66630"/>
    <w:rsid w:val="00D6699D"/>
    <w:rsid w:val="00D714DF"/>
    <w:rsid w:val="00D725A0"/>
    <w:rsid w:val="00D734CC"/>
    <w:rsid w:val="00D73B03"/>
    <w:rsid w:val="00D73B4C"/>
    <w:rsid w:val="00D73FD7"/>
    <w:rsid w:val="00D754C0"/>
    <w:rsid w:val="00D7671C"/>
    <w:rsid w:val="00D769B3"/>
    <w:rsid w:val="00D77362"/>
    <w:rsid w:val="00D80D35"/>
    <w:rsid w:val="00D80E27"/>
    <w:rsid w:val="00D8117B"/>
    <w:rsid w:val="00D8195C"/>
    <w:rsid w:val="00D81AD6"/>
    <w:rsid w:val="00D81F55"/>
    <w:rsid w:val="00D82AB9"/>
    <w:rsid w:val="00D84EA0"/>
    <w:rsid w:val="00D85185"/>
    <w:rsid w:val="00D85268"/>
    <w:rsid w:val="00D85292"/>
    <w:rsid w:val="00D86612"/>
    <w:rsid w:val="00D86A1C"/>
    <w:rsid w:val="00D86BE8"/>
    <w:rsid w:val="00D8768E"/>
    <w:rsid w:val="00D87A3F"/>
    <w:rsid w:val="00D87B78"/>
    <w:rsid w:val="00D90902"/>
    <w:rsid w:val="00D90D17"/>
    <w:rsid w:val="00D91752"/>
    <w:rsid w:val="00D927A7"/>
    <w:rsid w:val="00D93416"/>
    <w:rsid w:val="00D93B74"/>
    <w:rsid w:val="00D93DE0"/>
    <w:rsid w:val="00D9552B"/>
    <w:rsid w:val="00D9604C"/>
    <w:rsid w:val="00D96985"/>
    <w:rsid w:val="00D97B8E"/>
    <w:rsid w:val="00DA2D91"/>
    <w:rsid w:val="00DA346E"/>
    <w:rsid w:val="00DA3DF1"/>
    <w:rsid w:val="00DA52C0"/>
    <w:rsid w:val="00DA535A"/>
    <w:rsid w:val="00DA5403"/>
    <w:rsid w:val="00DA5D18"/>
    <w:rsid w:val="00DA5EE3"/>
    <w:rsid w:val="00DA62CE"/>
    <w:rsid w:val="00DA6AE4"/>
    <w:rsid w:val="00DA6F4A"/>
    <w:rsid w:val="00DA7CE4"/>
    <w:rsid w:val="00DB0BE3"/>
    <w:rsid w:val="00DB1D9A"/>
    <w:rsid w:val="00DB2952"/>
    <w:rsid w:val="00DB45BD"/>
    <w:rsid w:val="00DB46F5"/>
    <w:rsid w:val="00DB5C8D"/>
    <w:rsid w:val="00DB6A7A"/>
    <w:rsid w:val="00DB76AA"/>
    <w:rsid w:val="00DB77BF"/>
    <w:rsid w:val="00DC005F"/>
    <w:rsid w:val="00DC0C51"/>
    <w:rsid w:val="00DC1C8C"/>
    <w:rsid w:val="00DC3328"/>
    <w:rsid w:val="00DC53F0"/>
    <w:rsid w:val="00DC5DE7"/>
    <w:rsid w:val="00DC6297"/>
    <w:rsid w:val="00DC7A57"/>
    <w:rsid w:val="00DD00CC"/>
    <w:rsid w:val="00DD044D"/>
    <w:rsid w:val="00DD0499"/>
    <w:rsid w:val="00DD0C54"/>
    <w:rsid w:val="00DD1414"/>
    <w:rsid w:val="00DD1745"/>
    <w:rsid w:val="00DD1821"/>
    <w:rsid w:val="00DD18DB"/>
    <w:rsid w:val="00DD1A1C"/>
    <w:rsid w:val="00DD2B69"/>
    <w:rsid w:val="00DD4B0E"/>
    <w:rsid w:val="00DD4CD0"/>
    <w:rsid w:val="00DD61E2"/>
    <w:rsid w:val="00DD6A26"/>
    <w:rsid w:val="00DD6DAC"/>
    <w:rsid w:val="00DD7417"/>
    <w:rsid w:val="00DD7732"/>
    <w:rsid w:val="00DE0BB8"/>
    <w:rsid w:val="00DE12EF"/>
    <w:rsid w:val="00DE13A9"/>
    <w:rsid w:val="00DE4773"/>
    <w:rsid w:val="00DE4847"/>
    <w:rsid w:val="00DE4DBB"/>
    <w:rsid w:val="00DE631B"/>
    <w:rsid w:val="00DE7298"/>
    <w:rsid w:val="00DE74DB"/>
    <w:rsid w:val="00DE757A"/>
    <w:rsid w:val="00DE7D2A"/>
    <w:rsid w:val="00DE7E71"/>
    <w:rsid w:val="00DF1736"/>
    <w:rsid w:val="00DF1AC5"/>
    <w:rsid w:val="00DF3FF0"/>
    <w:rsid w:val="00DF487D"/>
    <w:rsid w:val="00DF4A1A"/>
    <w:rsid w:val="00DF516E"/>
    <w:rsid w:val="00DF534F"/>
    <w:rsid w:val="00DF5E01"/>
    <w:rsid w:val="00DF6870"/>
    <w:rsid w:val="00DF6DBD"/>
    <w:rsid w:val="00DF7DBA"/>
    <w:rsid w:val="00E01169"/>
    <w:rsid w:val="00E013FF"/>
    <w:rsid w:val="00E01E31"/>
    <w:rsid w:val="00E041C4"/>
    <w:rsid w:val="00E05331"/>
    <w:rsid w:val="00E064B2"/>
    <w:rsid w:val="00E0712C"/>
    <w:rsid w:val="00E07369"/>
    <w:rsid w:val="00E078B3"/>
    <w:rsid w:val="00E10300"/>
    <w:rsid w:val="00E10D00"/>
    <w:rsid w:val="00E10D1E"/>
    <w:rsid w:val="00E12146"/>
    <w:rsid w:val="00E13D20"/>
    <w:rsid w:val="00E14553"/>
    <w:rsid w:val="00E16104"/>
    <w:rsid w:val="00E16251"/>
    <w:rsid w:val="00E16971"/>
    <w:rsid w:val="00E16C39"/>
    <w:rsid w:val="00E17439"/>
    <w:rsid w:val="00E204DE"/>
    <w:rsid w:val="00E21435"/>
    <w:rsid w:val="00E23A61"/>
    <w:rsid w:val="00E23FC3"/>
    <w:rsid w:val="00E257F2"/>
    <w:rsid w:val="00E304A4"/>
    <w:rsid w:val="00E30DCA"/>
    <w:rsid w:val="00E31663"/>
    <w:rsid w:val="00E32E4E"/>
    <w:rsid w:val="00E334D9"/>
    <w:rsid w:val="00E334F8"/>
    <w:rsid w:val="00E33CC7"/>
    <w:rsid w:val="00E35164"/>
    <w:rsid w:val="00E36733"/>
    <w:rsid w:val="00E416A9"/>
    <w:rsid w:val="00E43DDF"/>
    <w:rsid w:val="00E51EC4"/>
    <w:rsid w:val="00E523B1"/>
    <w:rsid w:val="00E52400"/>
    <w:rsid w:val="00E539A9"/>
    <w:rsid w:val="00E53FFC"/>
    <w:rsid w:val="00E557AC"/>
    <w:rsid w:val="00E5581C"/>
    <w:rsid w:val="00E5602A"/>
    <w:rsid w:val="00E56A8F"/>
    <w:rsid w:val="00E56BBE"/>
    <w:rsid w:val="00E57110"/>
    <w:rsid w:val="00E57214"/>
    <w:rsid w:val="00E575AC"/>
    <w:rsid w:val="00E60827"/>
    <w:rsid w:val="00E60DA5"/>
    <w:rsid w:val="00E61A41"/>
    <w:rsid w:val="00E61F01"/>
    <w:rsid w:val="00E620B8"/>
    <w:rsid w:val="00E62CE1"/>
    <w:rsid w:val="00E631E4"/>
    <w:rsid w:val="00E6322F"/>
    <w:rsid w:val="00E63ECE"/>
    <w:rsid w:val="00E63F40"/>
    <w:rsid w:val="00E64EAA"/>
    <w:rsid w:val="00E65AE2"/>
    <w:rsid w:val="00E65B69"/>
    <w:rsid w:val="00E667DC"/>
    <w:rsid w:val="00E67FAA"/>
    <w:rsid w:val="00E70C87"/>
    <w:rsid w:val="00E70CF7"/>
    <w:rsid w:val="00E7303F"/>
    <w:rsid w:val="00E73569"/>
    <w:rsid w:val="00E73CE5"/>
    <w:rsid w:val="00E73D42"/>
    <w:rsid w:val="00E73ED1"/>
    <w:rsid w:val="00E74A3A"/>
    <w:rsid w:val="00E7562A"/>
    <w:rsid w:val="00E75C93"/>
    <w:rsid w:val="00E80A7D"/>
    <w:rsid w:val="00E849A3"/>
    <w:rsid w:val="00E84B60"/>
    <w:rsid w:val="00E85535"/>
    <w:rsid w:val="00E8726E"/>
    <w:rsid w:val="00E87438"/>
    <w:rsid w:val="00E8797C"/>
    <w:rsid w:val="00E9073B"/>
    <w:rsid w:val="00E90C23"/>
    <w:rsid w:val="00E92E04"/>
    <w:rsid w:val="00E92EAB"/>
    <w:rsid w:val="00E9301C"/>
    <w:rsid w:val="00E93623"/>
    <w:rsid w:val="00E93F08"/>
    <w:rsid w:val="00E9420C"/>
    <w:rsid w:val="00E94C36"/>
    <w:rsid w:val="00E96A77"/>
    <w:rsid w:val="00E97E8E"/>
    <w:rsid w:val="00EA00D1"/>
    <w:rsid w:val="00EA1510"/>
    <w:rsid w:val="00EA185D"/>
    <w:rsid w:val="00EA2C6F"/>
    <w:rsid w:val="00EA325C"/>
    <w:rsid w:val="00EA3C1B"/>
    <w:rsid w:val="00EA43EE"/>
    <w:rsid w:val="00EA4E9B"/>
    <w:rsid w:val="00EA5921"/>
    <w:rsid w:val="00EA644D"/>
    <w:rsid w:val="00EA6505"/>
    <w:rsid w:val="00EB0B22"/>
    <w:rsid w:val="00EB1311"/>
    <w:rsid w:val="00EB28A9"/>
    <w:rsid w:val="00EB434F"/>
    <w:rsid w:val="00EB4496"/>
    <w:rsid w:val="00EB4EDA"/>
    <w:rsid w:val="00EB53AA"/>
    <w:rsid w:val="00EB565A"/>
    <w:rsid w:val="00EB5EBD"/>
    <w:rsid w:val="00EB644C"/>
    <w:rsid w:val="00EB68C1"/>
    <w:rsid w:val="00EB7CD3"/>
    <w:rsid w:val="00EC0A9B"/>
    <w:rsid w:val="00EC0EA2"/>
    <w:rsid w:val="00EC23A8"/>
    <w:rsid w:val="00EC28F0"/>
    <w:rsid w:val="00EC2989"/>
    <w:rsid w:val="00EC3857"/>
    <w:rsid w:val="00EC39AB"/>
    <w:rsid w:val="00EC4BEE"/>
    <w:rsid w:val="00EC578F"/>
    <w:rsid w:val="00EC712B"/>
    <w:rsid w:val="00EC7BBE"/>
    <w:rsid w:val="00ED0686"/>
    <w:rsid w:val="00ED0FFD"/>
    <w:rsid w:val="00ED148F"/>
    <w:rsid w:val="00ED1A08"/>
    <w:rsid w:val="00ED1AE6"/>
    <w:rsid w:val="00ED3CE1"/>
    <w:rsid w:val="00ED45F8"/>
    <w:rsid w:val="00ED4DA1"/>
    <w:rsid w:val="00ED61C9"/>
    <w:rsid w:val="00ED6340"/>
    <w:rsid w:val="00ED738D"/>
    <w:rsid w:val="00EE0097"/>
    <w:rsid w:val="00EE0B2D"/>
    <w:rsid w:val="00EE0D28"/>
    <w:rsid w:val="00EE0D4B"/>
    <w:rsid w:val="00EE0FCB"/>
    <w:rsid w:val="00EE1730"/>
    <w:rsid w:val="00EE3AF1"/>
    <w:rsid w:val="00EE4043"/>
    <w:rsid w:val="00EE4E32"/>
    <w:rsid w:val="00EE5111"/>
    <w:rsid w:val="00EE6015"/>
    <w:rsid w:val="00EE70F1"/>
    <w:rsid w:val="00EF12CA"/>
    <w:rsid w:val="00EF2259"/>
    <w:rsid w:val="00EF28DB"/>
    <w:rsid w:val="00EF2DE9"/>
    <w:rsid w:val="00EF2F3F"/>
    <w:rsid w:val="00EF2FB3"/>
    <w:rsid w:val="00EF35CC"/>
    <w:rsid w:val="00EF54CE"/>
    <w:rsid w:val="00EF583D"/>
    <w:rsid w:val="00EF6FFF"/>
    <w:rsid w:val="00EF7535"/>
    <w:rsid w:val="00F014DF"/>
    <w:rsid w:val="00F0184E"/>
    <w:rsid w:val="00F02508"/>
    <w:rsid w:val="00F026DF"/>
    <w:rsid w:val="00F02C70"/>
    <w:rsid w:val="00F03474"/>
    <w:rsid w:val="00F03C81"/>
    <w:rsid w:val="00F0701C"/>
    <w:rsid w:val="00F1152E"/>
    <w:rsid w:val="00F13BC8"/>
    <w:rsid w:val="00F14E0B"/>
    <w:rsid w:val="00F14F9B"/>
    <w:rsid w:val="00F1699A"/>
    <w:rsid w:val="00F16E67"/>
    <w:rsid w:val="00F171FC"/>
    <w:rsid w:val="00F20B68"/>
    <w:rsid w:val="00F2171E"/>
    <w:rsid w:val="00F21AE3"/>
    <w:rsid w:val="00F23497"/>
    <w:rsid w:val="00F24E69"/>
    <w:rsid w:val="00F26050"/>
    <w:rsid w:val="00F26E9E"/>
    <w:rsid w:val="00F27116"/>
    <w:rsid w:val="00F315A5"/>
    <w:rsid w:val="00F326A1"/>
    <w:rsid w:val="00F342D2"/>
    <w:rsid w:val="00F363AD"/>
    <w:rsid w:val="00F37AF7"/>
    <w:rsid w:val="00F37FE6"/>
    <w:rsid w:val="00F408CB"/>
    <w:rsid w:val="00F413C7"/>
    <w:rsid w:val="00F42C51"/>
    <w:rsid w:val="00F4463C"/>
    <w:rsid w:val="00F501A0"/>
    <w:rsid w:val="00F50B48"/>
    <w:rsid w:val="00F52EA3"/>
    <w:rsid w:val="00F53E97"/>
    <w:rsid w:val="00F5484B"/>
    <w:rsid w:val="00F54F0C"/>
    <w:rsid w:val="00F557F5"/>
    <w:rsid w:val="00F5648A"/>
    <w:rsid w:val="00F5680B"/>
    <w:rsid w:val="00F56A26"/>
    <w:rsid w:val="00F56A42"/>
    <w:rsid w:val="00F56C78"/>
    <w:rsid w:val="00F574FE"/>
    <w:rsid w:val="00F57D2F"/>
    <w:rsid w:val="00F602F3"/>
    <w:rsid w:val="00F60C6D"/>
    <w:rsid w:val="00F6343E"/>
    <w:rsid w:val="00F63D21"/>
    <w:rsid w:val="00F63D71"/>
    <w:rsid w:val="00F63E85"/>
    <w:rsid w:val="00F64237"/>
    <w:rsid w:val="00F64784"/>
    <w:rsid w:val="00F67719"/>
    <w:rsid w:val="00F70B23"/>
    <w:rsid w:val="00F71F52"/>
    <w:rsid w:val="00F73472"/>
    <w:rsid w:val="00F737CB"/>
    <w:rsid w:val="00F7407C"/>
    <w:rsid w:val="00F756EC"/>
    <w:rsid w:val="00F75E4F"/>
    <w:rsid w:val="00F76EA9"/>
    <w:rsid w:val="00F80060"/>
    <w:rsid w:val="00F80230"/>
    <w:rsid w:val="00F8092E"/>
    <w:rsid w:val="00F81A03"/>
    <w:rsid w:val="00F82F5D"/>
    <w:rsid w:val="00F8366B"/>
    <w:rsid w:val="00F84664"/>
    <w:rsid w:val="00F84773"/>
    <w:rsid w:val="00F85779"/>
    <w:rsid w:val="00F85FA4"/>
    <w:rsid w:val="00F87395"/>
    <w:rsid w:val="00F874A9"/>
    <w:rsid w:val="00F9474B"/>
    <w:rsid w:val="00F958A2"/>
    <w:rsid w:val="00F97C13"/>
    <w:rsid w:val="00FA0204"/>
    <w:rsid w:val="00FA0D41"/>
    <w:rsid w:val="00FA1246"/>
    <w:rsid w:val="00FA1FD2"/>
    <w:rsid w:val="00FA4F26"/>
    <w:rsid w:val="00FA5655"/>
    <w:rsid w:val="00FA5B79"/>
    <w:rsid w:val="00FB10EE"/>
    <w:rsid w:val="00FB1354"/>
    <w:rsid w:val="00FB3952"/>
    <w:rsid w:val="00FB4691"/>
    <w:rsid w:val="00FB5059"/>
    <w:rsid w:val="00FB5270"/>
    <w:rsid w:val="00FB531D"/>
    <w:rsid w:val="00FB5531"/>
    <w:rsid w:val="00FB6960"/>
    <w:rsid w:val="00FB6ACB"/>
    <w:rsid w:val="00FC0084"/>
    <w:rsid w:val="00FC0675"/>
    <w:rsid w:val="00FC0DD6"/>
    <w:rsid w:val="00FC0DDF"/>
    <w:rsid w:val="00FC141F"/>
    <w:rsid w:val="00FC1A15"/>
    <w:rsid w:val="00FC2996"/>
    <w:rsid w:val="00FC2F3D"/>
    <w:rsid w:val="00FC343C"/>
    <w:rsid w:val="00FC4866"/>
    <w:rsid w:val="00FC6500"/>
    <w:rsid w:val="00FC6AB5"/>
    <w:rsid w:val="00FC71EE"/>
    <w:rsid w:val="00FC75D2"/>
    <w:rsid w:val="00FC7ED6"/>
    <w:rsid w:val="00FD01DB"/>
    <w:rsid w:val="00FD0894"/>
    <w:rsid w:val="00FD0BBA"/>
    <w:rsid w:val="00FD146E"/>
    <w:rsid w:val="00FD1603"/>
    <w:rsid w:val="00FD2002"/>
    <w:rsid w:val="00FD2291"/>
    <w:rsid w:val="00FD360D"/>
    <w:rsid w:val="00FD38A3"/>
    <w:rsid w:val="00FD574E"/>
    <w:rsid w:val="00FD6FF2"/>
    <w:rsid w:val="00FD783F"/>
    <w:rsid w:val="00FD7FF5"/>
    <w:rsid w:val="00FE02D0"/>
    <w:rsid w:val="00FE061D"/>
    <w:rsid w:val="00FE0887"/>
    <w:rsid w:val="00FE126F"/>
    <w:rsid w:val="00FE1393"/>
    <w:rsid w:val="00FE16E6"/>
    <w:rsid w:val="00FE1887"/>
    <w:rsid w:val="00FE1B51"/>
    <w:rsid w:val="00FE26E2"/>
    <w:rsid w:val="00FE2D83"/>
    <w:rsid w:val="00FE38D6"/>
    <w:rsid w:val="00FE3C82"/>
    <w:rsid w:val="00FE4009"/>
    <w:rsid w:val="00FE49A1"/>
    <w:rsid w:val="00FE4D81"/>
    <w:rsid w:val="00FE5DBF"/>
    <w:rsid w:val="00FE5F6B"/>
    <w:rsid w:val="00FE6DF4"/>
    <w:rsid w:val="00FF10E6"/>
    <w:rsid w:val="00FF163A"/>
    <w:rsid w:val="00FF1D9C"/>
    <w:rsid w:val="00FF31D3"/>
    <w:rsid w:val="00FF3598"/>
    <w:rsid w:val="00FF3DBE"/>
    <w:rsid w:val="00FF4D98"/>
    <w:rsid w:val="00FF5054"/>
    <w:rsid w:val="00FF512E"/>
    <w:rsid w:val="00FF53DE"/>
    <w:rsid w:val="00FF54BC"/>
    <w:rsid w:val="00FF5871"/>
    <w:rsid w:val="00FF6164"/>
    <w:rsid w:val="00FF6203"/>
    <w:rsid w:val="00FF7B22"/>
    <w:rsid w:val="00FF7B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line number" w:uiPriority="99"/>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Classic 1" w:uiPriority="99"/>
    <w:lsdException w:name="Table List 3"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2C5"/>
    <w:pPr>
      <w:bidi/>
    </w:pPr>
    <w:rPr>
      <w:sz w:val="24"/>
      <w:szCs w:val="24"/>
    </w:rPr>
  </w:style>
  <w:style w:type="paragraph" w:styleId="Heading1">
    <w:name w:val="heading 1"/>
    <w:basedOn w:val="Normal"/>
    <w:next w:val="Normal"/>
    <w:link w:val="Heading1Char"/>
    <w:uiPriority w:val="9"/>
    <w:qFormat/>
    <w:rsid w:val="004807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4E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B76A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9C02A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B2B8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4837A0"/>
    <w:pPr>
      <w:spacing w:before="240" w:after="60"/>
      <w:outlineLvl w:val="5"/>
    </w:pPr>
    <w:rPr>
      <w:rFonts w:ascii="Calibri" w:hAnsi="Calibri" w:cs="Arial"/>
      <w:b/>
      <w:bCs/>
      <w:sz w:val="22"/>
      <w:szCs w:val="22"/>
    </w:rPr>
  </w:style>
  <w:style w:type="paragraph" w:styleId="Heading7">
    <w:name w:val="heading 7"/>
    <w:basedOn w:val="Normal"/>
    <w:next w:val="Normal"/>
    <w:link w:val="Heading7Char"/>
    <w:qFormat/>
    <w:rsid w:val="004837A0"/>
    <w:pPr>
      <w:spacing w:before="240" w:after="60"/>
      <w:outlineLvl w:val="6"/>
    </w:pPr>
    <w:rPr>
      <w:rFonts w:ascii="Calibri" w:hAnsi="Calibri"/>
    </w:rPr>
  </w:style>
  <w:style w:type="paragraph" w:styleId="Heading8">
    <w:name w:val="heading 8"/>
    <w:basedOn w:val="Normal"/>
    <w:next w:val="Normal"/>
    <w:link w:val="Heading8Char"/>
    <w:unhideWhenUsed/>
    <w:qFormat/>
    <w:rsid w:val="0095517B"/>
    <w:pPr>
      <w:bidi w:val="0"/>
      <w:spacing w:line="276" w:lineRule="auto"/>
      <w:outlineLvl w:val="7"/>
    </w:pPr>
    <w:rPr>
      <w:rFonts w:ascii="Cambria" w:hAnsi="Cambria"/>
      <w:b/>
      <w:bCs/>
      <w:color w:val="7F7F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706"/>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9C02A8"/>
    <w:rPr>
      <w:rFonts w:asciiTheme="majorHAnsi" w:eastAsiaTheme="majorEastAsia" w:hAnsiTheme="majorHAnsi" w:cstheme="majorBidi"/>
      <w:b/>
      <w:bCs/>
      <w:i/>
      <w:iCs/>
      <w:color w:val="4F81BD" w:themeColor="accent1"/>
      <w:sz w:val="24"/>
      <w:szCs w:val="24"/>
    </w:rPr>
  </w:style>
  <w:style w:type="character" w:customStyle="1" w:styleId="Heading8Char">
    <w:name w:val="Heading 8 Char"/>
    <w:link w:val="Heading8"/>
    <w:rsid w:val="0095517B"/>
    <w:rPr>
      <w:rFonts w:ascii="Cambria" w:hAnsi="Cambria"/>
      <w:b/>
      <w:bCs/>
      <w:color w:val="7F7F7F"/>
    </w:rPr>
  </w:style>
  <w:style w:type="paragraph" w:styleId="Header">
    <w:name w:val="header"/>
    <w:aliases w:val="Char Char Char Char Char Char Char Char,Char Char Char Char Char Char Char,Header Char Char Char Char Char Char Char Char Char1 Char,Header Char Char Char Char Char Char Char Char Char"/>
    <w:basedOn w:val="Normal"/>
    <w:link w:val="HeaderChar"/>
    <w:uiPriority w:val="99"/>
    <w:rsid w:val="004F0BC6"/>
    <w:pPr>
      <w:tabs>
        <w:tab w:val="center" w:pos="4153"/>
        <w:tab w:val="right" w:pos="8306"/>
      </w:tabs>
    </w:pPr>
  </w:style>
  <w:style w:type="character" w:customStyle="1" w:styleId="HeaderChar">
    <w:name w:val="Header Char"/>
    <w:aliases w:val="Char Char Char Char Char Char Char Char Char,Char Char Char Char Char Char Char Char1,Header Char Char Char Char Char Char Char Char Char1 Char Char,Header Char Char Char Char Char Char Char Char Char Char1"/>
    <w:link w:val="Header"/>
    <w:uiPriority w:val="99"/>
    <w:rsid w:val="004F0BC6"/>
    <w:rPr>
      <w:sz w:val="24"/>
      <w:szCs w:val="24"/>
    </w:rPr>
  </w:style>
  <w:style w:type="paragraph" w:styleId="Footer">
    <w:name w:val="footer"/>
    <w:aliases w:val="Char Char Char Char Char,Char Char Char Char, Char"/>
    <w:basedOn w:val="Normal"/>
    <w:link w:val="FooterChar"/>
    <w:uiPriority w:val="99"/>
    <w:rsid w:val="004F0BC6"/>
    <w:pPr>
      <w:tabs>
        <w:tab w:val="center" w:pos="4153"/>
        <w:tab w:val="right" w:pos="8306"/>
      </w:tabs>
    </w:pPr>
  </w:style>
  <w:style w:type="character" w:customStyle="1" w:styleId="FooterChar">
    <w:name w:val="Footer Char"/>
    <w:aliases w:val="Char Char Char Char Char Char,Char Char Char Char Char1, Char Char"/>
    <w:link w:val="Footer"/>
    <w:uiPriority w:val="99"/>
    <w:rsid w:val="004F0BC6"/>
    <w:rPr>
      <w:sz w:val="24"/>
      <w:szCs w:val="24"/>
    </w:rPr>
  </w:style>
  <w:style w:type="character" w:styleId="PageNumber">
    <w:name w:val="page number"/>
    <w:uiPriority w:val="99"/>
    <w:rsid w:val="00873B20"/>
  </w:style>
  <w:style w:type="paragraph" w:styleId="BalloonText">
    <w:name w:val="Balloon Text"/>
    <w:basedOn w:val="Normal"/>
    <w:link w:val="BalloonTextChar"/>
    <w:uiPriority w:val="99"/>
    <w:rsid w:val="00C06BC5"/>
    <w:rPr>
      <w:rFonts w:ascii="Tahoma" w:hAnsi="Tahoma" w:cs="Tahoma"/>
      <w:sz w:val="16"/>
      <w:szCs w:val="16"/>
    </w:rPr>
  </w:style>
  <w:style w:type="character" w:customStyle="1" w:styleId="BalloonTextChar">
    <w:name w:val="Balloon Text Char"/>
    <w:link w:val="BalloonText"/>
    <w:uiPriority w:val="99"/>
    <w:rsid w:val="00C06BC5"/>
    <w:rPr>
      <w:rFonts w:ascii="Tahoma" w:hAnsi="Tahoma" w:cs="Tahoma"/>
      <w:sz w:val="16"/>
      <w:szCs w:val="16"/>
    </w:rPr>
  </w:style>
  <w:style w:type="paragraph" w:styleId="Caption">
    <w:name w:val="caption"/>
    <w:basedOn w:val="Normal"/>
    <w:next w:val="Normal"/>
    <w:uiPriority w:val="35"/>
    <w:unhideWhenUsed/>
    <w:qFormat/>
    <w:rsid w:val="00CA6401"/>
    <w:rPr>
      <w:b/>
      <w:bCs/>
      <w:sz w:val="20"/>
      <w:szCs w:val="20"/>
    </w:rPr>
  </w:style>
  <w:style w:type="table" w:styleId="LightGrid">
    <w:name w:val="Light Grid"/>
    <w:basedOn w:val="TableNormal"/>
    <w:uiPriority w:val="62"/>
    <w:rsid w:val="004A63B7"/>
    <w:rPr>
      <w:rFonts w:ascii="Calibri" w:hAnsi="Calibri" w:cs="Arial"/>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implified Arabic" w:eastAsia="Times New Roman" w:hAnsi="Simplified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plified Arabic" w:eastAsia="Times New Roman" w:hAnsi="Simplified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plified Arabic" w:eastAsia="Times New Roman" w:hAnsi="Simplified Arabic" w:cs="Times New Roman"/>
        <w:b/>
        <w:bCs/>
      </w:rPr>
    </w:tblStylePr>
    <w:tblStylePr w:type="lastCol">
      <w:rPr>
        <w:rFonts w:ascii="Simplified Arabic" w:eastAsia="Times New Roman" w:hAnsi="Simplified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Default">
    <w:name w:val="Default"/>
    <w:rsid w:val="004A63B7"/>
    <w:pPr>
      <w:autoSpaceDE w:val="0"/>
      <w:autoSpaceDN w:val="0"/>
      <w:adjustRightInd w:val="0"/>
    </w:pPr>
    <w:rPr>
      <w:rFonts w:ascii="Calibri" w:hAnsi="Calibri" w:cs="Calibri"/>
      <w:color w:val="000000"/>
      <w:sz w:val="24"/>
      <w:szCs w:val="24"/>
    </w:rPr>
  </w:style>
  <w:style w:type="character" w:styleId="Hyperlink">
    <w:name w:val="Hyperlink"/>
    <w:uiPriority w:val="99"/>
    <w:rsid w:val="00ED45F8"/>
    <w:rPr>
      <w:color w:val="1D4994"/>
      <w:u w:val="single"/>
    </w:rPr>
  </w:style>
  <w:style w:type="paragraph" w:styleId="ListParagraph">
    <w:name w:val="List Paragraph"/>
    <w:basedOn w:val="Normal"/>
    <w:link w:val="ListParagraphChar"/>
    <w:qFormat/>
    <w:rsid w:val="00ED45F8"/>
    <w:pPr>
      <w:bidi w:val="0"/>
      <w:spacing w:after="200" w:line="276" w:lineRule="auto"/>
      <w:ind w:left="720"/>
    </w:pPr>
    <w:rPr>
      <w:rFonts w:ascii="Calibri" w:eastAsia="SimSun" w:hAnsi="Calibri" w:cs="Arial"/>
      <w:sz w:val="22"/>
      <w:szCs w:val="22"/>
    </w:rPr>
  </w:style>
  <w:style w:type="table" w:styleId="TableGrid">
    <w:name w:val="Table Grid"/>
    <w:basedOn w:val="TableNormal"/>
    <w:uiPriority w:val="39"/>
    <w:rsid w:val="00ED45F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rsid w:val="00ED45F8"/>
    <w:pPr>
      <w:bidi w:val="0"/>
      <w:spacing w:line="276" w:lineRule="auto"/>
    </w:pPr>
    <w:rPr>
      <w:rFonts w:ascii="Calibri" w:hAnsi="Calibri" w:cs="Arial"/>
      <w:sz w:val="22"/>
      <w:szCs w:val="22"/>
    </w:rPr>
  </w:style>
  <w:style w:type="character" w:customStyle="1" w:styleId="figcredit1">
    <w:name w:val="figcredit1"/>
    <w:rsid w:val="000F6A4B"/>
    <w:rPr>
      <w:sz w:val="17"/>
      <w:szCs w:val="17"/>
    </w:rPr>
  </w:style>
  <w:style w:type="character" w:customStyle="1" w:styleId="apple-converted-space">
    <w:name w:val="apple-converted-space"/>
    <w:basedOn w:val="DefaultParagraphFont"/>
    <w:rsid w:val="00DD0C54"/>
  </w:style>
  <w:style w:type="paragraph" w:styleId="NormalWeb">
    <w:name w:val="Normal (Web)"/>
    <w:aliases w:val=" Char Char Char3"/>
    <w:basedOn w:val="Normal"/>
    <w:link w:val="NormalWebChar"/>
    <w:uiPriority w:val="99"/>
    <w:unhideWhenUsed/>
    <w:rsid w:val="00480706"/>
    <w:pPr>
      <w:bidi w:val="0"/>
      <w:spacing w:before="100" w:beforeAutospacing="1" w:after="100" w:afterAutospacing="1"/>
    </w:pPr>
  </w:style>
  <w:style w:type="character" w:styleId="Strong">
    <w:name w:val="Strong"/>
    <w:basedOn w:val="DefaultParagraphFont"/>
    <w:qFormat/>
    <w:rsid w:val="00480706"/>
    <w:rPr>
      <w:b/>
      <w:bCs/>
    </w:rPr>
  </w:style>
  <w:style w:type="character" w:styleId="Emphasis">
    <w:name w:val="Emphasis"/>
    <w:basedOn w:val="DefaultParagraphFont"/>
    <w:qFormat/>
    <w:rsid w:val="00480706"/>
    <w:rPr>
      <w:i/>
      <w:iCs/>
    </w:rPr>
  </w:style>
  <w:style w:type="character" w:customStyle="1" w:styleId="cit">
    <w:name w:val="cit"/>
    <w:basedOn w:val="DefaultParagraphFont"/>
    <w:rsid w:val="00480706"/>
  </w:style>
  <w:style w:type="character" w:customStyle="1" w:styleId="slug-vol">
    <w:name w:val="slug-vol"/>
    <w:basedOn w:val="DefaultParagraphFont"/>
    <w:rsid w:val="00650DF1"/>
  </w:style>
  <w:style w:type="character" w:customStyle="1" w:styleId="slug-issue">
    <w:name w:val="slug-issue"/>
    <w:basedOn w:val="DefaultParagraphFont"/>
    <w:rsid w:val="00650DF1"/>
  </w:style>
  <w:style w:type="character" w:customStyle="1" w:styleId="fm-vol-iss-date">
    <w:name w:val="fm-vol-iss-date"/>
    <w:basedOn w:val="DefaultParagraphFont"/>
    <w:rsid w:val="00650DF1"/>
  </w:style>
  <w:style w:type="character" w:customStyle="1" w:styleId="doi">
    <w:name w:val="doi"/>
    <w:basedOn w:val="DefaultParagraphFont"/>
    <w:rsid w:val="00650DF1"/>
  </w:style>
  <w:style w:type="character" w:customStyle="1" w:styleId="abscitationtitle">
    <w:name w:val="abs_citation_title"/>
    <w:basedOn w:val="DefaultParagraphFont"/>
    <w:rsid w:val="00650DF1"/>
  </w:style>
  <w:style w:type="character" w:customStyle="1" w:styleId="absnonlinkmetadata7">
    <w:name w:val="abs_nonlink_metadata7"/>
    <w:basedOn w:val="DefaultParagraphFont"/>
    <w:rsid w:val="00650DF1"/>
  </w:style>
  <w:style w:type="character" w:customStyle="1" w:styleId="absmetadatalabel">
    <w:name w:val="abs_metadata_label"/>
    <w:basedOn w:val="DefaultParagraphFont"/>
    <w:rsid w:val="00650DF1"/>
  </w:style>
  <w:style w:type="character" w:customStyle="1" w:styleId="source">
    <w:name w:val="source"/>
    <w:basedOn w:val="DefaultParagraphFont"/>
    <w:rsid w:val="00650DF1"/>
  </w:style>
  <w:style w:type="character" w:customStyle="1" w:styleId="absnonlinkmetadata">
    <w:name w:val="abs_nonlink_metadata"/>
    <w:basedOn w:val="DefaultParagraphFont"/>
    <w:rsid w:val="00650DF1"/>
  </w:style>
  <w:style w:type="paragraph" w:styleId="ListBullet">
    <w:name w:val="List Bullet"/>
    <w:basedOn w:val="Normal"/>
    <w:rsid w:val="007B5001"/>
    <w:pPr>
      <w:numPr>
        <w:numId w:val="1"/>
      </w:numPr>
      <w:contextualSpacing/>
    </w:pPr>
  </w:style>
  <w:style w:type="paragraph" w:customStyle="1" w:styleId="Pa59">
    <w:name w:val="Pa59"/>
    <w:basedOn w:val="Normal"/>
    <w:next w:val="Normal"/>
    <w:uiPriority w:val="99"/>
    <w:rsid w:val="006704E7"/>
    <w:pPr>
      <w:autoSpaceDE w:val="0"/>
      <w:autoSpaceDN w:val="0"/>
      <w:bidi w:val="0"/>
      <w:adjustRightInd w:val="0"/>
      <w:spacing w:line="180" w:lineRule="atLeast"/>
    </w:pPr>
    <w:rPr>
      <w:rFonts w:ascii="Times LT Std" w:eastAsiaTheme="minorHAnsi" w:hAnsi="Times LT Std" w:cstheme="minorBidi"/>
    </w:rPr>
  </w:style>
  <w:style w:type="character" w:customStyle="1" w:styleId="highwire-citation-author">
    <w:name w:val="highwire-citation-author"/>
    <w:basedOn w:val="DefaultParagraphFont"/>
    <w:rsid w:val="000C36EA"/>
  </w:style>
  <w:style w:type="character" w:customStyle="1" w:styleId="nlm-given-names">
    <w:name w:val="nlm-given-names"/>
    <w:basedOn w:val="DefaultParagraphFont"/>
    <w:rsid w:val="000C36EA"/>
  </w:style>
  <w:style w:type="character" w:customStyle="1" w:styleId="nlm-surname">
    <w:name w:val="nlm-surname"/>
    <w:basedOn w:val="DefaultParagraphFont"/>
    <w:rsid w:val="000C36EA"/>
  </w:style>
  <w:style w:type="character" w:customStyle="1" w:styleId="Heading2Char">
    <w:name w:val="Heading 2 Char"/>
    <w:basedOn w:val="DefaultParagraphFont"/>
    <w:link w:val="Heading2"/>
    <w:uiPriority w:val="9"/>
    <w:rsid w:val="00F14E0B"/>
    <w:rPr>
      <w:rFonts w:asciiTheme="majorHAnsi" w:eastAsiaTheme="majorEastAsia" w:hAnsiTheme="majorHAnsi" w:cstheme="majorBidi"/>
      <w:color w:val="365F91" w:themeColor="accent1" w:themeShade="BF"/>
      <w:sz w:val="26"/>
      <w:szCs w:val="26"/>
    </w:rPr>
  </w:style>
  <w:style w:type="paragraph" w:styleId="NoSpacing">
    <w:name w:val="No Spacing"/>
    <w:link w:val="NoSpacingChar"/>
    <w:qFormat/>
    <w:rsid w:val="00BE2850"/>
    <w:pPr>
      <w:bidi/>
    </w:pPr>
    <w:rPr>
      <w:rFonts w:asciiTheme="minorHAnsi" w:eastAsiaTheme="minorHAnsi" w:hAnsiTheme="minorHAnsi" w:cstheme="minorBidi"/>
      <w:sz w:val="22"/>
      <w:szCs w:val="22"/>
    </w:rPr>
  </w:style>
  <w:style w:type="paragraph" w:styleId="Title">
    <w:name w:val="Title"/>
    <w:basedOn w:val="Normal"/>
    <w:next w:val="Normal"/>
    <w:link w:val="TitleChar"/>
    <w:qFormat/>
    <w:rsid w:val="00B70B5D"/>
    <w:pPr>
      <w:spacing w:before="240" w:after="60" w:line="276" w:lineRule="auto"/>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B70B5D"/>
    <w:rPr>
      <w:rFonts w:asciiTheme="majorHAnsi" w:eastAsiaTheme="majorEastAsia" w:hAnsiTheme="majorHAnsi" w:cstheme="majorBidi"/>
      <w:b/>
      <w:bCs/>
      <w:kern w:val="28"/>
      <w:sz w:val="32"/>
      <w:szCs w:val="32"/>
    </w:rPr>
  </w:style>
  <w:style w:type="character" w:customStyle="1" w:styleId="Heading3Char">
    <w:name w:val="Heading 3 Char"/>
    <w:basedOn w:val="DefaultParagraphFont"/>
    <w:link w:val="Heading3"/>
    <w:uiPriority w:val="9"/>
    <w:rsid w:val="00DB76AA"/>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nhideWhenUsed/>
    <w:rsid w:val="00D8195C"/>
    <w:rPr>
      <w:sz w:val="16"/>
      <w:szCs w:val="16"/>
    </w:rPr>
  </w:style>
  <w:style w:type="paragraph" w:styleId="CommentText">
    <w:name w:val="annotation text"/>
    <w:basedOn w:val="Normal"/>
    <w:link w:val="CommentTextChar"/>
    <w:unhideWhenUsed/>
    <w:rsid w:val="00D8195C"/>
    <w:rPr>
      <w:sz w:val="20"/>
      <w:szCs w:val="20"/>
    </w:rPr>
  </w:style>
  <w:style w:type="character" w:customStyle="1" w:styleId="CommentTextChar">
    <w:name w:val="Comment Text Char"/>
    <w:basedOn w:val="DefaultParagraphFont"/>
    <w:link w:val="CommentText"/>
    <w:rsid w:val="00D8195C"/>
  </w:style>
  <w:style w:type="paragraph" w:styleId="CommentSubject">
    <w:name w:val="annotation subject"/>
    <w:basedOn w:val="CommentText"/>
    <w:next w:val="CommentText"/>
    <w:link w:val="CommentSubjectChar"/>
    <w:unhideWhenUsed/>
    <w:rsid w:val="00D8195C"/>
    <w:rPr>
      <w:b/>
      <w:bCs/>
    </w:rPr>
  </w:style>
  <w:style w:type="character" w:customStyle="1" w:styleId="CommentSubjectChar">
    <w:name w:val="Comment Subject Char"/>
    <w:basedOn w:val="CommentTextChar"/>
    <w:link w:val="CommentSubject"/>
    <w:rsid w:val="00D8195C"/>
    <w:rPr>
      <w:b/>
      <w:bCs/>
    </w:rPr>
  </w:style>
  <w:style w:type="character" w:styleId="PlaceholderText">
    <w:name w:val="Placeholder Text"/>
    <w:basedOn w:val="DefaultParagraphFont"/>
    <w:uiPriority w:val="99"/>
    <w:semiHidden/>
    <w:rsid w:val="00DD7732"/>
    <w:rPr>
      <w:color w:val="808080"/>
    </w:rPr>
  </w:style>
  <w:style w:type="character" w:customStyle="1" w:styleId="Heading5Char">
    <w:name w:val="Heading 5 Char"/>
    <w:basedOn w:val="DefaultParagraphFont"/>
    <w:link w:val="Heading5"/>
    <w:rsid w:val="005B2B8C"/>
    <w:rPr>
      <w:rFonts w:asciiTheme="majorHAnsi" w:eastAsiaTheme="majorEastAsia" w:hAnsiTheme="majorHAnsi" w:cstheme="majorBidi"/>
      <w:color w:val="365F91" w:themeColor="accent1" w:themeShade="BF"/>
      <w:sz w:val="24"/>
      <w:szCs w:val="24"/>
    </w:rPr>
  </w:style>
  <w:style w:type="paragraph" w:customStyle="1" w:styleId="a">
    <w:name w:val="سرد الفقرات"/>
    <w:basedOn w:val="Normal"/>
    <w:rsid w:val="005B2B8C"/>
    <w:pPr>
      <w:spacing w:after="200" w:line="276" w:lineRule="auto"/>
    </w:pPr>
    <w:rPr>
      <w:rFonts w:asciiTheme="minorHAnsi" w:eastAsiaTheme="minorHAnsi" w:hAnsiTheme="minorHAnsi" w:cstheme="minorBidi"/>
      <w:sz w:val="22"/>
      <w:szCs w:val="22"/>
    </w:rPr>
  </w:style>
  <w:style w:type="character" w:styleId="IntenseEmphasis">
    <w:name w:val="Intense Emphasis"/>
    <w:basedOn w:val="DefaultParagraphFont"/>
    <w:uiPriority w:val="21"/>
    <w:qFormat/>
    <w:rsid w:val="005B2B8C"/>
    <w:rPr>
      <w:b/>
      <w:bCs/>
      <w:i/>
      <w:iCs/>
      <w:color w:val="4F81BD" w:themeColor="accent1"/>
    </w:rPr>
  </w:style>
  <w:style w:type="paragraph" w:styleId="Quote">
    <w:name w:val="Quote"/>
    <w:basedOn w:val="Normal"/>
    <w:next w:val="Normal"/>
    <w:link w:val="QuoteChar"/>
    <w:uiPriority w:val="29"/>
    <w:qFormat/>
    <w:rsid w:val="005B2B8C"/>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rsid w:val="005B2B8C"/>
    <w:rPr>
      <w:rFonts w:asciiTheme="minorHAnsi" w:eastAsiaTheme="minorHAnsi" w:hAnsiTheme="minorHAnsi" w:cstheme="minorBidi"/>
      <w:i/>
      <w:iCs/>
      <w:color w:val="000000" w:themeColor="text1"/>
      <w:sz w:val="22"/>
      <w:szCs w:val="22"/>
    </w:rPr>
  </w:style>
  <w:style w:type="paragraph" w:styleId="HTMLPreformatted">
    <w:name w:val="HTML Preformatted"/>
    <w:basedOn w:val="Normal"/>
    <w:link w:val="HTMLPreformattedChar"/>
    <w:uiPriority w:val="99"/>
    <w:unhideWhenUsed/>
    <w:rsid w:val="001846C6"/>
    <w:pPr>
      <w:bidi w:val="0"/>
      <w:jc w:val="both"/>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1846C6"/>
    <w:rPr>
      <w:rFonts w:ascii="Consolas" w:eastAsiaTheme="minorHAnsi" w:hAnsi="Consolas" w:cs="Consolas"/>
    </w:rPr>
  </w:style>
  <w:style w:type="character" w:customStyle="1" w:styleId="bibref">
    <w:name w:val="bibref"/>
    <w:basedOn w:val="DefaultParagraphFont"/>
    <w:rsid w:val="00A46503"/>
  </w:style>
  <w:style w:type="paragraph" w:customStyle="1" w:styleId="Pa11">
    <w:name w:val="Pa11"/>
    <w:basedOn w:val="Default"/>
    <w:next w:val="Default"/>
    <w:rsid w:val="00A46503"/>
    <w:pPr>
      <w:spacing w:line="181" w:lineRule="atLeast"/>
    </w:pPr>
    <w:rPr>
      <w:rFonts w:ascii="Helvetica" w:eastAsiaTheme="minorHAnsi" w:hAnsi="Helvetica" w:cstheme="minorBidi"/>
      <w:color w:val="auto"/>
    </w:rPr>
  </w:style>
  <w:style w:type="paragraph" w:customStyle="1" w:styleId="Pa8">
    <w:name w:val="Pa8"/>
    <w:basedOn w:val="Default"/>
    <w:next w:val="Default"/>
    <w:uiPriority w:val="99"/>
    <w:rsid w:val="00A46503"/>
    <w:pPr>
      <w:spacing w:line="181" w:lineRule="atLeast"/>
    </w:pPr>
    <w:rPr>
      <w:rFonts w:ascii="Helvetica" w:eastAsiaTheme="minorHAnsi" w:hAnsi="Helvetica" w:cstheme="minorBidi"/>
      <w:color w:val="auto"/>
    </w:rPr>
  </w:style>
  <w:style w:type="character" w:customStyle="1" w:styleId="A8">
    <w:name w:val="A8"/>
    <w:uiPriority w:val="99"/>
    <w:rsid w:val="00A46503"/>
    <w:rPr>
      <w:rFonts w:cs="Helvetica"/>
      <w:color w:val="000000"/>
      <w:sz w:val="10"/>
      <w:szCs w:val="10"/>
    </w:rPr>
  </w:style>
  <w:style w:type="character" w:customStyle="1" w:styleId="A9">
    <w:name w:val="A9"/>
    <w:uiPriority w:val="99"/>
    <w:rsid w:val="00A46503"/>
    <w:rPr>
      <w:rFonts w:cs="Helvetica"/>
      <w:color w:val="000000"/>
      <w:sz w:val="10"/>
      <w:szCs w:val="10"/>
    </w:rPr>
  </w:style>
  <w:style w:type="numbering" w:customStyle="1" w:styleId="NoList1">
    <w:name w:val="No List1"/>
    <w:next w:val="NoList"/>
    <w:uiPriority w:val="99"/>
    <w:semiHidden/>
    <w:unhideWhenUsed/>
    <w:rsid w:val="00A46503"/>
  </w:style>
  <w:style w:type="character" w:customStyle="1" w:styleId="NoSpacingChar">
    <w:name w:val="No Spacing Char"/>
    <w:basedOn w:val="DefaultParagraphFont"/>
    <w:link w:val="NoSpacing"/>
    <w:rsid w:val="00A46503"/>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A4650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1"/>
    <w:rsid w:val="00A46503"/>
    <w:rPr>
      <w:sz w:val="29"/>
      <w:szCs w:val="29"/>
      <w:shd w:val="clear" w:color="auto" w:fill="FFFFFF"/>
    </w:rPr>
  </w:style>
  <w:style w:type="paragraph" w:customStyle="1" w:styleId="Bodytext1">
    <w:name w:val="Body text1"/>
    <w:basedOn w:val="Normal"/>
    <w:link w:val="Bodytext"/>
    <w:rsid w:val="00A46503"/>
    <w:pPr>
      <w:widowControl w:val="0"/>
      <w:shd w:val="clear" w:color="auto" w:fill="FFFFFF"/>
      <w:bidi w:val="0"/>
      <w:spacing w:before="780" w:after="300" w:line="356" w:lineRule="exact"/>
      <w:ind w:hanging="460"/>
      <w:jc w:val="both"/>
    </w:pPr>
    <w:rPr>
      <w:sz w:val="29"/>
      <w:szCs w:val="29"/>
    </w:rPr>
  </w:style>
  <w:style w:type="character" w:customStyle="1" w:styleId="label">
    <w:name w:val="label"/>
    <w:basedOn w:val="DefaultParagraphFont"/>
    <w:rsid w:val="00A46503"/>
  </w:style>
  <w:style w:type="character" w:customStyle="1" w:styleId="citation">
    <w:name w:val="citation"/>
    <w:basedOn w:val="DefaultParagraphFont"/>
    <w:rsid w:val="00A46503"/>
  </w:style>
  <w:style w:type="table" w:customStyle="1" w:styleId="TableGrid2">
    <w:name w:val="Table Grid2"/>
    <w:basedOn w:val="TableNormal"/>
    <w:next w:val="TableGrid"/>
    <w:uiPriority w:val="59"/>
    <w:rsid w:val="00A46503"/>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
    <w:name w:val="p"/>
    <w:basedOn w:val="Normal"/>
    <w:rsid w:val="00A46503"/>
    <w:pPr>
      <w:bidi w:val="0"/>
      <w:spacing w:before="100" w:beforeAutospacing="1" w:after="100" w:afterAutospacing="1"/>
    </w:pPr>
  </w:style>
  <w:style w:type="character" w:styleId="FollowedHyperlink">
    <w:name w:val="FollowedHyperlink"/>
    <w:basedOn w:val="DefaultParagraphFont"/>
    <w:uiPriority w:val="99"/>
    <w:unhideWhenUsed/>
    <w:rsid w:val="00A46503"/>
    <w:rPr>
      <w:color w:val="800080"/>
      <w:u w:val="single"/>
    </w:rPr>
  </w:style>
  <w:style w:type="paragraph" w:styleId="PlainText">
    <w:name w:val="Plain Text"/>
    <w:link w:val="PlainTextChar"/>
    <w:rsid w:val="0023612B"/>
    <w:pPr>
      <w:pBdr>
        <w:top w:val="nil"/>
        <w:left w:val="nil"/>
        <w:bottom w:val="nil"/>
        <w:right w:val="nil"/>
        <w:between w:val="nil"/>
        <w:bar w:val="nil"/>
      </w:pBdr>
    </w:pPr>
    <w:rPr>
      <w:rFonts w:ascii="Consolas" w:eastAsia="Consolas" w:hAnsi="Consolas" w:cs="Consolas"/>
      <w:color w:val="000000"/>
      <w:sz w:val="21"/>
      <w:szCs w:val="21"/>
      <w:u w:color="000000"/>
      <w:bdr w:val="nil"/>
    </w:rPr>
  </w:style>
  <w:style w:type="character" w:customStyle="1" w:styleId="PlainTextChar">
    <w:name w:val="Plain Text Char"/>
    <w:basedOn w:val="DefaultParagraphFont"/>
    <w:link w:val="PlainText"/>
    <w:rsid w:val="0023612B"/>
    <w:rPr>
      <w:rFonts w:ascii="Consolas" w:eastAsia="Consolas" w:hAnsi="Consolas" w:cs="Consolas"/>
      <w:color w:val="000000"/>
      <w:sz w:val="21"/>
      <w:szCs w:val="21"/>
      <w:u w:color="000000"/>
      <w:bdr w:val="nil"/>
    </w:rPr>
  </w:style>
  <w:style w:type="character" w:customStyle="1" w:styleId="Heading6Char">
    <w:name w:val="Heading 6 Char"/>
    <w:basedOn w:val="DefaultParagraphFont"/>
    <w:link w:val="Heading6"/>
    <w:rsid w:val="004837A0"/>
    <w:rPr>
      <w:rFonts w:ascii="Calibri" w:hAnsi="Calibri" w:cs="Arial"/>
      <w:b/>
      <w:bCs/>
      <w:sz w:val="22"/>
      <w:szCs w:val="22"/>
    </w:rPr>
  </w:style>
  <w:style w:type="character" w:customStyle="1" w:styleId="Heading7Char">
    <w:name w:val="Heading 7 Char"/>
    <w:basedOn w:val="DefaultParagraphFont"/>
    <w:link w:val="Heading7"/>
    <w:rsid w:val="004837A0"/>
    <w:rPr>
      <w:rFonts w:ascii="Calibri" w:hAnsi="Calibri"/>
      <w:sz w:val="24"/>
      <w:szCs w:val="24"/>
    </w:rPr>
  </w:style>
  <w:style w:type="character" w:customStyle="1" w:styleId="HeaderChar1">
    <w:name w:val="Header Char1"/>
    <w:aliases w:val="Char Char Char Char Char Char Char Char Char1,Char Char Char Char Char Char Char Char2,Header Char Char Char Char Char Char Char Char Char Char,Header Char Char Char Char Char Char Char Char Char Char Char Char Char Char"/>
    <w:uiPriority w:val="99"/>
    <w:rsid w:val="004837A0"/>
    <w:rPr>
      <w:sz w:val="24"/>
      <w:szCs w:val="24"/>
      <w:lang w:val="en-US" w:eastAsia="en-US" w:bidi="ar-SA"/>
    </w:rPr>
  </w:style>
  <w:style w:type="character" w:customStyle="1" w:styleId="FooterChar1">
    <w:name w:val="Footer Char1"/>
    <w:aliases w:val="Char Char Char Char Char Char1,Char Char Char Char Char2"/>
    <w:rsid w:val="004837A0"/>
    <w:rPr>
      <w:sz w:val="24"/>
      <w:szCs w:val="24"/>
      <w:lang w:val="en-US" w:eastAsia="en-US" w:bidi="ar-SA"/>
    </w:rPr>
  </w:style>
  <w:style w:type="paragraph" w:customStyle="1" w:styleId="ListParagraph2">
    <w:name w:val="List Paragraph2"/>
    <w:basedOn w:val="Normal"/>
    <w:qFormat/>
    <w:rsid w:val="004837A0"/>
    <w:pPr>
      <w:suppressAutoHyphens/>
      <w:ind w:left="720"/>
    </w:pPr>
    <w:rPr>
      <w:lang w:eastAsia="ar-SA"/>
    </w:rPr>
  </w:style>
  <w:style w:type="character" w:customStyle="1" w:styleId="BalloonTextChar1">
    <w:name w:val="Balloon Text Char1"/>
    <w:rsid w:val="004837A0"/>
    <w:rPr>
      <w:rFonts w:ascii="Tahoma" w:hAnsi="Tahoma" w:cs="Tahoma"/>
      <w:sz w:val="16"/>
      <w:szCs w:val="16"/>
      <w:lang w:val="en-US" w:eastAsia="ar-SA" w:bidi="ar-SA"/>
    </w:rPr>
  </w:style>
  <w:style w:type="paragraph" w:customStyle="1" w:styleId="Pa10">
    <w:name w:val="Pa10"/>
    <w:basedOn w:val="Normal"/>
    <w:next w:val="Normal"/>
    <w:rsid w:val="004837A0"/>
    <w:pPr>
      <w:autoSpaceDE w:val="0"/>
      <w:autoSpaceDN w:val="0"/>
      <w:bidi w:val="0"/>
      <w:adjustRightInd w:val="0"/>
      <w:spacing w:line="141" w:lineRule="atLeast"/>
    </w:pPr>
    <w:rPr>
      <w:rFonts w:ascii="Tahoma" w:eastAsia="Calibri" w:hAnsi="Tahoma" w:cs="Tahoma"/>
    </w:rPr>
  </w:style>
  <w:style w:type="paragraph" w:customStyle="1" w:styleId="NoSpacing3">
    <w:name w:val="No Spacing3"/>
    <w:rsid w:val="004837A0"/>
    <w:rPr>
      <w:rFonts w:ascii="Arabic Transparent" w:eastAsia="Calibri" w:hAnsi="Arabic Transparent" w:cs="Arial"/>
      <w:sz w:val="22"/>
      <w:szCs w:val="22"/>
    </w:rPr>
  </w:style>
  <w:style w:type="character" w:customStyle="1" w:styleId="reference-text">
    <w:name w:val="reference-text"/>
    <w:rsid w:val="004837A0"/>
    <w:rPr>
      <w:rFonts w:cs="Times New Roman"/>
    </w:rPr>
  </w:style>
  <w:style w:type="character" w:customStyle="1" w:styleId="emphasistypeitalic">
    <w:name w:val="emphasistypeitalic"/>
    <w:rsid w:val="004837A0"/>
    <w:rPr>
      <w:rFonts w:cs="Times New Roman"/>
    </w:rPr>
  </w:style>
  <w:style w:type="paragraph" w:styleId="FootnoteText">
    <w:name w:val="footnote text"/>
    <w:basedOn w:val="Normal"/>
    <w:link w:val="FootnoteTextChar"/>
    <w:uiPriority w:val="99"/>
    <w:semiHidden/>
    <w:rsid w:val="004837A0"/>
    <w:pPr>
      <w:bidi w:val="0"/>
    </w:pPr>
    <w:rPr>
      <w:rFonts w:eastAsia="Calibri"/>
      <w:sz w:val="20"/>
      <w:szCs w:val="20"/>
    </w:rPr>
  </w:style>
  <w:style w:type="character" w:customStyle="1" w:styleId="FootnoteTextChar">
    <w:name w:val="Footnote Text Char"/>
    <w:basedOn w:val="DefaultParagraphFont"/>
    <w:link w:val="FootnoteText"/>
    <w:uiPriority w:val="99"/>
    <w:semiHidden/>
    <w:rsid w:val="004837A0"/>
    <w:rPr>
      <w:rFonts w:eastAsia="Calibri"/>
    </w:rPr>
  </w:style>
  <w:style w:type="character" w:styleId="FootnoteReference">
    <w:name w:val="footnote reference"/>
    <w:uiPriority w:val="99"/>
    <w:semiHidden/>
    <w:rsid w:val="004837A0"/>
    <w:rPr>
      <w:rFonts w:cs="Times New Roman"/>
      <w:vertAlign w:val="superscript"/>
    </w:rPr>
  </w:style>
  <w:style w:type="paragraph" w:customStyle="1" w:styleId="Pa1">
    <w:name w:val="Pa1"/>
    <w:basedOn w:val="Default"/>
    <w:next w:val="Default"/>
    <w:rsid w:val="004837A0"/>
    <w:pPr>
      <w:spacing w:line="241" w:lineRule="atLeast"/>
    </w:pPr>
    <w:rPr>
      <w:rFonts w:ascii="DINPro-Light" w:hAnsi="DINPro-Light" w:cs="Arial"/>
      <w:color w:val="auto"/>
    </w:rPr>
  </w:style>
  <w:style w:type="character" w:customStyle="1" w:styleId="A1">
    <w:name w:val="A1"/>
    <w:rsid w:val="004837A0"/>
    <w:rPr>
      <w:color w:val="000000"/>
      <w:sz w:val="16"/>
    </w:rPr>
  </w:style>
  <w:style w:type="paragraph" w:customStyle="1" w:styleId="Pa0">
    <w:name w:val="Pa0"/>
    <w:basedOn w:val="Default"/>
    <w:next w:val="Default"/>
    <w:rsid w:val="004837A0"/>
    <w:pPr>
      <w:spacing w:line="241" w:lineRule="atLeast"/>
    </w:pPr>
    <w:rPr>
      <w:rFonts w:ascii="DINPro-Light" w:hAnsi="DINPro-Light" w:cs="Arial"/>
      <w:color w:val="auto"/>
    </w:rPr>
  </w:style>
  <w:style w:type="character" w:customStyle="1" w:styleId="A2">
    <w:name w:val="A2"/>
    <w:rsid w:val="004837A0"/>
    <w:rPr>
      <w:rFonts w:ascii="NexusSerif-Regular" w:hAnsi="NexusSerif-Regular"/>
      <w:color w:val="000000"/>
      <w:sz w:val="18"/>
    </w:rPr>
  </w:style>
  <w:style w:type="character" w:customStyle="1" w:styleId="A3">
    <w:name w:val="A3"/>
    <w:rsid w:val="004837A0"/>
    <w:rPr>
      <w:rFonts w:ascii="NexusSerif-Regular" w:hAnsi="NexusSerif-Regular"/>
      <w:color w:val="000000"/>
      <w:sz w:val="12"/>
    </w:rPr>
  </w:style>
  <w:style w:type="paragraph" w:customStyle="1" w:styleId="Pa2">
    <w:name w:val="Pa2"/>
    <w:basedOn w:val="Default"/>
    <w:next w:val="Default"/>
    <w:uiPriority w:val="99"/>
    <w:rsid w:val="004837A0"/>
    <w:pPr>
      <w:spacing w:line="241" w:lineRule="atLeast"/>
    </w:pPr>
    <w:rPr>
      <w:rFonts w:ascii="DINPro-Light" w:hAnsi="DINPro-Light" w:cs="Arial"/>
      <w:color w:val="auto"/>
    </w:rPr>
  </w:style>
  <w:style w:type="paragraph" w:customStyle="1" w:styleId="Pa13">
    <w:name w:val="Pa13"/>
    <w:basedOn w:val="Default"/>
    <w:next w:val="Default"/>
    <w:rsid w:val="004837A0"/>
    <w:pPr>
      <w:spacing w:line="181" w:lineRule="atLeast"/>
    </w:pPr>
    <w:rPr>
      <w:rFonts w:ascii="Times New Roman" w:hAnsi="Times New Roman" w:cs="Times New Roman"/>
      <w:color w:val="auto"/>
    </w:rPr>
  </w:style>
  <w:style w:type="character" w:customStyle="1" w:styleId="A5">
    <w:name w:val="A5"/>
    <w:rsid w:val="004837A0"/>
    <w:rPr>
      <w:color w:val="000000"/>
      <w:sz w:val="16"/>
    </w:rPr>
  </w:style>
  <w:style w:type="paragraph" w:customStyle="1" w:styleId="Pa3">
    <w:name w:val="Pa3"/>
    <w:basedOn w:val="Default"/>
    <w:next w:val="Default"/>
    <w:rsid w:val="004837A0"/>
    <w:pPr>
      <w:spacing w:line="241" w:lineRule="atLeast"/>
    </w:pPr>
    <w:rPr>
      <w:rFonts w:ascii="Times New Roman" w:hAnsi="Times New Roman" w:cs="Times New Roman"/>
      <w:color w:val="auto"/>
    </w:rPr>
  </w:style>
  <w:style w:type="paragraph" w:customStyle="1" w:styleId="authlist">
    <w:name w:val="auth_list"/>
    <w:basedOn w:val="Normal"/>
    <w:rsid w:val="004837A0"/>
    <w:pPr>
      <w:bidi w:val="0"/>
      <w:spacing w:before="100" w:beforeAutospacing="1" w:after="100" w:afterAutospacing="1"/>
    </w:pPr>
  </w:style>
  <w:style w:type="character" w:customStyle="1" w:styleId="drf">
    <w:name w:val="drf"/>
    <w:rsid w:val="004837A0"/>
    <w:rPr>
      <w:rFonts w:cs="Times New Roman"/>
    </w:rPr>
  </w:style>
  <w:style w:type="paragraph" w:customStyle="1" w:styleId="Pa26">
    <w:name w:val="Pa26"/>
    <w:basedOn w:val="Normal"/>
    <w:next w:val="Normal"/>
    <w:rsid w:val="004837A0"/>
    <w:pPr>
      <w:autoSpaceDE w:val="0"/>
      <w:autoSpaceDN w:val="0"/>
      <w:bidi w:val="0"/>
      <w:adjustRightInd w:val="0"/>
      <w:spacing w:line="241" w:lineRule="atLeast"/>
    </w:pPr>
    <w:rPr>
      <w:rFonts w:ascii="Futura Std Book" w:hAnsi="Futura Std Book" w:cs="Arial"/>
    </w:rPr>
  </w:style>
  <w:style w:type="paragraph" w:customStyle="1" w:styleId="Pa28">
    <w:name w:val="Pa28"/>
    <w:basedOn w:val="Normal"/>
    <w:next w:val="Normal"/>
    <w:rsid w:val="004837A0"/>
    <w:pPr>
      <w:autoSpaceDE w:val="0"/>
      <w:autoSpaceDN w:val="0"/>
      <w:bidi w:val="0"/>
      <w:adjustRightInd w:val="0"/>
      <w:spacing w:line="241" w:lineRule="atLeast"/>
    </w:pPr>
    <w:rPr>
      <w:rFonts w:ascii="Futura Std Book" w:hAnsi="Futura Std Book" w:cs="Arial"/>
    </w:rPr>
  </w:style>
  <w:style w:type="paragraph" w:customStyle="1" w:styleId="Pa30">
    <w:name w:val="Pa30"/>
    <w:basedOn w:val="Normal"/>
    <w:next w:val="Normal"/>
    <w:rsid w:val="004837A0"/>
    <w:pPr>
      <w:autoSpaceDE w:val="0"/>
      <w:autoSpaceDN w:val="0"/>
      <w:bidi w:val="0"/>
      <w:adjustRightInd w:val="0"/>
      <w:spacing w:line="241" w:lineRule="atLeast"/>
    </w:pPr>
    <w:rPr>
      <w:rFonts w:ascii="Futura Std Book" w:hAnsi="Futura Std Book" w:cs="Arial"/>
    </w:rPr>
  </w:style>
  <w:style w:type="character" w:customStyle="1" w:styleId="A6">
    <w:name w:val="A6"/>
    <w:uiPriority w:val="99"/>
    <w:rsid w:val="004837A0"/>
    <w:rPr>
      <w:rFonts w:ascii="ITC Garamond Std Book" w:hAnsi="ITC Garamond Std Book"/>
      <w:color w:val="000000"/>
    </w:rPr>
  </w:style>
  <w:style w:type="paragraph" w:customStyle="1" w:styleId="Pa32">
    <w:name w:val="Pa32"/>
    <w:basedOn w:val="Normal"/>
    <w:next w:val="Normal"/>
    <w:rsid w:val="004837A0"/>
    <w:pPr>
      <w:autoSpaceDE w:val="0"/>
      <w:autoSpaceDN w:val="0"/>
      <w:bidi w:val="0"/>
      <w:adjustRightInd w:val="0"/>
      <w:spacing w:line="241" w:lineRule="atLeast"/>
    </w:pPr>
    <w:rPr>
      <w:rFonts w:ascii="ITC Garamond Std Book" w:hAnsi="ITC Garamond Std Book" w:cs="Arial"/>
    </w:rPr>
  </w:style>
  <w:style w:type="paragraph" w:customStyle="1" w:styleId="Pa33">
    <w:name w:val="Pa33"/>
    <w:basedOn w:val="Normal"/>
    <w:next w:val="Normal"/>
    <w:rsid w:val="004837A0"/>
    <w:pPr>
      <w:autoSpaceDE w:val="0"/>
      <w:autoSpaceDN w:val="0"/>
      <w:bidi w:val="0"/>
      <w:adjustRightInd w:val="0"/>
      <w:spacing w:line="241" w:lineRule="atLeast"/>
    </w:pPr>
    <w:rPr>
      <w:rFonts w:ascii="ITC Garamond Std Book" w:hAnsi="ITC Garamond Std Book" w:cs="Arial"/>
    </w:rPr>
  </w:style>
  <w:style w:type="character" w:customStyle="1" w:styleId="color">
    <w:name w:val="color"/>
    <w:rsid w:val="004837A0"/>
    <w:rPr>
      <w:rFonts w:cs="Times New Roman"/>
    </w:rPr>
  </w:style>
  <w:style w:type="character" w:customStyle="1" w:styleId="mb">
    <w:name w:val="mb"/>
    <w:rsid w:val="004837A0"/>
    <w:rPr>
      <w:rFonts w:cs="Times New Roman"/>
    </w:rPr>
  </w:style>
  <w:style w:type="character" w:customStyle="1" w:styleId="caption1">
    <w:name w:val="caption1"/>
    <w:rsid w:val="004837A0"/>
    <w:rPr>
      <w:rFonts w:cs="Times New Roman"/>
    </w:rPr>
  </w:style>
  <w:style w:type="table" w:customStyle="1" w:styleId="LightList-Accent11">
    <w:name w:val="Light List - Accent 11"/>
    <w:rsid w:val="004837A0"/>
    <w:rPr>
      <w:rFonts w:ascii="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1">
    <w:name w:val="Light Shading - Accent 11"/>
    <w:rsid w:val="004837A0"/>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body">
    <w:name w:val="body"/>
    <w:basedOn w:val="Normal"/>
    <w:rsid w:val="004837A0"/>
    <w:pPr>
      <w:bidi w:val="0"/>
      <w:spacing w:before="100" w:beforeAutospacing="1" w:after="100" w:afterAutospacing="1"/>
    </w:pPr>
  </w:style>
  <w:style w:type="paragraph" w:customStyle="1" w:styleId="headinganchor">
    <w:name w:val="headinganchor"/>
    <w:basedOn w:val="Normal"/>
    <w:rsid w:val="004837A0"/>
    <w:pPr>
      <w:bidi w:val="0"/>
      <w:spacing w:before="100" w:beforeAutospacing="1" w:after="100" w:afterAutospacing="1"/>
    </w:pPr>
  </w:style>
  <w:style w:type="character" w:customStyle="1" w:styleId="headingendmark">
    <w:name w:val="headingendmark"/>
    <w:rsid w:val="004837A0"/>
  </w:style>
  <w:style w:type="character" w:customStyle="1" w:styleId="h2">
    <w:name w:val="h2"/>
    <w:rsid w:val="004837A0"/>
  </w:style>
  <w:style w:type="paragraph" w:customStyle="1" w:styleId="bulletindent1">
    <w:name w:val="bulletindent1"/>
    <w:basedOn w:val="Normal"/>
    <w:rsid w:val="004837A0"/>
    <w:pPr>
      <w:bidi w:val="0"/>
      <w:spacing w:before="100" w:beforeAutospacing="1" w:after="100" w:afterAutospacing="1"/>
    </w:pPr>
  </w:style>
  <w:style w:type="character" w:customStyle="1" w:styleId="glyph">
    <w:name w:val="glyph"/>
    <w:rsid w:val="004837A0"/>
  </w:style>
  <w:style w:type="paragraph" w:styleId="TOC1">
    <w:name w:val="toc 1"/>
    <w:basedOn w:val="Normal"/>
    <w:next w:val="Normal"/>
    <w:autoRedefine/>
    <w:unhideWhenUsed/>
    <w:rsid w:val="004837A0"/>
  </w:style>
  <w:style w:type="numbering" w:customStyle="1" w:styleId="NoList2">
    <w:name w:val="No List2"/>
    <w:next w:val="NoList"/>
    <w:semiHidden/>
    <w:rsid w:val="004837A0"/>
  </w:style>
  <w:style w:type="paragraph" w:customStyle="1" w:styleId="Title1">
    <w:name w:val="Title1"/>
    <w:basedOn w:val="Normal"/>
    <w:rsid w:val="004837A0"/>
    <w:pPr>
      <w:bidi w:val="0"/>
      <w:spacing w:before="100" w:beforeAutospacing="1" w:after="100" w:afterAutospacing="1"/>
    </w:pPr>
    <w:rPr>
      <w:rFonts w:ascii="Calibri" w:hAnsi="Calibri"/>
    </w:rPr>
  </w:style>
  <w:style w:type="character" w:customStyle="1" w:styleId="jrnl">
    <w:name w:val="jrnl"/>
    <w:rsid w:val="004837A0"/>
  </w:style>
  <w:style w:type="character" w:customStyle="1" w:styleId="A4">
    <w:name w:val="A4"/>
    <w:rsid w:val="004837A0"/>
    <w:rPr>
      <w:color w:val="000000"/>
      <w:sz w:val="20"/>
    </w:rPr>
  </w:style>
  <w:style w:type="character" w:customStyle="1" w:styleId="A7">
    <w:name w:val="A7"/>
    <w:rsid w:val="004837A0"/>
    <w:rPr>
      <w:color w:val="000000"/>
      <w:sz w:val="11"/>
    </w:rPr>
  </w:style>
  <w:style w:type="paragraph" w:styleId="Subtitle">
    <w:name w:val="Subtitle"/>
    <w:aliases w:val="Char"/>
    <w:basedOn w:val="Normal"/>
    <w:link w:val="SubtitleChar"/>
    <w:uiPriority w:val="11"/>
    <w:qFormat/>
    <w:rsid w:val="004837A0"/>
    <w:pPr>
      <w:bidi w:val="0"/>
    </w:pPr>
    <w:rPr>
      <w:rFonts w:ascii="Calibri" w:hAnsi="Calibri"/>
      <w:sz w:val="28"/>
    </w:rPr>
  </w:style>
  <w:style w:type="character" w:customStyle="1" w:styleId="SubtitleChar">
    <w:name w:val="Subtitle Char"/>
    <w:aliases w:val="Char Char"/>
    <w:basedOn w:val="DefaultParagraphFont"/>
    <w:link w:val="Subtitle"/>
    <w:uiPriority w:val="11"/>
    <w:rsid w:val="004837A0"/>
    <w:rPr>
      <w:rFonts w:ascii="Calibri" w:hAnsi="Calibri"/>
      <w:sz w:val="28"/>
      <w:szCs w:val="24"/>
    </w:rPr>
  </w:style>
  <w:style w:type="character" w:customStyle="1" w:styleId="hps">
    <w:name w:val="hps"/>
    <w:rsid w:val="004837A0"/>
  </w:style>
  <w:style w:type="character" w:customStyle="1" w:styleId="A0">
    <w:name w:val="A0"/>
    <w:rsid w:val="004837A0"/>
    <w:rPr>
      <w:color w:val="000000"/>
      <w:sz w:val="22"/>
    </w:rPr>
  </w:style>
  <w:style w:type="paragraph" w:styleId="BodyText0">
    <w:name w:val="Body Text"/>
    <w:basedOn w:val="Normal"/>
    <w:link w:val="BodyTextChar"/>
    <w:uiPriority w:val="99"/>
    <w:rsid w:val="004837A0"/>
    <w:pPr>
      <w:jc w:val="right"/>
    </w:pPr>
    <w:rPr>
      <w:rFonts w:ascii="Calibri" w:hAnsi="Calibri" w:cs="Simplified Arabic"/>
      <w:sz w:val="32"/>
      <w:szCs w:val="32"/>
      <w:lang w:eastAsia="ar-SA"/>
    </w:rPr>
  </w:style>
  <w:style w:type="character" w:customStyle="1" w:styleId="BodyTextChar">
    <w:name w:val="Body Text Char"/>
    <w:basedOn w:val="DefaultParagraphFont"/>
    <w:link w:val="BodyText0"/>
    <w:uiPriority w:val="99"/>
    <w:rsid w:val="004837A0"/>
    <w:rPr>
      <w:rFonts w:ascii="Calibri" w:hAnsi="Calibri" w:cs="Simplified Arabic"/>
      <w:sz w:val="32"/>
      <w:szCs w:val="32"/>
      <w:lang w:eastAsia="ar-SA"/>
    </w:rPr>
  </w:style>
  <w:style w:type="character" w:customStyle="1" w:styleId="apple-style-span">
    <w:name w:val="apple-style-span"/>
    <w:rsid w:val="004837A0"/>
  </w:style>
  <w:style w:type="character" w:customStyle="1" w:styleId="IntenseEmphasis1">
    <w:name w:val="Intense Emphasis1"/>
    <w:rsid w:val="004837A0"/>
    <w:rPr>
      <w:b/>
      <w:i/>
      <w:color w:val="4F81BD"/>
    </w:rPr>
  </w:style>
  <w:style w:type="table" w:customStyle="1" w:styleId="LightShading-Accent61">
    <w:name w:val="Light Shading - Accent 61"/>
    <w:rsid w:val="004837A0"/>
    <w:rPr>
      <w:rFonts w:ascii="Calibri" w:hAnsi="Calibri"/>
      <w:color w:val="E36C0A"/>
    </w:rPr>
    <w:tblPr>
      <w:tblStyleRowBandSize w:val="1"/>
      <w:tblStyleColBandSize w:val="1"/>
      <w:tblBorders>
        <w:top w:val="single" w:sz="8" w:space="0" w:color="F79646"/>
        <w:bottom w:val="single" w:sz="8" w:space="0" w:color="F79646"/>
      </w:tblBorders>
      <w:tblCellMar>
        <w:top w:w="0" w:type="dxa"/>
        <w:left w:w="108" w:type="dxa"/>
        <w:bottom w:w="0" w:type="dxa"/>
        <w:right w:w="108" w:type="dxa"/>
      </w:tblCellMar>
    </w:tblPr>
  </w:style>
  <w:style w:type="table" w:styleId="TableClassic1">
    <w:name w:val="Table Classic 1"/>
    <w:basedOn w:val="TableNormal"/>
    <w:uiPriority w:val="99"/>
    <w:rsid w:val="004837A0"/>
    <w:pPr>
      <w:bidi/>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7">
    <w:name w:val="Table Grid 7"/>
    <w:basedOn w:val="TableNormal"/>
    <w:rsid w:val="004837A0"/>
    <w:pPr>
      <w:bidi/>
    </w:pPr>
    <w:rPr>
      <w:rFonts w:ascii="Calibri" w:hAnsi="Calibri"/>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MediumGrid3-Accent61">
    <w:name w:val="Medium Grid 3 - Accent 61"/>
    <w:rsid w:val="004837A0"/>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ColorfulGrid-Accent61">
    <w:name w:val="Colorful Grid - Accent 61"/>
    <w:rsid w:val="004837A0"/>
    <w:rPr>
      <w:rFonts w:ascii="Calibri" w:hAnsi="Calibri"/>
      <w:color w:val="000000"/>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FDE9D9"/>
    </w:tcPr>
  </w:style>
  <w:style w:type="table" w:customStyle="1" w:styleId="MediumList2-Accent61">
    <w:name w:val="Medium List 2 - Accent 61"/>
    <w:rsid w:val="004837A0"/>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character" w:customStyle="1" w:styleId="BookTitle1">
    <w:name w:val="Book Title1"/>
    <w:rsid w:val="004837A0"/>
    <w:rPr>
      <w:b/>
      <w:smallCaps/>
      <w:spacing w:val="5"/>
    </w:rPr>
  </w:style>
  <w:style w:type="table" w:styleId="TableSubtle2">
    <w:name w:val="Table Subtle 2"/>
    <w:basedOn w:val="TableNormal"/>
    <w:rsid w:val="004837A0"/>
    <w:pPr>
      <w:bidi/>
    </w:pPr>
    <w:rPr>
      <w:rFonts w:ascii="Calibri" w:hAnsi="Calibri"/>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1">
    <w:name w:val="Table Subtle 1"/>
    <w:basedOn w:val="TableNormal"/>
    <w:rsid w:val="004837A0"/>
    <w:pPr>
      <w:bidi/>
    </w:pPr>
    <w:rPr>
      <w:rFonts w:ascii="Calibri" w:hAnsi="Calibri"/>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11">
    <w:name w:val="Table Grid11"/>
    <w:uiPriority w:val="59"/>
    <w:rsid w:val="004837A0"/>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2">
    <w:name w:val="No Spacing2"/>
    <w:rsid w:val="004837A0"/>
    <w:pPr>
      <w:bidi/>
    </w:pPr>
    <w:rPr>
      <w:rFonts w:ascii="Calibri" w:hAnsi="Calibri" w:cs="Arial"/>
      <w:sz w:val="22"/>
      <w:szCs w:val="22"/>
    </w:rPr>
  </w:style>
  <w:style w:type="paragraph" w:customStyle="1" w:styleId="Title2">
    <w:name w:val="Title 2"/>
    <w:basedOn w:val="Normal"/>
    <w:autoRedefine/>
    <w:rsid w:val="004837A0"/>
    <w:pPr>
      <w:bidi w:val="0"/>
      <w:spacing w:before="200" w:line="360" w:lineRule="auto"/>
      <w:jc w:val="both"/>
    </w:pPr>
    <w:rPr>
      <w:rFonts w:ascii="Calibri" w:hAnsi="Calibri"/>
      <w:b/>
      <w:bCs/>
      <w:sz w:val="32"/>
      <w:szCs w:val="32"/>
      <w:lang w:bidi="ar-EG"/>
    </w:rPr>
  </w:style>
  <w:style w:type="paragraph" w:customStyle="1" w:styleId="title3">
    <w:name w:val="title 3"/>
    <w:basedOn w:val="Normal"/>
    <w:autoRedefine/>
    <w:rsid w:val="004837A0"/>
    <w:pPr>
      <w:numPr>
        <w:numId w:val="2"/>
      </w:numPr>
      <w:tabs>
        <w:tab w:val="left" w:pos="0"/>
        <w:tab w:val="right" w:pos="284"/>
      </w:tabs>
      <w:bidi w:val="0"/>
      <w:spacing w:before="200" w:line="360" w:lineRule="auto"/>
      <w:ind w:left="284" w:hanging="284"/>
      <w:jc w:val="lowKashida"/>
    </w:pPr>
    <w:rPr>
      <w:rFonts w:ascii="Calibri" w:hAnsi="Calibri"/>
      <w:b/>
      <w:bCs/>
      <w:sz w:val="32"/>
      <w:szCs w:val="32"/>
      <w:lang w:bidi="ar-EG"/>
    </w:rPr>
  </w:style>
  <w:style w:type="paragraph" w:customStyle="1" w:styleId="Title30">
    <w:name w:val="Title3"/>
    <w:basedOn w:val="Heading3"/>
    <w:autoRedefine/>
    <w:rsid w:val="004837A0"/>
    <w:pPr>
      <w:keepLines w:val="0"/>
      <w:bidi w:val="0"/>
      <w:spacing w:before="200" w:line="360" w:lineRule="auto"/>
      <w:jc w:val="lowKashida"/>
    </w:pPr>
    <w:rPr>
      <w:rFonts w:ascii="Calibri" w:eastAsia="Times New Roman" w:hAnsi="Calibri" w:cs="Times New Roman"/>
      <w:b/>
      <w:bCs/>
      <w:color w:val="auto"/>
      <w:sz w:val="32"/>
      <w:szCs w:val="32"/>
      <w:lang w:eastAsia="ar-SA"/>
    </w:rPr>
  </w:style>
  <w:style w:type="character" w:customStyle="1" w:styleId="ref">
    <w:name w:val="ref"/>
    <w:rsid w:val="004837A0"/>
    <w:rPr>
      <w:b/>
    </w:rPr>
  </w:style>
  <w:style w:type="paragraph" w:customStyle="1" w:styleId="by">
    <w:name w:val="by"/>
    <w:basedOn w:val="Normal"/>
    <w:rsid w:val="004837A0"/>
    <w:pPr>
      <w:bidi w:val="0"/>
      <w:spacing w:after="120" w:line="360" w:lineRule="auto"/>
      <w:ind w:firstLine="567"/>
      <w:jc w:val="lowKashida"/>
    </w:pPr>
    <w:rPr>
      <w:rFonts w:ascii="Calibri" w:hAnsi="Calibri"/>
      <w:sz w:val="28"/>
      <w:szCs w:val="28"/>
      <w:lang w:eastAsia="ar-SA"/>
    </w:rPr>
  </w:style>
  <w:style w:type="paragraph" w:customStyle="1" w:styleId="H3">
    <w:name w:val="H3"/>
    <w:basedOn w:val="Heading3"/>
    <w:rsid w:val="004837A0"/>
    <w:pPr>
      <w:keepLines w:val="0"/>
      <w:bidi w:val="0"/>
      <w:spacing w:before="0" w:after="120" w:line="360" w:lineRule="auto"/>
    </w:pPr>
    <w:rPr>
      <w:rFonts w:ascii="Arial Black" w:eastAsia="Times New Roman" w:hAnsi="Arial Black" w:cs="Times New Roman"/>
      <w:bCs/>
      <w:noProof/>
      <w:color w:val="auto"/>
      <w:sz w:val="36"/>
      <w:szCs w:val="32"/>
      <w:lang w:eastAsia="ar-SA"/>
    </w:rPr>
  </w:style>
  <w:style w:type="paragraph" w:customStyle="1" w:styleId="Style">
    <w:name w:val="Style"/>
    <w:rsid w:val="004837A0"/>
    <w:pPr>
      <w:widowControl w:val="0"/>
      <w:autoSpaceDE w:val="0"/>
      <w:autoSpaceDN w:val="0"/>
      <w:adjustRightInd w:val="0"/>
    </w:pPr>
    <w:rPr>
      <w:rFonts w:ascii="Arial" w:hAnsi="Arial" w:cs="Arial"/>
      <w:sz w:val="24"/>
      <w:szCs w:val="24"/>
      <w:lang w:bidi="ar-EG"/>
    </w:rPr>
  </w:style>
  <w:style w:type="paragraph" w:customStyle="1" w:styleId="Title4">
    <w:name w:val="Title4"/>
    <w:basedOn w:val="Heading2"/>
    <w:autoRedefine/>
    <w:rsid w:val="004837A0"/>
    <w:pPr>
      <w:keepLines w:val="0"/>
      <w:bidi w:val="0"/>
      <w:spacing w:before="200"/>
      <w:jc w:val="lowKashida"/>
    </w:pPr>
    <w:rPr>
      <w:rFonts w:ascii="Times New Roman" w:eastAsia="UB-AntiqueOliveLight" w:hAnsi="Times New Roman" w:cs="Times New Roman"/>
      <w:b/>
      <w:bCs/>
      <w:color w:val="auto"/>
      <w:sz w:val="28"/>
      <w:szCs w:val="28"/>
    </w:rPr>
  </w:style>
  <w:style w:type="paragraph" w:customStyle="1" w:styleId="Title5">
    <w:name w:val="Title5"/>
    <w:basedOn w:val="Heading1"/>
    <w:link w:val="Title5Char"/>
    <w:autoRedefine/>
    <w:rsid w:val="004837A0"/>
    <w:pPr>
      <w:keepLines w:val="0"/>
      <w:tabs>
        <w:tab w:val="right" w:pos="426"/>
      </w:tabs>
      <w:bidi w:val="0"/>
      <w:spacing w:before="200"/>
      <w:jc w:val="lowKashida"/>
    </w:pPr>
    <w:rPr>
      <w:rFonts w:ascii="Arial" w:eastAsia="Times New Roman" w:hAnsi="Arial" w:cs="Traditional Arabic"/>
      <w:color w:val="auto"/>
      <w:kern w:val="32"/>
      <w:lang w:eastAsia="zh-CN"/>
    </w:rPr>
  </w:style>
  <w:style w:type="character" w:customStyle="1" w:styleId="Title5Char">
    <w:name w:val="Title5 Char"/>
    <w:link w:val="Title5"/>
    <w:locked/>
    <w:rsid w:val="004837A0"/>
    <w:rPr>
      <w:rFonts w:ascii="Arial" w:hAnsi="Arial" w:cs="Traditional Arabic"/>
      <w:b/>
      <w:bCs/>
      <w:kern w:val="32"/>
      <w:sz w:val="28"/>
      <w:szCs w:val="28"/>
      <w:lang w:eastAsia="zh-CN"/>
    </w:rPr>
  </w:style>
  <w:style w:type="paragraph" w:customStyle="1" w:styleId="H6">
    <w:name w:val="H6"/>
    <w:basedOn w:val="Heading6"/>
    <w:rsid w:val="004837A0"/>
    <w:pPr>
      <w:bidi w:val="0"/>
    </w:pPr>
    <w:rPr>
      <w:rFonts w:cs="Times New Roman"/>
      <w:i/>
      <w:iCs/>
      <w:noProof/>
      <w:sz w:val="28"/>
      <w:szCs w:val="28"/>
      <w:lang w:eastAsia="ar-SA"/>
    </w:rPr>
  </w:style>
  <w:style w:type="paragraph" w:customStyle="1" w:styleId="1">
    <w:name w:val="بلا تباعد1"/>
    <w:rsid w:val="004837A0"/>
    <w:pPr>
      <w:bidi/>
    </w:pPr>
    <w:rPr>
      <w:rFonts w:ascii="Calibri" w:hAnsi="Calibri" w:cs="Arial"/>
      <w:sz w:val="22"/>
      <w:szCs w:val="22"/>
    </w:rPr>
  </w:style>
  <w:style w:type="character" w:customStyle="1" w:styleId="mw-headline">
    <w:name w:val="mw-headline"/>
    <w:rsid w:val="004837A0"/>
  </w:style>
  <w:style w:type="character" w:customStyle="1" w:styleId="style1276488">
    <w:name w:val="style1276488"/>
    <w:rsid w:val="004837A0"/>
  </w:style>
  <w:style w:type="paragraph" w:customStyle="1" w:styleId="author">
    <w:name w:val="author"/>
    <w:basedOn w:val="Normal"/>
    <w:rsid w:val="004837A0"/>
    <w:pPr>
      <w:bidi w:val="0"/>
      <w:spacing w:before="100" w:beforeAutospacing="1" w:after="100" w:afterAutospacing="1"/>
    </w:pPr>
    <w:rPr>
      <w:rFonts w:ascii="Calibri" w:hAnsi="Calibri"/>
    </w:rPr>
  </w:style>
  <w:style w:type="paragraph" w:customStyle="1" w:styleId="NoSpacing1">
    <w:name w:val="No Spacing1"/>
    <w:qFormat/>
    <w:rsid w:val="004837A0"/>
    <w:pPr>
      <w:bidi/>
    </w:pPr>
    <w:rPr>
      <w:rFonts w:ascii="Calibri" w:hAnsi="Calibri" w:cs="Arial"/>
      <w:sz w:val="22"/>
      <w:szCs w:val="22"/>
    </w:rPr>
  </w:style>
  <w:style w:type="paragraph" w:customStyle="1" w:styleId="Quote2">
    <w:name w:val="Quote2"/>
    <w:basedOn w:val="Normal"/>
    <w:next w:val="Normal"/>
    <w:rsid w:val="004837A0"/>
    <w:pPr>
      <w:spacing w:after="200" w:line="276" w:lineRule="auto"/>
    </w:pPr>
    <w:rPr>
      <w:rFonts w:ascii="Calibri" w:hAnsi="Calibri"/>
      <w:i/>
      <w:iCs/>
      <w:color w:val="000000"/>
      <w:sz w:val="22"/>
      <w:szCs w:val="22"/>
    </w:rPr>
  </w:style>
  <w:style w:type="paragraph" w:customStyle="1" w:styleId="ListParagraph1">
    <w:name w:val="List Paragraph1"/>
    <w:basedOn w:val="Normal"/>
    <w:qFormat/>
    <w:rsid w:val="004837A0"/>
    <w:pPr>
      <w:spacing w:line="240" w:lineRule="exact"/>
      <w:ind w:left="720"/>
      <w:jc w:val="mediumKashida"/>
    </w:pPr>
    <w:rPr>
      <w:rFonts w:ascii="Calibri" w:hAnsi="Calibri" w:cs="Arial"/>
      <w:sz w:val="22"/>
      <w:szCs w:val="22"/>
    </w:rPr>
  </w:style>
  <w:style w:type="character" w:customStyle="1" w:styleId="PlaceholderText1">
    <w:name w:val="Placeholder Text1"/>
    <w:semiHidden/>
    <w:rsid w:val="004837A0"/>
    <w:rPr>
      <w:color w:val="808080"/>
    </w:rPr>
  </w:style>
  <w:style w:type="paragraph" w:customStyle="1" w:styleId="BodyTextIndent1">
    <w:name w:val="Body Text Indent1"/>
    <w:basedOn w:val="Normal"/>
    <w:link w:val="BodyTextIndentChar"/>
    <w:semiHidden/>
    <w:rsid w:val="004837A0"/>
    <w:pPr>
      <w:bidi w:val="0"/>
      <w:ind w:left="1080" w:hanging="1260"/>
    </w:pPr>
    <w:rPr>
      <w:rFonts w:ascii="Calibri" w:hAnsi="Calibri"/>
      <w:lang w:val="en-GB" w:eastAsia="it-IT"/>
    </w:rPr>
  </w:style>
  <w:style w:type="character" w:customStyle="1" w:styleId="BodyTextIndentChar">
    <w:name w:val="Body Text Indent Char"/>
    <w:link w:val="BodyTextIndent1"/>
    <w:uiPriority w:val="99"/>
    <w:semiHidden/>
    <w:locked/>
    <w:rsid w:val="004837A0"/>
    <w:rPr>
      <w:rFonts w:ascii="Calibri" w:hAnsi="Calibri"/>
      <w:sz w:val="24"/>
      <w:szCs w:val="24"/>
      <w:lang w:val="en-GB" w:eastAsia="it-IT"/>
    </w:rPr>
  </w:style>
  <w:style w:type="character" w:customStyle="1" w:styleId="sehl">
    <w:name w:val="sehl"/>
    <w:rsid w:val="004837A0"/>
    <w:rPr>
      <w:color w:val="FFFFFF"/>
      <w:shd w:val="clear" w:color="auto" w:fill="FF0000"/>
    </w:rPr>
  </w:style>
  <w:style w:type="paragraph" w:customStyle="1" w:styleId="Title20">
    <w:name w:val="Title2"/>
    <w:basedOn w:val="Heading1"/>
    <w:autoRedefine/>
    <w:rsid w:val="004837A0"/>
    <w:pPr>
      <w:keepLines w:val="0"/>
      <w:bidi w:val="0"/>
      <w:spacing w:before="200"/>
      <w:jc w:val="both"/>
    </w:pPr>
    <w:rPr>
      <w:rFonts w:ascii="Calibri" w:eastAsia="Times New Roman" w:hAnsi="Calibri" w:cs="Traditional Arabic"/>
      <w:color w:val="auto"/>
      <w:szCs w:val="22"/>
    </w:rPr>
  </w:style>
  <w:style w:type="character" w:customStyle="1" w:styleId="journal">
    <w:name w:val="journal"/>
    <w:rsid w:val="004837A0"/>
  </w:style>
  <w:style w:type="character" w:customStyle="1" w:styleId="jnumber">
    <w:name w:val="jnumber"/>
    <w:rsid w:val="004837A0"/>
  </w:style>
  <w:style w:type="paragraph" w:customStyle="1" w:styleId="Quote1">
    <w:name w:val="Quote1"/>
    <w:basedOn w:val="Normal"/>
    <w:next w:val="Normal"/>
    <w:rsid w:val="004837A0"/>
    <w:pPr>
      <w:spacing w:after="200" w:line="276" w:lineRule="auto"/>
    </w:pPr>
    <w:rPr>
      <w:rFonts w:ascii="Calibri" w:hAnsi="Calibri" w:cs="Arial"/>
      <w:i/>
      <w:iCs/>
      <w:color w:val="000000"/>
      <w:sz w:val="22"/>
      <w:szCs w:val="22"/>
    </w:rPr>
  </w:style>
  <w:style w:type="character" w:customStyle="1" w:styleId="mixed-citation">
    <w:name w:val="mixed-citation"/>
    <w:rsid w:val="004837A0"/>
  </w:style>
  <w:style w:type="paragraph" w:styleId="BodyTextIndent">
    <w:name w:val="Body Text Indent"/>
    <w:basedOn w:val="Normal"/>
    <w:link w:val="BodyTextIndentChar1"/>
    <w:uiPriority w:val="99"/>
    <w:rsid w:val="004837A0"/>
    <w:pPr>
      <w:bidi w:val="0"/>
      <w:ind w:left="1080" w:hanging="1260"/>
    </w:pPr>
    <w:rPr>
      <w:rFonts w:ascii="Calibri" w:hAnsi="Calibri"/>
      <w:lang w:val="en-GB" w:eastAsia="it-IT"/>
    </w:rPr>
  </w:style>
  <w:style w:type="character" w:customStyle="1" w:styleId="BodyTextIndentChar1">
    <w:name w:val="Body Text Indent Char1"/>
    <w:basedOn w:val="DefaultParagraphFont"/>
    <w:link w:val="BodyTextIndent"/>
    <w:rsid w:val="004837A0"/>
    <w:rPr>
      <w:rFonts w:ascii="Calibri" w:hAnsi="Calibri"/>
      <w:sz w:val="24"/>
      <w:szCs w:val="24"/>
      <w:lang w:val="en-GB" w:eastAsia="it-IT"/>
    </w:rPr>
  </w:style>
  <w:style w:type="character" w:customStyle="1" w:styleId="st">
    <w:name w:val="st"/>
    <w:rsid w:val="004837A0"/>
  </w:style>
  <w:style w:type="character" w:customStyle="1" w:styleId="citation-volume">
    <w:name w:val="citation-volume"/>
    <w:rsid w:val="004837A0"/>
  </w:style>
  <w:style w:type="character" w:customStyle="1" w:styleId="citation-issue">
    <w:name w:val="citation-issue"/>
    <w:rsid w:val="004837A0"/>
  </w:style>
  <w:style w:type="character" w:customStyle="1" w:styleId="citation-flpages">
    <w:name w:val="citation-flpages"/>
    <w:rsid w:val="004837A0"/>
  </w:style>
  <w:style w:type="character" w:customStyle="1" w:styleId="element-citation">
    <w:name w:val="element-citation"/>
    <w:rsid w:val="004837A0"/>
  </w:style>
  <w:style w:type="paragraph" w:customStyle="1" w:styleId="articledetails">
    <w:name w:val="articledetails"/>
    <w:basedOn w:val="Normal"/>
    <w:rsid w:val="004837A0"/>
    <w:pPr>
      <w:bidi w:val="0"/>
      <w:spacing w:before="100" w:beforeAutospacing="1" w:after="100" w:afterAutospacing="1"/>
    </w:pPr>
    <w:rPr>
      <w:rFonts w:ascii="Calibri" w:hAnsi="Calibri"/>
    </w:rPr>
  </w:style>
  <w:style w:type="character" w:customStyle="1" w:styleId="name">
    <w:name w:val="name"/>
    <w:rsid w:val="004837A0"/>
  </w:style>
  <w:style w:type="character" w:customStyle="1" w:styleId="ja50-ce-author">
    <w:name w:val="ja50-ce-author"/>
    <w:rsid w:val="004837A0"/>
  </w:style>
  <w:style w:type="character" w:customStyle="1" w:styleId="ja50-ce-sup">
    <w:name w:val="ja50-ce-sup"/>
    <w:rsid w:val="004837A0"/>
  </w:style>
  <w:style w:type="character" w:customStyle="1" w:styleId="bodytext10">
    <w:name w:val="body_text1"/>
    <w:rsid w:val="004837A0"/>
    <w:rPr>
      <w:rFonts w:ascii="Verdana" w:hAnsi="Verdana"/>
      <w:color w:val="auto"/>
      <w:sz w:val="18"/>
    </w:rPr>
  </w:style>
  <w:style w:type="paragraph" w:customStyle="1" w:styleId="H4">
    <w:name w:val="H4"/>
    <w:basedOn w:val="Heading4"/>
    <w:rsid w:val="004837A0"/>
    <w:pPr>
      <w:keepLines w:val="0"/>
      <w:bidi w:val="0"/>
      <w:spacing w:before="0" w:after="120" w:line="360" w:lineRule="auto"/>
    </w:pPr>
    <w:rPr>
      <w:rFonts w:ascii="Comic Sans MS" w:eastAsia="Times New Roman" w:hAnsi="Comic Sans MS" w:cs="Times New Roman"/>
      <w:i w:val="0"/>
      <w:iCs w:val="0"/>
      <w:noProof/>
      <w:color w:val="auto"/>
      <w:sz w:val="30"/>
      <w:szCs w:val="28"/>
      <w:lang w:eastAsia="ar-SA"/>
    </w:rPr>
  </w:style>
  <w:style w:type="paragraph" w:customStyle="1" w:styleId="10">
    <w:name w:val="سرد الفقرات1"/>
    <w:basedOn w:val="Normal"/>
    <w:rsid w:val="004837A0"/>
    <w:pPr>
      <w:spacing w:line="240" w:lineRule="exact"/>
      <w:ind w:left="720"/>
      <w:jc w:val="mediumKashida"/>
    </w:pPr>
    <w:rPr>
      <w:rFonts w:ascii="Calibri" w:hAnsi="Calibri" w:cs="Arial"/>
      <w:sz w:val="22"/>
      <w:szCs w:val="22"/>
    </w:rPr>
  </w:style>
  <w:style w:type="character" w:customStyle="1" w:styleId="citationjournal">
    <w:name w:val="citation journal"/>
    <w:rsid w:val="004837A0"/>
  </w:style>
  <w:style w:type="character" w:customStyle="1" w:styleId="mmheadertext">
    <w:name w:val="mmheadertext"/>
    <w:rsid w:val="004837A0"/>
  </w:style>
  <w:style w:type="paragraph" w:customStyle="1" w:styleId="sm">
    <w:name w:val="sm"/>
    <w:basedOn w:val="Normal"/>
    <w:rsid w:val="004837A0"/>
    <w:pPr>
      <w:bidi w:val="0"/>
      <w:spacing w:before="100" w:beforeAutospacing="1" w:after="100" w:afterAutospacing="1"/>
    </w:pPr>
    <w:rPr>
      <w:rFonts w:ascii="Calibri" w:hAnsi="Calibri"/>
    </w:rPr>
  </w:style>
  <w:style w:type="paragraph" w:customStyle="1" w:styleId="mmpara">
    <w:name w:val="mmpara"/>
    <w:basedOn w:val="Normal"/>
    <w:rsid w:val="004837A0"/>
    <w:pPr>
      <w:bidi w:val="0"/>
      <w:spacing w:before="100" w:beforeAutospacing="1" w:after="100" w:afterAutospacing="1"/>
    </w:pPr>
    <w:rPr>
      <w:rFonts w:ascii="Calibri" w:hAnsi="Calibri"/>
    </w:rPr>
  </w:style>
  <w:style w:type="character" w:customStyle="1" w:styleId="editsection">
    <w:name w:val="editsection"/>
    <w:rsid w:val="004837A0"/>
  </w:style>
  <w:style w:type="character" w:customStyle="1" w:styleId="ti2">
    <w:name w:val="ti2"/>
    <w:rsid w:val="004837A0"/>
    <w:rPr>
      <w:sz w:val="22"/>
    </w:rPr>
  </w:style>
  <w:style w:type="character" w:customStyle="1" w:styleId="reference-accessdate">
    <w:name w:val="reference-accessdate"/>
    <w:rsid w:val="004837A0"/>
  </w:style>
  <w:style w:type="paragraph" w:customStyle="1" w:styleId="note">
    <w:name w:val="note"/>
    <w:basedOn w:val="Normal"/>
    <w:rsid w:val="004837A0"/>
    <w:pPr>
      <w:bidi w:val="0"/>
      <w:spacing w:before="100" w:beforeAutospacing="1" w:after="100" w:afterAutospacing="1"/>
    </w:pPr>
    <w:rPr>
      <w:rFonts w:ascii="Calibri" w:hAnsi="Calibri"/>
    </w:rPr>
  </w:style>
  <w:style w:type="character" w:customStyle="1" w:styleId="sb-contribution">
    <w:name w:val="sb-contribution"/>
    <w:rsid w:val="004837A0"/>
  </w:style>
  <w:style w:type="character" w:customStyle="1" w:styleId="sb-authors">
    <w:name w:val="sb-authors"/>
    <w:rsid w:val="004837A0"/>
  </w:style>
  <w:style w:type="character" w:customStyle="1" w:styleId="sb-issue">
    <w:name w:val="sb-issue"/>
    <w:rsid w:val="004837A0"/>
  </w:style>
  <w:style w:type="character" w:customStyle="1" w:styleId="sb-date">
    <w:name w:val="sb-date"/>
    <w:rsid w:val="004837A0"/>
  </w:style>
  <w:style w:type="character" w:customStyle="1" w:styleId="sb-volume-nr">
    <w:name w:val="sb-volume-nr"/>
    <w:rsid w:val="004837A0"/>
  </w:style>
  <w:style w:type="character" w:customStyle="1" w:styleId="sb-pages">
    <w:name w:val="sb-pages"/>
    <w:rsid w:val="004837A0"/>
  </w:style>
  <w:style w:type="character" w:customStyle="1" w:styleId="sb-edited-book">
    <w:name w:val="sb-edited-book"/>
    <w:rsid w:val="004837A0"/>
  </w:style>
  <w:style w:type="character" w:customStyle="1" w:styleId="sb-editors">
    <w:name w:val="sb-editors"/>
    <w:rsid w:val="004837A0"/>
  </w:style>
  <w:style w:type="character" w:customStyle="1" w:styleId="ja50-ce-other-ref">
    <w:name w:val="ja50-ce-other-ref"/>
    <w:rsid w:val="004837A0"/>
  </w:style>
  <w:style w:type="character" w:styleId="HTMLCite">
    <w:name w:val="HTML Cite"/>
    <w:rsid w:val="004837A0"/>
    <w:rPr>
      <w:i/>
    </w:rPr>
  </w:style>
  <w:style w:type="character" w:customStyle="1" w:styleId="bc">
    <w:name w:val="bc"/>
    <w:rsid w:val="004837A0"/>
  </w:style>
  <w:style w:type="character" w:customStyle="1" w:styleId="f">
    <w:name w:val="f"/>
    <w:rsid w:val="004837A0"/>
  </w:style>
  <w:style w:type="character" w:customStyle="1" w:styleId="b">
    <w:name w:val="b"/>
    <w:rsid w:val="004837A0"/>
  </w:style>
  <w:style w:type="table" w:styleId="TableGrid10">
    <w:name w:val="Table Grid 1"/>
    <w:basedOn w:val="TableNormal"/>
    <w:rsid w:val="004837A0"/>
    <w:pPr>
      <w:bidi/>
    </w:pPr>
    <w:rPr>
      <w:rFonts w:eastAsia="SimSu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Char">
    <w:name w:val="تذييل الصفحة Char"/>
    <w:uiPriority w:val="99"/>
    <w:rsid w:val="004837A0"/>
    <w:rPr>
      <w:rFonts w:eastAsia="Calibri"/>
      <w:sz w:val="21"/>
      <w:szCs w:val="21"/>
    </w:rPr>
  </w:style>
  <w:style w:type="numbering" w:customStyle="1" w:styleId="NoList3">
    <w:name w:val="No List3"/>
    <w:next w:val="NoList"/>
    <w:uiPriority w:val="99"/>
    <w:semiHidden/>
    <w:unhideWhenUsed/>
    <w:rsid w:val="004837A0"/>
  </w:style>
  <w:style w:type="paragraph" w:customStyle="1" w:styleId="11">
    <w:name w:val="1"/>
    <w:basedOn w:val="Normal"/>
    <w:link w:val="1Char"/>
    <w:qFormat/>
    <w:rsid w:val="004837A0"/>
    <w:pPr>
      <w:bidi w:val="0"/>
      <w:spacing w:before="120" w:after="120" w:line="360" w:lineRule="auto"/>
      <w:jc w:val="center"/>
    </w:pPr>
    <w:rPr>
      <w:rFonts w:ascii="Stencil" w:eastAsia="Calibri" w:hAnsi="Stencil" w:cs="Simplified Arabic"/>
      <w:sz w:val="34"/>
      <w:szCs w:val="34"/>
    </w:rPr>
  </w:style>
  <w:style w:type="character" w:customStyle="1" w:styleId="ref-journal">
    <w:name w:val="ref-journal"/>
    <w:basedOn w:val="DefaultParagraphFont"/>
    <w:rsid w:val="00E13D20"/>
  </w:style>
  <w:style w:type="character" w:customStyle="1" w:styleId="cit-name-surname">
    <w:name w:val="cit-name-surname"/>
    <w:basedOn w:val="DefaultParagraphFont"/>
    <w:rsid w:val="00E13D20"/>
  </w:style>
  <w:style w:type="character" w:customStyle="1" w:styleId="cit-name-given-names">
    <w:name w:val="cit-name-given-names"/>
    <w:basedOn w:val="DefaultParagraphFont"/>
    <w:rsid w:val="00E13D20"/>
  </w:style>
  <w:style w:type="character" w:customStyle="1" w:styleId="cit-pub-date">
    <w:name w:val="cit-pub-date"/>
    <w:basedOn w:val="DefaultParagraphFont"/>
    <w:rsid w:val="00E13D20"/>
  </w:style>
  <w:style w:type="character" w:customStyle="1" w:styleId="citationref">
    <w:name w:val="citationref"/>
    <w:basedOn w:val="DefaultParagraphFont"/>
    <w:rsid w:val="00E13D20"/>
  </w:style>
  <w:style w:type="table" w:customStyle="1" w:styleId="Style1">
    <w:name w:val="Style1"/>
    <w:basedOn w:val="TableClassic1"/>
    <w:uiPriority w:val="99"/>
    <w:qFormat/>
    <w:rsid w:val="006F0A41"/>
    <w:pPr>
      <w:bidi w:val="0"/>
    </w:pPr>
    <w:rPr>
      <w:rFonts w:asciiTheme="minorBidi" w:eastAsiaTheme="minorHAnsi" w:hAnsiTheme="minorBidi" w:cstheme="minorBid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printhtml">
    <w:name w:val="print_html"/>
    <w:basedOn w:val="DefaultParagraphFont"/>
    <w:rsid w:val="006F0A41"/>
  </w:style>
  <w:style w:type="character" w:customStyle="1" w:styleId="plainlinks">
    <w:name w:val="plainlinks"/>
    <w:basedOn w:val="DefaultParagraphFont"/>
    <w:rsid w:val="002342FA"/>
  </w:style>
  <w:style w:type="character" w:customStyle="1" w:styleId="mw-cite-backlink">
    <w:name w:val="mw-cite-backlink"/>
    <w:basedOn w:val="DefaultParagraphFont"/>
    <w:rsid w:val="002342FA"/>
  </w:style>
  <w:style w:type="character" w:customStyle="1" w:styleId="cite-accessibility-label">
    <w:name w:val="cite-accessibility-label"/>
    <w:basedOn w:val="DefaultParagraphFont"/>
    <w:rsid w:val="002342FA"/>
  </w:style>
  <w:style w:type="character" w:customStyle="1" w:styleId="nowrap">
    <w:name w:val="nowrap"/>
    <w:basedOn w:val="DefaultParagraphFont"/>
    <w:rsid w:val="002342FA"/>
  </w:style>
  <w:style w:type="character" w:customStyle="1" w:styleId="ref-vol">
    <w:name w:val="ref-vol"/>
    <w:basedOn w:val="DefaultParagraphFont"/>
    <w:rsid w:val="002342FA"/>
  </w:style>
  <w:style w:type="character" w:customStyle="1" w:styleId="aa">
    <w:name w:val="a"/>
    <w:basedOn w:val="DefaultParagraphFont"/>
    <w:rsid w:val="002342FA"/>
  </w:style>
  <w:style w:type="character" w:customStyle="1" w:styleId="l6">
    <w:name w:val="l6"/>
    <w:basedOn w:val="DefaultParagraphFont"/>
    <w:rsid w:val="002342FA"/>
  </w:style>
  <w:style w:type="character" w:customStyle="1" w:styleId="l7">
    <w:name w:val="l7"/>
    <w:basedOn w:val="DefaultParagraphFont"/>
    <w:rsid w:val="002342FA"/>
  </w:style>
  <w:style w:type="character" w:customStyle="1" w:styleId="l8">
    <w:name w:val="l8"/>
    <w:basedOn w:val="DefaultParagraphFont"/>
    <w:rsid w:val="002342FA"/>
  </w:style>
  <w:style w:type="character" w:customStyle="1" w:styleId="l">
    <w:name w:val="l"/>
    <w:basedOn w:val="DefaultParagraphFont"/>
    <w:rsid w:val="002342FA"/>
  </w:style>
  <w:style w:type="character" w:customStyle="1" w:styleId="ref-title">
    <w:name w:val="ref-title"/>
    <w:basedOn w:val="DefaultParagraphFont"/>
    <w:rsid w:val="002342FA"/>
  </w:style>
  <w:style w:type="character" w:customStyle="1" w:styleId="ref-iss">
    <w:name w:val="ref-iss"/>
    <w:basedOn w:val="DefaultParagraphFont"/>
    <w:rsid w:val="002342FA"/>
  </w:style>
  <w:style w:type="character" w:customStyle="1" w:styleId="authorsname">
    <w:name w:val="authors__name"/>
    <w:basedOn w:val="DefaultParagraphFont"/>
    <w:rsid w:val="002342FA"/>
  </w:style>
  <w:style w:type="character" w:customStyle="1" w:styleId="author-name">
    <w:name w:val="author-name"/>
    <w:basedOn w:val="DefaultParagraphFont"/>
    <w:rsid w:val="002342FA"/>
  </w:style>
  <w:style w:type="character" w:customStyle="1" w:styleId="fm-role">
    <w:name w:val="fm-role"/>
    <w:basedOn w:val="DefaultParagraphFont"/>
    <w:rsid w:val="002342FA"/>
  </w:style>
  <w:style w:type="character" w:customStyle="1" w:styleId="ab">
    <w:name w:val="_"/>
    <w:basedOn w:val="DefaultParagraphFont"/>
    <w:rsid w:val="002342FA"/>
  </w:style>
  <w:style w:type="character" w:customStyle="1" w:styleId="ref-label">
    <w:name w:val="ref-label"/>
    <w:basedOn w:val="DefaultParagraphFont"/>
    <w:rsid w:val="002342FA"/>
  </w:style>
  <w:style w:type="character" w:customStyle="1" w:styleId="cit-article-title">
    <w:name w:val="cit-article-title"/>
    <w:basedOn w:val="DefaultParagraphFont"/>
    <w:rsid w:val="002342FA"/>
  </w:style>
  <w:style w:type="character" w:customStyle="1" w:styleId="cit-vol">
    <w:name w:val="cit-vol"/>
    <w:basedOn w:val="DefaultParagraphFont"/>
    <w:rsid w:val="002342FA"/>
  </w:style>
  <w:style w:type="character" w:customStyle="1" w:styleId="cit-fpage">
    <w:name w:val="cit-fpage"/>
    <w:basedOn w:val="DefaultParagraphFont"/>
    <w:rsid w:val="002342FA"/>
  </w:style>
  <w:style w:type="character" w:customStyle="1" w:styleId="cit-lpage">
    <w:name w:val="cit-lpage"/>
    <w:basedOn w:val="DefaultParagraphFont"/>
    <w:rsid w:val="002342FA"/>
  </w:style>
  <w:style w:type="character" w:customStyle="1" w:styleId="highwire-cite-metadata-journal">
    <w:name w:val="highwire-cite-metadata-journal"/>
    <w:basedOn w:val="DefaultParagraphFont"/>
    <w:rsid w:val="002342FA"/>
  </w:style>
  <w:style w:type="character" w:customStyle="1" w:styleId="highwire-cite-metadata-date">
    <w:name w:val="highwire-cite-metadata-date"/>
    <w:basedOn w:val="DefaultParagraphFont"/>
    <w:rsid w:val="002342FA"/>
  </w:style>
  <w:style w:type="character" w:customStyle="1" w:styleId="highwire-cite-metadata-volume">
    <w:name w:val="highwire-cite-metadata-volume"/>
    <w:basedOn w:val="DefaultParagraphFont"/>
    <w:rsid w:val="002342FA"/>
  </w:style>
  <w:style w:type="character" w:customStyle="1" w:styleId="highwire-cite-metadata-pages">
    <w:name w:val="highwire-cite-metadata-pages"/>
    <w:basedOn w:val="DefaultParagraphFont"/>
    <w:rsid w:val="002342FA"/>
  </w:style>
  <w:style w:type="character" w:customStyle="1" w:styleId="highwire-cite-metadata-pubdate">
    <w:name w:val="highwire-cite-metadata-pubdate"/>
    <w:basedOn w:val="DefaultParagraphFont"/>
    <w:rsid w:val="002342FA"/>
  </w:style>
  <w:style w:type="character" w:customStyle="1" w:styleId="cit-reflinks-abstract">
    <w:name w:val="cit-reflinks-abstract"/>
    <w:basedOn w:val="DefaultParagraphFont"/>
    <w:rsid w:val="002342FA"/>
  </w:style>
  <w:style w:type="character" w:customStyle="1" w:styleId="fm-citation-ids-label">
    <w:name w:val="fm-citation-ids-label"/>
    <w:basedOn w:val="DefaultParagraphFont"/>
    <w:rsid w:val="002342FA"/>
  </w:style>
  <w:style w:type="character" w:customStyle="1" w:styleId="reflinks">
    <w:name w:val="reflinks"/>
    <w:basedOn w:val="DefaultParagraphFont"/>
    <w:rsid w:val="002342FA"/>
  </w:style>
  <w:style w:type="character" w:customStyle="1" w:styleId="sep">
    <w:name w:val="sep"/>
    <w:basedOn w:val="DefaultParagraphFont"/>
    <w:rsid w:val="002342FA"/>
  </w:style>
  <w:style w:type="character" w:customStyle="1" w:styleId="citedby">
    <w:name w:val="citedby_"/>
    <w:basedOn w:val="DefaultParagraphFont"/>
    <w:rsid w:val="002342FA"/>
  </w:style>
  <w:style w:type="character" w:styleId="LineNumber">
    <w:name w:val="line number"/>
    <w:basedOn w:val="DefaultParagraphFont"/>
    <w:uiPriority w:val="99"/>
    <w:semiHidden/>
    <w:unhideWhenUsed/>
    <w:rsid w:val="002342FA"/>
  </w:style>
  <w:style w:type="paragraph" w:customStyle="1" w:styleId="aug">
    <w:name w:val="aug"/>
    <w:basedOn w:val="Normal"/>
    <w:rsid w:val="002342FA"/>
    <w:pPr>
      <w:bidi w:val="0"/>
      <w:spacing w:before="100" w:beforeAutospacing="1" w:after="100" w:afterAutospacing="1"/>
    </w:pPr>
  </w:style>
  <w:style w:type="character" w:customStyle="1" w:styleId="journalname">
    <w:name w:val="journalname"/>
    <w:basedOn w:val="DefaultParagraphFont"/>
    <w:rsid w:val="002342FA"/>
  </w:style>
  <w:style w:type="character" w:customStyle="1" w:styleId="1Char">
    <w:name w:val="1 Char"/>
    <w:basedOn w:val="DefaultParagraphFont"/>
    <w:link w:val="11"/>
    <w:rsid w:val="00A6632E"/>
    <w:rPr>
      <w:rFonts w:ascii="Stencil" w:eastAsia="Calibri" w:hAnsi="Stencil" w:cs="Simplified Arabic"/>
      <w:sz w:val="34"/>
      <w:szCs w:val="34"/>
    </w:rPr>
  </w:style>
  <w:style w:type="paragraph" w:customStyle="1" w:styleId="Style3">
    <w:name w:val="Style3"/>
    <w:basedOn w:val="Normal"/>
    <w:uiPriority w:val="99"/>
    <w:rsid w:val="00D47154"/>
    <w:pPr>
      <w:widowControl w:val="0"/>
      <w:autoSpaceDE w:val="0"/>
      <w:autoSpaceDN w:val="0"/>
      <w:bidi w:val="0"/>
      <w:adjustRightInd w:val="0"/>
    </w:pPr>
    <w:rPr>
      <w:rFonts w:eastAsia="Calibri"/>
    </w:rPr>
  </w:style>
  <w:style w:type="paragraph" w:customStyle="1" w:styleId="Style4">
    <w:name w:val="Style4"/>
    <w:basedOn w:val="Normal"/>
    <w:uiPriority w:val="99"/>
    <w:rsid w:val="00D47154"/>
    <w:pPr>
      <w:widowControl w:val="0"/>
      <w:autoSpaceDE w:val="0"/>
      <w:autoSpaceDN w:val="0"/>
      <w:bidi w:val="0"/>
      <w:adjustRightInd w:val="0"/>
    </w:pPr>
    <w:rPr>
      <w:rFonts w:eastAsia="Calibri"/>
    </w:rPr>
  </w:style>
  <w:style w:type="paragraph" w:customStyle="1" w:styleId="Style5">
    <w:name w:val="Style5"/>
    <w:basedOn w:val="Normal"/>
    <w:uiPriority w:val="99"/>
    <w:rsid w:val="00D47154"/>
    <w:pPr>
      <w:widowControl w:val="0"/>
      <w:autoSpaceDE w:val="0"/>
      <w:autoSpaceDN w:val="0"/>
      <w:bidi w:val="0"/>
      <w:adjustRightInd w:val="0"/>
    </w:pPr>
    <w:rPr>
      <w:rFonts w:eastAsia="Calibri"/>
    </w:rPr>
  </w:style>
  <w:style w:type="paragraph" w:customStyle="1" w:styleId="Style6">
    <w:name w:val="Style6"/>
    <w:basedOn w:val="Normal"/>
    <w:uiPriority w:val="99"/>
    <w:rsid w:val="00D47154"/>
    <w:pPr>
      <w:widowControl w:val="0"/>
      <w:autoSpaceDE w:val="0"/>
      <w:autoSpaceDN w:val="0"/>
      <w:bidi w:val="0"/>
      <w:adjustRightInd w:val="0"/>
    </w:pPr>
    <w:rPr>
      <w:rFonts w:eastAsia="Calibri"/>
    </w:rPr>
  </w:style>
  <w:style w:type="paragraph" w:customStyle="1" w:styleId="Style7">
    <w:name w:val="Style7"/>
    <w:basedOn w:val="Normal"/>
    <w:uiPriority w:val="99"/>
    <w:rsid w:val="00D47154"/>
    <w:pPr>
      <w:widowControl w:val="0"/>
      <w:autoSpaceDE w:val="0"/>
      <w:autoSpaceDN w:val="0"/>
      <w:bidi w:val="0"/>
      <w:adjustRightInd w:val="0"/>
      <w:spacing w:line="523" w:lineRule="exact"/>
      <w:jc w:val="center"/>
    </w:pPr>
    <w:rPr>
      <w:rFonts w:eastAsia="Calibri"/>
    </w:rPr>
  </w:style>
  <w:style w:type="paragraph" w:customStyle="1" w:styleId="Style8">
    <w:name w:val="Style8"/>
    <w:basedOn w:val="Normal"/>
    <w:uiPriority w:val="99"/>
    <w:rsid w:val="00D47154"/>
    <w:pPr>
      <w:widowControl w:val="0"/>
      <w:autoSpaceDE w:val="0"/>
      <w:autoSpaceDN w:val="0"/>
      <w:bidi w:val="0"/>
      <w:adjustRightInd w:val="0"/>
    </w:pPr>
    <w:rPr>
      <w:rFonts w:eastAsia="Calibri"/>
    </w:rPr>
  </w:style>
  <w:style w:type="paragraph" w:customStyle="1" w:styleId="Style9">
    <w:name w:val="Style9"/>
    <w:basedOn w:val="Normal"/>
    <w:uiPriority w:val="99"/>
    <w:rsid w:val="00D47154"/>
    <w:pPr>
      <w:widowControl w:val="0"/>
      <w:autoSpaceDE w:val="0"/>
      <w:autoSpaceDN w:val="0"/>
      <w:bidi w:val="0"/>
      <w:adjustRightInd w:val="0"/>
      <w:spacing w:line="379" w:lineRule="exact"/>
      <w:jc w:val="center"/>
    </w:pPr>
    <w:rPr>
      <w:rFonts w:eastAsia="Calibri"/>
    </w:rPr>
  </w:style>
  <w:style w:type="paragraph" w:customStyle="1" w:styleId="Style10">
    <w:name w:val="Style10"/>
    <w:basedOn w:val="Normal"/>
    <w:uiPriority w:val="99"/>
    <w:rsid w:val="00D47154"/>
    <w:pPr>
      <w:widowControl w:val="0"/>
      <w:autoSpaceDE w:val="0"/>
      <w:autoSpaceDN w:val="0"/>
      <w:bidi w:val="0"/>
      <w:adjustRightInd w:val="0"/>
    </w:pPr>
    <w:rPr>
      <w:rFonts w:eastAsia="Calibri"/>
    </w:rPr>
  </w:style>
  <w:style w:type="paragraph" w:customStyle="1" w:styleId="Style11">
    <w:name w:val="Style11"/>
    <w:basedOn w:val="Normal"/>
    <w:uiPriority w:val="99"/>
    <w:rsid w:val="00D47154"/>
    <w:pPr>
      <w:widowControl w:val="0"/>
      <w:autoSpaceDE w:val="0"/>
      <w:autoSpaceDN w:val="0"/>
      <w:bidi w:val="0"/>
      <w:adjustRightInd w:val="0"/>
    </w:pPr>
    <w:rPr>
      <w:rFonts w:eastAsia="Calibri"/>
    </w:rPr>
  </w:style>
  <w:style w:type="paragraph" w:customStyle="1" w:styleId="Style12">
    <w:name w:val="Style12"/>
    <w:basedOn w:val="Normal"/>
    <w:uiPriority w:val="99"/>
    <w:rsid w:val="00D47154"/>
    <w:pPr>
      <w:widowControl w:val="0"/>
      <w:autoSpaceDE w:val="0"/>
      <w:autoSpaceDN w:val="0"/>
      <w:bidi w:val="0"/>
      <w:adjustRightInd w:val="0"/>
    </w:pPr>
    <w:rPr>
      <w:rFonts w:eastAsia="Calibri"/>
    </w:rPr>
  </w:style>
  <w:style w:type="paragraph" w:customStyle="1" w:styleId="Style13">
    <w:name w:val="Style13"/>
    <w:basedOn w:val="Normal"/>
    <w:uiPriority w:val="99"/>
    <w:rsid w:val="00D47154"/>
    <w:pPr>
      <w:widowControl w:val="0"/>
      <w:autoSpaceDE w:val="0"/>
      <w:autoSpaceDN w:val="0"/>
      <w:bidi w:val="0"/>
      <w:adjustRightInd w:val="0"/>
      <w:spacing w:line="374" w:lineRule="exact"/>
      <w:ind w:firstLine="125"/>
    </w:pPr>
    <w:rPr>
      <w:rFonts w:eastAsia="Calibri"/>
    </w:rPr>
  </w:style>
  <w:style w:type="paragraph" w:customStyle="1" w:styleId="Style14">
    <w:name w:val="Style14"/>
    <w:basedOn w:val="Normal"/>
    <w:uiPriority w:val="99"/>
    <w:rsid w:val="00D47154"/>
    <w:pPr>
      <w:widowControl w:val="0"/>
      <w:autoSpaceDE w:val="0"/>
      <w:autoSpaceDN w:val="0"/>
      <w:bidi w:val="0"/>
      <w:adjustRightInd w:val="0"/>
      <w:spacing w:line="336" w:lineRule="exact"/>
      <w:jc w:val="center"/>
    </w:pPr>
    <w:rPr>
      <w:rFonts w:eastAsia="Calibri"/>
    </w:rPr>
  </w:style>
  <w:style w:type="character" w:customStyle="1" w:styleId="FontStyle16">
    <w:name w:val="Font Style16"/>
    <w:basedOn w:val="DefaultParagraphFont"/>
    <w:uiPriority w:val="99"/>
    <w:rsid w:val="00D47154"/>
    <w:rPr>
      <w:rFonts w:ascii="Times New Roman" w:hAnsi="Times New Roman" w:cs="Times New Roman"/>
      <w:b/>
      <w:bCs/>
      <w:sz w:val="38"/>
      <w:szCs w:val="38"/>
      <w:lang w:bidi="ar-SA"/>
    </w:rPr>
  </w:style>
  <w:style w:type="character" w:customStyle="1" w:styleId="FontStyle18">
    <w:name w:val="Font Style18"/>
    <w:basedOn w:val="DefaultParagraphFont"/>
    <w:uiPriority w:val="99"/>
    <w:rsid w:val="00D47154"/>
    <w:rPr>
      <w:rFonts w:ascii="Constantia" w:hAnsi="Constantia" w:cs="Constantia"/>
      <w:i/>
      <w:iCs/>
      <w:spacing w:val="-10"/>
      <w:sz w:val="26"/>
      <w:szCs w:val="26"/>
      <w:lang w:bidi="ar-SA"/>
    </w:rPr>
  </w:style>
  <w:style w:type="character" w:customStyle="1" w:styleId="FontStyle19">
    <w:name w:val="Font Style19"/>
    <w:basedOn w:val="DefaultParagraphFont"/>
    <w:uiPriority w:val="99"/>
    <w:rsid w:val="00D47154"/>
    <w:rPr>
      <w:rFonts w:ascii="Times New Roman" w:hAnsi="Times New Roman" w:cs="Times New Roman"/>
      <w:b/>
      <w:bCs/>
      <w:sz w:val="28"/>
      <w:szCs w:val="28"/>
      <w:lang w:bidi="ar-SA"/>
    </w:rPr>
  </w:style>
  <w:style w:type="character" w:customStyle="1" w:styleId="FontStyle20">
    <w:name w:val="Font Style20"/>
    <w:basedOn w:val="DefaultParagraphFont"/>
    <w:uiPriority w:val="99"/>
    <w:rsid w:val="00D47154"/>
    <w:rPr>
      <w:rFonts w:ascii="Constantia" w:hAnsi="Constantia" w:cs="Constantia"/>
      <w:b/>
      <w:bCs/>
      <w:i/>
      <w:iCs/>
      <w:sz w:val="20"/>
      <w:szCs w:val="20"/>
      <w:lang w:bidi="ar-SA"/>
    </w:rPr>
  </w:style>
  <w:style w:type="character" w:customStyle="1" w:styleId="FontStyle21">
    <w:name w:val="Font Style21"/>
    <w:basedOn w:val="DefaultParagraphFont"/>
    <w:uiPriority w:val="99"/>
    <w:rsid w:val="00D47154"/>
    <w:rPr>
      <w:rFonts w:ascii="Times New Roman" w:hAnsi="Times New Roman" w:cs="Times New Roman"/>
      <w:b/>
      <w:bCs/>
      <w:sz w:val="32"/>
      <w:szCs w:val="32"/>
      <w:lang w:bidi="ar-SA"/>
    </w:rPr>
  </w:style>
  <w:style w:type="character" w:customStyle="1" w:styleId="FontStyle22">
    <w:name w:val="Font Style22"/>
    <w:basedOn w:val="DefaultParagraphFont"/>
    <w:uiPriority w:val="99"/>
    <w:rsid w:val="00D47154"/>
    <w:rPr>
      <w:rFonts w:ascii="Times New Roman" w:hAnsi="Times New Roman" w:cs="Times New Roman"/>
      <w:sz w:val="22"/>
      <w:szCs w:val="22"/>
      <w:lang w:bidi="ar-SA"/>
    </w:rPr>
  </w:style>
  <w:style w:type="character" w:customStyle="1" w:styleId="FontStyle24">
    <w:name w:val="Font Style24"/>
    <w:basedOn w:val="DefaultParagraphFont"/>
    <w:uiPriority w:val="99"/>
    <w:rsid w:val="00D47154"/>
    <w:rPr>
      <w:rFonts w:ascii="Times New Roman" w:hAnsi="Times New Roman" w:cs="Times New Roman"/>
      <w:b/>
      <w:bCs/>
      <w:sz w:val="18"/>
      <w:szCs w:val="18"/>
      <w:lang w:bidi="ar-SA"/>
    </w:rPr>
  </w:style>
  <w:style w:type="paragraph" w:customStyle="1" w:styleId="Style2">
    <w:name w:val="Style2"/>
    <w:basedOn w:val="Normal"/>
    <w:link w:val="Style2Char"/>
    <w:uiPriority w:val="99"/>
    <w:rsid w:val="00ED6340"/>
    <w:pPr>
      <w:bidi w:val="0"/>
      <w:spacing w:before="240" w:line="276" w:lineRule="auto"/>
      <w:ind w:firstLine="794"/>
      <w:jc w:val="both"/>
    </w:pPr>
    <w:rPr>
      <w:rFonts w:ascii="Tahoma" w:eastAsia="Britannic Bold" w:hAnsi="Tahoma" w:cs="Tahoma"/>
      <w:b/>
      <w:bCs/>
      <w:i/>
      <w:iCs/>
      <w:sz w:val="32"/>
      <w:szCs w:val="32"/>
    </w:rPr>
  </w:style>
  <w:style w:type="character" w:customStyle="1" w:styleId="Style1Char">
    <w:name w:val="Style1 Char"/>
    <w:basedOn w:val="DefaultParagraphFont"/>
    <w:rsid w:val="00ED6340"/>
    <w:rPr>
      <w:rFonts w:ascii="Times New Roman" w:eastAsia="Times New Roman" w:hAnsi="Times New Roman" w:cs="Times New Roman"/>
      <w:sz w:val="32"/>
      <w:szCs w:val="32"/>
      <w:lang w:val="en-GB"/>
    </w:rPr>
  </w:style>
  <w:style w:type="character" w:customStyle="1" w:styleId="Style2Char">
    <w:name w:val="Style2 Char"/>
    <w:basedOn w:val="DefaultParagraphFont"/>
    <w:link w:val="Style2"/>
    <w:rsid w:val="00ED6340"/>
    <w:rPr>
      <w:rFonts w:ascii="Tahoma" w:eastAsia="Britannic Bold" w:hAnsi="Tahoma" w:cs="Tahoma"/>
      <w:b/>
      <w:bCs/>
      <w:i/>
      <w:iCs/>
      <w:sz w:val="32"/>
      <w:szCs w:val="32"/>
    </w:rPr>
  </w:style>
  <w:style w:type="numbering" w:customStyle="1" w:styleId="NoList11">
    <w:name w:val="No List11"/>
    <w:next w:val="NoList"/>
    <w:uiPriority w:val="99"/>
    <w:semiHidden/>
    <w:unhideWhenUsed/>
    <w:rsid w:val="00882A48"/>
  </w:style>
  <w:style w:type="table" w:styleId="TableList3">
    <w:name w:val="Table List 3"/>
    <w:basedOn w:val="TableNormal"/>
    <w:uiPriority w:val="99"/>
    <w:semiHidden/>
    <w:unhideWhenUsed/>
    <w:rsid w:val="00016CC0"/>
    <w:pPr>
      <w:spacing w:after="200" w:line="276" w:lineRule="auto"/>
    </w:pPr>
    <w:rPr>
      <w:rFonts w:asciiTheme="minorHAnsi" w:eastAsiaTheme="minorHAnsi" w:hAnsiTheme="minorHAnsi" w:cstheme="minorBidi"/>
      <w:sz w:val="22"/>
      <w:szCs w:val="22"/>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normal1">
    <w:name w:val="normal1"/>
    <w:basedOn w:val="DefaultParagraphFont"/>
    <w:rsid w:val="00016CC0"/>
    <w:rPr>
      <w:rFonts w:ascii="Arial" w:hAnsi="Arial" w:cs="Arial" w:hint="default"/>
      <w:color w:val="000000"/>
      <w:sz w:val="20"/>
      <w:szCs w:val="20"/>
    </w:rPr>
  </w:style>
  <w:style w:type="character" w:styleId="HTMLAcronym">
    <w:name w:val="HTML Acronym"/>
    <w:basedOn w:val="DefaultParagraphFont"/>
    <w:unhideWhenUsed/>
    <w:rsid w:val="00016CC0"/>
  </w:style>
  <w:style w:type="table" w:customStyle="1" w:styleId="LightList-Accent12">
    <w:name w:val="Light List - Accent 12"/>
    <w:rsid w:val="005B7F76"/>
    <w:rPr>
      <w:rFonts w:ascii="Calibri" w:hAnsi="Calibri" w:cs="Arial"/>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2">
    <w:name w:val="Light Shading - Accent 12"/>
    <w:rsid w:val="005B7F76"/>
    <w:rPr>
      <w:rFonts w:ascii="Calibri" w:hAnsi="Calibri" w:cs="Arial"/>
      <w:color w:val="365F91"/>
      <w:lang w:val="en-GB"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character" w:customStyle="1" w:styleId="CharChar6">
    <w:name w:val="Char Char6"/>
    <w:rsid w:val="005B7F76"/>
    <w:rPr>
      <w:sz w:val="24"/>
      <w:szCs w:val="24"/>
      <w:lang w:val="en-US" w:eastAsia="en-US" w:bidi="ar-SA"/>
    </w:rPr>
  </w:style>
  <w:style w:type="character" w:customStyle="1" w:styleId="CharChar10">
    <w:name w:val="Char Char10"/>
    <w:rsid w:val="005B7F76"/>
    <w:rPr>
      <w:rFonts w:ascii="Times New Roman" w:eastAsia="Times New Roman" w:hAnsi="Times New Roman" w:cs="Times New Roman"/>
      <w:b/>
      <w:bCs/>
      <w:kern w:val="36"/>
      <w:sz w:val="48"/>
      <w:szCs w:val="48"/>
    </w:rPr>
  </w:style>
  <w:style w:type="character" w:customStyle="1" w:styleId="CharChar8">
    <w:name w:val="Char Char8"/>
    <w:rsid w:val="005B7F76"/>
    <w:rPr>
      <w:rFonts w:ascii="Calibri Light" w:eastAsia="Times New Roman" w:hAnsi="Calibri Light" w:cs="Times New Roman"/>
      <w:b/>
      <w:bCs/>
      <w:sz w:val="26"/>
      <w:szCs w:val="26"/>
    </w:rPr>
  </w:style>
  <w:style w:type="character" w:customStyle="1" w:styleId="NormalWebChar">
    <w:name w:val="Normal (Web) Char"/>
    <w:aliases w:val=" Char Char Char3 Char"/>
    <w:link w:val="NormalWeb"/>
    <w:rsid w:val="005B7F76"/>
    <w:rPr>
      <w:sz w:val="24"/>
      <w:szCs w:val="24"/>
    </w:rPr>
  </w:style>
  <w:style w:type="paragraph" w:customStyle="1" w:styleId="node">
    <w:name w:val="node"/>
    <w:basedOn w:val="Normal"/>
    <w:rsid w:val="005B7F76"/>
    <w:pPr>
      <w:bidi w:val="0"/>
      <w:spacing w:before="100" w:beforeAutospacing="1" w:after="100" w:afterAutospacing="1"/>
    </w:pPr>
  </w:style>
  <w:style w:type="paragraph" w:styleId="EndnoteText">
    <w:name w:val="endnote text"/>
    <w:basedOn w:val="Normal"/>
    <w:link w:val="EndnoteTextChar"/>
    <w:uiPriority w:val="99"/>
    <w:semiHidden/>
    <w:unhideWhenUsed/>
    <w:rsid w:val="00902C5E"/>
    <w:pPr>
      <w:bidi w:val="0"/>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02C5E"/>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902C5E"/>
    <w:rPr>
      <w:vertAlign w:val="superscript"/>
    </w:rPr>
  </w:style>
  <w:style w:type="character" w:customStyle="1" w:styleId="fignum1">
    <w:name w:val="fignum1"/>
    <w:basedOn w:val="DefaultParagraphFont"/>
    <w:rsid w:val="00902C5E"/>
    <w:rPr>
      <w:b/>
      <w:bCs/>
      <w:caps/>
      <w:color w:val="800000"/>
      <w:sz w:val="22"/>
      <w:szCs w:val="22"/>
    </w:rPr>
  </w:style>
  <w:style w:type="paragraph" w:customStyle="1" w:styleId="fig">
    <w:name w:val="fig"/>
    <w:basedOn w:val="Normal"/>
    <w:rsid w:val="00902C5E"/>
    <w:pPr>
      <w:bidi w:val="0"/>
      <w:spacing w:before="480" w:after="120"/>
      <w:jc w:val="center"/>
    </w:pPr>
  </w:style>
  <w:style w:type="paragraph" w:customStyle="1" w:styleId="figleg">
    <w:name w:val="figleg"/>
    <w:basedOn w:val="Normal"/>
    <w:rsid w:val="00902C5E"/>
    <w:pPr>
      <w:bidi w:val="0"/>
      <w:spacing w:before="100" w:beforeAutospacing="1" w:after="100" w:afterAutospacing="1" w:line="288" w:lineRule="atLeast"/>
      <w:ind w:left="480" w:right="480"/>
    </w:pPr>
    <w:rPr>
      <w:rFonts w:ascii="Arial" w:hAnsi="Arial" w:cs="Arial"/>
      <w:sz w:val="17"/>
      <w:szCs w:val="17"/>
    </w:rPr>
  </w:style>
  <w:style w:type="character" w:customStyle="1" w:styleId="capt">
    <w:name w:val="capt"/>
    <w:basedOn w:val="DefaultParagraphFont"/>
    <w:rsid w:val="00902C5E"/>
  </w:style>
  <w:style w:type="table" w:customStyle="1" w:styleId="LightShading1">
    <w:name w:val="Light Shading1"/>
    <w:basedOn w:val="TableNormal"/>
    <w:uiPriority w:val="60"/>
    <w:rsid w:val="00902C5E"/>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itation-publication-date">
    <w:name w:val="citation-publication-date"/>
    <w:basedOn w:val="DefaultParagraphFont"/>
    <w:rsid w:val="00902C5E"/>
  </w:style>
  <w:style w:type="table" w:customStyle="1" w:styleId="TableGrid5">
    <w:name w:val="Table Grid5"/>
    <w:basedOn w:val="TableNormal"/>
    <w:next w:val="TableGrid"/>
    <w:uiPriority w:val="59"/>
    <w:rsid w:val="00902C5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FF7B22"/>
  </w:style>
  <w:style w:type="character" w:customStyle="1" w:styleId="result">
    <w:name w:val="result"/>
    <w:basedOn w:val="DefaultParagraphFont"/>
    <w:rsid w:val="00924845"/>
    <w:rPr>
      <w:color w:val="000080"/>
    </w:rPr>
  </w:style>
  <w:style w:type="character" w:customStyle="1" w:styleId="Heading1Char1">
    <w:name w:val="Heading 1 Char1"/>
    <w:basedOn w:val="DefaultParagraphFont"/>
    <w:locked/>
    <w:rsid w:val="0095140B"/>
    <w:rPr>
      <w:rFonts w:ascii="Albertus Extra Bold" w:eastAsia="Times New Roman" w:hAnsi="Albertus Extra Bold" w:cs="Arial"/>
      <w:b/>
      <w:bCs/>
      <w:smallCaps/>
      <w:kern w:val="32"/>
      <w:sz w:val="44"/>
      <w:szCs w:val="44"/>
      <w:lang w:bidi="ar-EG"/>
    </w:rPr>
  </w:style>
  <w:style w:type="character" w:customStyle="1" w:styleId="cit-source">
    <w:name w:val="cit-source"/>
    <w:rsid w:val="0095140B"/>
    <w:rPr>
      <w:rFonts w:ascii="Times New Roman" w:hAnsi="Times New Roman" w:cs="Times New Roman" w:hint="default"/>
    </w:rPr>
  </w:style>
  <w:style w:type="character" w:customStyle="1" w:styleId="Bodytext3">
    <w:name w:val="Body text (3)_"/>
    <w:link w:val="Bodytext31"/>
    <w:locked/>
    <w:rsid w:val="00B73BF0"/>
    <w:rPr>
      <w:rFonts w:ascii="AngsanaUPC" w:hAnsi="AngsanaUPC" w:cs="AngsanaUPC"/>
      <w:sz w:val="49"/>
      <w:szCs w:val="49"/>
      <w:shd w:val="clear" w:color="auto" w:fill="FFFFFF"/>
    </w:rPr>
  </w:style>
  <w:style w:type="paragraph" w:customStyle="1" w:styleId="Bodytext31">
    <w:name w:val="Body text (3)1"/>
    <w:basedOn w:val="Normal"/>
    <w:link w:val="Bodytext3"/>
    <w:rsid w:val="00B73BF0"/>
    <w:pPr>
      <w:widowControl w:val="0"/>
      <w:shd w:val="clear" w:color="auto" w:fill="FFFFFF"/>
      <w:bidi w:val="0"/>
      <w:spacing w:before="480" w:line="396" w:lineRule="exact"/>
      <w:jc w:val="center"/>
    </w:pPr>
    <w:rPr>
      <w:rFonts w:ascii="AngsanaUPC" w:hAnsi="AngsanaUPC" w:cs="AngsanaUPC"/>
      <w:sz w:val="49"/>
      <w:szCs w:val="49"/>
    </w:rPr>
  </w:style>
  <w:style w:type="character" w:customStyle="1" w:styleId="mwe-math-mathml-inline">
    <w:name w:val="mwe-math-mathml-inline"/>
    <w:basedOn w:val="DefaultParagraphFont"/>
    <w:rsid w:val="00003715"/>
  </w:style>
  <w:style w:type="character" w:customStyle="1" w:styleId="warning">
    <w:name w:val="warning"/>
    <w:basedOn w:val="DefaultParagraphFont"/>
    <w:rsid w:val="00F84773"/>
    <w:rPr>
      <w:color w:val="FF0000"/>
    </w:rPr>
  </w:style>
  <w:style w:type="paragraph" w:customStyle="1" w:styleId="para">
    <w:name w:val="para"/>
    <w:basedOn w:val="Normal"/>
    <w:rsid w:val="00071B24"/>
    <w:pPr>
      <w:bidi w:val="0"/>
      <w:spacing w:before="100" w:beforeAutospacing="1" w:after="100" w:afterAutospacing="1"/>
    </w:pPr>
  </w:style>
  <w:style w:type="character" w:customStyle="1" w:styleId="toctext">
    <w:name w:val="toctext"/>
    <w:rsid w:val="00AE33EE"/>
    <w:rPr>
      <w:rFonts w:cs="Times New Roman"/>
    </w:rPr>
  </w:style>
  <w:style w:type="paragraph" w:customStyle="1" w:styleId="Pa16">
    <w:name w:val="Pa16"/>
    <w:basedOn w:val="Normal"/>
    <w:next w:val="Normal"/>
    <w:uiPriority w:val="99"/>
    <w:rsid w:val="0045297D"/>
    <w:pPr>
      <w:autoSpaceDE w:val="0"/>
      <w:autoSpaceDN w:val="0"/>
      <w:bidi w:val="0"/>
      <w:adjustRightInd w:val="0"/>
      <w:spacing w:line="191" w:lineRule="atLeast"/>
    </w:pPr>
    <w:rPr>
      <w:rFonts w:ascii="Myriad Pro Light" w:eastAsiaTheme="minorHAnsi" w:hAnsi="Myriad Pro Light"/>
    </w:rPr>
  </w:style>
  <w:style w:type="character" w:customStyle="1" w:styleId="A25">
    <w:name w:val="A25"/>
    <w:uiPriority w:val="99"/>
    <w:rsid w:val="0045297D"/>
    <w:rPr>
      <w:rFonts w:ascii="Myriad Pro Light" w:hAnsi="Myriad Pro Light" w:cs="Myriad Pro Light" w:hint="default"/>
      <w:color w:val="000000"/>
    </w:rPr>
  </w:style>
  <w:style w:type="table" w:styleId="LightShading">
    <w:name w:val="Light Shading"/>
    <w:basedOn w:val="TableNormal"/>
    <w:uiPriority w:val="60"/>
    <w:rsid w:val="0045297D"/>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fa">
    <w:name w:val="ffa"/>
    <w:basedOn w:val="DefaultParagraphFont"/>
    <w:rsid w:val="0045297D"/>
  </w:style>
  <w:style w:type="character" w:customStyle="1" w:styleId="ffb">
    <w:name w:val="ffb"/>
    <w:basedOn w:val="DefaultParagraphFont"/>
    <w:rsid w:val="0045297D"/>
  </w:style>
  <w:style w:type="character" w:customStyle="1" w:styleId="wsc0">
    <w:name w:val="wsc0"/>
    <w:basedOn w:val="DefaultParagraphFont"/>
    <w:rsid w:val="0045297D"/>
  </w:style>
  <w:style w:type="character" w:customStyle="1" w:styleId="ws1c0">
    <w:name w:val="ws1c0"/>
    <w:basedOn w:val="DefaultParagraphFont"/>
    <w:rsid w:val="0045297D"/>
  </w:style>
  <w:style w:type="character" w:customStyle="1" w:styleId="ff9">
    <w:name w:val="ff9"/>
    <w:basedOn w:val="DefaultParagraphFont"/>
    <w:rsid w:val="0045297D"/>
  </w:style>
  <w:style w:type="character" w:customStyle="1" w:styleId="ws34">
    <w:name w:val="ws34"/>
    <w:basedOn w:val="DefaultParagraphFont"/>
    <w:rsid w:val="0045297D"/>
  </w:style>
  <w:style w:type="character" w:customStyle="1" w:styleId="fsa">
    <w:name w:val="fsa"/>
    <w:basedOn w:val="DefaultParagraphFont"/>
    <w:rsid w:val="0045297D"/>
  </w:style>
  <w:style w:type="character" w:customStyle="1" w:styleId="wse3">
    <w:name w:val="wse3"/>
    <w:basedOn w:val="DefaultParagraphFont"/>
    <w:rsid w:val="0045297D"/>
  </w:style>
  <w:style w:type="character" w:customStyle="1" w:styleId="wsbc">
    <w:name w:val="wsbc"/>
    <w:basedOn w:val="DefaultParagraphFont"/>
    <w:rsid w:val="0045297D"/>
  </w:style>
  <w:style w:type="character" w:customStyle="1" w:styleId="wse9">
    <w:name w:val="wse9"/>
    <w:basedOn w:val="DefaultParagraphFont"/>
    <w:rsid w:val="0045297D"/>
  </w:style>
  <w:style w:type="character" w:customStyle="1" w:styleId="ffc">
    <w:name w:val="ffc"/>
    <w:basedOn w:val="DefaultParagraphFont"/>
    <w:rsid w:val="0045297D"/>
  </w:style>
  <w:style w:type="character" w:customStyle="1" w:styleId="ff8">
    <w:name w:val="ff8"/>
    <w:basedOn w:val="DefaultParagraphFont"/>
    <w:rsid w:val="0045297D"/>
  </w:style>
  <w:style w:type="character" w:customStyle="1" w:styleId="fc1">
    <w:name w:val="fc1"/>
    <w:basedOn w:val="DefaultParagraphFont"/>
    <w:rsid w:val="0045297D"/>
  </w:style>
  <w:style w:type="character" w:customStyle="1" w:styleId="ws127">
    <w:name w:val="ws127"/>
    <w:basedOn w:val="DefaultParagraphFont"/>
    <w:rsid w:val="0045297D"/>
  </w:style>
  <w:style w:type="character" w:customStyle="1" w:styleId="ff11">
    <w:name w:val="ff11"/>
    <w:basedOn w:val="DefaultParagraphFont"/>
    <w:rsid w:val="0045297D"/>
  </w:style>
  <w:style w:type="character" w:customStyle="1" w:styleId="ws33">
    <w:name w:val="ws33"/>
    <w:basedOn w:val="DefaultParagraphFont"/>
    <w:rsid w:val="0045297D"/>
  </w:style>
  <w:style w:type="character" w:customStyle="1" w:styleId="ws16b">
    <w:name w:val="ws16b"/>
    <w:basedOn w:val="DefaultParagraphFont"/>
    <w:rsid w:val="0045297D"/>
  </w:style>
  <w:style w:type="character" w:customStyle="1" w:styleId="fff">
    <w:name w:val="fff"/>
    <w:basedOn w:val="DefaultParagraphFont"/>
    <w:rsid w:val="0045297D"/>
  </w:style>
  <w:style w:type="table" w:styleId="LightList">
    <w:name w:val="Light List"/>
    <w:basedOn w:val="TableNormal"/>
    <w:uiPriority w:val="61"/>
    <w:rsid w:val="0045297D"/>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ext">
    <w:name w:val="text"/>
    <w:basedOn w:val="DefaultParagraphFont"/>
    <w:rsid w:val="0045297D"/>
  </w:style>
  <w:style w:type="character" w:customStyle="1" w:styleId="surname">
    <w:name w:val="surname"/>
    <w:basedOn w:val="DefaultParagraphFont"/>
    <w:rsid w:val="0045297D"/>
  </w:style>
  <w:style w:type="character" w:customStyle="1" w:styleId="chapter-title1">
    <w:name w:val="chapter-title1"/>
    <w:rsid w:val="0045297D"/>
    <w:rPr>
      <w:b/>
      <w:bCs/>
      <w:color w:val="003D6D"/>
      <w:sz w:val="24"/>
      <w:szCs w:val="24"/>
    </w:rPr>
  </w:style>
  <w:style w:type="paragraph" w:customStyle="1" w:styleId="ac">
    <w:name w:val="عنوان رئيسي جانبي"/>
    <w:basedOn w:val="Normal"/>
    <w:uiPriority w:val="99"/>
    <w:rsid w:val="0045297D"/>
    <w:pPr>
      <w:bidi w:val="0"/>
      <w:spacing w:before="100" w:beforeAutospacing="1" w:after="100" w:afterAutospacing="1"/>
      <w:jc w:val="lowKashida"/>
    </w:pPr>
    <w:rPr>
      <w:rFonts w:cs="PT Bold Heading"/>
      <w:b/>
      <w:bCs/>
      <w:sz w:val="32"/>
      <w:szCs w:val="32"/>
    </w:rPr>
  </w:style>
  <w:style w:type="paragraph" w:customStyle="1" w:styleId="StyleStyle2Auto1">
    <w:name w:val="Style Style2 + Auto1"/>
    <w:basedOn w:val="Style2"/>
    <w:uiPriority w:val="99"/>
    <w:rsid w:val="0045297D"/>
    <w:pPr>
      <w:tabs>
        <w:tab w:val="num" w:pos="2128"/>
      </w:tabs>
      <w:spacing w:before="100" w:beforeAutospacing="1" w:after="100" w:afterAutospacing="1" w:line="240" w:lineRule="auto"/>
      <w:ind w:left="2128" w:hanging="1418"/>
      <w:jc w:val="lowKashida"/>
    </w:pPr>
    <w:rPr>
      <w:rFonts w:ascii="Times New Roman" w:eastAsia="Times New Roman" w:hAnsi="Times New Roman" w:cs="Simplified Arabic"/>
      <w:i w:val="0"/>
      <w:iCs w:val="0"/>
      <w:sz w:val="28"/>
      <w:szCs w:val="28"/>
    </w:rPr>
  </w:style>
  <w:style w:type="paragraph" w:customStyle="1" w:styleId="145">
    <w:name w:val="نمط عنوان رئيسي مرقم + بعد:  1.45 سم"/>
    <w:basedOn w:val="Normal"/>
    <w:uiPriority w:val="99"/>
    <w:rsid w:val="0045297D"/>
    <w:pPr>
      <w:numPr>
        <w:numId w:val="4"/>
      </w:numPr>
      <w:bidi w:val="0"/>
      <w:spacing w:before="100" w:beforeAutospacing="1" w:after="100" w:afterAutospacing="1"/>
      <w:jc w:val="both"/>
    </w:pPr>
    <w:rPr>
      <w:rFonts w:cs="PT Bold Heading"/>
      <w:b/>
      <w:bCs/>
      <w:sz w:val="30"/>
      <w:szCs w:val="30"/>
    </w:rPr>
  </w:style>
  <w:style w:type="paragraph" w:customStyle="1" w:styleId="127">
    <w:name w:val="نمط عادي مرمز + بعد:  1.27 سم"/>
    <w:basedOn w:val="Normal"/>
    <w:uiPriority w:val="99"/>
    <w:rsid w:val="0045297D"/>
    <w:pPr>
      <w:numPr>
        <w:numId w:val="3"/>
      </w:numPr>
      <w:bidi w:val="0"/>
      <w:spacing w:before="100" w:beforeAutospacing="1" w:after="100" w:afterAutospacing="1"/>
      <w:jc w:val="lowKashida"/>
    </w:pPr>
    <w:rPr>
      <w:rFonts w:cs="Simplified Arabic"/>
      <w:sz w:val="28"/>
      <w:szCs w:val="28"/>
    </w:rPr>
  </w:style>
  <w:style w:type="character" w:customStyle="1" w:styleId="citation1">
    <w:name w:val="citation1"/>
    <w:rsid w:val="0045297D"/>
    <w:rPr>
      <w:rFonts w:ascii="Arial" w:hAnsi="Arial" w:cs="Arial" w:hint="default"/>
      <w:sz w:val="18"/>
      <w:szCs w:val="18"/>
    </w:rPr>
  </w:style>
  <w:style w:type="paragraph" w:customStyle="1" w:styleId="ad">
    <w:name w:val="عنوان جانبي فرعي"/>
    <w:basedOn w:val="Normal"/>
    <w:link w:val="Char0"/>
    <w:uiPriority w:val="99"/>
    <w:rsid w:val="0045297D"/>
    <w:pPr>
      <w:bidi w:val="0"/>
      <w:spacing w:before="100" w:beforeAutospacing="1" w:after="100" w:afterAutospacing="1"/>
      <w:ind w:left="284"/>
      <w:jc w:val="lowKashida"/>
    </w:pPr>
    <w:rPr>
      <w:rFonts w:cs="PT Bold Heading"/>
      <w:b/>
      <w:bCs/>
      <w:sz w:val="30"/>
      <w:szCs w:val="30"/>
    </w:rPr>
  </w:style>
  <w:style w:type="character" w:customStyle="1" w:styleId="Char0">
    <w:name w:val="عنوان جانبي فرعي Char"/>
    <w:link w:val="ad"/>
    <w:uiPriority w:val="99"/>
    <w:rsid w:val="0045297D"/>
    <w:rPr>
      <w:rFonts w:cs="PT Bold Heading"/>
      <w:b/>
      <w:bCs/>
      <w:sz w:val="30"/>
      <w:szCs w:val="30"/>
    </w:rPr>
  </w:style>
  <w:style w:type="paragraph" w:customStyle="1" w:styleId="ordinrytext">
    <w:name w:val="ordinry text"/>
    <w:rsid w:val="0045297D"/>
    <w:pPr>
      <w:spacing w:after="240"/>
      <w:ind w:firstLine="680"/>
      <w:jc w:val="lowKashida"/>
    </w:pPr>
    <w:rPr>
      <w:rFonts w:ascii="Verdana"/>
      <w:sz w:val="26"/>
    </w:rPr>
  </w:style>
  <w:style w:type="paragraph" w:customStyle="1" w:styleId="Preformatted">
    <w:name w:val="Preformatted"/>
    <w:basedOn w:val="Normal"/>
    <w:rsid w:val="0045297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bidi w:val="0"/>
    </w:pPr>
    <w:rPr>
      <w:rFonts w:ascii="Courier New"/>
      <w:sz w:val="20"/>
      <w:szCs w:val="20"/>
    </w:rPr>
  </w:style>
  <w:style w:type="paragraph" w:customStyle="1" w:styleId="p17">
    <w:name w:val="p17"/>
    <w:basedOn w:val="Normal"/>
    <w:rsid w:val="0045297D"/>
    <w:pPr>
      <w:widowControl w:val="0"/>
      <w:tabs>
        <w:tab w:val="left" w:pos="2300"/>
      </w:tabs>
      <w:bidi w:val="0"/>
      <w:spacing w:line="240" w:lineRule="atLeast"/>
      <w:ind w:left="860"/>
      <w:jc w:val="both"/>
    </w:pPr>
    <w:rPr>
      <w:rFonts w:ascii="MS Sans Serif" w:hAnsi="MS Sans Serif"/>
      <w:szCs w:val="20"/>
    </w:rPr>
  </w:style>
  <w:style w:type="paragraph" w:customStyle="1" w:styleId="p12">
    <w:name w:val="p12"/>
    <w:basedOn w:val="Normal"/>
    <w:rsid w:val="0045297D"/>
    <w:pPr>
      <w:widowControl w:val="0"/>
      <w:tabs>
        <w:tab w:val="left" w:pos="460"/>
      </w:tabs>
      <w:bidi w:val="0"/>
      <w:spacing w:line="240" w:lineRule="atLeast"/>
      <w:ind w:left="980"/>
    </w:pPr>
    <w:rPr>
      <w:rFonts w:ascii="MS Sans Serif" w:hAnsi="MS Sans Serif"/>
      <w:szCs w:val="20"/>
    </w:rPr>
  </w:style>
  <w:style w:type="paragraph" w:customStyle="1" w:styleId="p59">
    <w:name w:val="p59"/>
    <w:basedOn w:val="Normal"/>
    <w:rsid w:val="0045297D"/>
    <w:pPr>
      <w:widowControl w:val="0"/>
      <w:bidi w:val="0"/>
      <w:spacing w:line="180" w:lineRule="atLeast"/>
      <w:ind w:left="1440" w:firstLine="864"/>
      <w:jc w:val="both"/>
    </w:pPr>
    <w:rPr>
      <w:rFonts w:ascii="MS Sans Serif" w:hAnsi="MS Sans Serif"/>
      <w:szCs w:val="20"/>
    </w:rPr>
  </w:style>
  <w:style w:type="paragraph" w:customStyle="1" w:styleId="p70">
    <w:name w:val="p70"/>
    <w:basedOn w:val="Normal"/>
    <w:rsid w:val="0045297D"/>
    <w:pPr>
      <w:widowControl w:val="0"/>
      <w:bidi w:val="0"/>
      <w:spacing w:line="240" w:lineRule="atLeast"/>
      <w:ind w:left="340"/>
      <w:jc w:val="both"/>
    </w:pPr>
    <w:rPr>
      <w:rFonts w:ascii="MS Sans Serif" w:hAnsi="MS Sans Serif"/>
      <w:szCs w:val="20"/>
    </w:rPr>
  </w:style>
  <w:style w:type="paragraph" w:customStyle="1" w:styleId="p62">
    <w:name w:val="p62"/>
    <w:basedOn w:val="Normal"/>
    <w:rsid w:val="0045297D"/>
    <w:pPr>
      <w:widowControl w:val="0"/>
      <w:tabs>
        <w:tab w:val="left" w:pos="720"/>
      </w:tabs>
      <w:bidi w:val="0"/>
      <w:spacing w:line="180" w:lineRule="atLeast"/>
      <w:jc w:val="both"/>
    </w:pPr>
    <w:rPr>
      <w:rFonts w:ascii="MS Sans Serif" w:hAnsi="MS Sans Serif"/>
      <w:szCs w:val="20"/>
    </w:rPr>
  </w:style>
  <w:style w:type="paragraph" w:styleId="List">
    <w:name w:val="List"/>
    <w:basedOn w:val="Normal"/>
    <w:rsid w:val="0045297D"/>
    <w:pPr>
      <w:ind w:left="283" w:hanging="283"/>
    </w:pPr>
  </w:style>
  <w:style w:type="paragraph" w:styleId="List2">
    <w:name w:val="List 2"/>
    <w:basedOn w:val="Normal"/>
    <w:rsid w:val="0045297D"/>
    <w:pPr>
      <w:ind w:left="566" w:hanging="283"/>
    </w:pPr>
  </w:style>
  <w:style w:type="paragraph" w:styleId="ListBullet2">
    <w:name w:val="List Bullet 2"/>
    <w:basedOn w:val="Normal"/>
    <w:autoRedefine/>
    <w:rsid w:val="0045297D"/>
    <w:pPr>
      <w:bidi w:val="0"/>
      <w:spacing w:before="100" w:beforeAutospacing="1" w:after="100" w:afterAutospacing="1" w:line="400" w:lineRule="atLeast"/>
      <w:jc w:val="both"/>
    </w:pPr>
    <w:rPr>
      <w:rFonts w:eastAsia="SimSun"/>
      <w:b/>
      <w:bCs/>
      <w:i/>
      <w:iCs/>
      <w:color w:val="000000"/>
      <w:lang w:eastAsia="zh-CN"/>
    </w:rPr>
  </w:style>
  <w:style w:type="paragraph" w:customStyle="1" w:styleId="titsection2">
    <w:name w:val="titsection2"/>
    <w:basedOn w:val="Normal"/>
    <w:rsid w:val="0045297D"/>
    <w:pPr>
      <w:bidi w:val="0"/>
      <w:spacing w:after="150" w:line="240" w:lineRule="atLeast"/>
    </w:pPr>
    <w:rPr>
      <w:rFonts w:ascii="Arial" w:hAnsi="Arial" w:cs="Arial"/>
      <w:b/>
      <w:bCs/>
      <w:color w:val="000000"/>
    </w:rPr>
  </w:style>
  <w:style w:type="paragraph" w:customStyle="1" w:styleId="bodytext21">
    <w:name w:val="bodytext21"/>
    <w:basedOn w:val="Normal"/>
    <w:rsid w:val="0045297D"/>
    <w:pPr>
      <w:bidi w:val="0"/>
      <w:spacing w:before="100" w:beforeAutospacing="1" w:after="100" w:afterAutospacing="1"/>
    </w:pPr>
    <w:rPr>
      <w:rFonts w:eastAsia="SimSun"/>
      <w:lang w:eastAsia="zh-CN"/>
    </w:rPr>
  </w:style>
  <w:style w:type="character" w:customStyle="1" w:styleId="ti">
    <w:name w:val="ti"/>
    <w:basedOn w:val="DefaultParagraphFont"/>
    <w:rsid w:val="0045297D"/>
  </w:style>
  <w:style w:type="paragraph" w:customStyle="1" w:styleId="FR1">
    <w:name w:val="FR1"/>
    <w:rsid w:val="0045297D"/>
    <w:pPr>
      <w:widowControl w:val="0"/>
      <w:spacing w:before="520"/>
      <w:jc w:val="center"/>
    </w:pPr>
    <w:rPr>
      <w:rFonts w:ascii="Arial" w:cs="Arial"/>
      <w:b/>
      <w:bCs/>
      <w:i/>
      <w:iCs/>
      <w:snapToGrid w:val="0"/>
      <w:sz w:val="28"/>
      <w:szCs w:val="28"/>
      <w:lang w:eastAsia="ar-SA"/>
    </w:rPr>
  </w:style>
  <w:style w:type="character" w:customStyle="1" w:styleId="addmd1">
    <w:name w:val="addmd1"/>
    <w:rsid w:val="0045297D"/>
    <w:rPr>
      <w:sz w:val="20"/>
      <w:szCs w:val="20"/>
    </w:rPr>
  </w:style>
  <w:style w:type="character" w:customStyle="1" w:styleId="maintitle">
    <w:name w:val="maintitle"/>
    <w:basedOn w:val="DefaultParagraphFont"/>
    <w:rsid w:val="0045297D"/>
  </w:style>
  <w:style w:type="paragraph" w:customStyle="1" w:styleId="HeaderFooter">
    <w:name w:val="Header &amp; Footer"/>
    <w:rsid w:val="0045297D"/>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paragraph" w:customStyle="1" w:styleId="Body0">
    <w:name w:val="Body"/>
    <w:rsid w:val="0045297D"/>
    <w:pPr>
      <w:pBdr>
        <w:top w:val="nil"/>
        <w:left w:val="nil"/>
        <w:bottom w:val="nil"/>
        <w:right w:val="nil"/>
        <w:between w:val="nil"/>
        <w:bar w:val="nil"/>
      </w:pBdr>
      <w:bidi/>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ImportedStyle1"/>
    <w:rsid w:val="0045297D"/>
    <w:pPr>
      <w:numPr>
        <w:numId w:val="5"/>
      </w:numPr>
    </w:pPr>
  </w:style>
  <w:style w:type="numbering" w:customStyle="1" w:styleId="ImportedStyle1">
    <w:name w:val="Imported Style 1"/>
    <w:rsid w:val="0045297D"/>
  </w:style>
  <w:style w:type="numbering" w:customStyle="1" w:styleId="List1">
    <w:name w:val="List 1"/>
    <w:basedOn w:val="ImportedStyle2"/>
    <w:rsid w:val="0045297D"/>
    <w:pPr>
      <w:numPr>
        <w:numId w:val="6"/>
      </w:numPr>
    </w:pPr>
  </w:style>
  <w:style w:type="numbering" w:customStyle="1" w:styleId="ImportedStyle2">
    <w:name w:val="Imported Style 2"/>
    <w:rsid w:val="0045297D"/>
  </w:style>
  <w:style w:type="numbering" w:customStyle="1" w:styleId="List21">
    <w:name w:val="List 21"/>
    <w:basedOn w:val="ImportedStyle3"/>
    <w:rsid w:val="0045297D"/>
    <w:pPr>
      <w:numPr>
        <w:numId w:val="7"/>
      </w:numPr>
    </w:pPr>
  </w:style>
  <w:style w:type="numbering" w:customStyle="1" w:styleId="ImportedStyle3">
    <w:name w:val="Imported Style 3"/>
    <w:rsid w:val="0045297D"/>
  </w:style>
  <w:style w:type="numbering" w:customStyle="1" w:styleId="List31">
    <w:name w:val="List 31"/>
    <w:basedOn w:val="ImportedStyle4"/>
    <w:rsid w:val="0045297D"/>
    <w:pPr>
      <w:numPr>
        <w:numId w:val="8"/>
      </w:numPr>
    </w:pPr>
  </w:style>
  <w:style w:type="numbering" w:customStyle="1" w:styleId="ImportedStyle4">
    <w:name w:val="Imported Style 4"/>
    <w:rsid w:val="0045297D"/>
  </w:style>
  <w:style w:type="table" w:styleId="LightShading-Accent2">
    <w:name w:val="Light Shading Accent 2"/>
    <w:basedOn w:val="TableNormal"/>
    <w:uiPriority w:val="60"/>
    <w:rsid w:val="0045297D"/>
    <w:rPr>
      <w:rFonts w:ascii="Calibri" w:hAnsi="Calibri" w:cs="Arial"/>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CharChar3">
    <w:name w:val="Char Char3"/>
    <w:semiHidden/>
    <w:rsid w:val="0045297D"/>
    <w:rPr>
      <w:rFonts w:ascii="Tahoma" w:eastAsia="Times New Roman" w:hAnsi="Tahoma" w:cs="Tahoma"/>
      <w:sz w:val="16"/>
      <w:szCs w:val="16"/>
    </w:rPr>
  </w:style>
  <w:style w:type="character" w:customStyle="1" w:styleId="CharChar2">
    <w:name w:val="Char Char2"/>
    <w:rsid w:val="0045297D"/>
    <w:rPr>
      <w:rFonts w:ascii="Times New Roman" w:eastAsia="Times New Roman" w:hAnsi="Times New Roman" w:cs="Times New Roman"/>
      <w:sz w:val="24"/>
      <w:szCs w:val="24"/>
    </w:rPr>
  </w:style>
  <w:style w:type="character" w:customStyle="1" w:styleId="CharChar1">
    <w:name w:val="Char Char1"/>
    <w:rsid w:val="0045297D"/>
    <w:rPr>
      <w:rFonts w:ascii="Times New Roman" w:eastAsia="Times New Roman" w:hAnsi="Times New Roman" w:cs="Times New Roman"/>
      <w:sz w:val="24"/>
      <w:szCs w:val="24"/>
    </w:rPr>
  </w:style>
  <w:style w:type="character" w:customStyle="1" w:styleId="CharChar4">
    <w:name w:val="Char Char4"/>
    <w:rsid w:val="0045297D"/>
    <w:rPr>
      <w:rFonts w:ascii="Times New Roman" w:eastAsia="Times New Roman" w:hAnsi="Times New Roman" w:cs="Times New Roman"/>
      <w:b/>
      <w:bCs/>
      <w:kern w:val="36"/>
      <w:sz w:val="48"/>
      <w:szCs w:val="48"/>
    </w:rPr>
  </w:style>
  <w:style w:type="character" w:customStyle="1" w:styleId="cit-supplement">
    <w:name w:val="cit-supplement"/>
    <w:rsid w:val="0045297D"/>
  </w:style>
  <w:style w:type="character" w:customStyle="1" w:styleId="hitorg">
    <w:name w:val="hit_org"/>
    <w:rsid w:val="0045297D"/>
  </w:style>
  <w:style w:type="paragraph" w:styleId="DocumentMap">
    <w:name w:val="Document Map"/>
    <w:basedOn w:val="Normal"/>
    <w:link w:val="DocumentMapChar"/>
    <w:semiHidden/>
    <w:rsid w:val="0045297D"/>
    <w:pPr>
      <w:bidi w:val="0"/>
    </w:pPr>
    <w:rPr>
      <w:rFonts w:ascii="Tahoma" w:hAnsi="Tahoma" w:cs="Tahoma"/>
      <w:sz w:val="16"/>
      <w:szCs w:val="16"/>
    </w:rPr>
  </w:style>
  <w:style w:type="character" w:customStyle="1" w:styleId="DocumentMapChar">
    <w:name w:val="Document Map Char"/>
    <w:basedOn w:val="DefaultParagraphFont"/>
    <w:link w:val="DocumentMap"/>
    <w:semiHidden/>
    <w:rsid w:val="0045297D"/>
    <w:rPr>
      <w:rFonts w:ascii="Tahoma" w:hAnsi="Tahoma" w:cs="Tahoma"/>
      <w:sz w:val="16"/>
      <w:szCs w:val="16"/>
    </w:rPr>
  </w:style>
  <w:style w:type="character" w:customStyle="1" w:styleId="li-content">
    <w:name w:val="li-content"/>
    <w:rsid w:val="0045297D"/>
  </w:style>
  <w:style w:type="character" w:customStyle="1" w:styleId="hitsyn">
    <w:name w:val="hit_syn"/>
    <w:rsid w:val="0045297D"/>
  </w:style>
  <w:style w:type="paragraph" w:customStyle="1" w:styleId="Pa22">
    <w:name w:val="Pa22"/>
    <w:basedOn w:val="Default"/>
    <w:next w:val="Default"/>
    <w:uiPriority w:val="99"/>
    <w:rsid w:val="0045297D"/>
    <w:pPr>
      <w:spacing w:line="166" w:lineRule="atLeast"/>
    </w:pPr>
    <w:rPr>
      <w:rFonts w:ascii="HelveticaNeueLT Std Med" w:hAnsi="HelveticaNeueLT Std Med" w:cs="Arial"/>
      <w:color w:val="auto"/>
      <w:u w:color="000000"/>
    </w:rPr>
  </w:style>
  <w:style w:type="paragraph" w:customStyle="1" w:styleId="Pa20">
    <w:name w:val="Pa20"/>
    <w:basedOn w:val="Default"/>
    <w:next w:val="Default"/>
    <w:uiPriority w:val="99"/>
    <w:rsid w:val="0045297D"/>
    <w:pPr>
      <w:spacing w:line="166" w:lineRule="atLeast"/>
    </w:pPr>
    <w:rPr>
      <w:rFonts w:ascii="HelveticaNeueLT Std Med" w:hAnsi="HelveticaNeueLT Std Med" w:cs="Arial"/>
      <w:color w:val="auto"/>
      <w:u w:color="000000"/>
    </w:rPr>
  </w:style>
  <w:style w:type="paragraph" w:customStyle="1" w:styleId="Pa21">
    <w:name w:val="Pa21"/>
    <w:basedOn w:val="Default"/>
    <w:next w:val="Default"/>
    <w:uiPriority w:val="99"/>
    <w:rsid w:val="0045297D"/>
    <w:pPr>
      <w:spacing w:line="131" w:lineRule="atLeast"/>
    </w:pPr>
    <w:rPr>
      <w:rFonts w:ascii="HelveticaNeueLT Std Med" w:hAnsi="HelveticaNeueLT Std Med" w:cs="Arial"/>
      <w:color w:val="auto"/>
      <w:u w:color="000000"/>
    </w:rPr>
  </w:style>
  <w:style w:type="character" w:customStyle="1" w:styleId="bodytext2">
    <w:name w:val="bodytext"/>
    <w:rsid w:val="0045297D"/>
  </w:style>
  <w:style w:type="character" w:customStyle="1" w:styleId="boldtext">
    <w:name w:val="boldtext"/>
    <w:rsid w:val="0045297D"/>
  </w:style>
  <w:style w:type="paragraph" w:styleId="BodyTextIndent2">
    <w:name w:val="Body Text Indent 2"/>
    <w:basedOn w:val="Normal"/>
    <w:link w:val="BodyTextIndent2Char"/>
    <w:uiPriority w:val="99"/>
    <w:semiHidden/>
    <w:unhideWhenUsed/>
    <w:rsid w:val="0045297D"/>
    <w:pPr>
      <w:spacing w:after="120" w:line="480" w:lineRule="auto"/>
      <w:ind w:left="283"/>
    </w:pPr>
    <w:rPr>
      <w:rFonts w:cs="Simplified Arabic"/>
      <w:sz w:val="30"/>
      <w:szCs w:val="30"/>
      <w:lang w:bidi="ar-EG"/>
    </w:rPr>
  </w:style>
  <w:style w:type="character" w:customStyle="1" w:styleId="BodyTextIndent2Char">
    <w:name w:val="Body Text Indent 2 Char"/>
    <w:basedOn w:val="DefaultParagraphFont"/>
    <w:link w:val="BodyTextIndent2"/>
    <w:uiPriority w:val="99"/>
    <w:semiHidden/>
    <w:rsid w:val="0045297D"/>
    <w:rPr>
      <w:rFonts w:cs="Simplified Arabic"/>
      <w:sz w:val="30"/>
      <w:szCs w:val="30"/>
      <w:lang w:bidi="ar-EG"/>
    </w:rPr>
  </w:style>
  <w:style w:type="paragraph" w:styleId="BodyText30">
    <w:name w:val="Body Text 3"/>
    <w:basedOn w:val="Normal"/>
    <w:link w:val="BodyText3Char"/>
    <w:uiPriority w:val="99"/>
    <w:semiHidden/>
    <w:unhideWhenUsed/>
    <w:rsid w:val="0045297D"/>
    <w:pPr>
      <w:spacing w:after="120"/>
    </w:pPr>
    <w:rPr>
      <w:rFonts w:cs="Simplified Arabic"/>
      <w:sz w:val="16"/>
      <w:szCs w:val="16"/>
      <w:lang w:bidi="ar-EG"/>
    </w:rPr>
  </w:style>
  <w:style w:type="character" w:customStyle="1" w:styleId="BodyText3Char">
    <w:name w:val="Body Text 3 Char"/>
    <w:basedOn w:val="DefaultParagraphFont"/>
    <w:link w:val="BodyText30"/>
    <w:uiPriority w:val="99"/>
    <w:semiHidden/>
    <w:rsid w:val="0045297D"/>
    <w:rPr>
      <w:rFonts w:cs="Simplified Arabic"/>
      <w:sz w:val="16"/>
      <w:szCs w:val="16"/>
      <w:lang w:bidi="ar-EG"/>
    </w:rPr>
  </w:style>
  <w:style w:type="numbering" w:customStyle="1" w:styleId="List11">
    <w:name w:val="List 11"/>
    <w:basedOn w:val="ImportedStyle2"/>
    <w:rsid w:val="0045297D"/>
  </w:style>
  <w:style w:type="numbering" w:customStyle="1" w:styleId="List211">
    <w:name w:val="List 211"/>
    <w:basedOn w:val="ImportedStyle3"/>
    <w:rsid w:val="0045297D"/>
  </w:style>
  <w:style w:type="numbering" w:customStyle="1" w:styleId="List311">
    <w:name w:val="List 311"/>
    <w:basedOn w:val="ImportedStyle4"/>
    <w:rsid w:val="0045297D"/>
  </w:style>
  <w:style w:type="character" w:customStyle="1" w:styleId="ListParagraphChar">
    <w:name w:val="List Paragraph Char"/>
    <w:link w:val="ListParagraph"/>
    <w:uiPriority w:val="34"/>
    <w:rsid w:val="00450F05"/>
    <w:rPr>
      <w:rFonts w:ascii="Calibri" w:eastAsia="SimSun" w:hAnsi="Calibri" w:cs="Arial"/>
      <w:sz w:val="22"/>
      <w:szCs w:val="22"/>
    </w:rPr>
  </w:style>
  <w:style w:type="character" w:customStyle="1" w:styleId="collab">
    <w:name w:val="collab"/>
    <w:basedOn w:val="DefaultParagraphFont"/>
    <w:rsid w:val="00EF35CC"/>
  </w:style>
  <w:style w:type="character" w:customStyle="1" w:styleId="year">
    <w:name w:val="year"/>
    <w:basedOn w:val="DefaultParagraphFont"/>
    <w:rsid w:val="00EF35CC"/>
  </w:style>
  <w:style w:type="character" w:customStyle="1" w:styleId="publisher-loc">
    <w:name w:val="publisher-loc"/>
    <w:basedOn w:val="DefaultParagraphFont"/>
    <w:rsid w:val="00EF35CC"/>
  </w:style>
  <w:style w:type="character" w:customStyle="1" w:styleId="publisher-name">
    <w:name w:val="publisher-name"/>
    <w:basedOn w:val="DefaultParagraphFont"/>
    <w:rsid w:val="00EF35CC"/>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0453D8"/>
    <w:rPr>
      <w:b/>
      <w:bCs/>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0453D8"/>
    <w:pPr>
      <w:widowControl w:val="0"/>
      <w:shd w:val="clear" w:color="auto" w:fill="FFFFFF"/>
      <w:bidi w:val="0"/>
      <w:spacing w:before="260" w:after="260" w:line="266" w:lineRule="exact"/>
      <w:ind w:hanging="200"/>
    </w:pPr>
    <w:rPr>
      <w:b/>
      <w:bCs/>
      <w:sz w:val="20"/>
      <w:szCs w:val="20"/>
    </w:rPr>
  </w:style>
  <w:style w:type="character" w:customStyle="1" w:styleId="anchor-text">
    <w:name w:val="anchor-text"/>
    <w:basedOn w:val="DefaultParagraphFont"/>
    <w:rsid w:val="006A38E6"/>
  </w:style>
  <w:style w:type="character" w:customStyle="1" w:styleId="CharAttribute0">
    <w:name w:val="CharAttribute0"/>
    <w:rsid w:val="00531961"/>
    <w:rPr>
      <w:rFonts w:ascii="Times New Roman" w:eastAsia="Times New Roman" w:hAnsi="Times New Roman"/>
    </w:rPr>
  </w:style>
  <w:style w:type="character" w:customStyle="1" w:styleId="articletitle">
    <w:name w:val="articletitle"/>
    <w:basedOn w:val="DefaultParagraphFont"/>
    <w:rsid w:val="00531961"/>
  </w:style>
  <w:style w:type="character" w:customStyle="1" w:styleId="A12">
    <w:name w:val="A12"/>
    <w:uiPriority w:val="99"/>
    <w:rsid w:val="00531961"/>
    <w:rPr>
      <w:rFonts w:cs="Kepler Std"/>
      <w:color w:val="000000"/>
      <w:sz w:val="12"/>
      <w:szCs w:val="12"/>
    </w:rPr>
  </w:style>
  <w:style w:type="paragraph" w:customStyle="1" w:styleId="ParaAttribute0">
    <w:name w:val="ParaAttribute0"/>
    <w:rsid w:val="0008348D"/>
    <w:pPr>
      <w:widowControl w:val="0"/>
      <w:wordWrap w:val="0"/>
    </w:pPr>
    <w:rPr>
      <w:rFonts w:eastAsia="Batang"/>
    </w:rPr>
  </w:style>
  <w:style w:type="character" w:customStyle="1" w:styleId="page">
    <w:name w:val="page"/>
    <w:basedOn w:val="DefaultParagraphFont"/>
    <w:rsid w:val="00BF7D5D"/>
  </w:style>
  <w:style w:type="character" w:customStyle="1" w:styleId="fontstyle01">
    <w:name w:val="fontstyle01"/>
    <w:rsid w:val="008E65F3"/>
    <w:rPr>
      <w:rFonts w:ascii="AdvTT5ada87cc" w:hAnsi="AdvTT5ada87cc" w:hint="default"/>
      <w:b w:val="0"/>
      <w:bCs w:val="0"/>
      <w:i w:val="0"/>
      <w:iCs w:val="0"/>
      <w:color w:val="000000"/>
      <w:sz w:val="18"/>
      <w:szCs w:val="18"/>
    </w:rPr>
  </w:style>
  <w:style w:type="character" w:customStyle="1" w:styleId="self-citation-authors">
    <w:name w:val="self-citation-authors"/>
    <w:basedOn w:val="DefaultParagraphFont"/>
    <w:rsid w:val="008E65F3"/>
  </w:style>
  <w:style w:type="character" w:customStyle="1" w:styleId="self-citation-title">
    <w:name w:val="self-citation-title"/>
    <w:basedOn w:val="DefaultParagraphFont"/>
    <w:rsid w:val="008E65F3"/>
  </w:style>
  <w:style w:type="character" w:customStyle="1" w:styleId="self-citation-journal">
    <w:name w:val="self-citation-journal"/>
    <w:basedOn w:val="DefaultParagraphFont"/>
    <w:rsid w:val="008E65F3"/>
  </w:style>
  <w:style w:type="character" w:customStyle="1" w:styleId="self-citation-volume">
    <w:name w:val="self-citation-volume"/>
    <w:basedOn w:val="DefaultParagraphFont"/>
    <w:rsid w:val="008E65F3"/>
  </w:style>
  <w:style w:type="character" w:customStyle="1" w:styleId="self-citation-elocation">
    <w:name w:val="self-citation-elocation"/>
    <w:basedOn w:val="DefaultParagraphFont"/>
    <w:rsid w:val="008E65F3"/>
  </w:style>
  <w:style w:type="character" w:customStyle="1" w:styleId="pubyear">
    <w:name w:val="pubyear"/>
    <w:rsid w:val="00E93F08"/>
    <w:rPr>
      <w:rFonts w:cs="Times New Roman"/>
    </w:rPr>
  </w:style>
  <w:style w:type="character" w:customStyle="1" w:styleId="vol">
    <w:name w:val="vol"/>
    <w:rsid w:val="00E93F08"/>
    <w:rPr>
      <w:rFonts w:cs="Times New Roman"/>
    </w:rPr>
  </w:style>
  <w:style w:type="character" w:customStyle="1" w:styleId="volume">
    <w:name w:val="volume"/>
    <w:rsid w:val="00E93F08"/>
    <w:rPr>
      <w:rFonts w:cs="Times New Roman"/>
    </w:rPr>
  </w:style>
  <w:style w:type="character" w:customStyle="1" w:styleId="msonormal0">
    <w:name w:val="msonormal0"/>
    <w:basedOn w:val="DefaultParagraphFont"/>
    <w:rsid w:val="00331E80"/>
  </w:style>
</w:styles>
</file>

<file path=word/webSettings.xml><?xml version="1.0" encoding="utf-8"?>
<w:webSettings xmlns:r="http://schemas.openxmlformats.org/officeDocument/2006/relationships" xmlns:w="http://schemas.openxmlformats.org/wordprocessingml/2006/main">
  <w:divs>
    <w:div w:id="90051695">
      <w:bodyDiv w:val="1"/>
      <w:marLeft w:val="0"/>
      <w:marRight w:val="0"/>
      <w:marTop w:val="0"/>
      <w:marBottom w:val="0"/>
      <w:divBdr>
        <w:top w:val="none" w:sz="0" w:space="0" w:color="auto"/>
        <w:left w:val="none" w:sz="0" w:space="0" w:color="auto"/>
        <w:bottom w:val="none" w:sz="0" w:space="0" w:color="auto"/>
        <w:right w:val="none" w:sz="0" w:space="0" w:color="auto"/>
      </w:divBdr>
    </w:div>
    <w:div w:id="108547993">
      <w:bodyDiv w:val="1"/>
      <w:marLeft w:val="0"/>
      <w:marRight w:val="0"/>
      <w:marTop w:val="0"/>
      <w:marBottom w:val="0"/>
      <w:divBdr>
        <w:top w:val="none" w:sz="0" w:space="0" w:color="auto"/>
        <w:left w:val="none" w:sz="0" w:space="0" w:color="auto"/>
        <w:bottom w:val="none" w:sz="0" w:space="0" w:color="auto"/>
        <w:right w:val="none" w:sz="0" w:space="0" w:color="auto"/>
      </w:divBdr>
    </w:div>
    <w:div w:id="179515818">
      <w:bodyDiv w:val="1"/>
      <w:marLeft w:val="0"/>
      <w:marRight w:val="0"/>
      <w:marTop w:val="0"/>
      <w:marBottom w:val="0"/>
      <w:divBdr>
        <w:top w:val="none" w:sz="0" w:space="0" w:color="auto"/>
        <w:left w:val="none" w:sz="0" w:space="0" w:color="auto"/>
        <w:bottom w:val="none" w:sz="0" w:space="0" w:color="auto"/>
        <w:right w:val="none" w:sz="0" w:space="0" w:color="auto"/>
      </w:divBdr>
    </w:div>
    <w:div w:id="206650618">
      <w:bodyDiv w:val="1"/>
      <w:marLeft w:val="0"/>
      <w:marRight w:val="0"/>
      <w:marTop w:val="0"/>
      <w:marBottom w:val="0"/>
      <w:divBdr>
        <w:top w:val="none" w:sz="0" w:space="0" w:color="auto"/>
        <w:left w:val="none" w:sz="0" w:space="0" w:color="auto"/>
        <w:bottom w:val="none" w:sz="0" w:space="0" w:color="auto"/>
        <w:right w:val="none" w:sz="0" w:space="0" w:color="auto"/>
      </w:divBdr>
    </w:div>
    <w:div w:id="248126344">
      <w:bodyDiv w:val="1"/>
      <w:marLeft w:val="0"/>
      <w:marRight w:val="0"/>
      <w:marTop w:val="0"/>
      <w:marBottom w:val="0"/>
      <w:divBdr>
        <w:top w:val="none" w:sz="0" w:space="0" w:color="auto"/>
        <w:left w:val="none" w:sz="0" w:space="0" w:color="auto"/>
        <w:bottom w:val="none" w:sz="0" w:space="0" w:color="auto"/>
        <w:right w:val="none" w:sz="0" w:space="0" w:color="auto"/>
      </w:divBdr>
    </w:div>
    <w:div w:id="284237503">
      <w:bodyDiv w:val="1"/>
      <w:marLeft w:val="0"/>
      <w:marRight w:val="0"/>
      <w:marTop w:val="0"/>
      <w:marBottom w:val="0"/>
      <w:divBdr>
        <w:top w:val="none" w:sz="0" w:space="0" w:color="auto"/>
        <w:left w:val="none" w:sz="0" w:space="0" w:color="auto"/>
        <w:bottom w:val="none" w:sz="0" w:space="0" w:color="auto"/>
        <w:right w:val="none" w:sz="0" w:space="0" w:color="auto"/>
      </w:divBdr>
    </w:div>
    <w:div w:id="358354988">
      <w:bodyDiv w:val="1"/>
      <w:marLeft w:val="0"/>
      <w:marRight w:val="0"/>
      <w:marTop w:val="0"/>
      <w:marBottom w:val="0"/>
      <w:divBdr>
        <w:top w:val="none" w:sz="0" w:space="0" w:color="auto"/>
        <w:left w:val="none" w:sz="0" w:space="0" w:color="auto"/>
        <w:bottom w:val="none" w:sz="0" w:space="0" w:color="auto"/>
        <w:right w:val="none" w:sz="0" w:space="0" w:color="auto"/>
      </w:divBdr>
    </w:div>
    <w:div w:id="400980493">
      <w:bodyDiv w:val="1"/>
      <w:marLeft w:val="0"/>
      <w:marRight w:val="0"/>
      <w:marTop w:val="0"/>
      <w:marBottom w:val="0"/>
      <w:divBdr>
        <w:top w:val="none" w:sz="0" w:space="0" w:color="auto"/>
        <w:left w:val="none" w:sz="0" w:space="0" w:color="auto"/>
        <w:bottom w:val="none" w:sz="0" w:space="0" w:color="auto"/>
        <w:right w:val="none" w:sz="0" w:space="0" w:color="auto"/>
      </w:divBdr>
    </w:div>
    <w:div w:id="491217975">
      <w:bodyDiv w:val="1"/>
      <w:marLeft w:val="0"/>
      <w:marRight w:val="0"/>
      <w:marTop w:val="0"/>
      <w:marBottom w:val="0"/>
      <w:divBdr>
        <w:top w:val="none" w:sz="0" w:space="0" w:color="auto"/>
        <w:left w:val="none" w:sz="0" w:space="0" w:color="auto"/>
        <w:bottom w:val="none" w:sz="0" w:space="0" w:color="auto"/>
        <w:right w:val="none" w:sz="0" w:space="0" w:color="auto"/>
      </w:divBdr>
    </w:div>
    <w:div w:id="578901107">
      <w:bodyDiv w:val="1"/>
      <w:marLeft w:val="0"/>
      <w:marRight w:val="0"/>
      <w:marTop w:val="0"/>
      <w:marBottom w:val="0"/>
      <w:divBdr>
        <w:top w:val="none" w:sz="0" w:space="0" w:color="auto"/>
        <w:left w:val="none" w:sz="0" w:space="0" w:color="auto"/>
        <w:bottom w:val="none" w:sz="0" w:space="0" w:color="auto"/>
        <w:right w:val="none" w:sz="0" w:space="0" w:color="auto"/>
      </w:divBdr>
    </w:div>
    <w:div w:id="744914718">
      <w:bodyDiv w:val="1"/>
      <w:marLeft w:val="0"/>
      <w:marRight w:val="0"/>
      <w:marTop w:val="0"/>
      <w:marBottom w:val="0"/>
      <w:divBdr>
        <w:top w:val="none" w:sz="0" w:space="0" w:color="auto"/>
        <w:left w:val="none" w:sz="0" w:space="0" w:color="auto"/>
        <w:bottom w:val="none" w:sz="0" w:space="0" w:color="auto"/>
        <w:right w:val="none" w:sz="0" w:space="0" w:color="auto"/>
      </w:divBdr>
    </w:div>
    <w:div w:id="767387406">
      <w:bodyDiv w:val="1"/>
      <w:marLeft w:val="0"/>
      <w:marRight w:val="0"/>
      <w:marTop w:val="0"/>
      <w:marBottom w:val="0"/>
      <w:divBdr>
        <w:top w:val="none" w:sz="0" w:space="0" w:color="auto"/>
        <w:left w:val="none" w:sz="0" w:space="0" w:color="auto"/>
        <w:bottom w:val="none" w:sz="0" w:space="0" w:color="auto"/>
        <w:right w:val="none" w:sz="0" w:space="0" w:color="auto"/>
      </w:divBdr>
    </w:div>
    <w:div w:id="797182644">
      <w:bodyDiv w:val="1"/>
      <w:marLeft w:val="0"/>
      <w:marRight w:val="0"/>
      <w:marTop w:val="0"/>
      <w:marBottom w:val="0"/>
      <w:divBdr>
        <w:top w:val="none" w:sz="0" w:space="0" w:color="auto"/>
        <w:left w:val="none" w:sz="0" w:space="0" w:color="auto"/>
        <w:bottom w:val="none" w:sz="0" w:space="0" w:color="auto"/>
        <w:right w:val="none" w:sz="0" w:space="0" w:color="auto"/>
      </w:divBdr>
    </w:div>
    <w:div w:id="986476360">
      <w:bodyDiv w:val="1"/>
      <w:marLeft w:val="0"/>
      <w:marRight w:val="0"/>
      <w:marTop w:val="0"/>
      <w:marBottom w:val="0"/>
      <w:divBdr>
        <w:top w:val="none" w:sz="0" w:space="0" w:color="auto"/>
        <w:left w:val="none" w:sz="0" w:space="0" w:color="auto"/>
        <w:bottom w:val="none" w:sz="0" w:space="0" w:color="auto"/>
        <w:right w:val="none" w:sz="0" w:space="0" w:color="auto"/>
      </w:divBdr>
    </w:div>
    <w:div w:id="1063913274">
      <w:bodyDiv w:val="1"/>
      <w:marLeft w:val="0"/>
      <w:marRight w:val="0"/>
      <w:marTop w:val="0"/>
      <w:marBottom w:val="0"/>
      <w:divBdr>
        <w:top w:val="none" w:sz="0" w:space="0" w:color="auto"/>
        <w:left w:val="none" w:sz="0" w:space="0" w:color="auto"/>
        <w:bottom w:val="none" w:sz="0" w:space="0" w:color="auto"/>
        <w:right w:val="none" w:sz="0" w:space="0" w:color="auto"/>
      </w:divBdr>
    </w:div>
    <w:div w:id="1128159182">
      <w:bodyDiv w:val="1"/>
      <w:marLeft w:val="0"/>
      <w:marRight w:val="0"/>
      <w:marTop w:val="0"/>
      <w:marBottom w:val="0"/>
      <w:divBdr>
        <w:top w:val="none" w:sz="0" w:space="0" w:color="auto"/>
        <w:left w:val="none" w:sz="0" w:space="0" w:color="auto"/>
        <w:bottom w:val="none" w:sz="0" w:space="0" w:color="auto"/>
        <w:right w:val="none" w:sz="0" w:space="0" w:color="auto"/>
      </w:divBdr>
    </w:div>
    <w:div w:id="1296645451">
      <w:bodyDiv w:val="1"/>
      <w:marLeft w:val="0"/>
      <w:marRight w:val="0"/>
      <w:marTop w:val="0"/>
      <w:marBottom w:val="0"/>
      <w:divBdr>
        <w:top w:val="none" w:sz="0" w:space="0" w:color="auto"/>
        <w:left w:val="none" w:sz="0" w:space="0" w:color="auto"/>
        <w:bottom w:val="none" w:sz="0" w:space="0" w:color="auto"/>
        <w:right w:val="none" w:sz="0" w:space="0" w:color="auto"/>
      </w:divBdr>
    </w:div>
    <w:div w:id="1314262495">
      <w:bodyDiv w:val="1"/>
      <w:marLeft w:val="0"/>
      <w:marRight w:val="0"/>
      <w:marTop w:val="0"/>
      <w:marBottom w:val="0"/>
      <w:divBdr>
        <w:top w:val="none" w:sz="0" w:space="0" w:color="auto"/>
        <w:left w:val="none" w:sz="0" w:space="0" w:color="auto"/>
        <w:bottom w:val="none" w:sz="0" w:space="0" w:color="auto"/>
        <w:right w:val="none" w:sz="0" w:space="0" w:color="auto"/>
      </w:divBdr>
    </w:div>
    <w:div w:id="1366759697">
      <w:bodyDiv w:val="1"/>
      <w:marLeft w:val="0"/>
      <w:marRight w:val="0"/>
      <w:marTop w:val="0"/>
      <w:marBottom w:val="0"/>
      <w:divBdr>
        <w:top w:val="none" w:sz="0" w:space="0" w:color="auto"/>
        <w:left w:val="none" w:sz="0" w:space="0" w:color="auto"/>
        <w:bottom w:val="none" w:sz="0" w:space="0" w:color="auto"/>
        <w:right w:val="none" w:sz="0" w:space="0" w:color="auto"/>
      </w:divBdr>
    </w:div>
    <w:div w:id="1535459514">
      <w:bodyDiv w:val="1"/>
      <w:marLeft w:val="0"/>
      <w:marRight w:val="0"/>
      <w:marTop w:val="0"/>
      <w:marBottom w:val="0"/>
      <w:divBdr>
        <w:top w:val="none" w:sz="0" w:space="0" w:color="auto"/>
        <w:left w:val="none" w:sz="0" w:space="0" w:color="auto"/>
        <w:bottom w:val="none" w:sz="0" w:space="0" w:color="auto"/>
        <w:right w:val="none" w:sz="0" w:space="0" w:color="auto"/>
      </w:divBdr>
    </w:div>
    <w:div w:id="1578128235">
      <w:bodyDiv w:val="1"/>
      <w:marLeft w:val="0"/>
      <w:marRight w:val="0"/>
      <w:marTop w:val="0"/>
      <w:marBottom w:val="0"/>
      <w:divBdr>
        <w:top w:val="none" w:sz="0" w:space="0" w:color="auto"/>
        <w:left w:val="none" w:sz="0" w:space="0" w:color="auto"/>
        <w:bottom w:val="none" w:sz="0" w:space="0" w:color="auto"/>
        <w:right w:val="none" w:sz="0" w:space="0" w:color="auto"/>
      </w:divBdr>
    </w:div>
    <w:div w:id="1623999962">
      <w:bodyDiv w:val="1"/>
      <w:marLeft w:val="0"/>
      <w:marRight w:val="0"/>
      <w:marTop w:val="0"/>
      <w:marBottom w:val="0"/>
      <w:divBdr>
        <w:top w:val="none" w:sz="0" w:space="0" w:color="auto"/>
        <w:left w:val="none" w:sz="0" w:space="0" w:color="auto"/>
        <w:bottom w:val="none" w:sz="0" w:space="0" w:color="auto"/>
        <w:right w:val="none" w:sz="0" w:space="0" w:color="auto"/>
      </w:divBdr>
    </w:div>
    <w:div w:id="1744523676">
      <w:bodyDiv w:val="1"/>
      <w:marLeft w:val="0"/>
      <w:marRight w:val="0"/>
      <w:marTop w:val="0"/>
      <w:marBottom w:val="0"/>
      <w:divBdr>
        <w:top w:val="none" w:sz="0" w:space="0" w:color="auto"/>
        <w:left w:val="none" w:sz="0" w:space="0" w:color="auto"/>
        <w:bottom w:val="none" w:sz="0" w:space="0" w:color="auto"/>
        <w:right w:val="none" w:sz="0" w:space="0" w:color="auto"/>
      </w:divBdr>
    </w:div>
    <w:div w:id="1853227530">
      <w:bodyDiv w:val="1"/>
      <w:marLeft w:val="0"/>
      <w:marRight w:val="0"/>
      <w:marTop w:val="0"/>
      <w:marBottom w:val="0"/>
      <w:divBdr>
        <w:top w:val="none" w:sz="0" w:space="0" w:color="auto"/>
        <w:left w:val="none" w:sz="0" w:space="0" w:color="auto"/>
        <w:bottom w:val="none" w:sz="0" w:space="0" w:color="auto"/>
        <w:right w:val="none" w:sz="0" w:space="0" w:color="auto"/>
      </w:divBdr>
    </w:div>
    <w:div w:id="190186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hadmaidan89@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cbj090319.06"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yperlink" Target="https://www.uptodate.com/external-redirect.do?target_url=http%3A%2F%2Fwww.nccn.org%2Fprofessionals%2Fphysician_gls%2Ff_guidelines.asp&amp;token=yAtQYciL7uywmW3eRYUeJ4aK0dRx4JGGLufx5fCsL%2F3GEnpty51PpRmw8L7qDt7YvrmdE8jMEGNSa6WMQQkRzhg6guWN9QugGEPeOqp3ljo%3D&amp;TOPIC_ID=248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AA437-3EDB-4E20-979A-0EA879923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6781</Words>
  <Characters>38653</Characters>
  <Application>Microsoft Office Word</Application>
  <DocSecurity>0</DocSecurity>
  <Lines>322</Lines>
  <Paragraphs>90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Introduction</vt:lpstr>
      <vt:lpstr>Introduction</vt:lpstr>
    </vt:vector>
  </TitlesOfParts>
  <Company>Ahmed-Under</Company>
  <LinksUpToDate>false</LinksUpToDate>
  <CharactersWithSpaces>45344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pc</dc:creator>
  <cp:lastModifiedBy>Administrator</cp:lastModifiedBy>
  <cp:revision>3</cp:revision>
  <cp:lastPrinted>2019-07-10T23:06:00Z</cp:lastPrinted>
  <dcterms:created xsi:type="dcterms:W3CDTF">2019-07-09T14:07:00Z</dcterms:created>
  <dcterms:modified xsi:type="dcterms:W3CDTF">2019-07-10T23:07:00Z</dcterms:modified>
</cp:coreProperties>
</file>