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9A" w:rsidRPr="000973FD" w:rsidRDefault="00DA5861" w:rsidP="001E53F5">
      <w:pPr>
        <w:bidi w:val="0"/>
        <w:snapToGrid w:val="0"/>
        <w:spacing w:after="0" w:line="240" w:lineRule="auto"/>
        <w:jc w:val="center"/>
        <w:rPr>
          <w:rFonts w:ascii="Times New Roman" w:hAnsi="Times New Roman" w:cs="Times New Roman"/>
          <w:b/>
          <w:bCs/>
          <w:caps/>
          <w:color w:val="000000" w:themeColor="text1"/>
          <w:sz w:val="20"/>
          <w:szCs w:val="20"/>
        </w:rPr>
      </w:pPr>
      <w:r w:rsidRPr="000973FD">
        <w:rPr>
          <w:rFonts w:ascii="Times New Roman" w:hAnsi="Times New Roman" w:cs="Times New Roman"/>
          <w:b/>
          <w:bCs/>
          <w:color w:val="000000" w:themeColor="text1"/>
          <w:sz w:val="20"/>
          <w:szCs w:val="20"/>
        </w:rPr>
        <w:t>Neoadjuvant Rectal Cancer (NAR) Score as a Prognostic Factor in Locally Advanced Cancer Rectum</w:t>
      </w:r>
    </w:p>
    <w:p w:rsidR="00B4709A" w:rsidRPr="000973FD" w:rsidRDefault="001E53F5" w:rsidP="001E53F5">
      <w:pPr>
        <w:bidi w:val="0"/>
        <w:snapToGrid w:val="0"/>
        <w:spacing w:after="0" w:line="240" w:lineRule="auto"/>
        <w:jc w:val="center"/>
        <w:rPr>
          <w:rFonts w:ascii="Times New Roman" w:hAnsi="Times New Roman" w:cs="Times New Roman"/>
          <w:b/>
          <w:bCs/>
          <w:caps/>
          <w:color w:val="000000" w:themeColor="text1"/>
          <w:sz w:val="20"/>
          <w:szCs w:val="20"/>
          <w:lang w:eastAsia="zh-CN"/>
        </w:rPr>
      </w:pPr>
      <w:r w:rsidRPr="000973FD">
        <w:rPr>
          <w:rFonts w:ascii="Times New Roman" w:hAnsi="Times New Roman" w:cs="Times New Roman" w:hint="eastAsia"/>
          <w:b/>
          <w:bCs/>
          <w:caps/>
          <w:color w:val="000000" w:themeColor="text1"/>
          <w:sz w:val="20"/>
          <w:szCs w:val="20"/>
          <w:lang w:eastAsia="zh-CN"/>
        </w:rPr>
        <w:t xml:space="preserve"> </w:t>
      </w:r>
    </w:p>
    <w:p w:rsidR="00B4709A" w:rsidRPr="000973FD" w:rsidRDefault="007176F5" w:rsidP="001E53F5">
      <w:pPr>
        <w:bidi w:val="0"/>
        <w:snapToGrid w:val="0"/>
        <w:spacing w:after="0" w:line="240" w:lineRule="auto"/>
        <w:jc w:val="center"/>
        <w:rPr>
          <w:rFonts w:ascii="Times New Roman" w:hAnsi="Times New Roman" w:cs="Times New Roman"/>
          <w:color w:val="000000" w:themeColor="text1"/>
          <w:sz w:val="20"/>
          <w:szCs w:val="20"/>
          <w:lang w:eastAsia="zh-CN"/>
        </w:rPr>
      </w:pPr>
      <w:r w:rsidRPr="000973FD">
        <w:rPr>
          <w:rFonts w:ascii="Times New Roman" w:eastAsia="Times New Roman" w:hAnsi="Times New Roman" w:cs="Times New Roman"/>
          <w:color w:val="000000" w:themeColor="text1"/>
          <w:sz w:val="20"/>
          <w:szCs w:val="20"/>
        </w:rPr>
        <w:t>Rehab F</w:t>
      </w:r>
      <w:r w:rsidR="00B95BBB" w:rsidRPr="000973FD">
        <w:rPr>
          <w:rFonts w:ascii="Times New Roman" w:eastAsia="Times New Roman" w:hAnsi="Times New Roman" w:cs="Times New Roman"/>
          <w:color w:val="000000" w:themeColor="text1"/>
          <w:sz w:val="20"/>
          <w:szCs w:val="20"/>
        </w:rPr>
        <w:t xml:space="preserve"> Mohamed, </w:t>
      </w:r>
      <w:bookmarkStart w:id="0" w:name="_GoBack"/>
      <w:r w:rsidR="001827CF" w:rsidRPr="000973FD">
        <w:rPr>
          <w:rFonts w:ascii="Times New Roman" w:eastAsia="Times New Roman" w:hAnsi="Times New Roman" w:cs="Times New Roman"/>
          <w:color w:val="000000" w:themeColor="text1"/>
          <w:sz w:val="20"/>
          <w:szCs w:val="20"/>
        </w:rPr>
        <w:t>Mariam Mohsen Khalil</w:t>
      </w:r>
      <w:bookmarkEnd w:id="0"/>
      <w:r w:rsidR="001827CF" w:rsidRPr="000973FD">
        <w:rPr>
          <w:rFonts w:ascii="Times New Roman" w:eastAsia="Times New Roman" w:hAnsi="Times New Roman" w:cs="Times New Roman"/>
          <w:color w:val="000000" w:themeColor="text1"/>
          <w:sz w:val="20"/>
          <w:szCs w:val="20"/>
        </w:rPr>
        <w:t xml:space="preserve">, </w:t>
      </w:r>
      <w:r w:rsidR="00B95BBB" w:rsidRPr="000973FD">
        <w:rPr>
          <w:rFonts w:ascii="Times New Roman" w:eastAsia="Times New Roman" w:hAnsi="Times New Roman" w:cs="Times New Roman"/>
          <w:color w:val="000000" w:themeColor="text1"/>
          <w:sz w:val="20"/>
          <w:szCs w:val="20"/>
        </w:rPr>
        <w:t xml:space="preserve">Samir </w:t>
      </w:r>
      <w:r w:rsidR="008434E2" w:rsidRPr="000973FD">
        <w:rPr>
          <w:rFonts w:ascii="Times New Roman" w:eastAsia="Times New Roman" w:hAnsi="Times New Roman" w:cs="Times New Roman"/>
          <w:color w:val="000000" w:themeColor="text1"/>
          <w:sz w:val="20"/>
          <w:szCs w:val="20"/>
        </w:rPr>
        <w:t>Eid</w:t>
      </w:r>
      <w:r w:rsidR="001827CF" w:rsidRPr="000973FD">
        <w:rPr>
          <w:rFonts w:ascii="Times New Roman" w:eastAsia="Times New Roman" w:hAnsi="Times New Roman" w:cs="Times New Roman"/>
          <w:color w:val="000000" w:themeColor="text1"/>
          <w:sz w:val="20"/>
          <w:szCs w:val="20"/>
        </w:rPr>
        <w:t>.</w:t>
      </w:r>
    </w:p>
    <w:p w:rsidR="00B4709A" w:rsidRPr="000973FD" w:rsidRDefault="00B4709A" w:rsidP="001E53F5">
      <w:pPr>
        <w:bidi w:val="0"/>
        <w:snapToGrid w:val="0"/>
        <w:spacing w:after="0" w:line="240" w:lineRule="auto"/>
        <w:jc w:val="center"/>
        <w:rPr>
          <w:rFonts w:ascii="Times New Roman" w:hAnsi="Times New Roman" w:cs="Times New Roman"/>
          <w:color w:val="000000" w:themeColor="text1"/>
          <w:sz w:val="20"/>
          <w:szCs w:val="20"/>
          <w:lang w:eastAsia="zh-CN"/>
        </w:rPr>
      </w:pPr>
    </w:p>
    <w:p w:rsidR="00E463E6" w:rsidRPr="000973FD" w:rsidRDefault="00E463E6" w:rsidP="001E53F5">
      <w:pPr>
        <w:bidi w:val="0"/>
        <w:snapToGrid w:val="0"/>
        <w:spacing w:after="0" w:line="240" w:lineRule="auto"/>
        <w:jc w:val="center"/>
        <w:rPr>
          <w:rFonts w:ascii="Times New Roman" w:hAnsi="Times New Roman" w:cs="Times New Roman"/>
          <w:b/>
          <w:bCs/>
          <w:sz w:val="20"/>
          <w:szCs w:val="20"/>
          <w:lang w:bidi="ar-EG"/>
        </w:rPr>
      </w:pPr>
      <w:r w:rsidRPr="000973FD">
        <w:rPr>
          <w:rFonts w:ascii="Times New Roman" w:eastAsia="Times New Roman+FPEF" w:hAnsi="Times New Roman" w:cs="Times New Roman"/>
          <w:sz w:val="20"/>
          <w:szCs w:val="20"/>
        </w:rPr>
        <w:t>Department of Clinical Oncology and Nuclear Medicine, Faculty of Medicine, Assiut University, Assiut, Egypt.</w:t>
      </w:r>
    </w:p>
    <w:p w:rsidR="00B4709A" w:rsidRPr="000973FD" w:rsidRDefault="00184992" w:rsidP="001E53F5">
      <w:pPr>
        <w:bidi w:val="0"/>
        <w:snapToGrid w:val="0"/>
        <w:spacing w:after="0" w:line="240" w:lineRule="auto"/>
        <w:jc w:val="center"/>
        <w:rPr>
          <w:rFonts w:ascii="Times New Roman" w:hAnsi="Times New Roman" w:cs="Times New Roman"/>
          <w:sz w:val="20"/>
          <w:szCs w:val="20"/>
          <w:lang w:bidi="ar-EG"/>
        </w:rPr>
      </w:pPr>
      <w:hyperlink r:id="rId7" w:history="1">
        <w:r w:rsidR="000F3091" w:rsidRPr="000973FD">
          <w:rPr>
            <w:rFonts w:ascii="Times New Roman" w:hAnsi="Times New Roman" w:cs="Times New Roman"/>
            <w:color w:val="0000FF" w:themeColor="hyperlink"/>
            <w:sz w:val="20"/>
            <w:szCs w:val="20"/>
            <w:u w:val="single"/>
            <w:lang w:bidi="ar-EG"/>
          </w:rPr>
          <w:t>faroukrehab@yahoo.com</w:t>
        </w:r>
      </w:hyperlink>
    </w:p>
    <w:p w:rsidR="00B4709A" w:rsidRPr="000973FD" w:rsidRDefault="00B4709A" w:rsidP="001E53F5">
      <w:pPr>
        <w:bidi w:val="0"/>
        <w:snapToGrid w:val="0"/>
        <w:spacing w:after="0" w:line="240" w:lineRule="auto"/>
        <w:jc w:val="center"/>
        <w:rPr>
          <w:rFonts w:ascii="Times New Roman" w:hAnsi="Times New Roman" w:cs="Times New Roman"/>
          <w:sz w:val="20"/>
          <w:szCs w:val="20"/>
          <w:lang w:bidi="ar-EG"/>
        </w:rPr>
      </w:pPr>
    </w:p>
    <w:p w:rsidR="00806650" w:rsidRPr="000973FD" w:rsidRDefault="00EE18C3" w:rsidP="001E53F5">
      <w:pPr>
        <w:bidi w:val="0"/>
        <w:snapToGrid w:val="0"/>
        <w:spacing w:after="0" w:line="240" w:lineRule="auto"/>
        <w:jc w:val="both"/>
        <w:rPr>
          <w:rFonts w:ascii="Times New Roman" w:hAnsi="Times New Roman" w:cs="Times New Roman"/>
          <w:sz w:val="20"/>
          <w:szCs w:val="20"/>
        </w:rPr>
      </w:pPr>
      <w:r w:rsidRPr="000973FD">
        <w:rPr>
          <w:rFonts w:ascii="Times New Roman" w:hAnsi="Times New Roman" w:cs="Times New Roman"/>
          <w:b/>
          <w:bCs/>
          <w:sz w:val="20"/>
          <w:szCs w:val="20"/>
          <w:lang w:bidi="ar-EG"/>
        </w:rPr>
        <w:t>Abstract</w:t>
      </w:r>
      <w:r w:rsidR="008D0799" w:rsidRPr="000973FD">
        <w:rPr>
          <w:rFonts w:ascii="Times New Roman" w:hAnsi="Times New Roman" w:cs="Times New Roman"/>
          <w:b/>
          <w:bCs/>
          <w:sz w:val="20"/>
          <w:szCs w:val="20"/>
          <w:lang w:bidi="ar-EG"/>
        </w:rPr>
        <w:t xml:space="preserve">: </w:t>
      </w:r>
      <w:r w:rsidRPr="000973FD">
        <w:rPr>
          <w:rFonts w:ascii="Times New Roman" w:hAnsi="Times New Roman" w:cs="Times New Roman"/>
          <w:b/>
          <w:bCs/>
          <w:sz w:val="20"/>
          <w:szCs w:val="20"/>
          <w:lang w:bidi="ar-EG"/>
        </w:rPr>
        <w:t>Background</w:t>
      </w:r>
      <w:r w:rsidR="008D0799" w:rsidRPr="000973FD">
        <w:rPr>
          <w:rFonts w:ascii="Times New Roman" w:hAnsi="Times New Roman" w:cs="Times New Roman"/>
          <w:b/>
          <w:bCs/>
          <w:sz w:val="20"/>
          <w:szCs w:val="20"/>
          <w:lang w:bidi="ar-EG"/>
        </w:rPr>
        <w:t>:</w:t>
      </w:r>
      <w:r w:rsidR="005624BD" w:rsidRPr="000973FD">
        <w:rPr>
          <w:rFonts w:ascii="Times New Roman" w:hAnsi="Times New Roman" w:cs="Times New Roman" w:hint="eastAsia"/>
          <w:b/>
          <w:bCs/>
          <w:sz w:val="20"/>
          <w:szCs w:val="20"/>
          <w:lang w:eastAsia="zh-CN" w:bidi="ar-EG"/>
        </w:rPr>
        <w:t xml:space="preserve"> </w:t>
      </w:r>
      <w:r w:rsidRPr="000973FD">
        <w:rPr>
          <w:rFonts w:ascii="Times New Roman" w:hAnsi="Times New Roman" w:cs="Times New Roman"/>
          <w:sz w:val="20"/>
          <w:szCs w:val="20"/>
          <w:lang w:bidi="ar-EG"/>
        </w:rPr>
        <w:t xml:space="preserve">The aim of this study is determination of </w:t>
      </w:r>
      <w:r w:rsidR="00587ACA" w:rsidRPr="000973FD">
        <w:rPr>
          <w:rFonts w:ascii="Times New Roman" w:hAnsi="Times New Roman" w:cs="Times New Roman"/>
          <w:sz w:val="20"/>
          <w:szCs w:val="20"/>
          <w:lang w:bidi="ar-EG"/>
        </w:rPr>
        <w:t>NAR</w:t>
      </w:r>
      <w:r w:rsidR="00A01027" w:rsidRPr="000973FD">
        <w:rPr>
          <w:rFonts w:ascii="Times New Roman" w:hAnsi="Times New Roman" w:cs="Times New Roman"/>
          <w:sz w:val="20"/>
          <w:szCs w:val="20"/>
          <w:lang w:bidi="ar-EG"/>
        </w:rPr>
        <w:t xml:space="preserve"> score</w:t>
      </w:r>
      <w:r w:rsidRPr="000973FD">
        <w:rPr>
          <w:rFonts w:ascii="Times New Roman" w:hAnsi="Times New Roman" w:cs="Times New Roman"/>
          <w:sz w:val="20"/>
          <w:szCs w:val="20"/>
          <w:lang w:bidi="ar-EG"/>
        </w:rPr>
        <w:t xml:space="preserve"> for locally advanced rectal</w:t>
      </w:r>
      <w:r w:rsidR="00A01027" w:rsidRPr="000973FD">
        <w:rPr>
          <w:rFonts w:ascii="Times New Roman" w:hAnsi="Times New Roman" w:cs="Times New Roman"/>
          <w:sz w:val="20"/>
          <w:szCs w:val="20"/>
          <w:lang w:bidi="ar-EG"/>
        </w:rPr>
        <w:t xml:space="preserve"> cancer patients</w:t>
      </w:r>
      <w:r w:rsidRPr="000973FD">
        <w:rPr>
          <w:rFonts w:ascii="Times New Roman" w:hAnsi="Times New Roman" w:cs="Times New Roman"/>
          <w:sz w:val="20"/>
          <w:szCs w:val="20"/>
          <w:lang w:bidi="ar-EG"/>
        </w:rPr>
        <w:t xml:space="preserve"> and its relation with </w:t>
      </w:r>
      <w:r w:rsidR="00A01027" w:rsidRPr="000973FD">
        <w:rPr>
          <w:rFonts w:ascii="Times New Roman" w:hAnsi="Times New Roman" w:cs="Times New Roman"/>
          <w:sz w:val="20"/>
          <w:szCs w:val="20"/>
          <w:lang w:bidi="ar-EG"/>
        </w:rPr>
        <w:t>disease free survival (</w:t>
      </w:r>
      <w:r w:rsidRPr="000973FD">
        <w:rPr>
          <w:rFonts w:ascii="Times New Roman" w:hAnsi="Times New Roman" w:cs="Times New Roman"/>
          <w:sz w:val="20"/>
          <w:szCs w:val="20"/>
          <w:lang w:bidi="ar-EG"/>
        </w:rPr>
        <w:t>DFS</w:t>
      </w:r>
      <w:r w:rsidR="00A01027" w:rsidRPr="000973FD">
        <w:rPr>
          <w:rFonts w:ascii="Times New Roman" w:hAnsi="Times New Roman" w:cs="Times New Roman"/>
          <w:sz w:val="20"/>
          <w:szCs w:val="20"/>
          <w:lang w:bidi="ar-EG"/>
        </w:rPr>
        <w:t>)</w:t>
      </w:r>
      <w:r w:rsidRPr="000973FD">
        <w:rPr>
          <w:rFonts w:ascii="Times New Roman" w:hAnsi="Times New Roman" w:cs="Times New Roman"/>
          <w:sz w:val="20"/>
          <w:szCs w:val="20"/>
          <w:lang w:bidi="ar-EG"/>
        </w:rPr>
        <w:t xml:space="preserve"> and </w:t>
      </w:r>
      <w:r w:rsidR="00A01027" w:rsidRPr="000973FD">
        <w:rPr>
          <w:rFonts w:ascii="Times New Roman" w:hAnsi="Times New Roman" w:cs="Times New Roman"/>
          <w:sz w:val="20"/>
          <w:szCs w:val="20"/>
          <w:lang w:bidi="ar-EG"/>
        </w:rPr>
        <w:t>overall survival (</w:t>
      </w:r>
      <w:r w:rsidRPr="000973FD">
        <w:rPr>
          <w:rFonts w:ascii="Times New Roman" w:hAnsi="Times New Roman" w:cs="Times New Roman"/>
          <w:sz w:val="20"/>
          <w:szCs w:val="20"/>
          <w:lang w:bidi="ar-EG"/>
        </w:rPr>
        <w:t>OS</w:t>
      </w:r>
      <w:r w:rsidR="00A01027" w:rsidRPr="000973FD">
        <w:rPr>
          <w:rFonts w:ascii="Times New Roman" w:hAnsi="Times New Roman" w:cs="Times New Roman"/>
          <w:sz w:val="20"/>
          <w:szCs w:val="20"/>
          <w:lang w:bidi="ar-EG"/>
        </w:rPr>
        <w:t>)</w:t>
      </w:r>
      <w:r w:rsidR="00D61A83" w:rsidRPr="000973FD">
        <w:rPr>
          <w:rFonts w:ascii="Times New Roman" w:hAnsi="Times New Roman" w:cs="Times New Roman"/>
          <w:sz w:val="20"/>
          <w:szCs w:val="20"/>
          <w:lang w:bidi="ar-EG"/>
        </w:rPr>
        <w:t>.</w:t>
      </w:r>
      <w:r w:rsidR="005624BD" w:rsidRPr="000973FD">
        <w:rPr>
          <w:rFonts w:ascii="Times New Roman" w:hAnsi="Times New Roman" w:cs="Times New Roman" w:hint="eastAsia"/>
          <w:sz w:val="20"/>
          <w:szCs w:val="20"/>
          <w:lang w:eastAsia="zh-CN" w:bidi="ar-EG"/>
        </w:rPr>
        <w:t xml:space="preserve"> </w:t>
      </w:r>
      <w:r w:rsidR="00D61A83" w:rsidRPr="000973FD">
        <w:rPr>
          <w:rFonts w:ascii="Times New Roman" w:hAnsi="Times New Roman" w:cs="Times New Roman"/>
          <w:b/>
          <w:bCs/>
          <w:sz w:val="20"/>
          <w:szCs w:val="20"/>
          <w:lang w:bidi="ar-EG"/>
        </w:rPr>
        <w:t>Methods</w:t>
      </w:r>
      <w:r w:rsidR="008D0799" w:rsidRPr="000973FD">
        <w:rPr>
          <w:rFonts w:ascii="Times New Roman" w:hAnsi="Times New Roman" w:cs="Times New Roman"/>
          <w:b/>
          <w:bCs/>
          <w:sz w:val="20"/>
          <w:szCs w:val="20"/>
          <w:lang w:bidi="ar-EG"/>
        </w:rPr>
        <w:t>:</w:t>
      </w:r>
      <w:r w:rsidR="005624BD" w:rsidRPr="000973FD">
        <w:rPr>
          <w:rFonts w:ascii="Times New Roman" w:hAnsi="Times New Roman" w:cs="Times New Roman" w:hint="eastAsia"/>
          <w:b/>
          <w:bCs/>
          <w:sz w:val="20"/>
          <w:szCs w:val="20"/>
          <w:lang w:eastAsia="zh-CN" w:bidi="ar-EG"/>
        </w:rPr>
        <w:t xml:space="preserve"> </w:t>
      </w:r>
      <w:r w:rsidR="00FD7D0B" w:rsidRPr="000973FD">
        <w:rPr>
          <w:rFonts w:ascii="Times New Roman" w:hAnsi="Times New Roman" w:cs="Times New Roman"/>
          <w:sz w:val="20"/>
          <w:szCs w:val="20"/>
        </w:rPr>
        <w:t>A total number of 70 patients with locally advanced rectal cancer who had received neo-adjuvant concurrent chemo-radiotherapy followed by surgery</w:t>
      </w:r>
      <w:r w:rsidR="005624BD" w:rsidRPr="000973FD">
        <w:rPr>
          <w:rFonts w:ascii="Times New Roman" w:hAnsi="Times New Roman" w:cs="Times New Roman" w:hint="eastAsia"/>
          <w:sz w:val="20"/>
          <w:szCs w:val="20"/>
          <w:lang w:eastAsia="zh-CN"/>
        </w:rPr>
        <w:t xml:space="preserve"> </w:t>
      </w:r>
      <w:r w:rsidR="00FD7D0B" w:rsidRPr="000973FD">
        <w:rPr>
          <w:rFonts w:ascii="Times New Roman" w:hAnsi="Times New Roman" w:cs="Times New Roman"/>
          <w:sz w:val="20"/>
          <w:szCs w:val="20"/>
          <w:lang w:bidi="ar-EG"/>
        </w:rPr>
        <w:t xml:space="preserve">were included in our study. </w:t>
      </w:r>
      <w:r w:rsidR="00FD7D0B" w:rsidRPr="000973FD">
        <w:rPr>
          <w:rFonts w:ascii="Times New Roman" w:hAnsi="Times New Roman" w:cs="Times New Roman"/>
          <w:color w:val="1C1D1E"/>
          <w:sz w:val="20"/>
          <w:szCs w:val="20"/>
          <w:shd w:val="clear" w:color="auto" w:fill="FFFFFF"/>
        </w:rPr>
        <w:t xml:space="preserve">NAR scores were calculated using the following formula: </w:t>
      </w:r>
      <w:r w:rsidR="00FD7D0B" w:rsidRPr="000973FD">
        <w:rPr>
          <w:rFonts w:ascii="Times New Roman" w:hAnsi="Times New Roman" w:cs="Times New Roman"/>
          <w:noProof/>
          <w:sz w:val="20"/>
          <w:szCs w:val="20"/>
          <w:lang w:eastAsia="zh-CN"/>
        </w:rPr>
        <w:drawing>
          <wp:inline distT="0" distB="0" distL="0" distR="0">
            <wp:extent cx="1952873" cy="337214"/>
            <wp:effectExtent l="19050" t="0" r="9277" b="0"/>
            <wp:docPr id="2" name="Picture 33" descr="An external file that holds a picture, illustration, etc.&#10;Object name is 11888_2015_285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 external file that holds a picture, illustration, etc.&#10;Object name is 11888_2015_285_Fig1_HTML.jpg"/>
                    <pic:cNvPicPr>
                      <a:picLocks noChangeAspect="1" noChangeArrowheads="1"/>
                    </pic:cNvPicPr>
                  </pic:nvPicPr>
                  <pic:blipFill>
                    <a:blip r:embed="rId8" cstate="print"/>
                    <a:srcRect/>
                    <a:stretch>
                      <a:fillRect/>
                    </a:stretch>
                  </pic:blipFill>
                  <pic:spPr bwMode="auto">
                    <a:xfrm>
                      <a:off x="0" y="0"/>
                      <a:ext cx="1980932" cy="342059"/>
                    </a:xfrm>
                    <a:prstGeom prst="rect">
                      <a:avLst/>
                    </a:prstGeom>
                    <a:noFill/>
                    <a:ln w="9525">
                      <a:noFill/>
                      <a:miter lim="800000"/>
                      <a:headEnd/>
                      <a:tailEnd/>
                    </a:ln>
                  </pic:spPr>
                </pic:pic>
              </a:graphicData>
            </a:graphic>
          </wp:inline>
        </w:drawing>
      </w:r>
      <w:r w:rsidR="000973FD">
        <w:rPr>
          <w:rFonts w:ascii="Times New Roman" w:hAnsi="Times New Roman" w:cs="Times New Roman" w:hint="eastAsia"/>
          <w:color w:val="1C1D1E"/>
          <w:sz w:val="20"/>
          <w:szCs w:val="20"/>
          <w:shd w:val="clear" w:color="auto" w:fill="FFFFFF"/>
          <w:lang w:eastAsia="zh-CN"/>
        </w:rPr>
        <w:t xml:space="preserve">. </w:t>
      </w:r>
      <w:r w:rsidR="00FD7D0B" w:rsidRPr="000973FD">
        <w:rPr>
          <w:rFonts w:ascii="Times New Roman" w:hAnsi="Times New Roman" w:cs="Times New Roman"/>
          <w:sz w:val="20"/>
          <w:szCs w:val="20"/>
          <w:lang w:bidi="ar-EG"/>
        </w:rPr>
        <w:t>The constant 12 assures that all scores are positive inside the outer brackets. Squaring the numerator transforms the score to more uniform measure per unit change. The scaling factor 9.61 in the denominator ensures that the final scores range from 0 to 100</w:t>
      </w:r>
      <w:r w:rsidR="00C800A2" w:rsidRPr="000973FD">
        <w:rPr>
          <w:rFonts w:ascii="Times New Roman" w:hAnsi="Times New Roman" w:cs="Times New Roman"/>
          <w:sz w:val="20"/>
          <w:szCs w:val="20"/>
          <w:lang w:bidi="ar-EG"/>
        </w:rPr>
        <w:t>. It was divided into low risk (less than 8) - intermediate risk (from 8 to 16) - high risk (more than 16).</w:t>
      </w:r>
      <w:r w:rsidR="005624BD" w:rsidRPr="000973FD">
        <w:rPr>
          <w:rFonts w:ascii="Times New Roman" w:hAnsi="Times New Roman" w:cs="Times New Roman" w:hint="eastAsia"/>
          <w:sz w:val="20"/>
          <w:szCs w:val="20"/>
          <w:lang w:eastAsia="zh-CN" w:bidi="ar-EG"/>
        </w:rPr>
        <w:t xml:space="preserve"> </w:t>
      </w:r>
      <w:r w:rsidR="008E5A56" w:rsidRPr="000973FD">
        <w:rPr>
          <w:rFonts w:ascii="Times New Roman" w:hAnsi="Times New Roman" w:cs="Times New Roman"/>
          <w:b/>
          <w:bCs/>
          <w:sz w:val="20"/>
          <w:szCs w:val="20"/>
          <w:lang w:bidi="ar-EG"/>
        </w:rPr>
        <w:t>Results</w:t>
      </w:r>
      <w:r w:rsidR="008D0799" w:rsidRPr="000973FD">
        <w:rPr>
          <w:rFonts w:ascii="Times New Roman" w:hAnsi="Times New Roman" w:cs="Times New Roman"/>
          <w:b/>
          <w:bCs/>
          <w:sz w:val="20"/>
          <w:szCs w:val="20"/>
          <w:lang w:bidi="ar-EG"/>
        </w:rPr>
        <w:t>:</w:t>
      </w:r>
      <w:r w:rsidR="005624BD" w:rsidRPr="000973FD">
        <w:rPr>
          <w:rFonts w:ascii="Times New Roman" w:hAnsi="Times New Roman" w:cs="Times New Roman" w:hint="eastAsia"/>
          <w:b/>
          <w:bCs/>
          <w:sz w:val="20"/>
          <w:szCs w:val="20"/>
          <w:lang w:eastAsia="zh-CN" w:bidi="ar-EG"/>
        </w:rPr>
        <w:t xml:space="preserve"> </w:t>
      </w:r>
      <w:r w:rsidR="00806650" w:rsidRPr="000973FD">
        <w:rPr>
          <w:rFonts w:ascii="Times New Roman" w:hAnsi="Times New Roman" w:cs="Times New Roman"/>
          <w:sz w:val="20"/>
          <w:szCs w:val="20"/>
        </w:rPr>
        <w:t>The median v</w:t>
      </w:r>
      <w:r w:rsidR="008434E2" w:rsidRPr="000973FD">
        <w:rPr>
          <w:rFonts w:ascii="Times New Roman" w:hAnsi="Times New Roman" w:cs="Times New Roman"/>
          <w:sz w:val="20"/>
          <w:szCs w:val="20"/>
        </w:rPr>
        <w:t>alue of NAR score was 22.62,</w:t>
      </w:r>
      <w:r w:rsidR="00806650" w:rsidRPr="000973FD">
        <w:rPr>
          <w:rFonts w:ascii="Times New Roman" w:hAnsi="Times New Roman" w:cs="Times New Roman"/>
          <w:sz w:val="20"/>
          <w:szCs w:val="20"/>
        </w:rPr>
        <w:t xml:space="preserve"> 23 patients (32.9%) with low NAR score, 21 patients (30.0%) with intermediate score and 26 patients (37.1%) with high score.</w:t>
      </w:r>
      <w:r w:rsidR="005624BD" w:rsidRPr="000973FD">
        <w:rPr>
          <w:rFonts w:ascii="Times New Roman" w:hAnsi="Times New Roman" w:cs="Times New Roman" w:hint="eastAsia"/>
          <w:sz w:val="20"/>
          <w:szCs w:val="20"/>
          <w:lang w:eastAsia="zh-CN"/>
        </w:rPr>
        <w:t xml:space="preserve"> </w:t>
      </w:r>
      <w:r w:rsidR="00806650" w:rsidRPr="000973FD">
        <w:rPr>
          <w:rFonts w:ascii="Times New Roman" w:hAnsi="Times New Roman" w:cs="Times New Roman"/>
          <w:sz w:val="20"/>
          <w:szCs w:val="20"/>
        </w:rPr>
        <w:t>The patients showed variable response to neo-adjuvant therapy as 17 patients (24.3%) had pCR, 21 patients (30.0%) had PR, and 32 patients (45.7%) had SD.</w:t>
      </w:r>
      <w:r w:rsidR="005624BD" w:rsidRPr="000973FD">
        <w:rPr>
          <w:rFonts w:ascii="Times New Roman" w:hAnsi="Times New Roman" w:cs="Times New Roman" w:hint="eastAsia"/>
          <w:sz w:val="20"/>
          <w:szCs w:val="20"/>
          <w:lang w:eastAsia="zh-CN"/>
        </w:rPr>
        <w:t xml:space="preserve"> </w:t>
      </w:r>
      <w:r w:rsidR="00806650" w:rsidRPr="000973FD">
        <w:rPr>
          <w:rFonts w:ascii="Times New Roman" w:hAnsi="Times New Roman" w:cs="Times New Roman"/>
          <w:sz w:val="20"/>
          <w:szCs w:val="20"/>
        </w:rPr>
        <w:t xml:space="preserve">The inverse relation between the score and response was proven in our study as patients with high NAR score had the worst prognosis. The median NAR score was 0.90 in patients with </w:t>
      </w:r>
      <w:r w:rsidR="00D47F39" w:rsidRPr="000973FD">
        <w:rPr>
          <w:rFonts w:ascii="Times New Roman" w:hAnsi="Times New Roman" w:cs="Times New Roman"/>
          <w:sz w:val="20"/>
          <w:szCs w:val="20"/>
        </w:rPr>
        <w:t>p</w:t>
      </w:r>
      <w:r w:rsidR="00806650" w:rsidRPr="000973FD">
        <w:rPr>
          <w:rFonts w:ascii="Times New Roman" w:hAnsi="Times New Roman" w:cs="Times New Roman"/>
          <w:sz w:val="20"/>
          <w:szCs w:val="20"/>
        </w:rPr>
        <w:t>CR, 8.43 in patients with PR, and 30.07 in patients with SD, with statistically significant P value (P value&lt;0.003)</w:t>
      </w:r>
      <w:r w:rsidR="001E53F5" w:rsidRPr="000973FD">
        <w:rPr>
          <w:rFonts w:ascii="Times New Roman" w:hAnsi="Times New Roman" w:cs="Times New Roman"/>
          <w:sz w:val="20"/>
          <w:szCs w:val="20"/>
        </w:rPr>
        <w:t>. T</w:t>
      </w:r>
      <w:r w:rsidR="00806650" w:rsidRPr="000973FD">
        <w:rPr>
          <w:rFonts w:ascii="Times New Roman" w:hAnsi="Times New Roman" w:cs="Times New Roman"/>
          <w:sz w:val="20"/>
          <w:szCs w:val="20"/>
        </w:rPr>
        <w:t xml:space="preserve">here were a negative correlation between NAR score and DFS, OS with statistically significant P value (P value=0.003). </w:t>
      </w:r>
      <w:r w:rsidR="00806650" w:rsidRPr="000973FD">
        <w:rPr>
          <w:rFonts w:ascii="Times New Roman" w:hAnsi="Times New Roman" w:cs="Times New Roman"/>
          <w:color w:val="000000"/>
          <w:sz w:val="20"/>
          <w:szCs w:val="20"/>
        </w:rPr>
        <w:t>The statistical significant relation between NAR score and DFS</w:t>
      </w:r>
      <w:r w:rsidR="00B4709A" w:rsidRPr="000973FD">
        <w:rPr>
          <w:rFonts w:ascii="Times New Roman" w:hAnsi="Times New Roman" w:cs="Times New Roman"/>
          <w:color w:val="000000"/>
          <w:sz w:val="20"/>
          <w:szCs w:val="20"/>
        </w:rPr>
        <w:t xml:space="preserve"> &amp; </w:t>
      </w:r>
      <w:r w:rsidR="00806650" w:rsidRPr="000973FD">
        <w:rPr>
          <w:rFonts w:ascii="Times New Roman" w:hAnsi="Times New Roman" w:cs="Times New Roman"/>
          <w:color w:val="000000"/>
          <w:sz w:val="20"/>
          <w:szCs w:val="20"/>
        </w:rPr>
        <w:t>OS were shown</w:t>
      </w:r>
      <w:r w:rsidR="00806650" w:rsidRPr="000973FD">
        <w:rPr>
          <w:rFonts w:ascii="Times New Roman" w:hAnsi="Times New Roman" w:cs="Times New Roman"/>
          <w:sz w:val="20"/>
          <w:szCs w:val="20"/>
          <w:lang w:val="en-ZA"/>
        </w:rPr>
        <w:t xml:space="preserve"> in patients with high, intermediate and low NAR score, as the median free survival times were 12.0, 24.0 </w:t>
      </w:r>
      <w:r w:rsidR="00806650" w:rsidRPr="000973FD">
        <w:rPr>
          <w:rFonts w:ascii="Times New Roman" w:hAnsi="Times New Roman" w:cs="Times New Roman"/>
          <w:color w:val="000000"/>
          <w:sz w:val="20"/>
          <w:szCs w:val="20"/>
          <w:lang w:val="en-ZA"/>
        </w:rPr>
        <w:t xml:space="preserve">and </w:t>
      </w:r>
      <w:r w:rsidR="00806650" w:rsidRPr="000973FD">
        <w:rPr>
          <w:rFonts w:ascii="Times New Roman" w:hAnsi="Times New Roman" w:cs="Times New Roman"/>
          <w:sz w:val="20"/>
          <w:szCs w:val="20"/>
          <w:lang w:val="en-ZA"/>
        </w:rPr>
        <w:t xml:space="preserve">36.0 </w:t>
      </w:r>
      <w:r w:rsidR="00806650" w:rsidRPr="000973FD">
        <w:rPr>
          <w:rFonts w:ascii="Times New Roman" w:hAnsi="Times New Roman" w:cs="Times New Roman"/>
          <w:color w:val="000000"/>
          <w:sz w:val="20"/>
          <w:szCs w:val="20"/>
        </w:rPr>
        <w:t>respectively.</w:t>
      </w:r>
      <w:r w:rsidR="000973FD">
        <w:rPr>
          <w:rFonts w:ascii="Times New Roman" w:hAnsi="Times New Roman" w:cs="Times New Roman" w:hint="eastAsia"/>
          <w:color w:val="000000"/>
          <w:sz w:val="20"/>
          <w:szCs w:val="20"/>
          <w:lang w:eastAsia="zh-CN"/>
        </w:rPr>
        <w:t xml:space="preserve"> </w:t>
      </w:r>
      <w:r w:rsidR="00806650" w:rsidRPr="000973FD">
        <w:rPr>
          <w:rFonts w:ascii="Times New Roman" w:hAnsi="Times New Roman" w:cs="Times New Roman"/>
          <w:sz w:val="20"/>
          <w:szCs w:val="20"/>
          <w:lang w:val="en-ZA"/>
        </w:rPr>
        <w:t>5-year survival rate of all patients was 75.1%. Patients with low NAR score showed 5-year OS rate 100.0%. Patients with intermediate and high score showed 5-year OS rate were not reached (NR) with statistically significant P value (P value&lt;0.001).</w:t>
      </w:r>
      <w:r w:rsidR="005624BD" w:rsidRPr="000973FD">
        <w:rPr>
          <w:rFonts w:ascii="Times New Roman" w:hAnsi="Times New Roman" w:cs="Times New Roman" w:hint="eastAsia"/>
          <w:sz w:val="20"/>
          <w:szCs w:val="20"/>
          <w:lang w:val="en-ZA" w:eastAsia="zh-CN"/>
        </w:rPr>
        <w:t xml:space="preserve"> </w:t>
      </w:r>
      <w:r w:rsidR="00806650" w:rsidRPr="000973FD">
        <w:rPr>
          <w:rFonts w:ascii="Times New Roman" w:hAnsi="Times New Roman" w:cs="Times New Roman"/>
          <w:b/>
          <w:bCs/>
          <w:sz w:val="20"/>
          <w:szCs w:val="20"/>
          <w:lang w:bidi="ar-EG"/>
        </w:rPr>
        <w:t>Conclusion</w:t>
      </w:r>
      <w:r w:rsidR="008D0799" w:rsidRPr="000973FD">
        <w:rPr>
          <w:rFonts w:ascii="Times New Roman" w:hAnsi="Times New Roman" w:cs="Times New Roman"/>
          <w:b/>
          <w:bCs/>
          <w:sz w:val="20"/>
          <w:szCs w:val="20"/>
          <w:lang w:bidi="ar-EG"/>
        </w:rPr>
        <w:t>:</w:t>
      </w:r>
      <w:r w:rsidR="005624BD" w:rsidRPr="000973FD">
        <w:rPr>
          <w:rFonts w:ascii="Times New Roman" w:hAnsi="Times New Roman" w:cs="Times New Roman" w:hint="eastAsia"/>
          <w:b/>
          <w:bCs/>
          <w:sz w:val="20"/>
          <w:szCs w:val="20"/>
          <w:lang w:eastAsia="zh-CN" w:bidi="ar-EG"/>
        </w:rPr>
        <w:t xml:space="preserve"> </w:t>
      </w:r>
      <w:r w:rsidR="00806650" w:rsidRPr="000973FD">
        <w:rPr>
          <w:rFonts w:ascii="Times New Roman" w:hAnsi="Times New Roman" w:cs="Times New Roman"/>
          <w:sz w:val="20"/>
          <w:szCs w:val="20"/>
        </w:rPr>
        <w:t>NAR score use a simple data available such as cT, pT and pN.</w:t>
      </w:r>
      <w:r w:rsidR="00B4709A" w:rsidRPr="000973FD">
        <w:rPr>
          <w:rFonts w:ascii="Times New Roman" w:hAnsi="Times New Roman" w:cs="Times New Roman"/>
          <w:sz w:val="20"/>
          <w:szCs w:val="20"/>
        </w:rPr>
        <w:t xml:space="preserve"> </w:t>
      </w:r>
      <w:r w:rsidR="00806650" w:rsidRPr="000973FD">
        <w:rPr>
          <w:rFonts w:ascii="Times New Roman" w:hAnsi="Times New Roman" w:cs="Times New Roman"/>
          <w:sz w:val="20"/>
          <w:szCs w:val="20"/>
        </w:rPr>
        <w:t>There was a negative correlation between NAR score and DFS</w:t>
      </w:r>
      <w:r w:rsidR="00B4709A" w:rsidRPr="000973FD">
        <w:rPr>
          <w:rFonts w:ascii="Times New Roman" w:hAnsi="Times New Roman" w:cs="Times New Roman"/>
          <w:sz w:val="20"/>
          <w:szCs w:val="20"/>
        </w:rPr>
        <w:t xml:space="preserve"> &amp; </w:t>
      </w:r>
      <w:r w:rsidR="00806650" w:rsidRPr="000973FD">
        <w:rPr>
          <w:rFonts w:ascii="Times New Roman" w:hAnsi="Times New Roman" w:cs="Times New Roman"/>
          <w:sz w:val="20"/>
          <w:szCs w:val="20"/>
        </w:rPr>
        <w:t>OS as with the increase of NAR score, there was decrease in DFS and OS.</w:t>
      </w:r>
    </w:p>
    <w:p w:rsidR="001E53F5" w:rsidRPr="000973FD" w:rsidRDefault="001E53F5" w:rsidP="001E53F5">
      <w:pPr>
        <w:bidi w:val="0"/>
        <w:snapToGrid w:val="0"/>
        <w:spacing w:after="0" w:line="240" w:lineRule="auto"/>
        <w:jc w:val="both"/>
        <w:rPr>
          <w:rFonts w:ascii="Times New Roman" w:hAnsi="Times New Roman" w:cs="Times New Roman"/>
          <w:color w:val="000000" w:themeColor="text1"/>
          <w:sz w:val="20"/>
          <w:szCs w:val="20"/>
          <w:lang w:eastAsia="zh-CN"/>
        </w:rPr>
      </w:pPr>
      <w:r w:rsidRPr="000973FD">
        <w:rPr>
          <w:rFonts w:ascii="Times New Roman" w:hAnsi="Times New Roman" w:cs="Times New Roman" w:hint="eastAsia"/>
          <w:b/>
          <w:sz w:val="20"/>
          <w:szCs w:val="20"/>
          <w:lang w:val="en-GB"/>
        </w:rPr>
        <w:t>[</w:t>
      </w:r>
      <w:r w:rsidRPr="000973FD">
        <w:rPr>
          <w:rFonts w:ascii="Times New Roman" w:eastAsia="Times New Roman" w:hAnsi="Times New Roman" w:cs="Times New Roman"/>
          <w:color w:val="000000" w:themeColor="text1"/>
          <w:sz w:val="20"/>
          <w:szCs w:val="20"/>
        </w:rPr>
        <w:t>Rehab F Mohamed, Mariam Mohsen Khalil, Samir Eid</w:t>
      </w:r>
      <w:r w:rsidRPr="000973FD">
        <w:rPr>
          <w:rFonts w:ascii="Times New Roman" w:hAnsi="Times New Roman" w:cs="Times New Roman"/>
          <w:sz w:val="20"/>
          <w:szCs w:val="20"/>
        </w:rPr>
        <w:t xml:space="preserve">. </w:t>
      </w:r>
      <w:r w:rsidRPr="000973FD">
        <w:rPr>
          <w:rFonts w:ascii="Times New Roman" w:hAnsi="Times New Roman" w:cs="Times New Roman"/>
          <w:b/>
          <w:bCs/>
          <w:color w:val="000000" w:themeColor="text1"/>
          <w:sz w:val="20"/>
          <w:szCs w:val="20"/>
        </w:rPr>
        <w:t>Neoadjuvant Rectal Cancer (NAR) Score as a Prognostic Factor in Locally Advanced Cancer Rectum</w:t>
      </w:r>
      <w:r w:rsidRPr="000973FD">
        <w:rPr>
          <w:rFonts w:ascii="Times New Roman" w:eastAsia="Times New Roman" w:hAnsi="Times New Roman" w:cs="Times New Roman"/>
          <w:b/>
          <w:bCs/>
          <w:sz w:val="20"/>
          <w:szCs w:val="20"/>
          <w:lang w:bidi="fa-IR"/>
        </w:rPr>
        <w:t>.</w:t>
      </w:r>
      <w:r w:rsidRPr="000973FD">
        <w:rPr>
          <w:rFonts w:ascii="Times New Roman" w:hAnsi="Times New Roman" w:cs="Times New Roman"/>
          <w:i/>
          <w:sz w:val="20"/>
          <w:szCs w:val="20"/>
        </w:rPr>
        <w:t xml:space="preserve"> Cancer Biology</w:t>
      </w:r>
      <w:r w:rsidRPr="000973FD">
        <w:rPr>
          <w:rFonts w:ascii="Times New Roman" w:hAnsi="Times New Roman" w:cs="Times New Roman"/>
          <w:sz w:val="20"/>
          <w:szCs w:val="20"/>
        </w:rPr>
        <w:t xml:space="preserve"> 201</w:t>
      </w:r>
      <w:r w:rsidRPr="000973FD">
        <w:rPr>
          <w:rFonts w:ascii="Times New Roman" w:hAnsi="Times New Roman" w:cs="Times New Roman" w:hint="eastAsia"/>
          <w:sz w:val="20"/>
          <w:szCs w:val="20"/>
        </w:rPr>
        <w:t>9</w:t>
      </w:r>
      <w:r w:rsidRPr="000973FD">
        <w:rPr>
          <w:rFonts w:ascii="Times New Roman" w:hAnsi="Times New Roman" w:cs="Times New Roman"/>
          <w:sz w:val="20"/>
          <w:szCs w:val="20"/>
        </w:rPr>
        <w:t>;</w:t>
      </w:r>
      <w:r w:rsidRPr="000973FD">
        <w:rPr>
          <w:rFonts w:ascii="Times New Roman" w:hAnsi="Times New Roman" w:cs="Times New Roman" w:hint="eastAsia"/>
          <w:sz w:val="20"/>
          <w:szCs w:val="20"/>
        </w:rPr>
        <w:t>9</w:t>
      </w:r>
      <w:r w:rsidRPr="000973FD">
        <w:rPr>
          <w:rFonts w:ascii="Times New Roman" w:hAnsi="Times New Roman" w:cs="Times New Roman"/>
          <w:sz w:val="20"/>
          <w:szCs w:val="20"/>
        </w:rPr>
        <w:t>(</w:t>
      </w:r>
      <w:r w:rsidRPr="000973FD">
        <w:rPr>
          <w:rFonts w:ascii="Times New Roman" w:hAnsi="Times New Roman" w:cs="Times New Roman" w:hint="eastAsia"/>
          <w:sz w:val="20"/>
          <w:szCs w:val="20"/>
        </w:rPr>
        <w:t>3</w:t>
      </w:r>
      <w:r w:rsidRPr="000973FD">
        <w:rPr>
          <w:rFonts w:ascii="Times New Roman" w:hAnsi="Times New Roman" w:cs="Times New Roman"/>
          <w:sz w:val="20"/>
          <w:szCs w:val="20"/>
        </w:rPr>
        <w:t>):</w:t>
      </w:r>
      <w:r w:rsidR="00D13F28" w:rsidRPr="000973FD">
        <w:rPr>
          <w:rFonts w:ascii="Times New Roman" w:hAnsi="Times New Roman" w:cs="Times New Roman"/>
          <w:noProof/>
          <w:color w:val="000000"/>
          <w:sz w:val="20"/>
          <w:szCs w:val="20"/>
        </w:rPr>
        <w:t>52-</w:t>
      </w:r>
      <w:r w:rsidR="000973FD">
        <w:rPr>
          <w:rFonts w:ascii="Times New Roman" w:hAnsi="Times New Roman" w:cs="Times New Roman" w:hint="eastAsia"/>
          <w:noProof/>
          <w:color w:val="000000"/>
          <w:sz w:val="20"/>
          <w:szCs w:val="20"/>
          <w:lang w:eastAsia="zh-CN"/>
        </w:rPr>
        <w:t>60</w:t>
      </w:r>
      <w:r w:rsidRPr="000973FD">
        <w:rPr>
          <w:rFonts w:ascii="Times New Roman" w:hAnsi="Times New Roman" w:cs="Times New Roman"/>
          <w:sz w:val="20"/>
          <w:szCs w:val="20"/>
        </w:rPr>
        <w:t xml:space="preserve">]. </w:t>
      </w:r>
      <w:r w:rsidRPr="000973FD">
        <w:rPr>
          <w:rStyle w:val="msonormal0"/>
          <w:rFonts w:ascii="Times New Roman" w:eastAsia="宋" w:hAnsi="Times New Roman" w:cs="Times New Roman"/>
          <w:sz w:val="20"/>
          <w:szCs w:val="20"/>
        </w:rPr>
        <w:t>ISSN: 2150-1041 (print); ISSN: 2150-105X (online)</w:t>
      </w:r>
      <w:r w:rsidRPr="000973FD">
        <w:rPr>
          <w:rFonts w:ascii="Times New Roman" w:hAnsi="Times New Roman" w:cs="Times New Roman"/>
          <w:sz w:val="20"/>
          <w:szCs w:val="20"/>
        </w:rPr>
        <w:t xml:space="preserve">. </w:t>
      </w:r>
      <w:hyperlink r:id="rId9" w:history="1">
        <w:r w:rsidRPr="000973FD">
          <w:rPr>
            <w:rStyle w:val="Hyperlink"/>
            <w:rFonts w:ascii="Times New Roman" w:hAnsi="Times New Roman" w:cs="Times New Roman"/>
            <w:sz w:val="20"/>
            <w:szCs w:val="20"/>
          </w:rPr>
          <w:t>http://www.cancerbio.net</w:t>
        </w:r>
      </w:hyperlink>
      <w:r w:rsidRPr="000973FD">
        <w:rPr>
          <w:rFonts w:ascii="Times New Roman" w:hAnsi="Times New Roman" w:cs="Times New Roman"/>
          <w:sz w:val="20"/>
          <w:szCs w:val="20"/>
        </w:rPr>
        <w:t>.</w:t>
      </w:r>
      <w:r w:rsidRPr="000973FD">
        <w:rPr>
          <w:rFonts w:ascii="Times New Roman" w:hAnsi="Times New Roman" w:cs="Times New Roman" w:hint="eastAsia"/>
          <w:sz w:val="20"/>
          <w:szCs w:val="20"/>
        </w:rPr>
        <w:t xml:space="preserve"> </w:t>
      </w:r>
      <w:r w:rsidRPr="000973FD">
        <w:rPr>
          <w:rFonts w:ascii="Times New Roman" w:hAnsi="Times New Roman" w:cs="Times New Roman" w:hint="eastAsia"/>
          <w:sz w:val="20"/>
          <w:szCs w:val="20"/>
          <w:lang w:eastAsia="zh-CN"/>
        </w:rPr>
        <w:t>7</w:t>
      </w:r>
      <w:r w:rsidRPr="000973FD">
        <w:rPr>
          <w:rFonts w:ascii="Times New Roman" w:hAnsi="Times New Roman" w:cs="Times New Roman" w:hint="eastAsia"/>
          <w:sz w:val="20"/>
          <w:szCs w:val="20"/>
        </w:rPr>
        <w:t xml:space="preserve">. </w:t>
      </w:r>
      <w:r w:rsidRPr="000973FD">
        <w:rPr>
          <w:rFonts w:ascii="Times New Roman" w:hAnsi="Times New Roman" w:cs="Times New Roman"/>
          <w:color w:val="000000"/>
          <w:sz w:val="20"/>
          <w:szCs w:val="20"/>
          <w:shd w:val="clear" w:color="auto" w:fill="FFFFFF"/>
        </w:rPr>
        <w:t>doi:</w:t>
      </w:r>
      <w:hyperlink r:id="rId10" w:history="1">
        <w:r w:rsidRPr="000973FD">
          <w:rPr>
            <w:rStyle w:val="Hyperlink"/>
            <w:rFonts w:ascii="Times New Roman" w:hAnsi="Times New Roman" w:cs="Times New Roman"/>
            <w:sz w:val="20"/>
            <w:szCs w:val="20"/>
            <w:shd w:val="clear" w:color="auto" w:fill="FFFFFF"/>
          </w:rPr>
          <w:t>10.7537/mars</w:t>
        </w:r>
        <w:r w:rsidRPr="000973FD">
          <w:rPr>
            <w:rStyle w:val="Hyperlink"/>
            <w:rFonts w:ascii="Times New Roman" w:hAnsi="Times New Roman" w:cs="Times New Roman" w:hint="eastAsia"/>
            <w:sz w:val="20"/>
            <w:szCs w:val="20"/>
            <w:shd w:val="clear" w:color="auto" w:fill="FFFFFF"/>
          </w:rPr>
          <w:t>cbj0903</w:t>
        </w:r>
        <w:r w:rsidRPr="000973FD">
          <w:rPr>
            <w:rStyle w:val="Hyperlink"/>
            <w:rFonts w:ascii="Times New Roman" w:hAnsi="Times New Roman" w:cs="Times New Roman"/>
            <w:sz w:val="20"/>
            <w:szCs w:val="20"/>
            <w:shd w:val="clear" w:color="auto" w:fill="FFFFFF"/>
          </w:rPr>
          <w:t>1</w:t>
        </w:r>
        <w:r w:rsidRPr="000973FD">
          <w:rPr>
            <w:rStyle w:val="Hyperlink"/>
            <w:rFonts w:ascii="Times New Roman" w:hAnsi="Times New Roman" w:cs="Times New Roman" w:hint="eastAsia"/>
            <w:sz w:val="20"/>
            <w:szCs w:val="20"/>
            <w:shd w:val="clear" w:color="auto" w:fill="FFFFFF"/>
          </w:rPr>
          <w:t>9.</w:t>
        </w:r>
        <w:r w:rsidRPr="000973FD">
          <w:rPr>
            <w:rStyle w:val="Hyperlink"/>
            <w:rFonts w:ascii="Times New Roman" w:hAnsi="Times New Roman" w:cs="Times New Roman"/>
            <w:sz w:val="20"/>
            <w:szCs w:val="20"/>
            <w:shd w:val="clear" w:color="auto" w:fill="FFFFFF"/>
          </w:rPr>
          <w:t>0</w:t>
        </w:r>
        <w:r w:rsidRPr="000973FD">
          <w:rPr>
            <w:rStyle w:val="Hyperlink"/>
            <w:rFonts w:ascii="Times New Roman" w:hAnsi="Times New Roman" w:cs="Times New Roman" w:hint="eastAsia"/>
            <w:sz w:val="20"/>
            <w:szCs w:val="20"/>
            <w:shd w:val="clear" w:color="auto" w:fill="FFFFFF"/>
            <w:lang w:eastAsia="zh-CN"/>
          </w:rPr>
          <w:t>7</w:t>
        </w:r>
      </w:hyperlink>
      <w:r w:rsidRPr="000973FD">
        <w:rPr>
          <w:rFonts w:ascii="Times New Roman" w:hAnsi="Times New Roman" w:cs="Times New Roman"/>
          <w:color w:val="000000"/>
          <w:sz w:val="20"/>
          <w:szCs w:val="20"/>
          <w:shd w:val="clear" w:color="auto" w:fill="FFFFFF"/>
        </w:rPr>
        <w:t>.</w:t>
      </w:r>
    </w:p>
    <w:p w:rsidR="00A60AA5" w:rsidRPr="000973FD" w:rsidRDefault="00A60AA5" w:rsidP="001E53F5">
      <w:pPr>
        <w:bidi w:val="0"/>
        <w:snapToGrid w:val="0"/>
        <w:spacing w:after="0" w:line="240" w:lineRule="auto"/>
        <w:jc w:val="both"/>
        <w:rPr>
          <w:rFonts w:ascii="Times New Roman" w:hAnsi="Times New Roman" w:cs="Times New Roman"/>
          <w:b/>
          <w:bCs/>
          <w:sz w:val="20"/>
          <w:szCs w:val="20"/>
        </w:rPr>
      </w:pPr>
    </w:p>
    <w:p w:rsidR="005C4892" w:rsidRPr="000973FD" w:rsidRDefault="005C4892" w:rsidP="001E53F5">
      <w:pPr>
        <w:bidi w:val="0"/>
        <w:snapToGrid w:val="0"/>
        <w:spacing w:after="0" w:line="240" w:lineRule="auto"/>
        <w:jc w:val="both"/>
        <w:rPr>
          <w:rFonts w:ascii="Times New Roman" w:hAnsi="Times New Roman" w:cs="Times New Roman"/>
          <w:b/>
          <w:bCs/>
          <w:caps/>
          <w:color w:val="000000" w:themeColor="text1"/>
          <w:sz w:val="20"/>
          <w:szCs w:val="20"/>
        </w:rPr>
      </w:pPr>
      <w:r w:rsidRPr="000973FD">
        <w:rPr>
          <w:rFonts w:ascii="Times New Roman" w:hAnsi="Times New Roman" w:cs="Times New Roman"/>
          <w:b/>
          <w:bCs/>
          <w:sz w:val="20"/>
          <w:szCs w:val="20"/>
        </w:rPr>
        <w:t>Key words:</w:t>
      </w:r>
      <w:r w:rsidR="007E12F3" w:rsidRPr="000973FD">
        <w:rPr>
          <w:rFonts w:ascii="Times New Roman" w:hAnsi="Times New Roman" w:cs="Times New Roman"/>
          <w:b/>
          <w:bCs/>
          <w:sz w:val="20"/>
          <w:szCs w:val="20"/>
        </w:rPr>
        <w:t xml:space="preserve"> </w:t>
      </w:r>
      <w:r w:rsidR="00587ACA" w:rsidRPr="000973FD">
        <w:rPr>
          <w:rFonts w:ascii="Times New Roman" w:hAnsi="Times New Roman" w:cs="Times New Roman"/>
          <w:sz w:val="20"/>
          <w:szCs w:val="20"/>
        </w:rPr>
        <w:t>NAR score, locally, neoadj</w:t>
      </w:r>
      <w:r w:rsidR="00AA7D95" w:rsidRPr="000973FD">
        <w:rPr>
          <w:rFonts w:ascii="Times New Roman" w:hAnsi="Times New Roman" w:cs="Times New Roman"/>
          <w:sz w:val="20"/>
          <w:szCs w:val="20"/>
        </w:rPr>
        <w:t>uvant, rectal, advanced, cancer</w:t>
      </w:r>
      <w:r w:rsidR="00587ACA" w:rsidRPr="000973FD">
        <w:rPr>
          <w:rFonts w:ascii="Times New Roman" w:hAnsi="Times New Roman" w:cs="Times New Roman"/>
          <w:sz w:val="20"/>
          <w:szCs w:val="20"/>
        </w:rPr>
        <w:t>.</w:t>
      </w:r>
    </w:p>
    <w:p w:rsidR="008D0799" w:rsidRPr="000973FD" w:rsidRDefault="008D0799" w:rsidP="001E53F5">
      <w:pPr>
        <w:bidi w:val="0"/>
        <w:snapToGrid w:val="0"/>
        <w:spacing w:after="0" w:line="240" w:lineRule="auto"/>
        <w:jc w:val="both"/>
        <w:rPr>
          <w:rFonts w:ascii="Times New Roman" w:hAnsi="Times New Roman" w:cs="Times New Roman"/>
          <w:b/>
          <w:bCs/>
          <w:caps/>
          <w:color w:val="000000" w:themeColor="text1"/>
          <w:sz w:val="20"/>
          <w:szCs w:val="20"/>
        </w:rPr>
      </w:pPr>
    </w:p>
    <w:p w:rsidR="001E53F5" w:rsidRPr="000973FD" w:rsidRDefault="001E53F5" w:rsidP="001E53F5">
      <w:pPr>
        <w:bidi w:val="0"/>
        <w:snapToGrid w:val="0"/>
        <w:spacing w:after="0" w:line="240" w:lineRule="auto"/>
        <w:jc w:val="both"/>
        <w:rPr>
          <w:rFonts w:ascii="Times New Roman" w:hAnsi="Times New Roman" w:cs="Times New Roman"/>
          <w:b/>
          <w:bCs/>
          <w:sz w:val="20"/>
          <w:szCs w:val="20"/>
          <w:lang w:bidi="ar-EG"/>
        </w:rPr>
        <w:sectPr w:rsidR="001E53F5" w:rsidRPr="000973FD" w:rsidSect="00D13F28">
          <w:headerReference w:type="default" r:id="rId11"/>
          <w:footerReference w:type="default" r:id="rId12"/>
          <w:type w:val="continuous"/>
          <w:pgSz w:w="12240" w:h="15840"/>
          <w:pgMar w:top="1440" w:right="1440" w:bottom="1440" w:left="1440" w:header="720" w:footer="720" w:gutter="0"/>
          <w:pgNumType w:start="52"/>
          <w:cols w:space="720"/>
          <w:bidi/>
          <w:rtlGutter/>
          <w:docGrid w:linePitch="360"/>
        </w:sectPr>
      </w:pPr>
    </w:p>
    <w:p w:rsidR="005C4892" w:rsidRPr="000973FD" w:rsidRDefault="008D0799" w:rsidP="001E53F5">
      <w:pPr>
        <w:bidi w:val="0"/>
        <w:snapToGrid w:val="0"/>
        <w:spacing w:after="0" w:line="240" w:lineRule="auto"/>
        <w:jc w:val="both"/>
        <w:rPr>
          <w:rFonts w:ascii="Times New Roman" w:hAnsi="Times New Roman" w:cs="Times New Roman"/>
          <w:b/>
          <w:bCs/>
          <w:sz w:val="20"/>
          <w:szCs w:val="20"/>
          <w:lang w:bidi="ar-EG"/>
        </w:rPr>
      </w:pPr>
      <w:r w:rsidRPr="000973FD">
        <w:rPr>
          <w:rFonts w:ascii="Times New Roman" w:hAnsi="Times New Roman" w:cs="Times New Roman"/>
          <w:b/>
          <w:bCs/>
          <w:sz w:val="20"/>
          <w:szCs w:val="20"/>
          <w:lang w:bidi="ar-EG"/>
        </w:rPr>
        <w:lastRenderedPageBreak/>
        <w:t xml:space="preserve">1. </w:t>
      </w:r>
      <w:r w:rsidR="005C4892" w:rsidRPr="000973FD">
        <w:rPr>
          <w:rFonts w:ascii="Times New Roman" w:hAnsi="Times New Roman" w:cs="Times New Roman"/>
          <w:b/>
          <w:bCs/>
          <w:sz w:val="20"/>
          <w:szCs w:val="20"/>
          <w:lang w:bidi="ar-EG"/>
        </w:rPr>
        <w:t>Introduction</w:t>
      </w:r>
    </w:p>
    <w:p w:rsidR="005C4892" w:rsidRPr="000973FD" w:rsidRDefault="005C4892"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shd w:val="clear" w:color="auto" w:fill="FFFFFF"/>
          <w:lang w:bidi="ar-EG"/>
        </w:rPr>
      </w:pPr>
      <w:r w:rsidRPr="000973FD">
        <w:rPr>
          <w:rFonts w:ascii="Times New Roman" w:hAnsi="Times New Roman" w:cs="Times New Roman"/>
          <w:sz w:val="20"/>
          <w:szCs w:val="20"/>
        </w:rPr>
        <w:t>Colorectal cancer (CRC) is</w:t>
      </w:r>
      <w:r w:rsidRPr="000973FD">
        <w:rPr>
          <w:rFonts w:ascii="Times New Roman" w:hAnsi="Times New Roman" w:cs="Times New Roman"/>
          <w:sz w:val="20"/>
          <w:szCs w:val="20"/>
          <w:shd w:val="clear" w:color="auto" w:fill="FFFFFF"/>
        </w:rPr>
        <w:t xml:space="preserve"> the third most commonly occurring cancer in men and the second most commonly occurring cancer in women and the fourth leading cause of </w:t>
      </w:r>
      <w:r w:rsidR="00D47F39" w:rsidRPr="000973FD">
        <w:rPr>
          <w:rFonts w:ascii="Times New Roman" w:hAnsi="Times New Roman" w:cs="Times New Roman"/>
          <w:sz w:val="20"/>
          <w:szCs w:val="20"/>
          <w:shd w:val="clear" w:color="auto" w:fill="FFFFFF"/>
        </w:rPr>
        <w:t>cancer-related deaths worldwide</w:t>
      </w:r>
      <w:r w:rsidRPr="000973FD">
        <w:rPr>
          <w:rFonts w:ascii="Times New Roman" w:hAnsi="Times New Roman" w:cs="Times New Roman"/>
          <w:sz w:val="20"/>
          <w:szCs w:val="20"/>
          <w:shd w:val="clear" w:color="auto" w:fill="FFFFFF"/>
        </w:rPr>
        <w:t xml:space="preserve"> [1]. Management of locally advanced rectal cancer is complex because curative treatment routinely involves administration of surgery, chemotherapy, and radiation. Also, there is considerable heterogeneity in risk based on rectal tumor location,</w:t>
      </w:r>
      <w:r w:rsidR="00EF7141" w:rsidRPr="000973FD">
        <w:rPr>
          <w:rFonts w:ascii="Times New Roman" w:hAnsi="Times New Roman" w:cs="Times New Roman"/>
          <w:sz w:val="20"/>
          <w:szCs w:val="20"/>
          <w:shd w:val="clear" w:color="auto" w:fill="FFFFFF"/>
        </w:rPr>
        <w:t xml:space="preserve"> extent, and nodal involvement </w:t>
      </w:r>
      <w:r w:rsidRPr="000973FD">
        <w:rPr>
          <w:rFonts w:ascii="Times New Roman" w:hAnsi="Times New Roman" w:cs="Times New Roman"/>
          <w:sz w:val="20"/>
          <w:szCs w:val="20"/>
          <w:shd w:val="clear" w:color="auto" w:fill="FFFFFF"/>
        </w:rPr>
        <w:t>[2].</w:t>
      </w:r>
    </w:p>
    <w:p w:rsidR="005C4892" w:rsidRPr="000973FD" w:rsidRDefault="005C4892"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shd w:val="clear" w:color="auto" w:fill="FFFFFF"/>
          <w:lang w:bidi="ar-EG"/>
        </w:rPr>
      </w:pPr>
      <w:r w:rsidRPr="000973FD">
        <w:rPr>
          <w:rFonts w:ascii="Times New Roman" w:hAnsi="Times New Roman" w:cs="Times New Roman"/>
          <w:sz w:val="20"/>
          <w:szCs w:val="20"/>
          <w:shd w:val="clear" w:color="auto" w:fill="FFFFFF"/>
        </w:rPr>
        <w:t>In the era of multimodality treatment for cancers, neo-adjuvant chemo-radiotherapy followed by radical surgery with total meso-rectal excision (TME) has become the standard of care for patients with locally advanced rectal cance</w:t>
      </w:r>
      <w:r w:rsidR="00EF7141" w:rsidRPr="000973FD">
        <w:rPr>
          <w:rFonts w:ascii="Times New Roman" w:hAnsi="Times New Roman" w:cs="Times New Roman"/>
          <w:sz w:val="20"/>
          <w:szCs w:val="20"/>
          <w:shd w:val="clear" w:color="auto" w:fill="FFFFFF"/>
        </w:rPr>
        <w:t>r [3, 4].</w:t>
      </w:r>
      <w:r w:rsidRPr="000973FD">
        <w:rPr>
          <w:rFonts w:ascii="Times New Roman" w:hAnsi="Times New Roman" w:cs="Times New Roman"/>
          <w:sz w:val="20"/>
          <w:szCs w:val="20"/>
          <w:shd w:val="clear" w:color="auto" w:fill="FFFFFF"/>
        </w:rPr>
        <w:t xml:space="preserve"> This modern modality offer a higher probability to downsize and downstage tumors, enhance tumor respectability, sphincteric preservation and to improve local tumor control</w:t>
      </w:r>
      <w:r w:rsidR="00EF7141" w:rsidRPr="000973FD">
        <w:rPr>
          <w:rFonts w:ascii="Times New Roman" w:hAnsi="Times New Roman" w:cs="Times New Roman"/>
          <w:sz w:val="20"/>
          <w:szCs w:val="20"/>
          <w:shd w:val="clear" w:color="auto" w:fill="FFFFFF"/>
        </w:rPr>
        <w:t xml:space="preserve"> [5].</w:t>
      </w:r>
      <w:r w:rsidRPr="000973FD">
        <w:rPr>
          <w:rFonts w:ascii="Times New Roman" w:hAnsi="Times New Roman" w:cs="Times New Roman"/>
          <w:sz w:val="20"/>
          <w:szCs w:val="20"/>
          <w:shd w:val="clear" w:color="auto" w:fill="FFFFFF"/>
        </w:rPr>
        <w:t xml:space="preserve"> Nevertheless, locally advanced patients exhibit </w:t>
      </w:r>
      <w:r w:rsidRPr="000973FD">
        <w:rPr>
          <w:rFonts w:ascii="Times New Roman" w:hAnsi="Times New Roman" w:cs="Times New Roman"/>
          <w:sz w:val="20"/>
          <w:szCs w:val="20"/>
          <w:shd w:val="clear" w:color="auto" w:fill="FFFFFF"/>
        </w:rPr>
        <w:lastRenderedPageBreak/>
        <w:t xml:space="preserve">heterogeneity in responses to neo-adjuvant treatment, which can result in very difficult long term results. Additionally, adjuvant treatment and surveillance need to be given based in individual patient prognostication. Patients at high risk of disease progression will require additional interventions and tailored decision making </w:t>
      </w:r>
      <w:r w:rsidR="00EF7141" w:rsidRPr="000973FD">
        <w:rPr>
          <w:rFonts w:ascii="Times New Roman" w:hAnsi="Times New Roman" w:cs="Times New Roman"/>
          <w:sz w:val="20"/>
          <w:szCs w:val="20"/>
          <w:shd w:val="clear" w:color="auto" w:fill="FFFFFF"/>
        </w:rPr>
        <w:t xml:space="preserve">with the help of physician [6]. </w:t>
      </w:r>
      <w:r w:rsidRPr="000973FD">
        <w:rPr>
          <w:rFonts w:ascii="Times New Roman" w:hAnsi="Times New Roman" w:cs="Times New Roman"/>
          <w:sz w:val="20"/>
          <w:szCs w:val="20"/>
          <w:shd w:val="clear" w:color="auto" w:fill="FFFFFF"/>
        </w:rPr>
        <w:t>Therefore, identification of more reliable clinic-pathological determinants of survival could improve postoperative prognosis evaluation and help to plan tailored postoperative treatment for patients with rectal cancer after neo-adjuvant therapy.</w:t>
      </w:r>
    </w:p>
    <w:p w:rsidR="005C4892" w:rsidRPr="000973FD" w:rsidRDefault="005C4892"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lang w:eastAsia="zh-CN"/>
        </w:rPr>
      </w:pPr>
      <w:r w:rsidRPr="000973FD">
        <w:rPr>
          <w:rFonts w:ascii="Times New Roman" w:hAnsi="Times New Roman" w:cs="Times New Roman"/>
          <w:sz w:val="20"/>
          <w:szCs w:val="20"/>
        </w:rPr>
        <w:t>The neo-adjuvant rectal cancer (NAR) score is a short term endpoint</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rPr>
        <w:t>to serve as a surrogate for disease free survival (DFS) and overall survival (OS) which facilitate the scientific research work and rapid progress in the clinical practice. The NAR score scores from 0 to 100 with higher scores representing a poorer prognosis.</w:t>
      </w:r>
    </w:p>
    <w:p w:rsidR="00B4709A" w:rsidRPr="000973FD" w:rsidRDefault="00B4709A"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lang w:eastAsia="zh-CN" w:bidi="ar-EG"/>
        </w:rPr>
      </w:pPr>
    </w:p>
    <w:p w:rsidR="00EF7141" w:rsidRPr="000973FD" w:rsidRDefault="008D0799" w:rsidP="001E53F5">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973FD">
        <w:rPr>
          <w:rFonts w:ascii="Times New Roman" w:hAnsi="Times New Roman" w:cs="Times New Roman"/>
          <w:b/>
          <w:bCs/>
          <w:sz w:val="20"/>
          <w:szCs w:val="20"/>
        </w:rPr>
        <w:lastRenderedPageBreak/>
        <w:t xml:space="preserve">2. </w:t>
      </w:r>
      <w:r w:rsidR="00EF7141" w:rsidRPr="000973FD">
        <w:rPr>
          <w:rFonts w:ascii="Times New Roman" w:hAnsi="Times New Roman" w:cs="Times New Roman"/>
          <w:b/>
          <w:bCs/>
          <w:sz w:val="20"/>
          <w:szCs w:val="20"/>
        </w:rPr>
        <w:t>Patients and Methods</w:t>
      </w:r>
    </w:p>
    <w:p w:rsidR="00EF7141" w:rsidRPr="000973FD" w:rsidRDefault="00EF7141" w:rsidP="001E53F5">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0973FD">
        <w:rPr>
          <w:rFonts w:ascii="Times New Roman" w:hAnsi="Times New Roman" w:cs="Times New Roman"/>
          <w:i/>
          <w:iCs/>
          <w:sz w:val="20"/>
          <w:szCs w:val="20"/>
        </w:rPr>
        <w:t>Study Population</w:t>
      </w:r>
    </w:p>
    <w:p w:rsidR="001851FB" w:rsidRPr="000973FD" w:rsidRDefault="00EF7141"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lang w:bidi="ar-EG"/>
        </w:rPr>
      </w:pPr>
      <w:r w:rsidRPr="000973FD">
        <w:rPr>
          <w:rFonts w:ascii="Times New Roman" w:hAnsi="Times New Roman" w:cs="Times New Roman"/>
          <w:sz w:val="20"/>
          <w:szCs w:val="20"/>
          <w:lang w:bidi="ar-EG"/>
        </w:rPr>
        <w:t xml:space="preserve">This retrospective cohort is observational study investigate NAR score in locally advanced rectal cancer patients and its </w:t>
      </w:r>
      <w:r w:rsidRPr="000973FD">
        <w:rPr>
          <w:rFonts w:ascii="Times New Roman" w:hAnsi="Times New Roman" w:cs="Times New Roman"/>
          <w:sz w:val="20"/>
          <w:szCs w:val="20"/>
        </w:rPr>
        <w:t xml:space="preserve">relation </w:t>
      </w:r>
      <w:r w:rsidRPr="000973FD">
        <w:rPr>
          <w:rFonts w:ascii="Times New Roman" w:hAnsi="Times New Roman" w:cs="Times New Roman"/>
          <w:sz w:val="20"/>
          <w:szCs w:val="20"/>
          <w:lang w:bidi="ar-EG"/>
        </w:rPr>
        <w:t>to DFS and OS</w:t>
      </w:r>
      <w:r w:rsidR="001E53F5" w:rsidRPr="000973FD">
        <w:rPr>
          <w:rFonts w:ascii="Times New Roman" w:hAnsi="Times New Roman" w:cs="Times New Roman"/>
          <w:sz w:val="20"/>
          <w:szCs w:val="20"/>
          <w:lang w:bidi="ar-EG"/>
        </w:rPr>
        <w:t>. W</w:t>
      </w:r>
      <w:r w:rsidRPr="000973FD">
        <w:rPr>
          <w:rFonts w:ascii="Times New Roman" w:hAnsi="Times New Roman" w:cs="Times New Roman"/>
          <w:sz w:val="20"/>
          <w:szCs w:val="20"/>
          <w:lang w:bidi="ar-EG"/>
        </w:rPr>
        <w:t xml:space="preserve">e reviewed the clinical data of </w:t>
      </w:r>
      <w:r w:rsidR="007176F5" w:rsidRPr="000973FD">
        <w:rPr>
          <w:rFonts w:ascii="Times New Roman" w:hAnsi="Times New Roman" w:cs="Times New Roman"/>
          <w:sz w:val="20"/>
          <w:szCs w:val="20"/>
          <w:lang w:bidi="ar-EG"/>
        </w:rPr>
        <w:t xml:space="preserve">70 </w:t>
      </w:r>
      <w:r w:rsidRPr="000973FD">
        <w:rPr>
          <w:rFonts w:ascii="Times New Roman" w:hAnsi="Times New Roman" w:cs="Times New Roman"/>
          <w:sz w:val="20"/>
          <w:szCs w:val="20"/>
          <w:lang w:bidi="ar-EG"/>
        </w:rPr>
        <w:t>patients with locally advanced rectal cancer treated at Clinical Oncology Department, Assiut University Hospital between January 2009 and December 2013</w:t>
      </w:r>
      <w:r w:rsidR="001E53F5" w:rsidRPr="000973FD">
        <w:rPr>
          <w:rFonts w:ascii="Times New Roman" w:hAnsi="Times New Roman" w:cs="Times New Roman"/>
          <w:sz w:val="20"/>
          <w:szCs w:val="20"/>
          <w:lang w:bidi="ar-EG"/>
        </w:rPr>
        <w:t>. T</w:t>
      </w:r>
      <w:r w:rsidRPr="000973FD">
        <w:rPr>
          <w:rFonts w:ascii="Times New Roman" w:hAnsi="Times New Roman" w:cs="Times New Roman"/>
          <w:sz w:val="20"/>
          <w:szCs w:val="20"/>
          <w:lang w:bidi="ar-EG"/>
        </w:rPr>
        <w:t xml:space="preserve">he </w:t>
      </w:r>
      <w:r w:rsidRPr="000973FD">
        <w:rPr>
          <w:rFonts w:ascii="Times New Roman" w:hAnsi="Times New Roman" w:cs="Times New Roman"/>
          <w:sz w:val="20"/>
          <w:szCs w:val="20"/>
        </w:rPr>
        <w:t xml:space="preserve">protocol </w:t>
      </w:r>
      <w:r w:rsidRPr="000973FD">
        <w:rPr>
          <w:rFonts w:ascii="Times New Roman" w:hAnsi="Times New Roman" w:cs="Times New Roman"/>
          <w:sz w:val="20"/>
          <w:szCs w:val="20"/>
          <w:lang w:bidi="ar-EG"/>
        </w:rPr>
        <w:t>of the study was approved by the ethics committee of Assiut University before data collection</w:t>
      </w:r>
      <w:r w:rsidR="001E53F5" w:rsidRPr="000973FD">
        <w:rPr>
          <w:rFonts w:ascii="Times New Roman" w:hAnsi="Times New Roman" w:cs="Times New Roman"/>
          <w:sz w:val="20"/>
          <w:szCs w:val="20"/>
          <w:lang w:bidi="ar-EG"/>
        </w:rPr>
        <w:t xml:space="preserve">. </w:t>
      </w:r>
      <w:r w:rsidR="001E53F5" w:rsidRPr="000973FD">
        <w:rPr>
          <w:rFonts w:ascii="Times New Roman" w:hAnsi="Times New Roman" w:cs="Times New Roman"/>
          <w:sz w:val="20"/>
          <w:szCs w:val="20"/>
        </w:rPr>
        <w:t>P</w:t>
      </w:r>
      <w:r w:rsidR="001851FB" w:rsidRPr="000973FD">
        <w:rPr>
          <w:rFonts w:ascii="Times New Roman" w:hAnsi="Times New Roman" w:cs="Times New Roman"/>
          <w:sz w:val="20"/>
          <w:szCs w:val="20"/>
        </w:rPr>
        <w:t xml:space="preserve">atients eligible for the study were between 18 and 85 years of age, rectal cancer confirmed </w:t>
      </w:r>
      <w:r w:rsidR="002D331D" w:rsidRPr="000973FD">
        <w:rPr>
          <w:rFonts w:ascii="Times New Roman" w:hAnsi="Times New Roman" w:cs="Times New Roman"/>
          <w:sz w:val="20"/>
          <w:szCs w:val="20"/>
        </w:rPr>
        <w:t>pathologically,</w:t>
      </w:r>
      <w:r w:rsidR="001851FB" w:rsidRPr="000973FD">
        <w:rPr>
          <w:rFonts w:ascii="Times New Roman" w:hAnsi="Times New Roman" w:cs="Times New Roman"/>
          <w:sz w:val="20"/>
          <w:szCs w:val="20"/>
        </w:rPr>
        <w:t xml:space="preserve"> with T3, T4/N +ve rectal cancer</w:t>
      </w:r>
      <w:r w:rsidR="002D331D" w:rsidRPr="000973FD">
        <w:rPr>
          <w:rFonts w:ascii="Times New Roman" w:hAnsi="Times New Roman" w:cs="Times New Roman"/>
          <w:sz w:val="20"/>
          <w:szCs w:val="20"/>
        </w:rPr>
        <w:t xml:space="preserve">, </w:t>
      </w:r>
      <w:r w:rsidR="001851FB" w:rsidRPr="000973FD">
        <w:rPr>
          <w:rFonts w:ascii="Times New Roman" w:hAnsi="Times New Roman" w:cs="Times New Roman"/>
          <w:sz w:val="20"/>
          <w:szCs w:val="20"/>
        </w:rPr>
        <w:t xml:space="preserve">received neo-adjuvant treatment, </w:t>
      </w:r>
      <w:r w:rsidR="002D331D" w:rsidRPr="000973FD">
        <w:rPr>
          <w:rFonts w:ascii="Times New Roman" w:hAnsi="Times New Roman" w:cs="Times New Roman"/>
          <w:sz w:val="20"/>
          <w:szCs w:val="20"/>
        </w:rPr>
        <w:t>and</w:t>
      </w:r>
      <w:r w:rsidR="001851FB" w:rsidRPr="000973FD">
        <w:rPr>
          <w:rFonts w:ascii="Times New Roman" w:hAnsi="Times New Roman" w:cs="Times New Roman"/>
          <w:sz w:val="20"/>
          <w:szCs w:val="20"/>
        </w:rPr>
        <w:t xml:space="preserve"> underwent surgery.</w:t>
      </w:r>
    </w:p>
    <w:p w:rsidR="00EC7186" w:rsidRPr="000973FD" w:rsidRDefault="00EC7186" w:rsidP="001E53F5">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0973FD">
        <w:rPr>
          <w:rFonts w:ascii="Times New Roman" w:hAnsi="Times New Roman" w:cs="Times New Roman"/>
          <w:i/>
          <w:iCs/>
          <w:sz w:val="20"/>
          <w:szCs w:val="20"/>
        </w:rPr>
        <w:t>Study design</w:t>
      </w:r>
    </w:p>
    <w:p w:rsidR="000910F7" w:rsidRPr="000973FD" w:rsidRDefault="00E3642C"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lang w:bidi="ar-EG"/>
        </w:rPr>
        <w:t>All included patients received neo-adjuvant concurrent chemo-radiotherapy followed by radical surgery (according to the site of tumor) and completed the adjuvant treatment. 2D planning system by conventional X-ray simulation was used with radiation delivered by linear accelerator (SIEMENS PRIMUS Linear Accelerator) with energy 15Mev. With use of total radiation dose 5040 cGy and fraction size of 180 cGy, 5 times per week for 6 weeks. Concurrent use of 5FU 400mg/m</w:t>
      </w:r>
      <w:r w:rsidRPr="000973FD">
        <w:rPr>
          <w:rFonts w:ascii="Times New Roman" w:hAnsi="Times New Roman" w:cs="Times New Roman"/>
          <w:sz w:val="20"/>
          <w:szCs w:val="20"/>
          <w:vertAlign w:val="superscript"/>
          <w:lang w:bidi="ar-EG"/>
        </w:rPr>
        <w:t>2</w:t>
      </w:r>
      <w:r w:rsidRPr="000973FD">
        <w:rPr>
          <w:rFonts w:ascii="Times New Roman" w:hAnsi="Times New Roman" w:cs="Times New Roman"/>
          <w:sz w:val="20"/>
          <w:szCs w:val="20"/>
          <w:lang w:bidi="ar-EG"/>
        </w:rPr>
        <w:t xml:space="preserve"> IV bolus + leucovorin 20mg/m2 IV bolus from day 1-4 during weeks 1 and 5 of radiotherapy. Or use of capecitabine 825mg/m</w:t>
      </w:r>
      <w:r w:rsidRPr="000973FD">
        <w:rPr>
          <w:rFonts w:ascii="Times New Roman" w:hAnsi="Times New Roman" w:cs="Times New Roman"/>
          <w:sz w:val="20"/>
          <w:szCs w:val="20"/>
          <w:vertAlign w:val="superscript"/>
          <w:lang w:bidi="ar-EG"/>
        </w:rPr>
        <w:t>2</w:t>
      </w:r>
      <w:r w:rsidRPr="000973FD">
        <w:rPr>
          <w:rFonts w:ascii="Times New Roman" w:hAnsi="Times New Roman" w:cs="Times New Roman"/>
          <w:sz w:val="20"/>
          <w:szCs w:val="20"/>
          <w:lang w:bidi="ar-EG"/>
        </w:rPr>
        <w:t xml:space="preserve"> twice daily concurrently with radiation from day1-5 and repeat cycle weekly for 5 weeks. </w:t>
      </w:r>
      <w:r w:rsidRPr="000973FD">
        <w:rPr>
          <w:rFonts w:ascii="Times New Roman" w:hAnsi="Times New Roman" w:cs="Times New Roman"/>
          <w:sz w:val="20"/>
          <w:szCs w:val="20"/>
          <w:shd w:val="clear" w:color="auto" w:fill="FFFFFF"/>
        </w:rPr>
        <w:t>Surgery was carried out 6‐8 weeks after completion of neo-adjuvant therapy. Approximately 3 to 4 weeks after surgery, patients received adjuvant chemotherapy for 6 months including FOLFOX or CAPEOX.</w:t>
      </w:r>
    </w:p>
    <w:p w:rsidR="00520A24" w:rsidRPr="000973FD" w:rsidRDefault="00520A24"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lang w:bidi="ar-EG"/>
        </w:rPr>
      </w:pPr>
      <w:r w:rsidRPr="000973FD">
        <w:rPr>
          <w:rFonts w:ascii="Times New Roman" w:hAnsi="Times New Roman" w:cs="Times New Roman"/>
          <w:sz w:val="20"/>
          <w:szCs w:val="20"/>
          <w:lang w:bidi="ar-EG"/>
        </w:rPr>
        <w:t xml:space="preserve">NAR score (low, intermediate, high) and its correlation with DFS and OS was calculated. </w:t>
      </w:r>
    </w:p>
    <w:p w:rsidR="00520A24" w:rsidRPr="000973FD" w:rsidRDefault="00860960" w:rsidP="001E53F5">
      <w:pPr>
        <w:bidi w:val="0"/>
        <w:snapToGrid w:val="0"/>
        <w:spacing w:after="0" w:line="240" w:lineRule="auto"/>
        <w:ind w:firstLine="425"/>
        <w:jc w:val="both"/>
        <w:rPr>
          <w:rFonts w:ascii="Times New Roman" w:hAnsi="Times New Roman" w:cs="Times New Roman"/>
          <w:color w:val="1C1D1E"/>
          <w:sz w:val="20"/>
          <w:szCs w:val="20"/>
          <w:shd w:val="clear" w:color="auto" w:fill="FFFFFF"/>
          <w:lang w:eastAsia="zh-CN"/>
        </w:rPr>
      </w:pPr>
      <w:r w:rsidRPr="000973FD">
        <w:rPr>
          <w:rFonts w:ascii="Times New Roman" w:hAnsi="Times New Roman" w:cs="Times New Roman"/>
          <w:color w:val="1C1D1E"/>
          <w:sz w:val="20"/>
          <w:szCs w:val="20"/>
          <w:shd w:val="clear" w:color="auto" w:fill="FFFFFF"/>
        </w:rPr>
        <w:t>NAR score was</w:t>
      </w:r>
      <w:r w:rsidR="00520A24" w:rsidRPr="000973FD">
        <w:rPr>
          <w:rFonts w:ascii="Times New Roman" w:hAnsi="Times New Roman" w:cs="Times New Roman"/>
          <w:color w:val="1C1D1E"/>
          <w:sz w:val="20"/>
          <w:szCs w:val="20"/>
          <w:shd w:val="clear" w:color="auto" w:fill="FFFFFF"/>
        </w:rPr>
        <w:t xml:space="preserve"> calculated using the following formula:</w:t>
      </w:r>
    </w:p>
    <w:p w:rsidR="00B4709A" w:rsidRPr="000973FD" w:rsidRDefault="00B4709A" w:rsidP="001E53F5">
      <w:pPr>
        <w:bidi w:val="0"/>
        <w:snapToGrid w:val="0"/>
        <w:spacing w:after="0" w:line="240" w:lineRule="auto"/>
        <w:ind w:firstLine="425"/>
        <w:jc w:val="both"/>
        <w:rPr>
          <w:rFonts w:ascii="Times New Roman" w:hAnsi="Times New Roman" w:cs="Times New Roman"/>
          <w:color w:val="1C1D1E"/>
          <w:sz w:val="20"/>
          <w:szCs w:val="20"/>
          <w:shd w:val="clear" w:color="auto" w:fill="FFFFFF"/>
          <w:lang w:eastAsia="zh-CN" w:bidi="ar-EG"/>
        </w:rPr>
      </w:pPr>
    </w:p>
    <w:p w:rsidR="00520A24" w:rsidRPr="000973FD" w:rsidRDefault="00520A24" w:rsidP="001E53F5">
      <w:pPr>
        <w:bidi w:val="0"/>
        <w:snapToGrid w:val="0"/>
        <w:spacing w:after="0" w:line="240" w:lineRule="auto"/>
        <w:jc w:val="center"/>
        <w:rPr>
          <w:rFonts w:ascii="Times New Roman" w:hAnsi="Times New Roman" w:cs="Times New Roman"/>
          <w:sz w:val="20"/>
          <w:szCs w:val="20"/>
          <w:shd w:val="clear" w:color="auto" w:fill="FFFFFF"/>
          <w:lang w:bidi="ar-EG"/>
        </w:rPr>
      </w:pPr>
      <w:r w:rsidRPr="000973FD">
        <w:rPr>
          <w:rFonts w:ascii="Times New Roman" w:hAnsi="Times New Roman" w:cs="Times New Roman"/>
          <w:noProof/>
          <w:sz w:val="20"/>
          <w:szCs w:val="20"/>
          <w:lang w:eastAsia="zh-CN"/>
        </w:rPr>
        <w:drawing>
          <wp:inline distT="0" distB="0" distL="0" distR="0">
            <wp:extent cx="2215266" cy="322058"/>
            <wp:effectExtent l="19050" t="0" r="0" b="0"/>
            <wp:docPr id="1" name="Picture 33" descr="An external file that holds a picture, illustration, etc.&#10;Object name is 11888_2015_285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 external file that holds a picture, illustration, etc.&#10;Object name is 11888_2015_285_Fig1_HTML.jpg"/>
                    <pic:cNvPicPr>
                      <a:picLocks noChangeAspect="1" noChangeArrowheads="1"/>
                    </pic:cNvPicPr>
                  </pic:nvPicPr>
                  <pic:blipFill>
                    <a:blip r:embed="rId8" cstate="print"/>
                    <a:srcRect/>
                    <a:stretch>
                      <a:fillRect/>
                    </a:stretch>
                  </pic:blipFill>
                  <pic:spPr bwMode="auto">
                    <a:xfrm>
                      <a:off x="0" y="0"/>
                      <a:ext cx="2214750" cy="321983"/>
                    </a:xfrm>
                    <a:prstGeom prst="rect">
                      <a:avLst/>
                    </a:prstGeom>
                    <a:noFill/>
                    <a:ln w="9525">
                      <a:noFill/>
                      <a:miter lim="800000"/>
                      <a:headEnd/>
                      <a:tailEnd/>
                    </a:ln>
                  </pic:spPr>
                </pic:pic>
              </a:graphicData>
            </a:graphic>
          </wp:inline>
        </w:drawing>
      </w:r>
    </w:p>
    <w:p w:rsidR="001E53F5" w:rsidRPr="000973FD" w:rsidRDefault="001E53F5" w:rsidP="001E53F5">
      <w:pPr>
        <w:bidi w:val="0"/>
        <w:snapToGrid w:val="0"/>
        <w:spacing w:after="0" w:line="240" w:lineRule="auto"/>
        <w:ind w:firstLine="425"/>
        <w:jc w:val="both"/>
        <w:rPr>
          <w:rFonts w:ascii="Times New Roman" w:hAnsi="Times New Roman" w:cs="Times New Roman"/>
          <w:sz w:val="20"/>
          <w:szCs w:val="20"/>
          <w:shd w:val="clear" w:color="auto" w:fill="FFFFFF"/>
          <w:lang w:eastAsia="zh-CN"/>
        </w:rPr>
      </w:pPr>
    </w:p>
    <w:p w:rsidR="00520A24" w:rsidRPr="000973FD" w:rsidRDefault="00520A24"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shd w:val="clear" w:color="auto" w:fill="FFFFFF"/>
        </w:rPr>
        <w:t>As cT: 1-4, pT: 0-4, and pN: 0-</w:t>
      </w:r>
      <w:r w:rsidR="007176F5" w:rsidRPr="000973FD">
        <w:rPr>
          <w:rFonts w:ascii="Times New Roman" w:hAnsi="Times New Roman" w:cs="Times New Roman"/>
          <w:sz w:val="20"/>
          <w:szCs w:val="20"/>
          <w:shd w:val="clear" w:color="auto" w:fill="FFFFFF"/>
        </w:rPr>
        <w:t>2 [7].</w:t>
      </w:r>
    </w:p>
    <w:p w:rsidR="008D0799" w:rsidRPr="000973FD" w:rsidRDefault="00520A24" w:rsidP="001E53F5">
      <w:pPr>
        <w:bidi w:val="0"/>
        <w:snapToGrid w:val="0"/>
        <w:spacing w:after="0" w:line="240" w:lineRule="auto"/>
        <w:jc w:val="both"/>
        <w:rPr>
          <w:rFonts w:ascii="Times New Roman" w:hAnsi="Times New Roman" w:cs="Times New Roman"/>
          <w:sz w:val="20"/>
          <w:szCs w:val="20"/>
          <w:lang w:bidi="ar-EG"/>
        </w:rPr>
      </w:pPr>
      <w:r w:rsidRPr="000973FD">
        <w:rPr>
          <w:rFonts w:ascii="Times New Roman" w:hAnsi="Times New Roman" w:cs="Times New Roman"/>
          <w:b/>
          <w:bCs/>
          <w:i/>
          <w:iCs/>
          <w:sz w:val="20"/>
          <w:szCs w:val="20"/>
          <w:lang w:bidi="ar-EG"/>
        </w:rPr>
        <w:t xml:space="preserve">It divided into: </w:t>
      </w:r>
    </w:p>
    <w:p w:rsidR="00520A24" w:rsidRPr="000973FD" w:rsidRDefault="00520A24" w:rsidP="001E53F5">
      <w:pPr>
        <w:bidi w:val="0"/>
        <w:snapToGrid w:val="0"/>
        <w:spacing w:after="0" w:line="240" w:lineRule="auto"/>
        <w:ind w:firstLine="425"/>
        <w:jc w:val="both"/>
        <w:rPr>
          <w:rFonts w:ascii="Times New Roman" w:hAnsi="Times New Roman" w:cs="Times New Roman"/>
          <w:b/>
          <w:bCs/>
          <w:i/>
          <w:iCs/>
          <w:sz w:val="20"/>
          <w:szCs w:val="20"/>
          <w:lang w:bidi="ar-EG"/>
        </w:rPr>
      </w:pPr>
      <w:r w:rsidRPr="000973FD">
        <w:rPr>
          <w:rFonts w:ascii="Times New Roman" w:hAnsi="Times New Roman" w:cs="Times New Roman"/>
          <w:sz w:val="20"/>
          <w:szCs w:val="20"/>
          <w:lang w:bidi="ar-EG"/>
        </w:rPr>
        <w:t>Low (less than 8), intermediate (from 8 to 16), and high risk (more than 16).</w:t>
      </w:r>
    </w:p>
    <w:p w:rsidR="00520A24" w:rsidRPr="000973FD" w:rsidRDefault="00520A24"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lang w:bidi="ar-EG"/>
        </w:rPr>
        <w:t>The constant 12 assures that all scores are positive inside the outer brackets. Squaring the numerator transforms the score to more uniform measure per unit change. The scaling factor 9.61 in the denominator ensures that the final scores range from 0 to 100.</w:t>
      </w:r>
    </w:p>
    <w:p w:rsidR="000910F7" w:rsidRPr="000973FD" w:rsidRDefault="000910F7"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rPr>
        <w:t>The primary end point was DFS, defined as the time from randomization to the date of clinical relapse. Second end point was OS, defined as the time from randomization until death.</w:t>
      </w:r>
    </w:p>
    <w:p w:rsidR="00E3642C" w:rsidRPr="000973FD" w:rsidRDefault="00E3642C" w:rsidP="001E53F5">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0973FD">
        <w:rPr>
          <w:rFonts w:ascii="Times New Roman" w:hAnsi="Times New Roman" w:cs="Times New Roman"/>
          <w:i/>
          <w:iCs/>
          <w:sz w:val="20"/>
          <w:szCs w:val="20"/>
        </w:rPr>
        <w:lastRenderedPageBreak/>
        <w:t>Evaluation</w:t>
      </w:r>
    </w:p>
    <w:p w:rsidR="00E3642C" w:rsidRPr="000973FD" w:rsidRDefault="00E3642C" w:rsidP="001E53F5">
      <w:pPr>
        <w:bidi w:val="0"/>
        <w:snapToGrid w:val="0"/>
        <w:spacing w:after="0" w:line="240" w:lineRule="auto"/>
        <w:ind w:firstLine="425"/>
        <w:jc w:val="both"/>
        <w:rPr>
          <w:rFonts w:ascii="Times New Roman" w:hAnsi="Times New Roman" w:cs="Times New Roman"/>
          <w:b/>
          <w:bCs/>
          <w:i/>
          <w:iCs/>
          <w:sz w:val="20"/>
          <w:szCs w:val="20"/>
          <w:u w:val="single"/>
          <w:lang w:bidi="ar-EG"/>
        </w:rPr>
      </w:pPr>
      <w:r w:rsidRPr="000973FD">
        <w:rPr>
          <w:rFonts w:ascii="Times New Roman" w:hAnsi="Times New Roman" w:cs="Times New Roman"/>
          <w:sz w:val="20"/>
          <w:szCs w:val="20"/>
          <w:lang w:bidi="ar-EG"/>
        </w:rPr>
        <w:t xml:space="preserve">Follow up of patients started 1month after concurrent chemo-radiotherapy then </w:t>
      </w:r>
      <w:r w:rsidRPr="000973FD">
        <w:rPr>
          <w:rFonts w:ascii="Times New Roman" w:hAnsi="Times New Roman" w:cs="Times New Roman"/>
          <w:sz w:val="20"/>
          <w:szCs w:val="20"/>
          <w:shd w:val="clear" w:color="auto" w:fill="FFFFFF"/>
        </w:rPr>
        <w:t>after completion of adjuvant treatment every 3 months for the first 3 years, and then every 6 months for the next 2 years by physical examination, CEA level</w:t>
      </w:r>
      <w:r w:rsidR="001E53F5" w:rsidRPr="000973FD">
        <w:rPr>
          <w:rFonts w:ascii="Times New Roman" w:hAnsi="Times New Roman" w:cs="Times New Roman"/>
          <w:sz w:val="20"/>
          <w:szCs w:val="20"/>
          <w:shd w:val="clear" w:color="auto" w:fill="FFFFFF"/>
        </w:rPr>
        <w:t>, C</w:t>
      </w:r>
      <w:r w:rsidRPr="000973FD">
        <w:rPr>
          <w:rFonts w:ascii="Times New Roman" w:hAnsi="Times New Roman" w:cs="Times New Roman"/>
          <w:sz w:val="20"/>
          <w:szCs w:val="20"/>
          <w:shd w:val="clear" w:color="auto" w:fill="FFFFFF"/>
        </w:rPr>
        <w:t>T chest and MRI (pelvis and abdomen).</w:t>
      </w:r>
    </w:p>
    <w:p w:rsidR="00665F12" w:rsidRPr="000973FD" w:rsidRDefault="00665F12" w:rsidP="001E53F5">
      <w:pPr>
        <w:autoSpaceDE w:val="0"/>
        <w:autoSpaceDN w:val="0"/>
        <w:bidi w:val="0"/>
        <w:adjustRightInd w:val="0"/>
        <w:snapToGrid w:val="0"/>
        <w:spacing w:after="0" w:line="240" w:lineRule="auto"/>
        <w:ind w:firstLine="425"/>
        <w:jc w:val="both"/>
        <w:rPr>
          <w:rFonts w:ascii="Times New Roman" w:eastAsia="Times New Roman" w:hAnsi="Times New Roman" w:cs="Times New Roman"/>
          <w:i/>
          <w:iCs/>
          <w:color w:val="000000"/>
          <w:sz w:val="20"/>
          <w:szCs w:val="20"/>
        </w:rPr>
      </w:pPr>
      <w:r w:rsidRPr="000973FD">
        <w:rPr>
          <w:rFonts w:ascii="Times New Roman" w:eastAsia="Times New Roman" w:hAnsi="Times New Roman" w:cs="Times New Roman"/>
          <w:i/>
          <w:iCs/>
          <w:color w:val="000000"/>
          <w:sz w:val="20"/>
          <w:szCs w:val="20"/>
        </w:rPr>
        <w:t>Statistics</w:t>
      </w:r>
    </w:p>
    <w:p w:rsidR="00E3642C" w:rsidRPr="000973FD" w:rsidRDefault="00E3642C"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SPSS (Statistical package for Social sciences) version 24.0 was used for data management. The categorical variables were calculated by Chi-square</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rPr>
        <w:t xml:space="preserve">test or Fisher`s exact test. Continuous variables with a parametric data correlation were calculated by Pearson correlation, but those with non-parametric data correlation were calculated by Spearman correlation. Survival was estimated using Kaplan-Meier method. Comparison of NAR score groups was done using </w:t>
      </w:r>
      <w:r w:rsidRPr="000973FD">
        <w:rPr>
          <w:rFonts w:ascii="Times New Roman" w:hAnsi="Times New Roman" w:cs="Times New Roman"/>
          <w:color w:val="000000"/>
          <w:sz w:val="20"/>
          <w:szCs w:val="20"/>
        </w:rPr>
        <w:t>Log Rank (Mantel-Cox)</w:t>
      </w:r>
      <w:r w:rsidRPr="000973FD">
        <w:rPr>
          <w:rFonts w:ascii="Times New Roman" w:hAnsi="Times New Roman" w:cs="Times New Roman"/>
          <w:sz w:val="20"/>
          <w:szCs w:val="20"/>
        </w:rPr>
        <w:t xml:space="preserve"> test. P value is considered significant if &lt;=0.05. </w:t>
      </w:r>
    </w:p>
    <w:p w:rsidR="008D0799" w:rsidRPr="000973FD" w:rsidRDefault="008D0799" w:rsidP="001E53F5">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1367D8" w:rsidRPr="000973FD" w:rsidRDefault="008D0799" w:rsidP="001E53F5">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973FD">
        <w:rPr>
          <w:rFonts w:ascii="Times New Roman" w:hAnsi="Times New Roman" w:cs="Times New Roman"/>
          <w:b/>
          <w:bCs/>
          <w:sz w:val="20"/>
          <w:szCs w:val="20"/>
        </w:rPr>
        <w:t xml:space="preserve">3. </w:t>
      </w:r>
      <w:r w:rsidR="001367D8" w:rsidRPr="000973FD">
        <w:rPr>
          <w:rFonts w:ascii="Times New Roman" w:hAnsi="Times New Roman" w:cs="Times New Roman"/>
          <w:b/>
          <w:bCs/>
          <w:sz w:val="20"/>
          <w:szCs w:val="20"/>
        </w:rPr>
        <w:t>Results</w:t>
      </w:r>
    </w:p>
    <w:p w:rsidR="009F22B6" w:rsidRPr="000973FD" w:rsidRDefault="007F1B86"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 xml:space="preserve">A total number of </w:t>
      </w:r>
      <w:r w:rsidR="00B54D1D" w:rsidRPr="000973FD">
        <w:rPr>
          <w:rFonts w:ascii="Times New Roman" w:hAnsi="Times New Roman" w:cs="Times New Roman"/>
          <w:sz w:val="20"/>
          <w:szCs w:val="20"/>
        </w:rPr>
        <w:t>seventy</w:t>
      </w:r>
      <w:r w:rsidRPr="000973FD">
        <w:rPr>
          <w:rFonts w:ascii="Times New Roman" w:hAnsi="Times New Roman" w:cs="Times New Roman"/>
          <w:sz w:val="20"/>
          <w:szCs w:val="20"/>
        </w:rPr>
        <w:t xml:space="preserve"> patients with locally advanced rectal cancer who had received neo-adjuvant concurrent chemo-radiotherapy followed by surgery</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rPr>
        <w:t xml:space="preserve">were enrolled in our study. </w:t>
      </w:r>
      <w:r w:rsidRPr="000973FD">
        <w:rPr>
          <w:rFonts w:ascii="Times New Roman" w:eastAsia="Times New Roman+FPEF" w:hAnsi="Times New Roman" w:cs="Times New Roman"/>
          <w:sz w:val="20"/>
          <w:szCs w:val="20"/>
        </w:rPr>
        <w:t>The baseline demographic data of our patients were summarized in Table 1.</w:t>
      </w:r>
      <w:r w:rsidRPr="000973FD">
        <w:rPr>
          <w:rFonts w:ascii="Times New Roman" w:hAnsi="Times New Roman" w:cs="Times New Roman"/>
          <w:sz w:val="20"/>
          <w:szCs w:val="20"/>
        </w:rPr>
        <w:t xml:space="preserve"> The study included 40 males (57.1%) and 30 females (42.9%) patients</w:t>
      </w:r>
      <w:r w:rsidRPr="000973FD">
        <w:rPr>
          <w:rFonts w:ascii="Times New Roman" w:hAnsi="Times New Roman" w:cs="Times New Roman"/>
          <w:b/>
          <w:bCs/>
          <w:sz w:val="20"/>
          <w:szCs w:val="20"/>
        </w:rPr>
        <w:t xml:space="preserve">, </w:t>
      </w:r>
      <w:r w:rsidRPr="000973FD">
        <w:rPr>
          <w:rFonts w:ascii="Times New Roman" w:hAnsi="Times New Roman" w:cs="Times New Roman"/>
          <w:sz w:val="20"/>
          <w:szCs w:val="20"/>
        </w:rPr>
        <w:t xml:space="preserve">the mean age was 43.24±13.55 years. </w:t>
      </w:r>
      <w:r w:rsidR="000A1CB0" w:rsidRPr="000973FD">
        <w:rPr>
          <w:rFonts w:ascii="Times New Roman" w:hAnsi="Times New Roman" w:cs="Times New Roman"/>
          <w:sz w:val="20"/>
          <w:szCs w:val="20"/>
        </w:rPr>
        <w:t>T</w:t>
      </w:r>
      <w:r w:rsidR="003A4D44" w:rsidRPr="000973FD">
        <w:rPr>
          <w:rFonts w:ascii="Times New Roman" w:hAnsi="Times New Roman" w:cs="Times New Roman"/>
          <w:sz w:val="20"/>
          <w:szCs w:val="20"/>
        </w:rPr>
        <w:t>he most common site</w:t>
      </w:r>
      <w:r w:rsidR="000A1CB0" w:rsidRPr="000973FD">
        <w:rPr>
          <w:rFonts w:ascii="Times New Roman" w:hAnsi="Times New Roman" w:cs="Times New Roman"/>
          <w:sz w:val="20"/>
          <w:szCs w:val="20"/>
        </w:rPr>
        <w:t xml:space="preserve"> of tumor</w:t>
      </w:r>
      <w:r w:rsidR="003A4D44" w:rsidRPr="000973FD">
        <w:rPr>
          <w:rFonts w:ascii="Times New Roman" w:hAnsi="Times New Roman" w:cs="Times New Roman"/>
          <w:sz w:val="20"/>
          <w:szCs w:val="20"/>
        </w:rPr>
        <w:t xml:space="preserve"> was the l</w:t>
      </w:r>
      <w:r w:rsidR="00981103" w:rsidRPr="000973FD">
        <w:rPr>
          <w:rFonts w:ascii="Times New Roman" w:hAnsi="Times New Roman" w:cs="Times New Roman"/>
          <w:sz w:val="20"/>
          <w:szCs w:val="20"/>
        </w:rPr>
        <w:t>ower rectum 39 patients (55.7%)</w:t>
      </w:r>
      <w:r w:rsidR="001E53F5" w:rsidRPr="000973FD">
        <w:rPr>
          <w:rFonts w:ascii="Times New Roman" w:hAnsi="Times New Roman" w:cs="Times New Roman"/>
          <w:sz w:val="20"/>
          <w:szCs w:val="20"/>
        </w:rPr>
        <w:t>. A</w:t>
      </w:r>
      <w:r w:rsidR="003A4D44" w:rsidRPr="000973FD">
        <w:rPr>
          <w:rFonts w:ascii="Times New Roman" w:hAnsi="Times New Roman" w:cs="Times New Roman"/>
          <w:sz w:val="20"/>
          <w:szCs w:val="20"/>
        </w:rPr>
        <w:t>denocarcinoma was the most common type</w:t>
      </w:r>
      <w:r w:rsidR="00981103" w:rsidRPr="000973FD">
        <w:rPr>
          <w:rFonts w:ascii="Times New Roman" w:hAnsi="Times New Roman" w:cs="Times New Roman"/>
          <w:sz w:val="20"/>
          <w:szCs w:val="20"/>
        </w:rPr>
        <w:t xml:space="preserve"> presented in56 </w:t>
      </w:r>
      <w:r w:rsidR="001B4D56" w:rsidRPr="000973FD">
        <w:rPr>
          <w:rFonts w:ascii="Times New Roman" w:hAnsi="Times New Roman" w:cs="Times New Roman"/>
          <w:sz w:val="20"/>
          <w:szCs w:val="20"/>
        </w:rPr>
        <w:t>patients (</w:t>
      </w:r>
      <w:r w:rsidR="00981103" w:rsidRPr="000973FD">
        <w:rPr>
          <w:rFonts w:ascii="Times New Roman" w:hAnsi="Times New Roman" w:cs="Times New Roman"/>
          <w:sz w:val="20"/>
          <w:szCs w:val="20"/>
        </w:rPr>
        <w:t>80.0%</w:t>
      </w:r>
      <w:r w:rsidR="003A4D44" w:rsidRPr="000973FD">
        <w:rPr>
          <w:rFonts w:ascii="Times New Roman" w:hAnsi="Times New Roman" w:cs="Times New Roman"/>
          <w:sz w:val="20"/>
          <w:szCs w:val="20"/>
        </w:rPr>
        <w:t>)</w:t>
      </w:r>
      <w:r w:rsidR="001E53F5" w:rsidRPr="000973FD">
        <w:rPr>
          <w:rFonts w:ascii="Times New Roman" w:hAnsi="Times New Roman" w:cs="Times New Roman"/>
          <w:sz w:val="20"/>
          <w:szCs w:val="20"/>
        </w:rPr>
        <w:t>. A</w:t>
      </w:r>
      <w:r w:rsidR="003A4D44" w:rsidRPr="000973FD">
        <w:rPr>
          <w:rFonts w:ascii="Times New Roman" w:hAnsi="Times New Roman" w:cs="Times New Roman"/>
          <w:sz w:val="20"/>
          <w:szCs w:val="20"/>
        </w:rPr>
        <w:t>fter termination of neo-adjuvant chemo-radiotherapy, 17 patients (24.29%) had pCR (pT0), 8 patients (11.43%) had pT1, 12 patients (17.14%) had pT2, 14 patients (20.0%) had pT3, and 19 patients (27.14%) had pT4</w:t>
      </w:r>
      <w:r w:rsidR="001E53F5" w:rsidRPr="000973FD">
        <w:rPr>
          <w:rFonts w:ascii="Times New Roman" w:hAnsi="Times New Roman" w:cs="Times New Roman"/>
          <w:b/>
          <w:bCs/>
          <w:sz w:val="20"/>
          <w:szCs w:val="20"/>
        </w:rPr>
        <w:t xml:space="preserve">. </w:t>
      </w:r>
      <w:r w:rsidR="001E53F5" w:rsidRPr="000973FD">
        <w:rPr>
          <w:rFonts w:ascii="Times New Roman" w:hAnsi="Times New Roman" w:cs="Times New Roman"/>
          <w:sz w:val="20"/>
          <w:szCs w:val="20"/>
        </w:rPr>
        <w:t>F</w:t>
      </w:r>
      <w:r w:rsidR="00A14CA7" w:rsidRPr="000973FD">
        <w:rPr>
          <w:rFonts w:ascii="Times New Roman" w:hAnsi="Times New Roman" w:cs="Times New Roman"/>
          <w:sz w:val="20"/>
          <w:szCs w:val="20"/>
        </w:rPr>
        <w:t>orty</w:t>
      </w:r>
      <w:r w:rsidR="003A4D44" w:rsidRPr="000973FD">
        <w:rPr>
          <w:rFonts w:ascii="Times New Roman" w:hAnsi="Times New Roman" w:cs="Times New Roman"/>
          <w:sz w:val="20"/>
          <w:szCs w:val="20"/>
        </w:rPr>
        <w:t xml:space="preserve"> patients (57.14%) had pN0, 15 patients (21.43%) had pN1, and 15 patients (21.43%) had pN2. </w:t>
      </w:r>
    </w:p>
    <w:p w:rsidR="009F22B6" w:rsidRPr="000973FD" w:rsidRDefault="009F22B6"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As regard the</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rPr>
        <w:t xml:space="preserve">NAR score, the median value of NAR score was 12.59. There were </w:t>
      </w:r>
      <w:r w:rsidR="004F23C8" w:rsidRPr="000973FD">
        <w:rPr>
          <w:rFonts w:ascii="Times New Roman" w:hAnsi="Times New Roman" w:cs="Times New Roman"/>
          <w:sz w:val="20"/>
          <w:szCs w:val="20"/>
        </w:rPr>
        <w:t>23 patients (32.9%) with low</w:t>
      </w:r>
      <w:r w:rsidRPr="000973FD">
        <w:rPr>
          <w:rFonts w:ascii="Times New Roman" w:hAnsi="Times New Roman" w:cs="Times New Roman"/>
          <w:sz w:val="20"/>
          <w:szCs w:val="20"/>
        </w:rPr>
        <w:t xml:space="preserve"> score, 21 patients (30.0%) with</w:t>
      </w:r>
      <w:r w:rsidR="004F23C8" w:rsidRPr="000973FD">
        <w:rPr>
          <w:rFonts w:ascii="Times New Roman" w:hAnsi="Times New Roman" w:cs="Times New Roman"/>
          <w:sz w:val="20"/>
          <w:szCs w:val="20"/>
        </w:rPr>
        <w:t xml:space="preserve"> intermediate</w:t>
      </w:r>
      <w:r w:rsidRPr="000973FD">
        <w:rPr>
          <w:rFonts w:ascii="Times New Roman" w:hAnsi="Times New Roman" w:cs="Times New Roman"/>
          <w:sz w:val="20"/>
          <w:szCs w:val="20"/>
        </w:rPr>
        <w:t xml:space="preserve"> score and 26 patients (37.1%) with high score</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rPr>
        <w:t>Table (2)</w:t>
      </w:r>
      <w:r w:rsidR="0036380F" w:rsidRPr="000973FD">
        <w:rPr>
          <w:rFonts w:ascii="Times New Roman" w:hAnsi="Times New Roman" w:cs="Times New Roman"/>
          <w:sz w:val="20"/>
          <w:szCs w:val="20"/>
        </w:rPr>
        <w:t>.</w:t>
      </w:r>
    </w:p>
    <w:p w:rsidR="00E11114" w:rsidRPr="000973FD" w:rsidRDefault="00E11114"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On evaluation of the relation between NAR score and clinico-pathological factors (age, sex, histo-pathology, cT, pT, and pN), there was a statistical significant correlation between NAR score and histo-pathology, all stages of pT and pN with P value 0.014, 0.003, and 0.003 respectively</w:t>
      </w:r>
      <w:r w:rsidR="002930A7" w:rsidRPr="000973FD">
        <w:rPr>
          <w:rFonts w:ascii="Times New Roman" w:hAnsi="Times New Roman" w:cs="Times New Roman"/>
          <w:sz w:val="20"/>
          <w:szCs w:val="20"/>
        </w:rPr>
        <w:t xml:space="preserve"> Table (3)</w:t>
      </w:r>
      <w:r w:rsidRPr="000973FD">
        <w:rPr>
          <w:rFonts w:ascii="Times New Roman" w:hAnsi="Times New Roman" w:cs="Times New Roman"/>
          <w:sz w:val="20"/>
          <w:szCs w:val="20"/>
        </w:rPr>
        <w:t xml:space="preserve">. </w:t>
      </w:r>
    </w:p>
    <w:p w:rsidR="00E11114" w:rsidRPr="000973FD" w:rsidRDefault="00884409"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 xml:space="preserve">As </w:t>
      </w:r>
      <w:r w:rsidR="005A6484" w:rsidRPr="000973FD">
        <w:rPr>
          <w:rFonts w:ascii="Times New Roman" w:hAnsi="Times New Roman" w:cs="Times New Roman"/>
          <w:sz w:val="20"/>
          <w:szCs w:val="20"/>
        </w:rPr>
        <w:t>regarding the response 17</w:t>
      </w:r>
      <w:r w:rsidRPr="000973FD">
        <w:rPr>
          <w:rFonts w:ascii="Times New Roman" w:hAnsi="Times New Roman" w:cs="Times New Roman"/>
          <w:sz w:val="20"/>
          <w:szCs w:val="20"/>
        </w:rPr>
        <w:t xml:space="preserve"> patients (24.3%) had pCR, 21 patients (30.0%) had PR, and 32 patients (45.7%) had SD Table (4)</w:t>
      </w:r>
    </w:p>
    <w:p w:rsidR="00783CF1" w:rsidRPr="000973FD" w:rsidRDefault="00A14CA7" w:rsidP="001E53F5">
      <w:pPr>
        <w:bidi w:val="0"/>
        <w:snapToGrid w:val="0"/>
        <w:spacing w:after="0" w:line="240" w:lineRule="auto"/>
        <w:ind w:firstLine="425"/>
        <w:jc w:val="both"/>
        <w:rPr>
          <w:rFonts w:ascii="Times New Roman" w:hAnsi="Times New Roman" w:cs="Times New Roman" w:hint="eastAsia"/>
          <w:sz w:val="20"/>
          <w:szCs w:val="20"/>
          <w:lang w:eastAsia="zh-CN"/>
        </w:rPr>
      </w:pPr>
      <w:r w:rsidRPr="000973FD">
        <w:rPr>
          <w:rFonts w:ascii="Times New Roman" w:hAnsi="Times New Roman" w:cs="Times New Roman"/>
          <w:sz w:val="20"/>
          <w:szCs w:val="20"/>
        </w:rPr>
        <w:t>Regarding</w:t>
      </w:r>
      <w:r w:rsidR="00783CF1" w:rsidRPr="000973FD">
        <w:rPr>
          <w:rFonts w:ascii="Times New Roman" w:hAnsi="Times New Roman" w:cs="Times New Roman"/>
          <w:sz w:val="20"/>
          <w:szCs w:val="20"/>
        </w:rPr>
        <w:t xml:space="preserve"> the relation between NAR score and response, there was inverse relation between the score and response as patients with high NAR score had the worst prognosis. The median NAR score was 0.90 </w:t>
      </w:r>
      <w:r w:rsidRPr="000973FD">
        <w:rPr>
          <w:rFonts w:ascii="Times New Roman" w:hAnsi="Times New Roman" w:cs="Times New Roman"/>
          <w:sz w:val="20"/>
          <w:szCs w:val="20"/>
        </w:rPr>
        <w:t xml:space="preserve">in </w:t>
      </w:r>
      <w:r w:rsidRPr="000973FD">
        <w:rPr>
          <w:rFonts w:ascii="Times New Roman" w:hAnsi="Times New Roman" w:cs="Times New Roman"/>
          <w:sz w:val="20"/>
          <w:szCs w:val="20"/>
        </w:rPr>
        <w:lastRenderedPageBreak/>
        <w:t>patients with CR</w:t>
      </w:r>
      <w:r w:rsidR="00783CF1" w:rsidRPr="000973FD">
        <w:rPr>
          <w:rFonts w:ascii="Times New Roman" w:hAnsi="Times New Roman" w:cs="Times New Roman"/>
          <w:sz w:val="20"/>
          <w:szCs w:val="20"/>
        </w:rPr>
        <w:t xml:space="preserve"> with a range of 0-3.75, 8.43 </w:t>
      </w:r>
      <w:r w:rsidRPr="000973FD">
        <w:rPr>
          <w:rFonts w:ascii="Times New Roman" w:hAnsi="Times New Roman" w:cs="Times New Roman"/>
          <w:sz w:val="20"/>
          <w:szCs w:val="20"/>
        </w:rPr>
        <w:t>in patients with PR</w:t>
      </w:r>
      <w:r w:rsidR="00783CF1" w:rsidRPr="000973FD">
        <w:rPr>
          <w:rFonts w:ascii="Times New Roman" w:hAnsi="Times New Roman" w:cs="Times New Roman"/>
          <w:sz w:val="20"/>
          <w:szCs w:val="20"/>
        </w:rPr>
        <w:t xml:space="preserve"> with a range of 3.70-20.40, and 30.07 in </w:t>
      </w:r>
      <w:r w:rsidRPr="000973FD">
        <w:rPr>
          <w:rFonts w:ascii="Times New Roman" w:hAnsi="Times New Roman" w:cs="Times New Roman"/>
          <w:sz w:val="20"/>
          <w:szCs w:val="20"/>
        </w:rPr>
        <w:t>patients with SD</w:t>
      </w:r>
      <w:r w:rsidR="00783CF1" w:rsidRPr="000973FD">
        <w:rPr>
          <w:rFonts w:ascii="Times New Roman" w:hAnsi="Times New Roman" w:cs="Times New Roman"/>
          <w:sz w:val="20"/>
          <w:szCs w:val="20"/>
        </w:rPr>
        <w:t xml:space="preserve"> with a range of 0-50.36 with statistically sign</w:t>
      </w:r>
      <w:r w:rsidR="0036380F" w:rsidRPr="000973FD">
        <w:rPr>
          <w:rFonts w:ascii="Times New Roman" w:hAnsi="Times New Roman" w:cs="Times New Roman"/>
          <w:sz w:val="20"/>
          <w:szCs w:val="20"/>
        </w:rPr>
        <w:t>ificant P value (P value&lt;0.003)</w:t>
      </w:r>
      <w:r w:rsidR="00783CF1" w:rsidRPr="000973FD">
        <w:rPr>
          <w:rFonts w:ascii="Times New Roman" w:hAnsi="Times New Roman" w:cs="Times New Roman"/>
          <w:sz w:val="20"/>
          <w:szCs w:val="20"/>
        </w:rPr>
        <w:t xml:space="preserve"> Table (5)</w:t>
      </w:r>
      <w:r w:rsidR="00A94C7E">
        <w:rPr>
          <w:rFonts w:ascii="Times New Roman" w:hAnsi="Times New Roman" w:cs="Times New Roman" w:hint="eastAsia"/>
          <w:sz w:val="20"/>
          <w:szCs w:val="20"/>
          <w:lang w:eastAsia="zh-CN"/>
        </w:rPr>
        <w:t>.</w:t>
      </w:r>
    </w:p>
    <w:p w:rsidR="00BE159A" w:rsidRPr="000973FD" w:rsidRDefault="006E4443" w:rsidP="001E53F5">
      <w:pPr>
        <w:bidi w:val="0"/>
        <w:snapToGrid w:val="0"/>
        <w:spacing w:after="0" w:line="240" w:lineRule="auto"/>
        <w:ind w:firstLine="425"/>
        <w:jc w:val="both"/>
        <w:rPr>
          <w:rFonts w:ascii="Times New Roman" w:hAnsi="Times New Roman" w:cs="Times New Roman"/>
          <w:sz w:val="20"/>
          <w:szCs w:val="20"/>
          <w:lang w:val="en-ZA"/>
        </w:rPr>
      </w:pPr>
      <w:r w:rsidRPr="000973FD">
        <w:rPr>
          <w:rFonts w:ascii="Times New Roman" w:hAnsi="Times New Roman" w:cs="Times New Roman"/>
          <w:sz w:val="20"/>
          <w:szCs w:val="20"/>
        </w:rPr>
        <w:t>The 5-year DFS rate of all patients was 5.4%.</w:t>
      </w:r>
      <w:r w:rsidRPr="000973FD">
        <w:rPr>
          <w:rFonts w:ascii="Times New Roman" w:hAnsi="Times New Roman" w:cs="Times New Roman"/>
          <w:sz w:val="20"/>
          <w:szCs w:val="20"/>
          <w:lang w:val="en-ZA"/>
        </w:rPr>
        <w:t xml:space="preserve"> Patients with low NAR score showed 5-year DFS rate 16.3%. Patients with intermediate and high NAR score showed 5-year DFS rate 0.0% with statistically sign</w:t>
      </w:r>
      <w:r w:rsidR="0036380F" w:rsidRPr="000973FD">
        <w:rPr>
          <w:rFonts w:ascii="Times New Roman" w:hAnsi="Times New Roman" w:cs="Times New Roman"/>
          <w:sz w:val="20"/>
          <w:szCs w:val="20"/>
          <w:lang w:val="en-ZA"/>
        </w:rPr>
        <w:t>ificant P value (P value&lt;0.001</w:t>
      </w:r>
      <w:r w:rsidR="001E53F5" w:rsidRPr="000973FD">
        <w:rPr>
          <w:rFonts w:ascii="Times New Roman" w:hAnsi="Times New Roman" w:cs="Times New Roman"/>
          <w:sz w:val="20"/>
          <w:szCs w:val="20"/>
          <w:lang w:val="en-ZA"/>
        </w:rPr>
        <w:t>) F</w:t>
      </w:r>
      <w:r w:rsidR="0036380F" w:rsidRPr="000973FD">
        <w:rPr>
          <w:rFonts w:ascii="Times New Roman" w:hAnsi="Times New Roman" w:cs="Times New Roman"/>
          <w:sz w:val="20"/>
          <w:szCs w:val="20"/>
          <w:lang w:val="en-ZA"/>
        </w:rPr>
        <w:t>igure (1</w:t>
      </w:r>
      <w:r w:rsidRPr="000973FD">
        <w:rPr>
          <w:rFonts w:ascii="Times New Roman" w:hAnsi="Times New Roman" w:cs="Times New Roman"/>
          <w:sz w:val="20"/>
          <w:szCs w:val="20"/>
          <w:lang w:val="en-ZA"/>
        </w:rPr>
        <w:t>)</w:t>
      </w:r>
      <w:r w:rsidR="0036380F" w:rsidRPr="000973FD">
        <w:rPr>
          <w:rFonts w:ascii="Times New Roman" w:hAnsi="Times New Roman" w:cs="Times New Roman"/>
          <w:sz w:val="20"/>
          <w:szCs w:val="20"/>
          <w:lang w:val="en-ZA"/>
        </w:rPr>
        <w:t>.</w:t>
      </w:r>
    </w:p>
    <w:p w:rsidR="006E4443" w:rsidRPr="000973FD" w:rsidRDefault="006E4443" w:rsidP="001E53F5">
      <w:pPr>
        <w:bidi w:val="0"/>
        <w:snapToGrid w:val="0"/>
        <w:spacing w:after="0" w:line="240" w:lineRule="auto"/>
        <w:ind w:firstLine="425"/>
        <w:jc w:val="both"/>
        <w:rPr>
          <w:rFonts w:ascii="Times New Roman" w:hAnsi="Times New Roman" w:cs="Times New Roman"/>
          <w:sz w:val="20"/>
          <w:szCs w:val="20"/>
          <w:lang w:val="en-ZA"/>
        </w:rPr>
      </w:pPr>
      <w:r w:rsidRPr="000973FD">
        <w:rPr>
          <w:rFonts w:ascii="Times New Roman" w:hAnsi="Times New Roman" w:cs="Times New Roman"/>
          <w:color w:val="000000"/>
          <w:sz w:val="20"/>
          <w:szCs w:val="20"/>
        </w:rPr>
        <w:t xml:space="preserve">The median free survival time was 22.00 (95%CI 17.080-26.920). </w:t>
      </w:r>
      <w:r w:rsidR="00BE159A" w:rsidRPr="000973FD">
        <w:rPr>
          <w:rFonts w:ascii="Times New Roman" w:hAnsi="Times New Roman" w:cs="Times New Roman"/>
          <w:sz w:val="20"/>
          <w:szCs w:val="20"/>
          <w:lang w:val="en-ZA"/>
        </w:rPr>
        <w:t>I</w:t>
      </w:r>
      <w:r w:rsidRPr="000973FD">
        <w:rPr>
          <w:rFonts w:ascii="Times New Roman" w:hAnsi="Times New Roman" w:cs="Times New Roman"/>
          <w:sz w:val="20"/>
          <w:szCs w:val="20"/>
          <w:lang w:val="en-ZA"/>
        </w:rPr>
        <w:t xml:space="preserve">n patients with </w:t>
      </w:r>
      <w:r w:rsidRPr="000973FD">
        <w:rPr>
          <w:rFonts w:ascii="Times New Roman" w:hAnsi="Times New Roman" w:cs="Times New Roman"/>
          <w:sz w:val="20"/>
          <w:szCs w:val="20"/>
        </w:rPr>
        <w:t>high</w:t>
      </w:r>
      <w:r w:rsidRPr="000973FD">
        <w:rPr>
          <w:rFonts w:ascii="Times New Roman" w:hAnsi="Times New Roman" w:cs="Times New Roman"/>
          <w:sz w:val="20"/>
          <w:szCs w:val="20"/>
          <w:lang w:val="en-ZA"/>
        </w:rPr>
        <w:t xml:space="preserve"> NAR score </w:t>
      </w:r>
      <w:r w:rsidR="00BE159A" w:rsidRPr="000973FD">
        <w:rPr>
          <w:rFonts w:ascii="Times New Roman" w:hAnsi="Times New Roman" w:cs="Times New Roman"/>
          <w:sz w:val="20"/>
          <w:szCs w:val="20"/>
          <w:lang w:val="en-ZA"/>
        </w:rPr>
        <w:t xml:space="preserve">it </w:t>
      </w:r>
      <w:r w:rsidRPr="000973FD">
        <w:rPr>
          <w:rFonts w:ascii="Times New Roman" w:hAnsi="Times New Roman" w:cs="Times New Roman"/>
          <w:sz w:val="20"/>
          <w:szCs w:val="20"/>
          <w:lang w:val="en-ZA"/>
        </w:rPr>
        <w:t>was 12.0</w:t>
      </w:r>
      <w:r w:rsidRPr="000973FD">
        <w:rPr>
          <w:rFonts w:ascii="Times New Roman" w:hAnsi="Times New Roman" w:cs="Times New Roman"/>
          <w:color w:val="000000"/>
          <w:sz w:val="20"/>
          <w:szCs w:val="20"/>
        </w:rPr>
        <w:t>(95%CI 10.766-13.234)</w:t>
      </w:r>
      <w:r w:rsidRPr="000973FD">
        <w:rPr>
          <w:rFonts w:ascii="Times New Roman" w:hAnsi="Times New Roman" w:cs="Times New Roman"/>
          <w:sz w:val="20"/>
          <w:szCs w:val="20"/>
          <w:lang w:val="en-ZA"/>
        </w:rPr>
        <w:t xml:space="preserve">, in patients with intermediate NAR score was 24.0 </w:t>
      </w:r>
      <w:r w:rsidRPr="000973FD">
        <w:rPr>
          <w:rFonts w:ascii="Times New Roman" w:hAnsi="Times New Roman" w:cs="Times New Roman"/>
          <w:color w:val="000000"/>
          <w:sz w:val="20"/>
          <w:szCs w:val="20"/>
        </w:rPr>
        <w:t xml:space="preserve">(95%CI 16.380-31.620) </w:t>
      </w:r>
      <w:r w:rsidRPr="000973FD">
        <w:rPr>
          <w:rFonts w:ascii="Times New Roman" w:hAnsi="Times New Roman" w:cs="Times New Roman"/>
          <w:sz w:val="20"/>
          <w:szCs w:val="20"/>
          <w:lang w:val="en-ZA"/>
        </w:rPr>
        <w:t xml:space="preserve">and in patients with low NAR score was 36.0 </w:t>
      </w:r>
      <w:r w:rsidRPr="000973FD">
        <w:rPr>
          <w:rFonts w:ascii="Times New Roman" w:hAnsi="Times New Roman" w:cs="Times New Roman"/>
          <w:color w:val="000000"/>
          <w:sz w:val="20"/>
          <w:szCs w:val="20"/>
        </w:rPr>
        <w:t>(95%CI 30.955-41.045)</w:t>
      </w:r>
      <w:r w:rsidRPr="000973FD">
        <w:rPr>
          <w:rFonts w:ascii="Times New Roman" w:hAnsi="Times New Roman" w:cs="Times New Roman"/>
          <w:sz w:val="20"/>
          <w:szCs w:val="20"/>
          <w:lang w:val="en-ZA"/>
        </w:rPr>
        <w:t xml:space="preserve"> with statistically significant P value (P value&lt;0.001)</w:t>
      </w:r>
      <w:r w:rsidR="006C23B2" w:rsidRPr="000973FD">
        <w:rPr>
          <w:rFonts w:ascii="Times New Roman" w:hAnsi="Times New Roman" w:cs="Times New Roman"/>
          <w:sz w:val="20"/>
          <w:szCs w:val="20"/>
          <w:lang w:val="en-ZA"/>
        </w:rPr>
        <w:t xml:space="preserve"> F</w:t>
      </w:r>
      <w:r w:rsidR="00BE159A" w:rsidRPr="000973FD">
        <w:rPr>
          <w:rFonts w:ascii="Times New Roman" w:hAnsi="Times New Roman" w:cs="Times New Roman"/>
          <w:sz w:val="20"/>
          <w:szCs w:val="20"/>
          <w:lang w:val="en-ZA"/>
        </w:rPr>
        <w:t>igure (2)</w:t>
      </w:r>
      <w:r w:rsidRPr="000973FD">
        <w:rPr>
          <w:rFonts w:ascii="Times New Roman" w:hAnsi="Times New Roman" w:cs="Times New Roman"/>
          <w:color w:val="000000"/>
          <w:sz w:val="20"/>
          <w:szCs w:val="20"/>
        </w:rPr>
        <w:t>.</w:t>
      </w:r>
    </w:p>
    <w:p w:rsidR="006E4443" w:rsidRPr="000973FD" w:rsidRDefault="006E4443"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 xml:space="preserve">There </w:t>
      </w:r>
      <w:r w:rsidRPr="000973FD">
        <w:rPr>
          <w:rFonts w:ascii="Times New Roman" w:hAnsi="Times New Roman" w:cs="Times New Roman"/>
          <w:sz w:val="20"/>
          <w:szCs w:val="20"/>
          <w:lang w:val="en-ZA"/>
        </w:rPr>
        <w:t>was</w:t>
      </w:r>
      <w:r w:rsidRPr="000973FD">
        <w:rPr>
          <w:rFonts w:ascii="Times New Roman" w:hAnsi="Times New Roman" w:cs="Times New Roman"/>
          <w:sz w:val="20"/>
          <w:szCs w:val="20"/>
        </w:rPr>
        <w:t xml:space="preserve"> a negative correlation between NAR score and DFS with statistically significant P value (P value=0.003) Table (6</w:t>
      </w:r>
      <w:r w:rsidR="001E53F5" w:rsidRPr="000973FD">
        <w:rPr>
          <w:rFonts w:ascii="Times New Roman" w:hAnsi="Times New Roman" w:cs="Times New Roman"/>
          <w:sz w:val="20"/>
          <w:szCs w:val="20"/>
        </w:rPr>
        <w:t>) F</w:t>
      </w:r>
      <w:r w:rsidR="00696313" w:rsidRPr="000973FD">
        <w:rPr>
          <w:rFonts w:ascii="Times New Roman" w:hAnsi="Times New Roman" w:cs="Times New Roman"/>
          <w:sz w:val="20"/>
          <w:szCs w:val="20"/>
        </w:rPr>
        <w:t>igure (</w:t>
      </w:r>
      <w:r w:rsidR="0058689E" w:rsidRPr="000973FD">
        <w:rPr>
          <w:rFonts w:ascii="Times New Roman" w:hAnsi="Times New Roman" w:cs="Times New Roman"/>
          <w:sz w:val="20"/>
          <w:szCs w:val="20"/>
        </w:rPr>
        <w:t>3</w:t>
      </w:r>
      <w:r w:rsidR="00824581" w:rsidRPr="000973FD">
        <w:rPr>
          <w:rFonts w:ascii="Times New Roman" w:hAnsi="Times New Roman" w:cs="Times New Roman"/>
          <w:sz w:val="20"/>
          <w:szCs w:val="20"/>
        </w:rPr>
        <w:t>)</w:t>
      </w:r>
      <w:r w:rsidR="0036380F" w:rsidRPr="000973FD">
        <w:rPr>
          <w:rFonts w:ascii="Times New Roman" w:hAnsi="Times New Roman" w:cs="Times New Roman"/>
          <w:sz w:val="20"/>
          <w:szCs w:val="20"/>
        </w:rPr>
        <w:t>.</w:t>
      </w:r>
    </w:p>
    <w:p w:rsidR="00A14CA7" w:rsidRPr="000973FD" w:rsidRDefault="006E4443" w:rsidP="001E53F5">
      <w:pPr>
        <w:bidi w:val="0"/>
        <w:snapToGrid w:val="0"/>
        <w:spacing w:after="0" w:line="240" w:lineRule="auto"/>
        <w:ind w:firstLine="425"/>
        <w:jc w:val="both"/>
        <w:rPr>
          <w:rFonts w:ascii="Times New Roman" w:hAnsi="Times New Roman" w:cs="Times New Roman"/>
          <w:sz w:val="20"/>
          <w:szCs w:val="20"/>
          <w:lang w:val="en-ZA"/>
        </w:rPr>
      </w:pPr>
      <w:r w:rsidRPr="000973FD">
        <w:rPr>
          <w:rFonts w:ascii="Times New Roman" w:hAnsi="Times New Roman" w:cs="Times New Roman"/>
          <w:sz w:val="20"/>
          <w:szCs w:val="20"/>
          <w:lang w:val="en-ZA"/>
        </w:rPr>
        <w:t xml:space="preserve">As DFS decrease with increase NAR score, Pairwise Comparison between DFS and NAR score showed a significant difference between high, intermediate NAR score and between high, low NAR score with P value&lt;0.001. Also, there were a significant difference between intermediate, high NAR score with P value&lt;0.001 and between intermediate, low NAR score with P value=0.012. Furthermore, there were a significant difference between low, high </w:t>
      </w:r>
      <w:r w:rsidRPr="000973FD">
        <w:rPr>
          <w:rFonts w:ascii="Times New Roman" w:hAnsi="Times New Roman" w:cs="Times New Roman"/>
          <w:sz w:val="20"/>
          <w:szCs w:val="20"/>
          <w:lang w:val="en-ZA"/>
        </w:rPr>
        <w:lastRenderedPageBreak/>
        <w:t>NAR score with P value&lt;0.001 and between low, intermedia</w:t>
      </w:r>
      <w:r w:rsidR="00BC1875" w:rsidRPr="000973FD">
        <w:rPr>
          <w:rFonts w:ascii="Times New Roman" w:hAnsi="Times New Roman" w:cs="Times New Roman"/>
          <w:sz w:val="20"/>
          <w:szCs w:val="20"/>
          <w:lang w:val="en-ZA"/>
        </w:rPr>
        <w:t>te NAR score with P value=0.012</w:t>
      </w:r>
      <w:r w:rsidRPr="000973FD">
        <w:rPr>
          <w:rFonts w:ascii="Times New Roman" w:hAnsi="Times New Roman" w:cs="Times New Roman"/>
          <w:sz w:val="20"/>
          <w:szCs w:val="20"/>
          <w:lang w:val="en-ZA"/>
        </w:rPr>
        <w:t xml:space="preserve"> Table (7)</w:t>
      </w:r>
      <w:r w:rsidR="00BC1875" w:rsidRPr="000973FD">
        <w:rPr>
          <w:rFonts w:ascii="Times New Roman" w:hAnsi="Times New Roman" w:cs="Times New Roman"/>
          <w:sz w:val="20"/>
          <w:szCs w:val="20"/>
          <w:lang w:val="en-ZA"/>
        </w:rPr>
        <w:t>.</w:t>
      </w:r>
    </w:p>
    <w:p w:rsidR="00824581" w:rsidRPr="000973FD" w:rsidRDefault="00824581"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lang w:val="en-ZA"/>
        </w:rPr>
        <w:t xml:space="preserve">5-year survival rate of all patients was 75.1%. Patients with low NAR score showed 5-year OS rate 100.0% with statistically significant P value (P value&lt;0.001). </w:t>
      </w:r>
      <w:r w:rsidRPr="000973FD">
        <w:rPr>
          <w:rFonts w:ascii="Times New Roman" w:hAnsi="Times New Roman" w:cs="Times New Roman"/>
          <w:sz w:val="20"/>
          <w:szCs w:val="20"/>
        </w:rPr>
        <w:t xml:space="preserve">The mean survival time was 49.976 (95%CI 45.785-54.166). </w:t>
      </w:r>
      <w:r w:rsidRPr="000973FD">
        <w:rPr>
          <w:rFonts w:ascii="Times New Roman" w:hAnsi="Times New Roman" w:cs="Times New Roman"/>
          <w:sz w:val="20"/>
          <w:szCs w:val="20"/>
          <w:lang w:val="en-ZA"/>
        </w:rPr>
        <w:t xml:space="preserve">Patients with intermediate and high NAR score showed 5-year OS rate not reached (NR) with statistically significant P value (P value&lt;0.001). </w:t>
      </w:r>
    </w:p>
    <w:p w:rsidR="00824581" w:rsidRPr="000973FD" w:rsidRDefault="00824581" w:rsidP="001E53F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lang w:val="en-ZA"/>
        </w:rPr>
        <w:t>Median survival was not reached as more than 50% of patients were censored (did not experience th</w:t>
      </w:r>
      <w:r w:rsidR="00BC1875" w:rsidRPr="000973FD">
        <w:rPr>
          <w:rFonts w:ascii="Times New Roman" w:hAnsi="Times New Roman" w:cs="Times New Roman"/>
          <w:sz w:val="20"/>
          <w:szCs w:val="20"/>
          <w:lang w:val="en-ZA"/>
        </w:rPr>
        <w:t>e event or death) F</w:t>
      </w:r>
      <w:r w:rsidR="0058689E" w:rsidRPr="000973FD">
        <w:rPr>
          <w:rFonts w:ascii="Times New Roman" w:hAnsi="Times New Roman" w:cs="Times New Roman"/>
          <w:sz w:val="20"/>
          <w:szCs w:val="20"/>
          <w:lang w:val="en-ZA"/>
        </w:rPr>
        <w:t>igure (4, 5</w:t>
      </w:r>
      <w:r w:rsidRPr="000973FD">
        <w:rPr>
          <w:rFonts w:ascii="Times New Roman" w:hAnsi="Times New Roman" w:cs="Times New Roman"/>
          <w:sz w:val="20"/>
          <w:szCs w:val="20"/>
          <w:lang w:val="en-ZA"/>
        </w:rPr>
        <w:t>)</w:t>
      </w:r>
      <w:r w:rsidR="00BC1875" w:rsidRPr="000973FD">
        <w:rPr>
          <w:rFonts w:ascii="Times New Roman" w:hAnsi="Times New Roman" w:cs="Times New Roman"/>
          <w:sz w:val="20"/>
          <w:szCs w:val="20"/>
        </w:rPr>
        <w:t>.</w:t>
      </w:r>
    </w:p>
    <w:p w:rsidR="00824581" w:rsidRPr="000973FD" w:rsidRDefault="00824581"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There was a negative correlation between NAR score and OS with statistically sign</w:t>
      </w:r>
      <w:r w:rsidR="00DF08EF" w:rsidRPr="000973FD">
        <w:rPr>
          <w:rFonts w:ascii="Times New Roman" w:hAnsi="Times New Roman" w:cs="Times New Roman"/>
          <w:sz w:val="20"/>
          <w:szCs w:val="20"/>
        </w:rPr>
        <w:t>ificant P value (P valu</w:t>
      </w:r>
      <w:r w:rsidR="00FB748E" w:rsidRPr="000973FD">
        <w:rPr>
          <w:rFonts w:ascii="Times New Roman" w:hAnsi="Times New Roman" w:cs="Times New Roman"/>
          <w:sz w:val="20"/>
          <w:szCs w:val="20"/>
        </w:rPr>
        <w:t>e=0.003) Table (6</w:t>
      </w:r>
      <w:r w:rsidR="0058689E" w:rsidRPr="000973FD">
        <w:rPr>
          <w:rFonts w:ascii="Times New Roman" w:hAnsi="Times New Roman" w:cs="Times New Roman"/>
          <w:sz w:val="20"/>
          <w:szCs w:val="20"/>
        </w:rPr>
        <w:t>) and figure (6</w:t>
      </w:r>
      <w:r w:rsidRPr="000973FD">
        <w:rPr>
          <w:rFonts w:ascii="Times New Roman" w:hAnsi="Times New Roman" w:cs="Times New Roman"/>
          <w:sz w:val="20"/>
          <w:szCs w:val="20"/>
        </w:rPr>
        <w:t>)</w:t>
      </w:r>
      <w:r w:rsidR="00DF08EF" w:rsidRPr="000973FD">
        <w:rPr>
          <w:rFonts w:ascii="Times New Roman" w:hAnsi="Times New Roman" w:cs="Times New Roman"/>
          <w:sz w:val="20"/>
          <w:szCs w:val="20"/>
        </w:rPr>
        <w:t>.</w:t>
      </w:r>
    </w:p>
    <w:p w:rsidR="003A4D44" w:rsidRPr="000973FD" w:rsidRDefault="00824581"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A</w:t>
      </w:r>
      <w:r w:rsidRPr="000973FD">
        <w:rPr>
          <w:rFonts w:ascii="Times New Roman" w:hAnsi="Times New Roman" w:cs="Times New Roman"/>
          <w:sz w:val="20"/>
          <w:szCs w:val="20"/>
          <w:lang w:val="en-ZA"/>
        </w:rPr>
        <w:t>s OS decrease with increase NAR score, Pairwise Comparison between OS and NAR score showed a significant difference between high, intermediate NAR score with P value=0.033 and between high, low NAR score with P value&lt;0.001. Also, there was a significant difference between intermediate, high NAR score with P value=0.033 and between intermediate, low NAR score insignificant relation with P value=0.087. Furthermore, there was a significant difference between low, high NAR score with P value&lt;0.001 but between low, intermediate NAR score, there was insignificant differe</w:t>
      </w:r>
      <w:r w:rsidR="00DF08EF" w:rsidRPr="000973FD">
        <w:rPr>
          <w:rFonts w:ascii="Times New Roman" w:hAnsi="Times New Roman" w:cs="Times New Roman"/>
          <w:sz w:val="20"/>
          <w:szCs w:val="20"/>
          <w:lang w:val="en-ZA"/>
        </w:rPr>
        <w:t>nce with P value=0.087</w:t>
      </w:r>
      <w:r w:rsidR="009C2D9E" w:rsidRPr="000973FD">
        <w:rPr>
          <w:rFonts w:ascii="Times New Roman" w:hAnsi="Times New Roman" w:cs="Times New Roman"/>
          <w:sz w:val="20"/>
          <w:szCs w:val="20"/>
          <w:lang w:val="en-ZA"/>
        </w:rPr>
        <w:t xml:space="preserve"> Table (8</w:t>
      </w:r>
      <w:r w:rsidRPr="000973FD">
        <w:rPr>
          <w:rFonts w:ascii="Times New Roman" w:hAnsi="Times New Roman" w:cs="Times New Roman"/>
          <w:sz w:val="20"/>
          <w:szCs w:val="20"/>
          <w:lang w:val="en-ZA"/>
        </w:rPr>
        <w:t>)</w:t>
      </w:r>
      <w:r w:rsidR="00DF08EF" w:rsidRPr="000973FD">
        <w:rPr>
          <w:rFonts w:ascii="Times New Roman" w:hAnsi="Times New Roman" w:cs="Times New Roman"/>
          <w:sz w:val="20"/>
          <w:szCs w:val="20"/>
          <w:lang w:val="en-ZA"/>
        </w:rPr>
        <w:t>.</w:t>
      </w:r>
    </w:p>
    <w:p w:rsidR="001E53F5" w:rsidRPr="000973FD" w:rsidRDefault="001E53F5" w:rsidP="001E53F5">
      <w:pPr>
        <w:bidi w:val="0"/>
        <w:snapToGrid w:val="0"/>
        <w:spacing w:after="0" w:line="240" w:lineRule="auto"/>
        <w:jc w:val="center"/>
        <w:rPr>
          <w:rFonts w:ascii="Times New Roman" w:hAnsi="Times New Roman" w:cs="Times New Roman"/>
          <w:b/>
          <w:bCs/>
          <w:sz w:val="20"/>
          <w:szCs w:val="20"/>
        </w:rPr>
        <w:sectPr w:rsidR="001E53F5" w:rsidRPr="000973FD" w:rsidSect="001E53F5">
          <w:type w:val="continuous"/>
          <w:pgSz w:w="12240" w:h="15840"/>
          <w:pgMar w:top="1440" w:right="1440" w:bottom="1440" w:left="1440" w:header="720" w:footer="720" w:gutter="0"/>
          <w:cols w:num="2" w:space="550"/>
          <w:rtlGutter/>
          <w:docGrid w:linePitch="360"/>
        </w:sectPr>
      </w:pPr>
    </w:p>
    <w:p w:rsidR="008D0799" w:rsidRPr="000973FD" w:rsidRDefault="008D0799" w:rsidP="001E53F5">
      <w:pPr>
        <w:bidi w:val="0"/>
        <w:snapToGrid w:val="0"/>
        <w:spacing w:after="0" w:line="240" w:lineRule="auto"/>
        <w:jc w:val="center"/>
        <w:rPr>
          <w:rFonts w:ascii="Times New Roman" w:hAnsi="Times New Roman" w:cs="Times New Roman"/>
          <w:b/>
          <w:bCs/>
          <w:sz w:val="20"/>
          <w:szCs w:val="20"/>
        </w:rPr>
      </w:pPr>
    </w:p>
    <w:p w:rsidR="00514E59" w:rsidRPr="000973FD" w:rsidRDefault="00514E59"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sz w:val="20"/>
          <w:szCs w:val="20"/>
        </w:rPr>
        <w:t xml:space="preserve">Table (1): </w:t>
      </w:r>
      <w:r w:rsidRPr="000973FD">
        <w:rPr>
          <w:rFonts w:ascii="Times New Roman" w:hAnsi="Times New Roman" w:cs="Times New Roman"/>
          <w:sz w:val="20"/>
          <w:szCs w:val="20"/>
        </w:rPr>
        <w:t>Demographic characteristics of the patients in the study group</w:t>
      </w:r>
    </w:p>
    <w:tbl>
      <w:tblPr>
        <w:tblStyle w:val="TableGrid"/>
        <w:tblW w:w="5000" w:type="pct"/>
        <w:jc w:val="center"/>
        <w:tblBorders>
          <w:top w:val="single" w:sz="18" w:space="0" w:color="auto"/>
          <w:left w:val="single" w:sz="18" w:space="0" w:color="auto"/>
          <w:bottom w:val="single" w:sz="18" w:space="0" w:color="auto"/>
          <w:right w:val="single" w:sz="18" w:space="0" w:color="auto"/>
          <w:insideH w:val="single" w:sz="18" w:space="0" w:color="auto"/>
        </w:tblBorders>
        <w:tblCellMar>
          <w:left w:w="57" w:type="dxa"/>
          <w:right w:w="57" w:type="dxa"/>
        </w:tblCellMar>
        <w:tblLook w:val="04A0"/>
      </w:tblPr>
      <w:tblGrid>
        <w:gridCol w:w="6836"/>
        <w:gridCol w:w="2638"/>
      </w:tblGrid>
      <w:tr w:rsidR="00514E59" w:rsidRPr="00A94C7E" w:rsidTr="00B4709A">
        <w:trPr>
          <w:jc w:val="center"/>
        </w:trPr>
        <w:tc>
          <w:tcPr>
            <w:tcW w:w="3608" w:type="pct"/>
            <w:vAlign w:val="center"/>
          </w:tcPr>
          <w:p w:rsidR="00514E59" w:rsidRPr="00A94C7E" w:rsidRDefault="00514E59" w:rsidP="001E53F5">
            <w:pPr>
              <w:bidi w:val="0"/>
              <w:snapToGrid w:val="0"/>
              <w:jc w:val="both"/>
              <w:rPr>
                <w:rFonts w:ascii="Times New Roman" w:hAnsi="Times New Roman" w:cs="Times New Roman"/>
                <w:b/>
                <w:bCs/>
                <w:sz w:val="19"/>
                <w:szCs w:val="19"/>
              </w:rPr>
            </w:pPr>
          </w:p>
        </w:tc>
        <w:tc>
          <w:tcPr>
            <w:tcW w:w="1392" w:type="pct"/>
            <w:vAlign w:val="center"/>
          </w:tcPr>
          <w:p w:rsidR="00514E59" w:rsidRPr="00A94C7E" w:rsidRDefault="00514E59" w:rsidP="001E53F5">
            <w:pPr>
              <w:bidi w:val="0"/>
              <w:snapToGrid w:val="0"/>
              <w:jc w:val="both"/>
              <w:rPr>
                <w:rFonts w:ascii="Times New Roman" w:hAnsi="Times New Roman" w:cs="Times New Roman"/>
                <w:b/>
                <w:bCs/>
                <w:sz w:val="19"/>
                <w:szCs w:val="19"/>
              </w:rPr>
            </w:pPr>
            <w:r w:rsidRPr="00A94C7E">
              <w:rPr>
                <w:rFonts w:ascii="Times New Roman" w:hAnsi="Times New Roman" w:cs="Times New Roman"/>
                <w:b/>
                <w:bCs/>
                <w:sz w:val="19"/>
                <w:szCs w:val="19"/>
              </w:rPr>
              <w:t>Number (%)</w:t>
            </w:r>
          </w:p>
        </w:tc>
      </w:tr>
      <w:tr w:rsidR="00514E59" w:rsidRPr="00A94C7E" w:rsidTr="00B4709A">
        <w:trPr>
          <w:jc w:val="center"/>
        </w:trPr>
        <w:tc>
          <w:tcPr>
            <w:tcW w:w="3608" w:type="pct"/>
            <w:vAlign w:val="center"/>
          </w:tcPr>
          <w:p w:rsidR="00514E59" w:rsidRPr="00A94C7E" w:rsidRDefault="00514E59" w:rsidP="001E53F5">
            <w:pPr>
              <w:pStyle w:val="ListParagraph"/>
              <w:numPr>
                <w:ilvl w:val="0"/>
                <w:numId w:val="5"/>
              </w:numPr>
              <w:snapToGrid w:val="0"/>
              <w:ind w:left="0" w:firstLine="0"/>
              <w:contextualSpacing w:val="0"/>
              <w:jc w:val="both"/>
              <w:rPr>
                <w:rFonts w:ascii="Times New Roman" w:hAnsi="Times New Roman" w:cs="Times New Roman"/>
                <w:b/>
                <w:bCs/>
                <w:sz w:val="19"/>
                <w:szCs w:val="19"/>
              </w:rPr>
            </w:pPr>
            <w:r w:rsidRPr="00A94C7E">
              <w:rPr>
                <w:rFonts w:ascii="Times New Roman" w:hAnsi="Times New Roman" w:cs="Times New Roman"/>
                <w:b/>
                <w:bCs/>
                <w:sz w:val="19"/>
                <w:szCs w:val="19"/>
              </w:rPr>
              <w:t>Age mean±SD</w:t>
            </w:r>
          </w:p>
          <w:p w:rsidR="00514E59" w:rsidRPr="00A94C7E" w:rsidRDefault="00514E59" w:rsidP="001E53F5">
            <w:pPr>
              <w:pStyle w:val="ListParagraph"/>
              <w:numPr>
                <w:ilvl w:val="0"/>
                <w:numId w:val="5"/>
              </w:numPr>
              <w:snapToGrid w:val="0"/>
              <w:ind w:left="0" w:firstLine="0"/>
              <w:contextualSpacing w:val="0"/>
              <w:jc w:val="both"/>
              <w:rPr>
                <w:rFonts w:ascii="Times New Roman" w:hAnsi="Times New Roman" w:cs="Times New Roman"/>
                <w:b/>
                <w:bCs/>
                <w:sz w:val="19"/>
                <w:szCs w:val="19"/>
              </w:rPr>
            </w:pPr>
            <w:r w:rsidRPr="00A94C7E">
              <w:rPr>
                <w:rFonts w:ascii="Times New Roman" w:hAnsi="Times New Roman" w:cs="Times New Roman"/>
                <w:b/>
                <w:bCs/>
                <w:sz w:val="19"/>
                <w:szCs w:val="19"/>
              </w:rPr>
              <w:t>Sex:</w:t>
            </w:r>
          </w:p>
          <w:p w:rsidR="00514E59" w:rsidRPr="00A94C7E" w:rsidRDefault="00514E59" w:rsidP="001E53F5">
            <w:pPr>
              <w:pStyle w:val="ListParagraph"/>
              <w:snapToGrid w:val="0"/>
              <w:ind w:left="0"/>
              <w:contextualSpacing w:val="0"/>
              <w:jc w:val="both"/>
              <w:rPr>
                <w:rFonts w:ascii="Times New Roman" w:hAnsi="Times New Roman" w:cs="Times New Roman"/>
                <w:sz w:val="19"/>
                <w:szCs w:val="19"/>
              </w:rPr>
            </w:pPr>
            <w:r w:rsidRPr="00A94C7E">
              <w:rPr>
                <w:rFonts w:ascii="Times New Roman" w:hAnsi="Times New Roman" w:cs="Times New Roman"/>
                <w:sz w:val="19"/>
                <w:szCs w:val="19"/>
              </w:rPr>
              <w:t>Male</w:t>
            </w:r>
          </w:p>
          <w:p w:rsidR="00514E59" w:rsidRPr="00A94C7E" w:rsidRDefault="00514E59" w:rsidP="001E53F5">
            <w:pPr>
              <w:pStyle w:val="ListParagraph"/>
              <w:snapToGrid w:val="0"/>
              <w:ind w:left="0"/>
              <w:contextualSpacing w:val="0"/>
              <w:jc w:val="both"/>
              <w:rPr>
                <w:rFonts w:ascii="Times New Roman" w:hAnsi="Times New Roman" w:cs="Times New Roman"/>
                <w:b/>
                <w:bCs/>
                <w:sz w:val="19"/>
                <w:szCs w:val="19"/>
              </w:rPr>
            </w:pPr>
            <w:r w:rsidRPr="00A94C7E">
              <w:rPr>
                <w:rFonts w:ascii="Times New Roman" w:hAnsi="Times New Roman" w:cs="Times New Roman"/>
                <w:sz w:val="19"/>
                <w:szCs w:val="19"/>
              </w:rPr>
              <w:t>Female</w:t>
            </w:r>
          </w:p>
          <w:p w:rsidR="00514E59" w:rsidRPr="00A94C7E" w:rsidRDefault="00514E59" w:rsidP="001E53F5">
            <w:pPr>
              <w:pStyle w:val="ListParagraph"/>
              <w:numPr>
                <w:ilvl w:val="0"/>
                <w:numId w:val="5"/>
              </w:numPr>
              <w:snapToGrid w:val="0"/>
              <w:ind w:left="0" w:firstLine="0"/>
              <w:contextualSpacing w:val="0"/>
              <w:jc w:val="both"/>
              <w:rPr>
                <w:rFonts w:ascii="Times New Roman" w:hAnsi="Times New Roman" w:cs="Times New Roman"/>
                <w:b/>
                <w:bCs/>
                <w:sz w:val="19"/>
                <w:szCs w:val="19"/>
              </w:rPr>
            </w:pPr>
            <w:r w:rsidRPr="00A94C7E">
              <w:rPr>
                <w:rFonts w:ascii="Times New Roman" w:hAnsi="Times New Roman" w:cs="Times New Roman"/>
                <w:b/>
                <w:bCs/>
                <w:sz w:val="19"/>
                <w:szCs w:val="19"/>
              </w:rPr>
              <w:t>Site:</w:t>
            </w:r>
          </w:p>
          <w:p w:rsidR="00514E59" w:rsidRPr="00A94C7E" w:rsidRDefault="00514E59" w:rsidP="001E53F5">
            <w:pPr>
              <w:pStyle w:val="ListParagraph"/>
              <w:numPr>
                <w:ilvl w:val="0"/>
                <w:numId w:val="6"/>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Lower</w:t>
            </w:r>
          </w:p>
          <w:p w:rsidR="00514E59" w:rsidRPr="00A94C7E" w:rsidRDefault="00514E59" w:rsidP="001E53F5">
            <w:pPr>
              <w:pStyle w:val="ListParagraph"/>
              <w:numPr>
                <w:ilvl w:val="0"/>
                <w:numId w:val="6"/>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Middle</w:t>
            </w:r>
          </w:p>
          <w:p w:rsidR="00514E59" w:rsidRPr="00A94C7E" w:rsidRDefault="00514E59" w:rsidP="001E53F5">
            <w:pPr>
              <w:pStyle w:val="ListParagraph"/>
              <w:numPr>
                <w:ilvl w:val="0"/>
                <w:numId w:val="6"/>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Upper</w:t>
            </w:r>
          </w:p>
          <w:p w:rsidR="00514E59" w:rsidRPr="00A94C7E" w:rsidRDefault="00514E59" w:rsidP="001E53F5">
            <w:pPr>
              <w:pStyle w:val="ListParagraph"/>
              <w:numPr>
                <w:ilvl w:val="0"/>
                <w:numId w:val="5"/>
              </w:numPr>
              <w:snapToGrid w:val="0"/>
              <w:ind w:left="0" w:firstLine="0"/>
              <w:contextualSpacing w:val="0"/>
              <w:jc w:val="both"/>
              <w:rPr>
                <w:rFonts w:ascii="Times New Roman" w:hAnsi="Times New Roman" w:cs="Times New Roman"/>
                <w:b/>
                <w:bCs/>
                <w:sz w:val="19"/>
                <w:szCs w:val="19"/>
              </w:rPr>
            </w:pPr>
            <w:r w:rsidRPr="00A94C7E">
              <w:rPr>
                <w:rFonts w:ascii="Times New Roman" w:hAnsi="Times New Roman" w:cs="Times New Roman"/>
                <w:b/>
                <w:bCs/>
                <w:sz w:val="19"/>
                <w:szCs w:val="19"/>
              </w:rPr>
              <w:t>Histology:</w:t>
            </w:r>
          </w:p>
          <w:p w:rsidR="00514E59" w:rsidRPr="00A94C7E" w:rsidRDefault="00514E59" w:rsidP="001E53F5">
            <w:pPr>
              <w:pStyle w:val="ListParagraph"/>
              <w:numPr>
                <w:ilvl w:val="0"/>
                <w:numId w:val="7"/>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Adenocarcinoma</w:t>
            </w:r>
          </w:p>
          <w:p w:rsidR="00514E59" w:rsidRPr="00A94C7E" w:rsidRDefault="00514E59" w:rsidP="001E53F5">
            <w:pPr>
              <w:pStyle w:val="ListParagraph"/>
              <w:numPr>
                <w:ilvl w:val="0"/>
                <w:numId w:val="7"/>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Mucoid</w:t>
            </w:r>
          </w:p>
          <w:p w:rsidR="00514E59" w:rsidRPr="00A94C7E" w:rsidRDefault="00514E59" w:rsidP="001E53F5">
            <w:pPr>
              <w:pStyle w:val="ListParagraph"/>
              <w:numPr>
                <w:ilvl w:val="0"/>
                <w:numId w:val="7"/>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Signet ring</w:t>
            </w:r>
          </w:p>
          <w:p w:rsidR="00514E59" w:rsidRPr="00A94C7E" w:rsidRDefault="00514E59" w:rsidP="001E53F5">
            <w:pPr>
              <w:pStyle w:val="ListParagraph"/>
              <w:numPr>
                <w:ilvl w:val="0"/>
                <w:numId w:val="5"/>
              </w:numPr>
              <w:snapToGrid w:val="0"/>
              <w:ind w:left="0" w:firstLine="0"/>
              <w:jc w:val="both"/>
              <w:rPr>
                <w:rFonts w:ascii="Times New Roman" w:hAnsi="Times New Roman" w:cs="Times New Roman"/>
                <w:b/>
                <w:bCs/>
                <w:sz w:val="19"/>
                <w:szCs w:val="19"/>
                <w:lang w:bidi="ar-EG"/>
              </w:rPr>
            </w:pPr>
            <w:r w:rsidRPr="00A94C7E">
              <w:rPr>
                <w:rFonts w:ascii="Times New Roman" w:hAnsi="Times New Roman" w:cs="Times New Roman"/>
                <w:b/>
                <w:bCs/>
                <w:sz w:val="19"/>
                <w:szCs w:val="19"/>
              </w:rPr>
              <w:t>Grade:</w:t>
            </w:r>
          </w:p>
          <w:p w:rsidR="00514E59" w:rsidRPr="00A94C7E" w:rsidRDefault="00514E59" w:rsidP="001E53F5">
            <w:pPr>
              <w:pStyle w:val="ListParagraph"/>
              <w:numPr>
                <w:ilvl w:val="0"/>
                <w:numId w:val="8"/>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G1</w:t>
            </w:r>
          </w:p>
          <w:p w:rsidR="00514E59" w:rsidRPr="00A94C7E" w:rsidRDefault="00514E59" w:rsidP="001E53F5">
            <w:pPr>
              <w:pStyle w:val="ListParagraph"/>
              <w:numPr>
                <w:ilvl w:val="0"/>
                <w:numId w:val="8"/>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G2</w:t>
            </w:r>
          </w:p>
          <w:p w:rsidR="00514E59" w:rsidRPr="00A94C7E" w:rsidRDefault="00514E59" w:rsidP="001E53F5">
            <w:pPr>
              <w:pStyle w:val="ListParagraph"/>
              <w:numPr>
                <w:ilvl w:val="0"/>
                <w:numId w:val="8"/>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G3</w:t>
            </w:r>
          </w:p>
          <w:p w:rsidR="00514E59" w:rsidRPr="00A94C7E" w:rsidRDefault="00514E59" w:rsidP="001E53F5">
            <w:pPr>
              <w:pStyle w:val="ListParagraph"/>
              <w:numPr>
                <w:ilvl w:val="0"/>
                <w:numId w:val="8"/>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G4</w:t>
            </w:r>
          </w:p>
          <w:p w:rsidR="00514E59" w:rsidRPr="00A94C7E" w:rsidRDefault="00514E59" w:rsidP="001E53F5">
            <w:pPr>
              <w:bidi w:val="0"/>
              <w:snapToGrid w:val="0"/>
              <w:jc w:val="both"/>
              <w:rPr>
                <w:rFonts w:ascii="Times New Roman" w:hAnsi="Times New Roman" w:cs="Times New Roman"/>
                <w:b/>
                <w:bCs/>
                <w:sz w:val="19"/>
                <w:szCs w:val="19"/>
                <w:lang w:bidi="ar-EG"/>
              </w:rPr>
            </w:pPr>
            <w:r w:rsidRPr="00A94C7E">
              <w:rPr>
                <w:rFonts w:ascii="Times New Roman" w:hAnsi="Times New Roman" w:cs="Times New Roman"/>
                <w:b/>
                <w:bCs/>
                <w:sz w:val="19"/>
                <w:szCs w:val="19"/>
              </w:rPr>
              <w:t>6- Clinical T:</w:t>
            </w:r>
          </w:p>
          <w:p w:rsidR="00514E59" w:rsidRPr="00A94C7E" w:rsidRDefault="00514E59" w:rsidP="001E53F5">
            <w:pPr>
              <w:pStyle w:val="ListParagraph"/>
              <w:numPr>
                <w:ilvl w:val="0"/>
                <w:numId w:val="9"/>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cT1</w:t>
            </w:r>
          </w:p>
          <w:p w:rsidR="00514E59" w:rsidRPr="00A94C7E" w:rsidRDefault="00514E59" w:rsidP="001E53F5">
            <w:pPr>
              <w:pStyle w:val="ListParagraph"/>
              <w:numPr>
                <w:ilvl w:val="0"/>
                <w:numId w:val="9"/>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cT2</w:t>
            </w:r>
          </w:p>
          <w:p w:rsidR="00514E59" w:rsidRPr="00A94C7E" w:rsidRDefault="00514E59" w:rsidP="001E53F5">
            <w:pPr>
              <w:pStyle w:val="ListParagraph"/>
              <w:numPr>
                <w:ilvl w:val="0"/>
                <w:numId w:val="9"/>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cT3</w:t>
            </w:r>
          </w:p>
          <w:p w:rsidR="00514E59" w:rsidRPr="00A94C7E" w:rsidRDefault="00514E59" w:rsidP="001E53F5">
            <w:pPr>
              <w:pStyle w:val="ListParagraph"/>
              <w:numPr>
                <w:ilvl w:val="0"/>
                <w:numId w:val="9"/>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cT4</w:t>
            </w:r>
          </w:p>
          <w:p w:rsidR="00514E59" w:rsidRPr="00A94C7E" w:rsidRDefault="00514E59" w:rsidP="001E53F5">
            <w:pPr>
              <w:bidi w:val="0"/>
              <w:snapToGrid w:val="0"/>
              <w:jc w:val="both"/>
              <w:rPr>
                <w:rFonts w:ascii="Times New Roman" w:hAnsi="Times New Roman" w:cs="Times New Roman"/>
                <w:b/>
                <w:bCs/>
                <w:sz w:val="19"/>
                <w:szCs w:val="19"/>
                <w:lang w:bidi="ar-EG"/>
              </w:rPr>
            </w:pPr>
            <w:r w:rsidRPr="00A94C7E">
              <w:rPr>
                <w:rFonts w:ascii="Times New Roman" w:hAnsi="Times New Roman" w:cs="Times New Roman"/>
                <w:b/>
                <w:bCs/>
                <w:sz w:val="19"/>
                <w:szCs w:val="19"/>
              </w:rPr>
              <w:t>7- Stage:</w:t>
            </w:r>
          </w:p>
          <w:p w:rsidR="00514E59" w:rsidRPr="00A94C7E" w:rsidRDefault="00514E59" w:rsidP="001E53F5">
            <w:pPr>
              <w:pStyle w:val="ListParagraph"/>
              <w:numPr>
                <w:ilvl w:val="0"/>
                <w:numId w:val="12"/>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Stage I</w:t>
            </w:r>
          </w:p>
          <w:p w:rsidR="00514E59" w:rsidRPr="00A94C7E" w:rsidRDefault="00514E59" w:rsidP="001E53F5">
            <w:pPr>
              <w:pStyle w:val="ListParagraph"/>
              <w:numPr>
                <w:ilvl w:val="0"/>
                <w:numId w:val="12"/>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lastRenderedPageBreak/>
              <w:t>Stage II</w:t>
            </w:r>
          </w:p>
          <w:p w:rsidR="00514E59" w:rsidRPr="00A94C7E" w:rsidRDefault="00514E59" w:rsidP="001E53F5">
            <w:pPr>
              <w:pStyle w:val="ListParagraph"/>
              <w:numPr>
                <w:ilvl w:val="0"/>
                <w:numId w:val="12"/>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Stage III</w:t>
            </w:r>
          </w:p>
          <w:p w:rsidR="00514E59" w:rsidRPr="00A94C7E" w:rsidRDefault="00514E59" w:rsidP="001E53F5">
            <w:pPr>
              <w:pStyle w:val="ListParagraph"/>
              <w:numPr>
                <w:ilvl w:val="0"/>
                <w:numId w:val="12"/>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Stage IV</w:t>
            </w:r>
          </w:p>
          <w:p w:rsidR="00514E59" w:rsidRPr="00A94C7E" w:rsidRDefault="00514E59" w:rsidP="001E53F5">
            <w:pPr>
              <w:bidi w:val="0"/>
              <w:snapToGrid w:val="0"/>
              <w:jc w:val="both"/>
              <w:rPr>
                <w:rFonts w:ascii="Times New Roman" w:hAnsi="Times New Roman" w:cs="Times New Roman"/>
                <w:b/>
                <w:bCs/>
                <w:sz w:val="19"/>
                <w:szCs w:val="19"/>
                <w:lang w:bidi="ar-EG"/>
              </w:rPr>
            </w:pPr>
            <w:r w:rsidRPr="00A94C7E">
              <w:rPr>
                <w:rFonts w:ascii="Times New Roman" w:hAnsi="Times New Roman" w:cs="Times New Roman"/>
                <w:b/>
                <w:bCs/>
                <w:sz w:val="19"/>
                <w:szCs w:val="19"/>
              </w:rPr>
              <w:t>8- Pathological T (after treatment):</w:t>
            </w:r>
          </w:p>
          <w:p w:rsidR="00514E59" w:rsidRPr="00A94C7E" w:rsidRDefault="00514E59" w:rsidP="001E53F5">
            <w:pPr>
              <w:pStyle w:val="ListParagraph"/>
              <w:numPr>
                <w:ilvl w:val="0"/>
                <w:numId w:val="10"/>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pT0</w:t>
            </w:r>
          </w:p>
          <w:p w:rsidR="00514E59" w:rsidRPr="00A94C7E" w:rsidRDefault="00514E59" w:rsidP="001E53F5">
            <w:pPr>
              <w:pStyle w:val="ListParagraph"/>
              <w:numPr>
                <w:ilvl w:val="0"/>
                <w:numId w:val="10"/>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pT1</w:t>
            </w:r>
          </w:p>
          <w:p w:rsidR="00514E59" w:rsidRPr="00A94C7E" w:rsidRDefault="00514E59" w:rsidP="001E53F5">
            <w:pPr>
              <w:pStyle w:val="ListParagraph"/>
              <w:numPr>
                <w:ilvl w:val="0"/>
                <w:numId w:val="10"/>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pT2</w:t>
            </w:r>
          </w:p>
          <w:p w:rsidR="00514E59" w:rsidRPr="00A94C7E" w:rsidRDefault="00514E59" w:rsidP="001E53F5">
            <w:pPr>
              <w:pStyle w:val="ListParagraph"/>
              <w:numPr>
                <w:ilvl w:val="0"/>
                <w:numId w:val="10"/>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pT3</w:t>
            </w:r>
          </w:p>
          <w:p w:rsidR="00514E59" w:rsidRPr="00A94C7E" w:rsidRDefault="00514E59" w:rsidP="001E53F5">
            <w:pPr>
              <w:pStyle w:val="ListParagraph"/>
              <w:numPr>
                <w:ilvl w:val="0"/>
                <w:numId w:val="10"/>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pT4</w:t>
            </w:r>
          </w:p>
          <w:p w:rsidR="00514E59" w:rsidRPr="00A94C7E" w:rsidRDefault="00514E59" w:rsidP="001E53F5">
            <w:pPr>
              <w:bidi w:val="0"/>
              <w:snapToGrid w:val="0"/>
              <w:jc w:val="both"/>
              <w:rPr>
                <w:rFonts w:ascii="Times New Roman" w:hAnsi="Times New Roman" w:cs="Times New Roman"/>
                <w:b/>
                <w:bCs/>
                <w:sz w:val="19"/>
                <w:szCs w:val="19"/>
                <w:lang w:bidi="ar-EG"/>
              </w:rPr>
            </w:pPr>
            <w:r w:rsidRPr="00A94C7E">
              <w:rPr>
                <w:rFonts w:ascii="Times New Roman" w:hAnsi="Times New Roman" w:cs="Times New Roman"/>
                <w:b/>
                <w:bCs/>
                <w:sz w:val="19"/>
                <w:szCs w:val="19"/>
              </w:rPr>
              <w:t>9- Pathological N (after treatment):</w:t>
            </w:r>
          </w:p>
          <w:p w:rsidR="00514E59" w:rsidRPr="00A94C7E" w:rsidRDefault="00514E59" w:rsidP="001E53F5">
            <w:pPr>
              <w:pStyle w:val="ListParagraph"/>
              <w:numPr>
                <w:ilvl w:val="0"/>
                <w:numId w:val="11"/>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pN0</w:t>
            </w:r>
          </w:p>
          <w:p w:rsidR="00514E59" w:rsidRPr="00A94C7E" w:rsidRDefault="00514E59" w:rsidP="001E53F5">
            <w:pPr>
              <w:pStyle w:val="ListParagraph"/>
              <w:numPr>
                <w:ilvl w:val="0"/>
                <w:numId w:val="11"/>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pN1</w:t>
            </w:r>
          </w:p>
          <w:p w:rsidR="00514E59" w:rsidRPr="00A94C7E" w:rsidRDefault="00514E59" w:rsidP="001E53F5">
            <w:pPr>
              <w:pStyle w:val="ListParagraph"/>
              <w:numPr>
                <w:ilvl w:val="0"/>
                <w:numId w:val="11"/>
              </w:numPr>
              <w:snapToGrid w:val="0"/>
              <w:ind w:left="0" w:firstLine="0"/>
              <w:contextualSpacing w:val="0"/>
              <w:jc w:val="both"/>
              <w:rPr>
                <w:rFonts w:ascii="Times New Roman" w:hAnsi="Times New Roman" w:cs="Times New Roman"/>
                <w:sz w:val="19"/>
                <w:szCs w:val="19"/>
              </w:rPr>
            </w:pPr>
            <w:r w:rsidRPr="00A94C7E">
              <w:rPr>
                <w:rFonts w:ascii="Times New Roman" w:hAnsi="Times New Roman" w:cs="Times New Roman"/>
                <w:sz w:val="19"/>
                <w:szCs w:val="19"/>
              </w:rPr>
              <w:t>pN2</w:t>
            </w:r>
          </w:p>
        </w:tc>
        <w:tc>
          <w:tcPr>
            <w:tcW w:w="1392" w:type="pct"/>
            <w:vAlign w:val="center"/>
          </w:tcPr>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lastRenderedPageBreak/>
              <w:t>43.24±13.55</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40(57.1%)</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30(42.9%)</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39(55.7%)</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20(28.6%)</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11(15.7%)</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56(80.0%)</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8(11.4%)</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6(8.6%)</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8(11.43%)</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29(41.43%)</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14(20.0%)</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19(27.14%)</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0(0.0%)</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8(11.43%)</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32(45.71%)</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30(42.86%)</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0(0.0%)</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24(34.29%)</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lastRenderedPageBreak/>
              <w:t>46(65.71%)</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0(0.0%)</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17(24.29%)</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8(11.43%)</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12(17.14%)</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14(20.0%)</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19(27.14%)</w:t>
            </w:r>
          </w:p>
          <w:p w:rsidR="00514E59" w:rsidRPr="00A94C7E" w:rsidRDefault="00514E59" w:rsidP="001E53F5">
            <w:pPr>
              <w:bidi w:val="0"/>
              <w:snapToGrid w:val="0"/>
              <w:jc w:val="both"/>
              <w:rPr>
                <w:rFonts w:ascii="Times New Roman" w:hAnsi="Times New Roman" w:cs="Times New Roman"/>
                <w:sz w:val="19"/>
                <w:szCs w:val="19"/>
                <w:lang w:bidi="ar-EG"/>
              </w:rPr>
            </w:pP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40(57.14%)</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15(21.43%)</w:t>
            </w:r>
          </w:p>
          <w:p w:rsidR="00514E59" w:rsidRPr="00A94C7E" w:rsidRDefault="00514E59" w:rsidP="001E53F5">
            <w:pPr>
              <w:bidi w:val="0"/>
              <w:snapToGrid w:val="0"/>
              <w:jc w:val="both"/>
              <w:rPr>
                <w:rFonts w:ascii="Times New Roman" w:hAnsi="Times New Roman" w:cs="Times New Roman"/>
                <w:sz w:val="19"/>
                <w:szCs w:val="19"/>
              </w:rPr>
            </w:pPr>
            <w:r w:rsidRPr="00A94C7E">
              <w:rPr>
                <w:rFonts w:ascii="Times New Roman" w:hAnsi="Times New Roman" w:cs="Times New Roman"/>
                <w:sz w:val="19"/>
                <w:szCs w:val="19"/>
              </w:rPr>
              <w:t>15(21.43%)</w:t>
            </w:r>
          </w:p>
        </w:tc>
      </w:tr>
    </w:tbl>
    <w:p w:rsidR="00A60AA5" w:rsidRPr="000973FD" w:rsidRDefault="00A60AA5" w:rsidP="001E53F5">
      <w:pPr>
        <w:pStyle w:val="Style1"/>
        <w:snapToGrid w:val="0"/>
        <w:spacing w:after="0" w:line="240" w:lineRule="auto"/>
        <w:jc w:val="center"/>
        <w:rPr>
          <w:rFonts w:ascii="Times New Roman" w:hAnsi="Times New Roman" w:cs="Times New Roman"/>
          <w:sz w:val="20"/>
          <w:szCs w:val="20"/>
        </w:rPr>
      </w:pPr>
    </w:p>
    <w:p w:rsidR="00514E59" w:rsidRPr="000973FD" w:rsidRDefault="00D76FD7" w:rsidP="001E53F5">
      <w:pPr>
        <w:pStyle w:val="Style1"/>
        <w:snapToGrid w:val="0"/>
        <w:spacing w:after="0" w:line="240" w:lineRule="auto"/>
        <w:jc w:val="center"/>
        <w:rPr>
          <w:rFonts w:ascii="Times New Roman" w:hAnsi="Times New Roman" w:cs="Times New Roman"/>
          <w:b w:val="0"/>
          <w:bCs w:val="0"/>
          <w:sz w:val="20"/>
          <w:szCs w:val="20"/>
        </w:rPr>
      </w:pPr>
      <w:r w:rsidRPr="000973FD">
        <w:rPr>
          <w:rFonts w:ascii="Times New Roman" w:hAnsi="Times New Roman" w:cs="Times New Roman"/>
          <w:sz w:val="20"/>
          <w:szCs w:val="20"/>
        </w:rPr>
        <w:t>Table (2):</w:t>
      </w:r>
      <w:r w:rsidRPr="000973FD">
        <w:rPr>
          <w:rFonts w:ascii="Times New Roman" w:hAnsi="Times New Roman" w:cs="Times New Roman"/>
          <w:b w:val="0"/>
          <w:bCs w:val="0"/>
          <w:sz w:val="20"/>
          <w:szCs w:val="20"/>
        </w:rPr>
        <w:t xml:space="preserve"> NAR score in study group.</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4000"/>
        <w:gridCol w:w="5474"/>
      </w:tblGrid>
      <w:tr w:rsidR="00C74865" w:rsidRPr="000973FD" w:rsidTr="00B4709A">
        <w:trPr>
          <w:jc w:val="center"/>
        </w:trPr>
        <w:tc>
          <w:tcPr>
            <w:tcW w:w="2111" w:type="pct"/>
            <w:tcBorders>
              <w:top w:val="single" w:sz="18" w:space="0" w:color="auto"/>
              <w:bottom w:val="single" w:sz="18" w:space="0" w:color="auto"/>
            </w:tcBorders>
            <w:vAlign w:val="center"/>
          </w:tcPr>
          <w:p w:rsidR="00C74865" w:rsidRPr="000973FD" w:rsidRDefault="00C74865" w:rsidP="001E53F5">
            <w:pPr>
              <w:bidi w:val="0"/>
              <w:snapToGrid w:val="0"/>
              <w:jc w:val="both"/>
              <w:rPr>
                <w:rFonts w:ascii="Times New Roman" w:hAnsi="Times New Roman" w:cs="Times New Roman"/>
                <w:b/>
                <w:bCs/>
                <w:sz w:val="20"/>
                <w:szCs w:val="20"/>
              </w:rPr>
            </w:pPr>
          </w:p>
        </w:tc>
        <w:tc>
          <w:tcPr>
            <w:tcW w:w="2889" w:type="pct"/>
            <w:tcBorders>
              <w:top w:val="single" w:sz="18" w:space="0" w:color="auto"/>
              <w:bottom w:val="single" w:sz="18" w:space="0" w:color="auto"/>
            </w:tcBorders>
            <w:vAlign w:val="center"/>
          </w:tcPr>
          <w:p w:rsidR="00C74865" w:rsidRPr="000973FD" w:rsidRDefault="00C74865" w:rsidP="001E53F5">
            <w:pPr>
              <w:tabs>
                <w:tab w:val="left" w:pos="870"/>
                <w:tab w:val="center" w:pos="1863"/>
              </w:tabs>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ab/>
            </w:r>
            <w:r w:rsidRPr="000973FD">
              <w:rPr>
                <w:rFonts w:ascii="Times New Roman" w:hAnsi="Times New Roman" w:cs="Times New Roman"/>
                <w:b/>
                <w:bCs/>
                <w:sz w:val="20"/>
                <w:szCs w:val="20"/>
              </w:rPr>
              <w:tab/>
              <w:t>Number (%)</w:t>
            </w:r>
          </w:p>
        </w:tc>
      </w:tr>
      <w:tr w:rsidR="00C74865" w:rsidRPr="000973FD" w:rsidTr="00B4709A">
        <w:trPr>
          <w:jc w:val="center"/>
        </w:trPr>
        <w:tc>
          <w:tcPr>
            <w:tcW w:w="2111" w:type="pct"/>
            <w:tcBorders>
              <w:top w:val="single" w:sz="18" w:space="0" w:color="auto"/>
            </w:tcBorders>
            <w:vAlign w:val="center"/>
          </w:tcPr>
          <w:p w:rsidR="00C74865" w:rsidRPr="000973FD" w:rsidRDefault="00C74865" w:rsidP="001E53F5">
            <w:pPr>
              <w:bidi w:val="0"/>
              <w:snapToGrid w:val="0"/>
              <w:jc w:val="both"/>
              <w:rPr>
                <w:rFonts w:ascii="Times New Roman" w:hAnsi="Times New Roman" w:cs="Times New Roman"/>
                <w:sz w:val="20"/>
                <w:szCs w:val="20"/>
                <w:lang w:bidi="ar-EG"/>
              </w:rPr>
            </w:pPr>
            <w:r w:rsidRPr="000973FD">
              <w:rPr>
                <w:rFonts w:ascii="Times New Roman" w:hAnsi="Times New Roman" w:cs="Times New Roman"/>
                <w:sz w:val="20"/>
                <w:szCs w:val="20"/>
              </w:rPr>
              <w:t>Median</w:t>
            </w: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Range</w:t>
            </w: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NAR score</w:t>
            </w:r>
          </w:p>
          <w:p w:rsidR="00C74865" w:rsidRPr="000973FD" w:rsidRDefault="00C74865" w:rsidP="001E53F5">
            <w:pPr>
              <w:pStyle w:val="ListParagraph"/>
              <w:numPr>
                <w:ilvl w:val="0"/>
                <w:numId w:val="13"/>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 xml:space="preserve">Low </w:t>
            </w:r>
          </w:p>
          <w:p w:rsidR="00C74865" w:rsidRPr="000973FD" w:rsidRDefault="00C74865" w:rsidP="001E53F5">
            <w:pPr>
              <w:pStyle w:val="ListParagraph"/>
              <w:numPr>
                <w:ilvl w:val="0"/>
                <w:numId w:val="13"/>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 xml:space="preserve">Intermediate </w:t>
            </w:r>
          </w:p>
          <w:p w:rsidR="00C74865" w:rsidRPr="000973FD" w:rsidRDefault="00C74865" w:rsidP="001E53F5">
            <w:pPr>
              <w:pStyle w:val="ListParagraph"/>
              <w:numPr>
                <w:ilvl w:val="0"/>
                <w:numId w:val="13"/>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 xml:space="preserve">High </w:t>
            </w:r>
          </w:p>
        </w:tc>
        <w:tc>
          <w:tcPr>
            <w:tcW w:w="2889" w:type="pct"/>
            <w:tcBorders>
              <w:top w:val="single" w:sz="18" w:space="0" w:color="auto"/>
            </w:tcBorders>
            <w:vAlign w:val="center"/>
          </w:tcPr>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12.59</w:t>
            </w: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0-50.36</w:t>
            </w:r>
          </w:p>
          <w:p w:rsidR="00C74865" w:rsidRPr="000973FD" w:rsidRDefault="00C74865" w:rsidP="001E53F5">
            <w:pPr>
              <w:bidi w:val="0"/>
              <w:snapToGrid w:val="0"/>
              <w:jc w:val="both"/>
              <w:rPr>
                <w:rFonts w:ascii="Times New Roman" w:hAnsi="Times New Roman" w:cs="Times New Roman"/>
                <w:sz w:val="20"/>
                <w:szCs w:val="20"/>
                <w:lang w:bidi="ar-EG"/>
              </w:rPr>
            </w:pP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23(32.9%)</w:t>
            </w: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21(30.0%)</w:t>
            </w:r>
          </w:p>
          <w:p w:rsidR="00C74865" w:rsidRPr="000973FD" w:rsidRDefault="00C74865"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26(37.1%)</w:t>
            </w:r>
          </w:p>
        </w:tc>
      </w:tr>
    </w:tbl>
    <w:p w:rsidR="003C229C" w:rsidRPr="000973FD" w:rsidRDefault="003C229C" w:rsidP="001E53F5">
      <w:pPr>
        <w:bidi w:val="0"/>
        <w:snapToGrid w:val="0"/>
        <w:spacing w:after="0" w:line="240" w:lineRule="auto"/>
        <w:jc w:val="center"/>
        <w:rPr>
          <w:rFonts w:ascii="Times New Roman" w:hAnsi="Times New Roman" w:cs="Times New Roman"/>
          <w:b/>
          <w:bCs/>
          <w:sz w:val="20"/>
          <w:szCs w:val="20"/>
        </w:rPr>
      </w:pPr>
    </w:p>
    <w:p w:rsidR="00D76FD7" w:rsidRPr="000973FD" w:rsidRDefault="00D76FD7"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sz w:val="20"/>
          <w:szCs w:val="20"/>
        </w:rPr>
        <w:t>Table (3):</w:t>
      </w:r>
      <w:r w:rsidRPr="000973FD">
        <w:rPr>
          <w:rFonts w:ascii="Times New Roman" w:hAnsi="Times New Roman" w:cs="Times New Roman"/>
          <w:sz w:val="20"/>
          <w:szCs w:val="20"/>
        </w:rPr>
        <w:t xml:space="preserve"> Relation between NAR score and clinico-pathological factors</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3052"/>
        <w:gridCol w:w="1677"/>
        <w:gridCol w:w="1698"/>
        <w:gridCol w:w="1677"/>
        <w:gridCol w:w="1370"/>
      </w:tblGrid>
      <w:tr w:rsidR="00D76FD7" w:rsidRPr="000973FD" w:rsidTr="00B4709A">
        <w:trPr>
          <w:jc w:val="center"/>
        </w:trPr>
        <w:tc>
          <w:tcPr>
            <w:tcW w:w="1611" w:type="pct"/>
            <w:tcBorders>
              <w:top w:val="single" w:sz="18" w:space="0" w:color="auto"/>
              <w:bottom w:val="single" w:sz="18" w:space="0" w:color="auto"/>
            </w:tcBorders>
            <w:vAlign w:val="center"/>
          </w:tcPr>
          <w:p w:rsidR="00D76FD7" w:rsidRPr="000973FD" w:rsidRDefault="00D76FD7" w:rsidP="001E53F5">
            <w:pPr>
              <w:bidi w:val="0"/>
              <w:snapToGrid w:val="0"/>
              <w:jc w:val="both"/>
              <w:rPr>
                <w:rFonts w:ascii="Times New Roman" w:hAnsi="Times New Roman" w:cs="Times New Roman"/>
                <w:b/>
                <w:bCs/>
                <w:sz w:val="20"/>
                <w:szCs w:val="20"/>
              </w:rPr>
            </w:pPr>
          </w:p>
        </w:tc>
        <w:tc>
          <w:tcPr>
            <w:tcW w:w="885" w:type="pct"/>
            <w:tcBorders>
              <w:top w:val="single" w:sz="18" w:space="0" w:color="auto"/>
              <w:bottom w:val="single" w:sz="18" w:space="0" w:color="auto"/>
            </w:tcBorders>
            <w:vAlign w:val="center"/>
          </w:tcPr>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Low</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Number (%)</w:t>
            </w:r>
          </w:p>
          <w:p w:rsidR="00D76FD7" w:rsidRPr="000973FD" w:rsidRDefault="00D76FD7" w:rsidP="001E53F5">
            <w:pPr>
              <w:bidi w:val="0"/>
              <w:snapToGrid w:val="0"/>
              <w:jc w:val="both"/>
              <w:rPr>
                <w:rFonts w:ascii="Times New Roman" w:hAnsi="Times New Roman" w:cs="Times New Roman"/>
                <w:b/>
                <w:bCs/>
                <w:sz w:val="20"/>
                <w:szCs w:val="20"/>
                <w:lang w:bidi="ar-EG"/>
              </w:rPr>
            </w:pPr>
            <w:r w:rsidRPr="000973FD">
              <w:rPr>
                <w:rFonts w:ascii="Times New Roman" w:hAnsi="Times New Roman" w:cs="Times New Roman"/>
                <w:b/>
                <w:bCs/>
                <w:sz w:val="20"/>
                <w:szCs w:val="20"/>
              </w:rPr>
              <w:t>“n=23”</w:t>
            </w:r>
          </w:p>
        </w:tc>
        <w:tc>
          <w:tcPr>
            <w:tcW w:w="896" w:type="pct"/>
            <w:tcBorders>
              <w:top w:val="single" w:sz="18" w:space="0" w:color="auto"/>
              <w:bottom w:val="single" w:sz="18" w:space="0" w:color="auto"/>
            </w:tcBorders>
            <w:vAlign w:val="center"/>
          </w:tcPr>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Intermediate</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Number (%)</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“n=21”</w:t>
            </w:r>
          </w:p>
        </w:tc>
        <w:tc>
          <w:tcPr>
            <w:tcW w:w="885" w:type="pct"/>
            <w:tcBorders>
              <w:top w:val="single" w:sz="18" w:space="0" w:color="auto"/>
              <w:bottom w:val="single" w:sz="18" w:space="0" w:color="auto"/>
            </w:tcBorders>
            <w:vAlign w:val="center"/>
          </w:tcPr>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High</w:t>
            </w:r>
          </w:p>
          <w:p w:rsidR="00D76FD7" w:rsidRPr="000973FD" w:rsidRDefault="003C229C"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Number (</w:t>
            </w:r>
            <w:r w:rsidR="00D76FD7" w:rsidRPr="000973FD">
              <w:rPr>
                <w:rFonts w:ascii="Times New Roman" w:hAnsi="Times New Roman" w:cs="Times New Roman"/>
                <w:b/>
                <w:bCs/>
                <w:sz w:val="20"/>
                <w:szCs w:val="20"/>
              </w:rPr>
              <w:t>%)</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“n=26”</w:t>
            </w:r>
          </w:p>
        </w:tc>
        <w:tc>
          <w:tcPr>
            <w:tcW w:w="724" w:type="pct"/>
            <w:tcBorders>
              <w:top w:val="single" w:sz="18" w:space="0" w:color="auto"/>
              <w:bottom w:val="single" w:sz="18" w:space="0" w:color="auto"/>
            </w:tcBorders>
            <w:vAlign w:val="center"/>
          </w:tcPr>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P-value</w:t>
            </w:r>
          </w:p>
        </w:tc>
      </w:tr>
      <w:tr w:rsidR="00D76FD7" w:rsidRPr="000973FD" w:rsidTr="00B4709A">
        <w:trPr>
          <w:jc w:val="center"/>
        </w:trPr>
        <w:tc>
          <w:tcPr>
            <w:tcW w:w="1611" w:type="pct"/>
            <w:tcBorders>
              <w:top w:val="single" w:sz="18" w:space="0" w:color="auto"/>
            </w:tcBorders>
            <w:vAlign w:val="center"/>
          </w:tcPr>
          <w:p w:rsidR="00D76FD7" w:rsidRPr="000973FD" w:rsidRDefault="00D76FD7" w:rsidP="001E53F5">
            <w:pPr>
              <w:pStyle w:val="ListParagraph"/>
              <w:snapToGrid w:val="0"/>
              <w:ind w:left="0"/>
              <w:contextualSpacing w:val="0"/>
              <w:jc w:val="both"/>
              <w:rPr>
                <w:rFonts w:ascii="Times New Roman" w:hAnsi="Times New Roman" w:cs="Times New Roman"/>
                <w:b/>
                <w:bCs/>
                <w:sz w:val="20"/>
                <w:szCs w:val="20"/>
              </w:rPr>
            </w:pPr>
            <w:r w:rsidRPr="000973FD">
              <w:rPr>
                <w:rFonts w:ascii="Times New Roman" w:hAnsi="Times New Roman" w:cs="Times New Roman"/>
                <w:b/>
                <w:bCs/>
                <w:sz w:val="20"/>
                <w:szCs w:val="20"/>
              </w:rPr>
              <w:t>1-Age (mean±SD)</w:t>
            </w:r>
          </w:p>
          <w:p w:rsidR="00D76FD7" w:rsidRPr="000973FD" w:rsidRDefault="00D76FD7" w:rsidP="001E53F5">
            <w:pPr>
              <w:pStyle w:val="ListParagraph"/>
              <w:snapToGrid w:val="0"/>
              <w:ind w:left="0"/>
              <w:contextualSpacing w:val="0"/>
              <w:jc w:val="both"/>
              <w:rPr>
                <w:rFonts w:ascii="Times New Roman" w:hAnsi="Times New Roman" w:cs="Times New Roman"/>
                <w:b/>
                <w:bCs/>
                <w:sz w:val="20"/>
                <w:szCs w:val="20"/>
              </w:rPr>
            </w:pPr>
            <w:r w:rsidRPr="000973FD">
              <w:rPr>
                <w:rFonts w:ascii="Times New Roman" w:hAnsi="Times New Roman" w:cs="Times New Roman"/>
                <w:b/>
                <w:bCs/>
                <w:sz w:val="20"/>
                <w:szCs w:val="20"/>
              </w:rPr>
              <w:t>2-Sex:</w:t>
            </w:r>
          </w:p>
          <w:p w:rsidR="00D76FD7" w:rsidRPr="000973FD" w:rsidRDefault="00D76FD7" w:rsidP="001E53F5">
            <w:pPr>
              <w:pStyle w:val="ListParagraph"/>
              <w:numPr>
                <w:ilvl w:val="0"/>
                <w:numId w:val="13"/>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Male</w:t>
            </w:r>
          </w:p>
          <w:p w:rsidR="00D76FD7" w:rsidRPr="000973FD" w:rsidRDefault="00D76FD7" w:rsidP="001E53F5">
            <w:pPr>
              <w:pStyle w:val="ListParagraph"/>
              <w:numPr>
                <w:ilvl w:val="0"/>
                <w:numId w:val="13"/>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Female</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3-Histopathology:</w:t>
            </w:r>
          </w:p>
          <w:p w:rsidR="00D76FD7" w:rsidRPr="000973FD" w:rsidRDefault="00D76FD7" w:rsidP="001E53F5">
            <w:pPr>
              <w:pStyle w:val="ListParagraph"/>
              <w:numPr>
                <w:ilvl w:val="0"/>
                <w:numId w:val="14"/>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Adenocarcinoma</w:t>
            </w:r>
          </w:p>
          <w:p w:rsidR="00D76FD7" w:rsidRPr="000973FD" w:rsidRDefault="00D76FD7" w:rsidP="001E53F5">
            <w:pPr>
              <w:pStyle w:val="ListParagraph"/>
              <w:numPr>
                <w:ilvl w:val="0"/>
                <w:numId w:val="14"/>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Mucoid</w:t>
            </w:r>
          </w:p>
          <w:p w:rsidR="00D76FD7" w:rsidRPr="000973FD" w:rsidRDefault="00D76FD7" w:rsidP="001E53F5">
            <w:pPr>
              <w:pStyle w:val="ListParagraph"/>
              <w:numPr>
                <w:ilvl w:val="0"/>
                <w:numId w:val="14"/>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Signet ring</w:t>
            </w:r>
          </w:p>
          <w:p w:rsidR="00D76FD7" w:rsidRPr="000973FD" w:rsidRDefault="00D76FD7" w:rsidP="001E53F5">
            <w:pPr>
              <w:bidi w:val="0"/>
              <w:snapToGrid w:val="0"/>
              <w:jc w:val="both"/>
              <w:rPr>
                <w:rFonts w:ascii="Times New Roman" w:hAnsi="Times New Roman" w:cs="Times New Roman"/>
                <w:b/>
                <w:bCs/>
                <w:sz w:val="20"/>
                <w:szCs w:val="20"/>
              </w:rPr>
            </w:pPr>
            <w:r w:rsidRPr="000973FD">
              <w:rPr>
                <w:rFonts w:ascii="Times New Roman" w:hAnsi="Times New Roman" w:cs="Times New Roman"/>
                <w:b/>
                <w:bCs/>
                <w:sz w:val="20"/>
                <w:szCs w:val="20"/>
              </w:rPr>
              <w:t>4- Clinical T</w:t>
            </w:r>
          </w:p>
          <w:p w:rsidR="00D76FD7" w:rsidRPr="000973FD" w:rsidRDefault="00D76FD7" w:rsidP="001E53F5">
            <w:pPr>
              <w:pStyle w:val="ListParagraph"/>
              <w:numPr>
                <w:ilvl w:val="0"/>
                <w:numId w:val="16"/>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cT2</w:t>
            </w:r>
          </w:p>
          <w:p w:rsidR="00D76FD7" w:rsidRPr="000973FD" w:rsidRDefault="00D76FD7" w:rsidP="001E53F5">
            <w:pPr>
              <w:pStyle w:val="ListParagraph"/>
              <w:numPr>
                <w:ilvl w:val="0"/>
                <w:numId w:val="16"/>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cT3</w:t>
            </w:r>
          </w:p>
          <w:p w:rsidR="00D76FD7" w:rsidRPr="000973FD" w:rsidRDefault="00D76FD7" w:rsidP="001E53F5">
            <w:pPr>
              <w:pStyle w:val="ListParagraph"/>
              <w:numPr>
                <w:ilvl w:val="0"/>
                <w:numId w:val="16"/>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cT4</w:t>
            </w:r>
          </w:p>
          <w:p w:rsidR="00D76FD7" w:rsidRPr="000973FD" w:rsidRDefault="00D76FD7" w:rsidP="001E53F5">
            <w:pPr>
              <w:pStyle w:val="ListParagraph"/>
              <w:numPr>
                <w:ilvl w:val="0"/>
                <w:numId w:val="5"/>
              </w:numPr>
              <w:snapToGrid w:val="0"/>
              <w:ind w:left="0" w:firstLine="0"/>
              <w:contextualSpacing w:val="0"/>
              <w:jc w:val="both"/>
              <w:rPr>
                <w:rFonts w:ascii="Times New Roman" w:hAnsi="Times New Roman" w:cs="Times New Roman"/>
                <w:b/>
                <w:bCs/>
                <w:sz w:val="20"/>
                <w:szCs w:val="20"/>
              </w:rPr>
            </w:pPr>
            <w:r w:rsidRPr="000973FD">
              <w:rPr>
                <w:rFonts w:ascii="Times New Roman" w:hAnsi="Times New Roman" w:cs="Times New Roman"/>
                <w:b/>
                <w:bCs/>
                <w:sz w:val="20"/>
                <w:szCs w:val="20"/>
              </w:rPr>
              <w:t>Pathological T:</w:t>
            </w:r>
          </w:p>
          <w:p w:rsidR="00D76FD7" w:rsidRPr="000973FD" w:rsidRDefault="00D76FD7" w:rsidP="001E53F5">
            <w:pPr>
              <w:pStyle w:val="ListParagraph"/>
              <w:numPr>
                <w:ilvl w:val="0"/>
                <w:numId w:val="15"/>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pT0</w:t>
            </w:r>
          </w:p>
          <w:p w:rsidR="00D76FD7" w:rsidRPr="000973FD" w:rsidRDefault="00D76FD7" w:rsidP="001E53F5">
            <w:pPr>
              <w:pStyle w:val="ListParagraph"/>
              <w:numPr>
                <w:ilvl w:val="0"/>
                <w:numId w:val="15"/>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pT1</w:t>
            </w:r>
          </w:p>
          <w:p w:rsidR="00D76FD7" w:rsidRPr="000973FD" w:rsidRDefault="00D76FD7" w:rsidP="001E53F5">
            <w:pPr>
              <w:pStyle w:val="ListParagraph"/>
              <w:numPr>
                <w:ilvl w:val="0"/>
                <w:numId w:val="15"/>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pT2</w:t>
            </w:r>
          </w:p>
          <w:p w:rsidR="00D76FD7" w:rsidRPr="000973FD" w:rsidRDefault="00D76FD7" w:rsidP="001E53F5">
            <w:pPr>
              <w:pStyle w:val="ListParagraph"/>
              <w:numPr>
                <w:ilvl w:val="0"/>
                <w:numId w:val="15"/>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pT3</w:t>
            </w:r>
          </w:p>
          <w:p w:rsidR="00D76FD7" w:rsidRPr="000973FD" w:rsidRDefault="00D76FD7" w:rsidP="001E53F5">
            <w:pPr>
              <w:pStyle w:val="ListParagraph"/>
              <w:numPr>
                <w:ilvl w:val="0"/>
                <w:numId w:val="15"/>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pT4</w:t>
            </w:r>
          </w:p>
          <w:p w:rsidR="00D76FD7" w:rsidRPr="000973FD" w:rsidRDefault="00D76FD7" w:rsidP="001E53F5">
            <w:pPr>
              <w:pStyle w:val="ListParagraph"/>
              <w:numPr>
                <w:ilvl w:val="0"/>
                <w:numId w:val="5"/>
              </w:numPr>
              <w:snapToGrid w:val="0"/>
              <w:ind w:left="0" w:firstLine="0"/>
              <w:contextualSpacing w:val="0"/>
              <w:jc w:val="both"/>
              <w:rPr>
                <w:rFonts w:ascii="Times New Roman" w:hAnsi="Times New Roman" w:cs="Times New Roman"/>
                <w:b/>
                <w:bCs/>
                <w:sz w:val="20"/>
                <w:szCs w:val="20"/>
              </w:rPr>
            </w:pPr>
            <w:r w:rsidRPr="000973FD">
              <w:rPr>
                <w:rFonts w:ascii="Times New Roman" w:hAnsi="Times New Roman" w:cs="Times New Roman"/>
                <w:b/>
                <w:bCs/>
                <w:sz w:val="20"/>
                <w:szCs w:val="20"/>
              </w:rPr>
              <w:t>Pathological N</w:t>
            </w:r>
          </w:p>
          <w:p w:rsidR="00D76FD7" w:rsidRPr="000973FD" w:rsidRDefault="00D76FD7" w:rsidP="001E53F5">
            <w:pPr>
              <w:pStyle w:val="ListParagraph"/>
              <w:numPr>
                <w:ilvl w:val="0"/>
                <w:numId w:val="17"/>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pN 0</w:t>
            </w:r>
          </w:p>
          <w:p w:rsidR="00D76FD7" w:rsidRPr="000973FD" w:rsidRDefault="00D76FD7" w:rsidP="001E53F5">
            <w:pPr>
              <w:pStyle w:val="ListParagraph"/>
              <w:numPr>
                <w:ilvl w:val="0"/>
                <w:numId w:val="17"/>
              </w:numPr>
              <w:snapToGrid w:val="0"/>
              <w:ind w:left="0" w:firstLine="0"/>
              <w:contextualSpacing w:val="0"/>
              <w:jc w:val="both"/>
              <w:rPr>
                <w:rFonts w:ascii="Times New Roman" w:hAnsi="Times New Roman" w:cs="Times New Roman"/>
                <w:sz w:val="20"/>
                <w:szCs w:val="20"/>
              </w:rPr>
            </w:pPr>
            <w:r w:rsidRPr="000973FD">
              <w:rPr>
                <w:rFonts w:ascii="Times New Roman" w:hAnsi="Times New Roman" w:cs="Times New Roman"/>
                <w:sz w:val="20"/>
                <w:szCs w:val="20"/>
              </w:rPr>
              <w:t>pN1</w:t>
            </w:r>
          </w:p>
          <w:p w:rsidR="00D76FD7" w:rsidRPr="000973FD" w:rsidRDefault="00D76FD7" w:rsidP="001E53F5">
            <w:pPr>
              <w:pStyle w:val="ListParagraph"/>
              <w:numPr>
                <w:ilvl w:val="0"/>
                <w:numId w:val="17"/>
              </w:numPr>
              <w:snapToGrid w:val="0"/>
              <w:ind w:left="0" w:firstLine="0"/>
              <w:contextualSpacing w:val="0"/>
              <w:jc w:val="both"/>
              <w:rPr>
                <w:rFonts w:ascii="Times New Roman" w:hAnsi="Times New Roman" w:cs="Times New Roman"/>
                <w:b/>
                <w:bCs/>
                <w:sz w:val="20"/>
                <w:szCs w:val="20"/>
              </w:rPr>
            </w:pPr>
            <w:r w:rsidRPr="000973FD">
              <w:rPr>
                <w:rFonts w:ascii="Times New Roman" w:hAnsi="Times New Roman" w:cs="Times New Roman"/>
                <w:sz w:val="20"/>
                <w:szCs w:val="20"/>
              </w:rPr>
              <w:t>pN2</w:t>
            </w:r>
          </w:p>
        </w:tc>
        <w:tc>
          <w:tcPr>
            <w:tcW w:w="885" w:type="pct"/>
            <w:tcBorders>
              <w:top w:val="single" w:sz="18" w:space="0" w:color="auto"/>
            </w:tcBorders>
            <w:vAlign w:val="center"/>
          </w:tcPr>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47.30±14.09</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12(52.2%)</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11(47.8%)</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23(100.0%)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3(13.0%)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14(61.0%)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6(27.0%)</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17(73.92%)</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3(13.04%)</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3(13.04%)</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lang w:bidi="ar-EG"/>
              </w:rPr>
            </w:pPr>
            <w:r w:rsidRPr="000973FD">
              <w:rPr>
                <w:rFonts w:ascii="Times New Roman" w:hAnsi="Times New Roman" w:cs="Times New Roman"/>
                <w:sz w:val="20"/>
                <w:szCs w:val="20"/>
              </w:rPr>
              <w:t>23(100%)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tc>
        <w:tc>
          <w:tcPr>
            <w:tcW w:w="896" w:type="pct"/>
            <w:tcBorders>
              <w:top w:val="single" w:sz="18" w:space="0" w:color="auto"/>
            </w:tcBorders>
            <w:vAlign w:val="center"/>
          </w:tcPr>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44.29±13.72</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12(57.1%)</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9(42.9%)</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16(76.2%)</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2(9.5%)</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3(14.3%)</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3(14.2%)</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9(42.9%)</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9(43.9%)</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4(19.05%)</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8(38.1%)</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4(19.05%)</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5(23.8%)</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17(81.0%)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4(19.0%)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tc>
        <w:tc>
          <w:tcPr>
            <w:tcW w:w="885" w:type="pct"/>
            <w:tcBorders>
              <w:top w:val="single" w:sz="18" w:space="0" w:color="auto"/>
            </w:tcBorders>
            <w:vAlign w:val="center"/>
          </w:tcPr>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38.81±12.04</w:t>
            </w:r>
          </w:p>
          <w:p w:rsidR="00D76FD7" w:rsidRPr="000973FD" w:rsidRDefault="00D76FD7" w:rsidP="001E53F5">
            <w:pPr>
              <w:bidi w:val="0"/>
              <w:snapToGrid w:val="0"/>
              <w:jc w:val="both"/>
              <w:rPr>
                <w:rFonts w:ascii="Times New Roman" w:hAnsi="Times New Roman" w:cs="Times New Roman"/>
                <w:sz w:val="20"/>
                <w:szCs w:val="20"/>
                <w:lang w:bidi="ar-EG"/>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16(61.5%)</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10(38.5%)</w:t>
            </w:r>
          </w:p>
          <w:p w:rsidR="00D76FD7" w:rsidRPr="000973FD" w:rsidRDefault="00D76FD7" w:rsidP="001E53F5">
            <w:pPr>
              <w:bidi w:val="0"/>
              <w:snapToGrid w:val="0"/>
              <w:jc w:val="both"/>
              <w:rPr>
                <w:rFonts w:ascii="Times New Roman" w:hAnsi="Times New Roman" w:cs="Times New Roman"/>
                <w:sz w:val="20"/>
                <w:szCs w:val="20"/>
                <w:lang w:bidi="ar-EG"/>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17(65.4%)</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6(23.1%)</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3(11.5%)</w:t>
            </w:r>
          </w:p>
          <w:p w:rsidR="00D76FD7" w:rsidRPr="000973FD" w:rsidRDefault="00D76FD7" w:rsidP="001E53F5">
            <w:pPr>
              <w:bidi w:val="0"/>
              <w:snapToGrid w:val="0"/>
              <w:jc w:val="both"/>
              <w:rPr>
                <w:rFonts w:ascii="Times New Roman" w:hAnsi="Times New Roman" w:cs="Times New Roman"/>
                <w:sz w:val="20"/>
                <w:szCs w:val="20"/>
                <w:lang w:bidi="ar-EG"/>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2(7.7%)</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9(34.6%)</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15(57.7%)</w:t>
            </w:r>
          </w:p>
          <w:p w:rsidR="00D76FD7" w:rsidRPr="000973FD" w:rsidRDefault="00D76FD7" w:rsidP="001E53F5">
            <w:pPr>
              <w:bidi w:val="0"/>
              <w:snapToGrid w:val="0"/>
              <w:jc w:val="both"/>
              <w:rPr>
                <w:rFonts w:ascii="Times New Roman" w:hAnsi="Times New Roman" w:cs="Times New Roman"/>
                <w:sz w:val="20"/>
                <w:szCs w:val="20"/>
                <w:lang w:bidi="ar-EG"/>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1(3.84%)</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1(3.84%)</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10(38.47%)</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14(53.85%)</w:t>
            </w:r>
          </w:p>
          <w:p w:rsidR="00D76FD7" w:rsidRPr="000973FD" w:rsidRDefault="00D76FD7" w:rsidP="001E53F5">
            <w:pPr>
              <w:bidi w:val="0"/>
              <w:snapToGrid w:val="0"/>
              <w:jc w:val="both"/>
              <w:rPr>
                <w:rFonts w:ascii="Times New Roman" w:hAnsi="Times New Roman" w:cs="Times New Roman"/>
                <w:sz w:val="20"/>
                <w:szCs w:val="20"/>
                <w:lang w:bidi="ar-EG"/>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0(0.0%)</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11(422.3%)</w:t>
            </w: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15(57.7%)</w:t>
            </w:r>
          </w:p>
        </w:tc>
        <w:tc>
          <w:tcPr>
            <w:tcW w:w="724" w:type="pct"/>
            <w:tcBorders>
              <w:top w:val="single" w:sz="18" w:space="0" w:color="auto"/>
            </w:tcBorders>
            <w:vAlign w:val="center"/>
          </w:tcPr>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w:t>
            </w:r>
            <w:r w:rsidRPr="000973FD">
              <w:rPr>
                <w:rFonts w:ascii="Times New Roman" w:hAnsi="Times New Roman" w:cs="Times New Roman"/>
                <w:color w:val="000000"/>
                <w:sz w:val="20"/>
                <w:szCs w:val="20"/>
              </w:rPr>
              <w:t>0.81$</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P=0.804</w:t>
            </w:r>
            <w:r w:rsidRPr="000973FD">
              <w:rPr>
                <w:rFonts w:ascii="Times New Roman" w:hAnsi="Times New Roman" w:cs="Times New Roman"/>
                <w:color w:val="000000"/>
                <w:sz w:val="20"/>
                <w:szCs w:val="20"/>
              </w:rPr>
              <w:t>*</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P=0.014</w:t>
            </w:r>
            <w:r w:rsidRPr="000973FD">
              <w:rPr>
                <w:rFonts w:ascii="Times New Roman" w:hAnsi="Times New Roman" w:cs="Times New Roman"/>
                <w:b/>
                <w:bCs/>
                <w:sz w:val="20"/>
                <w:szCs w:val="20"/>
              </w:rPr>
              <w:t>**</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P=0.253</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P=0.003</w:t>
            </w:r>
            <w:r w:rsidRPr="000973FD">
              <w:rPr>
                <w:rFonts w:ascii="Times New Roman" w:hAnsi="Times New Roman" w:cs="Times New Roman"/>
                <w:b/>
                <w:bCs/>
                <w:sz w:val="20"/>
                <w:szCs w:val="20"/>
              </w:rPr>
              <w:t>**</w:t>
            </w: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p>
          <w:p w:rsidR="00D76FD7" w:rsidRPr="000973FD" w:rsidRDefault="00D76FD7"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P=0.003</w:t>
            </w:r>
            <w:r w:rsidRPr="000973FD">
              <w:rPr>
                <w:rFonts w:ascii="Times New Roman" w:hAnsi="Times New Roman" w:cs="Times New Roman"/>
                <w:b/>
                <w:bCs/>
                <w:sz w:val="20"/>
                <w:szCs w:val="20"/>
              </w:rPr>
              <w:t>**</w:t>
            </w:r>
          </w:p>
        </w:tc>
      </w:tr>
    </w:tbl>
    <w:p w:rsidR="00C212A9" w:rsidRPr="000973FD" w:rsidRDefault="003C229C" w:rsidP="001E53F5">
      <w:pPr>
        <w:bidi w:val="0"/>
        <w:snapToGrid w:val="0"/>
        <w:spacing w:after="0" w:line="240" w:lineRule="auto"/>
        <w:jc w:val="both"/>
        <w:rPr>
          <w:rFonts w:ascii="Times New Roman" w:eastAsia="Calibri" w:hAnsi="Times New Roman" w:cs="Times New Roman"/>
          <w:sz w:val="20"/>
          <w:szCs w:val="20"/>
          <w:lang w:bidi="ar-EG"/>
        </w:rPr>
      </w:pPr>
      <w:bookmarkStart w:id="1" w:name="_Hlk534832300"/>
      <w:r w:rsidRPr="000973FD">
        <w:rPr>
          <w:rFonts w:ascii="Times New Roman" w:eastAsia="Calibri" w:hAnsi="Times New Roman" w:cs="Times New Roman"/>
          <w:sz w:val="20"/>
          <w:szCs w:val="20"/>
        </w:rPr>
        <w:t>P</w:t>
      </w:r>
      <w:r w:rsidR="00C212A9" w:rsidRPr="000973FD">
        <w:rPr>
          <w:rFonts w:ascii="Times New Roman" w:eastAsia="Calibri" w:hAnsi="Times New Roman" w:cs="Times New Roman"/>
          <w:sz w:val="20"/>
          <w:szCs w:val="20"/>
        </w:rPr>
        <w:t xml:space="preserve"> value is significant </w:t>
      </w:r>
      <w:r w:rsidR="00C212A9" w:rsidRPr="000973FD">
        <w:rPr>
          <w:rFonts w:ascii="Times New Roman" w:eastAsia="Calibri" w:hAnsi="Times New Roman" w:cs="Times New Roman"/>
          <w:sz w:val="20"/>
          <w:szCs w:val="20"/>
        </w:rPr>
        <w:sym w:font="Symbol" w:char="F0A3"/>
      </w:r>
      <w:r w:rsidR="00C212A9" w:rsidRPr="000973FD">
        <w:rPr>
          <w:rFonts w:ascii="Times New Roman" w:eastAsia="Calibri" w:hAnsi="Times New Roman" w:cs="Times New Roman"/>
          <w:sz w:val="20"/>
          <w:szCs w:val="20"/>
        </w:rPr>
        <w:t>0.05</w:t>
      </w:r>
      <w:bookmarkEnd w:id="1"/>
      <w:r w:rsidR="00C212A9" w:rsidRPr="000973FD">
        <w:rPr>
          <w:rFonts w:ascii="Times New Roman" w:eastAsia="Calibri" w:hAnsi="Times New Roman" w:cs="Times New Roman"/>
          <w:sz w:val="20"/>
          <w:szCs w:val="20"/>
        </w:rPr>
        <w:t>, p value is adjusted.</w:t>
      </w:r>
    </w:p>
    <w:p w:rsidR="008475F3" w:rsidRPr="000973FD" w:rsidRDefault="00C212A9" w:rsidP="001E53F5">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973FD">
        <w:rPr>
          <w:rFonts w:ascii="Times New Roman" w:hAnsi="Times New Roman" w:cs="Times New Roman"/>
          <w:sz w:val="20"/>
          <w:szCs w:val="20"/>
        </w:rPr>
        <w:t xml:space="preserve">*Chi-square test.** </w:t>
      </w:r>
      <w:r w:rsidRPr="000973FD">
        <w:rPr>
          <w:rFonts w:ascii="Times New Roman" w:eastAsia="Calibri" w:hAnsi="Times New Roman" w:cs="Times New Roman"/>
          <w:sz w:val="20"/>
          <w:szCs w:val="20"/>
        </w:rPr>
        <w:t>Fisher's Exact test.</w:t>
      </w:r>
      <w:r w:rsidRPr="000973FD">
        <w:rPr>
          <w:rFonts w:ascii="Times New Roman" w:hAnsi="Times New Roman" w:cs="Times New Roman"/>
          <w:sz w:val="20"/>
          <w:szCs w:val="20"/>
        </w:rPr>
        <w:t>$One-way ANOVA test.</w:t>
      </w:r>
    </w:p>
    <w:p w:rsidR="00A60AA5" w:rsidRPr="000973FD" w:rsidRDefault="00A60AA5" w:rsidP="001E53F5">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A94C7E" w:rsidRDefault="00A94C7E" w:rsidP="001E53F5">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rPr>
      </w:pPr>
    </w:p>
    <w:p w:rsidR="00435684" w:rsidRPr="000973FD" w:rsidRDefault="00435684" w:rsidP="00A94C7E">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0973FD">
        <w:rPr>
          <w:rFonts w:ascii="Times New Roman" w:hAnsi="Times New Roman" w:cs="Times New Roman"/>
          <w:b/>
          <w:bCs/>
          <w:sz w:val="20"/>
          <w:szCs w:val="20"/>
        </w:rPr>
        <w:lastRenderedPageBreak/>
        <w:t>Table (4):</w:t>
      </w:r>
      <w:r w:rsidRPr="000973FD">
        <w:rPr>
          <w:rFonts w:ascii="Times New Roman" w:hAnsi="Times New Roman" w:cs="Times New Roman"/>
          <w:sz w:val="20"/>
          <w:szCs w:val="20"/>
        </w:rPr>
        <w:t xml:space="preserve"> Response in the study group at the end of treatment.</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4563"/>
        <w:gridCol w:w="4911"/>
      </w:tblGrid>
      <w:tr w:rsidR="00435684" w:rsidRPr="000973FD" w:rsidTr="00B4709A">
        <w:trPr>
          <w:jc w:val="center"/>
        </w:trPr>
        <w:tc>
          <w:tcPr>
            <w:tcW w:w="2408" w:type="pct"/>
            <w:tcBorders>
              <w:top w:val="single" w:sz="18" w:space="0" w:color="auto"/>
              <w:left w:val="single" w:sz="18" w:space="0" w:color="auto"/>
              <w:bottom w:val="single" w:sz="18" w:space="0" w:color="auto"/>
              <w:right w:val="single" w:sz="4" w:space="0" w:color="auto"/>
            </w:tcBorders>
            <w:vAlign w:val="center"/>
            <w:hideMark/>
          </w:tcPr>
          <w:p w:rsidR="00435684" w:rsidRPr="000973FD" w:rsidRDefault="00435684"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Response</w:t>
            </w:r>
          </w:p>
        </w:tc>
        <w:tc>
          <w:tcPr>
            <w:tcW w:w="2592" w:type="pct"/>
            <w:tcBorders>
              <w:top w:val="single" w:sz="18" w:space="0" w:color="auto"/>
              <w:left w:val="single" w:sz="4" w:space="0" w:color="auto"/>
              <w:bottom w:val="single" w:sz="18" w:space="0" w:color="auto"/>
              <w:right w:val="single" w:sz="18" w:space="0" w:color="auto"/>
            </w:tcBorders>
            <w:vAlign w:val="center"/>
            <w:hideMark/>
          </w:tcPr>
          <w:p w:rsidR="00435684" w:rsidRPr="000973FD" w:rsidRDefault="00435684"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Number (%)</w:t>
            </w:r>
          </w:p>
        </w:tc>
      </w:tr>
      <w:tr w:rsidR="00435684" w:rsidRPr="000973FD" w:rsidTr="00B4709A">
        <w:trPr>
          <w:jc w:val="center"/>
        </w:trPr>
        <w:tc>
          <w:tcPr>
            <w:tcW w:w="2408" w:type="pct"/>
            <w:tcBorders>
              <w:top w:val="single" w:sz="18" w:space="0" w:color="auto"/>
              <w:left w:val="single" w:sz="18" w:space="0" w:color="auto"/>
              <w:bottom w:val="single" w:sz="18" w:space="0" w:color="auto"/>
              <w:right w:val="single" w:sz="4" w:space="0" w:color="auto"/>
            </w:tcBorders>
            <w:vAlign w:val="center"/>
            <w:hideMark/>
          </w:tcPr>
          <w:p w:rsidR="00435684" w:rsidRPr="000973FD" w:rsidRDefault="00435684" w:rsidP="001E53F5">
            <w:pPr>
              <w:pStyle w:val="ListParagraph"/>
              <w:numPr>
                <w:ilvl w:val="0"/>
                <w:numId w:val="18"/>
              </w:numPr>
              <w:snapToGrid w:val="0"/>
              <w:ind w:left="0" w:firstLine="0"/>
              <w:jc w:val="both"/>
              <w:rPr>
                <w:rFonts w:ascii="Times New Roman" w:hAnsi="Times New Roman" w:cs="Times New Roman"/>
                <w:b/>
                <w:bCs/>
                <w:sz w:val="20"/>
                <w:szCs w:val="20"/>
              </w:rPr>
            </w:pPr>
            <w:r w:rsidRPr="000973FD">
              <w:rPr>
                <w:rFonts w:ascii="Times New Roman" w:hAnsi="Times New Roman" w:cs="Times New Roman"/>
                <w:b/>
                <w:bCs/>
                <w:sz w:val="20"/>
                <w:szCs w:val="20"/>
              </w:rPr>
              <w:t>CR</w:t>
            </w:r>
          </w:p>
          <w:p w:rsidR="00435684" w:rsidRPr="000973FD" w:rsidRDefault="00435684" w:rsidP="001E53F5">
            <w:pPr>
              <w:pStyle w:val="ListParagraph"/>
              <w:numPr>
                <w:ilvl w:val="0"/>
                <w:numId w:val="18"/>
              </w:numPr>
              <w:snapToGrid w:val="0"/>
              <w:ind w:left="0" w:firstLine="0"/>
              <w:jc w:val="both"/>
              <w:rPr>
                <w:rFonts w:ascii="Times New Roman" w:hAnsi="Times New Roman" w:cs="Times New Roman"/>
                <w:b/>
                <w:bCs/>
                <w:sz w:val="20"/>
                <w:szCs w:val="20"/>
              </w:rPr>
            </w:pPr>
            <w:r w:rsidRPr="000973FD">
              <w:rPr>
                <w:rFonts w:ascii="Times New Roman" w:hAnsi="Times New Roman" w:cs="Times New Roman"/>
                <w:b/>
                <w:bCs/>
                <w:sz w:val="20"/>
                <w:szCs w:val="20"/>
              </w:rPr>
              <w:t>PR</w:t>
            </w:r>
          </w:p>
          <w:p w:rsidR="00435684" w:rsidRPr="000973FD" w:rsidRDefault="00435684" w:rsidP="001E53F5">
            <w:pPr>
              <w:pStyle w:val="ListParagraph"/>
              <w:numPr>
                <w:ilvl w:val="0"/>
                <w:numId w:val="19"/>
              </w:numPr>
              <w:snapToGrid w:val="0"/>
              <w:ind w:left="0" w:firstLine="0"/>
              <w:jc w:val="both"/>
              <w:rPr>
                <w:rFonts w:ascii="Times New Roman" w:hAnsi="Times New Roman" w:cs="Times New Roman"/>
                <w:b/>
                <w:bCs/>
                <w:sz w:val="20"/>
                <w:szCs w:val="20"/>
              </w:rPr>
            </w:pPr>
            <w:r w:rsidRPr="000973FD">
              <w:rPr>
                <w:rFonts w:ascii="Times New Roman" w:hAnsi="Times New Roman" w:cs="Times New Roman"/>
                <w:b/>
                <w:bCs/>
                <w:sz w:val="20"/>
                <w:szCs w:val="20"/>
              </w:rPr>
              <w:t>SD</w:t>
            </w:r>
          </w:p>
        </w:tc>
        <w:tc>
          <w:tcPr>
            <w:tcW w:w="2592" w:type="pct"/>
            <w:tcBorders>
              <w:top w:val="single" w:sz="18" w:space="0" w:color="auto"/>
              <w:left w:val="single" w:sz="4" w:space="0" w:color="auto"/>
              <w:bottom w:val="single" w:sz="18" w:space="0" w:color="auto"/>
              <w:right w:val="single" w:sz="18" w:space="0" w:color="auto"/>
            </w:tcBorders>
            <w:vAlign w:val="center"/>
            <w:hideMark/>
          </w:tcPr>
          <w:p w:rsidR="00435684" w:rsidRPr="000973FD" w:rsidRDefault="00435684"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17(24.3%)</w:t>
            </w:r>
          </w:p>
          <w:p w:rsidR="00435684" w:rsidRPr="000973FD" w:rsidRDefault="00435684"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21(30.0%)</w:t>
            </w:r>
          </w:p>
          <w:p w:rsidR="00435684" w:rsidRPr="000973FD" w:rsidRDefault="00435684"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32(45.7%)</w:t>
            </w:r>
          </w:p>
        </w:tc>
      </w:tr>
    </w:tbl>
    <w:p w:rsidR="00A60AA5" w:rsidRPr="000973FD" w:rsidRDefault="00A60AA5" w:rsidP="001E53F5">
      <w:pPr>
        <w:bidi w:val="0"/>
        <w:snapToGrid w:val="0"/>
        <w:spacing w:after="0" w:line="240" w:lineRule="auto"/>
        <w:jc w:val="center"/>
        <w:rPr>
          <w:rFonts w:ascii="Times New Roman" w:hAnsi="Times New Roman" w:cs="Times New Roman"/>
          <w:b/>
          <w:bCs/>
          <w:sz w:val="20"/>
          <w:szCs w:val="20"/>
        </w:rPr>
      </w:pPr>
    </w:p>
    <w:p w:rsidR="00783CF1" w:rsidRPr="000973FD" w:rsidRDefault="00783CF1"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sz w:val="20"/>
          <w:szCs w:val="20"/>
        </w:rPr>
        <w:t>Table (5):</w:t>
      </w:r>
      <w:r w:rsidRPr="000973FD">
        <w:rPr>
          <w:rFonts w:ascii="Times New Roman" w:hAnsi="Times New Roman" w:cs="Times New Roman"/>
          <w:sz w:val="20"/>
          <w:szCs w:val="20"/>
        </w:rPr>
        <w:t xml:space="preserve"> Relation between NAR score and response in study group.</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1864"/>
        <w:gridCol w:w="4002"/>
        <w:gridCol w:w="1999"/>
        <w:gridCol w:w="1609"/>
      </w:tblGrid>
      <w:tr w:rsidR="00783CF1" w:rsidRPr="000973FD" w:rsidTr="00B4709A">
        <w:trPr>
          <w:jc w:val="center"/>
        </w:trPr>
        <w:tc>
          <w:tcPr>
            <w:tcW w:w="984" w:type="pct"/>
            <w:tcBorders>
              <w:top w:val="single" w:sz="18" w:space="0" w:color="auto"/>
              <w:left w:val="single" w:sz="18" w:space="0" w:color="auto"/>
              <w:bottom w:val="single" w:sz="18" w:space="0" w:color="auto"/>
              <w:right w:val="single" w:sz="4" w:space="0" w:color="auto"/>
            </w:tcBorders>
            <w:vAlign w:val="center"/>
            <w:hideMark/>
          </w:tcPr>
          <w:p w:rsidR="00783CF1" w:rsidRPr="000973FD" w:rsidRDefault="00783CF1" w:rsidP="001E53F5">
            <w:pPr>
              <w:pStyle w:val="ListParagraph"/>
              <w:snapToGrid w:val="0"/>
              <w:ind w:left="0"/>
              <w:jc w:val="both"/>
              <w:rPr>
                <w:rFonts w:ascii="Times New Roman" w:hAnsi="Times New Roman" w:cs="Times New Roman"/>
                <w:b/>
                <w:bCs/>
                <w:sz w:val="20"/>
                <w:szCs w:val="20"/>
              </w:rPr>
            </w:pPr>
            <w:r w:rsidRPr="000973FD">
              <w:rPr>
                <w:rFonts w:ascii="Times New Roman" w:hAnsi="Times New Roman" w:cs="Times New Roman"/>
                <w:b/>
                <w:bCs/>
                <w:sz w:val="20"/>
                <w:szCs w:val="20"/>
              </w:rPr>
              <w:t>Response</w:t>
            </w:r>
          </w:p>
        </w:tc>
        <w:tc>
          <w:tcPr>
            <w:tcW w:w="2112" w:type="pct"/>
            <w:tcBorders>
              <w:top w:val="single" w:sz="18" w:space="0" w:color="auto"/>
              <w:left w:val="single" w:sz="4" w:space="0" w:color="auto"/>
              <w:bottom w:val="single" w:sz="18" w:space="0" w:color="auto"/>
              <w:right w:val="single" w:sz="4" w:space="0" w:color="auto"/>
            </w:tcBorders>
            <w:vAlign w:val="center"/>
            <w:hideMark/>
          </w:tcPr>
          <w:p w:rsidR="00783CF1" w:rsidRPr="000973FD" w:rsidRDefault="00783CF1"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Median of NAR score</w:t>
            </w:r>
          </w:p>
        </w:tc>
        <w:tc>
          <w:tcPr>
            <w:tcW w:w="1055" w:type="pct"/>
            <w:tcBorders>
              <w:top w:val="single" w:sz="18" w:space="0" w:color="auto"/>
              <w:left w:val="single" w:sz="4" w:space="0" w:color="auto"/>
              <w:bottom w:val="single" w:sz="18" w:space="0" w:color="auto"/>
              <w:right w:val="single" w:sz="4" w:space="0" w:color="auto"/>
            </w:tcBorders>
            <w:vAlign w:val="center"/>
            <w:hideMark/>
          </w:tcPr>
          <w:p w:rsidR="00783CF1" w:rsidRPr="000973FD" w:rsidRDefault="00783CF1"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Range</w:t>
            </w:r>
          </w:p>
        </w:tc>
        <w:tc>
          <w:tcPr>
            <w:tcW w:w="849" w:type="pct"/>
            <w:tcBorders>
              <w:top w:val="single" w:sz="18" w:space="0" w:color="auto"/>
              <w:left w:val="single" w:sz="4" w:space="0" w:color="auto"/>
              <w:bottom w:val="single" w:sz="18" w:space="0" w:color="auto"/>
              <w:right w:val="single" w:sz="18" w:space="0" w:color="auto"/>
            </w:tcBorders>
            <w:vAlign w:val="center"/>
            <w:hideMark/>
          </w:tcPr>
          <w:p w:rsidR="00783CF1" w:rsidRPr="000973FD" w:rsidRDefault="00783CF1"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P-value</w:t>
            </w:r>
          </w:p>
        </w:tc>
      </w:tr>
      <w:tr w:rsidR="00783CF1" w:rsidRPr="000973FD" w:rsidTr="00B4709A">
        <w:trPr>
          <w:jc w:val="center"/>
        </w:trPr>
        <w:tc>
          <w:tcPr>
            <w:tcW w:w="984" w:type="pct"/>
            <w:tcBorders>
              <w:top w:val="single" w:sz="18" w:space="0" w:color="auto"/>
              <w:left w:val="single" w:sz="18" w:space="0" w:color="auto"/>
              <w:bottom w:val="single" w:sz="18" w:space="0" w:color="auto"/>
              <w:right w:val="single" w:sz="4" w:space="0" w:color="auto"/>
            </w:tcBorders>
            <w:vAlign w:val="center"/>
            <w:hideMark/>
          </w:tcPr>
          <w:p w:rsidR="00783CF1" w:rsidRPr="000973FD" w:rsidRDefault="00783CF1" w:rsidP="001E53F5">
            <w:pPr>
              <w:pStyle w:val="ListParagraph"/>
              <w:snapToGrid w:val="0"/>
              <w:ind w:left="0"/>
              <w:jc w:val="both"/>
              <w:rPr>
                <w:rFonts w:ascii="Times New Roman" w:hAnsi="Times New Roman" w:cs="Times New Roman"/>
                <w:sz w:val="20"/>
                <w:szCs w:val="20"/>
              </w:rPr>
            </w:pPr>
            <w:r w:rsidRPr="000973FD">
              <w:rPr>
                <w:rFonts w:ascii="Times New Roman" w:hAnsi="Times New Roman" w:cs="Times New Roman"/>
                <w:sz w:val="20"/>
                <w:szCs w:val="20"/>
              </w:rPr>
              <w:t>CR</w:t>
            </w:r>
          </w:p>
          <w:p w:rsidR="00783CF1" w:rsidRPr="000973FD" w:rsidRDefault="00783CF1" w:rsidP="001E53F5">
            <w:pPr>
              <w:pStyle w:val="ListParagraph"/>
              <w:snapToGrid w:val="0"/>
              <w:ind w:left="0"/>
              <w:jc w:val="both"/>
              <w:rPr>
                <w:rFonts w:ascii="Times New Roman" w:hAnsi="Times New Roman" w:cs="Times New Roman"/>
                <w:sz w:val="20"/>
                <w:szCs w:val="20"/>
              </w:rPr>
            </w:pPr>
            <w:r w:rsidRPr="000973FD">
              <w:rPr>
                <w:rFonts w:ascii="Times New Roman" w:hAnsi="Times New Roman" w:cs="Times New Roman"/>
                <w:sz w:val="20"/>
                <w:szCs w:val="20"/>
              </w:rPr>
              <w:t>PR</w:t>
            </w:r>
          </w:p>
          <w:p w:rsidR="00783CF1" w:rsidRPr="000973FD" w:rsidRDefault="00783CF1" w:rsidP="001E53F5">
            <w:pPr>
              <w:pStyle w:val="ListParagraph"/>
              <w:snapToGrid w:val="0"/>
              <w:ind w:left="0"/>
              <w:jc w:val="both"/>
              <w:rPr>
                <w:rFonts w:ascii="Times New Roman" w:hAnsi="Times New Roman" w:cs="Times New Roman"/>
                <w:sz w:val="20"/>
                <w:szCs w:val="20"/>
              </w:rPr>
            </w:pPr>
            <w:r w:rsidRPr="000973FD">
              <w:rPr>
                <w:rFonts w:ascii="Times New Roman" w:hAnsi="Times New Roman" w:cs="Times New Roman"/>
                <w:sz w:val="20"/>
                <w:szCs w:val="20"/>
              </w:rPr>
              <w:t>SD</w:t>
            </w:r>
          </w:p>
        </w:tc>
        <w:tc>
          <w:tcPr>
            <w:tcW w:w="2112" w:type="pct"/>
            <w:tcBorders>
              <w:top w:val="single" w:sz="18" w:space="0" w:color="auto"/>
              <w:left w:val="single" w:sz="4" w:space="0" w:color="auto"/>
              <w:bottom w:val="single" w:sz="18" w:space="0" w:color="auto"/>
              <w:right w:val="single" w:sz="4" w:space="0" w:color="auto"/>
            </w:tcBorders>
            <w:vAlign w:val="center"/>
            <w:hideMark/>
          </w:tcPr>
          <w:p w:rsidR="00783CF1" w:rsidRPr="000973FD" w:rsidRDefault="00783CF1"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0.90</w:t>
            </w:r>
          </w:p>
          <w:p w:rsidR="00783CF1" w:rsidRPr="000973FD" w:rsidRDefault="00783CF1"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8.43</w:t>
            </w:r>
          </w:p>
          <w:p w:rsidR="00783CF1" w:rsidRPr="000973FD" w:rsidRDefault="00783CF1"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30.07</w:t>
            </w:r>
          </w:p>
        </w:tc>
        <w:tc>
          <w:tcPr>
            <w:tcW w:w="1055" w:type="pct"/>
            <w:tcBorders>
              <w:top w:val="single" w:sz="18" w:space="0" w:color="auto"/>
              <w:left w:val="single" w:sz="4" w:space="0" w:color="auto"/>
              <w:bottom w:val="single" w:sz="18" w:space="0" w:color="auto"/>
              <w:right w:val="single" w:sz="4" w:space="0" w:color="auto"/>
            </w:tcBorders>
            <w:vAlign w:val="center"/>
            <w:hideMark/>
          </w:tcPr>
          <w:p w:rsidR="00783CF1" w:rsidRPr="000973FD" w:rsidRDefault="00783CF1"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0-3.75</w:t>
            </w:r>
          </w:p>
          <w:p w:rsidR="00783CF1" w:rsidRPr="000973FD" w:rsidRDefault="00783CF1" w:rsidP="001E53F5">
            <w:pPr>
              <w:bidi w:val="0"/>
              <w:snapToGrid w:val="0"/>
              <w:jc w:val="both"/>
              <w:rPr>
                <w:rFonts w:ascii="Times New Roman" w:hAnsi="Times New Roman" w:cs="Times New Roman"/>
                <w:sz w:val="20"/>
                <w:szCs w:val="20"/>
              </w:rPr>
            </w:pPr>
            <w:r w:rsidRPr="000973FD">
              <w:rPr>
                <w:rFonts w:ascii="Times New Roman" w:hAnsi="Times New Roman" w:cs="Times New Roman"/>
                <w:sz w:val="20"/>
                <w:szCs w:val="20"/>
              </w:rPr>
              <w:t>3.70-20.40</w:t>
            </w:r>
          </w:p>
          <w:p w:rsidR="00783CF1" w:rsidRPr="000973FD" w:rsidRDefault="00783CF1"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0-50.36</w:t>
            </w:r>
          </w:p>
        </w:tc>
        <w:tc>
          <w:tcPr>
            <w:tcW w:w="849" w:type="pct"/>
            <w:tcBorders>
              <w:top w:val="single" w:sz="18" w:space="0" w:color="auto"/>
              <w:left w:val="single" w:sz="4" w:space="0" w:color="auto"/>
              <w:bottom w:val="single" w:sz="18" w:space="0" w:color="auto"/>
              <w:right w:val="single" w:sz="18" w:space="0" w:color="auto"/>
            </w:tcBorders>
            <w:vAlign w:val="center"/>
          </w:tcPr>
          <w:p w:rsidR="00783CF1" w:rsidRPr="000973FD" w:rsidRDefault="00783CF1" w:rsidP="001E53F5">
            <w:pPr>
              <w:bidi w:val="0"/>
              <w:snapToGrid w:val="0"/>
              <w:jc w:val="both"/>
              <w:rPr>
                <w:rFonts w:ascii="Times New Roman" w:eastAsia="Times New Roman" w:hAnsi="Times New Roman" w:cs="Times New Roman"/>
                <w:sz w:val="20"/>
                <w:szCs w:val="20"/>
                <w:lang w:val="en-AU"/>
              </w:rPr>
            </w:pPr>
          </w:p>
          <w:p w:rsidR="00783CF1" w:rsidRPr="000973FD" w:rsidRDefault="00783CF1" w:rsidP="001E53F5">
            <w:pPr>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P&lt;0.003</w:t>
            </w:r>
          </w:p>
        </w:tc>
      </w:tr>
    </w:tbl>
    <w:p w:rsidR="00A60AA5" w:rsidRPr="000973FD" w:rsidRDefault="00A60AA5" w:rsidP="001E53F5">
      <w:pPr>
        <w:bidi w:val="0"/>
        <w:snapToGrid w:val="0"/>
        <w:spacing w:after="0" w:line="240" w:lineRule="auto"/>
        <w:jc w:val="center"/>
        <w:rPr>
          <w:rFonts w:ascii="Times New Roman" w:hAnsi="Times New Roman" w:cs="Times New Roman"/>
          <w:b/>
          <w:bCs/>
          <w:sz w:val="20"/>
          <w:szCs w:val="20"/>
        </w:rPr>
      </w:pPr>
    </w:p>
    <w:p w:rsidR="006E4443" w:rsidRPr="000973FD" w:rsidRDefault="00F1358C"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sz w:val="20"/>
          <w:szCs w:val="20"/>
        </w:rPr>
        <w:t>Table (6):</w:t>
      </w:r>
      <w:r w:rsidRPr="000973FD">
        <w:rPr>
          <w:rFonts w:ascii="Times New Roman" w:hAnsi="Times New Roman" w:cs="Times New Roman"/>
          <w:sz w:val="20"/>
          <w:szCs w:val="20"/>
        </w:rPr>
        <w:t xml:space="preserve"> Correlation between NAR score, DFS and OS in study group.</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2332"/>
        <w:gridCol w:w="3519"/>
        <w:gridCol w:w="3623"/>
      </w:tblGrid>
      <w:tr w:rsidR="00F1358C" w:rsidRPr="000973FD" w:rsidTr="00B4709A">
        <w:trPr>
          <w:jc w:val="center"/>
        </w:trPr>
        <w:tc>
          <w:tcPr>
            <w:tcW w:w="1231" w:type="pct"/>
            <w:vMerge w:val="restart"/>
            <w:tcBorders>
              <w:top w:val="single" w:sz="18" w:space="0" w:color="auto"/>
              <w:left w:val="single" w:sz="18" w:space="0" w:color="auto"/>
              <w:bottom w:val="single" w:sz="18" w:space="0" w:color="auto"/>
              <w:right w:val="single" w:sz="4"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Item</w:t>
            </w:r>
          </w:p>
        </w:tc>
        <w:tc>
          <w:tcPr>
            <w:tcW w:w="3769" w:type="pct"/>
            <w:gridSpan w:val="2"/>
            <w:tcBorders>
              <w:top w:val="single" w:sz="18" w:space="0" w:color="auto"/>
              <w:left w:val="single" w:sz="4" w:space="0" w:color="auto"/>
              <w:bottom w:val="single" w:sz="4" w:space="0" w:color="auto"/>
              <w:right w:val="single" w:sz="18"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color w:val="000000"/>
                <w:sz w:val="20"/>
                <w:szCs w:val="20"/>
              </w:rPr>
              <w:t>NAR score</w:t>
            </w:r>
          </w:p>
        </w:tc>
      </w:tr>
      <w:tr w:rsidR="00F1358C" w:rsidRPr="000973FD" w:rsidTr="00B4709A">
        <w:trPr>
          <w:jc w:val="center"/>
        </w:trPr>
        <w:tc>
          <w:tcPr>
            <w:tcW w:w="1231" w:type="pct"/>
            <w:vMerge/>
            <w:tcBorders>
              <w:top w:val="single" w:sz="18" w:space="0" w:color="auto"/>
              <w:left w:val="single" w:sz="18" w:space="0" w:color="auto"/>
              <w:bottom w:val="single" w:sz="18" w:space="0" w:color="auto"/>
              <w:right w:val="single" w:sz="4" w:space="0" w:color="auto"/>
            </w:tcBorders>
            <w:vAlign w:val="center"/>
            <w:hideMark/>
          </w:tcPr>
          <w:p w:rsidR="00F1358C" w:rsidRPr="000973FD" w:rsidRDefault="00F1358C" w:rsidP="001E53F5">
            <w:pPr>
              <w:bidi w:val="0"/>
              <w:snapToGrid w:val="0"/>
              <w:jc w:val="both"/>
              <w:rPr>
                <w:rFonts w:ascii="Times New Roman" w:eastAsia="Times New Roman" w:hAnsi="Times New Roman" w:cs="Times New Roman"/>
                <w:b/>
                <w:bCs/>
                <w:sz w:val="20"/>
                <w:szCs w:val="20"/>
                <w:lang w:val="en-AU"/>
              </w:rPr>
            </w:pPr>
          </w:p>
        </w:tc>
        <w:tc>
          <w:tcPr>
            <w:tcW w:w="1857" w:type="pct"/>
            <w:tcBorders>
              <w:top w:val="single" w:sz="4" w:space="0" w:color="auto"/>
              <w:left w:val="single" w:sz="4" w:space="0" w:color="auto"/>
              <w:bottom w:val="single" w:sz="18" w:space="0" w:color="auto"/>
              <w:right w:val="single" w:sz="4"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r- value</w:t>
            </w:r>
          </w:p>
        </w:tc>
        <w:tc>
          <w:tcPr>
            <w:tcW w:w="1912" w:type="pct"/>
            <w:tcBorders>
              <w:top w:val="single" w:sz="4" w:space="0" w:color="auto"/>
              <w:left w:val="single" w:sz="4" w:space="0" w:color="auto"/>
              <w:bottom w:val="single" w:sz="18" w:space="0" w:color="auto"/>
              <w:right w:val="single" w:sz="18"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p- value</w:t>
            </w:r>
          </w:p>
        </w:tc>
      </w:tr>
      <w:tr w:rsidR="00F1358C" w:rsidRPr="000973FD" w:rsidTr="00B4709A">
        <w:trPr>
          <w:jc w:val="center"/>
        </w:trPr>
        <w:tc>
          <w:tcPr>
            <w:tcW w:w="1231" w:type="pct"/>
            <w:tcBorders>
              <w:top w:val="single" w:sz="18" w:space="0" w:color="auto"/>
              <w:left w:val="single" w:sz="18" w:space="0" w:color="auto"/>
              <w:bottom w:val="single" w:sz="4" w:space="0" w:color="auto"/>
              <w:right w:val="single" w:sz="4" w:space="0" w:color="auto"/>
            </w:tcBorders>
            <w:vAlign w:val="center"/>
            <w:hideMark/>
          </w:tcPr>
          <w:p w:rsidR="00F1358C" w:rsidRPr="000973FD" w:rsidRDefault="00F1358C"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OS</w:t>
            </w:r>
          </w:p>
        </w:tc>
        <w:tc>
          <w:tcPr>
            <w:tcW w:w="1857" w:type="pct"/>
            <w:tcBorders>
              <w:top w:val="single" w:sz="18" w:space="0" w:color="auto"/>
              <w:left w:val="single" w:sz="4" w:space="0" w:color="auto"/>
              <w:bottom w:val="single" w:sz="4" w:space="0" w:color="auto"/>
              <w:right w:val="single" w:sz="4"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-0.806</w:t>
            </w:r>
          </w:p>
        </w:tc>
        <w:tc>
          <w:tcPr>
            <w:tcW w:w="1912" w:type="pct"/>
            <w:tcBorders>
              <w:top w:val="single" w:sz="18" w:space="0" w:color="auto"/>
              <w:left w:val="single" w:sz="4" w:space="0" w:color="auto"/>
              <w:bottom w:val="single" w:sz="4" w:space="0" w:color="auto"/>
              <w:right w:val="single" w:sz="18"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0.003*</w:t>
            </w:r>
          </w:p>
        </w:tc>
      </w:tr>
      <w:tr w:rsidR="00F1358C" w:rsidRPr="000973FD" w:rsidTr="00B4709A">
        <w:trPr>
          <w:jc w:val="center"/>
        </w:trPr>
        <w:tc>
          <w:tcPr>
            <w:tcW w:w="1231" w:type="pct"/>
            <w:tcBorders>
              <w:top w:val="single" w:sz="4" w:space="0" w:color="auto"/>
              <w:left w:val="single" w:sz="18" w:space="0" w:color="auto"/>
              <w:bottom w:val="single" w:sz="18" w:space="0" w:color="auto"/>
              <w:right w:val="single" w:sz="4" w:space="0" w:color="auto"/>
            </w:tcBorders>
            <w:vAlign w:val="center"/>
            <w:hideMark/>
          </w:tcPr>
          <w:p w:rsidR="00F1358C" w:rsidRPr="000973FD" w:rsidRDefault="00F1358C" w:rsidP="001E53F5">
            <w:pPr>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DFS</w:t>
            </w:r>
          </w:p>
        </w:tc>
        <w:tc>
          <w:tcPr>
            <w:tcW w:w="1857" w:type="pct"/>
            <w:tcBorders>
              <w:top w:val="single" w:sz="4" w:space="0" w:color="auto"/>
              <w:left w:val="single" w:sz="4" w:space="0" w:color="auto"/>
              <w:bottom w:val="single" w:sz="18" w:space="0" w:color="auto"/>
              <w:right w:val="single" w:sz="4"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-0.699</w:t>
            </w:r>
          </w:p>
        </w:tc>
        <w:tc>
          <w:tcPr>
            <w:tcW w:w="1912" w:type="pct"/>
            <w:tcBorders>
              <w:top w:val="single" w:sz="4" w:space="0" w:color="auto"/>
              <w:left w:val="single" w:sz="4" w:space="0" w:color="auto"/>
              <w:bottom w:val="single" w:sz="18" w:space="0" w:color="auto"/>
              <w:right w:val="single" w:sz="18" w:space="0" w:color="auto"/>
            </w:tcBorders>
            <w:vAlign w:val="center"/>
            <w:hideMark/>
          </w:tcPr>
          <w:p w:rsidR="00F1358C" w:rsidRPr="000973FD" w:rsidRDefault="00F1358C" w:rsidP="001E53F5">
            <w:pPr>
              <w:tabs>
                <w:tab w:val="left" w:pos="5415"/>
              </w:tabs>
              <w:bidi w:val="0"/>
              <w:snapToGrid w:val="0"/>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0.003*</w:t>
            </w:r>
          </w:p>
        </w:tc>
      </w:tr>
    </w:tbl>
    <w:p w:rsidR="00A60AA5" w:rsidRPr="000973FD" w:rsidRDefault="00A60AA5" w:rsidP="001E53F5">
      <w:pPr>
        <w:bidi w:val="0"/>
        <w:snapToGrid w:val="0"/>
        <w:spacing w:after="0" w:line="240" w:lineRule="auto"/>
        <w:jc w:val="center"/>
        <w:rPr>
          <w:rFonts w:ascii="Times New Roman" w:hAnsi="Times New Roman" w:cs="Times New Roman"/>
          <w:b/>
          <w:bCs/>
          <w:color w:val="000000"/>
          <w:sz w:val="20"/>
          <w:szCs w:val="20"/>
        </w:rPr>
      </w:pPr>
    </w:p>
    <w:p w:rsidR="00F1358C" w:rsidRPr="000973FD" w:rsidRDefault="0063392B"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color w:val="000000"/>
          <w:sz w:val="20"/>
          <w:szCs w:val="20"/>
        </w:rPr>
        <w:t>Table (7):</w:t>
      </w:r>
      <w:r w:rsidRPr="000973FD">
        <w:rPr>
          <w:rFonts w:ascii="Times New Roman" w:hAnsi="Times New Roman" w:cs="Times New Roman"/>
          <w:color w:val="000000"/>
          <w:sz w:val="20"/>
          <w:szCs w:val="20"/>
        </w:rPr>
        <w:t xml:space="preserve"> Pairwise Comparisons of DFS according to NAR score.</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57" w:type="dxa"/>
          <w:right w:w="57" w:type="dxa"/>
        </w:tblCellMar>
        <w:tblLook w:val="04A0"/>
      </w:tblPr>
      <w:tblGrid>
        <w:gridCol w:w="2237"/>
        <w:gridCol w:w="1223"/>
        <w:gridCol w:w="1200"/>
        <w:gridCol w:w="806"/>
        <w:gridCol w:w="1199"/>
        <w:gridCol w:w="805"/>
        <w:gridCol w:w="1199"/>
        <w:gridCol w:w="805"/>
      </w:tblGrid>
      <w:tr w:rsidR="0063392B" w:rsidRPr="000973FD" w:rsidTr="00B4709A">
        <w:trPr>
          <w:cantSplit/>
          <w:jc w:val="center"/>
        </w:trPr>
        <w:tc>
          <w:tcPr>
            <w:tcW w:w="1180" w:type="pct"/>
            <w:vMerge w:val="restart"/>
            <w:tcBorders>
              <w:top w:val="single" w:sz="18" w:space="0" w:color="auto"/>
              <w:left w:val="single" w:sz="18" w:space="0" w:color="auto"/>
              <w:bottom w:val="single" w:sz="18" w:space="0" w:color="auto"/>
              <w:right w:val="single" w:sz="4" w:space="0" w:color="auto"/>
            </w:tcBorders>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p>
        </w:tc>
        <w:tc>
          <w:tcPr>
            <w:tcW w:w="645" w:type="pct"/>
            <w:vMerge w:val="restart"/>
            <w:tcBorders>
              <w:top w:val="single" w:sz="18"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NAR score</w:t>
            </w:r>
          </w:p>
        </w:tc>
        <w:tc>
          <w:tcPr>
            <w:tcW w:w="1058" w:type="pct"/>
            <w:gridSpan w:val="2"/>
            <w:tcBorders>
              <w:top w:val="single" w:sz="18"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High</w:t>
            </w:r>
          </w:p>
        </w:tc>
        <w:tc>
          <w:tcPr>
            <w:tcW w:w="1058" w:type="pct"/>
            <w:gridSpan w:val="2"/>
            <w:tcBorders>
              <w:top w:val="single" w:sz="18"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Intermediate</w:t>
            </w:r>
          </w:p>
        </w:tc>
        <w:tc>
          <w:tcPr>
            <w:tcW w:w="1058" w:type="pct"/>
            <w:gridSpan w:val="2"/>
            <w:tcBorders>
              <w:top w:val="single" w:sz="18" w:space="0" w:color="auto"/>
              <w:left w:val="single" w:sz="4" w:space="0" w:color="auto"/>
              <w:bottom w:val="single" w:sz="4" w:space="0" w:color="auto"/>
              <w:right w:val="single" w:sz="18"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Low</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63392B" w:rsidRPr="000973FD" w:rsidRDefault="0063392B" w:rsidP="001E53F5">
            <w:pPr>
              <w:bidi w:val="0"/>
              <w:snapToGrid w:val="0"/>
              <w:spacing w:after="0" w:line="240" w:lineRule="auto"/>
              <w:jc w:val="both"/>
              <w:rPr>
                <w:rFonts w:ascii="Times New Roman" w:eastAsia="Times New Roman" w:hAnsi="Times New Roman" w:cs="Times New Roman"/>
                <w:color w:val="000000"/>
                <w:sz w:val="20"/>
                <w:szCs w:val="20"/>
                <w:lang w:val="en-AU"/>
              </w:rPr>
            </w:pPr>
          </w:p>
        </w:tc>
        <w:tc>
          <w:tcPr>
            <w:tcW w:w="645" w:type="pct"/>
            <w:vMerge/>
            <w:tcBorders>
              <w:top w:val="single" w:sz="18" w:space="0" w:color="auto"/>
              <w:left w:val="single" w:sz="4" w:space="0" w:color="auto"/>
              <w:bottom w:val="single" w:sz="18" w:space="0" w:color="auto"/>
              <w:right w:val="single" w:sz="4" w:space="0" w:color="auto"/>
            </w:tcBorders>
            <w:vAlign w:val="center"/>
            <w:hideMark/>
          </w:tcPr>
          <w:p w:rsidR="0063392B" w:rsidRPr="000973FD" w:rsidRDefault="0063392B" w:rsidP="001E53F5">
            <w:pPr>
              <w:bidi w:val="0"/>
              <w:snapToGrid w:val="0"/>
              <w:spacing w:after="0" w:line="240" w:lineRule="auto"/>
              <w:jc w:val="both"/>
              <w:rPr>
                <w:rFonts w:ascii="Times New Roman" w:eastAsia="Times New Roman" w:hAnsi="Times New Roman" w:cs="Times New Roman"/>
                <w:b/>
                <w:bCs/>
                <w:color w:val="000000"/>
                <w:sz w:val="20"/>
                <w:szCs w:val="20"/>
                <w:lang w:val="en-AU"/>
              </w:rPr>
            </w:pP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Chi-Square</w:t>
            </w:r>
          </w:p>
        </w:tc>
        <w:tc>
          <w:tcPr>
            <w:tcW w:w="42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P value</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Chi-Square</w:t>
            </w:r>
          </w:p>
        </w:tc>
        <w:tc>
          <w:tcPr>
            <w:tcW w:w="42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P value</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Chi-Square</w:t>
            </w:r>
          </w:p>
        </w:tc>
        <w:tc>
          <w:tcPr>
            <w:tcW w:w="425" w:type="pct"/>
            <w:tcBorders>
              <w:top w:val="single" w:sz="4" w:space="0" w:color="auto"/>
              <w:left w:val="single" w:sz="4" w:space="0" w:color="auto"/>
              <w:bottom w:val="single" w:sz="18" w:space="0" w:color="auto"/>
              <w:right w:val="single" w:sz="18"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P value</w:t>
            </w:r>
          </w:p>
        </w:tc>
      </w:tr>
      <w:tr w:rsidR="00B4709A" w:rsidRPr="000973FD" w:rsidTr="00B4709A">
        <w:trPr>
          <w:cantSplit/>
          <w:jc w:val="center"/>
        </w:trPr>
        <w:tc>
          <w:tcPr>
            <w:tcW w:w="1180" w:type="pct"/>
            <w:vMerge w:val="restart"/>
            <w:tcBorders>
              <w:top w:val="single" w:sz="18" w:space="0" w:color="auto"/>
              <w:left w:val="single" w:sz="18"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Log Rank (Mantel-Cox)</w:t>
            </w:r>
          </w:p>
        </w:tc>
        <w:tc>
          <w:tcPr>
            <w:tcW w:w="645"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High</w:t>
            </w: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18" w:space="0" w:color="auto"/>
              <w:left w:val="single" w:sz="4" w:space="0" w:color="auto"/>
              <w:bottom w:val="single" w:sz="4" w:space="0" w:color="auto"/>
              <w:right w:val="single" w:sz="4" w:space="0" w:color="auto"/>
            </w:tcBorders>
            <w:shd w:val="pct15"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13.000</w:t>
            </w:r>
          </w:p>
        </w:tc>
        <w:tc>
          <w:tcPr>
            <w:tcW w:w="425" w:type="pct"/>
            <w:tcBorders>
              <w:top w:val="single" w:sz="18" w:space="0" w:color="auto"/>
              <w:left w:val="single" w:sz="4" w:space="0" w:color="auto"/>
              <w:bottom w:val="single" w:sz="4" w:space="0" w:color="auto"/>
              <w:right w:val="single" w:sz="4"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&lt;0.001</w:t>
            </w: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35.922</w:t>
            </w:r>
          </w:p>
        </w:tc>
        <w:tc>
          <w:tcPr>
            <w:tcW w:w="425" w:type="pct"/>
            <w:tcBorders>
              <w:top w:val="single" w:sz="18" w:space="0" w:color="auto"/>
              <w:left w:val="single" w:sz="4" w:space="0" w:color="auto"/>
              <w:bottom w:val="single" w:sz="4" w:space="0" w:color="auto"/>
              <w:right w:val="single" w:sz="18"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&lt;0.001</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63392B" w:rsidRPr="000973FD" w:rsidRDefault="0063392B" w:rsidP="001E53F5">
            <w:pPr>
              <w:bidi w:val="0"/>
              <w:snapToGrid w:val="0"/>
              <w:spacing w:after="0" w:line="240" w:lineRule="auto"/>
              <w:jc w:val="both"/>
              <w:rPr>
                <w:rFonts w:ascii="Times New Roman" w:eastAsia="Times New Roman" w:hAnsi="Times New Roman" w:cs="Times New Roman"/>
                <w:color w:val="000000"/>
                <w:sz w:val="20"/>
                <w:szCs w:val="20"/>
                <w:lang w:val="en-AU"/>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Intermediate</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13.000</w:t>
            </w:r>
          </w:p>
        </w:tc>
        <w:tc>
          <w:tcPr>
            <w:tcW w:w="425"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&lt;0.001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4" w:space="0" w:color="auto"/>
              <w:left w:val="single" w:sz="4" w:space="0" w:color="auto"/>
              <w:bottom w:val="single" w:sz="4" w:space="0" w:color="auto"/>
              <w:right w:val="single" w:sz="4" w:space="0" w:color="auto"/>
            </w:tcBorders>
            <w:shd w:val="pct15"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8.440</w:t>
            </w:r>
          </w:p>
        </w:tc>
        <w:tc>
          <w:tcPr>
            <w:tcW w:w="425" w:type="pct"/>
            <w:tcBorders>
              <w:top w:val="single" w:sz="4" w:space="0" w:color="auto"/>
              <w:left w:val="single" w:sz="4" w:space="0" w:color="auto"/>
              <w:bottom w:val="single" w:sz="4" w:space="0" w:color="auto"/>
              <w:right w:val="single" w:sz="18"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0.012</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63392B" w:rsidRPr="000973FD" w:rsidRDefault="0063392B" w:rsidP="001E53F5">
            <w:pPr>
              <w:bidi w:val="0"/>
              <w:snapToGrid w:val="0"/>
              <w:spacing w:after="0" w:line="240" w:lineRule="auto"/>
              <w:jc w:val="both"/>
              <w:rPr>
                <w:rFonts w:ascii="Times New Roman" w:eastAsia="Times New Roman" w:hAnsi="Times New Roman" w:cs="Times New Roman"/>
                <w:color w:val="000000"/>
                <w:sz w:val="20"/>
                <w:szCs w:val="20"/>
                <w:lang w:val="en-AU"/>
              </w:rPr>
            </w:pPr>
          </w:p>
        </w:tc>
        <w:tc>
          <w:tcPr>
            <w:tcW w:w="64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Low</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35.922</w:t>
            </w:r>
          </w:p>
        </w:tc>
        <w:tc>
          <w:tcPr>
            <w:tcW w:w="425" w:type="pct"/>
            <w:tcBorders>
              <w:top w:val="single" w:sz="4" w:space="0" w:color="auto"/>
              <w:left w:val="single" w:sz="4" w:space="0" w:color="auto"/>
              <w:bottom w:val="single" w:sz="18" w:space="0" w:color="auto"/>
              <w:right w:val="single" w:sz="4"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&lt;0.001</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val="en-AU"/>
              </w:rPr>
            </w:pPr>
            <w:r w:rsidRPr="000973FD">
              <w:rPr>
                <w:rFonts w:ascii="Times New Roman" w:hAnsi="Times New Roman" w:cs="Times New Roman"/>
                <w:color w:val="000000"/>
                <w:sz w:val="20"/>
                <w:szCs w:val="20"/>
              </w:rPr>
              <w:t>8.440</w:t>
            </w:r>
          </w:p>
        </w:tc>
        <w:tc>
          <w:tcPr>
            <w:tcW w:w="425" w:type="pct"/>
            <w:tcBorders>
              <w:top w:val="single" w:sz="4" w:space="0" w:color="auto"/>
              <w:left w:val="single" w:sz="4" w:space="0" w:color="auto"/>
              <w:bottom w:val="single" w:sz="18" w:space="0" w:color="auto"/>
              <w:right w:val="single" w:sz="4" w:space="0" w:color="auto"/>
            </w:tcBorders>
            <w:shd w:val="pct15" w:color="auto" w:fill="FFFFFF"/>
            <w:vAlign w:val="center"/>
            <w:hideMark/>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lang w:val="en-AU"/>
              </w:rPr>
            </w:pPr>
            <w:r w:rsidRPr="000973FD">
              <w:rPr>
                <w:rFonts w:ascii="Times New Roman" w:hAnsi="Times New Roman" w:cs="Times New Roman"/>
                <w:b/>
                <w:bCs/>
                <w:color w:val="000000"/>
                <w:sz w:val="20"/>
                <w:szCs w:val="20"/>
              </w:rPr>
              <w:t>0.012</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4" w:space="0" w:color="auto"/>
              <w:left w:val="single" w:sz="4" w:space="0" w:color="auto"/>
              <w:bottom w:val="single" w:sz="18" w:space="0" w:color="auto"/>
              <w:right w:val="single" w:sz="18" w:space="0" w:color="auto"/>
            </w:tcBorders>
            <w:shd w:val="pct15" w:color="auto" w:fill="FFFFFF"/>
            <w:vAlign w:val="center"/>
          </w:tcPr>
          <w:p w:rsidR="0063392B" w:rsidRPr="000973FD" w:rsidRDefault="0063392B"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r>
    </w:tbl>
    <w:p w:rsidR="001E53F5" w:rsidRPr="000973FD" w:rsidRDefault="001E53F5" w:rsidP="001E53F5">
      <w:pPr>
        <w:bidi w:val="0"/>
        <w:snapToGrid w:val="0"/>
        <w:spacing w:after="0" w:line="240" w:lineRule="auto"/>
        <w:ind w:firstLine="425"/>
        <w:jc w:val="both"/>
        <w:rPr>
          <w:rFonts w:ascii="Times New Roman" w:hAnsi="Times New Roman" w:cs="Times New Roman"/>
          <w:b/>
          <w:bCs/>
          <w:sz w:val="20"/>
          <w:szCs w:val="20"/>
          <w:lang w:eastAsia="zh-CN"/>
        </w:rPr>
      </w:pPr>
    </w:p>
    <w:p w:rsidR="008475F3" w:rsidRPr="000973FD" w:rsidRDefault="008475F3" w:rsidP="001E53F5">
      <w:pPr>
        <w:bidi w:val="0"/>
        <w:snapToGrid w:val="0"/>
        <w:spacing w:after="0" w:line="240" w:lineRule="auto"/>
        <w:jc w:val="center"/>
        <w:rPr>
          <w:rFonts w:ascii="Times New Roman" w:hAnsi="Times New Roman" w:cs="Times New Roman"/>
          <w:b/>
          <w:bCs/>
          <w:sz w:val="20"/>
          <w:szCs w:val="20"/>
        </w:rPr>
      </w:pPr>
      <w:r w:rsidRPr="000973FD">
        <w:rPr>
          <w:rFonts w:ascii="Times New Roman" w:hAnsi="Times New Roman" w:cs="Times New Roman"/>
          <w:b/>
          <w:bCs/>
          <w:sz w:val="20"/>
          <w:szCs w:val="20"/>
        </w:rPr>
        <w:t>Table (8):</w:t>
      </w:r>
      <w:r w:rsidRPr="000973FD">
        <w:rPr>
          <w:rFonts w:ascii="Times New Roman" w:hAnsi="Times New Roman" w:cs="Times New Roman"/>
          <w:sz w:val="20"/>
          <w:szCs w:val="20"/>
        </w:rPr>
        <w:t xml:space="preserve"> Pairwise Comparisons of OS according to NAR score.</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57" w:type="dxa"/>
          <w:right w:w="57" w:type="dxa"/>
        </w:tblCellMar>
        <w:tblLook w:val="04A0"/>
      </w:tblPr>
      <w:tblGrid>
        <w:gridCol w:w="2237"/>
        <w:gridCol w:w="1223"/>
        <w:gridCol w:w="1200"/>
        <w:gridCol w:w="806"/>
        <w:gridCol w:w="1199"/>
        <w:gridCol w:w="805"/>
        <w:gridCol w:w="1199"/>
        <w:gridCol w:w="805"/>
      </w:tblGrid>
      <w:tr w:rsidR="008475F3" w:rsidRPr="000973FD" w:rsidTr="00B4709A">
        <w:trPr>
          <w:cantSplit/>
          <w:jc w:val="center"/>
        </w:trPr>
        <w:tc>
          <w:tcPr>
            <w:tcW w:w="1180" w:type="pct"/>
            <w:vMerge w:val="restart"/>
            <w:tcBorders>
              <w:top w:val="single" w:sz="18" w:space="0" w:color="auto"/>
              <w:left w:val="single" w:sz="18" w:space="0" w:color="auto"/>
              <w:bottom w:val="single" w:sz="18" w:space="0" w:color="auto"/>
              <w:right w:val="single" w:sz="4" w:space="0" w:color="auto"/>
            </w:tcBorders>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645" w:type="pct"/>
            <w:vMerge w:val="restart"/>
            <w:tcBorders>
              <w:top w:val="single" w:sz="18"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NAR score</w:t>
            </w:r>
          </w:p>
        </w:tc>
        <w:tc>
          <w:tcPr>
            <w:tcW w:w="1058" w:type="pct"/>
            <w:gridSpan w:val="2"/>
            <w:tcBorders>
              <w:top w:val="single" w:sz="18"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High</w:t>
            </w:r>
          </w:p>
        </w:tc>
        <w:tc>
          <w:tcPr>
            <w:tcW w:w="1058" w:type="pct"/>
            <w:gridSpan w:val="2"/>
            <w:tcBorders>
              <w:top w:val="single" w:sz="18"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Intermediate</w:t>
            </w:r>
          </w:p>
        </w:tc>
        <w:tc>
          <w:tcPr>
            <w:tcW w:w="1058" w:type="pct"/>
            <w:gridSpan w:val="2"/>
            <w:tcBorders>
              <w:top w:val="single" w:sz="18" w:space="0" w:color="auto"/>
              <w:left w:val="single" w:sz="4" w:space="0" w:color="auto"/>
              <w:bottom w:val="single" w:sz="4" w:space="0" w:color="auto"/>
              <w:right w:val="single" w:sz="18"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Low</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8475F3" w:rsidRPr="000973FD" w:rsidRDefault="008475F3" w:rsidP="001E53F5">
            <w:pPr>
              <w:bidi w:val="0"/>
              <w:snapToGrid w:val="0"/>
              <w:spacing w:after="0" w:line="240" w:lineRule="auto"/>
              <w:jc w:val="both"/>
              <w:rPr>
                <w:rFonts w:ascii="Times New Roman" w:eastAsia="Times New Roman" w:hAnsi="Times New Roman" w:cs="Times New Roman"/>
                <w:sz w:val="20"/>
                <w:szCs w:val="20"/>
                <w:lang w:val="en-AU"/>
              </w:rPr>
            </w:pPr>
          </w:p>
        </w:tc>
        <w:tc>
          <w:tcPr>
            <w:tcW w:w="645" w:type="pct"/>
            <w:vMerge/>
            <w:tcBorders>
              <w:top w:val="single" w:sz="18" w:space="0" w:color="auto"/>
              <w:left w:val="single" w:sz="4" w:space="0" w:color="auto"/>
              <w:bottom w:val="single" w:sz="18" w:space="0" w:color="auto"/>
              <w:right w:val="single" w:sz="4" w:space="0" w:color="auto"/>
            </w:tcBorders>
            <w:vAlign w:val="center"/>
            <w:hideMark/>
          </w:tcPr>
          <w:p w:rsidR="008475F3" w:rsidRPr="000973FD" w:rsidRDefault="008475F3" w:rsidP="001E53F5">
            <w:pPr>
              <w:bidi w:val="0"/>
              <w:snapToGrid w:val="0"/>
              <w:spacing w:after="0" w:line="240" w:lineRule="auto"/>
              <w:jc w:val="both"/>
              <w:rPr>
                <w:rFonts w:ascii="Times New Roman" w:eastAsia="Times New Roman" w:hAnsi="Times New Roman" w:cs="Times New Roman"/>
                <w:b/>
                <w:bCs/>
                <w:sz w:val="20"/>
                <w:szCs w:val="20"/>
                <w:lang w:val="en-AU"/>
              </w:rPr>
            </w:pP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Chi-Square</w:t>
            </w:r>
          </w:p>
        </w:tc>
        <w:tc>
          <w:tcPr>
            <w:tcW w:w="42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P value</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Chi-Square</w:t>
            </w:r>
          </w:p>
        </w:tc>
        <w:tc>
          <w:tcPr>
            <w:tcW w:w="42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P value</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Chi-Square</w:t>
            </w:r>
          </w:p>
        </w:tc>
        <w:tc>
          <w:tcPr>
            <w:tcW w:w="425" w:type="pct"/>
            <w:tcBorders>
              <w:top w:val="single" w:sz="4" w:space="0" w:color="auto"/>
              <w:left w:val="single" w:sz="4" w:space="0" w:color="auto"/>
              <w:bottom w:val="single" w:sz="18" w:space="0" w:color="auto"/>
              <w:right w:val="single" w:sz="18"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P value</w:t>
            </w:r>
          </w:p>
        </w:tc>
      </w:tr>
      <w:tr w:rsidR="00B4709A" w:rsidRPr="000973FD" w:rsidTr="00B4709A">
        <w:trPr>
          <w:cantSplit/>
          <w:jc w:val="center"/>
        </w:trPr>
        <w:tc>
          <w:tcPr>
            <w:tcW w:w="1180" w:type="pct"/>
            <w:vMerge w:val="restart"/>
            <w:tcBorders>
              <w:top w:val="single" w:sz="18" w:space="0" w:color="auto"/>
              <w:left w:val="single" w:sz="18"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Log Rank (Mantel-Cox)</w:t>
            </w:r>
          </w:p>
        </w:tc>
        <w:tc>
          <w:tcPr>
            <w:tcW w:w="645"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High</w:t>
            </w: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18" w:space="0" w:color="auto"/>
              <w:left w:val="single" w:sz="4" w:space="0" w:color="auto"/>
              <w:bottom w:val="single" w:sz="4" w:space="0" w:color="auto"/>
              <w:right w:val="single" w:sz="4" w:space="0" w:color="auto"/>
            </w:tcBorders>
            <w:shd w:val="pct15"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6.439</w:t>
            </w:r>
          </w:p>
        </w:tc>
        <w:tc>
          <w:tcPr>
            <w:tcW w:w="425" w:type="pct"/>
            <w:tcBorders>
              <w:top w:val="single" w:sz="18" w:space="0" w:color="auto"/>
              <w:left w:val="single" w:sz="4" w:space="0" w:color="auto"/>
              <w:bottom w:val="single" w:sz="4" w:space="0" w:color="auto"/>
              <w:right w:val="single" w:sz="4"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0.033</w:t>
            </w:r>
          </w:p>
        </w:tc>
        <w:tc>
          <w:tcPr>
            <w:tcW w:w="63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16.550</w:t>
            </w:r>
          </w:p>
        </w:tc>
        <w:tc>
          <w:tcPr>
            <w:tcW w:w="425" w:type="pct"/>
            <w:tcBorders>
              <w:top w:val="single" w:sz="18" w:space="0" w:color="auto"/>
              <w:left w:val="single" w:sz="4" w:space="0" w:color="auto"/>
              <w:bottom w:val="single" w:sz="4" w:space="0" w:color="auto"/>
              <w:right w:val="single" w:sz="18"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&lt;0.001</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8475F3" w:rsidRPr="000973FD" w:rsidRDefault="008475F3" w:rsidP="001E53F5">
            <w:pPr>
              <w:bidi w:val="0"/>
              <w:snapToGrid w:val="0"/>
              <w:spacing w:after="0" w:line="240" w:lineRule="auto"/>
              <w:jc w:val="both"/>
              <w:rPr>
                <w:rFonts w:ascii="Times New Roman" w:eastAsia="Times New Roman" w:hAnsi="Times New Roman" w:cs="Times New Roman"/>
                <w:sz w:val="20"/>
                <w:szCs w:val="20"/>
                <w:lang w:val="en-AU"/>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Intermediate</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6.439</w:t>
            </w:r>
          </w:p>
        </w:tc>
        <w:tc>
          <w:tcPr>
            <w:tcW w:w="425"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0.033</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4" w:space="0" w:color="auto"/>
              <w:left w:val="single" w:sz="4" w:space="0" w:color="auto"/>
              <w:bottom w:val="single" w:sz="4" w:space="0" w:color="auto"/>
              <w:right w:val="single" w:sz="4" w:space="0" w:color="auto"/>
            </w:tcBorders>
            <w:shd w:val="pct15"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4.796</w:t>
            </w:r>
          </w:p>
        </w:tc>
        <w:tc>
          <w:tcPr>
            <w:tcW w:w="425" w:type="pct"/>
            <w:tcBorders>
              <w:top w:val="single" w:sz="4" w:space="0" w:color="auto"/>
              <w:left w:val="single" w:sz="4" w:space="0" w:color="auto"/>
              <w:bottom w:val="single" w:sz="4" w:space="0" w:color="auto"/>
              <w:right w:val="single" w:sz="18"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0.087</w:t>
            </w:r>
          </w:p>
        </w:tc>
      </w:tr>
      <w:tr w:rsidR="00B4709A" w:rsidRPr="000973FD" w:rsidTr="00B4709A">
        <w:trPr>
          <w:cantSplit/>
          <w:jc w:val="center"/>
        </w:trPr>
        <w:tc>
          <w:tcPr>
            <w:tcW w:w="1180" w:type="pct"/>
            <w:vMerge/>
            <w:tcBorders>
              <w:top w:val="single" w:sz="18" w:space="0" w:color="auto"/>
              <w:left w:val="single" w:sz="18" w:space="0" w:color="auto"/>
              <w:bottom w:val="single" w:sz="18" w:space="0" w:color="auto"/>
              <w:right w:val="single" w:sz="4" w:space="0" w:color="auto"/>
            </w:tcBorders>
            <w:vAlign w:val="center"/>
            <w:hideMark/>
          </w:tcPr>
          <w:p w:rsidR="008475F3" w:rsidRPr="000973FD" w:rsidRDefault="008475F3" w:rsidP="001E53F5">
            <w:pPr>
              <w:bidi w:val="0"/>
              <w:snapToGrid w:val="0"/>
              <w:spacing w:after="0" w:line="240" w:lineRule="auto"/>
              <w:jc w:val="both"/>
              <w:rPr>
                <w:rFonts w:ascii="Times New Roman" w:eastAsia="Times New Roman" w:hAnsi="Times New Roman" w:cs="Times New Roman"/>
                <w:sz w:val="20"/>
                <w:szCs w:val="20"/>
                <w:lang w:val="en-AU"/>
              </w:rPr>
            </w:pPr>
          </w:p>
        </w:tc>
        <w:tc>
          <w:tcPr>
            <w:tcW w:w="645"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Low</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16.550</w:t>
            </w:r>
          </w:p>
        </w:tc>
        <w:tc>
          <w:tcPr>
            <w:tcW w:w="425" w:type="pct"/>
            <w:tcBorders>
              <w:top w:val="single" w:sz="4" w:space="0" w:color="auto"/>
              <w:left w:val="single" w:sz="4" w:space="0" w:color="auto"/>
              <w:bottom w:val="single" w:sz="18" w:space="0" w:color="auto"/>
              <w:right w:val="single" w:sz="4"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&lt;0.001</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r w:rsidRPr="000973FD">
              <w:rPr>
                <w:rFonts w:ascii="Times New Roman" w:hAnsi="Times New Roman" w:cs="Times New Roman"/>
                <w:sz w:val="20"/>
                <w:szCs w:val="20"/>
              </w:rPr>
              <w:t>4.796</w:t>
            </w:r>
          </w:p>
        </w:tc>
        <w:tc>
          <w:tcPr>
            <w:tcW w:w="425" w:type="pct"/>
            <w:tcBorders>
              <w:top w:val="single" w:sz="4" w:space="0" w:color="auto"/>
              <w:left w:val="single" w:sz="4" w:space="0" w:color="auto"/>
              <w:bottom w:val="single" w:sz="18" w:space="0" w:color="auto"/>
              <w:right w:val="single" w:sz="4" w:space="0" w:color="auto"/>
            </w:tcBorders>
            <w:shd w:val="pct15" w:color="auto" w:fill="FFFFFF"/>
            <w:vAlign w:val="center"/>
            <w:hideMark/>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AU"/>
              </w:rPr>
            </w:pPr>
            <w:r w:rsidRPr="000973FD">
              <w:rPr>
                <w:rFonts w:ascii="Times New Roman" w:hAnsi="Times New Roman" w:cs="Times New Roman"/>
                <w:b/>
                <w:bCs/>
                <w:sz w:val="20"/>
                <w:szCs w:val="20"/>
              </w:rPr>
              <w:t>0.087</w:t>
            </w:r>
          </w:p>
        </w:tc>
        <w:tc>
          <w:tcPr>
            <w:tcW w:w="633" w:type="pct"/>
            <w:tcBorders>
              <w:top w:val="single" w:sz="4" w:space="0" w:color="auto"/>
              <w:left w:val="single" w:sz="4" w:space="0" w:color="auto"/>
              <w:bottom w:val="single" w:sz="18" w:space="0" w:color="auto"/>
              <w:right w:val="single" w:sz="4" w:space="0" w:color="auto"/>
            </w:tcBorders>
            <w:shd w:val="clear"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c>
          <w:tcPr>
            <w:tcW w:w="425" w:type="pct"/>
            <w:tcBorders>
              <w:top w:val="single" w:sz="4" w:space="0" w:color="auto"/>
              <w:left w:val="single" w:sz="4" w:space="0" w:color="auto"/>
              <w:bottom w:val="single" w:sz="18" w:space="0" w:color="auto"/>
              <w:right w:val="single" w:sz="18" w:space="0" w:color="auto"/>
            </w:tcBorders>
            <w:shd w:val="pct15" w:color="auto" w:fill="FFFFFF"/>
            <w:vAlign w:val="center"/>
          </w:tcPr>
          <w:p w:rsidR="008475F3" w:rsidRPr="000973FD" w:rsidRDefault="008475F3" w:rsidP="001E53F5">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AU"/>
              </w:rPr>
            </w:pPr>
          </w:p>
        </w:tc>
      </w:tr>
    </w:tbl>
    <w:p w:rsidR="00F1358C" w:rsidRPr="000973FD" w:rsidRDefault="00F1358C" w:rsidP="001E53F5">
      <w:pPr>
        <w:bidi w:val="0"/>
        <w:snapToGrid w:val="0"/>
        <w:spacing w:after="0" w:line="240" w:lineRule="auto"/>
        <w:ind w:firstLine="425"/>
        <w:jc w:val="both"/>
        <w:rPr>
          <w:rFonts w:ascii="Times New Roman" w:hAnsi="Times New Roman" w:cs="Times New Roman"/>
          <w:sz w:val="20"/>
          <w:szCs w:val="20"/>
        </w:rPr>
      </w:pPr>
    </w:p>
    <w:p w:rsidR="001E53F5" w:rsidRPr="000973FD" w:rsidRDefault="001E53F5" w:rsidP="001E53F5">
      <w:pPr>
        <w:bidi w:val="0"/>
        <w:snapToGrid w:val="0"/>
        <w:spacing w:after="0" w:line="240" w:lineRule="auto"/>
        <w:jc w:val="center"/>
        <w:rPr>
          <w:rFonts w:ascii="Times New Roman" w:hAnsi="Times New Roman" w:cs="Times New Roman"/>
          <w:sz w:val="20"/>
          <w:szCs w:val="20"/>
          <w:lang w:bidi="ar-EG"/>
        </w:rPr>
        <w:sectPr w:rsidR="001E53F5" w:rsidRPr="000973FD" w:rsidSect="00B4709A">
          <w:type w:val="continuous"/>
          <w:pgSz w:w="12240" w:h="15840"/>
          <w:pgMar w:top="1440" w:right="1440" w:bottom="1440" w:left="1440" w:header="720" w:footer="720" w:gutter="0"/>
          <w:cols w:space="720"/>
          <w:bidi/>
          <w:rtlGutter/>
          <w:docGrid w:linePitch="360"/>
        </w:sectPr>
      </w:pPr>
    </w:p>
    <w:p w:rsidR="00D76FD7" w:rsidRPr="000973FD" w:rsidRDefault="00824581" w:rsidP="001E53F5">
      <w:pPr>
        <w:bidi w:val="0"/>
        <w:snapToGrid w:val="0"/>
        <w:spacing w:after="0" w:line="240" w:lineRule="auto"/>
        <w:jc w:val="center"/>
        <w:rPr>
          <w:rFonts w:ascii="Times New Roman" w:hAnsi="Times New Roman" w:cs="Times New Roman"/>
          <w:sz w:val="20"/>
          <w:szCs w:val="20"/>
          <w:lang w:bidi="ar-EG"/>
        </w:rPr>
      </w:pPr>
      <w:r w:rsidRPr="000973FD">
        <w:rPr>
          <w:rFonts w:ascii="Times New Roman" w:hAnsi="Times New Roman" w:cs="Times New Roman"/>
          <w:noProof/>
          <w:sz w:val="20"/>
          <w:szCs w:val="20"/>
          <w:lang w:eastAsia="zh-CN"/>
        </w:rPr>
        <w:lastRenderedPageBreak/>
        <w:drawing>
          <wp:inline distT="0" distB="0" distL="0" distR="0">
            <wp:extent cx="2627194" cy="2442949"/>
            <wp:effectExtent l="0" t="0" r="1905" b="0"/>
            <wp:docPr id="21" name="Picture 7"/>
            <wp:cNvGraphicFramePr/>
            <a:graphic xmlns:a="http://schemas.openxmlformats.org/drawingml/2006/main">
              <a:graphicData uri="http://schemas.openxmlformats.org/drawingml/2006/picture">
                <pic:pic xmlns:pic="http://schemas.openxmlformats.org/drawingml/2006/picture">
                  <pic:nvPicPr>
                    <pic:cNvPr id="21" name="Picture 7"/>
                    <pic:cNvPicPr/>
                  </pic:nvPicPr>
                  <pic:blipFill>
                    <a:blip r:embed="rId13" cstate="print"/>
                    <a:srcRect/>
                    <a:stretch>
                      <a:fillRect/>
                    </a:stretch>
                  </pic:blipFill>
                  <pic:spPr bwMode="auto">
                    <a:xfrm>
                      <a:off x="0" y="0"/>
                      <a:ext cx="2626434" cy="2442242"/>
                    </a:xfrm>
                    <a:prstGeom prst="rect">
                      <a:avLst/>
                    </a:prstGeom>
                    <a:noFill/>
                    <a:ln w="9525">
                      <a:noFill/>
                      <a:miter lim="800000"/>
                      <a:headEnd/>
                      <a:tailEnd/>
                    </a:ln>
                  </pic:spPr>
                </pic:pic>
              </a:graphicData>
            </a:graphic>
          </wp:inline>
        </w:drawing>
      </w:r>
    </w:p>
    <w:p w:rsidR="00824581" w:rsidRPr="000973FD" w:rsidRDefault="00BE159A" w:rsidP="001E53F5">
      <w:pPr>
        <w:bidi w:val="0"/>
        <w:snapToGrid w:val="0"/>
        <w:spacing w:after="0" w:line="240" w:lineRule="auto"/>
        <w:ind w:firstLine="425"/>
        <w:jc w:val="both"/>
        <w:rPr>
          <w:rFonts w:ascii="Times New Roman" w:hAnsi="Times New Roman" w:cs="Times New Roman"/>
          <w:noProof/>
          <w:sz w:val="20"/>
          <w:szCs w:val="20"/>
        </w:rPr>
      </w:pPr>
      <w:r w:rsidRPr="000973FD">
        <w:rPr>
          <w:rFonts w:ascii="Times New Roman" w:hAnsi="Times New Roman" w:cs="Times New Roman"/>
          <w:noProof/>
          <w:sz w:val="20"/>
          <w:szCs w:val="20"/>
        </w:rPr>
        <w:t>Figure (1</w:t>
      </w:r>
      <w:r w:rsidR="00824581" w:rsidRPr="000973FD">
        <w:rPr>
          <w:rFonts w:ascii="Times New Roman" w:hAnsi="Times New Roman" w:cs="Times New Roman"/>
          <w:noProof/>
          <w:sz w:val="20"/>
          <w:szCs w:val="20"/>
        </w:rPr>
        <w:t>): DFS in the study group.</w:t>
      </w:r>
    </w:p>
    <w:p w:rsidR="00BE159A" w:rsidRPr="000973FD" w:rsidRDefault="00BE159A" w:rsidP="001E53F5">
      <w:pPr>
        <w:bidi w:val="0"/>
        <w:snapToGrid w:val="0"/>
        <w:spacing w:after="0" w:line="240" w:lineRule="auto"/>
        <w:ind w:firstLine="425"/>
        <w:jc w:val="both"/>
        <w:rPr>
          <w:rFonts w:ascii="Times New Roman" w:hAnsi="Times New Roman" w:cs="Times New Roman"/>
          <w:noProof/>
          <w:sz w:val="20"/>
          <w:szCs w:val="20"/>
        </w:rPr>
      </w:pPr>
    </w:p>
    <w:p w:rsidR="00D76FD7" w:rsidRPr="000973FD" w:rsidRDefault="00824581" w:rsidP="001E53F5">
      <w:pPr>
        <w:bidi w:val="0"/>
        <w:snapToGrid w:val="0"/>
        <w:spacing w:after="0" w:line="240" w:lineRule="auto"/>
        <w:jc w:val="center"/>
        <w:rPr>
          <w:rFonts w:ascii="Times New Roman" w:hAnsi="Times New Roman" w:cs="Times New Roman"/>
          <w:sz w:val="20"/>
          <w:szCs w:val="20"/>
          <w:lang w:bidi="ar-EG"/>
        </w:rPr>
      </w:pPr>
      <w:r w:rsidRPr="000973FD">
        <w:rPr>
          <w:rFonts w:ascii="Times New Roman" w:hAnsi="Times New Roman" w:cs="Times New Roman"/>
          <w:noProof/>
          <w:sz w:val="20"/>
          <w:szCs w:val="20"/>
          <w:lang w:eastAsia="zh-CN"/>
        </w:rPr>
        <w:lastRenderedPageBreak/>
        <w:drawing>
          <wp:inline distT="0" distB="0" distL="0" distR="0">
            <wp:extent cx="2724150" cy="2441051"/>
            <wp:effectExtent l="19050" t="0" r="0" b="0"/>
            <wp:docPr id="22" name="Picture 10"/>
            <wp:cNvGraphicFramePr/>
            <a:graphic xmlns:a="http://schemas.openxmlformats.org/drawingml/2006/main">
              <a:graphicData uri="http://schemas.openxmlformats.org/drawingml/2006/picture">
                <pic:pic xmlns:pic="http://schemas.openxmlformats.org/drawingml/2006/picture">
                  <pic:nvPicPr>
                    <pic:cNvPr id="22" name="Picture 10"/>
                    <pic:cNvPicPr/>
                  </pic:nvPicPr>
                  <pic:blipFill>
                    <a:blip r:embed="rId14" cstate="print"/>
                    <a:srcRect l="1595" r="24402" b="1602"/>
                    <a:stretch>
                      <a:fillRect/>
                    </a:stretch>
                  </pic:blipFill>
                  <pic:spPr bwMode="auto">
                    <a:xfrm>
                      <a:off x="0" y="0"/>
                      <a:ext cx="2733197" cy="2449158"/>
                    </a:xfrm>
                    <a:prstGeom prst="rect">
                      <a:avLst/>
                    </a:prstGeom>
                    <a:noFill/>
                    <a:ln w="9525">
                      <a:noFill/>
                      <a:miter lim="800000"/>
                      <a:headEnd/>
                      <a:tailEnd/>
                    </a:ln>
                  </pic:spPr>
                </pic:pic>
              </a:graphicData>
            </a:graphic>
          </wp:inline>
        </w:drawing>
      </w:r>
    </w:p>
    <w:p w:rsidR="00824581" w:rsidRPr="000973FD" w:rsidRDefault="00883EA8" w:rsidP="001E53F5">
      <w:pPr>
        <w:bidi w:val="0"/>
        <w:snapToGrid w:val="0"/>
        <w:spacing w:after="0" w:line="240" w:lineRule="auto"/>
        <w:jc w:val="center"/>
        <w:rPr>
          <w:rFonts w:ascii="Times New Roman" w:hAnsi="Times New Roman" w:cs="Times New Roman"/>
          <w:noProof/>
          <w:sz w:val="20"/>
          <w:szCs w:val="20"/>
          <w:lang w:eastAsia="zh-CN"/>
        </w:rPr>
      </w:pPr>
      <w:r w:rsidRPr="000973FD">
        <w:rPr>
          <w:rFonts w:ascii="Times New Roman" w:hAnsi="Times New Roman" w:cs="Times New Roman"/>
          <w:noProof/>
          <w:sz w:val="20"/>
          <w:szCs w:val="20"/>
        </w:rPr>
        <w:t>Figure (2</w:t>
      </w:r>
      <w:r w:rsidR="00824581" w:rsidRPr="000973FD">
        <w:rPr>
          <w:rFonts w:ascii="Times New Roman" w:hAnsi="Times New Roman" w:cs="Times New Roman"/>
          <w:noProof/>
          <w:sz w:val="20"/>
          <w:szCs w:val="20"/>
        </w:rPr>
        <w:t>): DFS according to NAR score</w:t>
      </w:r>
    </w:p>
    <w:p w:rsidR="00B4709A" w:rsidRPr="000973FD" w:rsidRDefault="00B4709A" w:rsidP="001E53F5">
      <w:pPr>
        <w:bidi w:val="0"/>
        <w:snapToGrid w:val="0"/>
        <w:spacing w:after="0" w:line="240" w:lineRule="auto"/>
        <w:ind w:firstLine="425"/>
        <w:jc w:val="both"/>
        <w:rPr>
          <w:rFonts w:ascii="Times New Roman" w:hAnsi="Times New Roman" w:cs="Times New Roman"/>
          <w:sz w:val="20"/>
          <w:szCs w:val="20"/>
          <w:lang w:eastAsia="zh-CN" w:bidi="ar-EG"/>
        </w:rPr>
      </w:pPr>
    </w:p>
    <w:p w:rsidR="00824581" w:rsidRPr="000973FD" w:rsidRDefault="00824581" w:rsidP="001E53F5">
      <w:pPr>
        <w:bidi w:val="0"/>
        <w:snapToGrid w:val="0"/>
        <w:spacing w:after="0" w:line="240" w:lineRule="auto"/>
        <w:jc w:val="center"/>
        <w:rPr>
          <w:rFonts w:ascii="Times New Roman" w:hAnsi="Times New Roman" w:cs="Times New Roman"/>
          <w:sz w:val="20"/>
          <w:szCs w:val="20"/>
          <w:lang w:bidi="ar-EG"/>
        </w:rPr>
      </w:pPr>
      <w:r w:rsidRPr="000973FD">
        <w:rPr>
          <w:rFonts w:ascii="Times New Roman" w:hAnsi="Times New Roman" w:cs="Times New Roman"/>
          <w:noProof/>
          <w:sz w:val="20"/>
          <w:szCs w:val="20"/>
          <w:lang w:eastAsia="zh-CN"/>
        </w:rPr>
        <w:lastRenderedPageBreak/>
        <w:drawing>
          <wp:inline distT="0" distB="0" distL="0" distR="0">
            <wp:extent cx="2818263" cy="1726441"/>
            <wp:effectExtent l="0" t="0" r="1270" b="7620"/>
            <wp:docPr id="17" name="Picture 5"/>
            <wp:cNvGraphicFramePr/>
            <a:graphic xmlns:a="http://schemas.openxmlformats.org/drawingml/2006/main">
              <a:graphicData uri="http://schemas.openxmlformats.org/drawingml/2006/picture">
                <pic:pic xmlns:pic="http://schemas.openxmlformats.org/drawingml/2006/picture">
                  <pic:nvPicPr>
                    <pic:cNvPr id="17" name="Picture 5"/>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621" cy="1727273"/>
                    </a:xfrm>
                    <a:prstGeom prst="rect">
                      <a:avLst/>
                    </a:prstGeom>
                    <a:noFill/>
                    <a:ln>
                      <a:noFill/>
                    </a:ln>
                  </pic:spPr>
                </pic:pic>
              </a:graphicData>
            </a:graphic>
          </wp:inline>
        </w:drawing>
      </w:r>
    </w:p>
    <w:p w:rsidR="00883EA8" w:rsidRPr="000973FD" w:rsidRDefault="00883EA8" w:rsidP="001E53F5">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0973FD">
        <w:rPr>
          <w:rFonts w:ascii="Times New Roman" w:hAnsi="Times New Roman" w:cs="Times New Roman"/>
          <w:sz w:val="20"/>
          <w:szCs w:val="20"/>
        </w:rPr>
        <w:t>Figure (3</w:t>
      </w:r>
      <w:r w:rsidR="00824581" w:rsidRPr="000973FD">
        <w:rPr>
          <w:rFonts w:ascii="Times New Roman" w:hAnsi="Times New Roman" w:cs="Times New Roman"/>
          <w:sz w:val="20"/>
          <w:szCs w:val="20"/>
        </w:rPr>
        <w:t>): Correlation between NAR score</w:t>
      </w:r>
      <w:r w:rsidR="00B4709A" w:rsidRPr="000973FD">
        <w:rPr>
          <w:rFonts w:ascii="Times New Roman" w:hAnsi="Times New Roman" w:cs="Times New Roman"/>
          <w:sz w:val="20"/>
          <w:szCs w:val="20"/>
        </w:rPr>
        <w:t xml:space="preserve"> &amp; </w:t>
      </w:r>
      <w:r w:rsidR="00824581" w:rsidRPr="000973FD">
        <w:rPr>
          <w:rFonts w:ascii="Times New Roman" w:hAnsi="Times New Roman" w:cs="Times New Roman"/>
          <w:sz w:val="20"/>
          <w:szCs w:val="20"/>
        </w:rPr>
        <w:t>DFS.</w:t>
      </w:r>
    </w:p>
    <w:p w:rsidR="001E53F5" w:rsidRPr="000973FD" w:rsidRDefault="001E53F5" w:rsidP="001E53F5">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D76FD7" w:rsidRPr="000973FD" w:rsidRDefault="00F67199" w:rsidP="001E53F5">
      <w:pPr>
        <w:bidi w:val="0"/>
        <w:snapToGrid w:val="0"/>
        <w:spacing w:after="0" w:line="240" w:lineRule="auto"/>
        <w:jc w:val="center"/>
        <w:rPr>
          <w:rFonts w:ascii="Times New Roman" w:hAnsi="Times New Roman" w:cs="Times New Roman"/>
          <w:b/>
          <w:bCs/>
          <w:sz w:val="20"/>
          <w:szCs w:val="20"/>
          <w:lang w:bidi="ar-EG"/>
        </w:rPr>
      </w:pPr>
      <w:r w:rsidRPr="000973FD">
        <w:rPr>
          <w:rFonts w:ascii="Times New Roman" w:hAnsi="Times New Roman" w:cs="Times New Roman"/>
          <w:noProof/>
          <w:sz w:val="20"/>
          <w:szCs w:val="20"/>
          <w:lang w:eastAsia="zh-CN"/>
        </w:rPr>
        <w:drawing>
          <wp:inline distT="0" distB="0" distL="0" distR="0">
            <wp:extent cx="2581026" cy="1916264"/>
            <wp:effectExtent l="19050" t="0" r="0" b="0"/>
            <wp:docPr id="3" name="Picture 6"/>
            <wp:cNvGraphicFramePr/>
            <a:graphic xmlns:a="http://schemas.openxmlformats.org/drawingml/2006/main">
              <a:graphicData uri="http://schemas.openxmlformats.org/drawingml/2006/picture">
                <pic:pic xmlns:pic="http://schemas.openxmlformats.org/drawingml/2006/picture">
                  <pic:nvPicPr>
                    <pic:cNvPr id="23" name="Picture 6"/>
                    <pic:cNvPicPr/>
                  </pic:nvPicPr>
                  <pic:blipFill>
                    <a:blip r:embed="rId16" cstate="print"/>
                    <a:srcRect l="1595" b="2191"/>
                    <a:stretch>
                      <a:fillRect/>
                    </a:stretch>
                  </pic:blipFill>
                  <pic:spPr bwMode="auto">
                    <a:xfrm>
                      <a:off x="0" y="0"/>
                      <a:ext cx="2590034" cy="1922952"/>
                    </a:xfrm>
                    <a:prstGeom prst="rect">
                      <a:avLst/>
                    </a:prstGeom>
                    <a:noFill/>
                    <a:ln w="9525">
                      <a:noFill/>
                      <a:miter lim="800000"/>
                      <a:headEnd/>
                      <a:tailEnd/>
                    </a:ln>
                  </pic:spPr>
                </pic:pic>
              </a:graphicData>
            </a:graphic>
          </wp:inline>
        </w:drawing>
      </w:r>
    </w:p>
    <w:p w:rsidR="002E08F8" w:rsidRPr="000973FD" w:rsidRDefault="002E08F8" w:rsidP="001E53F5">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0973FD">
        <w:rPr>
          <w:rFonts w:ascii="Times New Roman" w:hAnsi="Times New Roman" w:cs="Times New Roman"/>
          <w:sz w:val="20"/>
          <w:szCs w:val="20"/>
        </w:rPr>
        <w:t>Figure (4): OS in the study group.</w:t>
      </w:r>
    </w:p>
    <w:p w:rsidR="00B4709A" w:rsidRPr="000973FD" w:rsidRDefault="00B4709A" w:rsidP="001E53F5">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2E08F8" w:rsidRPr="000973FD" w:rsidRDefault="002E08F8" w:rsidP="001E53F5">
      <w:pPr>
        <w:autoSpaceDE w:val="0"/>
        <w:autoSpaceDN w:val="0"/>
        <w:bidi w:val="0"/>
        <w:adjustRightInd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b/>
          <w:bCs/>
          <w:noProof/>
          <w:sz w:val="20"/>
          <w:szCs w:val="20"/>
          <w:lang w:eastAsia="zh-CN"/>
        </w:rPr>
        <w:lastRenderedPageBreak/>
        <w:drawing>
          <wp:inline distT="0" distB="0" distL="0" distR="0">
            <wp:extent cx="2565124" cy="2039594"/>
            <wp:effectExtent l="19050" t="0" r="6626"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1116" r="24561" b="2064"/>
                    <a:stretch>
                      <a:fillRect/>
                    </a:stretch>
                  </pic:blipFill>
                  <pic:spPr bwMode="auto">
                    <a:xfrm>
                      <a:off x="0" y="0"/>
                      <a:ext cx="2578382" cy="2050136"/>
                    </a:xfrm>
                    <a:prstGeom prst="rect">
                      <a:avLst/>
                    </a:prstGeom>
                    <a:noFill/>
                    <a:ln w="9525">
                      <a:noFill/>
                      <a:miter lim="800000"/>
                      <a:headEnd/>
                      <a:tailEnd/>
                    </a:ln>
                  </pic:spPr>
                </pic:pic>
              </a:graphicData>
            </a:graphic>
          </wp:inline>
        </w:drawing>
      </w:r>
    </w:p>
    <w:p w:rsidR="002E08F8" w:rsidRPr="000973FD" w:rsidRDefault="002E08F8" w:rsidP="001E53F5">
      <w:pPr>
        <w:autoSpaceDE w:val="0"/>
        <w:autoSpaceDN w:val="0"/>
        <w:bidi w:val="0"/>
        <w:adjustRightInd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sz w:val="20"/>
          <w:szCs w:val="20"/>
        </w:rPr>
        <w:t>Figure (5): OS according to NAR score.</w:t>
      </w:r>
    </w:p>
    <w:p w:rsidR="00DF08EF" w:rsidRPr="000973FD" w:rsidRDefault="00DF08EF" w:rsidP="001E53F5">
      <w:pPr>
        <w:bidi w:val="0"/>
        <w:snapToGrid w:val="0"/>
        <w:spacing w:after="0" w:line="240" w:lineRule="auto"/>
        <w:jc w:val="both"/>
        <w:rPr>
          <w:rFonts w:ascii="Times New Roman" w:hAnsi="Times New Roman" w:cs="Times New Roman"/>
          <w:b/>
          <w:bCs/>
          <w:sz w:val="20"/>
          <w:szCs w:val="20"/>
          <w:lang w:bidi="ar-EG"/>
        </w:rPr>
      </w:pPr>
    </w:p>
    <w:p w:rsidR="00DF08EF" w:rsidRPr="000973FD" w:rsidRDefault="0006129C" w:rsidP="001E53F5">
      <w:pPr>
        <w:bidi w:val="0"/>
        <w:snapToGrid w:val="0"/>
        <w:spacing w:after="0" w:line="240" w:lineRule="auto"/>
        <w:jc w:val="center"/>
        <w:rPr>
          <w:rFonts w:ascii="Times New Roman" w:hAnsi="Times New Roman" w:cs="Times New Roman"/>
          <w:b/>
          <w:bCs/>
          <w:sz w:val="20"/>
          <w:szCs w:val="20"/>
          <w:lang w:bidi="ar-EG"/>
        </w:rPr>
      </w:pPr>
      <w:r w:rsidRPr="000973FD">
        <w:rPr>
          <w:rFonts w:ascii="Times New Roman" w:hAnsi="Times New Roman" w:cs="Times New Roman"/>
          <w:noProof/>
          <w:sz w:val="20"/>
          <w:szCs w:val="20"/>
          <w:lang w:eastAsia="zh-CN"/>
        </w:rPr>
        <w:drawing>
          <wp:inline distT="0" distB="0" distL="0" distR="0">
            <wp:extent cx="2756848" cy="1835624"/>
            <wp:effectExtent l="0" t="0" r="5715" b="0"/>
            <wp:docPr id="5" name="Picture 4"/>
            <wp:cNvGraphicFramePr/>
            <a:graphic xmlns:a="http://schemas.openxmlformats.org/drawingml/2006/main">
              <a:graphicData uri="http://schemas.openxmlformats.org/drawingml/2006/picture">
                <pic:pic xmlns:pic="http://schemas.openxmlformats.org/drawingml/2006/picture">
                  <pic:nvPicPr>
                    <pic:cNvPr id="19" name="Picture 4"/>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8429" cy="1836677"/>
                    </a:xfrm>
                    <a:prstGeom prst="rect">
                      <a:avLst/>
                    </a:prstGeom>
                    <a:noFill/>
                    <a:ln>
                      <a:noFill/>
                    </a:ln>
                  </pic:spPr>
                </pic:pic>
              </a:graphicData>
            </a:graphic>
          </wp:inline>
        </w:drawing>
      </w:r>
    </w:p>
    <w:p w:rsidR="002E08F8" w:rsidRPr="000973FD" w:rsidRDefault="00C179F4" w:rsidP="001E53F5">
      <w:pPr>
        <w:bidi w:val="0"/>
        <w:snapToGrid w:val="0"/>
        <w:spacing w:after="0" w:line="240" w:lineRule="auto"/>
        <w:jc w:val="center"/>
        <w:rPr>
          <w:rFonts w:ascii="Times New Roman" w:hAnsi="Times New Roman" w:cs="Times New Roman"/>
          <w:sz w:val="20"/>
          <w:szCs w:val="20"/>
        </w:rPr>
      </w:pPr>
      <w:r w:rsidRPr="000973FD">
        <w:rPr>
          <w:rFonts w:ascii="Times New Roman" w:hAnsi="Times New Roman" w:cs="Times New Roman"/>
          <w:sz w:val="20"/>
          <w:szCs w:val="20"/>
        </w:rPr>
        <w:t>Figure (6): Correlation between NAR score</w:t>
      </w:r>
      <w:r w:rsidR="00B4709A" w:rsidRPr="000973FD">
        <w:rPr>
          <w:rFonts w:ascii="Times New Roman" w:hAnsi="Times New Roman" w:cs="Times New Roman"/>
          <w:sz w:val="20"/>
          <w:szCs w:val="20"/>
        </w:rPr>
        <w:t xml:space="preserve"> &amp; </w:t>
      </w:r>
      <w:r w:rsidRPr="000973FD">
        <w:rPr>
          <w:rFonts w:ascii="Times New Roman" w:hAnsi="Times New Roman" w:cs="Times New Roman"/>
          <w:sz w:val="20"/>
          <w:szCs w:val="20"/>
        </w:rPr>
        <w:t>OS.</w:t>
      </w:r>
    </w:p>
    <w:p w:rsidR="00A60AA5" w:rsidRDefault="00A60AA5" w:rsidP="001E53F5">
      <w:pPr>
        <w:bidi w:val="0"/>
        <w:snapToGrid w:val="0"/>
        <w:spacing w:after="0" w:line="240" w:lineRule="auto"/>
        <w:jc w:val="both"/>
        <w:rPr>
          <w:rFonts w:ascii="Times New Roman" w:hAnsi="Times New Roman" w:cs="Times New Roman" w:hint="eastAsia"/>
          <w:b/>
          <w:bCs/>
          <w:sz w:val="20"/>
          <w:szCs w:val="20"/>
          <w:lang w:eastAsia="zh-CN" w:bidi="ar-EG"/>
        </w:rPr>
      </w:pPr>
    </w:p>
    <w:p w:rsidR="00A94C7E" w:rsidRPr="000973FD" w:rsidRDefault="00A94C7E" w:rsidP="00A94C7E">
      <w:pPr>
        <w:bidi w:val="0"/>
        <w:snapToGrid w:val="0"/>
        <w:spacing w:after="0" w:line="240" w:lineRule="auto"/>
        <w:jc w:val="both"/>
        <w:rPr>
          <w:rFonts w:ascii="Times New Roman" w:hAnsi="Times New Roman" w:cs="Times New Roman" w:hint="eastAsia"/>
          <w:b/>
          <w:bCs/>
          <w:sz w:val="20"/>
          <w:szCs w:val="20"/>
          <w:lang w:eastAsia="zh-CN" w:bidi="ar-EG"/>
        </w:rPr>
      </w:pPr>
    </w:p>
    <w:p w:rsidR="001E53F5" w:rsidRPr="000973FD" w:rsidRDefault="001E53F5" w:rsidP="001E53F5">
      <w:pPr>
        <w:bidi w:val="0"/>
        <w:snapToGrid w:val="0"/>
        <w:spacing w:after="0" w:line="240" w:lineRule="auto"/>
        <w:jc w:val="both"/>
        <w:rPr>
          <w:rFonts w:ascii="Times New Roman" w:hAnsi="Times New Roman" w:cs="Times New Roman"/>
          <w:b/>
          <w:bCs/>
          <w:sz w:val="20"/>
          <w:szCs w:val="20"/>
          <w:lang w:bidi="ar-EG"/>
        </w:rPr>
        <w:sectPr w:rsidR="001E53F5" w:rsidRPr="000973FD" w:rsidSect="001E53F5">
          <w:type w:val="continuous"/>
          <w:pgSz w:w="12240" w:h="15840"/>
          <w:pgMar w:top="1440" w:right="1440" w:bottom="1440" w:left="1440" w:header="720" w:footer="720" w:gutter="0"/>
          <w:cols w:num="2" w:space="550"/>
          <w:rtlGutter/>
          <w:docGrid w:linePitch="360"/>
        </w:sectPr>
      </w:pPr>
    </w:p>
    <w:p w:rsidR="00F67199" w:rsidRPr="000973FD" w:rsidRDefault="00A60AA5" w:rsidP="001E53F5">
      <w:pPr>
        <w:bidi w:val="0"/>
        <w:snapToGrid w:val="0"/>
        <w:spacing w:after="0" w:line="240" w:lineRule="auto"/>
        <w:jc w:val="both"/>
        <w:rPr>
          <w:rFonts w:ascii="Times New Roman" w:hAnsi="Times New Roman" w:cs="Times New Roman"/>
          <w:sz w:val="20"/>
          <w:szCs w:val="20"/>
        </w:rPr>
      </w:pPr>
      <w:r w:rsidRPr="000973FD">
        <w:rPr>
          <w:rFonts w:ascii="Times New Roman" w:hAnsi="Times New Roman" w:cs="Times New Roman"/>
          <w:b/>
          <w:bCs/>
          <w:sz w:val="20"/>
          <w:szCs w:val="20"/>
          <w:lang w:bidi="ar-EG"/>
        </w:rPr>
        <w:lastRenderedPageBreak/>
        <w:t xml:space="preserve">4. </w:t>
      </w:r>
      <w:r w:rsidR="00F67199" w:rsidRPr="000973FD">
        <w:rPr>
          <w:rFonts w:ascii="Times New Roman" w:hAnsi="Times New Roman" w:cs="Times New Roman"/>
          <w:b/>
          <w:bCs/>
          <w:sz w:val="20"/>
          <w:szCs w:val="20"/>
          <w:lang w:bidi="ar-EG"/>
        </w:rPr>
        <w:t>Discussion</w:t>
      </w:r>
    </w:p>
    <w:p w:rsidR="002706BE" w:rsidRPr="000973FD" w:rsidRDefault="00F67199"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color w:val="000000"/>
          <w:sz w:val="20"/>
          <w:szCs w:val="20"/>
        </w:rPr>
        <w:t>Improvements in rectal cancer patient care have come as the result of clinical trials testing new treatments options. These pragmatic trials have provided significant improvement in disease staging, local disease control, patient survival, quality of life and sphincter pr</w:t>
      </w:r>
      <w:r w:rsidR="00087235" w:rsidRPr="000973FD">
        <w:rPr>
          <w:rFonts w:ascii="Times New Roman" w:hAnsi="Times New Roman" w:cs="Times New Roman"/>
          <w:color w:val="000000"/>
          <w:sz w:val="20"/>
          <w:szCs w:val="20"/>
        </w:rPr>
        <w:t>eservation [8]</w:t>
      </w:r>
      <w:r w:rsidR="00087235" w:rsidRPr="000973FD">
        <w:rPr>
          <w:rFonts w:ascii="Times New Roman" w:hAnsi="Times New Roman" w:cs="Times New Roman"/>
          <w:sz w:val="20"/>
          <w:szCs w:val="20"/>
        </w:rPr>
        <w:t xml:space="preserve">. </w:t>
      </w:r>
      <w:r w:rsidR="002706BE" w:rsidRPr="000973FD">
        <w:rPr>
          <w:rFonts w:ascii="Times New Roman" w:hAnsi="Times New Roman" w:cs="Times New Roman"/>
          <w:sz w:val="20"/>
          <w:szCs w:val="20"/>
        </w:rPr>
        <w:t>The loco-regional relapse was a primary form of treatment failure in CRC. However, with the introduction of TME and neo-adjuvant chemo-radiotherapy, local failure is far exceeded by systemic metastatic development which influences DFS and OS. These two benchmarks have been the primary endpoints of most major rectal cancer clinical trials in the past three decades. While ideal, these endpoints require long term follow-up, thus contributing to a slow pace of scientific progress in clinical research</w:t>
      </w:r>
      <w:r w:rsidR="00B22074" w:rsidRPr="000973FD">
        <w:rPr>
          <w:rFonts w:ascii="Times New Roman" w:hAnsi="Times New Roman" w:cs="Times New Roman"/>
          <w:sz w:val="20"/>
          <w:szCs w:val="20"/>
        </w:rPr>
        <w:t xml:space="preserve"> [9</w:t>
      </w:r>
      <w:r w:rsidR="00CB6B7A" w:rsidRPr="000973FD">
        <w:rPr>
          <w:rFonts w:ascii="Times New Roman" w:hAnsi="Times New Roman" w:cs="Times New Roman"/>
          <w:sz w:val="20"/>
          <w:szCs w:val="20"/>
        </w:rPr>
        <w:t>]</w:t>
      </w:r>
      <w:r w:rsidR="002706BE" w:rsidRPr="000973FD">
        <w:rPr>
          <w:rFonts w:ascii="Times New Roman" w:hAnsi="Times New Roman" w:cs="Times New Roman"/>
          <w:sz w:val="20"/>
          <w:szCs w:val="20"/>
        </w:rPr>
        <w:t>.</w:t>
      </w:r>
    </w:p>
    <w:p w:rsidR="002706BE" w:rsidRPr="000973FD" w:rsidRDefault="002706BE" w:rsidP="001E53F5">
      <w:pPr>
        <w:bidi w:val="0"/>
        <w:snapToGrid w:val="0"/>
        <w:spacing w:after="0" w:line="240" w:lineRule="auto"/>
        <w:ind w:firstLine="425"/>
        <w:jc w:val="both"/>
        <w:rPr>
          <w:rFonts w:ascii="Times New Roman" w:hAnsi="Times New Roman" w:cs="Times New Roman"/>
          <w:color w:val="000000"/>
          <w:sz w:val="20"/>
          <w:szCs w:val="20"/>
        </w:rPr>
      </w:pPr>
      <w:r w:rsidRPr="000973FD">
        <w:rPr>
          <w:rFonts w:ascii="Times New Roman" w:hAnsi="Times New Roman" w:cs="Times New Roman"/>
          <w:color w:val="000000"/>
          <w:sz w:val="20"/>
          <w:szCs w:val="20"/>
        </w:rPr>
        <w:t xml:space="preserve">There is a tremendous desire to use the initial clinical and pathological features as surrogate endpoint for longer term outcomes, both for individual patients and also as a validated endpoint for the next generation of clinical trials. Identifying a valid surrogate short term endpoint will allow determination of treatment efficacy in clinical trials in a shorter </w:t>
      </w:r>
      <w:r w:rsidRPr="000973FD">
        <w:rPr>
          <w:rFonts w:ascii="Times New Roman" w:hAnsi="Times New Roman" w:cs="Times New Roman"/>
          <w:color w:val="000000"/>
          <w:sz w:val="20"/>
          <w:szCs w:val="20"/>
        </w:rPr>
        <w:lastRenderedPageBreak/>
        <w:t>period of time, resolving hypotheses and allowing clinical progress to be carried in more rapid fashion</w:t>
      </w:r>
      <w:r w:rsidR="00B22074" w:rsidRPr="000973FD">
        <w:rPr>
          <w:rFonts w:ascii="Times New Roman" w:hAnsi="Times New Roman" w:cs="Times New Roman"/>
          <w:color w:val="000000"/>
          <w:sz w:val="20"/>
          <w:szCs w:val="20"/>
        </w:rPr>
        <w:t xml:space="preserve"> [10</w:t>
      </w:r>
      <w:r w:rsidR="00CB6B7A" w:rsidRPr="000973FD">
        <w:rPr>
          <w:rFonts w:ascii="Times New Roman" w:hAnsi="Times New Roman" w:cs="Times New Roman"/>
          <w:color w:val="000000"/>
          <w:sz w:val="20"/>
          <w:szCs w:val="20"/>
        </w:rPr>
        <w:t>]</w:t>
      </w:r>
      <w:r w:rsidRPr="000973FD">
        <w:rPr>
          <w:rFonts w:ascii="Times New Roman" w:hAnsi="Times New Roman" w:cs="Times New Roman"/>
          <w:color w:val="000000"/>
          <w:sz w:val="20"/>
          <w:szCs w:val="20"/>
        </w:rPr>
        <w:t>.</w:t>
      </w:r>
      <w:r w:rsidRPr="000973FD">
        <w:rPr>
          <w:rFonts w:ascii="Times New Roman" w:hAnsi="Times New Roman" w:cs="Times New Roman"/>
          <w:sz w:val="20"/>
          <w:szCs w:val="20"/>
        </w:rPr>
        <w:t xml:space="preserve"> With the widespread use of TME, pathologic standardization has become increasingly critical for accurate assessment of nodal involvement, margin status and pathological staging</w:t>
      </w:r>
      <w:r w:rsidR="00B22074" w:rsidRPr="000973FD">
        <w:rPr>
          <w:rFonts w:ascii="Times New Roman" w:hAnsi="Times New Roman" w:cs="Times New Roman"/>
          <w:sz w:val="20"/>
          <w:szCs w:val="20"/>
        </w:rPr>
        <w:t xml:space="preserve"> [11</w:t>
      </w:r>
      <w:r w:rsidR="00CB6B7A" w:rsidRPr="000973FD">
        <w:rPr>
          <w:rFonts w:ascii="Times New Roman" w:hAnsi="Times New Roman" w:cs="Times New Roman"/>
          <w:sz w:val="20"/>
          <w:szCs w:val="20"/>
        </w:rPr>
        <w:t>]</w:t>
      </w:r>
      <w:r w:rsidRPr="000973FD">
        <w:rPr>
          <w:rFonts w:ascii="Times New Roman" w:hAnsi="Times New Roman" w:cs="Times New Roman"/>
          <w:sz w:val="20"/>
          <w:szCs w:val="20"/>
        </w:rPr>
        <w:t xml:space="preserve">. </w:t>
      </w:r>
    </w:p>
    <w:p w:rsidR="002706BE" w:rsidRPr="000973FD" w:rsidRDefault="002706BE" w:rsidP="001E53F5">
      <w:pPr>
        <w:bidi w:val="0"/>
        <w:snapToGrid w:val="0"/>
        <w:spacing w:after="0" w:line="240" w:lineRule="auto"/>
        <w:ind w:firstLine="425"/>
        <w:jc w:val="both"/>
        <w:rPr>
          <w:rFonts w:ascii="Times New Roman" w:hAnsi="Times New Roman" w:cs="Times New Roman"/>
          <w:sz w:val="20"/>
          <w:szCs w:val="20"/>
        </w:rPr>
      </w:pPr>
      <w:r w:rsidRPr="000973FD">
        <w:rPr>
          <w:rFonts w:ascii="Times New Roman" w:hAnsi="Times New Roman" w:cs="Times New Roman"/>
          <w:sz w:val="20"/>
          <w:szCs w:val="20"/>
        </w:rPr>
        <w:t>Attempts to identify surrogate endpoint for DFS and OS have proven more challenging. However the introduction of neo-adjuvant chemo-radiotherapy has offered the opportunity to assess the degree of treatment effect and down-staging as a potential surrogate for longer term outcomes. So, pCR as an endpoint represent the ultimate degree of tumor down-staging defined as no histo-pathologic residual tumor remaining after neo-adjuvant therapy</w:t>
      </w:r>
      <w:r w:rsidR="00B22074" w:rsidRPr="000973FD">
        <w:rPr>
          <w:rFonts w:ascii="Times New Roman" w:hAnsi="Times New Roman" w:cs="Times New Roman"/>
          <w:sz w:val="20"/>
          <w:szCs w:val="20"/>
        </w:rPr>
        <w:t xml:space="preserve"> [12</w:t>
      </w:r>
      <w:r w:rsidR="00CB6B7A" w:rsidRPr="000973FD">
        <w:rPr>
          <w:rFonts w:ascii="Times New Roman" w:hAnsi="Times New Roman" w:cs="Times New Roman"/>
          <w:sz w:val="20"/>
          <w:szCs w:val="20"/>
        </w:rPr>
        <w:t>]</w:t>
      </w:r>
      <w:r w:rsidRPr="000973FD">
        <w:rPr>
          <w:rFonts w:ascii="Times New Roman" w:hAnsi="Times New Roman" w:cs="Times New Roman"/>
          <w:sz w:val="20"/>
          <w:szCs w:val="20"/>
        </w:rPr>
        <w:t>. However, despite increasing the pCR, there was no improved local control and OS as pCR after chemo-radiotherapy is dependent upon the inherent chemo-radio sensitivity of cancer, bulk of the original tumor and interval after completion of treatment</w:t>
      </w:r>
      <w:r w:rsidR="00B22074" w:rsidRPr="000973FD">
        <w:rPr>
          <w:rFonts w:ascii="Times New Roman" w:hAnsi="Times New Roman" w:cs="Times New Roman"/>
          <w:sz w:val="20"/>
          <w:szCs w:val="20"/>
        </w:rPr>
        <w:t xml:space="preserve"> [13</w:t>
      </w:r>
      <w:r w:rsidR="00CB6B7A" w:rsidRPr="000973FD">
        <w:rPr>
          <w:rFonts w:ascii="Times New Roman" w:hAnsi="Times New Roman" w:cs="Times New Roman"/>
          <w:sz w:val="20"/>
          <w:szCs w:val="20"/>
        </w:rPr>
        <w:t>]</w:t>
      </w:r>
      <w:r w:rsidRPr="000973FD">
        <w:rPr>
          <w:rFonts w:ascii="Times New Roman" w:hAnsi="Times New Roman" w:cs="Times New Roman"/>
          <w:sz w:val="20"/>
          <w:szCs w:val="20"/>
        </w:rPr>
        <w:t>. So, pCR has not been endorsed as a validated endpoint in part due to this limitation. Furthermore TRG requires standardization</w:t>
      </w:r>
      <w:r w:rsidR="00B22074" w:rsidRPr="000973FD">
        <w:rPr>
          <w:rFonts w:ascii="Times New Roman" w:hAnsi="Times New Roman" w:cs="Times New Roman"/>
          <w:sz w:val="20"/>
          <w:szCs w:val="20"/>
        </w:rPr>
        <w:t xml:space="preserve"> [14</w:t>
      </w:r>
      <w:r w:rsidR="00CB6B7A" w:rsidRPr="000973FD">
        <w:rPr>
          <w:rFonts w:ascii="Times New Roman" w:hAnsi="Times New Roman" w:cs="Times New Roman"/>
          <w:sz w:val="20"/>
          <w:szCs w:val="20"/>
        </w:rPr>
        <w:t>]</w:t>
      </w:r>
      <w:r w:rsidRPr="000973FD">
        <w:rPr>
          <w:rFonts w:ascii="Times New Roman" w:hAnsi="Times New Roman" w:cs="Times New Roman"/>
          <w:sz w:val="20"/>
          <w:szCs w:val="20"/>
        </w:rPr>
        <w:t xml:space="preserve">. So the NAR score was developed as a short term clinical trial surrogate endpoint to take variables </w:t>
      </w:r>
      <w:r w:rsidRPr="000973FD">
        <w:rPr>
          <w:rFonts w:ascii="Times New Roman" w:hAnsi="Times New Roman" w:cs="Times New Roman"/>
          <w:sz w:val="20"/>
          <w:szCs w:val="20"/>
        </w:rPr>
        <w:lastRenderedPageBreak/>
        <w:t>associated with treatment effect beyond pCR into consideration yet simple enough to support a diversity of clinical trial designs.</w:t>
      </w:r>
    </w:p>
    <w:p w:rsidR="002706BE" w:rsidRPr="000973FD" w:rsidRDefault="002706BE"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lang w:bidi="ar-EG"/>
        </w:rPr>
        <w:t xml:space="preserve">In this study, rectal cancer was common in males rather than females. This result was similar to that of </w:t>
      </w:r>
      <w:r w:rsidRPr="000973FD">
        <w:rPr>
          <w:rFonts w:ascii="Times New Roman" w:hAnsi="Times New Roman" w:cs="Times New Roman"/>
          <w:b/>
          <w:bCs/>
          <w:i/>
          <w:iCs/>
          <w:sz w:val="20"/>
          <w:szCs w:val="20"/>
          <w:lang w:bidi="ar-EG"/>
        </w:rPr>
        <w:t>Gao et al and White et al</w:t>
      </w:r>
      <w:r w:rsidRPr="000973FD">
        <w:rPr>
          <w:rFonts w:ascii="Times New Roman" w:hAnsi="Times New Roman" w:cs="Times New Roman"/>
          <w:sz w:val="20"/>
          <w:szCs w:val="20"/>
          <w:lang w:bidi="ar-EG"/>
        </w:rPr>
        <w:t xml:space="preserve"> where</w:t>
      </w:r>
      <w:r w:rsidRPr="000973FD">
        <w:rPr>
          <w:rFonts w:ascii="Times New Roman" w:hAnsi="Times New Roman" w:cs="Times New Roman"/>
          <w:color w:val="000000"/>
          <w:sz w:val="20"/>
          <w:szCs w:val="20"/>
          <w:shd w:val="clear" w:color="auto" w:fill="FFFFFF"/>
        </w:rPr>
        <w:t xml:space="preserve"> men had higher CRC rates than females. The lower rates for rectal cancer in females are based on a degree of hormonal protection based on oral contraceptive and hormone replacement therapy</w:t>
      </w:r>
      <w:r w:rsidR="00B22074" w:rsidRPr="000973FD">
        <w:rPr>
          <w:rFonts w:ascii="Times New Roman" w:hAnsi="Times New Roman" w:cs="Times New Roman"/>
          <w:color w:val="000000"/>
          <w:sz w:val="20"/>
          <w:szCs w:val="20"/>
          <w:shd w:val="clear" w:color="auto" w:fill="FFFFFF"/>
        </w:rPr>
        <w:t xml:space="preserve"> [15, 16</w:t>
      </w:r>
      <w:r w:rsidR="00CB6B7A" w:rsidRPr="000973FD">
        <w:rPr>
          <w:rFonts w:ascii="Times New Roman" w:hAnsi="Times New Roman" w:cs="Times New Roman"/>
          <w:color w:val="000000"/>
          <w:sz w:val="20"/>
          <w:szCs w:val="20"/>
          <w:shd w:val="clear" w:color="auto" w:fill="FFFFFF"/>
        </w:rPr>
        <w:t>]</w:t>
      </w:r>
      <w:r w:rsidRPr="000973FD">
        <w:rPr>
          <w:rFonts w:ascii="Times New Roman" w:hAnsi="Times New Roman" w:cs="Times New Roman"/>
          <w:sz w:val="20"/>
          <w:szCs w:val="20"/>
          <w:lang w:bidi="ar-EG"/>
        </w:rPr>
        <w:t>.</w:t>
      </w:r>
    </w:p>
    <w:p w:rsidR="002706BE" w:rsidRPr="000973FD" w:rsidRDefault="002706BE" w:rsidP="001E53F5">
      <w:pPr>
        <w:bidi w:val="0"/>
        <w:snapToGrid w:val="0"/>
        <w:spacing w:after="0" w:line="240" w:lineRule="auto"/>
        <w:ind w:firstLine="425"/>
        <w:jc w:val="both"/>
        <w:rPr>
          <w:rFonts w:ascii="Times New Roman" w:hAnsi="Times New Roman" w:cs="Times New Roman"/>
          <w:color w:val="000000"/>
          <w:sz w:val="20"/>
          <w:szCs w:val="20"/>
          <w:shd w:val="clear" w:color="auto" w:fill="FFFFFF"/>
        </w:rPr>
      </w:pPr>
      <w:r w:rsidRPr="000973FD">
        <w:rPr>
          <w:rFonts w:ascii="Times New Roman" w:hAnsi="Times New Roman" w:cs="Times New Roman"/>
          <w:color w:val="000000"/>
          <w:sz w:val="20"/>
          <w:szCs w:val="20"/>
          <w:shd w:val="clear" w:color="auto" w:fill="FFFFFF"/>
        </w:rPr>
        <w:t xml:space="preserve">As regards the histo-pathological type, adenocarcinoma was the commonest type, which was similar to that </w:t>
      </w:r>
      <w:r w:rsidRPr="000973FD">
        <w:rPr>
          <w:rFonts w:ascii="Times New Roman" w:hAnsi="Times New Roman" w:cs="Times New Roman"/>
          <w:sz w:val="20"/>
          <w:szCs w:val="20"/>
          <w:shd w:val="clear" w:color="auto" w:fill="FFFFFF"/>
        </w:rPr>
        <w:t>of</w:t>
      </w:r>
      <w:r w:rsidR="000973FD" w:rsidRPr="000973FD">
        <w:rPr>
          <w:rFonts w:ascii="Times New Roman" w:hAnsi="Times New Roman" w:cs="Times New Roman" w:hint="eastAsia"/>
          <w:sz w:val="20"/>
          <w:szCs w:val="20"/>
          <w:shd w:val="clear" w:color="auto" w:fill="FFFFFF"/>
          <w:lang w:eastAsia="zh-CN"/>
        </w:rPr>
        <w:t xml:space="preserve"> </w:t>
      </w:r>
      <w:hyperlink r:id="rId19" w:history="1">
        <w:r w:rsidRPr="000973FD">
          <w:rPr>
            <w:rStyle w:val="Hyperlink"/>
            <w:rFonts w:ascii="Times New Roman" w:eastAsiaTheme="majorEastAsia" w:hAnsi="Times New Roman" w:cs="Times New Roman"/>
            <w:b/>
            <w:bCs/>
            <w:i/>
            <w:iCs/>
            <w:color w:val="auto"/>
            <w:sz w:val="20"/>
            <w:szCs w:val="20"/>
            <w:u w:val="none"/>
            <w:shd w:val="clear" w:color="auto" w:fill="FFFFFF"/>
          </w:rPr>
          <w:t>Fleming</w:t>
        </w:r>
      </w:hyperlink>
      <w:r w:rsidRPr="000973FD">
        <w:rPr>
          <w:rFonts w:ascii="Times New Roman" w:hAnsi="Times New Roman" w:cs="Times New Roman"/>
          <w:b/>
          <w:bCs/>
          <w:i/>
          <w:iCs/>
          <w:sz w:val="20"/>
          <w:szCs w:val="20"/>
        </w:rPr>
        <w:t xml:space="preserve"> et al, and Marley et al</w:t>
      </w:r>
      <w:r w:rsidR="000973FD" w:rsidRPr="000973FD">
        <w:rPr>
          <w:rFonts w:ascii="Times New Roman" w:hAnsi="Times New Roman" w:cs="Times New Roman" w:hint="eastAsia"/>
          <w:b/>
          <w:bCs/>
          <w:i/>
          <w:iCs/>
          <w:sz w:val="20"/>
          <w:szCs w:val="20"/>
          <w:lang w:eastAsia="zh-CN"/>
        </w:rPr>
        <w:t xml:space="preserve"> </w:t>
      </w:r>
      <w:r w:rsidRPr="000973FD">
        <w:rPr>
          <w:rFonts w:ascii="Times New Roman" w:hAnsi="Times New Roman" w:cs="Times New Roman"/>
          <w:color w:val="000000"/>
          <w:sz w:val="20"/>
          <w:szCs w:val="20"/>
          <w:shd w:val="clear" w:color="auto" w:fill="FFFFFF"/>
        </w:rPr>
        <w:t>where adenocarcinoma represented 90% and over 95% of cases respectively</w:t>
      </w:r>
      <w:r w:rsidR="002548BB" w:rsidRPr="000973FD">
        <w:rPr>
          <w:rFonts w:ascii="Times New Roman" w:hAnsi="Times New Roman" w:cs="Times New Roman"/>
          <w:color w:val="000000"/>
          <w:sz w:val="20"/>
          <w:szCs w:val="20"/>
          <w:shd w:val="clear" w:color="auto" w:fill="FFFFFF"/>
        </w:rPr>
        <w:t xml:space="preserve"> [17,18</w:t>
      </w:r>
      <w:r w:rsidR="00CB6B7A" w:rsidRPr="000973FD">
        <w:rPr>
          <w:rFonts w:ascii="Times New Roman" w:hAnsi="Times New Roman" w:cs="Times New Roman"/>
          <w:color w:val="000000"/>
          <w:sz w:val="20"/>
          <w:szCs w:val="20"/>
          <w:shd w:val="clear" w:color="auto" w:fill="FFFFFF"/>
        </w:rPr>
        <w:t>]</w:t>
      </w:r>
      <w:r w:rsidRPr="000973FD">
        <w:rPr>
          <w:rFonts w:ascii="Times New Roman" w:hAnsi="Times New Roman" w:cs="Times New Roman"/>
          <w:color w:val="000000"/>
          <w:sz w:val="20"/>
          <w:szCs w:val="20"/>
          <w:shd w:val="clear" w:color="auto" w:fill="FFFFFF"/>
        </w:rPr>
        <w:t xml:space="preserve">. </w:t>
      </w:r>
    </w:p>
    <w:p w:rsidR="00F67199" w:rsidRPr="000973FD" w:rsidRDefault="00F67199"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rPr>
        <w:t>By calculating NAR score,</w:t>
      </w:r>
      <w:r w:rsidRPr="000973FD">
        <w:rPr>
          <w:rFonts w:ascii="Times New Roman" w:hAnsi="Times New Roman" w:cs="Times New Roman"/>
          <w:b/>
          <w:bCs/>
          <w:i/>
          <w:iCs/>
          <w:sz w:val="20"/>
          <w:szCs w:val="20"/>
          <w:shd w:val="clear" w:color="auto" w:fill="FFFFFF"/>
        </w:rPr>
        <w:t xml:space="preserve"> Weiner et al</w:t>
      </w:r>
      <w:r w:rsidRPr="000973FD">
        <w:rPr>
          <w:rFonts w:ascii="Times New Roman" w:hAnsi="Times New Roman" w:cs="Times New Roman"/>
          <w:sz w:val="20"/>
          <w:szCs w:val="20"/>
          <w:shd w:val="clear" w:color="auto" w:fill="FFFFFF"/>
        </w:rPr>
        <w:t>, reported a median NAR score of 12.8 comparable to that of our stud</w:t>
      </w:r>
      <w:r w:rsidR="00B4709A" w:rsidRPr="000973FD">
        <w:rPr>
          <w:rFonts w:ascii="Times New Roman" w:hAnsi="Times New Roman" w:cs="Times New Roman"/>
          <w:sz w:val="20"/>
          <w:szCs w:val="20"/>
          <w:shd w:val="clear" w:color="auto" w:fill="FFFFFF"/>
        </w:rPr>
        <w:t>y [</w:t>
      </w:r>
      <w:r w:rsidR="002548BB" w:rsidRPr="000973FD">
        <w:rPr>
          <w:rFonts w:ascii="Times New Roman" w:hAnsi="Times New Roman" w:cs="Times New Roman"/>
          <w:sz w:val="20"/>
          <w:szCs w:val="20"/>
          <w:shd w:val="clear" w:color="auto" w:fill="FFFFFF"/>
        </w:rPr>
        <w:t>19</w:t>
      </w:r>
      <w:r w:rsidRPr="000973FD">
        <w:rPr>
          <w:rFonts w:ascii="Times New Roman" w:hAnsi="Times New Roman" w:cs="Times New Roman"/>
          <w:sz w:val="20"/>
          <w:szCs w:val="20"/>
          <w:shd w:val="clear" w:color="auto" w:fill="FFFFFF"/>
        </w:rPr>
        <w:t xml:space="preserve">]. </w:t>
      </w:r>
      <w:r w:rsidRPr="000973FD">
        <w:rPr>
          <w:rFonts w:ascii="Times New Roman" w:hAnsi="Times New Roman" w:cs="Times New Roman"/>
          <w:sz w:val="20"/>
          <w:szCs w:val="20"/>
        </w:rPr>
        <w:t>Conversely, the median score o</w:t>
      </w:r>
      <w:r w:rsidR="001E53F5" w:rsidRPr="000973FD">
        <w:rPr>
          <w:rFonts w:ascii="Times New Roman" w:hAnsi="Times New Roman" w:cs="Times New Roman"/>
          <w:sz w:val="20"/>
          <w:szCs w:val="20"/>
        </w:rPr>
        <w:t xml:space="preserve">f </w:t>
      </w:r>
      <w:r w:rsidR="001E53F5" w:rsidRPr="000973FD">
        <w:rPr>
          <w:rFonts w:ascii="Times New Roman" w:hAnsi="Times New Roman" w:cs="Times New Roman"/>
          <w:b/>
          <w:bCs/>
          <w:i/>
          <w:iCs/>
          <w:color w:val="000000"/>
          <w:sz w:val="20"/>
          <w:szCs w:val="20"/>
        </w:rPr>
        <w:t>R</w:t>
      </w:r>
      <w:r w:rsidRPr="000973FD">
        <w:rPr>
          <w:rFonts w:ascii="Times New Roman" w:hAnsi="Times New Roman" w:cs="Times New Roman"/>
          <w:b/>
          <w:bCs/>
          <w:i/>
          <w:iCs/>
          <w:color w:val="000000"/>
          <w:sz w:val="20"/>
          <w:szCs w:val="20"/>
        </w:rPr>
        <w:t>aissouni et al and You et al</w:t>
      </w:r>
      <w:r w:rsidRPr="000973FD">
        <w:rPr>
          <w:rFonts w:ascii="Times New Roman" w:hAnsi="Times New Roman" w:cs="Times New Roman"/>
          <w:color w:val="000000"/>
          <w:sz w:val="20"/>
          <w:szCs w:val="20"/>
        </w:rPr>
        <w:t xml:space="preserve"> were 17.36 and 15.0 respectively which were higher than median score in our study [</w:t>
      </w:r>
      <w:r w:rsidR="00031766" w:rsidRPr="000973FD">
        <w:rPr>
          <w:rFonts w:ascii="Times New Roman" w:hAnsi="Times New Roman" w:cs="Times New Roman"/>
          <w:color w:val="000000"/>
          <w:sz w:val="20"/>
          <w:szCs w:val="20"/>
        </w:rPr>
        <w:t>20,21</w:t>
      </w:r>
      <w:r w:rsidR="00721A29" w:rsidRPr="000973FD">
        <w:rPr>
          <w:rFonts w:ascii="Times New Roman" w:hAnsi="Times New Roman" w:cs="Times New Roman"/>
          <w:color w:val="000000"/>
          <w:sz w:val="20"/>
          <w:szCs w:val="20"/>
        </w:rPr>
        <w:t>].</w:t>
      </w:r>
    </w:p>
    <w:p w:rsidR="00F67199" w:rsidRPr="000973FD" w:rsidRDefault="00F67199" w:rsidP="001E53F5">
      <w:pPr>
        <w:pStyle w:val="p"/>
        <w:shd w:val="clear" w:color="auto" w:fill="FFFFFF"/>
        <w:snapToGrid w:val="0"/>
        <w:spacing w:before="0" w:beforeAutospacing="0" w:after="0" w:afterAutospacing="0"/>
        <w:ind w:firstLine="425"/>
        <w:jc w:val="both"/>
        <w:rPr>
          <w:color w:val="000000"/>
          <w:sz w:val="20"/>
          <w:szCs w:val="20"/>
        </w:rPr>
      </w:pPr>
      <w:r w:rsidRPr="000973FD">
        <w:rPr>
          <w:color w:val="000000"/>
          <w:sz w:val="20"/>
          <w:szCs w:val="20"/>
        </w:rPr>
        <w:t>Most of the patients in our study showed high NAR score followed by low and intermediate score. On contrary, in the study o</w:t>
      </w:r>
      <w:r w:rsidR="001E53F5" w:rsidRPr="000973FD">
        <w:rPr>
          <w:color w:val="000000"/>
          <w:sz w:val="20"/>
          <w:szCs w:val="20"/>
        </w:rPr>
        <w:t xml:space="preserve">f </w:t>
      </w:r>
      <w:r w:rsidR="001E53F5" w:rsidRPr="000973FD">
        <w:rPr>
          <w:b/>
          <w:bCs/>
          <w:i/>
          <w:iCs/>
          <w:color w:val="000000"/>
          <w:sz w:val="20"/>
          <w:szCs w:val="20"/>
        </w:rPr>
        <w:t>R</w:t>
      </w:r>
      <w:r w:rsidRPr="000973FD">
        <w:rPr>
          <w:b/>
          <w:bCs/>
          <w:i/>
          <w:iCs/>
          <w:color w:val="000000"/>
          <w:sz w:val="20"/>
          <w:szCs w:val="20"/>
        </w:rPr>
        <w:t>aissouni et al, an</w:t>
      </w:r>
      <w:r w:rsidR="001E53F5" w:rsidRPr="000973FD">
        <w:rPr>
          <w:b/>
          <w:bCs/>
          <w:i/>
          <w:iCs/>
          <w:color w:val="000000"/>
          <w:sz w:val="20"/>
          <w:szCs w:val="20"/>
        </w:rPr>
        <w:t>d Y</w:t>
      </w:r>
      <w:r w:rsidRPr="000973FD">
        <w:rPr>
          <w:b/>
          <w:bCs/>
          <w:i/>
          <w:iCs/>
          <w:color w:val="000000"/>
          <w:sz w:val="20"/>
          <w:szCs w:val="20"/>
        </w:rPr>
        <w:t xml:space="preserve">ou et al, </w:t>
      </w:r>
      <w:r w:rsidRPr="000973FD">
        <w:rPr>
          <w:color w:val="000000"/>
          <w:sz w:val="20"/>
          <w:szCs w:val="20"/>
        </w:rPr>
        <w:t>intermediate, high and low NAR score were 42.6% versus 49.4%,</w:t>
      </w:r>
      <w:r w:rsidR="00B4709A" w:rsidRPr="000973FD">
        <w:rPr>
          <w:color w:val="000000"/>
          <w:sz w:val="20"/>
          <w:szCs w:val="20"/>
        </w:rPr>
        <w:t xml:space="preserve"> </w:t>
      </w:r>
      <w:r w:rsidRPr="000973FD">
        <w:rPr>
          <w:color w:val="000000"/>
          <w:sz w:val="20"/>
          <w:szCs w:val="20"/>
        </w:rPr>
        <w:t>34.9% versus 32.3% and 22.6% versus 18.3% respectivel</w:t>
      </w:r>
      <w:r w:rsidR="00B4709A" w:rsidRPr="000973FD">
        <w:rPr>
          <w:color w:val="000000"/>
          <w:sz w:val="20"/>
          <w:szCs w:val="20"/>
        </w:rPr>
        <w:t>y [</w:t>
      </w:r>
      <w:r w:rsidR="00031766" w:rsidRPr="000973FD">
        <w:rPr>
          <w:color w:val="000000"/>
          <w:sz w:val="20"/>
          <w:szCs w:val="20"/>
        </w:rPr>
        <w:t>20,21</w:t>
      </w:r>
      <w:r w:rsidRPr="000973FD">
        <w:rPr>
          <w:color w:val="000000"/>
          <w:sz w:val="20"/>
          <w:szCs w:val="20"/>
        </w:rPr>
        <w:t>].</w:t>
      </w:r>
    </w:p>
    <w:p w:rsidR="00F67199" w:rsidRPr="000973FD" w:rsidRDefault="00F67199"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lang w:bidi="ar-EG"/>
        </w:rPr>
        <w:t>Considering response, pCR was comparable to that o</w:t>
      </w:r>
      <w:r w:rsidR="001E53F5" w:rsidRPr="000973FD">
        <w:rPr>
          <w:rFonts w:ascii="Times New Roman" w:hAnsi="Times New Roman" w:cs="Times New Roman"/>
          <w:sz w:val="20"/>
          <w:szCs w:val="20"/>
          <w:lang w:bidi="ar-EG"/>
        </w:rPr>
        <w:t xml:space="preserve">f </w:t>
      </w:r>
      <w:r w:rsidR="001E53F5" w:rsidRPr="000973FD">
        <w:rPr>
          <w:rFonts w:ascii="Times New Roman" w:hAnsi="Times New Roman" w:cs="Times New Roman"/>
          <w:b/>
          <w:bCs/>
          <w:i/>
          <w:iCs/>
          <w:sz w:val="20"/>
          <w:szCs w:val="20"/>
          <w:lang w:bidi="ar-EG"/>
        </w:rPr>
        <w:t>K</w:t>
      </w:r>
      <w:r w:rsidRPr="000973FD">
        <w:rPr>
          <w:rFonts w:ascii="Times New Roman" w:hAnsi="Times New Roman" w:cs="Times New Roman"/>
          <w:b/>
          <w:bCs/>
          <w:i/>
          <w:iCs/>
          <w:sz w:val="20"/>
          <w:szCs w:val="20"/>
          <w:lang w:bidi="ar-EG"/>
        </w:rPr>
        <w:t>lautke et al</w:t>
      </w:r>
      <w:r w:rsidRPr="000973FD">
        <w:rPr>
          <w:rFonts w:ascii="Times New Roman" w:hAnsi="Times New Roman" w:cs="Times New Roman"/>
          <w:sz w:val="20"/>
          <w:szCs w:val="20"/>
          <w:shd w:val="clear" w:color="auto" w:fill="FFFFFF"/>
        </w:rPr>
        <w:t xml:space="preserve"> and</w:t>
      </w:r>
      <w:r w:rsidRPr="000973FD">
        <w:rPr>
          <w:rFonts w:ascii="Times New Roman" w:hAnsi="Times New Roman" w:cs="Times New Roman"/>
          <w:b/>
          <w:bCs/>
          <w:i/>
          <w:iCs/>
          <w:sz w:val="20"/>
          <w:szCs w:val="20"/>
        </w:rPr>
        <w:t xml:space="preserve"> Winter et al</w:t>
      </w:r>
      <w:r w:rsidRPr="000973FD">
        <w:rPr>
          <w:rFonts w:ascii="Times New Roman" w:hAnsi="Times New Roman" w:cs="Times New Roman"/>
          <w:sz w:val="20"/>
          <w:szCs w:val="20"/>
          <w:lang w:bidi="ar-EG"/>
        </w:rPr>
        <w:t xml:space="preserve"> where they reported a pCR of</w:t>
      </w:r>
      <w:r w:rsidRPr="000973FD">
        <w:rPr>
          <w:rFonts w:ascii="Times New Roman" w:hAnsi="Times New Roman" w:cs="Times New Roman"/>
          <w:sz w:val="20"/>
          <w:szCs w:val="20"/>
          <w:shd w:val="clear" w:color="auto" w:fill="FFFFFF"/>
        </w:rPr>
        <w:t xml:space="preserve"> 22% and </w:t>
      </w:r>
      <w:r w:rsidRPr="000973FD">
        <w:rPr>
          <w:rFonts w:ascii="Times New Roman" w:hAnsi="Times New Roman" w:cs="Times New Roman"/>
          <w:sz w:val="20"/>
          <w:szCs w:val="20"/>
        </w:rPr>
        <w:t>28%</w:t>
      </w:r>
      <w:r w:rsidRPr="000973FD">
        <w:rPr>
          <w:rFonts w:ascii="Times New Roman" w:hAnsi="Times New Roman" w:cs="Times New Roman"/>
          <w:sz w:val="20"/>
          <w:szCs w:val="20"/>
          <w:shd w:val="clear" w:color="auto" w:fill="FFFFFF"/>
        </w:rPr>
        <w:t xml:space="preserve"> respectively</w:t>
      </w:r>
      <w:r w:rsidR="00031766" w:rsidRPr="000973FD">
        <w:rPr>
          <w:rFonts w:ascii="Times New Roman" w:hAnsi="Times New Roman" w:cs="Times New Roman"/>
          <w:sz w:val="20"/>
          <w:szCs w:val="20"/>
          <w:shd w:val="clear" w:color="auto" w:fill="FFFFFF"/>
        </w:rPr>
        <w:t xml:space="preserve"> [22,23</w:t>
      </w:r>
      <w:r w:rsidR="00CB6B7A" w:rsidRPr="000973FD">
        <w:rPr>
          <w:rFonts w:ascii="Times New Roman" w:hAnsi="Times New Roman" w:cs="Times New Roman"/>
          <w:sz w:val="20"/>
          <w:szCs w:val="20"/>
          <w:shd w:val="clear" w:color="auto" w:fill="FFFFFF"/>
        </w:rPr>
        <w:t>]</w:t>
      </w:r>
      <w:r w:rsidR="001E53F5" w:rsidRPr="000973FD">
        <w:rPr>
          <w:rFonts w:ascii="Times New Roman" w:hAnsi="Times New Roman" w:cs="Times New Roman"/>
          <w:sz w:val="20"/>
          <w:szCs w:val="20"/>
          <w:lang w:bidi="ar-EG"/>
        </w:rPr>
        <w:t>. M</w:t>
      </w:r>
      <w:r w:rsidRPr="000973FD">
        <w:rPr>
          <w:rFonts w:ascii="Times New Roman" w:hAnsi="Times New Roman" w:cs="Times New Roman"/>
          <w:sz w:val="20"/>
          <w:szCs w:val="20"/>
          <w:lang w:bidi="ar-EG"/>
        </w:rPr>
        <w:t>eanwhile, pCR was higher than that of</w:t>
      </w:r>
      <w:r w:rsidRPr="000973FD">
        <w:rPr>
          <w:rFonts w:ascii="Times New Roman" w:hAnsi="Times New Roman" w:cs="Times New Roman"/>
          <w:b/>
          <w:bCs/>
          <w:i/>
          <w:iCs/>
          <w:sz w:val="20"/>
          <w:szCs w:val="20"/>
          <w:lang w:bidi="ar-EG"/>
        </w:rPr>
        <w:t xml:space="preserve"> Kim et al</w:t>
      </w:r>
      <w:r w:rsidR="001E53F5" w:rsidRPr="000973FD">
        <w:rPr>
          <w:rFonts w:ascii="Times New Roman" w:hAnsi="Times New Roman" w:cs="Times New Roman"/>
          <w:b/>
          <w:bCs/>
          <w:i/>
          <w:iCs/>
          <w:sz w:val="20"/>
          <w:szCs w:val="20"/>
          <w:lang w:bidi="ar-EG"/>
        </w:rPr>
        <w:t xml:space="preserve">, </w:t>
      </w:r>
      <w:r w:rsidR="001E53F5" w:rsidRPr="000973FD">
        <w:rPr>
          <w:rFonts w:ascii="Times New Roman" w:hAnsi="Times New Roman" w:cs="Times New Roman"/>
          <w:b/>
          <w:bCs/>
          <w:i/>
          <w:iCs/>
          <w:color w:val="000000"/>
          <w:sz w:val="20"/>
          <w:szCs w:val="20"/>
        </w:rPr>
        <w:t>R</w:t>
      </w:r>
      <w:r w:rsidRPr="000973FD">
        <w:rPr>
          <w:rFonts w:ascii="Times New Roman" w:hAnsi="Times New Roman" w:cs="Times New Roman"/>
          <w:b/>
          <w:bCs/>
          <w:i/>
          <w:iCs/>
          <w:color w:val="000000"/>
          <w:sz w:val="20"/>
          <w:szCs w:val="20"/>
        </w:rPr>
        <w:t>oh et al</w:t>
      </w:r>
      <w:r w:rsidR="001E53F5" w:rsidRPr="000973FD">
        <w:rPr>
          <w:rFonts w:ascii="Times New Roman" w:hAnsi="Times New Roman" w:cs="Times New Roman"/>
          <w:b/>
          <w:bCs/>
          <w:i/>
          <w:iCs/>
          <w:color w:val="000000"/>
          <w:sz w:val="20"/>
          <w:szCs w:val="20"/>
        </w:rPr>
        <w:t>, R</w:t>
      </w:r>
      <w:r w:rsidRPr="000973FD">
        <w:rPr>
          <w:rFonts w:ascii="Times New Roman" w:hAnsi="Times New Roman" w:cs="Times New Roman"/>
          <w:b/>
          <w:bCs/>
          <w:i/>
          <w:iCs/>
          <w:color w:val="000000"/>
          <w:sz w:val="20"/>
          <w:szCs w:val="20"/>
        </w:rPr>
        <w:t>aissouni et al</w:t>
      </w:r>
      <w:r w:rsidR="001E53F5" w:rsidRPr="000973FD">
        <w:rPr>
          <w:rFonts w:ascii="Times New Roman" w:hAnsi="Times New Roman" w:cs="Times New Roman"/>
          <w:b/>
          <w:bCs/>
          <w:i/>
          <w:iCs/>
          <w:color w:val="000000"/>
          <w:sz w:val="20"/>
          <w:szCs w:val="20"/>
        </w:rPr>
        <w:t>, a</w:t>
      </w:r>
      <w:r w:rsidRPr="000973FD">
        <w:rPr>
          <w:rFonts w:ascii="Times New Roman" w:hAnsi="Times New Roman" w:cs="Times New Roman"/>
          <w:b/>
          <w:bCs/>
          <w:i/>
          <w:iCs/>
          <w:color w:val="000000"/>
          <w:sz w:val="20"/>
          <w:szCs w:val="20"/>
        </w:rPr>
        <w:t>nd You et al</w:t>
      </w:r>
      <w:r w:rsidR="000973FD">
        <w:rPr>
          <w:rFonts w:ascii="Times New Roman" w:hAnsi="Times New Roman" w:cs="Times New Roman" w:hint="eastAsia"/>
          <w:b/>
          <w:bCs/>
          <w:i/>
          <w:iCs/>
          <w:color w:val="000000"/>
          <w:sz w:val="20"/>
          <w:szCs w:val="20"/>
          <w:lang w:eastAsia="zh-CN"/>
        </w:rPr>
        <w:t xml:space="preserve"> </w:t>
      </w:r>
      <w:r w:rsidRPr="000973FD">
        <w:rPr>
          <w:rFonts w:ascii="Times New Roman" w:hAnsi="Times New Roman" w:cs="Times New Roman"/>
          <w:color w:val="000000"/>
          <w:sz w:val="20"/>
          <w:szCs w:val="20"/>
          <w:shd w:val="clear" w:color="auto" w:fill="FFFFFF"/>
        </w:rPr>
        <w:t>where pCR were 8.8%,</w:t>
      </w:r>
      <w:r w:rsidRPr="000973FD">
        <w:rPr>
          <w:rFonts w:ascii="Times New Roman" w:hAnsi="Times New Roman" w:cs="Times New Roman"/>
          <w:color w:val="000000"/>
          <w:sz w:val="20"/>
          <w:szCs w:val="20"/>
        </w:rPr>
        <w:t xml:space="preserve"> 15%, 16.6%</w:t>
      </w:r>
      <w:r w:rsidRPr="000973FD">
        <w:rPr>
          <w:rFonts w:ascii="Times New Roman" w:hAnsi="Times New Roman" w:cs="Times New Roman"/>
          <w:b/>
          <w:bCs/>
          <w:i/>
          <w:iCs/>
          <w:color w:val="000000"/>
          <w:sz w:val="20"/>
          <w:szCs w:val="20"/>
        </w:rPr>
        <w:t xml:space="preserve">, </w:t>
      </w:r>
      <w:r w:rsidRPr="000973FD">
        <w:rPr>
          <w:rFonts w:ascii="Times New Roman" w:hAnsi="Times New Roman" w:cs="Times New Roman"/>
          <w:color w:val="000000"/>
          <w:sz w:val="20"/>
          <w:szCs w:val="20"/>
        </w:rPr>
        <w:t>and12.6% respectively</w:t>
      </w:r>
      <w:r w:rsidR="00721A29" w:rsidRPr="000973FD">
        <w:rPr>
          <w:rFonts w:ascii="Times New Roman" w:hAnsi="Times New Roman" w:cs="Times New Roman"/>
          <w:color w:val="000000"/>
          <w:sz w:val="20"/>
          <w:szCs w:val="20"/>
        </w:rPr>
        <w:t xml:space="preserve"> [</w:t>
      </w:r>
      <w:r w:rsidR="00031766" w:rsidRPr="000973FD">
        <w:rPr>
          <w:rFonts w:ascii="Times New Roman" w:hAnsi="Times New Roman" w:cs="Times New Roman"/>
          <w:color w:val="000000"/>
          <w:sz w:val="20"/>
          <w:szCs w:val="20"/>
        </w:rPr>
        <w:t>24,25</w:t>
      </w:r>
      <w:r w:rsidR="00721A29" w:rsidRPr="000973FD">
        <w:rPr>
          <w:rFonts w:ascii="Times New Roman" w:hAnsi="Times New Roman" w:cs="Times New Roman"/>
          <w:color w:val="000000"/>
          <w:sz w:val="20"/>
          <w:szCs w:val="20"/>
        </w:rPr>
        <w:t>], [</w:t>
      </w:r>
      <w:r w:rsidR="00031766" w:rsidRPr="000973FD">
        <w:rPr>
          <w:rFonts w:ascii="Times New Roman" w:hAnsi="Times New Roman" w:cs="Times New Roman"/>
          <w:color w:val="000000"/>
          <w:sz w:val="20"/>
          <w:szCs w:val="20"/>
        </w:rPr>
        <w:t>20,21</w:t>
      </w:r>
      <w:r w:rsidR="00721A29" w:rsidRPr="000973FD">
        <w:rPr>
          <w:rFonts w:ascii="Times New Roman" w:hAnsi="Times New Roman" w:cs="Times New Roman"/>
          <w:color w:val="000000"/>
          <w:sz w:val="20"/>
          <w:szCs w:val="20"/>
        </w:rPr>
        <w:t>]</w:t>
      </w:r>
      <w:r w:rsidR="001E53F5" w:rsidRPr="000973FD">
        <w:rPr>
          <w:rFonts w:ascii="Times New Roman" w:hAnsi="Times New Roman" w:cs="Times New Roman"/>
          <w:color w:val="000000"/>
          <w:sz w:val="20"/>
          <w:szCs w:val="20"/>
        </w:rPr>
        <w:t xml:space="preserve">. </w:t>
      </w:r>
      <w:r w:rsidR="001E53F5" w:rsidRPr="000973FD">
        <w:rPr>
          <w:rFonts w:ascii="Times New Roman" w:hAnsi="Times New Roman" w:cs="Times New Roman"/>
          <w:sz w:val="20"/>
          <w:szCs w:val="20"/>
          <w:lang w:bidi="ar-EG"/>
        </w:rPr>
        <w:t>C</w:t>
      </w:r>
      <w:r w:rsidRPr="000973FD">
        <w:rPr>
          <w:rFonts w:ascii="Times New Roman" w:hAnsi="Times New Roman" w:cs="Times New Roman"/>
          <w:sz w:val="20"/>
          <w:szCs w:val="20"/>
          <w:lang w:bidi="ar-EG"/>
        </w:rPr>
        <w:t>onversely pCR of the current study was lower than that</w:t>
      </w:r>
      <w:r w:rsidRPr="000973FD">
        <w:rPr>
          <w:rFonts w:ascii="Times New Roman" w:hAnsi="Times New Roman" w:cs="Times New Roman"/>
          <w:sz w:val="20"/>
          <w:szCs w:val="20"/>
        </w:rPr>
        <w:t xml:space="preserve"> o</w:t>
      </w:r>
      <w:r w:rsidR="001E53F5" w:rsidRPr="000973FD">
        <w:rPr>
          <w:rFonts w:ascii="Times New Roman" w:hAnsi="Times New Roman" w:cs="Times New Roman"/>
          <w:sz w:val="20"/>
          <w:szCs w:val="20"/>
        </w:rPr>
        <w:t xml:space="preserve">f </w:t>
      </w:r>
      <w:r w:rsidR="001E53F5" w:rsidRPr="000973FD">
        <w:rPr>
          <w:rFonts w:ascii="Times New Roman" w:hAnsi="Times New Roman" w:cs="Times New Roman"/>
          <w:b/>
          <w:bCs/>
          <w:i/>
          <w:iCs/>
          <w:sz w:val="20"/>
          <w:szCs w:val="20"/>
        </w:rPr>
        <w:t>B</w:t>
      </w:r>
      <w:r w:rsidRPr="000973FD">
        <w:rPr>
          <w:rFonts w:ascii="Times New Roman" w:hAnsi="Times New Roman" w:cs="Times New Roman"/>
          <w:b/>
          <w:bCs/>
          <w:i/>
          <w:iCs/>
          <w:sz w:val="20"/>
          <w:szCs w:val="20"/>
        </w:rPr>
        <w:t xml:space="preserve">arbachano et al </w:t>
      </w:r>
      <w:r w:rsidRPr="000973FD">
        <w:rPr>
          <w:rFonts w:ascii="Times New Roman" w:hAnsi="Times New Roman" w:cs="Times New Roman"/>
          <w:sz w:val="20"/>
          <w:szCs w:val="20"/>
        </w:rPr>
        <w:t>where it was 89%</w:t>
      </w:r>
      <w:r w:rsidR="004D3DB1" w:rsidRPr="000973FD">
        <w:rPr>
          <w:rFonts w:ascii="Times New Roman" w:hAnsi="Times New Roman" w:cs="Times New Roman"/>
          <w:sz w:val="20"/>
          <w:szCs w:val="20"/>
        </w:rPr>
        <w:t xml:space="preserve"> [26</w:t>
      </w:r>
      <w:r w:rsidR="00031766" w:rsidRPr="000973FD">
        <w:rPr>
          <w:rFonts w:ascii="Times New Roman" w:hAnsi="Times New Roman" w:cs="Times New Roman"/>
          <w:sz w:val="20"/>
          <w:szCs w:val="20"/>
        </w:rPr>
        <w:t>]</w:t>
      </w:r>
      <w:r w:rsidRPr="000973FD">
        <w:rPr>
          <w:rFonts w:ascii="Times New Roman" w:hAnsi="Times New Roman" w:cs="Times New Roman"/>
          <w:sz w:val="20"/>
          <w:szCs w:val="20"/>
        </w:rPr>
        <w:t>.</w:t>
      </w:r>
      <w:r w:rsidRPr="000973FD">
        <w:rPr>
          <w:rFonts w:ascii="Times New Roman" w:hAnsi="Times New Roman" w:cs="Times New Roman"/>
          <w:sz w:val="20"/>
          <w:szCs w:val="20"/>
          <w:lang w:bidi="ar-EG"/>
        </w:rPr>
        <w:t xml:space="preserve"> The PR was lower than that of</w:t>
      </w:r>
      <w:r w:rsidRPr="000973FD">
        <w:rPr>
          <w:rFonts w:ascii="Times New Roman" w:hAnsi="Times New Roman" w:cs="Times New Roman"/>
          <w:b/>
          <w:bCs/>
          <w:i/>
          <w:iCs/>
          <w:sz w:val="20"/>
          <w:szCs w:val="20"/>
          <w:lang w:bidi="ar-EG"/>
        </w:rPr>
        <w:t xml:space="preserve"> Kim et al, Klautke et al</w:t>
      </w:r>
      <w:r w:rsidR="001E53F5" w:rsidRPr="000973FD">
        <w:rPr>
          <w:rFonts w:ascii="Times New Roman" w:hAnsi="Times New Roman" w:cs="Times New Roman"/>
          <w:b/>
          <w:bCs/>
          <w:i/>
          <w:iCs/>
          <w:sz w:val="20"/>
          <w:szCs w:val="20"/>
          <w:lang w:bidi="ar-EG"/>
        </w:rPr>
        <w:t>, a</w:t>
      </w:r>
      <w:r w:rsidRPr="000973FD">
        <w:rPr>
          <w:rFonts w:ascii="Times New Roman" w:hAnsi="Times New Roman" w:cs="Times New Roman"/>
          <w:b/>
          <w:bCs/>
          <w:i/>
          <w:iCs/>
          <w:sz w:val="20"/>
          <w:szCs w:val="20"/>
          <w:lang w:bidi="ar-EG"/>
        </w:rPr>
        <w:t>nd</w:t>
      </w:r>
      <w:r w:rsidRPr="000973FD">
        <w:rPr>
          <w:rFonts w:ascii="Times New Roman" w:hAnsi="Times New Roman" w:cs="Times New Roman"/>
          <w:b/>
          <w:bCs/>
          <w:i/>
          <w:iCs/>
          <w:sz w:val="20"/>
          <w:szCs w:val="20"/>
        </w:rPr>
        <w:t xml:space="preserve"> Winter et al </w:t>
      </w:r>
      <w:r w:rsidRPr="000973FD">
        <w:rPr>
          <w:rFonts w:ascii="Times New Roman" w:hAnsi="Times New Roman" w:cs="Times New Roman"/>
          <w:sz w:val="20"/>
          <w:szCs w:val="20"/>
        </w:rPr>
        <w:t>where they were</w:t>
      </w:r>
      <w:r w:rsidR="000973FD">
        <w:rPr>
          <w:rFonts w:ascii="Times New Roman" w:hAnsi="Times New Roman" w:cs="Times New Roman" w:hint="eastAsia"/>
          <w:sz w:val="20"/>
          <w:szCs w:val="20"/>
          <w:lang w:eastAsia="zh-CN"/>
        </w:rPr>
        <w:t xml:space="preserve"> </w:t>
      </w:r>
      <w:r w:rsidRPr="000973FD">
        <w:rPr>
          <w:rFonts w:ascii="Times New Roman" w:hAnsi="Times New Roman" w:cs="Times New Roman"/>
          <w:sz w:val="20"/>
          <w:szCs w:val="20"/>
          <w:shd w:val="clear" w:color="auto" w:fill="FFFFFF"/>
        </w:rPr>
        <w:t xml:space="preserve">64.29%, 67% and </w:t>
      </w:r>
      <w:r w:rsidRPr="000973FD">
        <w:rPr>
          <w:rFonts w:ascii="Times New Roman" w:hAnsi="Times New Roman" w:cs="Times New Roman"/>
          <w:sz w:val="20"/>
          <w:szCs w:val="20"/>
        </w:rPr>
        <w:t>78% respectively</w:t>
      </w:r>
      <w:r w:rsidR="00721A29" w:rsidRPr="000973FD">
        <w:rPr>
          <w:rFonts w:ascii="Times New Roman" w:hAnsi="Times New Roman" w:cs="Times New Roman"/>
          <w:sz w:val="20"/>
          <w:szCs w:val="20"/>
        </w:rPr>
        <w:t xml:space="preserve"> [</w:t>
      </w:r>
      <w:r w:rsidR="00031766" w:rsidRPr="000973FD">
        <w:rPr>
          <w:rFonts w:ascii="Times New Roman" w:hAnsi="Times New Roman" w:cs="Times New Roman"/>
          <w:sz w:val="20"/>
          <w:szCs w:val="20"/>
        </w:rPr>
        <w:t>22-24</w:t>
      </w:r>
      <w:r w:rsidR="00721A29" w:rsidRPr="000973FD">
        <w:rPr>
          <w:rFonts w:ascii="Times New Roman" w:hAnsi="Times New Roman" w:cs="Times New Roman"/>
          <w:sz w:val="20"/>
          <w:szCs w:val="20"/>
        </w:rPr>
        <w:t>].</w:t>
      </w:r>
    </w:p>
    <w:p w:rsidR="00F67199" w:rsidRPr="000973FD" w:rsidRDefault="00F67199" w:rsidP="001E53F5">
      <w:pPr>
        <w:bidi w:val="0"/>
        <w:snapToGrid w:val="0"/>
        <w:spacing w:after="0" w:line="240" w:lineRule="auto"/>
        <w:ind w:firstLine="425"/>
        <w:jc w:val="both"/>
        <w:rPr>
          <w:rFonts w:ascii="Times New Roman" w:hAnsi="Times New Roman" w:cs="Times New Roman"/>
          <w:sz w:val="20"/>
          <w:szCs w:val="20"/>
          <w:lang w:bidi="ar-EG"/>
        </w:rPr>
      </w:pPr>
      <w:r w:rsidRPr="000973FD">
        <w:rPr>
          <w:rFonts w:ascii="Times New Roman" w:hAnsi="Times New Roman" w:cs="Times New Roman"/>
          <w:sz w:val="20"/>
          <w:szCs w:val="20"/>
          <w:lang w:bidi="ar-EG"/>
        </w:rPr>
        <w:t>The 5-year DFS rates in our study was lower than that of</w:t>
      </w:r>
      <w:r w:rsidRPr="000973FD">
        <w:rPr>
          <w:rFonts w:ascii="Times New Roman" w:hAnsi="Times New Roman" w:cs="Times New Roman"/>
          <w:b/>
          <w:bCs/>
          <w:i/>
          <w:iCs/>
          <w:sz w:val="20"/>
          <w:szCs w:val="20"/>
          <w:lang w:bidi="ar-EG"/>
        </w:rPr>
        <w:t xml:space="preserve"> Kim et al, </w:t>
      </w:r>
      <w:r w:rsidRPr="000973FD">
        <w:rPr>
          <w:rFonts w:ascii="Times New Roman" w:hAnsi="Times New Roman" w:cs="Times New Roman"/>
          <w:b/>
          <w:bCs/>
          <w:i/>
          <w:iCs/>
          <w:color w:val="000000"/>
          <w:sz w:val="20"/>
          <w:szCs w:val="20"/>
        </w:rPr>
        <w:t>Roh et al</w:t>
      </w:r>
      <w:r w:rsidR="001E53F5" w:rsidRPr="000973FD">
        <w:rPr>
          <w:rFonts w:ascii="Times New Roman" w:hAnsi="Times New Roman" w:cs="Times New Roman"/>
          <w:b/>
          <w:bCs/>
          <w:i/>
          <w:iCs/>
          <w:color w:val="000000"/>
          <w:sz w:val="20"/>
          <w:szCs w:val="20"/>
        </w:rPr>
        <w:t xml:space="preserve">, </w:t>
      </w:r>
      <w:r w:rsidR="001E53F5" w:rsidRPr="000973FD">
        <w:rPr>
          <w:rFonts w:ascii="Times New Roman" w:hAnsi="Times New Roman" w:cs="Times New Roman"/>
          <w:b/>
          <w:bCs/>
          <w:i/>
          <w:iCs/>
          <w:sz w:val="20"/>
          <w:szCs w:val="20"/>
        </w:rPr>
        <w:t>a</w:t>
      </w:r>
      <w:r w:rsidRPr="000973FD">
        <w:rPr>
          <w:rFonts w:ascii="Times New Roman" w:hAnsi="Times New Roman" w:cs="Times New Roman"/>
          <w:b/>
          <w:bCs/>
          <w:i/>
          <w:iCs/>
          <w:sz w:val="20"/>
          <w:szCs w:val="20"/>
        </w:rPr>
        <w:t>nd</w:t>
      </w:r>
      <w:r w:rsidR="000973FD">
        <w:rPr>
          <w:rFonts w:ascii="Times New Roman" w:hAnsi="Times New Roman" w:cs="Times New Roman" w:hint="eastAsia"/>
          <w:b/>
          <w:bCs/>
          <w:i/>
          <w:iCs/>
          <w:sz w:val="20"/>
          <w:szCs w:val="20"/>
          <w:lang w:eastAsia="zh-CN"/>
        </w:rPr>
        <w:t xml:space="preserve"> </w:t>
      </w:r>
      <w:hyperlink r:id="rId20" w:history="1">
        <w:r w:rsidRPr="000973FD">
          <w:rPr>
            <w:rStyle w:val="Hyperlink"/>
            <w:rFonts w:ascii="Times New Roman" w:eastAsiaTheme="majorEastAsia" w:hAnsi="Times New Roman" w:cs="Times New Roman"/>
            <w:b/>
            <w:bCs/>
            <w:i/>
            <w:iCs/>
            <w:color w:val="auto"/>
            <w:sz w:val="20"/>
            <w:szCs w:val="20"/>
            <w:u w:val="none"/>
            <w:shd w:val="clear" w:color="auto" w:fill="FFFFFF"/>
          </w:rPr>
          <w:t>Gérard</w:t>
        </w:r>
      </w:hyperlink>
      <w:r w:rsidRPr="000973FD">
        <w:rPr>
          <w:rFonts w:ascii="Times New Roman" w:hAnsi="Times New Roman" w:cs="Times New Roman"/>
          <w:b/>
          <w:bCs/>
          <w:i/>
          <w:iCs/>
          <w:sz w:val="20"/>
          <w:szCs w:val="20"/>
        </w:rPr>
        <w:t xml:space="preserve"> et al</w:t>
      </w:r>
      <w:r w:rsidRPr="000973FD">
        <w:rPr>
          <w:rFonts w:ascii="Times New Roman" w:hAnsi="Times New Roman" w:cs="Times New Roman"/>
          <w:sz w:val="20"/>
          <w:szCs w:val="20"/>
        </w:rPr>
        <w:t xml:space="preserve"> where they were 52%, 65% and 72.7% respectivel</w:t>
      </w:r>
      <w:r w:rsidR="00B4709A" w:rsidRPr="000973FD">
        <w:rPr>
          <w:rFonts w:ascii="Times New Roman" w:hAnsi="Times New Roman" w:cs="Times New Roman"/>
          <w:sz w:val="20"/>
          <w:szCs w:val="20"/>
        </w:rPr>
        <w:t xml:space="preserve">y </w:t>
      </w:r>
      <w:r w:rsidR="00B4709A" w:rsidRPr="000973FD">
        <w:rPr>
          <w:rFonts w:ascii="Times New Roman" w:hAnsi="Times New Roman" w:cs="Times New Roman"/>
          <w:color w:val="000000"/>
          <w:sz w:val="20"/>
          <w:szCs w:val="20"/>
        </w:rPr>
        <w:t>[</w:t>
      </w:r>
      <w:r w:rsidR="00031766" w:rsidRPr="000973FD">
        <w:rPr>
          <w:rFonts w:ascii="Times New Roman" w:hAnsi="Times New Roman" w:cs="Times New Roman"/>
          <w:color w:val="000000"/>
          <w:sz w:val="20"/>
          <w:szCs w:val="20"/>
        </w:rPr>
        <w:t>24,25,27</w:t>
      </w:r>
      <w:r w:rsidR="0099632F" w:rsidRPr="000973FD">
        <w:rPr>
          <w:rFonts w:ascii="Times New Roman" w:hAnsi="Times New Roman" w:cs="Times New Roman"/>
          <w:color w:val="000000"/>
          <w:sz w:val="20"/>
          <w:szCs w:val="20"/>
        </w:rPr>
        <w:t>]</w:t>
      </w:r>
      <w:r w:rsidR="001E53F5" w:rsidRPr="000973FD">
        <w:rPr>
          <w:rFonts w:ascii="Times New Roman" w:hAnsi="Times New Roman" w:cs="Times New Roman"/>
          <w:sz w:val="20"/>
          <w:szCs w:val="20"/>
        </w:rPr>
        <w:t xml:space="preserve">. </w:t>
      </w:r>
      <w:r w:rsidR="001E53F5" w:rsidRPr="000973FD">
        <w:rPr>
          <w:rFonts w:ascii="Times New Roman" w:hAnsi="Times New Roman" w:cs="Times New Roman"/>
          <w:sz w:val="20"/>
          <w:szCs w:val="20"/>
          <w:lang w:bidi="ar-EG"/>
        </w:rPr>
        <w:t>A</w:t>
      </w:r>
      <w:r w:rsidRPr="000973FD">
        <w:rPr>
          <w:rFonts w:ascii="Times New Roman" w:hAnsi="Times New Roman" w:cs="Times New Roman"/>
          <w:sz w:val="20"/>
          <w:szCs w:val="20"/>
          <w:lang w:bidi="ar-EG"/>
        </w:rPr>
        <w:t xml:space="preserve">lso, </w:t>
      </w:r>
      <w:r w:rsidRPr="000973FD">
        <w:rPr>
          <w:rFonts w:ascii="Times New Roman" w:hAnsi="Times New Roman" w:cs="Times New Roman"/>
          <w:b/>
          <w:bCs/>
          <w:i/>
          <w:iCs/>
          <w:sz w:val="20"/>
          <w:szCs w:val="20"/>
        </w:rPr>
        <w:t>Barbachano et al</w:t>
      </w:r>
      <w:r w:rsidRPr="000973FD">
        <w:rPr>
          <w:rFonts w:ascii="Times New Roman" w:hAnsi="Times New Roman" w:cs="Times New Roman"/>
          <w:sz w:val="20"/>
          <w:szCs w:val="20"/>
        </w:rPr>
        <w:t xml:space="preserve"> reported a higher 3-year DFS rate (68%)</w:t>
      </w:r>
      <w:r w:rsidR="00721A29" w:rsidRPr="000973FD">
        <w:rPr>
          <w:rFonts w:ascii="Times New Roman" w:hAnsi="Times New Roman" w:cs="Times New Roman"/>
          <w:sz w:val="20"/>
          <w:szCs w:val="20"/>
        </w:rPr>
        <w:t xml:space="preserve"> [</w:t>
      </w:r>
      <w:r w:rsidR="00031766" w:rsidRPr="000973FD">
        <w:rPr>
          <w:rFonts w:ascii="Times New Roman" w:hAnsi="Times New Roman" w:cs="Times New Roman"/>
          <w:sz w:val="20"/>
          <w:szCs w:val="20"/>
        </w:rPr>
        <w:t>26</w:t>
      </w:r>
      <w:r w:rsidR="00721A29" w:rsidRPr="000973FD">
        <w:rPr>
          <w:rFonts w:ascii="Times New Roman" w:hAnsi="Times New Roman" w:cs="Times New Roman"/>
          <w:sz w:val="20"/>
          <w:szCs w:val="20"/>
        </w:rPr>
        <w:t>]</w:t>
      </w:r>
      <w:r w:rsidRPr="000973FD">
        <w:rPr>
          <w:rFonts w:ascii="Times New Roman" w:hAnsi="Times New Roman" w:cs="Times New Roman"/>
          <w:sz w:val="20"/>
          <w:szCs w:val="20"/>
        </w:rPr>
        <w:t>.</w:t>
      </w:r>
    </w:p>
    <w:p w:rsidR="00F67199" w:rsidRPr="000973FD" w:rsidRDefault="00F67199" w:rsidP="001E53F5">
      <w:pPr>
        <w:bidi w:val="0"/>
        <w:snapToGrid w:val="0"/>
        <w:spacing w:after="0" w:line="240" w:lineRule="auto"/>
        <w:ind w:firstLine="425"/>
        <w:jc w:val="both"/>
        <w:rPr>
          <w:rFonts w:ascii="Times New Roman" w:hAnsi="Times New Roman" w:cs="Times New Roman"/>
          <w:color w:val="000000"/>
          <w:sz w:val="20"/>
          <w:szCs w:val="20"/>
        </w:rPr>
      </w:pPr>
      <w:r w:rsidRPr="000973FD">
        <w:rPr>
          <w:rFonts w:ascii="Times New Roman" w:hAnsi="Times New Roman" w:cs="Times New Roman"/>
          <w:b/>
          <w:bCs/>
          <w:i/>
          <w:iCs/>
          <w:color w:val="000000"/>
          <w:sz w:val="20"/>
          <w:szCs w:val="20"/>
        </w:rPr>
        <w:t>Roh et al</w:t>
      </w:r>
      <w:r w:rsidRPr="000973FD">
        <w:rPr>
          <w:rFonts w:ascii="Times New Roman" w:hAnsi="Times New Roman" w:cs="Times New Roman"/>
          <w:color w:val="000000"/>
          <w:sz w:val="20"/>
          <w:szCs w:val="20"/>
        </w:rPr>
        <w:t xml:space="preserve"> reported OS rate similar to ours where it was 75%</w:t>
      </w:r>
      <w:r w:rsidR="00031766" w:rsidRPr="000973FD">
        <w:rPr>
          <w:rFonts w:ascii="Times New Roman" w:hAnsi="Times New Roman" w:cs="Times New Roman"/>
          <w:color w:val="000000"/>
          <w:sz w:val="20"/>
          <w:szCs w:val="20"/>
        </w:rPr>
        <w:t xml:space="preserve"> [25</w:t>
      </w:r>
      <w:r w:rsidR="00966D65" w:rsidRPr="000973FD">
        <w:rPr>
          <w:rFonts w:ascii="Times New Roman" w:hAnsi="Times New Roman" w:cs="Times New Roman"/>
          <w:color w:val="000000"/>
          <w:sz w:val="20"/>
          <w:szCs w:val="20"/>
        </w:rPr>
        <w:t>]</w:t>
      </w:r>
      <w:r w:rsidRPr="000973FD">
        <w:rPr>
          <w:rFonts w:ascii="Times New Roman" w:hAnsi="Times New Roman" w:cs="Times New Roman"/>
          <w:color w:val="000000"/>
          <w:sz w:val="20"/>
          <w:szCs w:val="20"/>
        </w:rPr>
        <w:t>. Conversely</w:t>
      </w:r>
      <w:r w:rsidR="000973FD">
        <w:rPr>
          <w:rFonts w:ascii="Times New Roman" w:hAnsi="Times New Roman" w:cs="Times New Roman" w:hint="eastAsia"/>
          <w:color w:val="000000"/>
          <w:sz w:val="20"/>
          <w:szCs w:val="20"/>
          <w:lang w:eastAsia="zh-CN"/>
        </w:rPr>
        <w:t xml:space="preserve"> </w:t>
      </w:r>
      <w:r w:rsidRPr="000973FD">
        <w:rPr>
          <w:rFonts w:ascii="Times New Roman" w:hAnsi="Times New Roman" w:cs="Times New Roman"/>
          <w:b/>
          <w:bCs/>
          <w:i/>
          <w:iCs/>
          <w:sz w:val="20"/>
          <w:szCs w:val="20"/>
        </w:rPr>
        <w:t>Barbachano et al</w:t>
      </w:r>
      <w:r w:rsidR="000973FD" w:rsidRPr="000973FD">
        <w:rPr>
          <w:rFonts w:ascii="Times New Roman" w:hAnsi="Times New Roman" w:cs="Times New Roman" w:hint="eastAsia"/>
          <w:b/>
          <w:bCs/>
          <w:i/>
          <w:iCs/>
          <w:sz w:val="20"/>
          <w:szCs w:val="20"/>
          <w:lang w:eastAsia="zh-CN"/>
        </w:rPr>
        <w:t xml:space="preserve"> </w:t>
      </w:r>
      <w:r w:rsidRPr="000973FD">
        <w:rPr>
          <w:rFonts w:ascii="Times New Roman" w:hAnsi="Times New Roman" w:cs="Times New Roman"/>
          <w:sz w:val="20"/>
          <w:szCs w:val="20"/>
        </w:rPr>
        <w:t>reported higher OS rate (83%). This may be attributed to the different neo-adjuvant strategy as patients received 12 weeks of neo-adjuvant chemotherapy (oxaliplatin with capecitabine) followed by chemo-radiotherapy with capecitabine, TME and 12 weeks of adjuvant capecitabine</w:t>
      </w:r>
      <w:r w:rsidR="0099632F" w:rsidRPr="000973FD">
        <w:rPr>
          <w:rFonts w:ascii="Times New Roman" w:hAnsi="Times New Roman" w:cs="Times New Roman"/>
          <w:sz w:val="20"/>
          <w:szCs w:val="20"/>
        </w:rPr>
        <w:t xml:space="preserve"> [26</w:t>
      </w:r>
      <w:r w:rsidR="00031766" w:rsidRPr="000973FD">
        <w:rPr>
          <w:rFonts w:ascii="Times New Roman" w:hAnsi="Times New Roman" w:cs="Times New Roman"/>
          <w:sz w:val="20"/>
          <w:szCs w:val="20"/>
        </w:rPr>
        <w:t>]</w:t>
      </w:r>
      <w:r w:rsidRPr="000973FD">
        <w:rPr>
          <w:rFonts w:ascii="Times New Roman" w:hAnsi="Times New Roman" w:cs="Times New Roman"/>
          <w:sz w:val="20"/>
          <w:szCs w:val="20"/>
        </w:rPr>
        <w:t xml:space="preserve">. </w:t>
      </w:r>
      <w:r w:rsidRPr="000973FD">
        <w:rPr>
          <w:rFonts w:ascii="Times New Roman" w:hAnsi="Times New Roman" w:cs="Times New Roman"/>
          <w:sz w:val="20"/>
          <w:szCs w:val="20"/>
          <w:lang w:bidi="ar-EG"/>
        </w:rPr>
        <w:t xml:space="preserve">Also </w:t>
      </w:r>
      <w:r w:rsidRPr="000973FD">
        <w:rPr>
          <w:rFonts w:ascii="Times New Roman" w:hAnsi="Times New Roman" w:cs="Times New Roman"/>
          <w:b/>
          <w:bCs/>
          <w:i/>
          <w:iCs/>
          <w:sz w:val="20"/>
          <w:szCs w:val="20"/>
          <w:lang w:bidi="ar-EG"/>
        </w:rPr>
        <w:t xml:space="preserve">Aschele et al, and </w:t>
      </w:r>
      <w:r w:rsidRPr="000973FD">
        <w:rPr>
          <w:rFonts w:ascii="Times New Roman" w:hAnsi="Times New Roman" w:cs="Times New Roman"/>
          <w:b/>
          <w:bCs/>
          <w:i/>
          <w:iCs/>
          <w:color w:val="000000"/>
          <w:sz w:val="20"/>
          <w:szCs w:val="20"/>
        </w:rPr>
        <w:t xml:space="preserve">Gerard et al, </w:t>
      </w:r>
      <w:r w:rsidRPr="000973FD">
        <w:rPr>
          <w:rFonts w:ascii="Times New Roman" w:hAnsi="Times New Roman" w:cs="Times New Roman"/>
          <w:color w:val="000000"/>
          <w:sz w:val="20"/>
          <w:szCs w:val="20"/>
        </w:rPr>
        <w:t>had</w:t>
      </w:r>
      <w:r w:rsidR="000973FD">
        <w:rPr>
          <w:rFonts w:ascii="Times New Roman" w:hAnsi="Times New Roman" w:cs="Times New Roman" w:hint="eastAsia"/>
          <w:color w:val="000000"/>
          <w:sz w:val="20"/>
          <w:szCs w:val="20"/>
          <w:lang w:eastAsia="zh-CN"/>
        </w:rPr>
        <w:t xml:space="preserve"> </w:t>
      </w:r>
      <w:r w:rsidRPr="000973FD">
        <w:rPr>
          <w:rFonts w:ascii="Times New Roman" w:hAnsi="Times New Roman" w:cs="Times New Roman"/>
          <w:color w:val="000000"/>
          <w:sz w:val="20"/>
          <w:szCs w:val="20"/>
        </w:rPr>
        <w:t>a higher OS where</w:t>
      </w:r>
      <w:r w:rsidRPr="000973FD">
        <w:rPr>
          <w:rFonts w:ascii="Times New Roman" w:hAnsi="Times New Roman" w:cs="Times New Roman"/>
          <w:sz w:val="20"/>
          <w:szCs w:val="20"/>
          <w:lang w:bidi="ar-EG"/>
        </w:rPr>
        <w:t xml:space="preserve">5-year OS rates </w:t>
      </w:r>
      <w:r w:rsidRPr="000973FD">
        <w:rPr>
          <w:rFonts w:ascii="Times New Roman" w:hAnsi="Times New Roman" w:cs="Times New Roman"/>
          <w:color w:val="000000"/>
          <w:sz w:val="20"/>
          <w:szCs w:val="20"/>
        </w:rPr>
        <w:t>were 80.4 % and 88.3% respectively</w:t>
      </w:r>
      <w:r w:rsidR="00B4709A" w:rsidRPr="000973FD">
        <w:rPr>
          <w:rFonts w:ascii="Times New Roman" w:hAnsi="Times New Roman" w:cs="Times New Roman"/>
          <w:color w:val="000000"/>
          <w:sz w:val="20"/>
          <w:szCs w:val="20"/>
        </w:rPr>
        <w:t xml:space="preserve"> </w:t>
      </w:r>
      <w:r w:rsidRPr="000973FD">
        <w:rPr>
          <w:rFonts w:ascii="Times New Roman" w:hAnsi="Times New Roman" w:cs="Times New Roman"/>
          <w:color w:val="000000"/>
          <w:sz w:val="20"/>
          <w:szCs w:val="20"/>
        </w:rPr>
        <w:t>may be due to adding oxaliplatin to neo-adjuvant chemo-radiotherapy</w:t>
      </w:r>
      <w:r w:rsidR="00031766" w:rsidRPr="000973FD">
        <w:rPr>
          <w:rFonts w:ascii="Times New Roman" w:hAnsi="Times New Roman" w:cs="Times New Roman"/>
          <w:color w:val="000000"/>
          <w:sz w:val="20"/>
          <w:szCs w:val="20"/>
        </w:rPr>
        <w:t xml:space="preserve"> [27,28</w:t>
      </w:r>
      <w:r w:rsidR="00966D65" w:rsidRPr="000973FD">
        <w:rPr>
          <w:rFonts w:ascii="Times New Roman" w:hAnsi="Times New Roman" w:cs="Times New Roman"/>
          <w:color w:val="000000"/>
          <w:sz w:val="20"/>
          <w:szCs w:val="20"/>
        </w:rPr>
        <w:t>]</w:t>
      </w:r>
      <w:r w:rsidRPr="000973FD">
        <w:rPr>
          <w:rFonts w:ascii="Times New Roman" w:hAnsi="Times New Roman" w:cs="Times New Roman"/>
          <w:color w:val="000000"/>
          <w:sz w:val="20"/>
          <w:szCs w:val="20"/>
        </w:rPr>
        <w:t>.</w:t>
      </w:r>
    </w:p>
    <w:p w:rsidR="00F67199" w:rsidRPr="000973FD" w:rsidRDefault="00F67199" w:rsidP="001E53F5">
      <w:pPr>
        <w:bidi w:val="0"/>
        <w:snapToGrid w:val="0"/>
        <w:spacing w:after="0" w:line="240" w:lineRule="auto"/>
        <w:ind w:firstLine="425"/>
        <w:jc w:val="both"/>
        <w:rPr>
          <w:rFonts w:ascii="Times New Roman" w:hAnsi="Times New Roman" w:cs="Times New Roman"/>
          <w:sz w:val="20"/>
          <w:szCs w:val="20"/>
          <w:shd w:val="clear" w:color="auto" w:fill="FFFFFF"/>
          <w:lang w:bidi="ar-EG"/>
        </w:rPr>
      </w:pPr>
      <w:r w:rsidRPr="000973FD">
        <w:rPr>
          <w:rFonts w:ascii="Times New Roman" w:hAnsi="Times New Roman" w:cs="Times New Roman"/>
          <w:sz w:val="20"/>
          <w:szCs w:val="20"/>
          <w:shd w:val="clear" w:color="auto" w:fill="FFFFFF"/>
          <w:lang w:bidi="ar-EG"/>
        </w:rPr>
        <w:lastRenderedPageBreak/>
        <w:t xml:space="preserve">There was a statistical significant relation between NAR score and OS in our study which was matched with </w:t>
      </w:r>
      <w:r w:rsidRPr="000973FD">
        <w:rPr>
          <w:rFonts w:ascii="Times New Roman" w:hAnsi="Times New Roman" w:cs="Times New Roman"/>
          <w:color w:val="000000"/>
          <w:sz w:val="20"/>
          <w:szCs w:val="20"/>
        </w:rPr>
        <w:t>the study of</w:t>
      </w:r>
      <w:r w:rsidR="000973FD">
        <w:rPr>
          <w:rFonts w:ascii="Times New Roman" w:hAnsi="Times New Roman" w:cs="Times New Roman" w:hint="eastAsia"/>
          <w:color w:val="000000"/>
          <w:sz w:val="20"/>
          <w:szCs w:val="20"/>
          <w:lang w:eastAsia="zh-CN"/>
        </w:rPr>
        <w:t xml:space="preserve"> </w:t>
      </w:r>
      <w:r w:rsidRPr="000973FD">
        <w:rPr>
          <w:rFonts w:ascii="Times New Roman" w:hAnsi="Times New Roman" w:cs="Times New Roman"/>
          <w:b/>
          <w:bCs/>
          <w:i/>
          <w:iCs/>
          <w:color w:val="000000"/>
          <w:sz w:val="20"/>
          <w:szCs w:val="20"/>
        </w:rPr>
        <w:t>Raissouni et al</w:t>
      </w:r>
      <w:r w:rsidRPr="000973FD">
        <w:rPr>
          <w:rFonts w:ascii="Times New Roman" w:hAnsi="Times New Roman" w:cs="Times New Roman"/>
          <w:sz w:val="20"/>
          <w:szCs w:val="20"/>
        </w:rPr>
        <w:t xml:space="preserve">, </w:t>
      </w:r>
      <w:r w:rsidRPr="000973FD">
        <w:rPr>
          <w:rFonts w:ascii="Times New Roman" w:hAnsi="Times New Roman" w:cs="Times New Roman"/>
          <w:b/>
          <w:bCs/>
          <w:i/>
          <w:iCs/>
          <w:color w:val="000000"/>
          <w:sz w:val="20"/>
          <w:szCs w:val="20"/>
        </w:rPr>
        <w:t>You et al</w:t>
      </w:r>
      <w:r w:rsidR="000973FD">
        <w:rPr>
          <w:rFonts w:ascii="Times New Roman" w:hAnsi="Times New Roman" w:cs="Times New Roman" w:hint="eastAsia"/>
          <w:b/>
          <w:bCs/>
          <w:i/>
          <w:iCs/>
          <w:color w:val="000000"/>
          <w:sz w:val="20"/>
          <w:szCs w:val="20"/>
          <w:lang w:eastAsia="zh-CN"/>
        </w:rPr>
        <w:t xml:space="preserve"> </w:t>
      </w:r>
      <w:r w:rsidRPr="000973FD">
        <w:rPr>
          <w:rFonts w:ascii="Times New Roman" w:hAnsi="Times New Roman" w:cs="Times New Roman"/>
          <w:b/>
          <w:bCs/>
          <w:i/>
          <w:iCs/>
          <w:color w:val="000000"/>
          <w:sz w:val="20"/>
          <w:szCs w:val="20"/>
        </w:rPr>
        <w:t>and</w:t>
      </w:r>
      <w:r w:rsidR="000973FD">
        <w:rPr>
          <w:rFonts w:ascii="Times New Roman" w:hAnsi="Times New Roman" w:cs="Times New Roman" w:hint="eastAsia"/>
          <w:b/>
          <w:bCs/>
          <w:i/>
          <w:iCs/>
          <w:color w:val="000000"/>
          <w:sz w:val="20"/>
          <w:szCs w:val="20"/>
          <w:lang w:eastAsia="zh-CN"/>
        </w:rPr>
        <w:t xml:space="preserve"> </w:t>
      </w:r>
      <w:r w:rsidRPr="000973FD">
        <w:rPr>
          <w:rFonts w:ascii="Times New Roman" w:hAnsi="Times New Roman" w:cs="Times New Roman"/>
          <w:b/>
          <w:bCs/>
          <w:i/>
          <w:iCs/>
          <w:color w:val="000000"/>
          <w:sz w:val="20"/>
          <w:szCs w:val="20"/>
        </w:rPr>
        <w:t>George et al</w:t>
      </w:r>
      <w:r w:rsidRPr="000973FD">
        <w:rPr>
          <w:rFonts w:ascii="Times New Roman" w:hAnsi="Times New Roman" w:cs="Times New Roman"/>
          <w:color w:val="000000"/>
          <w:sz w:val="20"/>
          <w:szCs w:val="20"/>
        </w:rPr>
        <w:t xml:space="preserve"> where the</w:t>
      </w:r>
      <w:r w:rsidRPr="000973FD">
        <w:rPr>
          <w:rFonts w:ascii="Times New Roman" w:hAnsi="Times New Roman" w:cs="Times New Roman"/>
          <w:sz w:val="20"/>
          <w:szCs w:val="20"/>
        </w:rPr>
        <w:t xml:space="preserve"> 5-year OS rate in the low NAR score were 88.1%, </w:t>
      </w:r>
      <w:r w:rsidRPr="000973FD">
        <w:rPr>
          <w:rFonts w:ascii="Times New Roman" w:hAnsi="Times New Roman" w:cs="Times New Roman"/>
          <w:color w:val="000000"/>
          <w:sz w:val="20"/>
          <w:szCs w:val="20"/>
        </w:rPr>
        <w:t>88%</w:t>
      </w:r>
      <w:r w:rsidR="00B4709A" w:rsidRPr="000973FD">
        <w:rPr>
          <w:rFonts w:ascii="Times New Roman" w:hAnsi="Times New Roman" w:cs="Times New Roman"/>
          <w:color w:val="000000"/>
          <w:sz w:val="20"/>
          <w:szCs w:val="20"/>
        </w:rPr>
        <w:t xml:space="preserve"> &amp; </w:t>
      </w:r>
      <w:r w:rsidRPr="000973FD">
        <w:rPr>
          <w:rFonts w:ascii="Times New Roman" w:hAnsi="Times New Roman" w:cs="Times New Roman"/>
          <w:color w:val="000000"/>
          <w:sz w:val="20"/>
          <w:szCs w:val="20"/>
        </w:rPr>
        <w:t>92% and</w:t>
      </w:r>
      <w:r w:rsidRPr="000973FD">
        <w:rPr>
          <w:rFonts w:ascii="Times New Roman" w:hAnsi="Times New Roman" w:cs="Times New Roman"/>
          <w:sz w:val="20"/>
          <w:szCs w:val="20"/>
        </w:rPr>
        <w:t xml:space="preserve"> in intermediate NAR score were 82%, </w:t>
      </w:r>
      <w:r w:rsidRPr="000973FD">
        <w:rPr>
          <w:rFonts w:ascii="Times New Roman" w:hAnsi="Times New Roman" w:cs="Times New Roman"/>
          <w:color w:val="000000"/>
          <w:sz w:val="20"/>
          <w:szCs w:val="20"/>
        </w:rPr>
        <w:t>81%</w:t>
      </w:r>
      <w:r w:rsidR="00B4709A" w:rsidRPr="000973FD">
        <w:rPr>
          <w:rFonts w:ascii="Times New Roman" w:hAnsi="Times New Roman" w:cs="Times New Roman"/>
          <w:color w:val="000000"/>
          <w:sz w:val="20"/>
          <w:szCs w:val="20"/>
        </w:rPr>
        <w:t xml:space="preserve"> &amp; </w:t>
      </w:r>
      <w:r w:rsidRPr="000973FD">
        <w:rPr>
          <w:rFonts w:ascii="Times New Roman" w:hAnsi="Times New Roman" w:cs="Times New Roman"/>
          <w:color w:val="000000"/>
          <w:sz w:val="20"/>
          <w:szCs w:val="20"/>
        </w:rPr>
        <w:t xml:space="preserve">89% </w:t>
      </w:r>
      <w:r w:rsidRPr="000973FD">
        <w:rPr>
          <w:rFonts w:ascii="Times New Roman" w:hAnsi="Times New Roman" w:cs="Times New Roman"/>
          <w:sz w:val="20"/>
          <w:szCs w:val="20"/>
        </w:rPr>
        <w:t xml:space="preserve">and in high NAR score were 59.5%, </w:t>
      </w:r>
      <w:r w:rsidRPr="000973FD">
        <w:rPr>
          <w:rFonts w:ascii="Times New Roman" w:hAnsi="Times New Roman" w:cs="Times New Roman"/>
          <w:color w:val="000000"/>
          <w:sz w:val="20"/>
          <w:szCs w:val="20"/>
        </w:rPr>
        <w:t>64.6%</w:t>
      </w:r>
      <w:r w:rsidR="00B4709A" w:rsidRPr="000973FD">
        <w:rPr>
          <w:rFonts w:ascii="Times New Roman" w:hAnsi="Times New Roman" w:cs="Times New Roman"/>
          <w:color w:val="000000"/>
          <w:sz w:val="20"/>
          <w:szCs w:val="20"/>
        </w:rPr>
        <w:t xml:space="preserve"> &amp; </w:t>
      </w:r>
      <w:r w:rsidRPr="000973FD">
        <w:rPr>
          <w:rFonts w:ascii="Times New Roman" w:hAnsi="Times New Roman" w:cs="Times New Roman"/>
          <w:color w:val="000000"/>
          <w:sz w:val="20"/>
          <w:szCs w:val="20"/>
        </w:rPr>
        <w:t>68% respectively</w:t>
      </w:r>
      <w:r w:rsidR="00031766" w:rsidRPr="000973FD">
        <w:rPr>
          <w:rFonts w:ascii="Times New Roman" w:hAnsi="Times New Roman" w:cs="Times New Roman"/>
          <w:color w:val="000000"/>
          <w:sz w:val="20"/>
          <w:szCs w:val="20"/>
        </w:rPr>
        <w:t xml:space="preserve"> [20,21,29]</w:t>
      </w:r>
      <w:r w:rsidRPr="000973FD">
        <w:rPr>
          <w:rFonts w:ascii="Times New Roman" w:hAnsi="Times New Roman" w:cs="Times New Roman"/>
          <w:sz w:val="20"/>
          <w:szCs w:val="20"/>
        </w:rPr>
        <w:t>.</w:t>
      </w:r>
    </w:p>
    <w:p w:rsidR="00A60AA5" w:rsidRPr="000973FD" w:rsidRDefault="00A60AA5" w:rsidP="001E53F5">
      <w:pPr>
        <w:bidi w:val="0"/>
        <w:snapToGrid w:val="0"/>
        <w:spacing w:after="0" w:line="240" w:lineRule="auto"/>
        <w:jc w:val="both"/>
        <w:rPr>
          <w:rFonts w:ascii="Times New Roman" w:hAnsi="Times New Roman" w:cs="Times New Roman"/>
          <w:b/>
          <w:bCs/>
          <w:sz w:val="20"/>
          <w:szCs w:val="20"/>
          <w:lang w:bidi="ar-EG"/>
        </w:rPr>
      </w:pPr>
    </w:p>
    <w:p w:rsidR="00721A29" w:rsidRPr="000973FD" w:rsidRDefault="00721A29" w:rsidP="001E53F5">
      <w:pPr>
        <w:bidi w:val="0"/>
        <w:snapToGrid w:val="0"/>
        <w:spacing w:after="0" w:line="240" w:lineRule="auto"/>
        <w:jc w:val="both"/>
        <w:rPr>
          <w:rFonts w:ascii="Times New Roman" w:hAnsi="Times New Roman" w:cs="Times New Roman"/>
          <w:b/>
          <w:bCs/>
          <w:sz w:val="20"/>
          <w:szCs w:val="20"/>
          <w:lang w:bidi="ar-EG"/>
        </w:rPr>
      </w:pPr>
      <w:r w:rsidRPr="000973FD">
        <w:rPr>
          <w:rFonts w:ascii="Times New Roman" w:hAnsi="Times New Roman" w:cs="Times New Roman"/>
          <w:b/>
          <w:bCs/>
          <w:sz w:val="20"/>
          <w:szCs w:val="20"/>
          <w:lang w:bidi="ar-EG"/>
        </w:rPr>
        <w:t>Conclusion</w:t>
      </w:r>
    </w:p>
    <w:p w:rsidR="00721A29" w:rsidRPr="000973FD" w:rsidRDefault="00721A29" w:rsidP="001E53F5">
      <w:pPr>
        <w:shd w:val="clear" w:color="auto" w:fill="FFFFFF"/>
        <w:bidi w:val="0"/>
        <w:snapToGrid w:val="0"/>
        <w:spacing w:after="0" w:line="240" w:lineRule="auto"/>
        <w:ind w:firstLine="425"/>
        <w:jc w:val="both"/>
        <w:textAlignment w:val="baseline"/>
        <w:outlineLvl w:val="2"/>
        <w:rPr>
          <w:rFonts w:ascii="Times New Roman" w:hAnsi="Times New Roman" w:cs="Times New Roman"/>
          <w:sz w:val="20"/>
          <w:szCs w:val="20"/>
        </w:rPr>
      </w:pPr>
      <w:r w:rsidRPr="000973FD">
        <w:rPr>
          <w:rFonts w:ascii="Times New Roman" w:hAnsi="Times New Roman" w:cs="Times New Roman"/>
          <w:sz w:val="20"/>
          <w:szCs w:val="20"/>
        </w:rPr>
        <w:t>The management of rectal cancer is challenging that requires a lot of scientific researches to decrease local recurrence, improve survival, allow sphincteric preservation and improves the quality of life of the patients. As a result, the researchers start to use a short term end points such as NAR score as a surrogate for survival in rectal cancer patients to facilitate the rapid scientific progress. There was a negative correlation between NAR score and DFS</w:t>
      </w:r>
      <w:r w:rsidR="00B4709A" w:rsidRPr="000973FD">
        <w:rPr>
          <w:rFonts w:ascii="Times New Roman" w:hAnsi="Times New Roman" w:cs="Times New Roman"/>
          <w:sz w:val="20"/>
          <w:szCs w:val="20"/>
        </w:rPr>
        <w:t xml:space="preserve"> &amp; </w:t>
      </w:r>
      <w:r w:rsidRPr="000973FD">
        <w:rPr>
          <w:rFonts w:ascii="Times New Roman" w:hAnsi="Times New Roman" w:cs="Times New Roman"/>
          <w:sz w:val="20"/>
          <w:szCs w:val="20"/>
        </w:rPr>
        <w:t>OS as with the increase of NAR score, there was decrease in DFS and OS.</w:t>
      </w:r>
    </w:p>
    <w:p w:rsidR="008D0799" w:rsidRPr="000973FD" w:rsidRDefault="008D0799" w:rsidP="001E53F5">
      <w:pPr>
        <w:tabs>
          <w:tab w:val="left" w:pos="3879"/>
        </w:tabs>
        <w:bidi w:val="0"/>
        <w:snapToGrid w:val="0"/>
        <w:spacing w:after="0" w:line="240" w:lineRule="auto"/>
        <w:jc w:val="both"/>
        <w:rPr>
          <w:rFonts w:ascii="Times New Roman" w:hAnsi="Times New Roman" w:cs="Times New Roman"/>
          <w:b/>
          <w:bCs/>
          <w:sz w:val="20"/>
          <w:szCs w:val="20"/>
          <w:lang w:bidi="ar-EG"/>
        </w:rPr>
      </w:pPr>
    </w:p>
    <w:p w:rsidR="00F90EB1" w:rsidRPr="000973FD" w:rsidRDefault="00F90EB1" w:rsidP="001E53F5">
      <w:pPr>
        <w:tabs>
          <w:tab w:val="left" w:pos="3879"/>
        </w:tabs>
        <w:bidi w:val="0"/>
        <w:snapToGrid w:val="0"/>
        <w:spacing w:after="0" w:line="240" w:lineRule="auto"/>
        <w:ind w:left="425" w:hanging="425"/>
        <w:jc w:val="both"/>
        <w:rPr>
          <w:rFonts w:ascii="Times New Roman" w:hAnsi="Times New Roman" w:cs="Times New Roman"/>
          <w:b/>
          <w:bCs/>
          <w:sz w:val="20"/>
          <w:szCs w:val="20"/>
          <w:lang w:bidi="ar-EG"/>
        </w:rPr>
      </w:pPr>
      <w:r w:rsidRPr="000973FD">
        <w:rPr>
          <w:rFonts w:ascii="Times New Roman" w:hAnsi="Times New Roman" w:cs="Times New Roman"/>
          <w:b/>
          <w:bCs/>
          <w:sz w:val="20"/>
          <w:szCs w:val="20"/>
          <w:lang w:bidi="ar-EG"/>
        </w:rPr>
        <w:t>References</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Smith</w:t>
      </w:r>
      <w:r w:rsidR="00B4709A" w:rsidRPr="000973FD">
        <w:rPr>
          <w:sz w:val="20"/>
          <w:szCs w:val="20"/>
        </w:rPr>
        <w:t xml:space="preserve"> </w:t>
      </w:r>
      <w:r w:rsidRPr="000973FD">
        <w:rPr>
          <w:sz w:val="20"/>
          <w:szCs w:val="20"/>
        </w:rPr>
        <w:t>D,</w:t>
      </w:r>
      <w:r w:rsidR="00B4709A" w:rsidRPr="000973FD">
        <w:rPr>
          <w:sz w:val="20"/>
          <w:szCs w:val="20"/>
        </w:rPr>
        <w:t xml:space="preserve"> </w:t>
      </w:r>
      <w:r w:rsidRPr="000973FD">
        <w:rPr>
          <w:sz w:val="20"/>
          <w:szCs w:val="20"/>
        </w:rPr>
        <w:t>Ballal</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Hodder</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Soin</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Selvachandran</w:t>
      </w:r>
      <w:r w:rsidR="00B4709A" w:rsidRPr="000973FD">
        <w:rPr>
          <w:sz w:val="20"/>
          <w:szCs w:val="20"/>
        </w:rPr>
        <w:t xml:space="preserve"> </w:t>
      </w:r>
      <w:r w:rsidRPr="000973FD">
        <w:rPr>
          <w:sz w:val="20"/>
          <w:szCs w:val="20"/>
        </w:rPr>
        <w:t>SN,</w:t>
      </w:r>
      <w:r w:rsidR="00B4709A" w:rsidRPr="000973FD">
        <w:rPr>
          <w:sz w:val="20"/>
          <w:szCs w:val="20"/>
        </w:rPr>
        <w:t xml:space="preserve"> </w:t>
      </w:r>
      <w:r w:rsidRPr="000973FD">
        <w:rPr>
          <w:sz w:val="20"/>
          <w:szCs w:val="20"/>
        </w:rPr>
        <w:t>Cade</w:t>
      </w:r>
      <w:r w:rsidR="00B4709A" w:rsidRPr="000973FD">
        <w:rPr>
          <w:sz w:val="20"/>
          <w:szCs w:val="20"/>
        </w:rPr>
        <w:t xml:space="preserve"> </w:t>
      </w:r>
      <w:r w:rsidRPr="000973FD">
        <w:rPr>
          <w:sz w:val="20"/>
          <w:szCs w:val="20"/>
        </w:rPr>
        <w:t>D.</w:t>
      </w:r>
      <w:r w:rsidR="00B4709A" w:rsidRPr="000973FD">
        <w:rPr>
          <w:sz w:val="20"/>
          <w:szCs w:val="20"/>
        </w:rPr>
        <w:t xml:space="preserve"> </w:t>
      </w:r>
      <w:r w:rsidRPr="000973FD">
        <w:rPr>
          <w:sz w:val="20"/>
          <w:szCs w:val="20"/>
        </w:rPr>
        <w:t>Symptomatic</w:t>
      </w:r>
      <w:r w:rsidR="00B4709A" w:rsidRPr="000973FD">
        <w:rPr>
          <w:sz w:val="20"/>
          <w:szCs w:val="20"/>
        </w:rPr>
        <w:t xml:space="preserve"> </w:t>
      </w:r>
      <w:r w:rsidRPr="000973FD">
        <w:rPr>
          <w:sz w:val="20"/>
          <w:szCs w:val="20"/>
        </w:rPr>
        <w:t>presentation</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early</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Annals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Royal</w:t>
      </w:r>
      <w:r w:rsidR="00B4709A" w:rsidRPr="000973FD">
        <w:rPr>
          <w:sz w:val="20"/>
          <w:szCs w:val="20"/>
        </w:rPr>
        <w:t xml:space="preserve"> </w:t>
      </w:r>
      <w:r w:rsidRPr="000973FD">
        <w:rPr>
          <w:sz w:val="20"/>
          <w:szCs w:val="20"/>
        </w:rPr>
        <w:t>College</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Surgeons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England.</w:t>
      </w:r>
      <w:r w:rsidR="00B4709A" w:rsidRPr="000973FD">
        <w:rPr>
          <w:sz w:val="20"/>
          <w:szCs w:val="20"/>
        </w:rPr>
        <w:t xml:space="preserve"> </w:t>
      </w:r>
      <w:r w:rsidRPr="000973FD">
        <w:rPr>
          <w:sz w:val="20"/>
          <w:szCs w:val="20"/>
        </w:rPr>
        <w:t>2006;88(2):185-90.</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Schrag</w:t>
      </w:r>
      <w:r w:rsidR="00B4709A" w:rsidRPr="000973FD">
        <w:rPr>
          <w:sz w:val="20"/>
          <w:szCs w:val="20"/>
        </w:rPr>
        <w:t xml:space="preserve"> </w:t>
      </w:r>
      <w:r w:rsidRPr="000973FD">
        <w:rPr>
          <w:sz w:val="20"/>
          <w:szCs w:val="20"/>
        </w:rPr>
        <w:t>D.</w:t>
      </w:r>
      <w:r w:rsidR="00B4709A" w:rsidRPr="000973FD">
        <w:rPr>
          <w:sz w:val="20"/>
          <w:szCs w:val="20"/>
        </w:rPr>
        <w:t xml:space="preserve"> </w:t>
      </w:r>
      <w:r w:rsidRPr="000973FD">
        <w:rPr>
          <w:sz w:val="20"/>
          <w:szCs w:val="20"/>
        </w:rPr>
        <w:t>Evolving</w:t>
      </w:r>
      <w:r w:rsidR="00B4709A" w:rsidRPr="000973FD">
        <w:rPr>
          <w:sz w:val="20"/>
          <w:szCs w:val="20"/>
        </w:rPr>
        <w:t xml:space="preserve"> </w:t>
      </w:r>
      <w:r w:rsidRPr="000973FD">
        <w:rPr>
          <w:sz w:val="20"/>
          <w:szCs w:val="20"/>
        </w:rPr>
        <w:t>role</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therapy</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Curr</w:t>
      </w:r>
      <w:r w:rsidR="00B4709A" w:rsidRPr="000973FD">
        <w:rPr>
          <w:sz w:val="20"/>
          <w:szCs w:val="20"/>
        </w:rPr>
        <w:t xml:space="preserve"> </w:t>
      </w:r>
      <w:r w:rsidRPr="000973FD">
        <w:rPr>
          <w:sz w:val="20"/>
          <w:szCs w:val="20"/>
        </w:rPr>
        <w:t>Treat</w:t>
      </w:r>
      <w:r w:rsidR="00B4709A" w:rsidRPr="000973FD">
        <w:rPr>
          <w:sz w:val="20"/>
          <w:szCs w:val="20"/>
        </w:rPr>
        <w:t xml:space="preserve"> </w:t>
      </w:r>
      <w:r w:rsidRPr="000973FD">
        <w:rPr>
          <w:sz w:val="20"/>
          <w:szCs w:val="20"/>
        </w:rPr>
        <w:t>Options</w:t>
      </w:r>
      <w:r w:rsidR="00B4709A" w:rsidRPr="000973FD">
        <w:rPr>
          <w:sz w:val="20"/>
          <w:szCs w:val="20"/>
        </w:rPr>
        <w:t xml:space="preserve"> </w:t>
      </w:r>
      <w:r w:rsidRPr="000973FD">
        <w:rPr>
          <w:sz w:val="20"/>
          <w:szCs w:val="20"/>
        </w:rPr>
        <w:t>Oncol.</w:t>
      </w:r>
      <w:r w:rsidR="00B4709A" w:rsidRPr="000973FD">
        <w:rPr>
          <w:sz w:val="20"/>
          <w:szCs w:val="20"/>
        </w:rPr>
        <w:t xml:space="preserve"> </w:t>
      </w:r>
      <w:r w:rsidRPr="000973FD">
        <w:rPr>
          <w:sz w:val="20"/>
          <w:szCs w:val="20"/>
        </w:rPr>
        <w:t>2013;14(3):350-64.</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Sauer</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Becker</w:t>
      </w:r>
      <w:r w:rsidR="00B4709A" w:rsidRPr="000973FD">
        <w:rPr>
          <w:sz w:val="20"/>
          <w:szCs w:val="20"/>
        </w:rPr>
        <w:t xml:space="preserve"> </w:t>
      </w:r>
      <w:r w:rsidRPr="000973FD">
        <w:rPr>
          <w:sz w:val="20"/>
          <w:szCs w:val="20"/>
        </w:rPr>
        <w:t>H,</w:t>
      </w:r>
      <w:r w:rsidR="00B4709A" w:rsidRPr="000973FD">
        <w:rPr>
          <w:sz w:val="20"/>
          <w:szCs w:val="20"/>
        </w:rPr>
        <w:t xml:space="preserve"> </w:t>
      </w:r>
      <w:r w:rsidRPr="000973FD">
        <w:rPr>
          <w:sz w:val="20"/>
          <w:szCs w:val="20"/>
        </w:rPr>
        <w:t>Hohenberger</w:t>
      </w:r>
      <w:r w:rsidR="00B4709A" w:rsidRPr="000973FD">
        <w:rPr>
          <w:sz w:val="20"/>
          <w:szCs w:val="20"/>
        </w:rPr>
        <w:t xml:space="preserve"> </w:t>
      </w:r>
      <w:r w:rsidRPr="000973FD">
        <w:rPr>
          <w:sz w:val="20"/>
          <w:szCs w:val="20"/>
        </w:rPr>
        <w:t>W,</w:t>
      </w:r>
      <w:r w:rsidR="00B4709A" w:rsidRPr="000973FD">
        <w:rPr>
          <w:sz w:val="20"/>
          <w:szCs w:val="20"/>
        </w:rPr>
        <w:t xml:space="preserve"> </w:t>
      </w:r>
      <w:r w:rsidRPr="000973FD">
        <w:rPr>
          <w:sz w:val="20"/>
          <w:szCs w:val="20"/>
        </w:rPr>
        <w:t>Rodel</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Wittekind</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Fietkau</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versus</w:t>
      </w:r>
      <w:r w:rsidR="00B4709A" w:rsidRPr="000973FD">
        <w:rPr>
          <w:sz w:val="20"/>
          <w:szCs w:val="20"/>
        </w:rPr>
        <w:t xml:space="preserve"> </w:t>
      </w:r>
      <w:r w:rsidRPr="000973FD">
        <w:rPr>
          <w:sz w:val="20"/>
          <w:szCs w:val="20"/>
        </w:rPr>
        <w:t>postoperative</w:t>
      </w:r>
      <w:r w:rsidR="00B4709A" w:rsidRPr="000973FD">
        <w:rPr>
          <w:sz w:val="20"/>
          <w:szCs w:val="20"/>
        </w:rPr>
        <w:t xml:space="preserve"> </w:t>
      </w:r>
      <w:r w:rsidRPr="000973FD">
        <w:rPr>
          <w:sz w:val="20"/>
          <w:szCs w:val="20"/>
        </w:rPr>
        <w:t>chemoradiotherapy</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New</w:t>
      </w:r>
      <w:r w:rsidR="00B4709A" w:rsidRPr="000973FD">
        <w:rPr>
          <w:sz w:val="20"/>
          <w:szCs w:val="20"/>
        </w:rPr>
        <w:t xml:space="preserve"> </w:t>
      </w:r>
      <w:r w:rsidRPr="000973FD">
        <w:rPr>
          <w:sz w:val="20"/>
          <w:szCs w:val="20"/>
        </w:rPr>
        <w:t>England</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medicine.</w:t>
      </w:r>
      <w:r w:rsidR="00B4709A" w:rsidRPr="000973FD">
        <w:rPr>
          <w:sz w:val="20"/>
          <w:szCs w:val="20"/>
        </w:rPr>
        <w:t xml:space="preserve"> </w:t>
      </w:r>
      <w:r w:rsidRPr="000973FD">
        <w:rPr>
          <w:sz w:val="20"/>
          <w:szCs w:val="20"/>
        </w:rPr>
        <w:t>2004;351(17):1731-40.</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Bosset</w:t>
      </w:r>
      <w:r w:rsidR="00B4709A" w:rsidRPr="000973FD">
        <w:rPr>
          <w:sz w:val="20"/>
          <w:szCs w:val="20"/>
        </w:rPr>
        <w:t xml:space="preserve"> </w:t>
      </w:r>
      <w:r w:rsidRPr="000973FD">
        <w:rPr>
          <w:sz w:val="20"/>
          <w:szCs w:val="20"/>
        </w:rPr>
        <w:t>JF,</w:t>
      </w:r>
      <w:r w:rsidR="00B4709A" w:rsidRPr="000973FD">
        <w:rPr>
          <w:sz w:val="20"/>
          <w:szCs w:val="20"/>
        </w:rPr>
        <w:t xml:space="preserve"> </w:t>
      </w:r>
      <w:r w:rsidRPr="000973FD">
        <w:rPr>
          <w:sz w:val="20"/>
          <w:szCs w:val="20"/>
        </w:rPr>
        <w:t>Collette</w:t>
      </w:r>
      <w:r w:rsidR="00B4709A" w:rsidRPr="000973FD">
        <w:rPr>
          <w:sz w:val="20"/>
          <w:szCs w:val="20"/>
        </w:rPr>
        <w:t xml:space="preserve"> </w:t>
      </w:r>
      <w:r w:rsidRPr="000973FD">
        <w:rPr>
          <w:sz w:val="20"/>
          <w:szCs w:val="20"/>
        </w:rPr>
        <w:t>L,</w:t>
      </w:r>
      <w:r w:rsidR="00B4709A" w:rsidRPr="000973FD">
        <w:rPr>
          <w:sz w:val="20"/>
          <w:szCs w:val="20"/>
        </w:rPr>
        <w:t xml:space="preserve"> </w:t>
      </w:r>
      <w:r w:rsidRPr="000973FD">
        <w:rPr>
          <w:sz w:val="20"/>
          <w:szCs w:val="20"/>
        </w:rPr>
        <w:t>Calais</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Mineur</w:t>
      </w:r>
      <w:r w:rsidR="00B4709A" w:rsidRPr="000973FD">
        <w:rPr>
          <w:sz w:val="20"/>
          <w:szCs w:val="20"/>
        </w:rPr>
        <w:t xml:space="preserve"> </w:t>
      </w:r>
      <w:r w:rsidRPr="000973FD">
        <w:rPr>
          <w:sz w:val="20"/>
          <w:szCs w:val="20"/>
        </w:rPr>
        <w:t>L,</w:t>
      </w:r>
      <w:r w:rsidR="00B4709A" w:rsidRPr="000973FD">
        <w:rPr>
          <w:sz w:val="20"/>
          <w:szCs w:val="20"/>
        </w:rPr>
        <w:t xml:space="preserve"> </w:t>
      </w:r>
      <w:r w:rsidRPr="000973FD">
        <w:rPr>
          <w:sz w:val="20"/>
          <w:szCs w:val="20"/>
        </w:rPr>
        <w:t>Maingon</w:t>
      </w:r>
      <w:r w:rsidR="00B4709A" w:rsidRPr="000973FD">
        <w:rPr>
          <w:sz w:val="20"/>
          <w:szCs w:val="20"/>
        </w:rPr>
        <w:t xml:space="preserve"> </w:t>
      </w:r>
      <w:r w:rsidRPr="000973FD">
        <w:rPr>
          <w:sz w:val="20"/>
          <w:szCs w:val="20"/>
        </w:rPr>
        <w:t>P,</w:t>
      </w:r>
      <w:r w:rsidR="00B4709A" w:rsidRPr="000973FD">
        <w:rPr>
          <w:sz w:val="20"/>
          <w:szCs w:val="20"/>
        </w:rPr>
        <w:t xml:space="preserve"> </w:t>
      </w:r>
      <w:r w:rsidRPr="000973FD">
        <w:rPr>
          <w:sz w:val="20"/>
          <w:szCs w:val="20"/>
        </w:rPr>
        <w:t>Radosevic-Jelic</w:t>
      </w:r>
      <w:r w:rsidR="00B4709A" w:rsidRPr="000973FD">
        <w:rPr>
          <w:sz w:val="20"/>
          <w:szCs w:val="20"/>
        </w:rPr>
        <w:t xml:space="preserve"> </w:t>
      </w:r>
      <w:r w:rsidRPr="000973FD">
        <w:rPr>
          <w:sz w:val="20"/>
          <w:szCs w:val="20"/>
        </w:rPr>
        <w:t>L,</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Chemotherapy</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radiotherapy</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New</w:t>
      </w:r>
      <w:r w:rsidR="00B4709A" w:rsidRPr="000973FD">
        <w:rPr>
          <w:sz w:val="20"/>
          <w:szCs w:val="20"/>
        </w:rPr>
        <w:t xml:space="preserve"> </w:t>
      </w:r>
      <w:r w:rsidRPr="000973FD">
        <w:rPr>
          <w:sz w:val="20"/>
          <w:szCs w:val="20"/>
        </w:rPr>
        <w:t>England</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medicine.</w:t>
      </w:r>
      <w:r w:rsidR="00B4709A" w:rsidRPr="000973FD">
        <w:rPr>
          <w:sz w:val="20"/>
          <w:szCs w:val="20"/>
        </w:rPr>
        <w:t xml:space="preserve"> </w:t>
      </w:r>
      <w:r w:rsidRPr="000973FD">
        <w:rPr>
          <w:sz w:val="20"/>
          <w:szCs w:val="20"/>
        </w:rPr>
        <w:t>2006;355(11):1114-23.</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Sauer</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Liersch</w:t>
      </w:r>
      <w:r w:rsidR="00B4709A" w:rsidRPr="000973FD">
        <w:rPr>
          <w:sz w:val="20"/>
          <w:szCs w:val="20"/>
        </w:rPr>
        <w:t xml:space="preserve"> </w:t>
      </w:r>
      <w:r w:rsidRPr="000973FD">
        <w:rPr>
          <w:sz w:val="20"/>
          <w:szCs w:val="20"/>
        </w:rPr>
        <w:t>T,</w:t>
      </w:r>
      <w:r w:rsidR="00B4709A" w:rsidRPr="000973FD">
        <w:rPr>
          <w:sz w:val="20"/>
          <w:szCs w:val="20"/>
        </w:rPr>
        <w:t xml:space="preserve"> </w:t>
      </w:r>
      <w:r w:rsidRPr="000973FD">
        <w:rPr>
          <w:sz w:val="20"/>
          <w:szCs w:val="20"/>
        </w:rPr>
        <w:t>Merkel</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Fietkau</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Hohenberger</w:t>
      </w:r>
      <w:r w:rsidR="00B4709A" w:rsidRPr="000973FD">
        <w:rPr>
          <w:sz w:val="20"/>
          <w:szCs w:val="20"/>
        </w:rPr>
        <w:t xml:space="preserve"> </w:t>
      </w:r>
      <w:r w:rsidRPr="000973FD">
        <w:rPr>
          <w:sz w:val="20"/>
          <w:szCs w:val="20"/>
        </w:rPr>
        <w:t>W,</w:t>
      </w:r>
      <w:r w:rsidR="00B4709A" w:rsidRPr="000973FD">
        <w:rPr>
          <w:sz w:val="20"/>
          <w:szCs w:val="20"/>
        </w:rPr>
        <w:t xml:space="preserve"> </w:t>
      </w:r>
      <w:r w:rsidRPr="000973FD">
        <w:rPr>
          <w:sz w:val="20"/>
          <w:szCs w:val="20"/>
        </w:rPr>
        <w:t>Hess</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Versus</w:t>
      </w:r>
      <w:r w:rsidR="00B4709A" w:rsidRPr="000973FD">
        <w:rPr>
          <w:sz w:val="20"/>
          <w:szCs w:val="20"/>
        </w:rPr>
        <w:t xml:space="preserve"> </w:t>
      </w:r>
      <w:r w:rsidRPr="000973FD">
        <w:rPr>
          <w:sz w:val="20"/>
          <w:szCs w:val="20"/>
        </w:rPr>
        <w:t>Postoperative</w:t>
      </w:r>
      <w:r w:rsidR="00B4709A" w:rsidRPr="000973FD">
        <w:rPr>
          <w:sz w:val="20"/>
          <w:szCs w:val="20"/>
        </w:rPr>
        <w:t xml:space="preserve"> </w:t>
      </w:r>
      <w:r w:rsidRPr="000973FD">
        <w:rPr>
          <w:sz w:val="20"/>
          <w:szCs w:val="20"/>
        </w:rPr>
        <w:t>Chemoradiotherapy</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Locally</w:t>
      </w:r>
      <w:r w:rsidR="00B4709A" w:rsidRPr="000973FD">
        <w:rPr>
          <w:sz w:val="20"/>
          <w:szCs w:val="20"/>
        </w:rPr>
        <w:t xml:space="preserve"> </w:t>
      </w:r>
      <w:r w:rsidRPr="000973FD">
        <w:rPr>
          <w:sz w:val="20"/>
          <w:szCs w:val="20"/>
        </w:rPr>
        <w:t>Advanced</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Results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German</w:t>
      </w:r>
      <w:r w:rsidR="00B4709A" w:rsidRPr="000973FD">
        <w:rPr>
          <w:sz w:val="20"/>
          <w:szCs w:val="20"/>
        </w:rPr>
        <w:t xml:space="preserve"> </w:t>
      </w:r>
      <w:r w:rsidRPr="000973FD">
        <w:rPr>
          <w:sz w:val="20"/>
          <w:szCs w:val="20"/>
        </w:rPr>
        <w:t>CAO/ARO/AIO-94</w:t>
      </w:r>
      <w:r w:rsidR="00B4709A" w:rsidRPr="000973FD">
        <w:rPr>
          <w:sz w:val="20"/>
          <w:szCs w:val="20"/>
        </w:rPr>
        <w:t xml:space="preserve"> </w:t>
      </w:r>
      <w:r w:rsidRPr="000973FD">
        <w:rPr>
          <w:sz w:val="20"/>
          <w:szCs w:val="20"/>
        </w:rPr>
        <w:t>Randomized</w:t>
      </w:r>
      <w:r w:rsidR="00B4709A" w:rsidRPr="000973FD">
        <w:rPr>
          <w:sz w:val="20"/>
          <w:szCs w:val="20"/>
        </w:rPr>
        <w:t xml:space="preserve"> </w:t>
      </w:r>
      <w:r w:rsidRPr="000973FD">
        <w:rPr>
          <w:sz w:val="20"/>
          <w:szCs w:val="20"/>
        </w:rPr>
        <w:t>Phase</w:t>
      </w:r>
      <w:r w:rsidR="00B4709A" w:rsidRPr="000973FD">
        <w:rPr>
          <w:sz w:val="20"/>
          <w:szCs w:val="20"/>
        </w:rPr>
        <w:t xml:space="preserve"> </w:t>
      </w:r>
      <w:r w:rsidRPr="000973FD">
        <w:rPr>
          <w:sz w:val="20"/>
          <w:szCs w:val="20"/>
        </w:rPr>
        <w:t>III</w:t>
      </w:r>
      <w:r w:rsidR="00B4709A" w:rsidRPr="000973FD">
        <w:rPr>
          <w:sz w:val="20"/>
          <w:szCs w:val="20"/>
        </w:rPr>
        <w:t xml:space="preserve"> </w:t>
      </w:r>
      <w:r w:rsidRPr="000973FD">
        <w:rPr>
          <w:sz w:val="20"/>
          <w:szCs w:val="20"/>
        </w:rPr>
        <w:t>Trial</w:t>
      </w:r>
      <w:r w:rsidR="00B4709A" w:rsidRPr="000973FD">
        <w:rPr>
          <w:sz w:val="20"/>
          <w:szCs w:val="20"/>
        </w:rPr>
        <w:t xml:space="preserve"> </w:t>
      </w:r>
      <w:r w:rsidRPr="000973FD">
        <w:rPr>
          <w:sz w:val="20"/>
          <w:szCs w:val="20"/>
        </w:rPr>
        <w:t>After</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Median</w:t>
      </w:r>
      <w:r w:rsidR="00B4709A" w:rsidRPr="000973FD">
        <w:rPr>
          <w:sz w:val="20"/>
          <w:szCs w:val="20"/>
        </w:rPr>
        <w:t xml:space="preserve"> </w:t>
      </w:r>
      <w:r w:rsidRPr="000973FD">
        <w:rPr>
          <w:sz w:val="20"/>
          <w:szCs w:val="20"/>
        </w:rPr>
        <w:t>Follow-Up</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11</w:t>
      </w:r>
      <w:r w:rsidR="00B4709A" w:rsidRPr="000973FD">
        <w:rPr>
          <w:sz w:val="20"/>
          <w:szCs w:val="20"/>
        </w:rPr>
        <w:t xml:space="preserve"> </w:t>
      </w:r>
      <w:r w:rsidRPr="000973FD">
        <w:rPr>
          <w:sz w:val="20"/>
          <w:szCs w:val="20"/>
        </w:rPr>
        <w:t>Years.</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2012;30(16):1926-33.</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Brenner</w:t>
      </w:r>
      <w:r w:rsidR="00B4709A" w:rsidRPr="000973FD">
        <w:rPr>
          <w:sz w:val="20"/>
          <w:szCs w:val="20"/>
        </w:rPr>
        <w:t xml:space="preserve"> </w:t>
      </w:r>
      <w:r w:rsidRPr="000973FD">
        <w:rPr>
          <w:sz w:val="20"/>
          <w:szCs w:val="20"/>
        </w:rPr>
        <w:t>H,</w:t>
      </w:r>
      <w:r w:rsidR="00B4709A" w:rsidRPr="000973FD">
        <w:rPr>
          <w:sz w:val="20"/>
          <w:szCs w:val="20"/>
        </w:rPr>
        <w:t xml:space="preserve"> </w:t>
      </w:r>
      <w:r w:rsidRPr="000973FD">
        <w:rPr>
          <w:sz w:val="20"/>
          <w:szCs w:val="20"/>
        </w:rPr>
        <w:t>Kloor</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Pox</w:t>
      </w:r>
      <w:r w:rsidR="00B4709A" w:rsidRPr="000973FD">
        <w:rPr>
          <w:sz w:val="20"/>
          <w:szCs w:val="20"/>
        </w:rPr>
        <w:t xml:space="preserve"> </w:t>
      </w:r>
      <w:r w:rsidRPr="000973FD">
        <w:rPr>
          <w:sz w:val="20"/>
          <w:szCs w:val="20"/>
        </w:rPr>
        <w:t>CP.</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Lancet</w:t>
      </w:r>
      <w:r w:rsidR="00B4709A" w:rsidRPr="000973FD">
        <w:rPr>
          <w:sz w:val="20"/>
          <w:szCs w:val="20"/>
        </w:rPr>
        <w:t xml:space="preserve"> </w:t>
      </w:r>
      <w:r w:rsidRPr="000973FD">
        <w:rPr>
          <w:sz w:val="20"/>
          <w:szCs w:val="20"/>
        </w:rPr>
        <w:t>(London,</w:t>
      </w:r>
      <w:r w:rsidR="00B4709A" w:rsidRPr="000973FD">
        <w:rPr>
          <w:sz w:val="20"/>
          <w:szCs w:val="20"/>
        </w:rPr>
        <w:t xml:space="preserve"> </w:t>
      </w:r>
      <w:r w:rsidRPr="000973FD">
        <w:rPr>
          <w:sz w:val="20"/>
          <w:szCs w:val="20"/>
        </w:rPr>
        <w:t>England).</w:t>
      </w:r>
      <w:r w:rsidR="00B4709A" w:rsidRPr="000973FD">
        <w:rPr>
          <w:sz w:val="20"/>
          <w:szCs w:val="20"/>
        </w:rPr>
        <w:t xml:space="preserve"> </w:t>
      </w:r>
      <w:r w:rsidRPr="000973FD">
        <w:rPr>
          <w:sz w:val="20"/>
          <w:szCs w:val="20"/>
        </w:rPr>
        <w:t>2014;</w:t>
      </w:r>
      <w:r w:rsidR="000973FD">
        <w:rPr>
          <w:rFonts w:hint="eastAsia"/>
          <w:sz w:val="20"/>
          <w:szCs w:val="20"/>
          <w:lang w:eastAsia="zh-CN"/>
        </w:rPr>
        <w:t xml:space="preserve"> </w:t>
      </w:r>
      <w:r w:rsidRPr="000973FD">
        <w:rPr>
          <w:sz w:val="20"/>
          <w:szCs w:val="20"/>
        </w:rPr>
        <w:t>383(9927):1490-502.</w:t>
      </w:r>
    </w:p>
    <w:p w:rsidR="00031766" w:rsidRPr="000973FD" w:rsidRDefault="00031766" w:rsidP="001E53F5">
      <w:pPr>
        <w:pStyle w:val="EndNoteBibliography"/>
        <w:numPr>
          <w:ilvl w:val="1"/>
          <w:numId w:val="5"/>
        </w:numPr>
        <w:snapToGrid w:val="0"/>
        <w:spacing w:after="0"/>
        <w:ind w:left="425" w:hanging="425"/>
        <w:jc w:val="both"/>
        <w:rPr>
          <w:sz w:val="20"/>
          <w:szCs w:val="20"/>
        </w:rPr>
      </w:pPr>
      <w:r w:rsidRPr="000973FD">
        <w:rPr>
          <w:sz w:val="20"/>
          <w:szCs w:val="20"/>
        </w:rPr>
        <w:t>Bray</w:t>
      </w:r>
      <w:r w:rsidR="00B4709A" w:rsidRPr="000973FD">
        <w:rPr>
          <w:sz w:val="20"/>
          <w:szCs w:val="20"/>
        </w:rPr>
        <w:t xml:space="preserve"> </w:t>
      </w:r>
      <w:r w:rsidRPr="000973FD">
        <w:rPr>
          <w:sz w:val="20"/>
          <w:szCs w:val="20"/>
        </w:rPr>
        <w:t>F,</w:t>
      </w:r>
      <w:r w:rsidR="00B4709A" w:rsidRPr="000973FD">
        <w:rPr>
          <w:sz w:val="20"/>
          <w:szCs w:val="20"/>
        </w:rPr>
        <w:t xml:space="preserve"> </w:t>
      </w:r>
      <w:r w:rsidRPr="000973FD">
        <w:rPr>
          <w:sz w:val="20"/>
          <w:szCs w:val="20"/>
        </w:rPr>
        <w:t>Ferlay</w:t>
      </w:r>
      <w:r w:rsidR="00B4709A" w:rsidRPr="000973FD">
        <w:rPr>
          <w:sz w:val="20"/>
          <w:szCs w:val="20"/>
        </w:rPr>
        <w:t xml:space="preserve"> </w:t>
      </w:r>
      <w:r w:rsidRPr="000973FD">
        <w:rPr>
          <w:sz w:val="20"/>
          <w:szCs w:val="20"/>
        </w:rPr>
        <w:t>J,</w:t>
      </w:r>
      <w:r w:rsidR="00B4709A" w:rsidRPr="000973FD">
        <w:rPr>
          <w:sz w:val="20"/>
          <w:szCs w:val="20"/>
        </w:rPr>
        <w:t xml:space="preserve"> </w:t>
      </w:r>
      <w:r w:rsidRPr="000973FD">
        <w:rPr>
          <w:sz w:val="20"/>
          <w:szCs w:val="20"/>
        </w:rPr>
        <w:t>Soerjomataram</w:t>
      </w:r>
      <w:r w:rsidR="00B4709A" w:rsidRPr="000973FD">
        <w:rPr>
          <w:sz w:val="20"/>
          <w:szCs w:val="20"/>
        </w:rPr>
        <w:t xml:space="preserve"> </w:t>
      </w:r>
      <w:r w:rsidRPr="000973FD">
        <w:rPr>
          <w:sz w:val="20"/>
          <w:szCs w:val="20"/>
        </w:rPr>
        <w:t>I,</w:t>
      </w:r>
      <w:r w:rsidR="00B4709A" w:rsidRPr="000973FD">
        <w:rPr>
          <w:sz w:val="20"/>
          <w:szCs w:val="20"/>
        </w:rPr>
        <w:t xml:space="preserve"> </w:t>
      </w:r>
      <w:r w:rsidRPr="000973FD">
        <w:rPr>
          <w:sz w:val="20"/>
          <w:szCs w:val="20"/>
        </w:rPr>
        <w:t>Siegel</w:t>
      </w:r>
      <w:r w:rsidR="00B4709A" w:rsidRPr="000973FD">
        <w:rPr>
          <w:sz w:val="20"/>
          <w:szCs w:val="20"/>
        </w:rPr>
        <w:t xml:space="preserve"> </w:t>
      </w:r>
      <w:r w:rsidRPr="000973FD">
        <w:rPr>
          <w:sz w:val="20"/>
          <w:szCs w:val="20"/>
        </w:rPr>
        <w:t>RL,</w:t>
      </w:r>
      <w:r w:rsidR="00B4709A" w:rsidRPr="000973FD">
        <w:rPr>
          <w:sz w:val="20"/>
          <w:szCs w:val="20"/>
        </w:rPr>
        <w:t xml:space="preserve"> </w:t>
      </w:r>
      <w:r w:rsidRPr="000973FD">
        <w:rPr>
          <w:sz w:val="20"/>
          <w:szCs w:val="20"/>
        </w:rPr>
        <w:t>Torre</w:t>
      </w:r>
      <w:r w:rsidR="00B4709A" w:rsidRPr="000973FD">
        <w:rPr>
          <w:sz w:val="20"/>
          <w:szCs w:val="20"/>
        </w:rPr>
        <w:t xml:space="preserve"> </w:t>
      </w:r>
      <w:r w:rsidRPr="000973FD">
        <w:rPr>
          <w:sz w:val="20"/>
          <w:szCs w:val="20"/>
        </w:rPr>
        <w:t>LA,</w:t>
      </w:r>
      <w:r w:rsidR="00B4709A" w:rsidRPr="000973FD">
        <w:rPr>
          <w:sz w:val="20"/>
          <w:szCs w:val="20"/>
        </w:rPr>
        <w:t xml:space="preserve"> </w:t>
      </w:r>
      <w:r w:rsidRPr="000973FD">
        <w:rPr>
          <w:sz w:val="20"/>
          <w:szCs w:val="20"/>
        </w:rPr>
        <w:t>Jemal</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Global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statistics</w:t>
      </w:r>
      <w:r w:rsidR="00B4709A" w:rsidRPr="000973FD">
        <w:rPr>
          <w:sz w:val="20"/>
          <w:szCs w:val="20"/>
        </w:rPr>
        <w:t xml:space="preserve"> </w:t>
      </w:r>
      <w:r w:rsidRPr="000973FD">
        <w:rPr>
          <w:sz w:val="20"/>
          <w:szCs w:val="20"/>
        </w:rPr>
        <w:t>2018:</w:t>
      </w:r>
      <w:r w:rsidR="00B4709A" w:rsidRPr="000973FD">
        <w:rPr>
          <w:sz w:val="20"/>
          <w:szCs w:val="20"/>
        </w:rPr>
        <w:t xml:space="preserve"> </w:t>
      </w:r>
      <w:r w:rsidRPr="000973FD">
        <w:rPr>
          <w:sz w:val="20"/>
          <w:szCs w:val="20"/>
        </w:rPr>
        <w:t>GLOBOCAN</w:t>
      </w:r>
      <w:r w:rsidR="00B4709A" w:rsidRPr="000973FD">
        <w:rPr>
          <w:sz w:val="20"/>
          <w:szCs w:val="20"/>
        </w:rPr>
        <w:t xml:space="preserve"> </w:t>
      </w:r>
      <w:r w:rsidRPr="000973FD">
        <w:rPr>
          <w:sz w:val="20"/>
          <w:szCs w:val="20"/>
        </w:rPr>
        <w:t>estimates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incidence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mortality</w:t>
      </w:r>
      <w:r w:rsidR="00B4709A" w:rsidRPr="000973FD">
        <w:rPr>
          <w:sz w:val="20"/>
          <w:szCs w:val="20"/>
        </w:rPr>
        <w:t xml:space="preserve"> </w:t>
      </w:r>
      <w:r w:rsidRPr="000973FD">
        <w:rPr>
          <w:sz w:val="20"/>
          <w:szCs w:val="20"/>
        </w:rPr>
        <w:t>worldwide</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36</w:t>
      </w:r>
      <w:r w:rsidR="00B4709A" w:rsidRPr="000973FD">
        <w:rPr>
          <w:sz w:val="20"/>
          <w:szCs w:val="20"/>
        </w:rPr>
        <w:t xml:space="preserve"> </w:t>
      </w:r>
      <w:r w:rsidRPr="000973FD">
        <w:rPr>
          <w:sz w:val="20"/>
          <w:szCs w:val="20"/>
        </w:rPr>
        <w:t>cancers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185</w:t>
      </w:r>
      <w:r w:rsidR="00B4709A" w:rsidRPr="000973FD">
        <w:rPr>
          <w:sz w:val="20"/>
          <w:szCs w:val="20"/>
        </w:rPr>
        <w:t xml:space="preserve"> </w:t>
      </w:r>
      <w:r w:rsidRPr="000973FD">
        <w:rPr>
          <w:sz w:val="20"/>
          <w:szCs w:val="20"/>
        </w:rPr>
        <w:lastRenderedPageBreak/>
        <w:t>countries.</w:t>
      </w:r>
      <w:r w:rsidR="00B4709A" w:rsidRPr="000973FD">
        <w:rPr>
          <w:sz w:val="20"/>
          <w:szCs w:val="20"/>
        </w:rPr>
        <w:t xml:space="preserve"> </w:t>
      </w:r>
      <w:r w:rsidRPr="000973FD">
        <w:rPr>
          <w:sz w:val="20"/>
          <w:szCs w:val="20"/>
        </w:rPr>
        <w:t>CA:</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clinicians.</w:t>
      </w:r>
      <w:r w:rsidR="00B4709A" w:rsidRPr="000973FD">
        <w:rPr>
          <w:sz w:val="20"/>
          <w:szCs w:val="20"/>
        </w:rPr>
        <w:t xml:space="preserve"> </w:t>
      </w:r>
      <w:r w:rsidRPr="000973FD">
        <w:rPr>
          <w:sz w:val="20"/>
          <w:szCs w:val="20"/>
        </w:rPr>
        <w:t>2018;68(6):394-424.</w:t>
      </w:r>
    </w:p>
    <w:p w:rsidR="00204D8B" w:rsidRPr="000973FD" w:rsidRDefault="00204D8B" w:rsidP="001E53F5">
      <w:pPr>
        <w:pStyle w:val="ListParagraph"/>
        <w:numPr>
          <w:ilvl w:val="1"/>
          <w:numId w:val="5"/>
        </w:numPr>
        <w:snapToGrid w:val="0"/>
        <w:spacing w:after="0" w:line="240" w:lineRule="auto"/>
        <w:ind w:left="425" w:hanging="425"/>
        <w:jc w:val="both"/>
        <w:rPr>
          <w:rFonts w:ascii="Times New Roman" w:hAnsi="Times New Roman" w:cs="Times New Roman"/>
          <w:sz w:val="20"/>
          <w:szCs w:val="20"/>
        </w:rPr>
      </w:pPr>
      <w:r w:rsidRPr="000973FD">
        <w:rPr>
          <w:rFonts w:ascii="Times New Roman" w:hAnsi="Times New Roman" w:cs="Times New Roman"/>
          <w:sz w:val="20"/>
          <w:szCs w:val="20"/>
        </w:rPr>
        <w:t>Plummer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JM,</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Leake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P-A,</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Albert</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MR.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Recent</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advances</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in</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the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management</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of</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rectal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cancer: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No</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surgery,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minimal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surgery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minimally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invasive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surgery.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World</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journal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of</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gastrointestinal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surgery.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2017;9(6):139-48.</w:t>
      </w:r>
    </w:p>
    <w:p w:rsidR="00204D8B" w:rsidRPr="000973FD" w:rsidRDefault="00204D8B" w:rsidP="001E53F5">
      <w:pPr>
        <w:pStyle w:val="ListParagraph"/>
        <w:numPr>
          <w:ilvl w:val="1"/>
          <w:numId w:val="5"/>
        </w:numPr>
        <w:snapToGrid w:val="0"/>
        <w:spacing w:after="0" w:line="240" w:lineRule="auto"/>
        <w:ind w:left="425" w:hanging="425"/>
        <w:jc w:val="both"/>
        <w:rPr>
          <w:rFonts w:ascii="Times New Roman" w:hAnsi="Times New Roman" w:cs="Times New Roman"/>
          <w:sz w:val="20"/>
          <w:szCs w:val="20"/>
        </w:rPr>
      </w:pPr>
      <w:r w:rsidRPr="000973FD">
        <w:rPr>
          <w:rFonts w:ascii="Times New Roman" w:hAnsi="Times New Roman" w:cs="Times New Roman"/>
          <w:sz w:val="20"/>
          <w:szCs w:val="20"/>
        </w:rPr>
        <w:t>Birgisson</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H,</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Wallin</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U,</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Holmberg</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Glimelius</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B.</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Survival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endpoints</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in</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colorectal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cancer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and</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the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effect</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of</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second</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primary</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other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cancer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on</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disease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free</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survival.</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BMC</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cancer.</w:t>
      </w:r>
      <w:r w:rsidR="00B4709A" w:rsidRPr="000973FD">
        <w:rPr>
          <w:rFonts w:ascii="Times New Roman" w:hAnsi="Times New Roman" w:cs="Times New Roman"/>
          <w:sz w:val="20"/>
          <w:szCs w:val="20"/>
        </w:rPr>
        <w:t xml:space="preserve"> </w:t>
      </w:r>
      <w:r w:rsidRPr="000973FD">
        <w:rPr>
          <w:rFonts w:ascii="Times New Roman" w:hAnsi="Times New Roman" w:cs="Times New Roman"/>
          <w:sz w:val="20"/>
          <w:szCs w:val="20"/>
        </w:rPr>
        <w:t>2011;11:438.</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Fleming</w:t>
      </w:r>
      <w:r w:rsidR="00B4709A" w:rsidRPr="000973FD">
        <w:rPr>
          <w:sz w:val="20"/>
          <w:szCs w:val="20"/>
        </w:rPr>
        <w:t xml:space="preserve"> </w:t>
      </w:r>
      <w:r w:rsidRPr="000973FD">
        <w:rPr>
          <w:sz w:val="20"/>
          <w:szCs w:val="20"/>
        </w:rPr>
        <w:t>TR,</w:t>
      </w:r>
      <w:r w:rsidR="00B4709A" w:rsidRPr="000973FD">
        <w:rPr>
          <w:sz w:val="20"/>
          <w:szCs w:val="20"/>
        </w:rPr>
        <w:t xml:space="preserve"> </w:t>
      </w:r>
      <w:r w:rsidRPr="000973FD">
        <w:rPr>
          <w:sz w:val="20"/>
          <w:szCs w:val="20"/>
        </w:rPr>
        <w:t>Powers</w:t>
      </w:r>
      <w:r w:rsidR="00B4709A" w:rsidRPr="000973FD">
        <w:rPr>
          <w:sz w:val="20"/>
          <w:szCs w:val="20"/>
        </w:rPr>
        <w:t xml:space="preserve"> </w:t>
      </w:r>
      <w:r w:rsidRPr="000973FD">
        <w:rPr>
          <w:sz w:val="20"/>
          <w:szCs w:val="20"/>
        </w:rPr>
        <w:t>JH.</w:t>
      </w:r>
      <w:r w:rsidR="00B4709A" w:rsidRPr="000973FD">
        <w:rPr>
          <w:sz w:val="20"/>
          <w:szCs w:val="20"/>
        </w:rPr>
        <w:t xml:space="preserve"> </w:t>
      </w:r>
      <w:r w:rsidRPr="000973FD">
        <w:rPr>
          <w:sz w:val="20"/>
          <w:szCs w:val="20"/>
        </w:rPr>
        <w:t>Biomarkers</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surrogate</w:t>
      </w:r>
      <w:r w:rsidR="00B4709A" w:rsidRPr="000973FD">
        <w:rPr>
          <w:sz w:val="20"/>
          <w:szCs w:val="20"/>
        </w:rPr>
        <w:t xml:space="preserve"> </w:t>
      </w:r>
      <w:r w:rsidRPr="000973FD">
        <w:rPr>
          <w:sz w:val="20"/>
          <w:szCs w:val="20"/>
        </w:rPr>
        <w:t>endpoints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trials.</w:t>
      </w:r>
      <w:r w:rsidR="00B4709A" w:rsidRPr="000973FD">
        <w:rPr>
          <w:sz w:val="20"/>
          <w:szCs w:val="20"/>
        </w:rPr>
        <w:t xml:space="preserve"> </w:t>
      </w:r>
      <w:r w:rsidRPr="000973FD">
        <w:rPr>
          <w:sz w:val="20"/>
          <w:szCs w:val="20"/>
        </w:rPr>
        <w:t>Statistics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medicine.</w:t>
      </w:r>
      <w:r w:rsidR="00B4709A" w:rsidRPr="000973FD">
        <w:rPr>
          <w:sz w:val="20"/>
          <w:szCs w:val="20"/>
        </w:rPr>
        <w:t xml:space="preserve"> </w:t>
      </w:r>
      <w:r w:rsidRPr="000973FD">
        <w:rPr>
          <w:sz w:val="20"/>
          <w:szCs w:val="20"/>
        </w:rPr>
        <w:t>2012;31(25):2973-84.</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Campa-Thompson</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Weir</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Calcetera</w:t>
      </w:r>
      <w:r w:rsidR="00B4709A" w:rsidRPr="000973FD">
        <w:rPr>
          <w:sz w:val="20"/>
          <w:szCs w:val="20"/>
        </w:rPr>
        <w:t xml:space="preserve"> </w:t>
      </w:r>
      <w:r w:rsidRPr="000973FD">
        <w:rPr>
          <w:sz w:val="20"/>
          <w:szCs w:val="20"/>
        </w:rPr>
        <w:t>N,</w:t>
      </w:r>
      <w:r w:rsidR="00B4709A" w:rsidRPr="000973FD">
        <w:rPr>
          <w:sz w:val="20"/>
          <w:szCs w:val="20"/>
        </w:rPr>
        <w:t xml:space="preserve"> </w:t>
      </w:r>
      <w:r w:rsidRPr="000973FD">
        <w:rPr>
          <w:sz w:val="20"/>
          <w:szCs w:val="20"/>
        </w:rPr>
        <w:t>Quirke</w:t>
      </w:r>
      <w:r w:rsidR="00B4709A" w:rsidRPr="000973FD">
        <w:rPr>
          <w:sz w:val="20"/>
          <w:szCs w:val="20"/>
        </w:rPr>
        <w:t xml:space="preserve"> </w:t>
      </w:r>
      <w:r w:rsidRPr="000973FD">
        <w:rPr>
          <w:sz w:val="20"/>
          <w:szCs w:val="20"/>
        </w:rPr>
        <w:t>P,</w:t>
      </w:r>
      <w:r w:rsidR="00B4709A" w:rsidRPr="000973FD">
        <w:rPr>
          <w:sz w:val="20"/>
          <w:szCs w:val="20"/>
        </w:rPr>
        <w:t xml:space="preserve"> </w:t>
      </w:r>
      <w:r w:rsidRPr="000973FD">
        <w:rPr>
          <w:sz w:val="20"/>
          <w:szCs w:val="20"/>
        </w:rPr>
        <w:t>Carmack</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Pathologic</w:t>
      </w:r>
      <w:r w:rsidR="00B4709A" w:rsidRPr="000973FD">
        <w:rPr>
          <w:sz w:val="20"/>
          <w:szCs w:val="20"/>
        </w:rPr>
        <w:t xml:space="preserve"> </w:t>
      </w:r>
      <w:r w:rsidRPr="000973FD">
        <w:rPr>
          <w:sz w:val="20"/>
          <w:szCs w:val="20"/>
        </w:rPr>
        <w:t>processing</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total</w:t>
      </w:r>
      <w:r w:rsidR="00B4709A" w:rsidRPr="000973FD">
        <w:rPr>
          <w:sz w:val="20"/>
          <w:szCs w:val="20"/>
        </w:rPr>
        <w:t xml:space="preserve"> </w:t>
      </w:r>
      <w:r w:rsidRPr="000973FD">
        <w:rPr>
          <w:sz w:val="20"/>
          <w:szCs w:val="20"/>
        </w:rPr>
        <w:t>mesorectal</w:t>
      </w:r>
      <w:r w:rsidR="00B4709A" w:rsidRPr="000973FD">
        <w:rPr>
          <w:sz w:val="20"/>
          <w:szCs w:val="20"/>
        </w:rPr>
        <w:t xml:space="preserve"> </w:t>
      </w:r>
      <w:r w:rsidRPr="000973FD">
        <w:rPr>
          <w:sz w:val="20"/>
          <w:szCs w:val="20"/>
        </w:rPr>
        <w:t>excision.</w:t>
      </w:r>
      <w:r w:rsidR="00B4709A" w:rsidRPr="000973FD">
        <w:rPr>
          <w:sz w:val="20"/>
          <w:szCs w:val="20"/>
        </w:rPr>
        <w:t xml:space="preserve"> </w:t>
      </w:r>
      <w:r w:rsidRPr="000973FD">
        <w:rPr>
          <w:sz w:val="20"/>
          <w:szCs w:val="20"/>
        </w:rPr>
        <w:t>Clinics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colon</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surgery.</w:t>
      </w:r>
      <w:r w:rsidR="00B4709A" w:rsidRPr="000973FD">
        <w:rPr>
          <w:sz w:val="20"/>
          <w:szCs w:val="20"/>
        </w:rPr>
        <w:t xml:space="preserve"> </w:t>
      </w:r>
      <w:r w:rsidRPr="000973FD">
        <w:rPr>
          <w:sz w:val="20"/>
          <w:szCs w:val="20"/>
        </w:rPr>
        <w:t>2015;28(1):43-52.</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Glynne-Jones</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Mawdsley</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Pearce</w:t>
      </w:r>
      <w:r w:rsidR="00B4709A" w:rsidRPr="000973FD">
        <w:rPr>
          <w:sz w:val="20"/>
          <w:szCs w:val="20"/>
        </w:rPr>
        <w:t xml:space="preserve"> </w:t>
      </w:r>
      <w:r w:rsidRPr="000973FD">
        <w:rPr>
          <w:sz w:val="20"/>
          <w:szCs w:val="20"/>
        </w:rPr>
        <w:t>T,</w:t>
      </w:r>
      <w:r w:rsidR="00B4709A" w:rsidRPr="000973FD">
        <w:rPr>
          <w:sz w:val="20"/>
          <w:szCs w:val="20"/>
        </w:rPr>
        <w:t xml:space="preserve"> </w:t>
      </w:r>
      <w:r w:rsidRPr="000973FD">
        <w:rPr>
          <w:sz w:val="20"/>
          <w:szCs w:val="20"/>
        </w:rPr>
        <w:t>Buyse</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Alternative</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end</w:t>
      </w:r>
      <w:r w:rsidR="00B4709A" w:rsidRPr="000973FD">
        <w:rPr>
          <w:sz w:val="20"/>
          <w:szCs w:val="20"/>
        </w:rPr>
        <w:t xml:space="preserve"> </w:t>
      </w:r>
      <w:r w:rsidRPr="000973FD">
        <w:rPr>
          <w:sz w:val="20"/>
          <w:szCs w:val="20"/>
        </w:rPr>
        <w:t>points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cancer—are</w:t>
      </w:r>
      <w:r w:rsidR="00B4709A" w:rsidRPr="000973FD">
        <w:rPr>
          <w:sz w:val="20"/>
          <w:szCs w:val="20"/>
        </w:rPr>
        <w:t xml:space="preserve"> </w:t>
      </w:r>
      <w:r w:rsidRPr="000973FD">
        <w:rPr>
          <w:sz w:val="20"/>
          <w:szCs w:val="20"/>
        </w:rPr>
        <w:t>we</w:t>
      </w:r>
      <w:r w:rsidR="00B4709A" w:rsidRPr="000973FD">
        <w:rPr>
          <w:sz w:val="20"/>
          <w:szCs w:val="20"/>
        </w:rPr>
        <w:t xml:space="preserve"> </w:t>
      </w:r>
      <w:r w:rsidRPr="000973FD">
        <w:rPr>
          <w:sz w:val="20"/>
          <w:szCs w:val="20"/>
        </w:rPr>
        <w:t>getting</w:t>
      </w:r>
      <w:r w:rsidR="00B4709A" w:rsidRPr="000973FD">
        <w:rPr>
          <w:sz w:val="20"/>
          <w:szCs w:val="20"/>
        </w:rPr>
        <w:t xml:space="preserve"> </w:t>
      </w:r>
      <w:r w:rsidRPr="000973FD">
        <w:rPr>
          <w:sz w:val="20"/>
          <w:szCs w:val="20"/>
        </w:rPr>
        <w:t>closer?</w:t>
      </w:r>
      <w:r w:rsidR="00B4709A" w:rsidRPr="000973FD">
        <w:rPr>
          <w:sz w:val="20"/>
          <w:szCs w:val="20"/>
        </w:rPr>
        <w:t xml:space="preserve"> </w:t>
      </w:r>
      <w:r w:rsidRPr="000973FD">
        <w:rPr>
          <w:sz w:val="20"/>
          <w:szCs w:val="20"/>
        </w:rPr>
        <w:t>Annals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2006;17(8):1239-48.</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Petrelli</w:t>
      </w:r>
      <w:r w:rsidR="00B4709A" w:rsidRPr="000973FD">
        <w:rPr>
          <w:sz w:val="20"/>
          <w:szCs w:val="20"/>
        </w:rPr>
        <w:t xml:space="preserve"> </w:t>
      </w:r>
      <w:r w:rsidRPr="000973FD">
        <w:rPr>
          <w:sz w:val="20"/>
          <w:szCs w:val="20"/>
        </w:rPr>
        <w:t>F,</w:t>
      </w:r>
      <w:r w:rsidR="00B4709A" w:rsidRPr="000973FD">
        <w:rPr>
          <w:sz w:val="20"/>
          <w:szCs w:val="20"/>
        </w:rPr>
        <w:t xml:space="preserve"> </w:t>
      </w:r>
      <w:r w:rsidRPr="000973FD">
        <w:rPr>
          <w:sz w:val="20"/>
          <w:szCs w:val="20"/>
        </w:rPr>
        <w:t>Borgonovo</w:t>
      </w:r>
      <w:r w:rsidR="00B4709A" w:rsidRPr="000973FD">
        <w:rPr>
          <w:sz w:val="20"/>
          <w:szCs w:val="20"/>
        </w:rPr>
        <w:t xml:space="preserve"> </w:t>
      </w:r>
      <w:r w:rsidRPr="000973FD">
        <w:rPr>
          <w:sz w:val="20"/>
          <w:szCs w:val="20"/>
        </w:rPr>
        <w:t>K,</w:t>
      </w:r>
      <w:r w:rsidR="00B4709A" w:rsidRPr="000973FD">
        <w:rPr>
          <w:sz w:val="20"/>
          <w:szCs w:val="20"/>
        </w:rPr>
        <w:t xml:space="preserve"> </w:t>
      </w:r>
      <w:r w:rsidRPr="000973FD">
        <w:rPr>
          <w:sz w:val="20"/>
          <w:szCs w:val="20"/>
        </w:rPr>
        <w:t>Cabiddu</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Ghilardi</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Lonati</w:t>
      </w:r>
      <w:r w:rsidR="00B4709A" w:rsidRPr="000973FD">
        <w:rPr>
          <w:sz w:val="20"/>
          <w:szCs w:val="20"/>
        </w:rPr>
        <w:t xml:space="preserve"> </w:t>
      </w:r>
      <w:r w:rsidRPr="000973FD">
        <w:rPr>
          <w:sz w:val="20"/>
          <w:szCs w:val="20"/>
        </w:rPr>
        <w:t>V,</w:t>
      </w:r>
      <w:r w:rsidR="00B4709A" w:rsidRPr="000973FD">
        <w:rPr>
          <w:sz w:val="20"/>
          <w:szCs w:val="20"/>
        </w:rPr>
        <w:t xml:space="preserve"> </w:t>
      </w:r>
      <w:r w:rsidRPr="000973FD">
        <w:rPr>
          <w:sz w:val="20"/>
          <w:szCs w:val="20"/>
        </w:rPr>
        <w:t>Barni</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Pathologic</w:t>
      </w:r>
      <w:r w:rsidR="00B4709A" w:rsidRPr="000973FD">
        <w:rPr>
          <w:sz w:val="20"/>
          <w:szCs w:val="20"/>
        </w:rPr>
        <w:t xml:space="preserve"> </w:t>
      </w:r>
      <w:r w:rsidRPr="000973FD">
        <w:rPr>
          <w:sz w:val="20"/>
          <w:szCs w:val="20"/>
        </w:rPr>
        <w:t>complete</w:t>
      </w:r>
      <w:r w:rsidR="00B4709A" w:rsidRPr="000973FD">
        <w:rPr>
          <w:sz w:val="20"/>
          <w:szCs w:val="20"/>
        </w:rPr>
        <w:t xml:space="preserve"> </w:t>
      </w:r>
      <w:r w:rsidRPr="000973FD">
        <w:rPr>
          <w:sz w:val="20"/>
          <w:szCs w:val="20"/>
        </w:rPr>
        <w:t>response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disease-free</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are</w:t>
      </w:r>
      <w:r w:rsidR="00B4709A" w:rsidRPr="000973FD">
        <w:rPr>
          <w:sz w:val="20"/>
          <w:szCs w:val="20"/>
        </w:rPr>
        <w:t xml:space="preserve"> </w:t>
      </w:r>
      <w:r w:rsidRPr="000973FD">
        <w:rPr>
          <w:sz w:val="20"/>
          <w:szCs w:val="20"/>
        </w:rPr>
        <w:t>not</w:t>
      </w:r>
      <w:r w:rsidR="00B4709A" w:rsidRPr="000973FD">
        <w:rPr>
          <w:sz w:val="20"/>
          <w:szCs w:val="20"/>
        </w:rPr>
        <w:t xml:space="preserve"> </w:t>
      </w:r>
      <w:r w:rsidRPr="000973FD">
        <w:rPr>
          <w:sz w:val="20"/>
          <w:szCs w:val="20"/>
        </w:rPr>
        <w:t>surrogate</w:t>
      </w:r>
      <w:r w:rsidR="00B4709A" w:rsidRPr="000973FD">
        <w:rPr>
          <w:sz w:val="20"/>
          <w:szCs w:val="20"/>
        </w:rPr>
        <w:t xml:space="preserve"> </w:t>
      </w:r>
      <w:r w:rsidRPr="000973FD">
        <w:rPr>
          <w:sz w:val="20"/>
          <w:szCs w:val="20"/>
        </w:rPr>
        <w:t>endpoints</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5-year</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an</w:t>
      </w:r>
      <w:r w:rsidR="00B4709A" w:rsidRPr="000973FD">
        <w:rPr>
          <w:sz w:val="20"/>
          <w:szCs w:val="20"/>
        </w:rPr>
        <w:t xml:space="preserve"> </w:t>
      </w:r>
      <w:r w:rsidRPr="000973FD">
        <w:rPr>
          <w:sz w:val="20"/>
          <w:szCs w:val="20"/>
        </w:rPr>
        <w:t>analysis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22</w:t>
      </w:r>
      <w:r w:rsidR="00B4709A" w:rsidRPr="000973FD">
        <w:rPr>
          <w:sz w:val="20"/>
          <w:szCs w:val="20"/>
        </w:rPr>
        <w:t xml:space="preserve"> </w:t>
      </w:r>
      <w:r w:rsidRPr="000973FD">
        <w:rPr>
          <w:sz w:val="20"/>
          <w:szCs w:val="20"/>
        </w:rPr>
        <w:t>randomized</w:t>
      </w:r>
      <w:r w:rsidR="00B4709A" w:rsidRPr="000973FD">
        <w:rPr>
          <w:sz w:val="20"/>
          <w:szCs w:val="20"/>
        </w:rPr>
        <w:t xml:space="preserve"> </w:t>
      </w:r>
      <w:r w:rsidRPr="000973FD">
        <w:rPr>
          <w:sz w:val="20"/>
          <w:szCs w:val="20"/>
        </w:rPr>
        <w:t>trials.</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gastrointestinal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2017;8(1):39-48.</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Kim</w:t>
      </w:r>
      <w:r w:rsidR="00B4709A" w:rsidRPr="000973FD">
        <w:rPr>
          <w:sz w:val="20"/>
          <w:szCs w:val="20"/>
        </w:rPr>
        <w:t xml:space="preserve"> </w:t>
      </w:r>
      <w:r w:rsidRPr="000973FD">
        <w:rPr>
          <w:sz w:val="20"/>
          <w:szCs w:val="20"/>
        </w:rPr>
        <w:t>SH,</w:t>
      </w:r>
      <w:r w:rsidR="00B4709A" w:rsidRPr="000973FD">
        <w:rPr>
          <w:sz w:val="20"/>
          <w:szCs w:val="20"/>
        </w:rPr>
        <w:t xml:space="preserve"> </w:t>
      </w:r>
      <w:r w:rsidRPr="000973FD">
        <w:rPr>
          <w:sz w:val="20"/>
          <w:szCs w:val="20"/>
        </w:rPr>
        <w:t>Chang</w:t>
      </w:r>
      <w:r w:rsidR="00B4709A" w:rsidRPr="000973FD">
        <w:rPr>
          <w:sz w:val="20"/>
          <w:szCs w:val="20"/>
        </w:rPr>
        <w:t xml:space="preserve"> </w:t>
      </w:r>
      <w:r w:rsidRPr="000973FD">
        <w:rPr>
          <w:sz w:val="20"/>
          <w:szCs w:val="20"/>
        </w:rPr>
        <w:t>HJ,</w:t>
      </w:r>
      <w:r w:rsidR="00B4709A" w:rsidRPr="000973FD">
        <w:rPr>
          <w:sz w:val="20"/>
          <w:szCs w:val="20"/>
        </w:rPr>
        <w:t xml:space="preserve"> </w:t>
      </w:r>
      <w:r w:rsidRPr="000973FD">
        <w:rPr>
          <w:sz w:val="20"/>
          <w:szCs w:val="20"/>
        </w:rPr>
        <w:t>Kim</w:t>
      </w:r>
      <w:r w:rsidR="00B4709A" w:rsidRPr="000973FD">
        <w:rPr>
          <w:sz w:val="20"/>
          <w:szCs w:val="20"/>
        </w:rPr>
        <w:t xml:space="preserve"> </w:t>
      </w:r>
      <w:r w:rsidRPr="000973FD">
        <w:rPr>
          <w:sz w:val="20"/>
          <w:szCs w:val="20"/>
        </w:rPr>
        <w:t>DY,</w:t>
      </w:r>
      <w:r w:rsidR="00B4709A" w:rsidRPr="000973FD">
        <w:rPr>
          <w:sz w:val="20"/>
          <w:szCs w:val="20"/>
        </w:rPr>
        <w:t xml:space="preserve"> </w:t>
      </w:r>
      <w:r w:rsidRPr="000973FD">
        <w:rPr>
          <w:sz w:val="20"/>
          <w:szCs w:val="20"/>
        </w:rPr>
        <w:t>Park</w:t>
      </w:r>
      <w:r w:rsidR="00B4709A" w:rsidRPr="000973FD">
        <w:rPr>
          <w:sz w:val="20"/>
          <w:szCs w:val="20"/>
        </w:rPr>
        <w:t xml:space="preserve"> </w:t>
      </w:r>
      <w:r w:rsidRPr="000973FD">
        <w:rPr>
          <w:sz w:val="20"/>
          <w:szCs w:val="20"/>
        </w:rPr>
        <w:t>JW,</w:t>
      </w:r>
      <w:r w:rsidR="00B4709A" w:rsidRPr="000973FD">
        <w:rPr>
          <w:sz w:val="20"/>
          <w:szCs w:val="20"/>
        </w:rPr>
        <w:t xml:space="preserve"> </w:t>
      </w:r>
      <w:r w:rsidRPr="000973FD">
        <w:rPr>
          <w:sz w:val="20"/>
          <w:szCs w:val="20"/>
        </w:rPr>
        <w:t>Baek</w:t>
      </w:r>
      <w:r w:rsidR="00B4709A" w:rsidRPr="000973FD">
        <w:rPr>
          <w:sz w:val="20"/>
          <w:szCs w:val="20"/>
        </w:rPr>
        <w:t xml:space="preserve"> </w:t>
      </w:r>
      <w:r w:rsidRPr="000973FD">
        <w:rPr>
          <w:sz w:val="20"/>
          <w:szCs w:val="20"/>
        </w:rPr>
        <w:t>JY,</w:t>
      </w:r>
      <w:r w:rsidR="00B4709A" w:rsidRPr="000973FD">
        <w:rPr>
          <w:sz w:val="20"/>
          <w:szCs w:val="20"/>
        </w:rPr>
        <w:t xml:space="preserve"> </w:t>
      </w:r>
      <w:r w:rsidRPr="000973FD">
        <w:rPr>
          <w:sz w:val="20"/>
          <w:szCs w:val="20"/>
        </w:rPr>
        <w:t>Kim</w:t>
      </w:r>
      <w:r w:rsidR="00B4709A" w:rsidRPr="000973FD">
        <w:rPr>
          <w:sz w:val="20"/>
          <w:szCs w:val="20"/>
        </w:rPr>
        <w:t xml:space="preserve"> </w:t>
      </w:r>
      <w:r w:rsidRPr="000973FD">
        <w:rPr>
          <w:sz w:val="20"/>
          <w:szCs w:val="20"/>
        </w:rPr>
        <w:t>SY,</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What</w:t>
      </w:r>
      <w:r w:rsidR="00B4709A" w:rsidRPr="000973FD">
        <w:rPr>
          <w:sz w:val="20"/>
          <w:szCs w:val="20"/>
        </w:rPr>
        <w:t xml:space="preserve"> </w:t>
      </w:r>
      <w:r w:rsidRPr="000973FD">
        <w:rPr>
          <w:sz w:val="20"/>
          <w:szCs w:val="20"/>
        </w:rPr>
        <w:t>Is</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Ideal</w:t>
      </w:r>
      <w:r w:rsidR="00B4709A" w:rsidRPr="000973FD">
        <w:rPr>
          <w:sz w:val="20"/>
          <w:szCs w:val="20"/>
        </w:rPr>
        <w:t xml:space="preserve"> </w:t>
      </w:r>
      <w:r w:rsidRPr="000973FD">
        <w:rPr>
          <w:sz w:val="20"/>
          <w:szCs w:val="20"/>
        </w:rPr>
        <w:t>Tumor</w:t>
      </w:r>
      <w:r w:rsidR="00B4709A" w:rsidRPr="000973FD">
        <w:rPr>
          <w:sz w:val="20"/>
          <w:szCs w:val="20"/>
        </w:rPr>
        <w:t xml:space="preserve"> </w:t>
      </w:r>
      <w:r w:rsidRPr="000973FD">
        <w:rPr>
          <w:sz w:val="20"/>
          <w:szCs w:val="20"/>
        </w:rPr>
        <w:t>Regression</w:t>
      </w:r>
      <w:r w:rsidR="00B4709A" w:rsidRPr="000973FD">
        <w:rPr>
          <w:sz w:val="20"/>
          <w:szCs w:val="20"/>
        </w:rPr>
        <w:t xml:space="preserve"> </w:t>
      </w:r>
      <w:r w:rsidRPr="000973FD">
        <w:rPr>
          <w:sz w:val="20"/>
          <w:szCs w:val="20"/>
        </w:rPr>
        <w:t>Grading</w:t>
      </w:r>
      <w:r w:rsidR="00B4709A" w:rsidRPr="000973FD">
        <w:rPr>
          <w:sz w:val="20"/>
          <w:szCs w:val="20"/>
        </w:rPr>
        <w:t xml:space="preserve"> </w:t>
      </w:r>
      <w:r w:rsidRPr="000973FD">
        <w:rPr>
          <w:sz w:val="20"/>
          <w:szCs w:val="20"/>
        </w:rPr>
        <w:t>System</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Patients</w:t>
      </w:r>
      <w:r w:rsidR="00B4709A" w:rsidRPr="000973FD">
        <w:rPr>
          <w:sz w:val="20"/>
          <w:szCs w:val="20"/>
        </w:rPr>
        <w:t xml:space="preserve"> </w:t>
      </w:r>
      <w:r w:rsidRPr="000973FD">
        <w:rPr>
          <w:sz w:val="20"/>
          <w:szCs w:val="20"/>
        </w:rPr>
        <w:t>after</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Chemoradiotherapy?</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research</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treatment</w:t>
      </w:r>
      <w:r w:rsidR="00B4709A" w:rsidRPr="000973FD">
        <w:rPr>
          <w:sz w:val="20"/>
          <w:szCs w:val="20"/>
        </w:rPr>
        <w:t xml:space="preserve">: </w:t>
      </w:r>
      <w:r w:rsidRPr="000973FD">
        <w:rPr>
          <w:sz w:val="20"/>
          <w:szCs w:val="20"/>
        </w:rPr>
        <w:t>official</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Korean</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Association.</w:t>
      </w:r>
      <w:r w:rsidR="00B4709A" w:rsidRPr="000973FD">
        <w:rPr>
          <w:sz w:val="20"/>
          <w:szCs w:val="20"/>
        </w:rPr>
        <w:t xml:space="preserve"> </w:t>
      </w:r>
      <w:r w:rsidRPr="000973FD">
        <w:rPr>
          <w:sz w:val="20"/>
          <w:szCs w:val="20"/>
        </w:rPr>
        <w:t>2016;48(3):998-1009.</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Gao</w:t>
      </w:r>
      <w:r w:rsidR="00B4709A" w:rsidRPr="000973FD">
        <w:rPr>
          <w:sz w:val="20"/>
          <w:szCs w:val="20"/>
        </w:rPr>
        <w:t xml:space="preserve"> </w:t>
      </w:r>
      <w:r w:rsidRPr="000973FD">
        <w:rPr>
          <w:sz w:val="20"/>
          <w:szCs w:val="20"/>
        </w:rPr>
        <w:t>RN,</w:t>
      </w:r>
      <w:r w:rsidR="00B4709A" w:rsidRPr="000973FD">
        <w:rPr>
          <w:sz w:val="20"/>
          <w:szCs w:val="20"/>
        </w:rPr>
        <w:t xml:space="preserve"> </w:t>
      </w:r>
      <w:r w:rsidRPr="000973FD">
        <w:rPr>
          <w:sz w:val="20"/>
          <w:szCs w:val="20"/>
        </w:rPr>
        <w:t>Neutel</w:t>
      </w:r>
      <w:r w:rsidR="00B4709A" w:rsidRPr="000973FD">
        <w:rPr>
          <w:sz w:val="20"/>
          <w:szCs w:val="20"/>
        </w:rPr>
        <w:t xml:space="preserve"> </w:t>
      </w:r>
      <w:r w:rsidRPr="000973FD">
        <w:rPr>
          <w:sz w:val="20"/>
          <w:szCs w:val="20"/>
        </w:rPr>
        <w:t>CI,</w:t>
      </w:r>
      <w:r w:rsidR="00B4709A" w:rsidRPr="000973FD">
        <w:rPr>
          <w:sz w:val="20"/>
          <w:szCs w:val="20"/>
        </w:rPr>
        <w:t xml:space="preserve"> </w:t>
      </w:r>
      <w:r w:rsidRPr="000973FD">
        <w:rPr>
          <w:sz w:val="20"/>
          <w:szCs w:val="20"/>
        </w:rPr>
        <w:t>Wai</w:t>
      </w:r>
      <w:r w:rsidR="00B4709A" w:rsidRPr="000973FD">
        <w:rPr>
          <w:sz w:val="20"/>
          <w:szCs w:val="20"/>
        </w:rPr>
        <w:t xml:space="preserve"> </w:t>
      </w:r>
      <w:r w:rsidRPr="000973FD">
        <w:rPr>
          <w:sz w:val="20"/>
          <w:szCs w:val="20"/>
        </w:rPr>
        <w:t>E.</w:t>
      </w:r>
      <w:r w:rsidR="00B4709A" w:rsidRPr="000973FD">
        <w:rPr>
          <w:sz w:val="20"/>
          <w:szCs w:val="20"/>
        </w:rPr>
        <w:t xml:space="preserve"> </w:t>
      </w:r>
      <w:r w:rsidRPr="000973FD">
        <w:rPr>
          <w:sz w:val="20"/>
          <w:szCs w:val="20"/>
        </w:rPr>
        <w:t>Gender</w:t>
      </w:r>
      <w:r w:rsidR="00B4709A" w:rsidRPr="000973FD">
        <w:rPr>
          <w:sz w:val="20"/>
          <w:szCs w:val="20"/>
        </w:rPr>
        <w:t xml:space="preserve"> </w:t>
      </w:r>
      <w:r w:rsidRPr="000973FD">
        <w:rPr>
          <w:sz w:val="20"/>
          <w:szCs w:val="20"/>
        </w:rPr>
        <w:t>differences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incidence,</w:t>
      </w:r>
      <w:r w:rsidR="00B4709A" w:rsidRPr="000973FD">
        <w:rPr>
          <w:sz w:val="20"/>
          <w:szCs w:val="20"/>
        </w:rPr>
        <w:t xml:space="preserve"> </w:t>
      </w:r>
      <w:r w:rsidRPr="000973FD">
        <w:rPr>
          <w:sz w:val="20"/>
          <w:szCs w:val="20"/>
        </w:rPr>
        <w:t>mortality,</w:t>
      </w:r>
      <w:r w:rsidR="00B4709A" w:rsidRPr="000973FD">
        <w:rPr>
          <w:sz w:val="20"/>
          <w:szCs w:val="20"/>
        </w:rPr>
        <w:t xml:space="preserve"> </w:t>
      </w:r>
      <w:r w:rsidRPr="000973FD">
        <w:rPr>
          <w:sz w:val="20"/>
          <w:szCs w:val="20"/>
        </w:rPr>
        <w:t>hospitalizations</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surgical</w:t>
      </w:r>
      <w:r w:rsidR="00B4709A" w:rsidRPr="000973FD">
        <w:rPr>
          <w:sz w:val="20"/>
          <w:szCs w:val="20"/>
        </w:rPr>
        <w:t xml:space="preserve"> </w:t>
      </w:r>
      <w:r w:rsidRPr="000973FD">
        <w:rPr>
          <w:sz w:val="20"/>
          <w:szCs w:val="20"/>
        </w:rPr>
        <w:t>procedures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Canada.</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public</w:t>
      </w:r>
      <w:r w:rsidR="00B4709A" w:rsidRPr="000973FD">
        <w:rPr>
          <w:sz w:val="20"/>
          <w:szCs w:val="20"/>
        </w:rPr>
        <w:t xml:space="preserve"> </w:t>
      </w:r>
      <w:r w:rsidRPr="000973FD">
        <w:rPr>
          <w:sz w:val="20"/>
          <w:szCs w:val="20"/>
        </w:rPr>
        <w:t>health</w:t>
      </w:r>
      <w:r w:rsidR="00B4709A" w:rsidRPr="000973FD">
        <w:rPr>
          <w:sz w:val="20"/>
          <w:szCs w:val="20"/>
        </w:rPr>
        <w:t xml:space="preserve"> </w:t>
      </w:r>
      <w:r w:rsidRPr="000973FD">
        <w:rPr>
          <w:sz w:val="20"/>
          <w:szCs w:val="20"/>
        </w:rPr>
        <w:t>(Oxford,</w:t>
      </w:r>
      <w:r w:rsidR="00B4709A" w:rsidRPr="000973FD">
        <w:rPr>
          <w:sz w:val="20"/>
          <w:szCs w:val="20"/>
        </w:rPr>
        <w:t xml:space="preserve"> </w:t>
      </w:r>
      <w:r w:rsidRPr="000973FD">
        <w:rPr>
          <w:sz w:val="20"/>
          <w:szCs w:val="20"/>
        </w:rPr>
        <w:t>England).</w:t>
      </w:r>
      <w:r w:rsidR="00B4709A" w:rsidRPr="000973FD">
        <w:rPr>
          <w:sz w:val="20"/>
          <w:szCs w:val="20"/>
        </w:rPr>
        <w:t xml:space="preserve"> </w:t>
      </w:r>
      <w:r w:rsidRPr="000973FD">
        <w:rPr>
          <w:sz w:val="20"/>
          <w:szCs w:val="20"/>
        </w:rPr>
        <w:t>2008;30(2):194-201.</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White</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Ironmonger</w:t>
      </w:r>
      <w:r w:rsidR="00B4709A" w:rsidRPr="000973FD">
        <w:rPr>
          <w:sz w:val="20"/>
          <w:szCs w:val="20"/>
        </w:rPr>
        <w:t xml:space="preserve"> </w:t>
      </w:r>
      <w:r w:rsidRPr="000973FD">
        <w:rPr>
          <w:sz w:val="20"/>
          <w:szCs w:val="20"/>
        </w:rPr>
        <w:t>L,</w:t>
      </w:r>
      <w:r w:rsidR="00B4709A" w:rsidRPr="000973FD">
        <w:rPr>
          <w:sz w:val="20"/>
          <w:szCs w:val="20"/>
        </w:rPr>
        <w:t xml:space="preserve"> </w:t>
      </w:r>
      <w:r w:rsidRPr="000973FD">
        <w:rPr>
          <w:sz w:val="20"/>
          <w:szCs w:val="20"/>
        </w:rPr>
        <w:t>Steele</w:t>
      </w:r>
      <w:r w:rsidR="00B4709A" w:rsidRPr="000973FD">
        <w:rPr>
          <w:sz w:val="20"/>
          <w:szCs w:val="20"/>
        </w:rPr>
        <w:t xml:space="preserve"> </w:t>
      </w:r>
      <w:r w:rsidRPr="000973FD">
        <w:rPr>
          <w:sz w:val="20"/>
          <w:szCs w:val="20"/>
        </w:rPr>
        <w:t>RJC,</w:t>
      </w:r>
      <w:r w:rsidR="00B4709A" w:rsidRPr="000973FD">
        <w:rPr>
          <w:sz w:val="20"/>
          <w:szCs w:val="20"/>
        </w:rPr>
        <w:t xml:space="preserve"> </w:t>
      </w:r>
      <w:r w:rsidRPr="000973FD">
        <w:rPr>
          <w:sz w:val="20"/>
          <w:szCs w:val="20"/>
        </w:rPr>
        <w:t>Ormiston-Smith</w:t>
      </w:r>
      <w:r w:rsidR="00B4709A" w:rsidRPr="000973FD">
        <w:rPr>
          <w:sz w:val="20"/>
          <w:szCs w:val="20"/>
        </w:rPr>
        <w:t xml:space="preserve"> </w:t>
      </w:r>
      <w:r w:rsidRPr="000973FD">
        <w:rPr>
          <w:sz w:val="20"/>
          <w:szCs w:val="20"/>
        </w:rPr>
        <w:t>N,</w:t>
      </w:r>
      <w:r w:rsidR="00B4709A" w:rsidRPr="000973FD">
        <w:rPr>
          <w:sz w:val="20"/>
          <w:szCs w:val="20"/>
        </w:rPr>
        <w:t xml:space="preserve"> </w:t>
      </w:r>
      <w:r w:rsidRPr="000973FD">
        <w:rPr>
          <w:sz w:val="20"/>
          <w:szCs w:val="20"/>
        </w:rPr>
        <w:t>Crawford</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Seims</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review</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sex-related</w:t>
      </w:r>
      <w:r w:rsidR="00B4709A" w:rsidRPr="000973FD">
        <w:rPr>
          <w:sz w:val="20"/>
          <w:szCs w:val="20"/>
        </w:rPr>
        <w:t xml:space="preserve"> </w:t>
      </w:r>
      <w:r w:rsidRPr="000973FD">
        <w:rPr>
          <w:sz w:val="20"/>
          <w:szCs w:val="20"/>
        </w:rPr>
        <w:t>differences</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incidence,</w:t>
      </w:r>
      <w:r w:rsidR="00B4709A" w:rsidRPr="000973FD">
        <w:rPr>
          <w:sz w:val="20"/>
          <w:szCs w:val="20"/>
        </w:rPr>
        <w:t xml:space="preserve"> </w:t>
      </w:r>
      <w:r w:rsidRPr="000973FD">
        <w:rPr>
          <w:sz w:val="20"/>
          <w:szCs w:val="20"/>
        </w:rPr>
        <w:t>screening</w:t>
      </w:r>
      <w:r w:rsidR="00B4709A" w:rsidRPr="000973FD">
        <w:rPr>
          <w:sz w:val="20"/>
          <w:szCs w:val="20"/>
        </w:rPr>
        <w:t xml:space="preserve"> </w:t>
      </w:r>
      <w:r w:rsidRPr="000973FD">
        <w:rPr>
          <w:sz w:val="20"/>
          <w:szCs w:val="20"/>
        </w:rPr>
        <w:t>uptake,</w:t>
      </w:r>
      <w:r w:rsidR="00B4709A" w:rsidRPr="000973FD">
        <w:rPr>
          <w:sz w:val="20"/>
          <w:szCs w:val="20"/>
        </w:rPr>
        <w:t xml:space="preserve"> </w:t>
      </w:r>
      <w:r w:rsidRPr="000973FD">
        <w:rPr>
          <w:sz w:val="20"/>
          <w:szCs w:val="20"/>
        </w:rPr>
        <w:t>routes</w:t>
      </w:r>
      <w:r w:rsidR="00B4709A" w:rsidRPr="000973FD">
        <w:rPr>
          <w:sz w:val="20"/>
          <w:szCs w:val="20"/>
        </w:rPr>
        <w:t xml:space="preserve"> </w:t>
      </w:r>
      <w:r w:rsidRPr="000973FD">
        <w:rPr>
          <w:sz w:val="20"/>
          <w:szCs w:val="20"/>
        </w:rPr>
        <w:t>to</w:t>
      </w:r>
      <w:r w:rsidR="00B4709A" w:rsidRPr="000973FD">
        <w:rPr>
          <w:sz w:val="20"/>
          <w:szCs w:val="20"/>
        </w:rPr>
        <w:t xml:space="preserve"> </w:t>
      </w:r>
      <w:r w:rsidRPr="000973FD">
        <w:rPr>
          <w:sz w:val="20"/>
          <w:szCs w:val="20"/>
        </w:rPr>
        <w:t>diagnosis,</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stage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UK.</w:t>
      </w:r>
      <w:r w:rsidR="00B4709A" w:rsidRPr="000973FD">
        <w:rPr>
          <w:sz w:val="20"/>
          <w:szCs w:val="20"/>
        </w:rPr>
        <w:t xml:space="preserve"> </w:t>
      </w:r>
      <w:r w:rsidRPr="000973FD">
        <w:rPr>
          <w:sz w:val="20"/>
          <w:szCs w:val="20"/>
        </w:rPr>
        <w:t>BMC</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2018;18(1):906.</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Fleming</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Ravula</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Tatishchev</w:t>
      </w:r>
      <w:r w:rsidR="00B4709A" w:rsidRPr="000973FD">
        <w:rPr>
          <w:sz w:val="20"/>
          <w:szCs w:val="20"/>
        </w:rPr>
        <w:t xml:space="preserve"> </w:t>
      </w:r>
      <w:r w:rsidRPr="000973FD">
        <w:rPr>
          <w:sz w:val="20"/>
          <w:szCs w:val="20"/>
        </w:rPr>
        <w:t>SF,</w:t>
      </w:r>
      <w:r w:rsidR="00B4709A" w:rsidRPr="000973FD">
        <w:rPr>
          <w:sz w:val="20"/>
          <w:szCs w:val="20"/>
        </w:rPr>
        <w:t xml:space="preserve"> </w:t>
      </w:r>
      <w:r w:rsidRPr="000973FD">
        <w:rPr>
          <w:sz w:val="20"/>
          <w:szCs w:val="20"/>
        </w:rPr>
        <w:t>Wang</w:t>
      </w:r>
      <w:r w:rsidR="00B4709A" w:rsidRPr="000973FD">
        <w:rPr>
          <w:sz w:val="20"/>
          <w:szCs w:val="20"/>
        </w:rPr>
        <w:t xml:space="preserve"> </w:t>
      </w:r>
      <w:r w:rsidRPr="000973FD">
        <w:rPr>
          <w:sz w:val="20"/>
          <w:szCs w:val="20"/>
        </w:rPr>
        <w:t>HL.</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carcinoma:</w:t>
      </w:r>
      <w:r w:rsidR="00B4709A" w:rsidRPr="000973FD">
        <w:rPr>
          <w:sz w:val="20"/>
          <w:szCs w:val="20"/>
        </w:rPr>
        <w:t xml:space="preserve"> </w:t>
      </w:r>
      <w:r w:rsidRPr="000973FD">
        <w:rPr>
          <w:sz w:val="20"/>
          <w:szCs w:val="20"/>
        </w:rPr>
        <w:t>Pathologic</w:t>
      </w:r>
      <w:r w:rsidR="00B4709A" w:rsidRPr="000973FD">
        <w:rPr>
          <w:sz w:val="20"/>
          <w:szCs w:val="20"/>
        </w:rPr>
        <w:t xml:space="preserve"> </w:t>
      </w:r>
      <w:r w:rsidRPr="000973FD">
        <w:rPr>
          <w:sz w:val="20"/>
          <w:szCs w:val="20"/>
        </w:rPr>
        <w:t>aspects.</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gastrointestinal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2012;3(3):153-73.</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Marley</w:t>
      </w:r>
      <w:r w:rsidR="00B4709A" w:rsidRPr="000973FD">
        <w:rPr>
          <w:sz w:val="20"/>
          <w:szCs w:val="20"/>
        </w:rPr>
        <w:t xml:space="preserve"> </w:t>
      </w:r>
      <w:r w:rsidRPr="000973FD">
        <w:rPr>
          <w:sz w:val="20"/>
          <w:szCs w:val="20"/>
        </w:rPr>
        <w:t>AR,</w:t>
      </w:r>
      <w:r w:rsidR="00B4709A" w:rsidRPr="000973FD">
        <w:rPr>
          <w:sz w:val="20"/>
          <w:szCs w:val="20"/>
        </w:rPr>
        <w:t xml:space="preserve"> </w:t>
      </w:r>
      <w:r w:rsidRPr="000973FD">
        <w:rPr>
          <w:sz w:val="20"/>
          <w:szCs w:val="20"/>
        </w:rPr>
        <w:t>Nan</w:t>
      </w:r>
      <w:r w:rsidR="00B4709A" w:rsidRPr="000973FD">
        <w:rPr>
          <w:sz w:val="20"/>
          <w:szCs w:val="20"/>
        </w:rPr>
        <w:t xml:space="preserve"> </w:t>
      </w:r>
      <w:r w:rsidRPr="000973FD">
        <w:rPr>
          <w:sz w:val="20"/>
          <w:szCs w:val="20"/>
        </w:rPr>
        <w:t>H.</w:t>
      </w:r>
      <w:r w:rsidR="00B4709A" w:rsidRPr="000973FD">
        <w:rPr>
          <w:sz w:val="20"/>
          <w:szCs w:val="20"/>
        </w:rPr>
        <w:t xml:space="preserve"> </w:t>
      </w:r>
      <w:r w:rsidRPr="000973FD">
        <w:rPr>
          <w:sz w:val="20"/>
          <w:szCs w:val="20"/>
        </w:rPr>
        <w:t>Epidemiology</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International</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molecular</w:t>
      </w:r>
      <w:r w:rsidR="00B4709A" w:rsidRPr="000973FD">
        <w:rPr>
          <w:sz w:val="20"/>
          <w:szCs w:val="20"/>
        </w:rPr>
        <w:t xml:space="preserve"> </w:t>
      </w:r>
      <w:r w:rsidRPr="000973FD">
        <w:rPr>
          <w:sz w:val="20"/>
          <w:szCs w:val="20"/>
        </w:rPr>
        <w:t>epidemiology</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genetics.</w:t>
      </w:r>
      <w:r w:rsidR="00B4709A" w:rsidRPr="000973FD">
        <w:rPr>
          <w:sz w:val="20"/>
          <w:szCs w:val="20"/>
        </w:rPr>
        <w:t xml:space="preserve"> </w:t>
      </w:r>
      <w:r w:rsidRPr="000973FD">
        <w:rPr>
          <w:sz w:val="20"/>
          <w:szCs w:val="20"/>
        </w:rPr>
        <w:t>2016;7(3):105-14.</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Weiner</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Markovina</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Khwaja</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DeWees</w:t>
      </w:r>
      <w:r w:rsidR="00B4709A" w:rsidRPr="000973FD">
        <w:rPr>
          <w:sz w:val="20"/>
          <w:szCs w:val="20"/>
        </w:rPr>
        <w:t xml:space="preserve"> </w:t>
      </w:r>
      <w:r w:rsidRPr="000973FD">
        <w:rPr>
          <w:sz w:val="20"/>
          <w:szCs w:val="20"/>
        </w:rPr>
        <w:t>TA,</w:t>
      </w:r>
      <w:r w:rsidR="00B4709A" w:rsidRPr="000973FD">
        <w:rPr>
          <w:sz w:val="20"/>
          <w:szCs w:val="20"/>
        </w:rPr>
        <w:t xml:space="preserve"> </w:t>
      </w:r>
      <w:r w:rsidRPr="000973FD">
        <w:rPr>
          <w:sz w:val="20"/>
          <w:szCs w:val="20"/>
        </w:rPr>
        <w:t>Hunt</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Myerson</w:t>
      </w:r>
      <w:r w:rsidR="00B4709A" w:rsidRPr="000973FD">
        <w:rPr>
          <w:sz w:val="20"/>
          <w:szCs w:val="20"/>
        </w:rPr>
        <w:t xml:space="preserve"> </w:t>
      </w:r>
      <w:r w:rsidRPr="000973FD">
        <w:rPr>
          <w:sz w:val="20"/>
          <w:szCs w:val="20"/>
        </w:rPr>
        <w:t>RJ,</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lastRenderedPageBreak/>
        <w:t>Cancer</w:t>
      </w:r>
      <w:r w:rsidR="00B4709A" w:rsidRPr="000973FD">
        <w:rPr>
          <w:sz w:val="20"/>
          <w:szCs w:val="20"/>
        </w:rPr>
        <w:t xml:space="preserve"> </w:t>
      </w:r>
      <w:r w:rsidRPr="000973FD">
        <w:rPr>
          <w:sz w:val="20"/>
          <w:szCs w:val="20"/>
        </w:rPr>
        <w:t>(NAR)</w:t>
      </w:r>
      <w:r w:rsidR="00B4709A" w:rsidRPr="000973FD">
        <w:rPr>
          <w:sz w:val="20"/>
          <w:szCs w:val="20"/>
        </w:rPr>
        <w:t xml:space="preserve"> </w:t>
      </w:r>
      <w:r w:rsidRPr="000973FD">
        <w:rPr>
          <w:sz w:val="20"/>
          <w:szCs w:val="20"/>
        </w:rPr>
        <w:t>Score</w:t>
      </w:r>
      <w:r w:rsidR="00B4709A" w:rsidRPr="000973FD">
        <w:rPr>
          <w:sz w:val="20"/>
          <w:szCs w:val="20"/>
        </w:rPr>
        <w:t xml:space="preserve"> </w:t>
      </w:r>
      <w:r w:rsidRPr="000973FD">
        <w:rPr>
          <w:sz w:val="20"/>
          <w:szCs w:val="20"/>
        </w:rPr>
        <w:t>Applied</w:t>
      </w:r>
      <w:r w:rsidR="00B4709A" w:rsidRPr="000973FD">
        <w:rPr>
          <w:sz w:val="20"/>
          <w:szCs w:val="20"/>
        </w:rPr>
        <w:t xml:space="preserve"> </w:t>
      </w:r>
      <w:r w:rsidRPr="000973FD">
        <w:rPr>
          <w:sz w:val="20"/>
          <w:szCs w:val="20"/>
        </w:rPr>
        <w:t>to</w:t>
      </w:r>
      <w:r w:rsidR="00B4709A" w:rsidRPr="000973FD">
        <w:rPr>
          <w:sz w:val="20"/>
          <w:szCs w:val="20"/>
        </w:rPr>
        <w:t xml:space="preserve"> </w:t>
      </w:r>
      <w:r w:rsidRPr="000973FD">
        <w:rPr>
          <w:sz w:val="20"/>
          <w:szCs w:val="20"/>
        </w:rPr>
        <w:t>Phase</w:t>
      </w:r>
      <w:r w:rsidR="00B4709A" w:rsidRPr="000973FD">
        <w:rPr>
          <w:sz w:val="20"/>
          <w:szCs w:val="20"/>
        </w:rPr>
        <w:t xml:space="preserve"> </w:t>
      </w:r>
      <w:r w:rsidRPr="000973FD">
        <w:rPr>
          <w:sz w:val="20"/>
          <w:szCs w:val="20"/>
        </w:rPr>
        <w:t>2</w:t>
      </w:r>
      <w:r w:rsidR="00B4709A" w:rsidRPr="000973FD">
        <w:rPr>
          <w:sz w:val="20"/>
          <w:szCs w:val="20"/>
        </w:rPr>
        <w:t xml:space="preserve"> </w:t>
      </w:r>
      <w:r w:rsidRPr="000973FD">
        <w:rPr>
          <w:sz w:val="20"/>
          <w:szCs w:val="20"/>
        </w:rPr>
        <w:t>Trial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Short</w:t>
      </w:r>
      <w:r w:rsidR="00B4709A" w:rsidRPr="000973FD">
        <w:rPr>
          <w:sz w:val="20"/>
          <w:szCs w:val="20"/>
        </w:rPr>
        <w:t xml:space="preserve"> </w:t>
      </w:r>
      <w:r w:rsidRPr="000973FD">
        <w:rPr>
          <w:sz w:val="20"/>
          <w:szCs w:val="20"/>
        </w:rPr>
        <w:t>Course</w:t>
      </w:r>
      <w:r w:rsidR="00B4709A" w:rsidRPr="000973FD">
        <w:rPr>
          <w:sz w:val="20"/>
          <w:szCs w:val="20"/>
        </w:rPr>
        <w:t xml:space="preserve"> </w:t>
      </w:r>
      <w:r w:rsidRPr="000973FD">
        <w:rPr>
          <w:sz w:val="20"/>
          <w:szCs w:val="20"/>
        </w:rPr>
        <w:t>Radiation</w:t>
      </w:r>
      <w:r w:rsidR="00B4709A" w:rsidRPr="000973FD">
        <w:rPr>
          <w:sz w:val="20"/>
          <w:szCs w:val="20"/>
        </w:rPr>
        <w:t xml:space="preserve"> </w:t>
      </w:r>
      <w:r w:rsidRPr="000973FD">
        <w:rPr>
          <w:sz w:val="20"/>
          <w:szCs w:val="20"/>
        </w:rPr>
        <w:t>(RT)</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FOLFOX</w:t>
      </w:r>
      <w:r w:rsidR="00B4709A" w:rsidRPr="000973FD">
        <w:rPr>
          <w:sz w:val="20"/>
          <w:szCs w:val="20"/>
        </w:rPr>
        <w:t xml:space="preserve"> </w:t>
      </w:r>
      <w:r w:rsidRPr="000973FD">
        <w:rPr>
          <w:sz w:val="20"/>
          <w:szCs w:val="20"/>
        </w:rPr>
        <w:t>as</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Therapy</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Supports</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Total</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Approach.</w:t>
      </w:r>
      <w:r w:rsidR="00B4709A" w:rsidRPr="000973FD">
        <w:rPr>
          <w:sz w:val="20"/>
          <w:szCs w:val="20"/>
        </w:rPr>
        <w:t xml:space="preserve"> </w:t>
      </w:r>
      <w:r w:rsidRPr="000973FD">
        <w:rPr>
          <w:sz w:val="20"/>
          <w:szCs w:val="20"/>
        </w:rPr>
        <w:t>International</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Radiation</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w:t>
      </w:r>
      <w:r w:rsidR="00B4709A" w:rsidRPr="000973FD">
        <w:rPr>
          <w:sz w:val="20"/>
          <w:szCs w:val="20"/>
        </w:rPr>
        <w:t xml:space="preserve"> </w:t>
      </w:r>
      <w:r w:rsidRPr="000973FD">
        <w:rPr>
          <w:sz w:val="20"/>
          <w:szCs w:val="20"/>
        </w:rPr>
        <w:t>Biology</w:t>
      </w:r>
      <w:r w:rsidR="00B4709A" w:rsidRPr="000973FD">
        <w:rPr>
          <w:sz w:val="20"/>
          <w:szCs w:val="20"/>
        </w:rPr>
        <w:t xml:space="preserve"> </w:t>
      </w:r>
      <w:r w:rsidRPr="000973FD">
        <w:rPr>
          <w:sz w:val="20"/>
          <w:szCs w:val="20"/>
        </w:rPr>
        <w:t>•</w:t>
      </w:r>
      <w:r w:rsidR="00B4709A" w:rsidRPr="000973FD">
        <w:rPr>
          <w:sz w:val="20"/>
          <w:szCs w:val="20"/>
        </w:rPr>
        <w:t xml:space="preserve"> </w:t>
      </w:r>
      <w:r w:rsidRPr="000973FD">
        <w:rPr>
          <w:sz w:val="20"/>
          <w:szCs w:val="20"/>
        </w:rPr>
        <w:t>Physics.</w:t>
      </w:r>
      <w:r w:rsidR="00B4709A" w:rsidRPr="000973FD">
        <w:rPr>
          <w:sz w:val="20"/>
          <w:szCs w:val="20"/>
        </w:rPr>
        <w:t xml:space="preserve"> </w:t>
      </w:r>
      <w:r w:rsidRPr="000973FD">
        <w:rPr>
          <w:sz w:val="20"/>
          <w:szCs w:val="20"/>
        </w:rPr>
        <w:t>2014;90(1):S389.</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Raissouni</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Mercer</w:t>
      </w:r>
      <w:r w:rsidR="00B4709A" w:rsidRPr="000973FD">
        <w:rPr>
          <w:sz w:val="20"/>
          <w:szCs w:val="20"/>
        </w:rPr>
        <w:t xml:space="preserve"> </w:t>
      </w:r>
      <w:r w:rsidRPr="000973FD">
        <w:rPr>
          <w:sz w:val="20"/>
          <w:szCs w:val="20"/>
        </w:rPr>
        <w:t>J,</w:t>
      </w:r>
      <w:r w:rsidR="00B4709A" w:rsidRPr="000973FD">
        <w:rPr>
          <w:sz w:val="20"/>
          <w:szCs w:val="20"/>
        </w:rPr>
        <w:t xml:space="preserve"> </w:t>
      </w:r>
      <w:r w:rsidRPr="000973FD">
        <w:rPr>
          <w:sz w:val="20"/>
          <w:szCs w:val="20"/>
        </w:rPr>
        <w:t>Gresham</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Kumar</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Goodwin</w:t>
      </w:r>
      <w:r w:rsidR="00B4709A" w:rsidRPr="000973FD">
        <w:rPr>
          <w:sz w:val="20"/>
          <w:szCs w:val="20"/>
        </w:rPr>
        <w:t xml:space="preserve"> </w:t>
      </w:r>
      <w:r w:rsidRPr="000973FD">
        <w:rPr>
          <w:sz w:val="20"/>
          <w:szCs w:val="20"/>
        </w:rPr>
        <w:t>RA,</w:t>
      </w:r>
      <w:r w:rsidR="00B4709A" w:rsidRPr="000973FD">
        <w:rPr>
          <w:sz w:val="20"/>
          <w:szCs w:val="20"/>
        </w:rPr>
        <w:t xml:space="preserve"> </w:t>
      </w:r>
      <w:r w:rsidRPr="000973FD">
        <w:rPr>
          <w:sz w:val="20"/>
          <w:szCs w:val="20"/>
        </w:rPr>
        <w:t>Jiang</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External</w:t>
      </w:r>
      <w:r w:rsidR="00B4709A" w:rsidRPr="000973FD">
        <w:rPr>
          <w:sz w:val="20"/>
          <w:szCs w:val="20"/>
        </w:rPr>
        <w:t xml:space="preserve"> </w:t>
      </w:r>
      <w:r w:rsidRPr="000973FD">
        <w:rPr>
          <w:sz w:val="20"/>
          <w:szCs w:val="20"/>
        </w:rPr>
        <w:t>validation</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(NAR)</w:t>
      </w:r>
      <w:r w:rsidR="00B4709A" w:rsidRPr="000973FD">
        <w:rPr>
          <w:sz w:val="20"/>
          <w:szCs w:val="20"/>
        </w:rPr>
        <w:t xml:space="preserve"> </w:t>
      </w:r>
      <w:r w:rsidRPr="000973FD">
        <w:rPr>
          <w:sz w:val="20"/>
          <w:szCs w:val="20"/>
        </w:rPr>
        <w:t>score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Valentini</w:t>
      </w:r>
      <w:r w:rsidR="00B4709A" w:rsidRPr="000973FD">
        <w:rPr>
          <w:sz w:val="20"/>
          <w:szCs w:val="20"/>
        </w:rPr>
        <w:t xml:space="preserve"> </w:t>
      </w:r>
      <w:r w:rsidRPr="000973FD">
        <w:rPr>
          <w:sz w:val="20"/>
          <w:szCs w:val="20"/>
        </w:rPr>
        <w:t>prediction</w:t>
      </w:r>
      <w:r w:rsidR="00B4709A" w:rsidRPr="000973FD">
        <w:rPr>
          <w:sz w:val="20"/>
          <w:szCs w:val="20"/>
        </w:rPr>
        <w:t xml:space="preserve"> </w:t>
      </w:r>
      <w:r w:rsidRPr="000973FD">
        <w:rPr>
          <w:sz w:val="20"/>
          <w:szCs w:val="20"/>
        </w:rPr>
        <w:t>nomogram</w:t>
      </w:r>
      <w:r w:rsidR="00B4709A" w:rsidRPr="000973FD">
        <w:rPr>
          <w:sz w:val="20"/>
          <w:szCs w:val="20"/>
        </w:rPr>
        <w:t xml:space="preserve"> </w:t>
      </w:r>
      <w:r w:rsidRPr="000973FD">
        <w:rPr>
          <w:sz w:val="20"/>
          <w:szCs w:val="20"/>
        </w:rPr>
        <w:t>(VPN):</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multicenter</w:t>
      </w:r>
      <w:r w:rsidR="00B4709A" w:rsidRPr="000973FD">
        <w:rPr>
          <w:sz w:val="20"/>
          <w:szCs w:val="20"/>
        </w:rPr>
        <w:t xml:space="preserve"> </w:t>
      </w:r>
      <w:r w:rsidRPr="000973FD">
        <w:rPr>
          <w:sz w:val="20"/>
          <w:szCs w:val="20"/>
        </w:rPr>
        <w:t>study.</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2014;32(15_suppl):3532-.</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You</w:t>
      </w:r>
      <w:r w:rsidR="00B4709A" w:rsidRPr="000973FD">
        <w:rPr>
          <w:sz w:val="20"/>
          <w:szCs w:val="20"/>
        </w:rPr>
        <w:t xml:space="preserve"> </w:t>
      </w:r>
      <w:r w:rsidRPr="000973FD">
        <w:rPr>
          <w:sz w:val="20"/>
          <w:szCs w:val="20"/>
        </w:rPr>
        <w:t>YN,</w:t>
      </w:r>
      <w:r w:rsidR="00B4709A" w:rsidRPr="000973FD">
        <w:rPr>
          <w:sz w:val="20"/>
          <w:szCs w:val="20"/>
        </w:rPr>
        <w:t xml:space="preserve"> </w:t>
      </w:r>
      <w:r w:rsidRPr="000973FD">
        <w:rPr>
          <w:sz w:val="20"/>
          <w:szCs w:val="20"/>
        </w:rPr>
        <w:t>George</w:t>
      </w:r>
      <w:r w:rsidR="00B4709A" w:rsidRPr="000973FD">
        <w:rPr>
          <w:sz w:val="20"/>
          <w:szCs w:val="20"/>
        </w:rPr>
        <w:t xml:space="preserve"> </w:t>
      </w:r>
      <w:r w:rsidRPr="000973FD">
        <w:rPr>
          <w:sz w:val="20"/>
          <w:szCs w:val="20"/>
        </w:rPr>
        <w:t>TJ,</w:t>
      </w:r>
      <w:r w:rsidR="00B4709A" w:rsidRPr="000973FD">
        <w:rPr>
          <w:sz w:val="20"/>
          <w:szCs w:val="20"/>
        </w:rPr>
        <w:t xml:space="preserve"> </w:t>
      </w:r>
      <w:r w:rsidRPr="000973FD">
        <w:rPr>
          <w:sz w:val="20"/>
          <w:szCs w:val="20"/>
        </w:rPr>
        <w:t>Chiang</w:t>
      </w:r>
      <w:r w:rsidR="00B4709A" w:rsidRPr="000973FD">
        <w:rPr>
          <w:sz w:val="20"/>
          <w:szCs w:val="20"/>
        </w:rPr>
        <w:t xml:space="preserve"> </w:t>
      </w:r>
      <w:r w:rsidRPr="000973FD">
        <w:rPr>
          <w:sz w:val="20"/>
          <w:szCs w:val="20"/>
        </w:rPr>
        <w:t>Y-J,</w:t>
      </w:r>
      <w:r w:rsidR="00B4709A" w:rsidRPr="000973FD">
        <w:rPr>
          <w:sz w:val="20"/>
          <w:szCs w:val="20"/>
        </w:rPr>
        <w:t xml:space="preserve"> </w:t>
      </w:r>
      <w:r w:rsidRPr="000973FD">
        <w:rPr>
          <w:sz w:val="20"/>
          <w:szCs w:val="20"/>
        </w:rPr>
        <w:t>Eng</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Das</w:t>
      </w:r>
      <w:r w:rsidR="00B4709A" w:rsidRPr="000973FD">
        <w:rPr>
          <w:sz w:val="20"/>
          <w:szCs w:val="20"/>
        </w:rPr>
        <w:t xml:space="preserve"> </w:t>
      </w:r>
      <w:r w:rsidRPr="000973FD">
        <w:rPr>
          <w:sz w:val="20"/>
          <w:szCs w:val="20"/>
        </w:rPr>
        <w:t>P,</w:t>
      </w:r>
      <w:r w:rsidR="00B4709A" w:rsidRPr="000973FD">
        <w:rPr>
          <w:sz w:val="20"/>
          <w:szCs w:val="20"/>
        </w:rPr>
        <w:t xml:space="preserve"> </w:t>
      </w:r>
      <w:r w:rsidRPr="000973FD">
        <w:rPr>
          <w:sz w:val="20"/>
          <w:szCs w:val="20"/>
        </w:rPr>
        <w:t>Chang</w:t>
      </w:r>
      <w:r w:rsidR="00B4709A" w:rsidRPr="000973FD">
        <w:rPr>
          <w:sz w:val="20"/>
          <w:szCs w:val="20"/>
        </w:rPr>
        <w:t xml:space="preserve"> </w:t>
      </w:r>
      <w:r w:rsidRPr="000973FD">
        <w:rPr>
          <w:sz w:val="20"/>
          <w:szCs w:val="20"/>
        </w:rPr>
        <w:t>GJ,</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Validation</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(NAR)</w:t>
      </w:r>
      <w:r w:rsidR="00B4709A" w:rsidRPr="000973FD">
        <w:rPr>
          <w:sz w:val="20"/>
          <w:szCs w:val="20"/>
        </w:rPr>
        <w:t xml:space="preserve"> </w:t>
      </w:r>
      <w:r w:rsidRPr="000973FD">
        <w:rPr>
          <w:sz w:val="20"/>
          <w:szCs w:val="20"/>
        </w:rPr>
        <w:t>score</w:t>
      </w:r>
      <w:r w:rsidR="00B4709A" w:rsidRPr="000973FD">
        <w:rPr>
          <w:sz w:val="20"/>
          <w:szCs w:val="20"/>
        </w:rPr>
        <w:t xml:space="preserve"> </w:t>
      </w:r>
      <w:r w:rsidRPr="000973FD">
        <w:rPr>
          <w:sz w:val="20"/>
          <w:szCs w:val="20"/>
        </w:rPr>
        <w:t>as</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surrogate</w:t>
      </w:r>
      <w:r w:rsidR="00B4709A" w:rsidRPr="000973FD">
        <w:rPr>
          <w:sz w:val="20"/>
          <w:szCs w:val="20"/>
        </w:rPr>
        <w:t xml:space="preserve"> </w:t>
      </w:r>
      <w:r w:rsidRPr="000973FD">
        <w:rPr>
          <w:sz w:val="20"/>
          <w:szCs w:val="20"/>
        </w:rPr>
        <w:t>endpoint</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overall</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real-life</w:t>
      </w:r>
      <w:r w:rsidR="00B4709A" w:rsidRPr="000973FD">
        <w:rPr>
          <w:sz w:val="20"/>
          <w:szCs w:val="20"/>
        </w:rPr>
        <w:t xml:space="preserve"> </w:t>
      </w:r>
      <w:r w:rsidRPr="000973FD">
        <w:rPr>
          <w:sz w:val="20"/>
          <w:szCs w:val="20"/>
        </w:rPr>
        <w:t>practice</w:t>
      </w:r>
      <w:r w:rsidR="00B4709A" w:rsidRPr="000973FD">
        <w:rPr>
          <w:sz w:val="20"/>
          <w:szCs w:val="20"/>
        </w:rPr>
        <w:t xml:space="preserve"> </w:t>
      </w:r>
      <w:r w:rsidRPr="000973FD">
        <w:rPr>
          <w:sz w:val="20"/>
          <w:szCs w:val="20"/>
        </w:rPr>
        <w:t>settings.</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2018;</w:t>
      </w:r>
      <w:r w:rsidR="00A94C7E">
        <w:rPr>
          <w:rFonts w:hint="eastAsia"/>
          <w:sz w:val="20"/>
          <w:szCs w:val="20"/>
          <w:lang w:eastAsia="zh-CN"/>
        </w:rPr>
        <w:t xml:space="preserve"> </w:t>
      </w:r>
      <w:r w:rsidRPr="000973FD">
        <w:rPr>
          <w:sz w:val="20"/>
          <w:szCs w:val="20"/>
        </w:rPr>
        <w:t>36(15_suppl):3517-.</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Klautke</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Feyerherd</w:t>
      </w:r>
      <w:r w:rsidR="00B4709A" w:rsidRPr="000973FD">
        <w:rPr>
          <w:sz w:val="20"/>
          <w:szCs w:val="20"/>
        </w:rPr>
        <w:t xml:space="preserve"> </w:t>
      </w:r>
      <w:r w:rsidRPr="000973FD">
        <w:rPr>
          <w:sz w:val="20"/>
          <w:szCs w:val="20"/>
        </w:rPr>
        <w:t>P,</w:t>
      </w:r>
      <w:r w:rsidR="00B4709A" w:rsidRPr="000973FD">
        <w:rPr>
          <w:sz w:val="20"/>
          <w:szCs w:val="20"/>
        </w:rPr>
        <w:t xml:space="preserve"> </w:t>
      </w:r>
      <w:r w:rsidRPr="000973FD">
        <w:rPr>
          <w:sz w:val="20"/>
          <w:szCs w:val="20"/>
        </w:rPr>
        <w:t>Ludwig</w:t>
      </w:r>
      <w:r w:rsidR="00B4709A" w:rsidRPr="000973FD">
        <w:rPr>
          <w:sz w:val="20"/>
          <w:szCs w:val="20"/>
        </w:rPr>
        <w:t xml:space="preserve"> </w:t>
      </w:r>
      <w:r w:rsidRPr="000973FD">
        <w:rPr>
          <w:sz w:val="20"/>
          <w:szCs w:val="20"/>
        </w:rPr>
        <w:t>K,</w:t>
      </w:r>
      <w:r w:rsidR="00B4709A" w:rsidRPr="000973FD">
        <w:rPr>
          <w:sz w:val="20"/>
          <w:szCs w:val="20"/>
        </w:rPr>
        <w:t xml:space="preserve"> </w:t>
      </w:r>
      <w:r w:rsidRPr="000973FD">
        <w:rPr>
          <w:sz w:val="20"/>
          <w:szCs w:val="20"/>
        </w:rPr>
        <w:t>Prall</w:t>
      </w:r>
      <w:r w:rsidR="00B4709A" w:rsidRPr="000973FD">
        <w:rPr>
          <w:sz w:val="20"/>
          <w:szCs w:val="20"/>
        </w:rPr>
        <w:t xml:space="preserve"> </w:t>
      </w:r>
      <w:r w:rsidRPr="000973FD">
        <w:rPr>
          <w:sz w:val="20"/>
          <w:szCs w:val="20"/>
        </w:rPr>
        <w:t>F,</w:t>
      </w:r>
      <w:r w:rsidR="00B4709A" w:rsidRPr="000973FD">
        <w:rPr>
          <w:sz w:val="20"/>
          <w:szCs w:val="20"/>
        </w:rPr>
        <w:t xml:space="preserve"> </w:t>
      </w:r>
      <w:r w:rsidRPr="000973FD">
        <w:rPr>
          <w:sz w:val="20"/>
          <w:szCs w:val="20"/>
        </w:rPr>
        <w:t>Foitzik</w:t>
      </w:r>
      <w:r w:rsidR="00B4709A" w:rsidRPr="000973FD">
        <w:rPr>
          <w:sz w:val="20"/>
          <w:szCs w:val="20"/>
        </w:rPr>
        <w:t xml:space="preserve"> </w:t>
      </w:r>
      <w:r w:rsidRPr="000973FD">
        <w:rPr>
          <w:sz w:val="20"/>
          <w:szCs w:val="20"/>
        </w:rPr>
        <w:t>T,</w:t>
      </w:r>
      <w:r w:rsidR="00B4709A" w:rsidRPr="000973FD">
        <w:rPr>
          <w:sz w:val="20"/>
          <w:szCs w:val="20"/>
        </w:rPr>
        <w:t xml:space="preserve"> </w:t>
      </w:r>
      <w:r w:rsidRPr="000973FD">
        <w:rPr>
          <w:sz w:val="20"/>
          <w:szCs w:val="20"/>
        </w:rPr>
        <w:t>Fietkau</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Intensified</w:t>
      </w:r>
      <w:r w:rsidR="00B4709A" w:rsidRPr="000973FD">
        <w:rPr>
          <w:sz w:val="20"/>
          <w:szCs w:val="20"/>
        </w:rPr>
        <w:t xml:space="preserve"> </w:t>
      </w:r>
      <w:r w:rsidRPr="000973FD">
        <w:rPr>
          <w:sz w:val="20"/>
          <w:szCs w:val="20"/>
        </w:rPr>
        <w:t>concurrent</w:t>
      </w:r>
      <w:r w:rsidR="00B4709A" w:rsidRPr="000973FD">
        <w:rPr>
          <w:sz w:val="20"/>
          <w:szCs w:val="20"/>
        </w:rPr>
        <w:t xml:space="preserve"> </w:t>
      </w:r>
      <w:r w:rsidRPr="000973FD">
        <w:rPr>
          <w:sz w:val="20"/>
          <w:szCs w:val="20"/>
        </w:rPr>
        <w:t>chemoradiotherapy</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5-fluorouracil</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irinotecan</w:t>
      </w:r>
      <w:r w:rsidR="00B4709A" w:rsidRPr="000973FD">
        <w:rPr>
          <w:sz w:val="20"/>
          <w:szCs w:val="20"/>
        </w:rPr>
        <w:t xml:space="preserve"> </w:t>
      </w:r>
      <w:r w:rsidRPr="000973FD">
        <w:rPr>
          <w:sz w:val="20"/>
          <w:szCs w:val="20"/>
        </w:rPr>
        <w:t>as</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treatment</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patients</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locally</w:t>
      </w:r>
      <w:r w:rsidR="00B4709A" w:rsidRPr="000973FD">
        <w:rPr>
          <w:sz w:val="20"/>
          <w:szCs w:val="20"/>
        </w:rPr>
        <w:t xml:space="preserve"> </w:t>
      </w:r>
      <w:r w:rsidRPr="000973FD">
        <w:rPr>
          <w:sz w:val="20"/>
          <w:szCs w:val="20"/>
        </w:rPr>
        <w:t>advanced</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British</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2005;92:1215.</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Mohammed</w:t>
      </w:r>
      <w:r w:rsidR="00B4709A" w:rsidRPr="000973FD">
        <w:rPr>
          <w:sz w:val="20"/>
          <w:szCs w:val="20"/>
        </w:rPr>
        <w:t xml:space="preserve"> </w:t>
      </w:r>
      <w:r w:rsidRPr="000973FD">
        <w:rPr>
          <w:sz w:val="20"/>
          <w:szCs w:val="20"/>
        </w:rPr>
        <w:t>Mohiuddin</w:t>
      </w:r>
      <w:r w:rsidR="00B4709A" w:rsidRPr="000973FD">
        <w:rPr>
          <w:sz w:val="20"/>
          <w:szCs w:val="20"/>
        </w:rPr>
        <w:t xml:space="preserve"> </w:t>
      </w:r>
      <w:r w:rsidRPr="000973FD">
        <w:rPr>
          <w:sz w:val="20"/>
          <w:szCs w:val="20"/>
        </w:rPr>
        <w:t>KW,</w:t>
      </w:r>
      <w:r w:rsidR="00B4709A" w:rsidRPr="000973FD">
        <w:rPr>
          <w:sz w:val="20"/>
          <w:szCs w:val="20"/>
        </w:rPr>
        <w:t xml:space="preserve"> </w:t>
      </w:r>
      <w:r w:rsidRPr="000973FD">
        <w:rPr>
          <w:sz w:val="20"/>
          <w:szCs w:val="20"/>
        </w:rPr>
        <w:t>Edith</w:t>
      </w:r>
      <w:r w:rsidR="00B4709A" w:rsidRPr="000973FD">
        <w:rPr>
          <w:sz w:val="20"/>
          <w:szCs w:val="20"/>
        </w:rPr>
        <w:t xml:space="preserve"> </w:t>
      </w:r>
      <w:r w:rsidRPr="000973FD">
        <w:rPr>
          <w:sz w:val="20"/>
          <w:szCs w:val="20"/>
        </w:rPr>
        <w:t>Mitchell,</w:t>
      </w:r>
      <w:r w:rsidR="00B4709A" w:rsidRPr="000973FD">
        <w:rPr>
          <w:sz w:val="20"/>
          <w:szCs w:val="20"/>
        </w:rPr>
        <w:t xml:space="preserve"> </w:t>
      </w:r>
      <w:r w:rsidRPr="000973FD">
        <w:rPr>
          <w:sz w:val="20"/>
          <w:szCs w:val="20"/>
        </w:rPr>
        <w:t>Nader</w:t>
      </w:r>
      <w:r w:rsidR="00B4709A" w:rsidRPr="000973FD">
        <w:rPr>
          <w:sz w:val="20"/>
          <w:szCs w:val="20"/>
        </w:rPr>
        <w:t xml:space="preserve"> </w:t>
      </w:r>
      <w:r w:rsidRPr="000973FD">
        <w:rPr>
          <w:sz w:val="20"/>
          <w:szCs w:val="20"/>
        </w:rPr>
        <w:t>Hanna,</w:t>
      </w:r>
      <w:r w:rsidR="00B4709A" w:rsidRPr="000973FD">
        <w:rPr>
          <w:sz w:val="20"/>
          <w:szCs w:val="20"/>
        </w:rPr>
        <w:t xml:space="preserve"> </w:t>
      </w:r>
      <w:r w:rsidRPr="000973FD">
        <w:rPr>
          <w:sz w:val="20"/>
          <w:szCs w:val="20"/>
        </w:rPr>
        <w:t>Albert</w:t>
      </w:r>
      <w:r w:rsidR="00B4709A" w:rsidRPr="000973FD">
        <w:rPr>
          <w:sz w:val="20"/>
          <w:szCs w:val="20"/>
        </w:rPr>
        <w:t xml:space="preserve"> </w:t>
      </w:r>
      <w:r w:rsidRPr="000973FD">
        <w:rPr>
          <w:sz w:val="20"/>
          <w:szCs w:val="20"/>
        </w:rPr>
        <w:t>Yunen,</w:t>
      </w:r>
      <w:r w:rsidR="00B4709A" w:rsidRPr="000973FD">
        <w:rPr>
          <w:sz w:val="20"/>
          <w:szCs w:val="20"/>
        </w:rPr>
        <w:t xml:space="preserve"> </w:t>
      </w:r>
      <w:r w:rsidRPr="000973FD">
        <w:rPr>
          <w:sz w:val="20"/>
          <w:szCs w:val="20"/>
        </w:rPr>
        <w:t>Charles</w:t>
      </w:r>
      <w:r w:rsidR="00B4709A" w:rsidRPr="000973FD">
        <w:rPr>
          <w:sz w:val="20"/>
          <w:szCs w:val="20"/>
        </w:rPr>
        <w:t xml:space="preserve"> </w:t>
      </w:r>
      <w:r w:rsidRPr="000973FD">
        <w:rPr>
          <w:sz w:val="20"/>
          <w:szCs w:val="20"/>
        </w:rPr>
        <w:t>Nichols,</w:t>
      </w:r>
      <w:r w:rsidR="00B4709A" w:rsidRPr="000973FD">
        <w:rPr>
          <w:sz w:val="20"/>
          <w:szCs w:val="20"/>
        </w:rPr>
        <w:t xml:space="preserve"> </w:t>
      </w:r>
      <w:r w:rsidRPr="000973FD">
        <w:rPr>
          <w:sz w:val="20"/>
          <w:szCs w:val="20"/>
        </w:rPr>
        <w:t>Robert</w:t>
      </w:r>
      <w:r w:rsidR="00B4709A" w:rsidRPr="000973FD">
        <w:rPr>
          <w:sz w:val="20"/>
          <w:szCs w:val="20"/>
        </w:rPr>
        <w:t xml:space="preserve"> </w:t>
      </w:r>
      <w:r w:rsidRPr="000973FD">
        <w:rPr>
          <w:sz w:val="20"/>
          <w:szCs w:val="20"/>
        </w:rPr>
        <w:t>Shane,</w:t>
      </w:r>
      <w:r w:rsidR="00B4709A" w:rsidRPr="000973FD">
        <w:rPr>
          <w:sz w:val="20"/>
          <w:szCs w:val="20"/>
        </w:rPr>
        <w:t xml:space="preserve"> </w:t>
      </w:r>
      <w:r w:rsidRPr="000973FD">
        <w:rPr>
          <w:sz w:val="20"/>
          <w:szCs w:val="20"/>
        </w:rPr>
        <w:t>Cherie</w:t>
      </w:r>
      <w:r w:rsidR="00B4709A" w:rsidRPr="000973FD">
        <w:rPr>
          <w:sz w:val="20"/>
          <w:szCs w:val="20"/>
        </w:rPr>
        <w:t xml:space="preserve"> </w:t>
      </w:r>
      <w:r w:rsidRPr="000973FD">
        <w:rPr>
          <w:sz w:val="20"/>
          <w:szCs w:val="20"/>
        </w:rPr>
        <w:t>Hayostek,</w:t>
      </w:r>
      <w:r w:rsidR="00B4709A" w:rsidRPr="000973FD">
        <w:rPr>
          <w:sz w:val="20"/>
          <w:szCs w:val="20"/>
        </w:rPr>
        <w:t xml:space="preserve"> </w:t>
      </w:r>
      <w:r w:rsidRPr="000973FD">
        <w:rPr>
          <w:sz w:val="20"/>
          <w:szCs w:val="20"/>
        </w:rPr>
        <w:t>Christopher</w:t>
      </w:r>
      <w:r w:rsidR="00B4709A" w:rsidRPr="000973FD">
        <w:rPr>
          <w:sz w:val="20"/>
          <w:szCs w:val="20"/>
        </w:rPr>
        <w:t xml:space="preserve"> </w:t>
      </w:r>
      <w:r w:rsidRPr="000973FD">
        <w:rPr>
          <w:sz w:val="20"/>
          <w:szCs w:val="20"/>
        </w:rPr>
        <w:t>Willett.</w:t>
      </w:r>
      <w:r w:rsidR="00B4709A" w:rsidRPr="000973FD">
        <w:rPr>
          <w:sz w:val="20"/>
          <w:szCs w:val="20"/>
        </w:rPr>
        <w:t xml:space="preserve"> </w:t>
      </w:r>
      <w:r w:rsidRPr="000973FD">
        <w:rPr>
          <w:sz w:val="20"/>
          <w:szCs w:val="20"/>
        </w:rPr>
        <w:t>Randomized</w:t>
      </w:r>
      <w:r w:rsidR="00B4709A" w:rsidRPr="000973FD">
        <w:rPr>
          <w:sz w:val="20"/>
          <w:szCs w:val="20"/>
        </w:rPr>
        <w:t xml:space="preserve"> </w:t>
      </w:r>
      <w:r w:rsidRPr="000973FD">
        <w:rPr>
          <w:sz w:val="20"/>
          <w:szCs w:val="20"/>
        </w:rPr>
        <w:t>phase</w:t>
      </w:r>
      <w:r w:rsidR="00B4709A" w:rsidRPr="000973FD">
        <w:rPr>
          <w:sz w:val="20"/>
          <w:szCs w:val="20"/>
        </w:rPr>
        <w:t xml:space="preserve"> </w:t>
      </w:r>
      <w:r w:rsidRPr="000973FD">
        <w:rPr>
          <w:sz w:val="20"/>
          <w:szCs w:val="20"/>
        </w:rPr>
        <w:t>2</w:t>
      </w:r>
      <w:r w:rsidR="00B4709A" w:rsidRPr="000973FD">
        <w:rPr>
          <w:sz w:val="20"/>
          <w:szCs w:val="20"/>
        </w:rPr>
        <w:t xml:space="preserve"> </w:t>
      </w:r>
      <w:r w:rsidRPr="000973FD">
        <w:rPr>
          <w:sz w:val="20"/>
          <w:szCs w:val="20"/>
        </w:rPr>
        <w:t>study</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Comined-Modality</w:t>
      </w:r>
      <w:r w:rsidR="00B4709A" w:rsidRPr="000973FD">
        <w:rPr>
          <w:sz w:val="20"/>
          <w:szCs w:val="20"/>
        </w:rPr>
        <w:t xml:space="preserve"> </w:t>
      </w:r>
      <w:r w:rsidRPr="000973FD">
        <w:rPr>
          <w:sz w:val="20"/>
          <w:szCs w:val="20"/>
        </w:rPr>
        <w:t>Chemoradiation</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Distal</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1E53F5" w:rsidRPr="000973FD">
        <w:rPr>
          <w:sz w:val="20"/>
          <w:szCs w:val="20"/>
        </w:rPr>
        <w:t>: R</w:t>
      </w:r>
      <w:r w:rsidRPr="000973FD">
        <w:rPr>
          <w:sz w:val="20"/>
          <w:szCs w:val="20"/>
        </w:rPr>
        <w:t>adiation</w:t>
      </w:r>
      <w:r w:rsidR="00B4709A" w:rsidRPr="000973FD">
        <w:rPr>
          <w:sz w:val="20"/>
          <w:szCs w:val="20"/>
        </w:rPr>
        <w:t xml:space="preserve"> </w:t>
      </w:r>
      <w:r w:rsidRPr="000973FD">
        <w:rPr>
          <w:sz w:val="20"/>
          <w:szCs w:val="20"/>
        </w:rPr>
        <w:t>Therapy</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Group</w:t>
      </w:r>
      <w:r w:rsidR="00B4709A" w:rsidRPr="000973FD">
        <w:rPr>
          <w:sz w:val="20"/>
          <w:szCs w:val="20"/>
        </w:rPr>
        <w:t xml:space="preserve"> </w:t>
      </w:r>
      <w:r w:rsidRPr="000973FD">
        <w:rPr>
          <w:sz w:val="20"/>
          <w:szCs w:val="20"/>
        </w:rPr>
        <w:t>Trial</w:t>
      </w:r>
      <w:r w:rsidR="00B4709A" w:rsidRPr="000973FD">
        <w:rPr>
          <w:sz w:val="20"/>
          <w:szCs w:val="20"/>
        </w:rPr>
        <w:t xml:space="preserve"> </w:t>
      </w:r>
      <w:r w:rsidRPr="000973FD">
        <w:rPr>
          <w:sz w:val="20"/>
          <w:szCs w:val="20"/>
        </w:rPr>
        <w:t>0012.</w:t>
      </w:r>
      <w:r w:rsidR="00B4709A" w:rsidRPr="000973FD">
        <w:rPr>
          <w:sz w:val="20"/>
          <w:szCs w:val="20"/>
        </w:rPr>
        <w:t xml:space="preserve"> </w:t>
      </w:r>
      <w:r w:rsidRPr="000973FD">
        <w:rPr>
          <w:sz w:val="20"/>
          <w:szCs w:val="20"/>
        </w:rPr>
        <w:t>2005.</w:t>
      </w:r>
      <w:r w:rsidR="001E53F5" w:rsidRPr="000973FD">
        <w:rPr>
          <w:rFonts w:hint="eastAsia"/>
          <w:sz w:val="20"/>
          <w:szCs w:val="20"/>
          <w:lang w:eastAsia="zh-CN"/>
        </w:rPr>
        <w:t xml:space="preserve"> </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Kim</w:t>
      </w:r>
      <w:r w:rsidR="00B4709A" w:rsidRPr="000973FD">
        <w:rPr>
          <w:sz w:val="20"/>
          <w:szCs w:val="20"/>
        </w:rPr>
        <w:t xml:space="preserve"> </w:t>
      </w:r>
      <w:r w:rsidRPr="000973FD">
        <w:rPr>
          <w:sz w:val="20"/>
          <w:szCs w:val="20"/>
        </w:rPr>
        <w:t>NK,</w:t>
      </w:r>
      <w:r w:rsidR="00B4709A" w:rsidRPr="000973FD">
        <w:rPr>
          <w:sz w:val="20"/>
          <w:szCs w:val="20"/>
        </w:rPr>
        <w:t xml:space="preserve"> </w:t>
      </w:r>
      <w:r w:rsidRPr="000973FD">
        <w:rPr>
          <w:sz w:val="20"/>
          <w:szCs w:val="20"/>
        </w:rPr>
        <w:t>Baik</w:t>
      </w:r>
      <w:r w:rsidR="00B4709A" w:rsidRPr="000973FD">
        <w:rPr>
          <w:sz w:val="20"/>
          <w:szCs w:val="20"/>
        </w:rPr>
        <w:t xml:space="preserve"> </w:t>
      </w:r>
      <w:r w:rsidRPr="000973FD">
        <w:rPr>
          <w:sz w:val="20"/>
          <w:szCs w:val="20"/>
        </w:rPr>
        <w:t>SH,</w:t>
      </w:r>
      <w:r w:rsidR="00B4709A" w:rsidRPr="000973FD">
        <w:rPr>
          <w:sz w:val="20"/>
          <w:szCs w:val="20"/>
        </w:rPr>
        <w:t xml:space="preserve"> </w:t>
      </w:r>
      <w:r w:rsidRPr="000973FD">
        <w:rPr>
          <w:sz w:val="20"/>
          <w:szCs w:val="20"/>
        </w:rPr>
        <w:t>Seong</w:t>
      </w:r>
      <w:r w:rsidR="00B4709A" w:rsidRPr="000973FD">
        <w:rPr>
          <w:sz w:val="20"/>
          <w:szCs w:val="20"/>
        </w:rPr>
        <w:t xml:space="preserve"> </w:t>
      </w:r>
      <w:r w:rsidRPr="000973FD">
        <w:rPr>
          <w:sz w:val="20"/>
          <w:szCs w:val="20"/>
        </w:rPr>
        <w:t>JS,</w:t>
      </w:r>
      <w:r w:rsidR="00B4709A" w:rsidRPr="000973FD">
        <w:rPr>
          <w:sz w:val="20"/>
          <w:szCs w:val="20"/>
        </w:rPr>
        <w:t xml:space="preserve"> </w:t>
      </w:r>
      <w:r w:rsidRPr="000973FD">
        <w:rPr>
          <w:sz w:val="20"/>
          <w:szCs w:val="20"/>
        </w:rPr>
        <w:t>Kim</w:t>
      </w:r>
      <w:r w:rsidR="00B4709A" w:rsidRPr="000973FD">
        <w:rPr>
          <w:sz w:val="20"/>
          <w:szCs w:val="20"/>
        </w:rPr>
        <w:t xml:space="preserve"> </w:t>
      </w:r>
      <w:r w:rsidRPr="000973FD">
        <w:rPr>
          <w:sz w:val="20"/>
          <w:szCs w:val="20"/>
        </w:rPr>
        <w:t>H,</w:t>
      </w:r>
      <w:r w:rsidR="00B4709A" w:rsidRPr="000973FD">
        <w:rPr>
          <w:sz w:val="20"/>
          <w:szCs w:val="20"/>
        </w:rPr>
        <w:t xml:space="preserve"> </w:t>
      </w:r>
      <w:r w:rsidRPr="000973FD">
        <w:rPr>
          <w:sz w:val="20"/>
          <w:szCs w:val="20"/>
        </w:rPr>
        <w:t>Roh</w:t>
      </w:r>
      <w:r w:rsidR="00B4709A" w:rsidRPr="000973FD">
        <w:rPr>
          <w:sz w:val="20"/>
          <w:szCs w:val="20"/>
        </w:rPr>
        <w:t xml:space="preserve"> </w:t>
      </w:r>
      <w:r w:rsidRPr="000973FD">
        <w:rPr>
          <w:sz w:val="20"/>
          <w:szCs w:val="20"/>
        </w:rPr>
        <w:t>JK,</w:t>
      </w:r>
      <w:r w:rsidR="00B4709A" w:rsidRPr="000973FD">
        <w:rPr>
          <w:sz w:val="20"/>
          <w:szCs w:val="20"/>
        </w:rPr>
        <w:t xml:space="preserve"> </w:t>
      </w:r>
      <w:r w:rsidRPr="000973FD">
        <w:rPr>
          <w:sz w:val="20"/>
          <w:szCs w:val="20"/>
        </w:rPr>
        <w:t>Lee</w:t>
      </w:r>
      <w:r w:rsidR="00B4709A" w:rsidRPr="000973FD">
        <w:rPr>
          <w:sz w:val="20"/>
          <w:szCs w:val="20"/>
        </w:rPr>
        <w:t xml:space="preserve"> </w:t>
      </w:r>
      <w:r w:rsidRPr="000973FD">
        <w:rPr>
          <w:sz w:val="20"/>
          <w:szCs w:val="20"/>
        </w:rPr>
        <w:t>KY,</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Oncologic</w:t>
      </w:r>
      <w:r w:rsidR="00B4709A" w:rsidRPr="000973FD">
        <w:rPr>
          <w:sz w:val="20"/>
          <w:szCs w:val="20"/>
        </w:rPr>
        <w:t xml:space="preserve"> </w:t>
      </w:r>
      <w:r w:rsidRPr="000973FD">
        <w:rPr>
          <w:sz w:val="20"/>
          <w:szCs w:val="20"/>
        </w:rPr>
        <w:t>outcomes</w:t>
      </w:r>
      <w:r w:rsidR="00B4709A" w:rsidRPr="000973FD">
        <w:rPr>
          <w:sz w:val="20"/>
          <w:szCs w:val="20"/>
        </w:rPr>
        <w:t xml:space="preserve"> </w:t>
      </w:r>
      <w:r w:rsidRPr="000973FD">
        <w:rPr>
          <w:sz w:val="20"/>
          <w:szCs w:val="20"/>
        </w:rPr>
        <w:t>after</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chemoradiation</w:t>
      </w:r>
      <w:r w:rsidR="00B4709A" w:rsidRPr="000973FD">
        <w:rPr>
          <w:sz w:val="20"/>
          <w:szCs w:val="20"/>
        </w:rPr>
        <w:t xml:space="preserve"> </w:t>
      </w:r>
      <w:r w:rsidRPr="000973FD">
        <w:rPr>
          <w:sz w:val="20"/>
          <w:szCs w:val="20"/>
        </w:rPr>
        <w:t>followed</w:t>
      </w:r>
      <w:r w:rsidR="00B4709A" w:rsidRPr="000973FD">
        <w:rPr>
          <w:sz w:val="20"/>
          <w:szCs w:val="20"/>
        </w:rPr>
        <w:t xml:space="preserve"> </w:t>
      </w:r>
      <w:r w:rsidRPr="000973FD">
        <w:rPr>
          <w:sz w:val="20"/>
          <w:szCs w:val="20"/>
        </w:rPr>
        <w:t>by</w:t>
      </w:r>
      <w:r w:rsidR="00B4709A" w:rsidRPr="000973FD">
        <w:rPr>
          <w:sz w:val="20"/>
          <w:szCs w:val="20"/>
        </w:rPr>
        <w:t xml:space="preserve"> </w:t>
      </w:r>
      <w:r w:rsidRPr="000973FD">
        <w:rPr>
          <w:sz w:val="20"/>
          <w:szCs w:val="20"/>
        </w:rPr>
        <w:t>curative</w:t>
      </w:r>
      <w:r w:rsidR="00B4709A" w:rsidRPr="000973FD">
        <w:rPr>
          <w:sz w:val="20"/>
          <w:szCs w:val="20"/>
        </w:rPr>
        <w:t xml:space="preserve"> </w:t>
      </w:r>
      <w:r w:rsidRPr="000973FD">
        <w:rPr>
          <w:sz w:val="20"/>
          <w:szCs w:val="20"/>
        </w:rPr>
        <w:t>resection</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tumor-specific</w:t>
      </w:r>
      <w:r w:rsidR="00B4709A" w:rsidRPr="000973FD">
        <w:rPr>
          <w:sz w:val="20"/>
          <w:szCs w:val="20"/>
        </w:rPr>
        <w:t xml:space="preserve"> </w:t>
      </w:r>
      <w:r w:rsidRPr="000973FD">
        <w:rPr>
          <w:sz w:val="20"/>
          <w:szCs w:val="20"/>
        </w:rPr>
        <w:t>mesorectal</w:t>
      </w:r>
      <w:r w:rsidR="00B4709A" w:rsidRPr="000973FD">
        <w:rPr>
          <w:sz w:val="20"/>
          <w:szCs w:val="20"/>
        </w:rPr>
        <w:t xml:space="preserve"> </w:t>
      </w:r>
      <w:r w:rsidRPr="000973FD">
        <w:rPr>
          <w:sz w:val="20"/>
          <w:szCs w:val="20"/>
        </w:rPr>
        <w:t>excision</w:t>
      </w:r>
      <w:r w:rsidR="00B4709A" w:rsidRPr="000973FD">
        <w:rPr>
          <w:sz w:val="20"/>
          <w:szCs w:val="20"/>
        </w:rPr>
        <w:t xml:space="preserve"> </w:t>
      </w:r>
      <w:r w:rsidRPr="000973FD">
        <w:rPr>
          <w:sz w:val="20"/>
          <w:szCs w:val="20"/>
        </w:rPr>
        <w:t>for</w:t>
      </w:r>
      <w:r w:rsidR="00B4709A" w:rsidRPr="000973FD">
        <w:rPr>
          <w:sz w:val="20"/>
          <w:szCs w:val="20"/>
        </w:rPr>
        <w:t xml:space="preserve"> </w:t>
      </w:r>
      <w:r w:rsidRPr="000973FD">
        <w:rPr>
          <w:sz w:val="20"/>
          <w:szCs w:val="20"/>
        </w:rPr>
        <w:t>fixed</w:t>
      </w:r>
      <w:r w:rsidR="00B4709A" w:rsidRPr="000973FD">
        <w:rPr>
          <w:sz w:val="20"/>
          <w:szCs w:val="20"/>
        </w:rPr>
        <w:t xml:space="preserve"> </w:t>
      </w:r>
      <w:r w:rsidRPr="000973FD">
        <w:rPr>
          <w:sz w:val="20"/>
          <w:szCs w:val="20"/>
        </w:rPr>
        <w:t>locally</w:t>
      </w:r>
      <w:r w:rsidR="00B4709A" w:rsidRPr="000973FD">
        <w:rPr>
          <w:sz w:val="20"/>
          <w:szCs w:val="20"/>
        </w:rPr>
        <w:t xml:space="preserve"> </w:t>
      </w:r>
      <w:r w:rsidRPr="000973FD">
        <w:rPr>
          <w:sz w:val="20"/>
          <w:szCs w:val="20"/>
        </w:rPr>
        <w:t>advanced</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Impact</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postirradiated</w:t>
      </w:r>
      <w:r w:rsidR="00B4709A" w:rsidRPr="000973FD">
        <w:rPr>
          <w:sz w:val="20"/>
          <w:szCs w:val="20"/>
        </w:rPr>
        <w:t xml:space="preserve"> </w:t>
      </w:r>
      <w:r w:rsidRPr="000973FD">
        <w:rPr>
          <w:sz w:val="20"/>
          <w:szCs w:val="20"/>
        </w:rPr>
        <w:t>pathologic</w:t>
      </w:r>
      <w:r w:rsidR="00B4709A" w:rsidRPr="000973FD">
        <w:rPr>
          <w:sz w:val="20"/>
          <w:szCs w:val="20"/>
        </w:rPr>
        <w:t xml:space="preserve"> </w:t>
      </w:r>
      <w:r w:rsidRPr="000973FD">
        <w:rPr>
          <w:sz w:val="20"/>
          <w:szCs w:val="20"/>
        </w:rPr>
        <w:t>downstaging</w:t>
      </w:r>
      <w:r w:rsidR="00B4709A" w:rsidRPr="000973FD">
        <w:rPr>
          <w:sz w:val="20"/>
          <w:szCs w:val="20"/>
        </w:rPr>
        <w:t xml:space="preserve"> </w:t>
      </w:r>
      <w:r w:rsidRPr="000973FD">
        <w:rPr>
          <w:sz w:val="20"/>
          <w:szCs w:val="20"/>
        </w:rPr>
        <w:t>on</w:t>
      </w:r>
      <w:r w:rsidR="00B4709A" w:rsidRPr="000973FD">
        <w:rPr>
          <w:sz w:val="20"/>
          <w:szCs w:val="20"/>
        </w:rPr>
        <w:t xml:space="preserve"> </w:t>
      </w:r>
      <w:r w:rsidRPr="000973FD">
        <w:rPr>
          <w:sz w:val="20"/>
          <w:szCs w:val="20"/>
        </w:rPr>
        <w:t>local</w:t>
      </w:r>
      <w:r w:rsidR="00B4709A" w:rsidRPr="000973FD">
        <w:rPr>
          <w:sz w:val="20"/>
          <w:szCs w:val="20"/>
        </w:rPr>
        <w:t xml:space="preserve"> </w:t>
      </w:r>
      <w:r w:rsidRPr="000973FD">
        <w:rPr>
          <w:sz w:val="20"/>
          <w:szCs w:val="20"/>
        </w:rPr>
        <w:t>recurrence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Annals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surgery.</w:t>
      </w:r>
      <w:r w:rsidR="00B4709A" w:rsidRPr="000973FD">
        <w:rPr>
          <w:sz w:val="20"/>
          <w:szCs w:val="20"/>
        </w:rPr>
        <w:t xml:space="preserve"> </w:t>
      </w:r>
      <w:r w:rsidRPr="000973FD">
        <w:rPr>
          <w:sz w:val="20"/>
          <w:szCs w:val="20"/>
        </w:rPr>
        <w:t>2006;244(6):1024-30.</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Roh</w:t>
      </w:r>
      <w:r w:rsidR="00B4709A" w:rsidRPr="000973FD">
        <w:rPr>
          <w:sz w:val="20"/>
          <w:szCs w:val="20"/>
        </w:rPr>
        <w:t xml:space="preserve"> </w:t>
      </w:r>
      <w:r w:rsidRPr="000973FD">
        <w:rPr>
          <w:sz w:val="20"/>
          <w:szCs w:val="20"/>
        </w:rPr>
        <w:t>MS,</w:t>
      </w:r>
      <w:r w:rsidR="00B4709A" w:rsidRPr="000973FD">
        <w:rPr>
          <w:sz w:val="20"/>
          <w:szCs w:val="20"/>
        </w:rPr>
        <w:t xml:space="preserve"> </w:t>
      </w:r>
      <w:r w:rsidRPr="000973FD">
        <w:rPr>
          <w:sz w:val="20"/>
          <w:szCs w:val="20"/>
        </w:rPr>
        <w:t>Colangelo</w:t>
      </w:r>
      <w:r w:rsidR="00B4709A" w:rsidRPr="000973FD">
        <w:rPr>
          <w:sz w:val="20"/>
          <w:szCs w:val="20"/>
        </w:rPr>
        <w:t xml:space="preserve"> </w:t>
      </w:r>
      <w:r w:rsidRPr="000973FD">
        <w:rPr>
          <w:sz w:val="20"/>
          <w:szCs w:val="20"/>
        </w:rPr>
        <w:t>LH,</w:t>
      </w:r>
      <w:r w:rsidR="00B4709A" w:rsidRPr="000973FD">
        <w:rPr>
          <w:sz w:val="20"/>
          <w:szCs w:val="20"/>
        </w:rPr>
        <w:t xml:space="preserve"> </w:t>
      </w:r>
      <w:r w:rsidRPr="000973FD">
        <w:rPr>
          <w:sz w:val="20"/>
          <w:szCs w:val="20"/>
        </w:rPr>
        <w:t>O'Connell</w:t>
      </w:r>
      <w:r w:rsidR="00B4709A" w:rsidRPr="000973FD">
        <w:rPr>
          <w:sz w:val="20"/>
          <w:szCs w:val="20"/>
        </w:rPr>
        <w:t xml:space="preserve"> </w:t>
      </w:r>
      <w:r w:rsidRPr="000973FD">
        <w:rPr>
          <w:sz w:val="20"/>
          <w:szCs w:val="20"/>
        </w:rPr>
        <w:t>MJ,</w:t>
      </w:r>
      <w:r w:rsidR="00B4709A" w:rsidRPr="000973FD">
        <w:rPr>
          <w:sz w:val="20"/>
          <w:szCs w:val="20"/>
        </w:rPr>
        <w:t xml:space="preserve"> </w:t>
      </w:r>
      <w:r w:rsidRPr="000973FD">
        <w:rPr>
          <w:sz w:val="20"/>
          <w:szCs w:val="20"/>
        </w:rPr>
        <w:t>Yothers</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Deutsch</w:t>
      </w:r>
      <w:r w:rsidR="00B4709A" w:rsidRPr="000973FD">
        <w:rPr>
          <w:sz w:val="20"/>
          <w:szCs w:val="20"/>
        </w:rPr>
        <w:t xml:space="preserve"> </w:t>
      </w:r>
      <w:r w:rsidRPr="000973FD">
        <w:rPr>
          <w:sz w:val="20"/>
          <w:szCs w:val="20"/>
        </w:rPr>
        <w:t>M,</w:t>
      </w:r>
      <w:r w:rsidR="00B4709A" w:rsidRPr="000973FD">
        <w:rPr>
          <w:sz w:val="20"/>
          <w:szCs w:val="20"/>
        </w:rPr>
        <w:t xml:space="preserve"> </w:t>
      </w:r>
      <w:r w:rsidRPr="000973FD">
        <w:rPr>
          <w:sz w:val="20"/>
          <w:szCs w:val="20"/>
        </w:rPr>
        <w:t>Allegra</w:t>
      </w:r>
      <w:r w:rsidR="00B4709A" w:rsidRPr="000973FD">
        <w:rPr>
          <w:sz w:val="20"/>
          <w:szCs w:val="20"/>
        </w:rPr>
        <w:t xml:space="preserve"> </w:t>
      </w:r>
      <w:r w:rsidRPr="000973FD">
        <w:rPr>
          <w:sz w:val="20"/>
          <w:szCs w:val="20"/>
        </w:rPr>
        <w:t>CJ,</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multimodality</w:t>
      </w:r>
      <w:r w:rsidR="00B4709A" w:rsidRPr="000973FD">
        <w:rPr>
          <w:sz w:val="20"/>
          <w:szCs w:val="20"/>
        </w:rPr>
        <w:t xml:space="preserve"> </w:t>
      </w:r>
      <w:r w:rsidRPr="000973FD">
        <w:rPr>
          <w:sz w:val="20"/>
          <w:szCs w:val="20"/>
        </w:rPr>
        <w:t>therapy</w:t>
      </w:r>
      <w:r w:rsidR="00B4709A" w:rsidRPr="000973FD">
        <w:rPr>
          <w:sz w:val="20"/>
          <w:szCs w:val="20"/>
        </w:rPr>
        <w:t xml:space="preserve"> </w:t>
      </w:r>
      <w:r w:rsidRPr="000973FD">
        <w:rPr>
          <w:sz w:val="20"/>
          <w:szCs w:val="20"/>
        </w:rPr>
        <w:t>improves</w:t>
      </w:r>
      <w:r w:rsidR="00B4709A" w:rsidRPr="000973FD">
        <w:rPr>
          <w:sz w:val="20"/>
          <w:szCs w:val="20"/>
        </w:rPr>
        <w:t xml:space="preserve"> </w:t>
      </w:r>
      <w:r w:rsidRPr="000973FD">
        <w:rPr>
          <w:sz w:val="20"/>
          <w:szCs w:val="20"/>
        </w:rPr>
        <w:t>disease-free</w:t>
      </w:r>
      <w:r w:rsidR="00B4709A" w:rsidRPr="000973FD">
        <w:rPr>
          <w:sz w:val="20"/>
          <w:szCs w:val="20"/>
        </w:rPr>
        <w:t xml:space="preserve"> </w:t>
      </w:r>
      <w:r w:rsidRPr="000973FD">
        <w:rPr>
          <w:sz w:val="20"/>
          <w:szCs w:val="20"/>
        </w:rPr>
        <w:t>survival</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patients</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carcinoma</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rectum:</w:t>
      </w:r>
      <w:r w:rsidR="00B4709A" w:rsidRPr="000973FD">
        <w:rPr>
          <w:sz w:val="20"/>
          <w:szCs w:val="20"/>
        </w:rPr>
        <w:t xml:space="preserve"> </w:t>
      </w:r>
      <w:r w:rsidRPr="000973FD">
        <w:rPr>
          <w:sz w:val="20"/>
          <w:szCs w:val="20"/>
        </w:rPr>
        <w:t>NSABP</w:t>
      </w:r>
      <w:r w:rsidR="00B4709A" w:rsidRPr="000973FD">
        <w:rPr>
          <w:sz w:val="20"/>
          <w:szCs w:val="20"/>
        </w:rPr>
        <w:t xml:space="preserve"> </w:t>
      </w:r>
      <w:r w:rsidRPr="000973FD">
        <w:rPr>
          <w:sz w:val="20"/>
          <w:szCs w:val="20"/>
        </w:rPr>
        <w:t>R-03.</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official</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American</w:t>
      </w:r>
      <w:r w:rsidR="00B4709A" w:rsidRPr="000973FD">
        <w:rPr>
          <w:sz w:val="20"/>
          <w:szCs w:val="20"/>
        </w:rPr>
        <w:t xml:space="preserve"> </w:t>
      </w:r>
      <w:r w:rsidRPr="000973FD">
        <w:rPr>
          <w:sz w:val="20"/>
          <w:szCs w:val="20"/>
        </w:rPr>
        <w:t>Society</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2009;27(31):5124-30.</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Yu</w:t>
      </w:r>
      <w:r w:rsidR="00B4709A" w:rsidRPr="000973FD">
        <w:rPr>
          <w:sz w:val="20"/>
          <w:szCs w:val="20"/>
        </w:rPr>
        <w:t xml:space="preserve"> </w:t>
      </w:r>
      <w:r w:rsidRPr="000973FD">
        <w:rPr>
          <w:sz w:val="20"/>
          <w:szCs w:val="20"/>
        </w:rPr>
        <w:t>Jo</w:t>
      </w:r>
      <w:r w:rsidR="00B4709A" w:rsidRPr="000973FD">
        <w:rPr>
          <w:sz w:val="20"/>
          <w:szCs w:val="20"/>
        </w:rPr>
        <w:t xml:space="preserve"> </w:t>
      </w:r>
      <w:r w:rsidRPr="000973FD">
        <w:rPr>
          <w:sz w:val="20"/>
          <w:szCs w:val="20"/>
        </w:rPr>
        <w:t>Chua</w:t>
      </w:r>
      <w:r w:rsidR="00B4709A" w:rsidRPr="000973FD">
        <w:rPr>
          <w:sz w:val="20"/>
          <w:szCs w:val="20"/>
        </w:rPr>
        <w:t xml:space="preserve"> </w:t>
      </w:r>
      <w:r w:rsidRPr="000973FD">
        <w:rPr>
          <w:sz w:val="20"/>
          <w:szCs w:val="20"/>
        </w:rPr>
        <w:t>YB,</w:t>
      </w:r>
      <w:r w:rsidR="00B4709A" w:rsidRPr="000973FD">
        <w:rPr>
          <w:sz w:val="20"/>
          <w:szCs w:val="20"/>
        </w:rPr>
        <w:t xml:space="preserve"> </w:t>
      </w:r>
      <w:r w:rsidRPr="000973FD">
        <w:rPr>
          <w:sz w:val="20"/>
          <w:szCs w:val="20"/>
        </w:rPr>
        <w:t>David</w:t>
      </w:r>
      <w:r w:rsidR="00B4709A" w:rsidRPr="000973FD">
        <w:rPr>
          <w:sz w:val="20"/>
          <w:szCs w:val="20"/>
        </w:rPr>
        <w:t xml:space="preserve"> </w:t>
      </w:r>
      <w:r w:rsidRPr="000973FD">
        <w:rPr>
          <w:sz w:val="20"/>
          <w:szCs w:val="20"/>
        </w:rPr>
        <w:t>Cunningham,</w:t>
      </w:r>
      <w:r w:rsidR="00B4709A" w:rsidRPr="000973FD">
        <w:rPr>
          <w:sz w:val="20"/>
          <w:szCs w:val="20"/>
        </w:rPr>
        <w:t xml:space="preserve"> </w:t>
      </w:r>
      <w:r w:rsidRPr="000973FD">
        <w:rPr>
          <w:sz w:val="20"/>
          <w:szCs w:val="20"/>
        </w:rPr>
        <w:t>Jacqui</w:t>
      </w:r>
      <w:r w:rsidR="00B4709A" w:rsidRPr="000973FD">
        <w:rPr>
          <w:sz w:val="20"/>
          <w:szCs w:val="20"/>
        </w:rPr>
        <w:t xml:space="preserve"> </w:t>
      </w:r>
      <w:r w:rsidRPr="000973FD">
        <w:rPr>
          <w:sz w:val="20"/>
          <w:szCs w:val="20"/>
        </w:rPr>
        <w:t>R</w:t>
      </w:r>
      <w:r w:rsidR="00B4709A" w:rsidRPr="000973FD">
        <w:rPr>
          <w:sz w:val="20"/>
          <w:szCs w:val="20"/>
        </w:rPr>
        <w:t xml:space="preserve"> </w:t>
      </w:r>
      <w:r w:rsidRPr="000973FD">
        <w:rPr>
          <w:sz w:val="20"/>
          <w:szCs w:val="20"/>
        </w:rPr>
        <w:t>Oates,</w:t>
      </w:r>
      <w:r w:rsidR="00B4709A" w:rsidRPr="000973FD">
        <w:rPr>
          <w:sz w:val="20"/>
          <w:szCs w:val="20"/>
        </w:rPr>
        <w:t xml:space="preserve"> </w:t>
      </w:r>
      <w:r w:rsidRPr="000973FD">
        <w:rPr>
          <w:sz w:val="20"/>
          <w:szCs w:val="20"/>
        </w:rPr>
        <w:t>Gina</w:t>
      </w:r>
      <w:r w:rsidR="00B4709A" w:rsidRPr="000973FD">
        <w:rPr>
          <w:sz w:val="20"/>
          <w:szCs w:val="20"/>
        </w:rPr>
        <w:t xml:space="preserve"> </w:t>
      </w:r>
      <w:r w:rsidRPr="000973FD">
        <w:rPr>
          <w:sz w:val="20"/>
          <w:szCs w:val="20"/>
        </w:rPr>
        <w:t>Brown,</w:t>
      </w:r>
      <w:r w:rsidR="00B4709A" w:rsidRPr="000973FD">
        <w:rPr>
          <w:sz w:val="20"/>
          <w:szCs w:val="20"/>
        </w:rPr>
        <w:t xml:space="preserve"> </w:t>
      </w:r>
      <w:r w:rsidRPr="000973FD">
        <w:rPr>
          <w:sz w:val="20"/>
          <w:szCs w:val="20"/>
        </w:rPr>
        <w:t>Andrew</w:t>
      </w:r>
      <w:r w:rsidR="00B4709A" w:rsidRPr="000973FD">
        <w:rPr>
          <w:sz w:val="20"/>
          <w:szCs w:val="20"/>
        </w:rPr>
        <w:t xml:space="preserve"> </w:t>
      </w:r>
      <w:r w:rsidRPr="000973FD">
        <w:rPr>
          <w:sz w:val="20"/>
          <w:szCs w:val="20"/>
        </w:rPr>
        <w:t>Wotherspoon,</w:t>
      </w:r>
      <w:r w:rsidR="00B4709A" w:rsidRPr="000973FD">
        <w:rPr>
          <w:sz w:val="20"/>
          <w:szCs w:val="20"/>
        </w:rPr>
        <w:t xml:space="preserve"> </w:t>
      </w:r>
      <w:r w:rsidRPr="000973FD">
        <w:rPr>
          <w:sz w:val="20"/>
          <w:szCs w:val="20"/>
        </w:rPr>
        <w:t>Diana</w:t>
      </w:r>
      <w:r w:rsidR="00B4709A" w:rsidRPr="000973FD">
        <w:rPr>
          <w:sz w:val="20"/>
          <w:szCs w:val="20"/>
        </w:rPr>
        <w:t xml:space="preserve"> </w:t>
      </w:r>
      <w:r w:rsidRPr="000973FD">
        <w:rPr>
          <w:sz w:val="20"/>
          <w:szCs w:val="20"/>
        </w:rPr>
        <w:t>Tait,</w:t>
      </w:r>
      <w:r w:rsidR="00B4709A" w:rsidRPr="000973FD">
        <w:rPr>
          <w:sz w:val="20"/>
          <w:szCs w:val="20"/>
        </w:rPr>
        <w:t xml:space="preserve"> </w:t>
      </w:r>
      <w:r w:rsidRPr="000973FD">
        <w:rPr>
          <w:sz w:val="20"/>
          <w:szCs w:val="20"/>
        </w:rPr>
        <w:t>Alison</w:t>
      </w:r>
      <w:r w:rsidR="00B4709A" w:rsidRPr="000973FD">
        <w:rPr>
          <w:sz w:val="20"/>
          <w:szCs w:val="20"/>
        </w:rPr>
        <w:t xml:space="preserve"> </w:t>
      </w:r>
      <w:r w:rsidRPr="000973FD">
        <w:rPr>
          <w:sz w:val="20"/>
          <w:szCs w:val="20"/>
        </w:rPr>
        <w:t>Massey,</w:t>
      </w:r>
      <w:r w:rsidR="00B4709A" w:rsidRPr="000973FD">
        <w:rPr>
          <w:sz w:val="20"/>
          <w:szCs w:val="20"/>
        </w:rPr>
        <w:t xml:space="preserve"> </w:t>
      </w:r>
      <w:r w:rsidRPr="000973FD">
        <w:rPr>
          <w:sz w:val="20"/>
          <w:szCs w:val="20"/>
        </w:rPr>
        <w:t>Niall</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Tebbutt,</w:t>
      </w:r>
      <w:r w:rsidR="00B4709A" w:rsidRPr="000973FD">
        <w:rPr>
          <w:sz w:val="20"/>
          <w:szCs w:val="20"/>
        </w:rPr>
        <w:t xml:space="preserve"> </w:t>
      </w:r>
      <w:r w:rsidRPr="000973FD">
        <w:rPr>
          <w:sz w:val="20"/>
          <w:szCs w:val="20"/>
        </w:rPr>
        <w:t>Ian</w:t>
      </w:r>
      <w:r w:rsidR="00B4709A" w:rsidRPr="000973FD">
        <w:rPr>
          <w:sz w:val="20"/>
          <w:szCs w:val="20"/>
        </w:rPr>
        <w:t xml:space="preserve"> </w:t>
      </w:r>
      <w:r w:rsidRPr="000973FD">
        <w:rPr>
          <w:sz w:val="20"/>
          <w:szCs w:val="20"/>
        </w:rPr>
        <w:t>Chau</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capecitabine</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oxaliplatin</w:t>
      </w:r>
      <w:r w:rsidR="00B4709A" w:rsidRPr="000973FD">
        <w:rPr>
          <w:sz w:val="20"/>
          <w:szCs w:val="20"/>
        </w:rPr>
        <w:t xml:space="preserve"> </w:t>
      </w:r>
      <w:r w:rsidRPr="000973FD">
        <w:rPr>
          <w:sz w:val="20"/>
          <w:szCs w:val="20"/>
        </w:rPr>
        <w:t>before</w:t>
      </w:r>
      <w:r w:rsidR="00B4709A" w:rsidRPr="000973FD">
        <w:rPr>
          <w:sz w:val="20"/>
          <w:szCs w:val="20"/>
        </w:rPr>
        <w:t xml:space="preserve"> </w:t>
      </w:r>
      <w:r w:rsidRPr="000973FD">
        <w:rPr>
          <w:sz w:val="20"/>
          <w:szCs w:val="20"/>
        </w:rPr>
        <w:t>chemoradiotherapy</w:t>
      </w:r>
      <w:r w:rsidR="00B4709A" w:rsidRPr="000973FD">
        <w:rPr>
          <w:sz w:val="20"/>
          <w:szCs w:val="20"/>
        </w:rPr>
        <w:t xml:space="preserve"> </w:t>
      </w:r>
      <w:r w:rsidRPr="000973FD">
        <w:rPr>
          <w:sz w:val="20"/>
          <w:szCs w:val="20"/>
        </w:rPr>
        <w:t>and</w:t>
      </w:r>
      <w:r w:rsidR="00B4709A" w:rsidRPr="000973FD">
        <w:rPr>
          <w:sz w:val="20"/>
          <w:szCs w:val="20"/>
        </w:rPr>
        <w:t xml:space="preserve"> </w:t>
      </w:r>
      <w:r w:rsidRPr="000973FD">
        <w:rPr>
          <w:sz w:val="20"/>
          <w:szCs w:val="20"/>
        </w:rPr>
        <w:t>total</w:t>
      </w:r>
      <w:r w:rsidR="00B4709A" w:rsidRPr="000973FD">
        <w:rPr>
          <w:sz w:val="20"/>
          <w:szCs w:val="20"/>
        </w:rPr>
        <w:t xml:space="preserve"> </w:t>
      </w:r>
      <w:r w:rsidRPr="000973FD">
        <w:rPr>
          <w:sz w:val="20"/>
          <w:szCs w:val="20"/>
        </w:rPr>
        <w:t>mesorectal</w:t>
      </w:r>
      <w:r w:rsidR="00B4709A" w:rsidRPr="000973FD">
        <w:rPr>
          <w:sz w:val="20"/>
          <w:szCs w:val="20"/>
        </w:rPr>
        <w:t xml:space="preserve"> </w:t>
      </w:r>
      <w:r w:rsidRPr="000973FD">
        <w:rPr>
          <w:sz w:val="20"/>
          <w:szCs w:val="20"/>
        </w:rPr>
        <w:t>excision</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MRI</w:t>
      </w:r>
      <w:r w:rsidR="00B4709A" w:rsidRPr="000973FD">
        <w:rPr>
          <w:sz w:val="20"/>
          <w:szCs w:val="20"/>
        </w:rPr>
        <w:t xml:space="preserve"> </w:t>
      </w:r>
      <w:r w:rsidRPr="000973FD">
        <w:rPr>
          <w:sz w:val="20"/>
          <w:szCs w:val="20"/>
        </w:rPr>
        <w:t>defined</w:t>
      </w:r>
      <w:r w:rsidR="00B4709A" w:rsidRPr="000973FD">
        <w:rPr>
          <w:sz w:val="20"/>
          <w:szCs w:val="20"/>
        </w:rPr>
        <w:t xml:space="preserve"> </w:t>
      </w:r>
      <w:r w:rsidRPr="000973FD">
        <w:rPr>
          <w:sz w:val="20"/>
          <w:szCs w:val="20"/>
        </w:rPr>
        <w:t>poor-risk</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2010.</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Gerard</w:t>
      </w:r>
      <w:r w:rsidR="00B4709A" w:rsidRPr="000973FD">
        <w:rPr>
          <w:sz w:val="20"/>
          <w:szCs w:val="20"/>
        </w:rPr>
        <w:t xml:space="preserve"> </w:t>
      </w:r>
      <w:r w:rsidRPr="000973FD">
        <w:rPr>
          <w:sz w:val="20"/>
          <w:szCs w:val="20"/>
        </w:rPr>
        <w:t>JP,</w:t>
      </w:r>
      <w:r w:rsidR="00B4709A" w:rsidRPr="000973FD">
        <w:rPr>
          <w:sz w:val="20"/>
          <w:szCs w:val="20"/>
        </w:rPr>
        <w:t xml:space="preserve"> </w:t>
      </w:r>
      <w:r w:rsidRPr="000973FD">
        <w:rPr>
          <w:sz w:val="20"/>
          <w:szCs w:val="20"/>
        </w:rPr>
        <w:t>Azria</w:t>
      </w:r>
      <w:r w:rsidR="00B4709A" w:rsidRPr="000973FD">
        <w:rPr>
          <w:sz w:val="20"/>
          <w:szCs w:val="20"/>
        </w:rPr>
        <w:t xml:space="preserve"> </w:t>
      </w:r>
      <w:r w:rsidRPr="000973FD">
        <w:rPr>
          <w:sz w:val="20"/>
          <w:szCs w:val="20"/>
        </w:rPr>
        <w:t>D,</w:t>
      </w:r>
      <w:r w:rsidR="00B4709A" w:rsidRPr="000973FD">
        <w:rPr>
          <w:sz w:val="20"/>
          <w:szCs w:val="20"/>
        </w:rPr>
        <w:t xml:space="preserve"> </w:t>
      </w:r>
      <w:r w:rsidRPr="000973FD">
        <w:rPr>
          <w:sz w:val="20"/>
          <w:szCs w:val="20"/>
        </w:rPr>
        <w:t>Gourgou-Bourgade</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Martel-Lafay</w:t>
      </w:r>
      <w:r w:rsidR="00B4709A" w:rsidRPr="000973FD">
        <w:rPr>
          <w:sz w:val="20"/>
          <w:szCs w:val="20"/>
        </w:rPr>
        <w:t xml:space="preserve"> </w:t>
      </w:r>
      <w:r w:rsidRPr="000973FD">
        <w:rPr>
          <w:sz w:val="20"/>
          <w:szCs w:val="20"/>
        </w:rPr>
        <w:t>I,</w:t>
      </w:r>
      <w:r w:rsidR="00B4709A" w:rsidRPr="000973FD">
        <w:rPr>
          <w:sz w:val="20"/>
          <w:szCs w:val="20"/>
        </w:rPr>
        <w:t xml:space="preserve"> </w:t>
      </w:r>
      <w:r w:rsidRPr="000973FD">
        <w:rPr>
          <w:sz w:val="20"/>
          <w:szCs w:val="20"/>
        </w:rPr>
        <w:t>Hennequin</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Etienne</w:t>
      </w:r>
      <w:r w:rsidR="00B4709A" w:rsidRPr="000973FD">
        <w:rPr>
          <w:sz w:val="20"/>
          <w:szCs w:val="20"/>
        </w:rPr>
        <w:t xml:space="preserve"> </w:t>
      </w:r>
      <w:r w:rsidRPr="000973FD">
        <w:rPr>
          <w:sz w:val="20"/>
          <w:szCs w:val="20"/>
        </w:rPr>
        <w:t>PL,</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lastRenderedPageBreak/>
        <w:t>Clinical</w:t>
      </w:r>
      <w:r w:rsidR="00B4709A" w:rsidRPr="000973FD">
        <w:rPr>
          <w:sz w:val="20"/>
          <w:szCs w:val="20"/>
        </w:rPr>
        <w:t xml:space="preserve"> </w:t>
      </w:r>
      <w:r w:rsidRPr="000973FD">
        <w:rPr>
          <w:sz w:val="20"/>
          <w:szCs w:val="20"/>
        </w:rPr>
        <w:t>outcome</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ACCORD</w:t>
      </w:r>
      <w:r w:rsidR="00B4709A" w:rsidRPr="000973FD">
        <w:rPr>
          <w:sz w:val="20"/>
          <w:szCs w:val="20"/>
        </w:rPr>
        <w:t xml:space="preserve"> </w:t>
      </w:r>
      <w:r w:rsidRPr="000973FD">
        <w:rPr>
          <w:sz w:val="20"/>
          <w:szCs w:val="20"/>
        </w:rPr>
        <w:t>12/0405</w:t>
      </w:r>
      <w:r w:rsidR="00B4709A" w:rsidRPr="000973FD">
        <w:rPr>
          <w:sz w:val="20"/>
          <w:szCs w:val="20"/>
        </w:rPr>
        <w:t xml:space="preserve"> </w:t>
      </w:r>
      <w:r w:rsidRPr="000973FD">
        <w:rPr>
          <w:sz w:val="20"/>
          <w:szCs w:val="20"/>
        </w:rPr>
        <w:t>PRODIGE</w:t>
      </w:r>
      <w:r w:rsidR="00B4709A" w:rsidRPr="000973FD">
        <w:rPr>
          <w:sz w:val="20"/>
          <w:szCs w:val="20"/>
        </w:rPr>
        <w:t xml:space="preserve"> </w:t>
      </w:r>
      <w:r w:rsidRPr="000973FD">
        <w:rPr>
          <w:sz w:val="20"/>
          <w:szCs w:val="20"/>
        </w:rPr>
        <w:t>2</w:t>
      </w:r>
      <w:r w:rsidR="00B4709A" w:rsidRPr="000973FD">
        <w:rPr>
          <w:sz w:val="20"/>
          <w:szCs w:val="20"/>
        </w:rPr>
        <w:t xml:space="preserve"> </w:t>
      </w:r>
      <w:r w:rsidRPr="000973FD">
        <w:rPr>
          <w:sz w:val="20"/>
          <w:szCs w:val="20"/>
        </w:rPr>
        <w:t>randomized</w:t>
      </w:r>
      <w:r w:rsidR="00B4709A" w:rsidRPr="000973FD">
        <w:rPr>
          <w:sz w:val="20"/>
          <w:szCs w:val="20"/>
        </w:rPr>
        <w:t xml:space="preserve"> </w:t>
      </w:r>
      <w:r w:rsidRPr="000973FD">
        <w:rPr>
          <w:sz w:val="20"/>
          <w:szCs w:val="20"/>
        </w:rPr>
        <w:t>trial</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official</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the</w:t>
      </w:r>
      <w:r w:rsidR="00B4709A" w:rsidRPr="000973FD">
        <w:rPr>
          <w:sz w:val="20"/>
          <w:szCs w:val="20"/>
        </w:rPr>
        <w:t xml:space="preserve"> </w:t>
      </w:r>
      <w:r w:rsidRPr="000973FD">
        <w:rPr>
          <w:sz w:val="20"/>
          <w:szCs w:val="20"/>
        </w:rPr>
        <w:t>American</w:t>
      </w:r>
      <w:r w:rsidR="00B4709A" w:rsidRPr="000973FD">
        <w:rPr>
          <w:sz w:val="20"/>
          <w:szCs w:val="20"/>
        </w:rPr>
        <w:t xml:space="preserve"> </w:t>
      </w:r>
      <w:r w:rsidRPr="000973FD">
        <w:rPr>
          <w:sz w:val="20"/>
          <w:szCs w:val="20"/>
        </w:rPr>
        <w:t>Society</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2012;30(36):4558-65.</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Aschele</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Lonardi</w:t>
      </w:r>
      <w:r w:rsidR="00B4709A" w:rsidRPr="000973FD">
        <w:rPr>
          <w:sz w:val="20"/>
          <w:szCs w:val="20"/>
        </w:rPr>
        <w:t xml:space="preserve"> </w:t>
      </w:r>
      <w:r w:rsidRPr="000973FD">
        <w:rPr>
          <w:sz w:val="20"/>
          <w:szCs w:val="20"/>
        </w:rPr>
        <w:t>S,</w:t>
      </w:r>
      <w:r w:rsidR="00B4709A" w:rsidRPr="000973FD">
        <w:rPr>
          <w:sz w:val="20"/>
          <w:szCs w:val="20"/>
        </w:rPr>
        <w:t xml:space="preserve"> </w:t>
      </w:r>
      <w:r w:rsidRPr="000973FD">
        <w:rPr>
          <w:sz w:val="20"/>
          <w:szCs w:val="20"/>
        </w:rPr>
        <w:t>Cionini</w:t>
      </w:r>
      <w:r w:rsidR="00B4709A" w:rsidRPr="000973FD">
        <w:rPr>
          <w:sz w:val="20"/>
          <w:szCs w:val="20"/>
        </w:rPr>
        <w:t xml:space="preserve"> </w:t>
      </w:r>
      <w:r w:rsidRPr="000973FD">
        <w:rPr>
          <w:sz w:val="20"/>
          <w:szCs w:val="20"/>
        </w:rPr>
        <w:t>L,</w:t>
      </w:r>
      <w:r w:rsidR="00B4709A" w:rsidRPr="000973FD">
        <w:rPr>
          <w:sz w:val="20"/>
          <w:szCs w:val="20"/>
        </w:rPr>
        <w:t xml:space="preserve"> </w:t>
      </w:r>
      <w:r w:rsidRPr="000973FD">
        <w:rPr>
          <w:sz w:val="20"/>
          <w:szCs w:val="20"/>
        </w:rPr>
        <w:t>Pinto</w:t>
      </w:r>
      <w:r w:rsidR="00B4709A" w:rsidRPr="000973FD">
        <w:rPr>
          <w:sz w:val="20"/>
          <w:szCs w:val="20"/>
        </w:rPr>
        <w:t xml:space="preserve"> </w:t>
      </w:r>
      <w:r w:rsidRPr="000973FD">
        <w:rPr>
          <w:sz w:val="20"/>
          <w:szCs w:val="20"/>
        </w:rPr>
        <w:t>C,</w:t>
      </w:r>
      <w:r w:rsidR="00B4709A" w:rsidRPr="000973FD">
        <w:rPr>
          <w:sz w:val="20"/>
          <w:szCs w:val="20"/>
        </w:rPr>
        <w:t xml:space="preserve"> </w:t>
      </w:r>
      <w:r w:rsidRPr="000973FD">
        <w:rPr>
          <w:sz w:val="20"/>
          <w:szCs w:val="20"/>
        </w:rPr>
        <w:t>Cordio</w:t>
      </w:r>
      <w:r w:rsidR="00B4709A" w:rsidRPr="000973FD">
        <w:rPr>
          <w:sz w:val="20"/>
          <w:szCs w:val="20"/>
        </w:rPr>
        <w:t xml:space="preserve"> </w:t>
      </w:r>
      <w:r w:rsidRPr="000973FD">
        <w:rPr>
          <w:sz w:val="20"/>
          <w:szCs w:val="20"/>
        </w:rPr>
        <w:t>SS,</w:t>
      </w:r>
      <w:r w:rsidR="00B4709A" w:rsidRPr="000973FD">
        <w:rPr>
          <w:sz w:val="20"/>
          <w:szCs w:val="20"/>
        </w:rPr>
        <w:t xml:space="preserve"> </w:t>
      </w:r>
      <w:r w:rsidRPr="000973FD">
        <w:rPr>
          <w:sz w:val="20"/>
          <w:szCs w:val="20"/>
        </w:rPr>
        <w:t>Rosati</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et</w:t>
      </w:r>
      <w:r w:rsidR="00B4709A" w:rsidRPr="000973FD">
        <w:rPr>
          <w:sz w:val="20"/>
          <w:szCs w:val="20"/>
        </w:rPr>
        <w:t xml:space="preserve"> </w:t>
      </w:r>
      <w:r w:rsidRPr="000973FD">
        <w:rPr>
          <w:sz w:val="20"/>
          <w:szCs w:val="20"/>
        </w:rPr>
        <w:t>al.</w:t>
      </w:r>
      <w:r w:rsidR="00B4709A" w:rsidRPr="000973FD">
        <w:rPr>
          <w:sz w:val="20"/>
          <w:szCs w:val="20"/>
        </w:rPr>
        <w:t xml:space="preserve"> </w:t>
      </w:r>
      <w:r w:rsidRPr="000973FD">
        <w:rPr>
          <w:sz w:val="20"/>
          <w:szCs w:val="20"/>
        </w:rPr>
        <w:t>Final</w:t>
      </w:r>
      <w:r w:rsidR="00B4709A" w:rsidRPr="000973FD">
        <w:rPr>
          <w:sz w:val="20"/>
          <w:szCs w:val="20"/>
        </w:rPr>
        <w:t xml:space="preserve"> </w:t>
      </w:r>
      <w:r w:rsidRPr="000973FD">
        <w:rPr>
          <w:sz w:val="20"/>
          <w:szCs w:val="20"/>
        </w:rPr>
        <w:t>results</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STAR-01:</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randomized</w:t>
      </w:r>
      <w:r w:rsidR="00B4709A" w:rsidRPr="000973FD">
        <w:rPr>
          <w:sz w:val="20"/>
          <w:szCs w:val="20"/>
        </w:rPr>
        <w:t xml:space="preserve"> </w:t>
      </w:r>
      <w:r w:rsidRPr="000973FD">
        <w:rPr>
          <w:sz w:val="20"/>
          <w:szCs w:val="20"/>
        </w:rPr>
        <w:t>phase</w:t>
      </w:r>
      <w:r w:rsidR="00B4709A" w:rsidRPr="000973FD">
        <w:rPr>
          <w:sz w:val="20"/>
          <w:szCs w:val="20"/>
        </w:rPr>
        <w:t xml:space="preserve"> </w:t>
      </w:r>
      <w:r w:rsidRPr="000973FD">
        <w:rPr>
          <w:sz w:val="20"/>
          <w:szCs w:val="20"/>
        </w:rPr>
        <w:t>III</w:t>
      </w:r>
      <w:r w:rsidR="00B4709A" w:rsidRPr="000973FD">
        <w:rPr>
          <w:sz w:val="20"/>
          <w:szCs w:val="20"/>
        </w:rPr>
        <w:t xml:space="preserve"> </w:t>
      </w:r>
      <w:r w:rsidRPr="000973FD">
        <w:rPr>
          <w:sz w:val="20"/>
          <w:szCs w:val="20"/>
        </w:rPr>
        <w:t>trial</w:t>
      </w:r>
      <w:r w:rsidR="00B4709A" w:rsidRPr="000973FD">
        <w:rPr>
          <w:sz w:val="20"/>
          <w:szCs w:val="20"/>
        </w:rPr>
        <w:t xml:space="preserve"> </w:t>
      </w:r>
      <w:r w:rsidRPr="000973FD">
        <w:rPr>
          <w:sz w:val="20"/>
          <w:szCs w:val="20"/>
        </w:rPr>
        <w:t>comparing</w:t>
      </w:r>
      <w:r w:rsidR="00B4709A" w:rsidRPr="000973FD">
        <w:rPr>
          <w:sz w:val="20"/>
          <w:szCs w:val="20"/>
        </w:rPr>
        <w:t xml:space="preserve"> </w:t>
      </w:r>
      <w:r w:rsidRPr="000973FD">
        <w:rPr>
          <w:sz w:val="20"/>
          <w:szCs w:val="20"/>
        </w:rPr>
        <w:t>preoperative</w:t>
      </w:r>
      <w:r w:rsidR="00B4709A" w:rsidRPr="000973FD">
        <w:rPr>
          <w:sz w:val="20"/>
          <w:szCs w:val="20"/>
        </w:rPr>
        <w:t xml:space="preserve"> </w:t>
      </w:r>
      <w:r w:rsidRPr="000973FD">
        <w:rPr>
          <w:sz w:val="20"/>
          <w:szCs w:val="20"/>
        </w:rPr>
        <w:t>chemoradiation</w:t>
      </w:r>
      <w:r w:rsidR="00B4709A" w:rsidRPr="000973FD">
        <w:rPr>
          <w:sz w:val="20"/>
          <w:szCs w:val="20"/>
        </w:rPr>
        <w:t xml:space="preserve"> </w:t>
      </w:r>
      <w:r w:rsidRPr="000973FD">
        <w:rPr>
          <w:sz w:val="20"/>
          <w:szCs w:val="20"/>
        </w:rPr>
        <w:t>with</w:t>
      </w:r>
      <w:r w:rsidR="00B4709A" w:rsidRPr="000973FD">
        <w:rPr>
          <w:sz w:val="20"/>
          <w:szCs w:val="20"/>
        </w:rPr>
        <w:t xml:space="preserve"> </w:t>
      </w:r>
      <w:r w:rsidRPr="000973FD">
        <w:rPr>
          <w:sz w:val="20"/>
          <w:szCs w:val="20"/>
        </w:rPr>
        <w:t>or</w:t>
      </w:r>
      <w:r w:rsidR="00B4709A" w:rsidRPr="000973FD">
        <w:rPr>
          <w:sz w:val="20"/>
          <w:szCs w:val="20"/>
        </w:rPr>
        <w:t xml:space="preserve"> </w:t>
      </w:r>
      <w:r w:rsidRPr="000973FD">
        <w:rPr>
          <w:sz w:val="20"/>
          <w:szCs w:val="20"/>
        </w:rPr>
        <w:t>without</w:t>
      </w:r>
      <w:r w:rsidR="00B4709A" w:rsidRPr="000973FD">
        <w:rPr>
          <w:sz w:val="20"/>
          <w:szCs w:val="20"/>
        </w:rPr>
        <w:t xml:space="preserve"> </w:t>
      </w:r>
      <w:r w:rsidRPr="000973FD">
        <w:rPr>
          <w:sz w:val="20"/>
          <w:szCs w:val="20"/>
        </w:rPr>
        <w:lastRenderedPageBreak/>
        <w:t>oxaliplatin</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locally</w:t>
      </w:r>
      <w:r w:rsidR="00B4709A" w:rsidRPr="000973FD">
        <w:rPr>
          <w:sz w:val="20"/>
          <w:szCs w:val="20"/>
        </w:rPr>
        <w:t xml:space="preserve"> </w:t>
      </w:r>
      <w:r w:rsidRPr="000973FD">
        <w:rPr>
          <w:sz w:val="20"/>
          <w:szCs w:val="20"/>
        </w:rPr>
        <w:t>advanced</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Journal</w:t>
      </w:r>
      <w:r w:rsidR="00B4709A" w:rsidRPr="000973FD">
        <w:rPr>
          <w:sz w:val="20"/>
          <w:szCs w:val="20"/>
        </w:rPr>
        <w:t xml:space="preserve"> </w:t>
      </w:r>
      <w:r w:rsidRPr="000973FD">
        <w:rPr>
          <w:sz w:val="20"/>
          <w:szCs w:val="20"/>
        </w:rPr>
        <w:t>of</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Oncology.</w:t>
      </w:r>
      <w:r w:rsidR="00B4709A" w:rsidRPr="000973FD">
        <w:rPr>
          <w:sz w:val="20"/>
          <w:szCs w:val="20"/>
        </w:rPr>
        <w:t xml:space="preserve"> </w:t>
      </w:r>
      <w:r w:rsidRPr="000973FD">
        <w:rPr>
          <w:sz w:val="20"/>
          <w:szCs w:val="20"/>
        </w:rPr>
        <w:t>2016;34(15_suppl):3521.</w:t>
      </w:r>
    </w:p>
    <w:p w:rsidR="00204D8B" w:rsidRPr="000973FD" w:rsidRDefault="00204D8B" w:rsidP="001E53F5">
      <w:pPr>
        <w:pStyle w:val="EndNoteBibliography"/>
        <w:numPr>
          <w:ilvl w:val="1"/>
          <w:numId w:val="5"/>
        </w:numPr>
        <w:snapToGrid w:val="0"/>
        <w:spacing w:after="0"/>
        <w:ind w:left="425" w:hanging="425"/>
        <w:jc w:val="both"/>
        <w:rPr>
          <w:sz w:val="20"/>
          <w:szCs w:val="20"/>
        </w:rPr>
      </w:pPr>
      <w:r w:rsidRPr="000973FD">
        <w:rPr>
          <w:sz w:val="20"/>
          <w:szCs w:val="20"/>
        </w:rPr>
        <w:t>George</w:t>
      </w:r>
      <w:r w:rsidR="00B4709A" w:rsidRPr="000973FD">
        <w:rPr>
          <w:sz w:val="20"/>
          <w:szCs w:val="20"/>
        </w:rPr>
        <w:t xml:space="preserve"> </w:t>
      </w:r>
      <w:r w:rsidRPr="000973FD">
        <w:rPr>
          <w:sz w:val="20"/>
          <w:szCs w:val="20"/>
        </w:rPr>
        <w:t>TJ,</w:t>
      </w:r>
      <w:r w:rsidR="00B4709A" w:rsidRPr="000973FD">
        <w:rPr>
          <w:sz w:val="20"/>
          <w:szCs w:val="20"/>
        </w:rPr>
        <w:t xml:space="preserve"> </w:t>
      </w:r>
      <w:r w:rsidRPr="000973FD">
        <w:rPr>
          <w:sz w:val="20"/>
          <w:szCs w:val="20"/>
        </w:rPr>
        <w:t>Jr.,</w:t>
      </w:r>
      <w:r w:rsidR="00B4709A" w:rsidRPr="000973FD">
        <w:rPr>
          <w:sz w:val="20"/>
          <w:szCs w:val="20"/>
        </w:rPr>
        <w:t xml:space="preserve"> </w:t>
      </w:r>
      <w:r w:rsidRPr="000973FD">
        <w:rPr>
          <w:sz w:val="20"/>
          <w:szCs w:val="20"/>
        </w:rPr>
        <w:t>Allegra</w:t>
      </w:r>
      <w:r w:rsidR="00B4709A" w:rsidRPr="000973FD">
        <w:rPr>
          <w:sz w:val="20"/>
          <w:szCs w:val="20"/>
        </w:rPr>
        <w:t xml:space="preserve"> </w:t>
      </w:r>
      <w:r w:rsidRPr="000973FD">
        <w:rPr>
          <w:sz w:val="20"/>
          <w:szCs w:val="20"/>
        </w:rPr>
        <w:t>CJ,</w:t>
      </w:r>
      <w:r w:rsidR="00B4709A" w:rsidRPr="000973FD">
        <w:rPr>
          <w:sz w:val="20"/>
          <w:szCs w:val="20"/>
        </w:rPr>
        <w:t xml:space="preserve"> </w:t>
      </w:r>
      <w:r w:rsidRPr="000973FD">
        <w:rPr>
          <w:sz w:val="20"/>
          <w:szCs w:val="20"/>
        </w:rPr>
        <w:t>Yothers</w:t>
      </w:r>
      <w:r w:rsidR="00B4709A" w:rsidRPr="000973FD">
        <w:rPr>
          <w:sz w:val="20"/>
          <w:szCs w:val="20"/>
        </w:rPr>
        <w:t xml:space="preserve"> </w:t>
      </w:r>
      <w:r w:rsidRPr="000973FD">
        <w:rPr>
          <w:sz w:val="20"/>
          <w:szCs w:val="20"/>
        </w:rPr>
        <w:t>G.</w:t>
      </w:r>
      <w:r w:rsidR="00B4709A" w:rsidRPr="000973FD">
        <w:rPr>
          <w:sz w:val="20"/>
          <w:szCs w:val="20"/>
        </w:rPr>
        <w:t xml:space="preserve"> </w:t>
      </w:r>
      <w:r w:rsidRPr="000973FD">
        <w:rPr>
          <w:sz w:val="20"/>
          <w:szCs w:val="20"/>
        </w:rPr>
        <w:t>Neoadjuvant</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(NAR)</w:t>
      </w:r>
      <w:r w:rsidR="00B4709A" w:rsidRPr="000973FD">
        <w:rPr>
          <w:sz w:val="20"/>
          <w:szCs w:val="20"/>
        </w:rPr>
        <w:t xml:space="preserve"> </w:t>
      </w:r>
      <w:r w:rsidRPr="000973FD">
        <w:rPr>
          <w:sz w:val="20"/>
          <w:szCs w:val="20"/>
        </w:rPr>
        <w:t>Score:</w:t>
      </w:r>
      <w:r w:rsidR="00B4709A" w:rsidRPr="000973FD">
        <w:rPr>
          <w:sz w:val="20"/>
          <w:szCs w:val="20"/>
        </w:rPr>
        <w:t xml:space="preserve"> </w:t>
      </w:r>
      <w:r w:rsidRPr="000973FD">
        <w:rPr>
          <w:sz w:val="20"/>
          <w:szCs w:val="20"/>
        </w:rPr>
        <w:t>a</w:t>
      </w:r>
      <w:r w:rsidR="00B4709A" w:rsidRPr="000973FD">
        <w:rPr>
          <w:sz w:val="20"/>
          <w:szCs w:val="20"/>
        </w:rPr>
        <w:t xml:space="preserve"> </w:t>
      </w:r>
      <w:r w:rsidRPr="000973FD">
        <w:rPr>
          <w:sz w:val="20"/>
          <w:szCs w:val="20"/>
        </w:rPr>
        <w:t>New</w:t>
      </w:r>
      <w:r w:rsidR="00B4709A" w:rsidRPr="000973FD">
        <w:rPr>
          <w:sz w:val="20"/>
          <w:szCs w:val="20"/>
        </w:rPr>
        <w:t xml:space="preserve"> </w:t>
      </w:r>
      <w:r w:rsidRPr="000973FD">
        <w:rPr>
          <w:sz w:val="20"/>
          <w:szCs w:val="20"/>
        </w:rPr>
        <w:t>Surrogate</w:t>
      </w:r>
      <w:r w:rsidR="00B4709A" w:rsidRPr="000973FD">
        <w:rPr>
          <w:sz w:val="20"/>
          <w:szCs w:val="20"/>
        </w:rPr>
        <w:t xml:space="preserve"> </w:t>
      </w:r>
      <w:r w:rsidRPr="000973FD">
        <w:rPr>
          <w:sz w:val="20"/>
          <w:szCs w:val="20"/>
        </w:rPr>
        <w:t>Endpoint</w:t>
      </w:r>
      <w:r w:rsidR="00B4709A" w:rsidRPr="000973FD">
        <w:rPr>
          <w:sz w:val="20"/>
          <w:szCs w:val="20"/>
        </w:rPr>
        <w:t xml:space="preserve"> </w:t>
      </w:r>
      <w:r w:rsidRPr="000973FD">
        <w:rPr>
          <w:sz w:val="20"/>
          <w:szCs w:val="20"/>
        </w:rPr>
        <w:t>in</w:t>
      </w:r>
      <w:r w:rsidR="00B4709A" w:rsidRPr="000973FD">
        <w:rPr>
          <w:sz w:val="20"/>
          <w:szCs w:val="20"/>
        </w:rPr>
        <w:t xml:space="preserve"> </w:t>
      </w:r>
      <w:r w:rsidRPr="000973FD">
        <w:rPr>
          <w:sz w:val="20"/>
          <w:szCs w:val="20"/>
        </w:rPr>
        <w:t>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Clinical</w:t>
      </w:r>
      <w:r w:rsidR="00B4709A" w:rsidRPr="000973FD">
        <w:rPr>
          <w:sz w:val="20"/>
          <w:szCs w:val="20"/>
        </w:rPr>
        <w:t xml:space="preserve"> </w:t>
      </w:r>
      <w:r w:rsidRPr="000973FD">
        <w:rPr>
          <w:sz w:val="20"/>
          <w:szCs w:val="20"/>
        </w:rPr>
        <w:t>Trials.</w:t>
      </w:r>
      <w:r w:rsidR="00B4709A" w:rsidRPr="000973FD">
        <w:rPr>
          <w:sz w:val="20"/>
          <w:szCs w:val="20"/>
        </w:rPr>
        <w:t xml:space="preserve"> </w:t>
      </w:r>
      <w:r w:rsidRPr="000973FD">
        <w:rPr>
          <w:sz w:val="20"/>
          <w:szCs w:val="20"/>
        </w:rPr>
        <w:t>Current</w:t>
      </w:r>
      <w:r w:rsidR="00B4709A" w:rsidRPr="000973FD">
        <w:rPr>
          <w:sz w:val="20"/>
          <w:szCs w:val="20"/>
        </w:rPr>
        <w:t xml:space="preserve"> </w:t>
      </w:r>
      <w:r w:rsidRPr="000973FD">
        <w:rPr>
          <w:sz w:val="20"/>
          <w:szCs w:val="20"/>
        </w:rPr>
        <w:t>colorectal</w:t>
      </w:r>
      <w:r w:rsidR="00B4709A" w:rsidRPr="000973FD">
        <w:rPr>
          <w:sz w:val="20"/>
          <w:szCs w:val="20"/>
        </w:rPr>
        <w:t xml:space="preserve"> </w:t>
      </w:r>
      <w:r w:rsidRPr="000973FD">
        <w:rPr>
          <w:sz w:val="20"/>
          <w:szCs w:val="20"/>
        </w:rPr>
        <w:t>cancer</w:t>
      </w:r>
      <w:r w:rsidR="00B4709A" w:rsidRPr="000973FD">
        <w:rPr>
          <w:sz w:val="20"/>
          <w:szCs w:val="20"/>
        </w:rPr>
        <w:t xml:space="preserve"> </w:t>
      </w:r>
      <w:r w:rsidRPr="000973FD">
        <w:rPr>
          <w:sz w:val="20"/>
          <w:szCs w:val="20"/>
        </w:rPr>
        <w:t>reports.</w:t>
      </w:r>
      <w:r w:rsidR="00B4709A" w:rsidRPr="000973FD">
        <w:rPr>
          <w:sz w:val="20"/>
          <w:szCs w:val="20"/>
        </w:rPr>
        <w:t xml:space="preserve"> </w:t>
      </w:r>
      <w:r w:rsidRPr="000973FD">
        <w:rPr>
          <w:sz w:val="20"/>
          <w:szCs w:val="20"/>
        </w:rPr>
        <w:t>2015;11(5):275-80.</w:t>
      </w:r>
      <w:r w:rsidR="000973FD" w:rsidRPr="000973FD">
        <w:rPr>
          <w:rFonts w:hint="eastAsia"/>
          <w:sz w:val="20"/>
          <w:szCs w:val="20"/>
          <w:lang w:eastAsia="zh-CN"/>
        </w:rPr>
        <w:t xml:space="preserve"> </w:t>
      </w:r>
    </w:p>
    <w:p w:rsidR="001E53F5" w:rsidRPr="000973FD" w:rsidRDefault="001E53F5" w:rsidP="001E53F5">
      <w:pPr>
        <w:bidi w:val="0"/>
        <w:snapToGrid w:val="0"/>
        <w:spacing w:after="0" w:line="240" w:lineRule="auto"/>
        <w:ind w:left="425" w:hanging="425"/>
        <w:jc w:val="both"/>
        <w:rPr>
          <w:rFonts w:ascii="Times New Roman" w:hAnsi="Times New Roman" w:cs="Times New Roman"/>
          <w:b/>
          <w:bCs/>
          <w:sz w:val="20"/>
          <w:szCs w:val="20"/>
          <w:lang w:bidi="ar-EG"/>
        </w:rPr>
        <w:sectPr w:rsidR="001E53F5" w:rsidRPr="000973FD" w:rsidSect="001E53F5">
          <w:type w:val="continuous"/>
          <w:pgSz w:w="12240" w:h="15840"/>
          <w:pgMar w:top="1440" w:right="1440" w:bottom="1440" w:left="1440" w:header="720" w:footer="720" w:gutter="0"/>
          <w:cols w:num="2" w:space="550"/>
          <w:rtlGutter/>
          <w:docGrid w:linePitch="360"/>
        </w:sectPr>
      </w:pPr>
    </w:p>
    <w:p w:rsidR="00031766" w:rsidRPr="000973FD" w:rsidRDefault="00031766" w:rsidP="001E53F5">
      <w:pPr>
        <w:bidi w:val="0"/>
        <w:snapToGrid w:val="0"/>
        <w:spacing w:after="0" w:line="240" w:lineRule="auto"/>
        <w:ind w:left="425" w:hanging="425"/>
        <w:jc w:val="both"/>
        <w:rPr>
          <w:rFonts w:ascii="Times New Roman" w:hAnsi="Times New Roman" w:cs="Times New Roman"/>
          <w:b/>
          <w:bCs/>
          <w:sz w:val="20"/>
          <w:szCs w:val="20"/>
          <w:lang w:bidi="ar-EG"/>
        </w:rPr>
      </w:pPr>
    </w:p>
    <w:p w:rsidR="00F90EB1" w:rsidRPr="000973FD" w:rsidRDefault="00F90EB1" w:rsidP="001E53F5">
      <w:pPr>
        <w:shd w:val="clear" w:color="auto" w:fill="FFFFFF"/>
        <w:bidi w:val="0"/>
        <w:snapToGrid w:val="0"/>
        <w:spacing w:after="0" w:line="240" w:lineRule="auto"/>
        <w:ind w:left="425" w:hanging="425"/>
        <w:jc w:val="both"/>
        <w:textAlignment w:val="baseline"/>
        <w:outlineLvl w:val="2"/>
        <w:rPr>
          <w:rFonts w:ascii="Times New Roman" w:hAnsi="Times New Roman" w:cs="Times New Roman"/>
          <w:sz w:val="20"/>
          <w:szCs w:val="20"/>
        </w:rPr>
      </w:pPr>
    </w:p>
    <w:p w:rsidR="00721A29" w:rsidRPr="000973FD" w:rsidRDefault="00721A29" w:rsidP="001E53F5">
      <w:pPr>
        <w:bidi w:val="0"/>
        <w:snapToGrid w:val="0"/>
        <w:spacing w:after="0" w:line="240" w:lineRule="auto"/>
        <w:ind w:left="425" w:hanging="425"/>
        <w:jc w:val="both"/>
        <w:rPr>
          <w:rFonts w:ascii="Times New Roman" w:hAnsi="Times New Roman" w:cs="Times New Roman"/>
          <w:sz w:val="20"/>
          <w:szCs w:val="20"/>
          <w:shd w:val="clear" w:color="auto" w:fill="FFFFFF"/>
          <w:lang w:bidi="ar-EG"/>
        </w:rPr>
      </w:pPr>
    </w:p>
    <w:p w:rsidR="00806650" w:rsidRPr="000973FD" w:rsidRDefault="00B4709A" w:rsidP="001E53F5">
      <w:pPr>
        <w:bidi w:val="0"/>
        <w:snapToGrid w:val="0"/>
        <w:spacing w:after="0" w:line="240" w:lineRule="auto"/>
        <w:jc w:val="both"/>
        <w:rPr>
          <w:rFonts w:ascii="Times New Roman" w:hAnsi="Times New Roman" w:cs="Times New Roman"/>
          <w:bCs/>
          <w:sz w:val="20"/>
          <w:szCs w:val="20"/>
          <w:lang w:bidi="ar-EG"/>
        </w:rPr>
      </w:pPr>
      <w:r w:rsidRPr="000973FD">
        <w:rPr>
          <w:rFonts w:ascii="Times New Roman" w:hAnsi="Times New Roman" w:cs="Times New Roman"/>
          <w:bCs/>
          <w:sz w:val="20"/>
          <w:szCs w:val="20"/>
          <w:lang w:bidi="ar-EG"/>
        </w:rPr>
        <w:t>7/22/2019</w:t>
      </w:r>
    </w:p>
    <w:sectPr w:rsidR="00806650" w:rsidRPr="000973FD" w:rsidSect="00B4709A">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E7" w:rsidRDefault="00E634E7" w:rsidP="00A60AA5">
      <w:pPr>
        <w:spacing w:after="0" w:line="240" w:lineRule="auto"/>
      </w:pPr>
      <w:r>
        <w:separator/>
      </w:r>
    </w:p>
  </w:endnote>
  <w:endnote w:type="continuationSeparator" w:id="0">
    <w:p w:rsidR="00E634E7" w:rsidRDefault="00E634E7" w:rsidP="00A60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F5" w:rsidRPr="00F37B47" w:rsidRDefault="00184992" w:rsidP="00F37B47">
    <w:pPr>
      <w:bidi w:val="0"/>
      <w:spacing w:after="0" w:line="240" w:lineRule="auto"/>
      <w:jc w:val="center"/>
      <w:rPr>
        <w:rFonts w:ascii="Times New Roman" w:hAnsi="Times New Roman" w:cs="Times New Roman"/>
        <w:sz w:val="20"/>
      </w:rPr>
    </w:pPr>
    <w:r w:rsidRPr="00F37B47">
      <w:rPr>
        <w:rFonts w:ascii="Times New Roman" w:hAnsi="Times New Roman" w:cs="Times New Roman"/>
        <w:sz w:val="20"/>
      </w:rPr>
      <w:fldChar w:fldCharType="begin"/>
    </w:r>
    <w:r w:rsidR="00F37B47" w:rsidRPr="00F37B47">
      <w:rPr>
        <w:rFonts w:ascii="Times New Roman" w:hAnsi="Times New Roman" w:cs="Times New Roman"/>
        <w:sz w:val="20"/>
      </w:rPr>
      <w:instrText xml:space="preserve"> page </w:instrText>
    </w:r>
    <w:r w:rsidRPr="00F37B47">
      <w:rPr>
        <w:rFonts w:ascii="Times New Roman" w:hAnsi="Times New Roman" w:cs="Times New Roman"/>
        <w:sz w:val="20"/>
      </w:rPr>
      <w:fldChar w:fldCharType="separate"/>
    </w:r>
    <w:r w:rsidR="00A94C7E">
      <w:rPr>
        <w:rFonts w:ascii="Times New Roman" w:hAnsi="Times New Roman" w:cs="Times New Roman"/>
        <w:noProof/>
        <w:sz w:val="20"/>
      </w:rPr>
      <w:t>60</w:t>
    </w:r>
    <w:r w:rsidRPr="00F37B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E7" w:rsidRDefault="00E634E7" w:rsidP="00A60AA5">
      <w:pPr>
        <w:spacing w:after="0" w:line="240" w:lineRule="auto"/>
      </w:pPr>
      <w:r>
        <w:separator/>
      </w:r>
    </w:p>
  </w:footnote>
  <w:footnote w:type="continuationSeparator" w:id="0">
    <w:p w:rsidR="00E634E7" w:rsidRDefault="00E634E7" w:rsidP="00A60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47" w:rsidRPr="00F37B47" w:rsidRDefault="00F37B47" w:rsidP="00F37B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F37B47">
      <w:rPr>
        <w:rFonts w:ascii="Times New Roman" w:hAnsi="Times New Roman" w:cs="Times New Roman" w:hint="eastAsia"/>
        <w:iCs/>
        <w:color w:val="000000"/>
        <w:sz w:val="20"/>
      </w:rPr>
      <w:tab/>
    </w:r>
    <w:r w:rsidRPr="00F37B47">
      <w:rPr>
        <w:rFonts w:ascii="Times New Roman" w:hAnsi="Times New Roman" w:cs="Times New Roman"/>
        <w:iCs/>
        <w:color w:val="000000"/>
        <w:sz w:val="20"/>
      </w:rPr>
      <w:t xml:space="preserve">Cancer Biology </w:t>
    </w:r>
    <w:r w:rsidRPr="00F37B47">
      <w:rPr>
        <w:rFonts w:ascii="Times New Roman" w:hAnsi="Times New Roman" w:cs="Times New Roman"/>
        <w:iCs/>
        <w:sz w:val="20"/>
      </w:rPr>
      <w:t>201</w:t>
    </w:r>
    <w:r w:rsidRPr="00F37B47">
      <w:rPr>
        <w:rFonts w:ascii="Times New Roman" w:hAnsi="Times New Roman" w:cs="Times New Roman" w:hint="eastAsia"/>
        <w:iCs/>
        <w:sz w:val="20"/>
      </w:rPr>
      <w:t>9</w:t>
    </w:r>
    <w:r w:rsidRPr="00F37B47">
      <w:rPr>
        <w:rFonts w:ascii="Times New Roman" w:hAnsi="Times New Roman" w:cs="Times New Roman"/>
        <w:iCs/>
        <w:sz w:val="20"/>
      </w:rPr>
      <w:t>;</w:t>
    </w:r>
    <w:r w:rsidRPr="00F37B47">
      <w:rPr>
        <w:rFonts w:ascii="Times New Roman" w:hAnsi="Times New Roman" w:cs="Times New Roman" w:hint="eastAsia"/>
        <w:iCs/>
        <w:sz w:val="20"/>
      </w:rPr>
      <w:t>9</w:t>
    </w:r>
    <w:r w:rsidRPr="00F37B47">
      <w:rPr>
        <w:rFonts w:ascii="Times New Roman" w:hAnsi="Times New Roman" w:cs="Times New Roman"/>
        <w:iCs/>
        <w:sz w:val="20"/>
      </w:rPr>
      <w:t>(</w:t>
    </w:r>
    <w:r w:rsidRPr="00F37B47">
      <w:rPr>
        <w:rFonts w:ascii="Times New Roman" w:hAnsi="Times New Roman" w:cs="Times New Roman" w:hint="eastAsia"/>
        <w:iCs/>
        <w:sz w:val="20"/>
      </w:rPr>
      <w:t>3</w:t>
    </w:r>
    <w:r w:rsidRPr="00F37B47">
      <w:rPr>
        <w:rFonts w:ascii="Times New Roman" w:hAnsi="Times New Roman" w:cs="Times New Roman"/>
        <w:iCs/>
        <w:sz w:val="20"/>
      </w:rPr>
      <w:t xml:space="preserve">)  </w:t>
    </w:r>
    <w:r w:rsidRPr="00F37B47">
      <w:rPr>
        <w:rFonts w:ascii="Times New Roman" w:hAnsi="Times New Roman" w:cs="Times New Roman" w:hint="eastAsia"/>
        <w:iCs/>
        <w:sz w:val="20"/>
      </w:rPr>
      <w:t xml:space="preserve">   </w:t>
    </w:r>
    <w:r w:rsidRPr="00F37B47">
      <w:rPr>
        <w:rFonts w:ascii="Times New Roman" w:hAnsi="Times New Roman" w:cs="Times New Roman" w:hint="eastAsia"/>
        <w:iCs/>
        <w:sz w:val="20"/>
      </w:rPr>
      <w:tab/>
      <w:t xml:space="preserve">   </w:t>
    </w:r>
    <w:r w:rsidRPr="00F37B47">
      <w:rPr>
        <w:rFonts w:ascii="Times New Roman" w:hAnsi="Times New Roman" w:cs="Times New Roman"/>
        <w:iCs/>
        <w:sz w:val="20"/>
      </w:rPr>
      <w:t xml:space="preserve"> </w:t>
    </w:r>
    <w:r w:rsidRPr="00F37B47">
      <w:rPr>
        <w:rFonts w:ascii="Times New Roman" w:hAnsi="Times New Roman" w:cs="Times New Roman"/>
        <w:sz w:val="20"/>
      </w:rPr>
      <w:t xml:space="preserve">  </w:t>
    </w:r>
    <w:hyperlink r:id="rId1" w:history="1">
      <w:r w:rsidRPr="00F37B47">
        <w:rPr>
          <w:rStyle w:val="Hyperlink"/>
          <w:rFonts w:ascii="Times New Roman" w:hAnsi="Times New Roman" w:cs="Times New Roman"/>
          <w:sz w:val="20"/>
        </w:rPr>
        <w:t>http://www.cancerbio.net</w:t>
      </w:r>
    </w:hyperlink>
    <w:r w:rsidRPr="00F37B47">
      <w:rPr>
        <w:rFonts w:ascii="Times New Roman" w:hAnsi="Times New Roman" w:cs="Times New Roman" w:hint="eastAsia"/>
        <w:sz w:val="20"/>
      </w:rPr>
      <w:t xml:space="preserve">   </w:t>
    </w:r>
    <w:r w:rsidRPr="00F37B47">
      <w:rPr>
        <w:rFonts w:ascii="Times New Roman" w:hAnsi="Times New Roman" w:cs="Times New Roman" w:hint="eastAsia"/>
        <w:b/>
        <w:i/>
        <w:color w:val="FF0000"/>
        <w:sz w:val="20"/>
        <w:szCs w:val="20"/>
        <w:bdr w:val="single" w:sz="4" w:space="0" w:color="FF0000"/>
      </w:rPr>
      <w:t>CBJ</w:t>
    </w:r>
  </w:p>
  <w:p w:rsidR="00F37B47" w:rsidRPr="00F37B47" w:rsidRDefault="00F37B47" w:rsidP="00F37B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5CF"/>
    <w:multiLevelType w:val="hybridMultilevel"/>
    <w:tmpl w:val="449A4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E175E"/>
    <w:multiLevelType w:val="hybridMultilevel"/>
    <w:tmpl w:val="9BFC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9779F"/>
    <w:multiLevelType w:val="hybridMultilevel"/>
    <w:tmpl w:val="AD8AF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08BC3B1A"/>
    <w:multiLevelType w:val="hybridMultilevel"/>
    <w:tmpl w:val="2BF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90CD3"/>
    <w:multiLevelType w:val="hybridMultilevel"/>
    <w:tmpl w:val="4754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CA525C"/>
    <w:multiLevelType w:val="hybridMultilevel"/>
    <w:tmpl w:val="CFF47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836CC1"/>
    <w:multiLevelType w:val="hybridMultilevel"/>
    <w:tmpl w:val="E670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67075"/>
    <w:multiLevelType w:val="hybridMultilevel"/>
    <w:tmpl w:val="20E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B365E2"/>
    <w:multiLevelType w:val="hybridMultilevel"/>
    <w:tmpl w:val="D50E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240D4"/>
    <w:multiLevelType w:val="hybridMultilevel"/>
    <w:tmpl w:val="8C3C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444685"/>
    <w:multiLevelType w:val="hybridMultilevel"/>
    <w:tmpl w:val="1B5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12C7F"/>
    <w:multiLevelType w:val="hybridMultilevel"/>
    <w:tmpl w:val="61F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A35B1"/>
    <w:multiLevelType w:val="hybridMultilevel"/>
    <w:tmpl w:val="A030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73535"/>
    <w:multiLevelType w:val="hybridMultilevel"/>
    <w:tmpl w:val="FC5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B48DC"/>
    <w:multiLevelType w:val="hybridMultilevel"/>
    <w:tmpl w:val="AC3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45F64"/>
    <w:multiLevelType w:val="hybridMultilevel"/>
    <w:tmpl w:val="30D00C18"/>
    <w:lvl w:ilvl="0" w:tplc="6B9A7552">
      <w:start w:val="1"/>
      <w:numFmt w:val="decimal"/>
      <w:lvlText w:val="%1-"/>
      <w:lvlJc w:val="left"/>
      <w:pPr>
        <w:ind w:left="360" w:hanging="360"/>
      </w:pPr>
      <w:rPr>
        <w:rFonts w:hint="default"/>
      </w:rPr>
    </w:lvl>
    <w:lvl w:ilvl="1" w:tplc="3330FE4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721603"/>
    <w:multiLevelType w:val="hybridMultilevel"/>
    <w:tmpl w:val="A250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00016E"/>
    <w:multiLevelType w:val="hybridMultilevel"/>
    <w:tmpl w:val="E5AE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E2EE2"/>
    <w:multiLevelType w:val="hybridMultilevel"/>
    <w:tmpl w:val="B23A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10"/>
  </w:num>
  <w:num w:numId="5">
    <w:abstractNumId w:val="15"/>
  </w:num>
  <w:num w:numId="6">
    <w:abstractNumId w:val="18"/>
  </w:num>
  <w:num w:numId="7">
    <w:abstractNumId w:val="11"/>
  </w:num>
  <w:num w:numId="8">
    <w:abstractNumId w:val="3"/>
  </w:num>
  <w:num w:numId="9">
    <w:abstractNumId w:val="6"/>
  </w:num>
  <w:num w:numId="10">
    <w:abstractNumId w:val="8"/>
  </w:num>
  <w:num w:numId="11">
    <w:abstractNumId w:val="13"/>
  </w:num>
  <w:num w:numId="12">
    <w:abstractNumId w:val="14"/>
  </w:num>
  <w:num w:numId="13">
    <w:abstractNumId w:val="16"/>
  </w:num>
  <w:num w:numId="14">
    <w:abstractNumId w:val="7"/>
  </w:num>
  <w:num w:numId="15">
    <w:abstractNumId w:val="2"/>
  </w:num>
  <w:num w:numId="16">
    <w:abstractNumId w:val="9"/>
  </w:num>
  <w:num w:numId="17">
    <w:abstractNumId w:val="0"/>
  </w:num>
  <w:num w:numId="18">
    <w:abstractNumId w:val="4"/>
  </w:num>
  <w:num w:numId="19">
    <w:abstractNumId w:val="17"/>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BC5ED5"/>
    <w:rsid w:val="00031766"/>
    <w:rsid w:val="0006129C"/>
    <w:rsid w:val="00087235"/>
    <w:rsid w:val="000910F7"/>
    <w:rsid w:val="000973FD"/>
    <w:rsid w:val="000A1CB0"/>
    <w:rsid w:val="000B7F46"/>
    <w:rsid w:val="000F3091"/>
    <w:rsid w:val="001367D8"/>
    <w:rsid w:val="00140159"/>
    <w:rsid w:val="001426A1"/>
    <w:rsid w:val="00152509"/>
    <w:rsid w:val="001827CF"/>
    <w:rsid w:val="00184992"/>
    <w:rsid w:val="001851FB"/>
    <w:rsid w:val="001B4D56"/>
    <w:rsid w:val="001E53F5"/>
    <w:rsid w:val="00204D8B"/>
    <w:rsid w:val="00230664"/>
    <w:rsid w:val="00240243"/>
    <w:rsid w:val="002548BB"/>
    <w:rsid w:val="0026493B"/>
    <w:rsid w:val="002706BE"/>
    <w:rsid w:val="002930A7"/>
    <w:rsid w:val="002D331D"/>
    <w:rsid w:val="002E08F8"/>
    <w:rsid w:val="002F59DE"/>
    <w:rsid w:val="00300176"/>
    <w:rsid w:val="00303C0B"/>
    <w:rsid w:val="0036380F"/>
    <w:rsid w:val="003A4D44"/>
    <w:rsid w:val="003C229C"/>
    <w:rsid w:val="004262E5"/>
    <w:rsid w:val="00435684"/>
    <w:rsid w:val="004634D4"/>
    <w:rsid w:val="004D3DB1"/>
    <w:rsid w:val="004F23C8"/>
    <w:rsid w:val="00514E59"/>
    <w:rsid w:val="00520A24"/>
    <w:rsid w:val="005624BD"/>
    <w:rsid w:val="00583A79"/>
    <w:rsid w:val="0058689E"/>
    <w:rsid w:val="00587ACA"/>
    <w:rsid w:val="005A6484"/>
    <w:rsid w:val="005B2240"/>
    <w:rsid w:val="005C4892"/>
    <w:rsid w:val="006032F8"/>
    <w:rsid w:val="0063392B"/>
    <w:rsid w:val="00665F12"/>
    <w:rsid w:val="00696313"/>
    <w:rsid w:val="006C23B2"/>
    <w:rsid w:val="006D3AE6"/>
    <w:rsid w:val="006E4443"/>
    <w:rsid w:val="007176F5"/>
    <w:rsid w:val="00721A29"/>
    <w:rsid w:val="007562A5"/>
    <w:rsid w:val="00783CF1"/>
    <w:rsid w:val="007B48F7"/>
    <w:rsid w:val="007E12F3"/>
    <w:rsid w:val="007F1B86"/>
    <w:rsid w:val="00806650"/>
    <w:rsid w:val="00824581"/>
    <w:rsid w:val="008434E2"/>
    <w:rsid w:val="008473AF"/>
    <w:rsid w:val="008475F3"/>
    <w:rsid w:val="00860960"/>
    <w:rsid w:val="00883EA8"/>
    <w:rsid w:val="00884409"/>
    <w:rsid w:val="008C7646"/>
    <w:rsid w:val="008D0799"/>
    <w:rsid w:val="008E5A56"/>
    <w:rsid w:val="008F033C"/>
    <w:rsid w:val="00966D65"/>
    <w:rsid w:val="00981103"/>
    <w:rsid w:val="0099632F"/>
    <w:rsid w:val="009A66B4"/>
    <w:rsid w:val="009C2D9E"/>
    <w:rsid w:val="009D4A6F"/>
    <w:rsid w:val="009E489D"/>
    <w:rsid w:val="009F1782"/>
    <w:rsid w:val="009F22B6"/>
    <w:rsid w:val="00A01027"/>
    <w:rsid w:val="00A14CA7"/>
    <w:rsid w:val="00A60AA5"/>
    <w:rsid w:val="00A94C7E"/>
    <w:rsid w:val="00AA5B0E"/>
    <w:rsid w:val="00AA7D95"/>
    <w:rsid w:val="00AE4718"/>
    <w:rsid w:val="00AE474F"/>
    <w:rsid w:val="00B22074"/>
    <w:rsid w:val="00B4709A"/>
    <w:rsid w:val="00B54D1D"/>
    <w:rsid w:val="00B95BBB"/>
    <w:rsid w:val="00BB5746"/>
    <w:rsid w:val="00BC1875"/>
    <w:rsid w:val="00BC5ED5"/>
    <w:rsid w:val="00BE159A"/>
    <w:rsid w:val="00C13FAA"/>
    <w:rsid w:val="00C179F4"/>
    <w:rsid w:val="00C212A9"/>
    <w:rsid w:val="00C7108F"/>
    <w:rsid w:val="00C74865"/>
    <w:rsid w:val="00C800A2"/>
    <w:rsid w:val="00C90546"/>
    <w:rsid w:val="00CB6B7A"/>
    <w:rsid w:val="00CC1BF8"/>
    <w:rsid w:val="00D13F28"/>
    <w:rsid w:val="00D47F39"/>
    <w:rsid w:val="00D61A83"/>
    <w:rsid w:val="00D76FD7"/>
    <w:rsid w:val="00DA5861"/>
    <w:rsid w:val="00DF08EF"/>
    <w:rsid w:val="00E11114"/>
    <w:rsid w:val="00E3642C"/>
    <w:rsid w:val="00E372DA"/>
    <w:rsid w:val="00E463E6"/>
    <w:rsid w:val="00E634E7"/>
    <w:rsid w:val="00E75B13"/>
    <w:rsid w:val="00EB05C1"/>
    <w:rsid w:val="00EC7186"/>
    <w:rsid w:val="00EE18C3"/>
    <w:rsid w:val="00EF7141"/>
    <w:rsid w:val="00F1339D"/>
    <w:rsid w:val="00F1358C"/>
    <w:rsid w:val="00F1387F"/>
    <w:rsid w:val="00F37B47"/>
    <w:rsid w:val="00F67199"/>
    <w:rsid w:val="00F90EB1"/>
    <w:rsid w:val="00FB6389"/>
    <w:rsid w:val="00FB748E"/>
    <w:rsid w:val="00FD41A5"/>
    <w:rsid w:val="00FD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0B"/>
    <w:pPr>
      <w:bidi w:val="0"/>
      <w:ind w:left="720"/>
      <w:contextualSpacing/>
    </w:pPr>
  </w:style>
  <w:style w:type="paragraph" w:styleId="BalloonText">
    <w:name w:val="Balloon Text"/>
    <w:basedOn w:val="Normal"/>
    <w:link w:val="BalloonTextChar"/>
    <w:uiPriority w:val="99"/>
    <w:semiHidden/>
    <w:unhideWhenUsed/>
    <w:rsid w:val="00FD7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0B"/>
    <w:rPr>
      <w:rFonts w:ascii="Tahoma" w:hAnsi="Tahoma" w:cs="Tahoma"/>
      <w:sz w:val="16"/>
      <w:szCs w:val="16"/>
    </w:rPr>
  </w:style>
  <w:style w:type="table" w:styleId="TableGrid">
    <w:name w:val="Table Grid"/>
    <w:basedOn w:val="TableNormal"/>
    <w:uiPriority w:val="39"/>
    <w:rsid w:val="0051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D76FD7"/>
    <w:pPr>
      <w:bidi w:val="0"/>
      <w:spacing w:line="360" w:lineRule="auto"/>
      <w:jc w:val="lowKashida"/>
    </w:pPr>
    <w:rPr>
      <w:rFonts w:asciiTheme="majorBidi" w:hAnsiTheme="majorBidi" w:cstheme="majorBidi"/>
      <w:b/>
      <w:bCs/>
      <w:sz w:val="28"/>
      <w:szCs w:val="28"/>
    </w:rPr>
  </w:style>
  <w:style w:type="character" w:customStyle="1" w:styleId="Style1Char">
    <w:name w:val="Style1 Char"/>
    <w:basedOn w:val="DefaultParagraphFont"/>
    <w:link w:val="Style1"/>
    <w:rsid w:val="00D76FD7"/>
    <w:rPr>
      <w:rFonts w:asciiTheme="majorBidi" w:hAnsiTheme="majorBidi" w:cstheme="majorBidi"/>
      <w:b/>
      <w:bCs/>
      <w:sz w:val="28"/>
      <w:szCs w:val="28"/>
    </w:rPr>
  </w:style>
  <w:style w:type="character" w:styleId="Hyperlink">
    <w:name w:val="Hyperlink"/>
    <w:basedOn w:val="DefaultParagraphFont"/>
    <w:uiPriority w:val="99"/>
    <w:unhideWhenUsed/>
    <w:rsid w:val="00F67199"/>
    <w:rPr>
      <w:color w:val="0000FF"/>
      <w:u w:val="single"/>
    </w:rPr>
  </w:style>
  <w:style w:type="paragraph" w:customStyle="1" w:styleId="p">
    <w:name w:val="p"/>
    <w:basedOn w:val="Normal"/>
    <w:rsid w:val="00F671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31766"/>
    <w:pPr>
      <w:bidi w:val="0"/>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31766"/>
    <w:rPr>
      <w:rFonts w:ascii="Times New Roman" w:hAnsi="Times New Roman" w:cs="Times New Roman"/>
      <w:noProof/>
      <w:sz w:val="24"/>
    </w:rPr>
  </w:style>
  <w:style w:type="paragraph" w:styleId="Header">
    <w:name w:val="header"/>
    <w:basedOn w:val="Normal"/>
    <w:link w:val="HeaderChar"/>
    <w:uiPriority w:val="99"/>
    <w:unhideWhenUsed/>
    <w:rsid w:val="00A60A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0AA5"/>
  </w:style>
  <w:style w:type="paragraph" w:styleId="Footer">
    <w:name w:val="footer"/>
    <w:basedOn w:val="Normal"/>
    <w:link w:val="FooterChar"/>
    <w:uiPriority w:val="99"/>
    <w:unhideWhenUsed/>
    <w:rsid w:val="00A60A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0AA5"/>
  </w:style>
  <w:style w:type="paragraph" w:styleId="NoSpacing">
    <w:name w:val="No Spacing"/>
    <w:basedOn w:val="Normal"/>
    <w:link w:val="NoSpacingChar"/>
    <w:qFormat/>
    <w:rsid w:val="001E53F5"/>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E53F5"/>
    <w:rPr>
      <w:rFonts w:ascii="Times New Roman" w:eastAsia="宋体" w:hAnsi="Times New Roman" w:cs="Times New Roman"/>
      <w:sz w:val="24"/>
      <w:szCs w:val="24"/>
      <w:lang w:eastAsia="zh-CN"/>
    </w:rPr>
  </w:style>
  <w:style w:type="character" w:customStyle="1" w:styleId="msonormal0">
    <w:name w:val="msonormal0"/>
    <w:basedOn w:val="DefaultParagraphFont"/>
    <w:rsid w:val="001E5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0B"/>
    <w:pPr>
      <w:bidi w:val="0"/>
      <w:ind w:left="720"/>
      <w:contextualSpacing/>
    </w:pPr>
  </w:style>
  <w:style w:type="paragraph" w:styleId="BalloonText">
    <w:name w:val="Balloon Text"/>
    <w:basedOn w:val="Normal"/>
    <w:link w:val="BalloonTextChar"/>
    <w:uiPriority w:val="99"/>
    <w:semiHidden/>
    <w:unhideWhenUsed/>
    <w:rsid w:val="00FD7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0B"/>
    <w:rPr>
      <w:rFonts w:ascii="Tahoma" w:hAnsi="Tahoma" w:cs="Tahoma"/>
      <w:sz w:val="16"/>
      <w:szCs w:val="16"/>
    </w:rPr>
  </w:style>
  <w:style w:type="table" w:styleId="TableGrid">
    <w:name w:val="Table Grid"/>
    <w:basedOn w:val="TableNormal"/>
    <w:uiPriority w:val="39"/>
    <w:rsid w:val="0051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D76FD7"/>
    <w:pPr>
      <w:bidi w:val="0"/>
      <w:spacing w:line="360" w:lineRule="auto"/>
      <w:jc w:val="lowKashida"/>
    </w:pPr>
    <w:rPr>
      <w:rFonts w:asciiTheme="majorBidi" w:hAnsiTheme="majorBidi" w:cstheme="majorBidi"/>
      <w:b/>
      <w:bCs/>
      <w:sz w:val="28"/>
      <w:szCs w:val="28"/>
    </w:rPr>
  </w:style>
  <w:style w:type="character" w:customStyle="1" w:styleId="Style1Char">
    <w:name w:val="Style1 Char"/>
    <w:basedOn w:val="DefaultParagraphFont"/>
    <w:link w:val="Style1"/>
    <w:rsid w:val="00D76FD7"/>
    <w:rPr>
      <w:rFonts w:asciiTheme="majorBidi" w:hAnsiTheme="majorBidi" w:cstheme="majorBidi"/>
      <w:b/>
      <w:bCs/>
      <w:sz w:val="28"/>
      <w:szCs w:val="28"/>
    </w:rPr>
  </w:style>
  <w:style w:type="character" w:styleId="Hyperlink">
    <w:name w:val="Hyperlink"/>
    <w:basedOn w:val="DefaultParagraphFont"/>
    <w:uiPriority w:val="99"/>
    <w:unhideWhenUsed/>
    <w:rsid w:val="00F67199"/>
    <w:rPr>
      <w:color w:val="0000FF"/>
      <w:u w:val="single"/>
    </w:rPr>
  </w:style>
  <w:style w:type="paragraph" w:customStyle="1" w:styleId="p">
    <w:name w:val="p"/>
    <w:basedOn w:val="Normal"/>
    <w:rsid w:val="00F671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31766"/>
    <w:pPr>
      <w:bidi w:val="0"/>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31766"/>
    <w:rPr>
      <w:rFonts w:ascii="Times New Roman" w:hAnsi="Times New Roman" w:cs="Times New Roman"/>
      <w:noProof/>
      <w:sz w:val="24"/>
    </w:rPr>
  </w:style>
  <w:style w:type="paragraph" w:styleId="Header">
    <w:name w:val="header"/>
    <w:basedOn w:val="Normal"/>
    <w:link w:val="HeaderChar"/>
    <w:uiPriority w:val="99"/>
    <w:unhideWhenUsed/>
    <w:rsid w:val="00A60A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0AA5"/>
  </w:style>
  <w:style w:type="paragraph" w:styleId="Footer">
    <w:name w:val="footer"/>
    <w:basedOn w:val="Normal"/>
    <w:link w:val="FooterChar"/>
    <w:uiPriority w:val="99"/>
    <w:unhideWhenUsed/>
    <w:rsid w:val="00A60A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0AA5"/>
  </w:style>
</w:styles>
</file>

<file path=word/webSettings.xml><?xml version="1.0" encoding="utf-8"?>
<w:webSettings xmlns:r="http://schemas.openxmlformats.org/officeDocument/2006/relationships" xmlns:w="http://schemas.openxmlformats.org/wordprocessingml/2006/main">
  <w:divs>
    <w:div w:id="327560378">
      <w:bodyDiv w:val="1"/>
      <w:marLeft w:val="0"/>
      <w:marRight w:val="0"/>
      <w:marTop w:val="0"/>
      <w:marBottom w:val="0"/>
      <w:divBdr>
        <w:top w:val="none" w:sz="0" w:space="0" w:color="auto"/>
        <w:left w:val="none" w:sz="0" w:space="0" w:color="auto"/>
        <w:bottom w:val="none" w:sz="0" w:space="0" w:color="auto"/>
        <w:right w:val="none" w:sz="0" w:space="0" w:color="auto"/>
      </w:divBdr>
    </w:div>
    <w:div w:id="369569605">
      <w:bodyDiv w:val="1"/>
      <w:marLeft w:val="0"/>
      <w:marRight w:val="0"/>
      <w:marTop w:val="0"/>
      <w:marBottom w:val="0"/>
      <w:divBdr>
        <w:top w:val="none" w:sz="0" w:space="0" w:color="auto"/>
        <w:left w:val="none" w:sz="0" w:space="0" w:color="auto"/>
        <w:bottom w:val="none" w:sz="0" w:space="0" w:color="auto"/>
        <w:right w:val="none" w:sz="0" w:space="0" w:color="auto"/>
      </w:divBdr>
    </w:div>
    <w:div w:id="478888993">
      <w:bodyDiv w:val="1"/>
      <w:marLeft w:val="0"/>
      <w:marRight w:val="0"/>
      <w:marTop w:val="0"/>
      <w:marBottom w:val="0"/>
      <w:divBdr>
        <w:top w:val="none" w:sz="0" w:space="0" w:color="auto"/>
        <w:left w:val="none" w:sz="0" w:space="0" w:color="auto"/>
        <w:bottom w:val="none" w:sz="0" w:space="0" w:color="auto"/>
        <w:right w:val="none" w:sz="0" w:space="0" w:color="auto"/>
      </w:divBdr>
    </w:div>
    <w:div w:id="531302434">
      <w:bodyDiv w:val="1"/>
      <w:marLeft w:val="0"/>
      <w:marRight w:val="0"/>
      <w:marTop w:val="0"/>
      <w:marBottom w:val="0"/>
      <w:divBdr>
        <w:top w:val="none" w:sz="0" w:space="0" w:color="auto"/>
        <w:left w:val="none" w:sz="0" w:space="0" w:color="auto"/>
        <w:bottom w:val="none" w:sz="0" w:space="0" w:color="auto"/>
        <w:right w:val="none" w:sz="0" w:space="0" w:color="auto"/>
      </w:divBdr>
    </w:div>
    <w:div w:id="584998073">
      <w:bodyDiv w:val="1"/>
      <w:marLeft w:val="0"/>
      <w:marRight w:val="0"/>
      <w:marTop w:val="0"/>
      <w:marBottom w:val="0"/>
      <w:divBdr>
        <w:top w:val="none" w:sz="0" w:space="0" w:color="auto"/>
        <w:left w:val="none" w:sz="0" w:space="0" w:color="auto"/>
        <w:bottom w:val="none" w:sz="0" w:space="0" w:color="auto"/>
        <w:right w:val="none" w:sz="0" w:space="0" w:color="auto"/>
      </w:divBdr>
    </w:div>
    <w:div w:id="653294056">
      <w:bodyDiv w:val="1"/>
      <w:marLeft w:val="0"/>
      <w:marRight w:val="0"/>
      <w:marTop w:val="0"/>
      <w:marBottom w:val="0"/>
      <w:divBdr>
        <w:top w:val="none" w:sz="0" w:space="0" w:color="auto"/>
        <w:left w:val="none" w:sz="0" w:space="0" w:color="auto"/>
        <w:bottom w:val="none" w:sz="0" w:space="0" w:color="auto"/>
        <w:right w:val="none" w:sz="0" w:space="0" w:color="auto"/>
      </w:divBdr>
    </w:div>
    <w:div w:id="671490957">
      <w:bodyDiv w:val="1"/>
      <w:marLeft w:val="0"/>
      <w:marRight w:val="0"/>
      <w:marTop w:val="0"/>
      <w:marBottom w:val="0"/>
      <w:divBdr>
        <w:top w:val="none" w:sz="0" w:space="0" w:color="auto"/>
        <w:left w:val="none" w:sz="0" w:space="0" w:color="auto"/>
        <w:bottom w:val="none" w:sz="0" w:space="0" w:color="auto"/>
        <w:right w:val="none" w:sz="0" w:space="0" w:color="auto"/>
      </w:divBdr>
    </w:div>
    <w:div w:id="936408958">
      <w:bodyDiv w:val="1"/>
      <w:marLeft w:val="0"/>
      <w:marRight w:val="0"/>
      <w:marTop w:val="0"/>
      <w:marBottom w:val="0"/>
      <w:divBdr>
        <w:top w:val="none" w:sz="0" w:space="0" w:color="auto"/>
        <w:left w:val="none" w:sz="0" w:space="0" w:color="auto"/>
        <w:bottom w:val="none" w:sz="0" w:space="0" w:color="auto"/>
        <w:right w:val="none" w:sz="0" w:space="0" w:color="auto"/>
      </w:divBdr>
    </w:div>
    <w:div w:id="1146821309">
      <w:bodyDiv w:val="1"/>
      <w:marLeft w:val="0"/>
      <w:marRight w:val="0"/>
      <w:marTop w:val="0"/>
      <w:marBottom w:val="0"/>
      <w:divBdr>
        <w:top w:val="none" w:sz="0" w:space="0" w:color="auto"/>
        <w:left w:val="none" w:sz="0" w:space="0" w:color="auto"/>
        <w:bottom w:val="none" w:sz="0" w:space="0" w:color="auto"/>
        <w:right w:val="none" w:sz="0" w:space="0" w:color="auto"/>
      </w:divBdr>
    </w:div>
    <w:div w:id="1197768238">
      <w:bodyDiv w:val="1"/>
      <w:marLeft w:val="0"/>
      <w:marRight w:val="0"/>
      <w:marTop w:val="0"/>
      <w:marBottom w:val="0"/>
      <w:divBdr>
        <w:top w:val="none" w:sz="0" w:space="0" w:color="auto"/>
        <w:left w:val="none" w:sz="0" w:space="0" w:color="auto"/>
        <w:bottom w:val="none" w:sz="0" w:space="0" w:color="auto"/>
        <w:right w:val="none" w:sz="0" w:space="0" w:color="auto"/>
      </w:divBdr>
    </w:div>
    <w:div w:id="1234122163">
      <w:bodyDiv w:val="1"/>
      <w:marLeft w:val="0"/>
      <w:marRight w:val="0"/>
      <w:marTop w:val="0"/>
      <w:marBottom w:val="0"/>
      <w:divBdr>
        <w:top w:val="none" w:sz="0" w:space="0" w:color="auto"/>
        <w:left w:val="none" w:sz="0" w:space="0" w:color="auto"/>
        <w:bottom w:val="none" w:sz="0" w:space="0" w:color="auto"/>
        <w:right w:val="none" w:sz="0" w:space="0" w:color="auto"/>
      </w:divBdr>
    </w:div>
    <w:div w:id="1275594823">
      <w:bodyDiv w:val="1"/>
      <w:marLeft w:val="0"/>
      <w:marRight w:val="0"/>
      <w:marTop w:val="0"/>
      <w:marBottom w:val="0"/>
      <w:divBdr>
        <w:top w:val="none" w:sz="0" w:space="0" w:color="auto"/>
        <w:left w:val="none" w:sz="0" w:space="0" w:color="auto"/>
        <w:bottom w:val="none" w:sz="0" w:space="0" w:color="auto"/>
        <w:right w:val="none" w:sz="0" w:space="0" w:color="auto"/>
      </w:divBdr>
    </w:div>
    <w:div w:id="1324045483">
      <w:bodyDiv w:val="1"/>
      <w:marLeft w:val="0"/>
      <w:marRight w:val="0"/>
      <w:marTop w:val="0"/>
      <w:marBottom w:val="0"/>
      <w:divBdr>
        <w:top w:val="none" w:sz="0" w:space="0" w:color="auto"/>
        <w:left w:val="none" w:sz="0" w:space="0" w:color="auto"/>
        <w:bottom w:val="none" w:sz="0" w:space="0" w:color="auto"/>
        <w:right w:val="none" w:sz="0" w:space="0" w:color="auto"/>
      </w:divBdr>
    </w:div>
    <w:div w:id="1359548321">
      <w:bodyDiv w:val="1"/>
      <w:marLeft w:val="0"/>
      <w:marRight w:val="0"/>
      <w:marTop w:val="0"/>
      <w:marBottom w:val="0"/>
      <w:divBdr>
        <w:top w:val="none" w:sz="0" w:space="0" w:color="auto"/>
        <w:left w:val="none" w:sz="0" w:space="0" w:color="auto"/>
        <w:bottom w:val="none" w:sz="0" w:space="0" w:color="auto"/>
        <w:right w:val="none" w:sz="0" w:space="0" w:color="auto"/>
      </w:divBdr>
    </w:div>
    <w:div w:id="1362319666">
      <w:bodyDiv w:val="1"/>
      <w:marLeft w:val="0"/>
      <w:marRight w:val="0"/>
      <w:marTop w:val="0"/>
      <w:marBottom w:val="0"/>
      <w:divBdr>
        <w:top w:val="none" w:sz="0" w:space="0" w:color="auto"/>
        <w:left w:val="none" w:sz="0" w:space="0" w:color="auto"/>
        <w:bottom w:val="none" w:sz="0" w:space="0" w:color="auto"/>
        <w:right w:val="none" w:sz="0" w:space="0" w:color="auto"/>
      </w:divBdr>
    </w:div>
    <w:div w:id="1423377679">
      <w:bodyDiv w:val="1"/>
      <w:marLeft w:val="0"/>
      <w:marRight w:val="0"/>
      <w:marTop w:val="0"/>
      <w:marBottom w:val="0"/>
      <w:divBdr>
        <w:top w:val="none" w:sz="0" w:space="0" w:color="auto"/>
        <w:left w:val="none" w:sz="0" w:space="0" w:color="auto"/>
        <w:bottom w:val="none" w:sz="0" w:space="0" w:color="auto"/>
        <w:right w:val="none" w:sz="0" w:space="0" w:color="auto"/>
      </w:divBdr>
    </w:div>
    <w:div w:id="1442257896">
      <w:bodyDiv w:val="1"/>
      <w:marLeft w:val="0"/>
      <w:marRight w:val="0"/>
      <w:marTop w:val="0"/>
      <w:marBottom w:val="0"/>
      <w:divBdr>
        <w:top w:val="none" w:sz="0" w:space="0" w:color="auto"/>
        <w:left w:val="none" w:sz="0" w:space="0" w:color="auto"/>
        <w:bottom w:val="none" w:sz="0" w:space="0" w:color="auto"/>
        <w:right w:val="none" w:sz="0" w:space="0" w:color="auto"/>
      </w:divBdr>
    </w:div>
    <w:div w:id="1471435327">
      <w:bodyDiv w:val="1"/>
      <w:marLeft w:val="0"/>
      <w:marRight w:val="0"/>
      <w:marTop w:val="0"/>
      <w:marBottom w:val="0"/>
      <w:divBdr>
        <w:top w:val="none" w:sz="0" w:space="0" w:color="auto"/>
        <w:left w:val="none" w:sz="0" w:space="0" w:color="auto"/>
        <w:bottom w:val="none" w:sz="0" w:space="0" w:color="auto"/>
        <w:right w:val="none" w:sz="0" w:space="0" w:color="auto"/>
      </w:divBdr>
    </w:div>
    <w:div w:id="1498301091">
      <w:bodyDiv w:val="1"/>
      <w:marLeft w:val="0"/>
      <w:marRight w:val="0"/>
      <w:marTop w:val="0"/>
      <w:marBottom w:val="0"/>
      <w:divBdr>
        <w:top w:val="none" w:sz="0" w:space="0" w:color="auto"/>
        <w:left w:val="none" w:sz="0" w:space="0" w:color="auto"/>
        <w:bottom w:val="none" w:sz="0" w:space="0" w:color="auto"/>
        <w:right w:val="none" w:sz="0" w:space="0" w:color="auto"/>
      </w:divBdr>
    </w:div>
    <w:div w:id="1520587223">
      <w:bodyDiv w:val="1"/>
      <w:marLeft w:val="0"/>
      <w:marRight w:val="0"/>
      <w:marTop w:val="0"/>
      <w:marBottom w:val="0"/>
      <w:divBdr>
        <w:top w:val="none" w:sz="0" w:space="0" w:color="auto"/>
        <w:left w:val="none" w:sz="0" w:space="0" w:color="auto"/>
        <w:bottom w:val="none" w:sz="0" w:space="0" w:color="auto"/>
        <w:right w:val="none" w:sz="0" w:space="0" w:color="auto"/>
      </w:divBdr>
    </w:div>
    <w:div w:id="1649436657">
      <w:bodyDiv w:val="1"/>
      <w:marLeft w:val="0"/>
      <w:marRight w:val="0"/>
      <w:marTop w:val="0"/>
      <w:marBottom w:val="0"/>
      <w:divBdr>
        <w:top w:val="none" w:sz="0" w:space="0" w:color="auto"/>
        <w:left w:val="none" w:sz="0" w:space="0" w:color="auto"/>
        <w:bottom w:val="none" w:sz="0" w:space="0" w:color="auto"/>
        <w:right w:val="none" w:sz="0" w:space="0" w:color="auto"/>
      </w:divBdr>
    </w:div>
    <w:div w:id="1959290617">
      <w:bodyDiv w:val="1"/>
      <w:marLeft w:val="0"/>
      <w:marRight w:val="0"/>
      <w:marTop w:val="0"/>
      <w:marBottom w:val="0"/>
      <w:divBdr>
        <w:top w:val="none" w:sz="0" w:space="0" w:color="auto"/>
        <w:left w:val="none" w:sz="0" w:space="0" w:color="auto"/>
        <w:bottom w:val="none" w:sz="0" w:space="0" w:color="auto"/>
        <w:right w:val="none" w:sz="0" w:space="0" w:color="auto"/>
      </w:divBdr>
    </w:div>
    <w:div w:id="2072655641">
      <w:bodyDiv w:val="1"/>
      <w:marLeft w:val="0"/>
      <w:marRight w:val="0"/>
      <w:marTop w:val="0"/>
      <w:marBottom w:val="0"/>
      <w:divBdr>
        <w:top w:val="none" w:sz="0" w:space="0" w:color="auto"/>
        <w:left w:val="none" w:sz="0" w:space="0" w:color="auto"/>
        <w:bottom w:val="none" w:sz="0" w:space="0" w:color="auto"/>
        <w:right w:val="none" w:sz="0" w:space="0" w:color="auto"/>
      </w:divBdr>
    </w:div>
    <w:div w:id="21045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roukrehab@yahoo.com" TargetMode="Externa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ncbi.nlm.nih.gov/pubmed/?term=G%C3%A9rard%20JP%5BAuthor%5D&amp;cauthor=true&amp;cauthor_uid=231096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dx.doi.org/10.7537/marscbj090319.07" TargetMode="External"/><Relationship Id="rId19" Type="http://schemas.openxmlformats.org/officeDocument/2006/relationships/hyperlink" Target="https://www.ncbi.nlm.nih.gov/pubmed/?term=Fleming%20M%5BAuthor%5D&amp;cauthor=true&amp;cauthor_uid=22943008"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3.png"/><Relationship Id="rId22" Type="http://schemas.openxmlformats.org/officeDocument/2006/relationships/theme" Target="theme/theme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Administrator</cp:lastModifiedBy>
  <cp:revision>3</cp:revision>
  <dcterms:created xsi:type="dcterms:W3CDTF">2019-07-24T13:57:00Z</dcterms:created>
  <dcterms:modified xsi:type="dcterms:W3CDTF">2019-07-25T02:49:00Z</dcterms:modified>
</cp:coreProperties>
</file>