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E1" w:rsidRPr="00F11A18" w:rsidRDefault="00C41A33" w:rsidP="00B41B23">
      <w:pPr>
        <w:snapToGrid w:val="0"/>
        <w:jc w:val="center"/>
        <w:rPr>
          <w:b/>
          <w:sz w:val="20"/>
          <w:szCs w:val="20"/>
        </w:rPr>
      </w:pPr>
      <w:r w:rsidRPr="00F11A18">
        <w:rPr>
          <w:b/>
          <w:sz w:val="20"/>
          <w:szCs w:val="20"/>
        </w:rPr>
        <w:t>Outcome Predictors of Multi-drug Resistant Gram Negative Bacteremia in Children with Hematological Malignancies</w:t>
      </w:r>
    </w:p>
    <w:p w:rsidR="00B405E1" w:rsidRPr="00F11A18" w:rsidRDefault="00B405E1" w:rsidP="00B41B23">
      <w:pPr>
        <w:snapToGrid w:val="0"/>
        <w:jc w:val="center"/>
        <w:rPr>
          <w:b/>
          <w:sz w:val="20"/>
          <w:szCs w:val="20"/>
        </w:rPr>
      </w:pPr>
    </w:p>
    <w:p w:rsidR="00B405E1" w:rsidRPr="00F11A18" w:rsidRDefault="00C41A33" w:rsidP="00B41B23">
      <w:pPr>
        <w:pStyle w:val="BodyText"/>
        <w:snapToGrid w:val="0"/>
        <w:ind w:left="0"/>
        <w:jc w:val="center"/>
        <w:rPr>
          <w:sz w:val="20"/>
          <w:szCs w:val="20"/>
        </w:rPr>
      </w:pPr>
      <w:bookmarkStart w:id="0" w:name="_GoBack"/>
      <w:r w:rsidRPr="00F11A18">
        <w:rPr>
          <w:sz w:val="20"/>
          <w:szCs w:val="20"/>
        </w:rPr>
        <w:t>Amr</w:t>
      </w:r>
      <w:r w:rsidR="008F1418" w:rsidRPr="00F11A18">
        <w:rPr>
          <w:sz w:val="20"/>
          <w:szCs w:val="20"/>
        </w:rPr>
        <w:t xml:space="preserve"> </w:t>
      </w:r>
      <w:r w:rsidRPr="00F11A18">
        <w:rPr>
          <w:sz w:val="20"/>
          <w:szCs w:val="20"/>
        </w:rPr>
        <w:t>Abdalla</w:t>
      </w:r>
      <w:bookmarkEnd w:id="0"/>
      <w:r w:rsidRPr="00F11A18">
        <w:rPr>
          <w:sz w:val="20"/>
          <w:szCs w:val="20"/>
        </w:rPr>
        <w:t>, M.D</w:t>
      </w:r>
      <w:r w:rsidRPr="00F11A18">
        <w:rPr>
          <w:sz w:val="20"/>
          <w:szCs w:val="20"/>
          <w:vertAlign w:val="superscript"/>
        </w:rPr>
        <w:t>1,2</w:t>
      </w:r>
      <w:r w:rsidRPr="00F11A18">
        <w:rPr>
          <w:sz w:val="20"/>
          <w:szCs w:val="20"/>
        </w:rPr>
        <w:t>, Mai Ahmed Mohamed, M.Sc</w:t>
      </w:r>
      <w:r w:rsidRPr="00F11A18">
        <w:rPr>
          <w:sz w:val="20"/>
          <w:szCs w:val="20"/>
          <w:vertAlign w:val="superscript"/>
        </w:rPr>
        <w:t>1,2</w:t>
      </w:r>
      <w:r w:rsidRPr="00F11A18">
        <w:rPr>
          <w:sz w:val="20"/>
          <w:szCs w:val="20"/>
        </w:rPr>
        <w:t xml:space="preserve">, Samah Mohamed Radwan, M.D </w:t>
      </w:r>
      <w:r w:rsidRPr="00F11A18">
        <w:rPr>
          <w:sz w:val="20"/>
          <w:szCs w:val="20"/>
          <w:vertAlign w:val="superscript"/>
        </w:rPr>
        <w:t>3</w:t>
      </w:r>
    </w:p>
    <w:p w:rsidR="00B405E1" w:rsidRPr="00F11A18" w:rsidRDefault="00B405E1" w:rsidP="00B41B23">
      <w:pPr>
        <w:pStyle w:val="BodyText"/>
        <w:snapToGrid w:val="0"/>
        <w:ind w:left="0"/>
        <w:jc w:val="center"/>
        <w:rPr>
          <w:sz w:val="20"/>
          <w:szCs w:val="20"/>
        </w:rPr>
      </w:pPr>
    </w:p>
    <w:p w:rsidR="000B2401" w:rsidRPr="00F11A18" w:rsidRDefault="00C41A33" w:rsidP="00B41B23">
      <w:pPr>
        <w:pStyle w:val="ListParagraph"/>
        <w:snapToGrid w:val="0"/>
        <w:ind w:left="0" w:firstLine="0"/>
        <w:jc w:val="center"/>
        <w:rPr>
          <w:sz w:val="20"/>
          <w:szCs w:val="20"/>
        </w:rPr>
      </w:pPr>
      <w:r w:rsidRPr="00F11A18">
        <w:rPr>
          <w:sz w:val="20"/>
          <w:szCs w:val="20"/>
          <w:vertAlign w:val="superscript"/>
        </w:rPr>
        <w:t>1</w:t>
      </w:r>
      <w:r w:rsidRPr="00F11A18">
        <w:rPr>
          <w:sz w:val="20"/>
          <w:szCs w:val="20"/>
        </w:rPr>
        <w:t>Department of Pediatric Oncology, National Cancer Institute (NCI), Cairo University, Egypt</w:t>
      </w:r>
    </w:p>
    <w:p w:rsidR="000B2401" w:rsidRPr="00F11A18" w:rsidRDefault="00C41A33" w:rsidP="00B41B23">
      <w:pPr>
        <w:pStyle w:val="ListParagraph"/>
        <w:snapToGrid w:val="0"/>
        <w:ind w:left="0" w:firstLine="0"/>
        <w:jc w:val="center"/>
        <w:rPr>
          <w:sz w:val="20"/>
          <w:szCs w:val="20"/>
        </w:rPr>
      </w:pPr>
      <w:r w:rsidRPr="00F11A18">
        <w:rPr>
          <w:sz w:val="20"/>
          <w:szCs w:val="20"/>
          <w:vertAlign w:val="superscript"/>
        </w:rPr>
        <w:t>2</w:t>
      </w:r>
      <w:r w:rsidRPr="00F11A18">
        <w:rPr>
          <w:sz w:val="20"/>
          <w:szCs w:val="20"/>
        </w:rPr>
        <w:t>Department of Pediatric Oncology, Children Cancer Hospital Egypt (CCHE-57357), Cairo,</w:t>
      </w:r>
      <w:r w:rsidR="00EB24D8" w:rsidRPr="00F11A18">
        <w:rPr>
          <w:sz w:val="20"/>
          <w:szCs w:val="20"/>
        </w:rPr>
        <w:t xml:space="preserve"> </w:t>
      </w:r>
      <w:r w:rsidRPr="00F11A18">
        <w:rPr>
          <w:sz w:val="20"/>
          <w:szCs w:val="20"/>
        </w:rPr>
        <w:t>Egypt</w:t>
      </w:r>
    </w:p>
    <w:p w:rsidR="000B2401" w:rsidRPr="00F11A18" w:rsidRDefault="00C41A33" w:rsidP="00B41B23">
      <w:pPr>
        <w:pStyle w:val="ListParagraph"/>
        <w:snapToGrid w:val="0"/>
        <w:ind w:left="0" w:firstLine="0"/>
        <w:jc w:val="center"/>
        <w:rPr>
          <w:sz w:val="20"/>
          <w:szCs w:val="20"/>
        </w:rPr>
      </w:pPr>
      <w:r w:rsidRPr="00F11A18">
        <w:rPr>
          <w:sz w:val="20"/>
          <w:szCs w:val="20"/>
          <w:vertAlign w:val="superscript"/>
        </w:rPr>
        <w:t>3</w:t>
      </w:r>
      <w:r w:rsidRPr="00F11A18">
        <w:rPr>
          <w:sz w:val="20"/>
          <w:szCs w:val="20"/>
        </w:rPr>
        <w:t>Department</w:t>
      </w:r>
      <w:r w:rsidR="00127F72" w:rsidRPr="00F11A18">
        <w:rPr>
          <w:rFonts w:eastAsiaTheme="minorEastAsia" w:hint="eastAsia"/>
          <w:sz w:val="20"/>
          <w:szCs w:val="20"/>
          <w:lang w:eastAsia="zh-CN"/>
        </w:rPr>
        <w:t xml:space="preserve"> </w:t>
      </w:r>
      <w:r w:rsidRPr="00F11A18">
        <w:rPr>
          <w:sz w:val="20"/>
          <w:szCs w:val="20"/>
        </w:rPr>
        <w:t>of</w:t>
      </w:r>
      <w:r w:rsidR="00127F72" w:rsidRPr="00F11A18">
        <w:rPr>
          <w:rFonts w:eastAsiaTheme="minorEastAsia" w:hint="eastAsia"/>
          <w:sz w:val="20"/>
          <w:szCs w:val="20"/>
          <w:lang w:eastAsia="zh-CN"/>
        </w:rPr>
        <w:t xml:space="preserve"> </w:t>
      </w:r>
      <w:r w:rsidRPr="00F11A18">
        <w:rPr>
          <w:sz w:val="20"/>
          <w:szCs w:val="20"/>
        </w:rPr>
        <w:t>Clinical</w:t>
      </w:r>
      <w:r w:rsidR="00127F72" w:rsidRPr="00F11A18">
        <w:rPr>
          <w:rFonts w:eastAsiaTheme="minorEastAsia" w:hint="eastAsia"/>
          <w:sz w:val="20"/>
          <w:szCs w:val="20"/>
          <w:lang w:eastAsia="zh-CN"/>
        </w:rPr>
        <w:t xml:space="preserve"> </w:t>
      </w:r>
      <w:r w:rsidRPr="00F11A18">
        <w:rPr>
          <w:sz w:val="20"/>
          <w:szCs w:val="20"/>
        </w:rPr>
        <w:t>Pathology,</w:t>
      </w:r>
      <w:r w:rsidR="00127F72" w:rsidRPr="00F11A18">
        <w:rPr>
          <w:rFonts w:eastAsiaTheme="minorEastAsia" w:hint="eastAsia"/>
          <w:sz w:val="20"/>
          <w:szCs w:val="20"/>
          <w:lang w:eastAsia="zh-CN"/>
        </w:rPr>
        <w:t xml:space="preserve"> </w:t>
      </w:r>
      <w:r w:rsidRPr="00F11A18">
        <w:rPr>
          <w:sz w:val="20"/>
          <w:szCs w:val="20"/>
        </w:rPr>
        <w:t>National</w:t>
      </w:r>
      <w:r w:rsidR="00127F72" w:rsidRPr="00F11A18">
        <w:rPr>
          <w:rFonts w:eastAsiaTheme="minorEastAsia" w:hint="eastAsia"/>
          <w:sz w:val="20"/>
          <w:szCs w:val="20"/>
          <w:lang w:eastAsia="zh-CN"/>
        </w:rPr>
        <w:t xml:space="preserve"> </w:t>
      </w:r>
      <w:r w:rsidRPr="00F11A18">
        <w:rPr>
          <w:sz w:val="20"/>
          <w:szCs w:val="20"/>
        </w:rPr>
        <w:t>Cancer</w:t>
      </w:r>
      <w:r w:rsidR="00127F72" w:rsidRPr="00F11A18">
        <w:rPr>
          <w:rFonts w:eastAsiaTheme="minorEastAsia" w:hint="eastAsia"/>
          <w:sz w:val="20"/>
          <w:szCs w:val="20"/>
          <w:lang w:eastAsia="zh-CN"/>
        </w:rPr>
        <w:t xml:space="preserve"> </w:t>
      </w:r>
      <w:r w:rsidRPr="00F11A18">
        <w:rPr>
          <w:sz w:val="20"/>
          <w:szCs w:val="20"/>
        </w:rPr>
        <w:t>Institute</w:t>
      </w:r>
      <w:r w:rsidR="00127F72" w:rsidRPr="00F11A18">
        <w:rPr>
          <w:rFonts w:eastAsiaTheme="minorEastAsia" w:hint="eastAsia"/>
          <w:sz w:val="20"/>
          <w:szCs w:val="20"/>
          <w:lang w:eastAsia="zh-CN"/>
        </w:rPr>
        <w:t xml:space="preserve"> </w:t>
      </w:r>
      <w:r w:rsidRPr="00F11A18">
        <w:rPr>
          <w:sz w:val="20"/>
          <w:szCs w:val="20"/>
        </w:rPr>
        <w:t>(NCI),</w:t>
      </w:r>
      <w:r w:rsidR="00127F72" w:rsidRPr="00F11A18">
        <w:rPr>
          <w:rFonts w:eastAsiaTheme="minorEastAsia" w:hint="eastAsia"/>
          <w:sz w:val="20"/>
          <w:szCs w:val="20"/>
          <w:lang w:eastAsia="zh-CN"/>
        </w:rPr>
        <w:t xml:space="preserve"> </w:t>
      </w:r>
      <w:r w:rsidRPr="00F11A18">
        <w:rPr>
          <w:sz w:val="20"/>
          <w:szCs w:val="20"/>
        </w:rPr>
        <w:t>Cairo</w:t>
      </w:r>
      <w:r w:rsidR="00127F72" w:rsidRPr="00F11A18">
        <w:rPr>
          <w:rFonts w:eastAsiaTheme="minorEastAsia" w:hint="eastAsia"/>
          <w:sz w:val="20"/>
          <w:szCs w:val="20"/>
          <w:lang w:eastAsia="zh-CN"/>
        </w:rPr>
        <w:t xml:space="preserve"> </w:t>
      </w:r>
      <w:r w:rsidRPr="00F11A18">
        <w:rPr>
          <w:sz w:val="20"/>
          <w:szCs w:val="20"/>
        </w:rPr>
        <w:t>University,</w:t>
      </w:r>
      <w:r w:rsidR="00127F72" w:rsidRPr="00F11A18">
        <w:rPr>
          <w:rFonts w:eastAsiaTheme="minorEastAsia" w:hint="eastAsia"/>
          <w:sz w:val="20"/>
          <w:szCs w:val="20"/>
          <w:lang w:eastAsia="zh-CN"/>
        </w:rPr>
        <w:t xml:space="preserve"> </w:t>
      </w:r>
      <w:r w:rsidRPr="00F11A18">
        <w:rPr>
          <w:sz w:val="20"/>
          <w:szCs w:val="20"/>
        </w:rPr>
        <w:t>Egypt</w:t>
      </w:r>
    </w:p>
    <w:p w:rsidR="00B405E1" w:rsidRPr="00F11A18" w:rsidRDefault="001149F8" w:rsidP="00B41B23">
      <w:pPr>
        <w:pStyle w:val="ListParagraph"/>
        <w:snapToGrid w:val="0"/>
        <w:ind w:left="0" w:firstLine="0"/>
        <w:jc w:val="center"/>
        <w:rPr>
          <w:sz w:val="20"/>
          <w:szCs w:val="20"/>
        </w:rPr>
      </w:pPr>
      <w:hyperlink r:id="rId8">
        <w:r w:rsidR="00C41A33" w:rsidRPr="00F11A18">
          <w:rPr>
            <w:color w:val="0000FF"/>
            <w:sz w:val="20"/>
            <w:szCs w:val="20"/>
            <w:u w:val="single" w:color="0000FF"/>
          </w:rPr>
          <w:t>amr.abdalla@nci.cu.edu.eg</w:t>
        </w:r>
      </w:hyperlink>
      <w:r w:rsidR="00C41A33" w:rsidRPr="00F11A18">
        <w:rPr>
          <w:sz w:val="20"/>
          <w:szCs w:val="20"/>
        </w:rPr>
        <w:t xml:space="preserve">, </w:t>
      </w:r>
      <w:hyperlink r:id="rId9">
        <w:r w:rsidR="00C41A33" w:rsidRPr="00F11A18">
          <w:rPr>
            <w:color w:val="0000FF"/>
            <w:sz w:val="20"/>
            <w:szCs w:val="20"/>
            <w:u w:val="single" w:color="0000FF"/>
          </w:rPr>
          <w:t>maiiyoussef2010@gmail.com</w:t>
        </w:r>
      </w:hyperlink>
      <w:r w:rsidR="00C41A33" w:rsidRPr="00F11A18">
        <w:rPr>
          <w:sz w:val="20"/>
          <w:szCs w:val="20"/>
        </w:rPr>
        <w:t xml:space="preserve">, </w:t>
      </w:r>
      <w:hyperlink r:id="rId10">
        <w:r w:rsidR="00C41A33" w:rsidRPr="00F11A18">
          <w:rPr>
            <w:color w:val="0000FF"/>
            <w:sz w:val="20"/>
            <w:szCs w:val="20"/>
            <w:u w:val="single" w:color="0000FF"/>
          </w:rPr>
          <w:t>dr_samah_nci@yahoo.com</w:t>
        </w:r>
      </w:hyperlink>
    </w:p>
    <w:p w:rsidR="00B405E1" w:rsidRPr="00F11A18" w:rsidRDefault="00B405E1" w:rsidP="00B41B23">
      <w:pPr>
        <w:pStyle w:val="ListParagraph"/>
        <w:snapToGrid w:val="0"/>
        <w:ind w:left="0" w:firstLine="0"/>
        <w:jc w:val="center"/>
        <w:rPr>
          <w:sz w:val="20"/>
          <w:szCs w:val="20"/>
        </w:rPr>
      </w:pPr>
    </w:p>
    <w:p w:rsidR="000B2401" w:rsidRPr="00F11A18" w:rsidRDefault="00C41A33" w:rsidP="00B41B23">
      <w:pPr>
        <w:pStyle w:val="Heading1"/>
        <w:snapToGrid w:val="0"/>
        <w:ind w:left="0"/>
        <w:jc w:val="both"/>
        <w:rPr>
          <w:b w:val="0"/>
          <w:bCs w:val="0"/>
          <w:sz w:val="20"/>
          <w:szCs w:val="20"/>
        </w:rPr>
      </w:pPr>
      <w:r w:rsidRPr="00F11A18">
        <w:rPr>
          <w:sz w:val="20"/>
          <w:szCs w:val="20"/>
        </w:rPr>
        <w:t xml:space="preserve">Abstract: Background: </w:t>
      </w:r>
      <w:r w:rsidRPr="00F11A18">
        <w:rPr>
          <w:b w:val="0"/>
          <w:bCs w:val="0"/>
          <w:sz w:val="20"/>
          <w:szCs w:val="20"/>
        </w:rPr>
        <w:t>Antibiotic resistant bacteria are able to survive and even multiply in the presence of an antibiotic. They are associated with increased morbidity and mortality in cancer patients. The aim of this study is to identify the outcome and its predictors in febrile neutropenic pediatric patients with multi-drug resistant (MDR) gram negative bacteremias. This is a retrospective descriptive study that included 72 episodes of MDR gram negative bacteremias in 65 patients with hematological malignancies at the Pediatric Oncology Department, National Cancer Institute, Cairo University from January to December 2014.</w:t>
      </w:r>
      <w:r w:rsidR="00127F72" w:rsidRPr="00F11A18">
        <w:rPr>
          <w:rFonts w:eastAsiaTheme="minorEastAsia" w:hint="eastAsia"/>
          <w:b w:val="0"/>
          <w:bCs w:val="0"/>
          <w:sz w:val="20"/>
          <w:szCs w:val="20"/>
          <w:lang w:eastAsia="zh-CN"/>
        </w:rPr>
        <w:t xml:space="preserve"> </w:t>
      </w:r>
      <w:r w:rsidRPr="00F11A18">
        <w:rPr>
          <w:sz w:val="20"/>
          <w:szCs w:val="20"/>
        </w:rPr>
        <w:t xml:space="preserve">Results: </w:t>
      </w:r>
      <w:r w:rsidRPr="00F11A18">
        <w:rPr>
          <w:b w:val="0"/>
          <w:bCs w:val="0"/>
          <w:sz w:val="20"/>
          <w:szCs w:val="20"/>
        </w:rPr>
        <w:t xml:space="preserve">This study included 35 patients with acute myeloid leukemia (AML), 21 with acute lymphoblastic leukemia (ALL), 14 with lymphomas and 2 with Langerhans’s cell histiocytosis (LCH). </w:t>
      </w:r>
      <w:r w:rsidRPr="00F11A18">
        <w:rPr>
          <w:b w:val="0"/>
          <w:bCs w:val="0"/>
          <w:i/>
          <w:sz w:val="20"/>
          <w:szCs w:val="20"/>
        </w:rPr>
        <w:t>Klebsiella</w:t>
      </w:r>
      <w:r w:rsidR="00EB24D8" w:rsidRPr="00F11A18">
        <w:rPr>
          <w:b w:val="0"/>
          <w:bCs w:val="0"/>
          <w:sz w:val="20"/>
          <w:szCs w:val="20"/>
        </w:rPr>
        <w:t xml:space="preserve"> </w:t>
      </w:r>
      <w:r w:rsidRPr="00F11A18">
        <w:rPr>
          <w:b w:val="0"/>
          <w:bCs w:val="0"/>
          <w:sz w:val="20"/>
          <w:szCs w:val="20"/>
        </w:rPr>
        <w:t>species was the most frequently isolated organism (38.9%). Piperacillin / tazobactam</w:t>
      </w:r>
      <w:r w:rsidR="00F11A18">
        <w:rPr>
          <w:rFonts w:eastAsiaTheme="minorEastAsia" w:hint="eastAsia"/>
          <w:b w:val="0"/>
          <w:bCs w:val="0"/>
          <w:sz w:val="20"/>
          <w:szCs w:val="20"/>
          <w:lang w:eastAsia="zh-CN"/>
        </w:rPr>
        <w:t xml:space="preserve"> </w:t>
      </w:r>
      <w:r w:rsidRPr="00F11A18">
        <w:rPr>
          <w:b w:val="0"/>
          <w:bCs w:val="0"/>
          <w:sz w:val="20"/>
          <w:szCs w:val="20"/>
        </w:rPr>
        <w:t>was the first line treatment used in 62 episodes (86.1%). Carbapenems were used as</w:t>
      </w:r>
      <w:r w:rsidR="00B405E1" w:rsidRPr="00F11A18">
        <w:rPr>
          <w:b w:val="0"/>
          <w:bCs w:val="0"/>
          <w:sz w:val="20"/>
          <w:szCs w:val="20"/>
        </w:rPr>
        <w:t xml:space="preserve"> </w:t>
      </w:r>
      <w:r w:rsidRPr="00F11A18">
        <w:rPr>
          <w:b w:val="0"/>
          <w:bCs w:val="0"/>
          <w:sz w:val="20"/>
          <w:szCs w:val="20"/>
        </w:rPr>
        <w:t xml:space="preserve">a first line treatment in 10 episodes (13.9%), and as a second line in 58/62 episodes (93.5%). Indication of treatment modification was based on culture and sensitivity result, vital instability and clinical focus of infection in 56.9%, 27.7% and 15.4% of episodes, respectively. Eleven percent of patients had history of previous cultures with </w:t>
      </w:r>
      <w:r w:rsidRPr="00F11A18">
        <w:rPr>
          <w:b w:val="0"/>
          <w:bCs w:val="0"/>
          <w:color w:val="221F1F"/>
          <w:sz w:val="20"/>
          <w:szCs w:val="20"/>
        </w:rPr>
        <w:t xml:space="preserve">MDR Gram-negative bacteria (GNB) </w:t>
      </w:r>
      <w:r w:rsidRPr="00F11A18">
        <w:rPr>
          <w:b w:val="0"/>
          <w:bCs w:val="0"/>
          <w:sz w:val="20"/>
          <w:szCs w:val="20"/>
        </w:rPr>
        <w:t>within the past 3months.</w:t>
      </w:r>
      <w:r w:rsidR="00127F72" w:rsidRPr="00F11A18">
        <w:rPr>
          <w:rFonts w:eastAsiaTheme="minorEastAsia" w:hint="eastAsia"/>
          <w:b w:val="0"/>
          <w:bCs w:val="0"/>
          <w:sz w:val="20"/>
          <w:szCs w:val="20"/>
          <w:lang w:eastAsia="zh-CN"/>
        </w:rPr>
        <w:t xml:space="preserve"> </w:t>
      </w:r>
      <w:r w:rsidRPr="00F11A18">
        <w:rPr>
          <w:sz w:val="20"/>
          <w:szCs w:val="20"/>
        </w:rPr>
        <w:t xml:space="preserve">Conclusion: </w:t>
      </w:r>
      <w:r w:rsidRPr="00F11A18">
        <w:rPr>
          <w:b w:val="0"/>
          <w:bCs w:val="0"/>
          <w:sz w:val="20"/>
          <w:szCs w:val="20"/>
        </w:rPr>
        <w:t>Mortality predictors were AML as an underlying diagnosis, active disease, vital instability, ICU admission, TLC &lt;500/cc, platelet count &lt;20,000/cc, impaired liver function tests, impaired renal function tests, impaired electrolytes, coagulopathies, treatment modification due to vital instability and history of previous culture with</w:t>
      </w:r>
      <w:r w:rsidR="00EB24D8" w:rsidRPr="00F11A18">
        <w:rPr>
          <w:b w:val="0"/>
          <w:bCs w:val="0"/>
          <w:sz w:val="20"/>
          <w:szCs w:val="20"/>
        </w:rPr>
        <w:t xml:space="preserve"> </w:t>
      </w:r>
      <w:r w:rsidRPr="00F11A18">
        <w:rPr>
          <w:b w:val="0"/>
          <w:bCs w:val="0"/>
          <w:sz w:val="20"/>
          <w:szCs w:val="20"/>
        </w:rPr>
        <w:t>MDR-GNB.</w:t>
      </w:r>
    </w:p>
    <w:p w:rsidR="00B41B23" w:rsidRPr="00F11A18" w:rsidRDefault="00C41A33" w:rsidP="00B41B23">
      <w:pPr>
        <w:pStyle w:val="Heading1"/>
        <w:snapToGrid w:val="0"/>
        <w:ind w:left="0"/>
        <w:jc w:val="both"/>
        <w:rPr>
          <w:b w:val="0"/>
          <w:sz w:val="20"/>
          <w:szCs w:val="20"/>
        </w:rPr>
      </w:pPr>
      <w:r w:rsidRPr="00F11A18">
        <w:rPr>
          <w:sz w:val="20"/>
          <w:szCs w:val="20"/>
        </w:rPr>
        <w:t>[</w:t>
      </w:r>
      <w:r w:rsidRPr="00F11A18">
        <w:rPr>
          <w:b w:val="0"/>
          <w:bCs w:val="0"/>
          <w:sz w:val="20"/>
          <w:szCs w:val="20"/>
        </w:rPr>
        <w:t>Amr</w:t>
      </w:r>
      <w:r w:rsidR="00EB24D8" w:rsidRPr="00F11A18">
        <w:rPr>
          <w:b w:val="0"/>
          <w:bCs w:val="0"/>
          <w:sz w:val="20"/>
          <w:szCs w:val="20"/>
        </w:rPr>
        <w:t xml:space="preserve"> </w:t>
      </w:r>
      <w:r w:rsidRPr="00F11A18">
        <w:rPr>
          <w:b w:val="0"/>
          <w:bCs w:val="0"/>
          <w:sz w:val="20"/>
          <w:szCs w:val="20"/>
        </w:rPr>
        <w:t>Abdalla, Mai Ahmed Mohamed, Samah Mohamed Radwan</w:t>
      </w:r>
      <w:r w:rsidR="00EB24D8" w:rsidRPr="00F11A18">
        <w:rPr>
          <w:sz w:val="20"/>
          <w:szCs w:val="20"/>
        </w:rPr>
        <w:t>.</w:t>
      </w:r>
      <w:r w:rsidRPr="00F11A18">
        <w:rPr>
          <w:sz w:val="20"/>
          <w:szCs w:val="20"/>
        </w:rPr>
        <w:t xml:space="preserve"> Outcome Predictors of Multi-drug Resistant Gram Negative Bacteremia in Children with Hematological Malignancies</w:t>
      </w:r>
      <w:r w:rsidR="00B41B23" w:rsidRPr="00F11A18">
        <w:rPr>
          <w:sz w:val="20"/>
          <w:szCs w:val="20"/>
          <w:lang w:bidi="fa-IR"/>
        </w:rPr>
        <w:t>.</w:t>
      </w:r>
      <w:r w:rsidR="00B41B23" w:rsidRPr="00F11A18">
        <w:rPr>
          <w:i/>
          <w:sz w:val="20"/>
          <w:szCs w:val="20"/>
        </w:rPr>
        <w:t xml:space="preserve"> </w:t>
      </w:r>
      <w:r w:rsidR="00B41B23" w:rsidRPr="00F11A18">
        <w:rPr>
          <w:b w:val="0"/>
          <w:i/>
          <w:sz w:val="20"/>
          <w:szCs w:val="20"/>
        </w:rPr>
        <w:t>Cancer Biology</w:t>
      </w:r>
      <w:r w:rsidR="00B41B23" w:rsidRPr="00F11A18">
        <w:rPr>
          <w:b w:val="0"/>
          <w:sz w:val="20"/>
          <w:szCs w:val="20"/>
        </w:rPr>
        <w:t xml:space="preserve"> 201</w:t>
      </w:r>
      <w:r w:rsidR="00B41B23" w:rsidRPr="00F11A18">
        <w:rPr>
          <w:rFonts w:hint="eastAsia"/>
          <w:b w:val="0"/>
          <w:sz w:val="20"/>
          <w:szCs w:val="20"/>
        </w:rPr>
        <w:t>9</w:t>
      </w:r>
      <w:r w:rsidR="00B41B23" w:rsidRPr="00F11A18">
        <w:rPr>
          <w:b w:val="0"/>
          <w:sz w:val="20"/>
          <w:szCs w:val="20"/>
        </w:rPr>
        <w:t>;</w:t>
      </w:r>
      <w:r w:rsidR="00B41B23" w:rsidRPr="00F11A18">
        <w:rPr>
          <w:rFonts w:hint="eastAsia"/>
          <w:b w:val="0"/>
          <w:sz w:val="20"/>
          <w:szCs w:val="20"/>
        </w:rPr>
        <w:t>9</w:t>
      </w:r>
      <w:r w:rsidR="00B41B23" w:rsidRPr="00F11A18">
        <w:rPr>
          <w:b w:val="0"/>
          <w:sz w:val="20"/>
          <w:szCs w:val="20"/>
        </w:rPr>
        <w:t>(</w:t>
      </w:r>
      <w:r w:rsidR="00B41B23" w:rsidRPr="00F11A18">
        <w:rPr>
          <w:rFonts w:hint="eastAsia"/>
          <w:b w:val="0"/>
          <w:sz w:val="20"/>
          <w:szCs w:val="20"/>
        </w:rPr>
        <w:t>3</w:t>
      </w:r>
      <w:r w:rsidR="00B41B23" w:rsidRPr="00F11A18">
        <w:rPr>
          <w:b w:val="0"/>
          <w:sz w:val="20"/>
          <w:szCs w:val="20"/>
        </w:rPr>
        <w:t>):</w:t>
      </w:r>
      <w:r w:rsidR="007B73A3" w:rsidRPr="00F11A18">
        <w:rPr>
          <w:b w:val="0"/>
          <w:noProof/>
          <w:color w:val="000000"/>
          <w:sz w:val="20"/>
          <w:szCs w:val="20"/>
        </w:rPr>
        <w:t>66-77</w:t>
      </w:r>
      <w:r w:rsidR="00B41B23" w:rsidRPr="00F11A18">
        <w:rPr>
          <w:b w:val="0"/>
          <w:sz w:val="20"/>
          <w:szCs w:val="20"/>
        </w:rPr>
        <w:t xml:space="preserve">]. </w:t>
      </w:r>
      <w:r w:rsidR="00B41B23" w:rsidRPr="00F11A18">
        <w:rPr>
          <w:rStyle w:val="msonormal0"/>
          <w:rFonts w:eastAsia="宋"/>
          <w:b w:val="0"/>
          <w:sz w:val="20"/>
          <w:szCs w:val="20"/>
        </w:rPr>
        <w:t>ISSN: 2150-1041 (print); ISSN: 2150-105X (online)</w:t>
      </w:r>
      <w:r w:rsidR="00B41B23" w:rsidRPr="00F11A18">
        <w:rPr>
          <w:b w:val="0"/>
          <w:sz w:val="20"/>
          <w:szCs w:val="20"/>
        </w:rPr>
        <w:t xml:space="preserve">. </w:t>
      </w:r>
      <w:hyperlink r:id="rId11" w:history="1">
        <w:r w:rsidR="00B41B23" w:rsidRPr="00F11A18">
          <w:rPr>
            <w:rStyle w:val="Hyperlink"/>
            <w:b w:val="0"/>
            <w:color w:val="0000FF"/>
            <w:sz w:val="20"/>
            <w:szCs w:val="20"/>
          </w:rPr>
          <w:t>http://www.cancerbio.net</w:t>
        </w:r>
      </w:hyperlink>
      <w:r w:rsidR="00B41B23" w:rsidRPr="00F11A18">
        <w:rPr>
          <w:b w:val="0"/>
          <w:sz w:val="20"/>
          <w:szCs w:val="20"/>
        </w:rPr>
        <w:t>.</w:t>
      </w:r>
      <w:r w:rsidR="00B41B23" w:rsidRPr="00F11A18">
        <w:rPr>
          <w:rFonts w:hint="eastAsia"/>
          <w:b w:val="0"/>
          <w:sz w:val="20"/>
          <w:szCs w:val="20"/>
        </w:rPr>
        <w:t xml:space="preserve"> </w:t>
      </w:r>
      <w:r w:rsidR="00B41B23" w:rsidRPr="00F11A18">
        <w:rPr>
          <w:rFonts w:eastAsiaTheme="minorEastAsia" w:hint="eastAsia"/>
          <w:b w:val="0"/>
          <w:sz w:val="20"/>
          <w:szCs w:val="20"/>
          <w:lang w:eastAsia="zh-CN"/>
        </w:rPr>
        <w:t>9</w:t>
      </w:r>
      <w:r w:rsidR="00B41B23" w:rsidRPr="00F11A18">
        <w:rPr>
          <w:rFonts w:hint="eastAsia"/>
          <w:b w:val="0"/>
          <w:sz w:val="20"/>
          <w:szCs w:val="20"/>
        </w:rPr>
        <w:t xml:space="preserve">. </w:t>
      </w:r>
      <w:r w:rsidR="00B41B23" w:rsidRPr="00F11A18">
        <w:rPr>
          <w:b w:val="0"/>
          <w:color w:val="000000"/>
          <w:sz w:val="20"/>
          <w:szCs w:val="20"/>
          <w:shd w:val="clear" w:color="auto" w:fill="FFFFFF"/>
        </w:rPr>
        <w:t>doi:</w:t>
      </w:r>
      <w:hyperlink r:id="rId12" w:history="1">
        <w:r w:rsidR="00B41B23" w:rsidRPr="00F11A18">
          <w:rPr>
            <w:rStyle w:val="Hyperlink"/>
            <w:b w:val="0"/>
            <w:color w:val="0000FF"/>
            <w:sz w:val="20"/>
            <w:szCs w:val="20"/>
            <w:shd w:val="clear" w:color="auto" w:fill="FFFFFF"/>
          </w:rPr>
          <w:t>10.7537/mars</w:t>
        </w:r>
        <w:r w:rsidR="00B41B23" w:rsidRPr="00F11A18">
          <w:rPr>
            <w:rStyle w:val="Hyperlink"/>
            <w:rFonts w:hint="eastAsia"/>
            <w:b w:val="0"/>
            <w:color w:val="0000FF"/>
            <w:sz w:val="20"/>
            <w:szCs w:val="20"/>
            <w:shd w:val="clear" w:color="auto" w:fill="FFFFFF"/>
          </w:rPr>
          <w:t>cbj0903</w:t>
        </w:r>
        <w:r w:rsidR="00B41B23" w:rsidRPr="00F11A18">
          <w:rPr>
            <w:rStyle w:val="Hyperlink"/>
            <w:b w:val="0"/>
            <w:color w:val="0000FF"/>
            <w:sz w:val="20"/>
            <w:szCs w:val="20"/>
            <w:shd w:val="clear" w:color="auto" w:fill="FFFFFF"/>
          </w:rPr>
          <w:t>1</w:t>
        </w:r>
        <w:r w:rsidR="00B41B23" w:rsidRPr="00F11A18">
          <w:rPr>
            <w:rStyle w:val="Hyperlink"/>
            <w:rFonts w:hint="eastAsia"/>
            <w:b w:val="0"/>
            <w:color w:val="0000FF"/>
            <w:sz w:val="20"/>
            <w:szCs w:val="20"/>
            <w:shd w:val="clear" w:color="auto" w:fill="FFFFFF"/>
          </w:rPr>
          <w:t>9.</w:t>
        </w:r>
        <w:r w:rsidR="00B41B23" w:rsidRPr="00F11A18">
          <w:rPr>
            <w:rStyle w:val="Hyperlink"/>
            <w:b w:val="0"/>
            <w:color w:val="0000FF"/>
            <w:sz w:val="20"/>
            <w:szCs w:val="20"/>
            <w:shd w:val="clear" w:color="auto" w:fill="FFFFFF"/>
          </w:rPr>
          <w:t>0</w:t>
        </w:r>
        <w:r w:rsidR="00B41B23" w:rsidRPr="00F11A18">
          <w:rPr>
            <w:rStyle w:val="Hyperlink"/>
            <w:rFonts w:eastAsiaTheme="minorEastAsia" w:hint="eastAsia"/>
            <w:b w:val="0"/>
            <w:color w:val="0000FF"/>
            <w:sz w:val="20"/>
            <w:szCs w:val="20"/>
            <w:shd w:val="clear" w:color="auto" w:fill="FFFFFF"/>
            <w:lang w:eastAsia="zh-CN"/>
          </w:rPr>
          <w:t>9</w:t>
        </w:r>
      </w:hyperlink>
      <w:r w:rsidR="00B41B23" w:rsidRPr="00F11A18">
        <w:rPr>
          <w:b w:val="0"/>
          <w:color w:val="000000"/>
          <w:sz w:val="20"/>
          <w:szCs w:val="20"/>
          <w:shd w:val="clear" w:color="auto" w:fill="FFFFFF"/>
        </w:rPr>
        <w:t>.</w:t>
      </w:r>
    </w:p>
    <w:p w:rsidR="00C41A33" w:rsidRPr="00F11A18" w:rsidRDefault="00C41A33" w:rsidP="00B41B23">
      <w:pPr>
        <w:pStyle w:val="BodyText"/>
        <w:snapToGrid w:val="0"/>
        <w:ind w:left="0"/>
        <w:jc w:val="both"/>
        <w:rPr>
          <w:sz w:val="20"/>
          <w:szCs w:val="20"/>
        </w:rPr>
      </w:pPr>
    </w:p>
    <w:p w:rsidR="000B2401" w:rsidRPr="00F11A18" w:rsidRDefault="00C41A33" w:rsidP="00B41B23">
      <w:pPr>
        <w:pStyle w:val="BodyText"/>
        <w:snapToGrid w:val="0"/>
        <w:ind w:left="0"/>
        <w:jc w:val="both"/>
        <w:rPr>
          <w:sz w:val="20"/>
          <w:szCs w:val="20"/>
        </w:rPr>
      </w:pPr>
      <w:r w:rsidRPr="00F11A18">
        <w:rPr>
          <w:b/>
          <w:sz w:val="20"/>
          <w:szCs w:val="20"/>
        </w:rPr>
        <w:t xml:space="preserve">Keywords: </w:t>
      </w:r>
      <w:r w:rsidRPr="00F11A18">
        <w:rPr>
          <w:sz w:val="20"/>
          <w:szCs w:val="20"/>
        </w:rPr>
        <w:t>multidrug resistance, gram negative bacteremias, febrile neutropenia, infection</w:t>
      </w:r>
    </w:p>
    <w:p w:rsidR="00C41A33" w:rsidRPr="00F11A18" w:rsidRDefault="00C41A33" w:rsidP="00B41B23">
      <w:pPr>
        <w:pStyle w:val="BodyText"/>
        <w:snapToGrid w:val="0"/>
        <w:ind w:left="0" w:firstLine="425"/>
        <w:jc w:val="both"/>
        <w:rPr>
          <w:sz w:val="20"/>
          <w:szCs w:val="20"/>
        </w:rPr>
      </w:pPr>
    </w:p>
    <w:p w:rsidR="00B41B23" w:rsidRPr="00F11A18" w:rsidRDefault="00B41B23" w:rsidP="00B41B23">
      <w:pPr>
        <w:pStyle w:val="Heading1"/>
        <w:snapToGrid w:val="0"/>
        <w:ind w:left="0"/>
        <w:jc w:val="both"/>
        <w:rPr>
          <w:sz w:val="20"/>
          <w:szCs w:val="20"/>
        </w:rPr>
        <w:sectPr w:rsidR="00B41B23" w:rsidRPr="00F11A18" w:rsidSect="007B73A3">
          <w:headerReference w:type="default" r:id="rId13"/>
          <w:footerReference w:type="default" r:id="rId14"/>
          <w:type w:val="continuous"/>
          <w:pgSz w:w="12240" w:h="15840" w:code="1"/>
          <w:pgMar w:top="1440" w:right="1440" w:bottom="1440" w:left="1440" w:header="720" w:footer="720" w:gutter="0"/>
          <w:pgNumType w:start="66"/>
          <w:cols w:space="720"/>
          <w:docGrid w:linePitch="299"/>
        </w:sectPr>
      </w:pPr>
    </w:p>
    <w:p w:rsidR="000B2401" w:rsidRPr="00F11A18" w:rsidRDefault="00C41A33" w:rsidP="00B41B23">
      <w:pPr>
        <w:pStyle w:val="Heading1"/>
        <w:snapToGrid w:val="0"/>
        <w:ind w:left="0"/>
        <w:jc w:val="both"/>
        <w:rPr>
          <w:sz w:val="20"/>
          <w:szCs w:val="20"/>
        </w:rPr>
      </w:pPr>
      <w:r w:rsidRPr="00F11A18">
        <w:rPr>
          <w:sz w:val="20"/>
          <w:szCs w:val="20"/>
        </w:rPr>
        <w:lastRenderedPageBreak/>
        <w:t>1. Introduction</w:t>
      </w:r>
    </w:p>
    <w:p w:rsidR="000B2401" w:rsidRPr="00F11A18" w:rsidRDefault="00C41A33" w:rsidP="00B41B23">
      <w:pPr>
        <w:snapToGrid w:val="0"/>
        <w:ind w:firstLine="425"/>
        <w:jc w:val="both"/>
        <w:rPr>
          <w:sz w:val="20"/>
          <w:szCs w:val="20"/>
        </w:rPr>
      </w:pPr>
      <w:r w:rsidRPr="00F11A18">
        <w:rPr>
          <w:color w:val="221F1F"/>
          <w:sz w:val="20"/>
          <w:szCs w:val="20"/>
        </w:rPr>
        <w:t xml:space="preserve">Multidrug resistant (MDR) Gram-negative bacteria (GNB) have emerged as important pathogens and a serious challenge in the management of neutropenic patients worldwide. The great majority of infections are caused by the </w:t>
      </w:r>
      <w:r w:rsidRPr="00F11A18">
        <w:rPr>
          <w:i/>
          <w:color w:val="221F1F"/>
          <w:sz w:val="20"/>
          <w:szCs w:val="20"/>
        </w:rPr>
        <w:t>Enterobacteriaceae</w:t>
      </w:r>
      <w:r w:rsidR="00EB24D8" w:rsidRPr="00F11A18">
        <w:rPr>
          <w:color w:val="221F1F"/>
          <w:sz w:val="20"/>
          <w:szCs w:val="20"/>
        </w:rPr>
        <w:t xml:space="preserve"> </w:t>
      </w:r>
      <w:r w:rsidRPr="00F11A18">
        <w:rPr>
          <w:color w:val="221F1F"/>
          <w:sz w:val="20"/>
          <w:szCs w:val="20"/>
        </w:rPr>
        <w:t xml:space="preserve">(especially </w:t>
      </w:r>
      <w:r w:rsidRPr="00F11A18">
        <w:rPr>
          <w:i/>
          <w:color w:val="221F1F"/>
          <w:sz w:val="20"/>
          <w:szCs w:val="20"/>
        </w:rPr>
        <w:t xml:space="preserve">Escherichia coli </w:t>
      </w:r>
      <w:r w:rsidRPr="00F11A18">
        <w:rPr>
          <w:color w:val="221F1F"/>
          <w:sz w:val="20"/>
          <w:szCs w:val="20"/>
        </w:rPr>
        <w:t xml:space="preserve">and </w:t>
      </w:r>
      <w:r w:rsidRPr="00F11A18">
        <w:rPr>
          <w:i/>
          <w:color w:val="221F1F"/>
          <w:sz w:val="20"/>
          <w:szCs w:val="20"/>
        </w:rPr>
        <w:t>Klebsiellaspp</w:t>
      </w:r>
      <w:r w:rsidRPr="00F11A18">
        <w:rPr>
          <w:color w:val="221F1F"/>
          <w:sz w:val="20"/>
          <w:szCs w:val="20"/>
        </w:rPr>
        <w:t xml:space="preserve">), </w:t>
      </w:r>
      <w:r w:rsidRPr="00F11A18">
        <w:rPr>
          <w:i/>
          <w:color w:val="221F1F"/>
          <w:sz w:val="20"/>
          <w:szCs w:val="20"/>
        </w:rPr>
        <w:t>Pseudomonas aeruginosa</w:t>
      </w:r>
      <w:r w:rsidRPr="00F11A18">
        <w:rPr>
          <w:color w:val="221F1F"/>
          <w:sz w:val="20"/>
          <w:szCs w:val="20"/>
        </w:rPr>
        <w:t xml:space="preserve">, less frequently </w:t>
      </w:r>
      <w:r w:rsidRPr="00F11A18">
        <w:rPr>
          <w:i/>
          <w:color w:val="221F1F"/>
          <w:sz w:val="20"/>
          <w:szCs w:val="20"/>
        </w:rPr>
        <w:t>Acinetobacter spp</w:t>
      </w:r>
      <w:r w:rsidRPr="00F11A18">
        <w:rPr>
          <w:color w:val="221F1F"/>
          <w:sz w:val="20"/>
          <w:szCs w:val="20"/>
        </w:rPr>
        <w:t xml:space="preserve">. and </w:t>
      </w:r>
      <w:r w:rsidRPr="00F11A18">
        <w:rPr>
          <w:i/>
          <w:color w:val="221F1F"/>
          <w:sz w:val="20"/>
          <w:szCs w:val="20"/>
        </w:rPr>
        <w:t>Stenotrophomonas maltophilia</w:t>
      </w:r>
      <w:r w:rsidRPr="00F11A18">
        <w:rPr>
          <w:color w:val="221F1F"/>
          <w:sz w:val="20"/>
          <w:szCs w:val="20"/>
        </w:rPr>
        <w:t>.</w:t>
      </w:r>
      <w:r w:rsidRPr="00F11A18">
        <w:rPr>
          <w:color w:val="221F1F"/>
          <w:sz w:val="20"/>
          <w:szCs w:val="20"/>
          <w:vertAlign w:val="superscript"/>
        </w:rPr>
        <w:t>1</w:t>
      </w:r>
    </w:p>
    <w:p w:rsidR="000B2401" w:rsidRPr="00F11A18" w:rsidRDefault="00C41A33" w:rsidP="00B41B23">
      <w:pPr>
        <w:pStyle w:val="BodyText"/>
        <w:snapToGrid w:val="0"/>
        <w:ind w:left="0" w:firstLine="425"/>
        <w:jc w:val="both"/>
        <w:rPr>
          <w:sz w:val="20"/>
          <w:szCs w:val="20"/>
        </w:rPr>
      </w:pPr>
      <w:r w:rsidRPr="00F11A18">
        <w:rPr>
          <w:sz w:val="20"/>
          <w:szCs w:val="20"/>
        </w:rPr>
        <w:t>Despite the widespread use and availability of powerful antibiotics, bacteremia/sepsis remains the most important independent prognostic marker for mortality in children with cancer who have febrile neutropenia (F</w:t>
      </w:r>
      <w:r w:rsidR="00B405E1" w:rsidRPr="00F11A18">
        <w:rPr>
          <w:sz w:val="20"/>
          <w:szCs w:val="20"/>
        </w:rPr>
        <w:t xml:space="preserve"> &amp; </w:t>
      </w:r>
      <w:r w:rsidRPr="00F11A18">
        <w:rPr>
          <w:sz w:val="20"/>
          <w:szCs w:val="20"/>
        </w:rPr>
        <w:t>N). A diagnosis of sepsis or bacteremia conferred a 10-fold increase in the risk of death</w:t>
      </w:r>
      <w:r w:rsidRPr="00F11A18">
        <w:rPr>
          <w:color w:val="221F1F"/>
          <w:sz w:val="20"/>
          <w:szCs w:val="20"/>
        </w:rPr>
        <w:t>.</w:t>
      </w:r>
      <w:r w:rsidRPr="00F11A18">
        <w:rPr>
          <w:color w:val="221F1F"/>
          <w:sz w:val="20"/>
          <w:szCs w:val="20"/>
          <w:vertAlign w:val="superscript"/>
        </w:rPr>
        <w:t>2</w:t>
      </w:r>
    </w:p>
    <w:p w:rsidR="000B2401" w:rsidRPr="00F11A18" w:rsidRDefault="00C41A33" w:rsidP="00B41B23">
      <w:pPr>
        <w:pStyle w:val="BodyText"/>
        <w:snapToGrid w:val="0"/>
        <w:ind w:left="0" w:firstLine="425"/>
        <w:jc w:val="both"/>
        <w:rPr>
          <w:sz w:val="20"/>
          <w:szCs w:val="20"/>
        </w:rPr>
      </w:pPr>
      <w:r w:rsidRPr="00F11A18">
        <w:rPr>
          <w:sz w:val="20"/>
          <w:szCs w:val="20"/>
        </w:rPr>
        <w:t>Patients with hematological malignancies have a predisposition towards severe, life- threatening infections that result in prolonged hospitalization and higher mortality rates</w:t>
      </w:r>
      <w:r w:rsidRPr="00F11A18">
        <w:rPr>
          <w:color w:val="221F1F"/>
          <w:sz w:val="20"/>
          <w:szCs w:val="20"/>
        </w:rPr>
        <w:t>.</w:t>
      </w:r>
      <w:r w:rsidRPr="00F11A18">
        <w:rPr>
          <w:color w:val="221F1F"/>
          <w:sz w:val="20"/>
          <w:szCs w:val="20"/>
          <w:vertAlign w:val="superscript"/>
        </w:rPr>
        <w:t>3,4</w:t>
      </w:r>
    </w:p>
    <w:p w:rsidR="000B2401" w:rsidRPr="00F11A18" w:rsidRDefault="00C41A33" w:rsidP="00B41B23">
      <w:pPr>
        <w:pStyle w:val="BodyText"/>
        <w:snapToGrid w:val="0"/>
        <w:ind w:left="0" w:firstLine="425"/>
        <w:jc w:val="both"/>
        <w:rPr>
          <w:sz w:val="20"/>
          <w:szCs w:val="20"/>
        </w:rPr>
      </w:pPr>
      <w:r w:rsidRPr="00F11A18">
        <w:rPr>
          <w:sz w:val="20"/>
          <w:szCs w:val="20"/>
        </w:rPr>
        <w:t>The majority of cancer patients harbor high risk for infections that are mostly assumed to be caused by immunosuppressive therapies</w:t>
      </w:r>
      <w:r w:rsidRPr="00F11A18">
        <w:rPr>
          <w:color w:val="221F1F"/>
          <w:sz w:val="20"/>
          <w:szCs w:val="20"/>
        </w:rPr>
        <w:t>.</w:t>
      </w:r>
      <w:r w:rsidRPr="00F11A18">
        <w:rPr>
          <w:color w:val="221F1F"/>
          <w:sz w:val="20"/>
          <w:szCs w:val="20"/>
          <w:vertAlign w:val="superscript"/>
        </w:rPr>
        <w:t>5</w:t>
      </w:r>
    </w:p>
    <w:p w:rsidR="000B2401" w:rsidRPr="00F11A18" w:rsidRDefault="00C41A33" w:rsidP="00B41B23">
      <w:pPr>
        <w:pStyle w:val="BodyText"/>
        <w:snapToGrid w:val="0"/>
        <w:ind w:left="0" w:firstLine="425"/>
        <w:jc w:val="both"/>
        <w:rPr>
          <w:sz w:val="20"/>
          <w:szCs w:val="20"/>
        </w:rPr>
      </w:pPr>
      <w:r w:rsidRPr="00F11A18">
        <w:rPr>
          <w:sz w:val="20"/>
          <w:szCs w:val="20"/>
        </w:rPr>
        <w:lastRenderedPageBreak/>
        <w:t>Because of the high mortality rates due to infections, commencing appropriate empirical antimicrobial therapy is crucial. The causative pathogens are usually equivocal; therefore, it is important to know the local epidemiological data before starting adequate empirical antimicrobial</w:t>
      </w:r>
      <w:r w:rsidR="007457A4">
        <w:rPr>
          <w:rFonts w:eastAsiaTheme="minorEastAsia" w:hint="eastAsia"/>
          <w:sz w:val="20"/>
          <w:szCs w:val="20"/>
          <w:lang w:eastAsia="zh-CN"/>
        </w:rPr>
        <w:t xml:space="preserve"> </w:t>
      </w:r>
      <w:r w:rsidRPr="00F11A18">
        <w:rPr>
          <w:sz w:val="20"/>
          <w:szCs w:val="20"/>
        </w:rPr>
        <w:t>therapy</w:t>
      </w:r>
      <w:r w:rsidRPr="00F11A18">
        <w:rPr>
          <w:color w:val="221F1F"/>
          <w:sz w:val="20"/>
          <w:szCs w:val="20"/>
        </w:rPr>
        <w:t>.</w:t>
      </w:r>
      <w:r w:rsidRPr="00F11A18">
        <w:rPr>
          <w:color w:val="221F1F"/>
          <w:sz w:val="20"/>
          <w:szCs w:val="20"/>
          <w:vertAlign w:val="superscript"/>
        </w:rPr>
        <w:t>6</w:t>
      </w:r>
    </w:p>
    <w:p w:rsidR="000B2401" w:rsidRPr="00F11A18" w:rsidRDefault="00C41A33" w:rsidP="00B41B23">
      <w:pPr>
        <w:pStyle w:val="BodyText"/>
        <w:snapToGrid w:val="0"/>
        <w:ind w:left="0" w:firstLine="425"/>
        <w:jc w:val="both"/>
        <w:rPr>
          <w:color w:val="221F1F"/>
          <w:sz w:val="20"/>
          <w:szCs w:val="20"/>
        </w:rPr>
      </w:pPr>
      <w:r w:rsidRPr="00F11A18">
        <w:rPr>
          <w:sz w:val="20"/>
          <w:szCs w:val="20"/>
        </w:rPr>
        <w:t xml:space="preserve">The epidemiological characteristics of causative isolates of bloodstream infections (BSIs) in cancer patients have changed recently, with a shift toward Gram-negative infections. </w:t>
      </w:r>
      <w:r w:rsidRPr="00F11A18">
        <w:rPr>
          <w:color w:val="221F1F"/>
          <w:sz w:val="20"/>
          <w:szCs w:val="20"/>
        </w:rPr>
        <w:t xml:space="preserve">A broader-spectrum empiric antibiotic regimen is usually recommended in patients with a history of prior BSI caused by an MDR-GNB, in those colonized </w:t>
      </w:r>
      <w:r w:rsidR="00F11A18" w:rsidRPr="00F11A18">
        <w:rPr>
          <w:color w:val="221F1F"/>
          <w:sz w:val="20"/>
          <w:szCs w:val="20"/>
        </w:rPr>
        <w:t>by an</w:t>
      </w:r>
      <w:r w:rsidRPr="00F11A18">
        <w:rPr>
          <w:color w:val="221F1F"/>
          <w:sz w:val="20"/>
          <w:szCs w:val="20"/>
        </w:rPr>
        <w:t xml:space="preserve"> MDR-GNB, and if MDR-GNBs</w:t>
      </w:r>
      <w:r w:rsidR="00F11A18">
        <w:rPr>
          <w:rFonts w:eastAsiaTheme="minorEastAsia" w:hint="eastAsia"/>
          <w:color w:val="221F1F"/>
          <w:sz w:val="20"/>
          <w:szCs w:val="20"/>
          <w:lang w:eastAsia="zh-CN"/>
        </w:rPr>
        <w:t xml:space="preserve"> </w:t>
      </w:r>
      <w:r w:rsidRPr="00F11A18">
        <w:rPr>
          <w:color w:val="221F1F"/>
          <w:sz w:val="20"/>
          <w:szCs w:val="20"/>
        </w:rPr>
        <w:t>are frequently isolated in the initial blood cultures. In any situation, de-escalation to standard empiric regimen is advised if infection with MDR-GNB is not documented.</w:t>
      </w:r>
      <w:r w:rsidRPr="00F11A18">
        <w:rPr>
          <w:color w:val="221F1F"/>
          <w:sz w:val="20"/>
          <w:szCs w:val="20"/>
          <w:vertAlign w:val="superscript"/>
        </w:rPr>
        <w:t>1</w:t>
      </w:r>
    </w:p>
    <w:p w:rsidR="000B2401" w:rsidRPr="00F11A18" w:rsidRDefault="00C41A33" w:rsidP="00B41B23">
      <w:pPr>
        <w:pStyle w:val="BodyText"/>
        <w:snapToGrid w:val="0"/>
        <w:ind w:left="0" w:firstLine="425"/>
        <w:jc w:val="both"/>
        <w:rPr>
          <w:sz w:val="20"/>
          <w:szCs w:val="20"/>
        </w:rPr>
      </w:pPr>
      <w:r w:rsidRPr="00F11A18">
        <w:rPr>
          <w:color w:val="221F1F"/>
          <w:sz w:val="20"/>
          <w:szCs w:val="20"/>
        </w:rPr>
        <w:t>Delayed initiation of appropriate antimicrobial therapy and the emergence of infections with MDR-GNB, known to be associated with higher morbidity and mortality than non-MDR pathogens.</w:t>
      </w:r>
      <w:r w:rsidRPr="00F11A18">
        <w:rPr>
          <w:color w:val="221F1F"/>
          <w:sz w:val="20"/>
          <w:szCs w:val="20"/>
          <w:vertAlign w:val="superscript"/>
        </w:rPr>
        <w:t>7-9</w:t>
      </w:r>
    </w:p>
    <w:p w:rsidR="000B2401" w:rsidRPr="00F11A18" w:rsidRDefault="00C41A33" w:rsidP="00B41B23">
      <w:pPr>
        <w:pStyle w:val="BodyText"/>
        <w:snapToGrid w:val="0"/>
        <w:ind w:left="0" w:firstLine="425"/>
        <w:jc w:val="both"/>
        <w:rPr>
          <w:sz w:val="20"/>
          <w:szCs w:val="20"/>
        </w:rPr>
      </w:pPr>
      <w:r w:rsidRPr="00F11A18">
        <w:rPr>
          <w:sz w:val="20"/>
          <w:szCs w:val="20"/>
        </w:rPr>
        <w:t xml:space="preserve">The aim of this study is to identify the epidemiology, risk factors and to assess the outcome </w:t>
      </w:r>
      <w:r w:rsidRPr="00F11A18">
        <w:rPr>
          <w:sz w:val="20"/>
          <w:szCs w:val="20"/>
        </w:rPr>
        <w:lastRenderedPageBreak/>
        <w:t>of MDR gram negative bacteremia in pediatric patients with hematological malignancies at National Cancer Institute, Cairo</w:t>
      </w:r>
      <w:r w:rsidR="00EB24D8" w:rsidRPr="00F11A18">
        <w:rPr>
          <w:sz w:val="20"/>
          <w:szCs w:val="20"/>
        </w:rPr>
        <w:t xml:space="preserve"> </w:t>
      </w:r>
      <w:r w:rsidRPr="00F11A18">
        <w:rPr>
          <w:sz w:val="20"/>
          <w:szCs w:val="20"/>
        </w:rPr>
        <w:t>University.</w:t>
      </w:r>
    </w:p>
    <w:p w:rsidR="000B2401" w:rsidRPr="00F11A18" w:rsidRDefault="000B2401" w:rsidP="00B41B23">
      <w:pPr>
        <w:pStyle w:val="BodyText"/>
        <w:snapToGrid w:val="0"/>
        <w:ind w:left="0" w:firstLine="425"/>
        <w:jc w:val="both"/>
        <w:rPr>
          <w:sz w:val="20"/>
          <w:szCs w:val="20"/>
        </w:rPr>
      </w:pPr>
    </w:p>
    <w:p w:rsidR="000B2401" w:rsidRPr="00F11A18" w:rsidRDefault="00EB24D8" w:rsidP="00B41B23">
      <w:pPr>
        <w:pStyle w:val="Heading1"/>
        <w:snapToGrid w:val="0"/>
        <w:ind w:left="0"/>
        <w:jc w:val="both"/>
        <w:rPr>
          <w:sz w:val="20"/>
          <w:szCs w:val="20"/>
        </w:rPr>
      </w:pPr>
      <w:r w:rsidRPr="00F11A18">
        <w:rPr>
          <w:sz w:val="20"/>
          <w:szCs w:val="20"/>
        </w:rPr>
        <w:t xml:space="preserve">2. </w:t>
      </w:r>
      <w:r w:rsidR="00C41A33" w:rsidRPr="00F11A18">
        <w:rPr>
          <w:sz w:val="20"/>
          <w:szCs w:val="20"/>
        </w:rPr>
        <w:t>Methods</w:t>
      </w:r>
    </w:p>
    <w:p w:rsidR="000B2401" w:rsidRPr="00F11A18" w:rsidRDefault="00C41A33" w:rsidP="00B41B23">
      <w:pPr>
        <w:pStyle w:val="ListParagraph"/>
        <w:snapToGrid w:val="0"/>
        <w:ind w:left="0" w:firstLine="0"/>
        <w:jc w:val="both"/>
        <w:rPr>
          <w:b/>
          <w:sz w:val="20"/>
          <w:szCs w:val="20"/>
        </w:rPr>
      </w:pPr>
      <w:r w:rsidRPr="00F11A18">
        <w:rPr>
          <w:b/>
          <w:sz w:val="20"/>
          <w:szCs w:val="20"/>
        </w:rPr>
        <w:t>Study</w:t>
      </w:r>
      <w:r w:rsidR="00EB24D8" w:rsidRPr="00F11A18">
        <w:rPr>
          <w:b/>
          <w:sz w:val="20"/>
          <w:szCs w:val="20"/>
        </w:rPr>
        <w:t xml:space="preserve"> </w:t>
      </w:r>
      <w:r w:rsidRPr="00F11A18">
        <w:rPr>
          <w:b/>
          <w:sz w:val="20"/>
          <w:szCs w:val="20"/>
        </w:rPr>
        <w:t>Design</w:t>
      </w:r>
    </w:p>
    <w:p w:rsidR="000B2401" w:rsidRPr="00F11A18" w:rsidRDefault="00C41A33" w:rsidP="00B41B23">
      <w:pPr>
        <w:pStyle w:val="BodyText"/>
        <w:snapToGrid w:val="0"/>
        <w:ind w:left="0" w:firstLine="425"/>
        <w:jc w:val="both"/>
        <w:rPr>
          <w:sz w:val="20"/>
          <w:szCs w:val="20"/>
        </w:rPr>
      </w:pPr>
      <w:r w:rsidRPr="00F11A18">
        <w:rPr>
          <w:sz w:val="20"/>
          <w:szCs w:val="20"/>
        </w:rPr>
        <w:t>This retrospective study was conducted at the Pediatric Oncology Department, National Cancer Institute, Cairo University to investigate the outcome of MDR gram negative bacteremias in febrile neutropenic patients below 18 years of age at diagnosis with hematological malignancies from 1</w:t>
      </w:r>
      <w:r w:rsidRPr="00F11A18">
        <w:rPr>
          <w:sz w:val="20"/>
          <w:szCs w:val="20"/>
          <w:vertAlign w:val="superscript"/>
        </w:rPr>
        <w:t>st</w:t>
      </w:r>
      <w:r w:rsidRPr="00F11A18">
        <w:rPr>
          <w:sz w:val="20"/>
          <w:szCs w:val="20"/>
        </w:rPr>
        <w:t xml:space="preserve"> of January 2014 to 31</w:t>
      </w:r>
      <w:r w:rsidRPr="00F11A18">
        <w:rPr>
          <w:sz w:val="20"/>
          <w:szCs w:val="20"/>
          <w:vertAlign w:val="superscript"/>
        </w:rPr>
        <w:t>st</w:t>
      </w:r>
      <w:r w:rsidRPr="00F11A18">
        <w:rPr>
          <w:sz w:val="20"/>
          <w:szCs w:val="20"/>
        </w:rPr>
        <w:t xml:space="preserve"> of December 2014.</w:t>
      </w:r>
    </w:p>
    <w:p w:rsidR="000B2401" w:rsidRPr="00F11A18" w:rsidRDefault="00C41A33" w:rsidP="00B41B23">
      <w:pPr>
        <w:pStyle w:val="BodyText"/>
        <w:snapToGrid w:val="0"/>
        <w:ind w:left="0" w:firstLine="425"/>
        <w:jc w:val="both"/>
        <w:rPr>
          <w:sz w:val="20"/>
          <w:szCs w:val="20"/>
        </w:rPr>
      </w:pPr>
      <w:r w:rsidRPr="00F11A18">
        <w:rPr>
          <w:sz w:val="20"/>
          <w:szCs w:val="20"/>
        </w:rPr>
        <w:t>Blood cultures were repeated throughout each infection episode initially and every 48 hours to isolate the causative pathoge</w:t>
      </w:r>
      <w:r w:rsidR="00B405E1" w:rsidRPr="00F11A18">
        <w:rPr>
          <w:sz w:val="20"/>
          <w:szCs w:val="20"/>
        </w:rPr>
        <w:t>n (</w:t>
      </w:r>
      <w:r w:rsidRPr="00F11A18">
        <w:rPr>
          <w:sz w:val="20"/>
          <w:szCs w:val="20"/>
        </w:rPr>
        <w:t>s) and to document the eradication of the isolated pathoge</w:t>
      </w:r>
      <w:r w:rsidR="00B405E1" w:rsidRPr="00F11A18">
        <w:rPr>
          <w:sz w:val="20"/>
          <w:szCs w:val="20"/>
        </w:rPr>
        <w:t>n (</w:t>
      </w:r>
      <w:r w:rsidRPr="00F11A18">
        <w:rPr>
          <w:sz w:val="20"/>
          <w:szCs w:val="20"/>
        </w:rPr>
        <w:t>s). A new episode was defined as positive blood culture after a new cycle of chemotherapy.</w:t>
      </w:r>
    </w:p>
    <w:p w:rsidR="000B2401" w:rsidRPr="00F11A18" w:rsidRDefault="00C41A33" w:rsidP="00B41B23">
      <w:pPr>
        <w:pStyle w:val="BodyText"/>
        <w:snapToGrid w:val="0"/>
        <w:ind w:left="0" w:firstLine="425"/>
        <w:jc w:val="both"/>
        <w:rPr>
          <w:sz w:val="20"/>
          <w:szCs w:val="20"/>
        </w:rPr>
      </w:pPr>
      <w:r w:rsidRPr="00F11A18">
        <w:rPr>
          <w:sz w:val="20"/>
          <w:szCs w:val="20"/>
        </w:rPr>
        <w:t>MDR-GNB was defined as resistance to at least one agent in at least three antimicrobial classes of the following five classes</w:t>
      </w:r>
      <w:r w:rsidRPr="00F11A18">
        <w:rPr>
          <w:color w:val="221F1F"/>
          <w:sz w:val="20"/>
          <w:szCs w:val="20"/>
          <w:vertAlign w:val="superscript"/>
        </w:rPr>
        <w:t>10</w:t>
      </w:r>
      <w:r w:rsidRPr="00F11A18">
        <w:rPr>
          <w:sz w:val="20"/>
          <w:szCs w:val="20"/>
        </w:rPr>
        <w:t xml:space="preserve">: cephalosporins (cefepime, ceftazidime), </w:t>
      </w:r>
      <w:r w:rsidRPr="00F11A18">
        <w:rPr>
          <w:i/>
          <w:sz w:val="20"/>
          <w:szCs w:val="20"/>
        </w:rPr>
        <w:t>β</w:t>
      </w:r>
      <w:r w:rsidRPr="00F11A18">
        <w:rPr>
          <w:sz w:val="20"/>
          <w:szCs w:val="20"/>
        </w:rPr>
        <w:t xml:space="preserve">- lactam/ </w:t>
      </w:r>
      <w:r w:rsidRPr="00F11A18">
        <w:rPr>
          <w:i/>
          <w:sz w:val="20"/>
          <w:szCs w:val="20"/>
        </w:rPr>
        <w:t xml:space="preserve">β </w:t>
      </w:r>
      <w:r w:rsidRPr="00F11A18">
        <w:rPr>
          <w:sz w:val="20"/>
          <w:szCs w:val="20"/>
        </w:rPr>
        <w:t>- lactamase inhibitor combination (piperacillin, piperacillin/tazobactam), carbapenems (imipenem</w:t>
      </w:r>
      <w:r w:rsidR="00B41B23" w:rsidRPr="00F11A18">
        <w:rPr>
          <w:sz w:val="20"/>
          <w:szCs w:val="20"/>
        </w:rPr>
        <w:t>, m</w:t>
      </w:r>
      <w:r w:rsidRPr="00F11A18">
        <w:rPr>
          <w:sz w:val="20"/>
          <w:szCs w:val="20"/>
        </w:rPr>
        <w:t>eropenem, doripenem), fluoroquinolones (ciprofloxacin or levofloxacin) and aminoglycosides (gentamicin, tobramycin or amikacin).</w:t>
      </w:r>
    </w:p>
    <w:p w:rsidR="000B2401" w:rsidRPr="00F11A18" w:rsidRDefault="00C41A33" w:rsidP="00B41B23">
      <w:pPr>
        <w:snapToGrid w:val="0"/>
        <w:ind w:firstLine="425"/>
        <w:jc w:val="both"/>
        <w:rPr>
          <w:sz w:val="20"/>
          <w:szCs w:val="20"/>
        </w:rPr>
      </w:pPr>
      <w:r w:rsidRPr="00F11A18">
        <w:rPr>
          <w:sz w:val="20"/>
          <w:szCs w:val="20"/>
        </w:rPr>
        <w:t xml:space="preserve">There were 3 types of MDR gram negative organisms analyzed in our study; (a) fermenters which included </w:t>
      </w:r>
      <w:r w:rsidRPr="00F11A18">
        <w:rPr>
          <w:i/>
          <w:sz w:val="20"/>
          <w:szCs w:val="20"/>
        </w:rPr>
        <w:t>E-coli</w:t>
      </w:r>
      <w:r w:rsidRPr="00F11A18">
        <w:rPr>
          <w:sz w:val="20"/>
          <w:szCs w:val="20"/>
        </w:rPr>
        <w:t xml:space="preserve">, </w:t>
      </w:r>
      <w:r w:rsidRPr="00F11A18">
        <w:rPr>
          <w:i/>
          <w:sz w:val="20"/>
          <w:szCs w:val="20"/>
        </w:rPr>
        <w:t>Enterobacter</w:t>
      </w:r>
      <w:r w:rsidR="00F11A18">
        <w:rPr>
          <w:rFonts w:eastAsiaTheme="minorEastAsia" w:hint="eastAsia"/>
          <w:i/>
          <w:sz w:val="20"/>
          <w:szCs w:val="20"/>
          <w:lang w:eastAsia="zh-CN"/>
        </w:rPr>
        <w:t xml:space="preserve"> </w:t>
      </w:r>
      <w:r w:rsidRPr="00F11A18">
        <w:rPr>
          <w:sz w:val="20"/>
          <w:szCs w:val="20"/>
        </w:rPr>
        <w:t xml:space="preserve">and </w:t>
      </w:r>
      <w:r w:rsidRPr="00F11A18">
        <w:rPr>
          <w:i/>
          <w:sz w:val="20"/>
          <w:szCs w:val="20"/>
        </w:rPr>
        <w:t>Citrobacter</w:t>
      </w:r>
      <w:r w:rsidRPr="00F11A18">
        <w:rPr>
          <w:sz w:val="20"/>
          <w:szCs w:val="20"/>
        </w:rPr>
        <w:t xml:space="preserve">, (b) non –fermenters which included </w:t>
      </w:r>
      <w:r w:rsidRPr="00F11A18">
        <w:rPr>
          <w:i/>
          <w:sz w:val="20"/>
          <w:szCs w:val="20"/>
        </w:rPr>
        <w:t>Acinetobacter</w:t>
      </w:r>
      <w:r w:rsidR="00F11A18">
        <w:rPr>
          <w:rFonts w:eastAsiaTheme="minorEastAsia" w:hint="eastAsia"/>
          <w:i/>
          <w:sz w:val="20"/>
          <w:szCs w:val="20"/>
          <w:lang w:eastAsia="zh-CN"/>
        </w:rPr>
        <w:t xml:space="preserve"> </w:t>
      </w:r>
      <w:r w:rsidRPr="00F11A18">
        <w:rPr>
          <w:sz w:val="20"/>
          <w:szCs w:val="20"/>
        </w:rPr>
        <w:t xml:space="preserve">and </w:t>
      </w:r>
      <w:r w:rsidRPr="00F11A18">
        <w:rPr>
          <w:i/>
          <w:sz w:val="20"/>
          <w:szCs w:val="20"/>
        </w:rPr>
        <w:t>Pseudomonas</w:t>
      </w:r>
      <w:r w:rsidRPr="00F11A18">
        <w:rPr>
          <w:sz w:val="20"/>
          <w:szCs w:val="20"/>
        </w:rPr>
        <w:t xml:space="preserve">, and (c) </w:t>
      </w:r>
      <w:r w:rsidRPr="00F11A18">
        <w:rPr>
          <w:i/>
          <w:sz w:val="20"/>
          <w:szCs w:val="20"/>
        </w:rPr>
        <w:t>Klebsiella</w:t>
      </w:r>
      <w:r w:rsidR="00F11A18">
        <w:rPr>
          <w:rFonts w:eastAsiaTheme="minorEastAsia" w:hint="eastAsia"/>
          <w:i/>
          <w:sz w:val="20"/>
          <w:szCs w:val="20"/>
          <w:lang w:eastAsia="zh-CN"/>
        </w:rPr>
        <w:t xml:space="preserve"> </w:t>
      </w:r>
      <w:r w:rsidRPr="00F11A18">
        <w:rPr>
          <w:sz w:val="20"/>
          <w:szCs w:val="20"/>
        </w:rPr>
        <w:t>species.</w:t>
      </w:r>
    </w:p>
    <w:p w:rsidR="000B2401" w:rsidRPr="00F11A18" w:rsidRDefault="00C41A33" w:rsidP="00B41B23">
      <w:pPr>
        <w:pStyle w:val="BodyText"/>
        <w:snapToGrid w:val="0"/>
        <w:ind w:left="0" w:firstLine="425"/>
        <w:jc w:val="both"/>
        <w:rPr>
          <w:sz w:val="20"/>
          <w:szCs w:val="20"/>
        </w:rPr>
      </w:pPr>
      <w:r w:rsidRPr="00F11A18">
        <w:rPr>
          <w:sz w:val="20"/>
          <w:szCs w:val="20"/>
        </w:rPr>
        <w:t>Patients started their empirical treatment either with piperacillin/tazobactam or meropenem (with or without amikacin). Initial antimicrobial treatment was considered inappropriate if the treatment regimen did not include at least one antibiotic active against the microorganism in vitro. Empirical therapy was modified either empirically according to general condition (vital signs and clinically documented infection) or according to result of blood culture and sensitivity by shifting from antimicrobial agent to another agent (like meropenem) or by adding polymyxin E and/or tigecycline.</w:t>
      </w:r>
    </w:p>
    <w:p w:rsidR="00C41A33" w:rsidRPr="00F11A18" w:rsidRDefault="00C41A33" w:rsidP="00B41B23">
      <w:pPr>
        <w:pStyle w:val="BodyText"/>
        <w:snapToGrid w:val="0"/>
        <w:ind w:left="0" w:firstLine="425"/>
        <w:jc w:val="both"/>
        <w:rPr>
          <w:sz w:val="20"/>
          <w:szCs w:val="20"/>
        </w:rPr>
      </w:pPr>
      <w:r w:rsidRPr="00F11A18">
        <w:rPr>
          <w:sz w:val="20"/>
          <w:szCs w:val="20"/>
        </w:rPr>
        <w:t xml:space="preserve">Seventy two episodes of MDR gram negative bacteremias were recorded in 65 patients with hematological malignancies. Collected data during each episode included age, sex, underlying hematological malignancy, disease status, vital status, admission to intensive care unit (ICU), focus of infection, total leucocytic count (TLC), platelet count, hemoglobin count, liver function tests, renal function tests, serum electrolytes, coagulation profile, type of organism, number of organisms per episode, first line of antibiotics used, modification of treatment and </w:t>
      </w:r>
      <w:r w:rsidRPr="00F11A18">
        <w:rPr>
          <w:sz w:val="20"/>
          <w:szCs w:val="20"/>
        </w:rPr>
        <w:lastRenderedPageBreak/>
        <w:t>history of previous cultures with MDR organisms within the last 3 months. Toxicity criteria were recorded according to Common Terminology Criteria for Adverse Events (CTCAE)</w:t>
      </w:r>
      <w:r w:rsidRPr="00F11A18">
        <w:rPr>
          <w:color w:val="221F1F"/>
          <w:sz w:val="20"/>
          <w:szCs w:val="20"/>
          <w:vertAlign w:val="superscript"/>
        </w:rPr>
        <w:t>11</w:t>
      </w:r>
      <w:r w:rsidRPr="00F11A18">
        <w:rPr>
          <w:color w:val="221F1F"/>
          <w:sz w:val="20"/>
          <w:szCs w:val="20"/>
        </w:rPr>
        <w:t xml:space="preserve"> as emphasized in (Appendix1).</w:t>
      </w:r>
    </w:p>
    <w:p w:rsidR="000B2401" w:rsidRPr="00F11A18" w:rsidRDefault="00C41A33" w:rsidP="00B41B23">
      <w:pPr>
        <w:pStyle w:val="BodyText"/>
        <w:snapToGrid w:val="0"/>
        <w:ind w:left="0"/>
        <w:jc w:val="both"/>
        <w:rPr>
          <w:b/>
          <w:bCs/>
          <w:sz w:val="20"/>
          <w:szCs w:val="20"/>
        </w:rPr>
      </w:pPr>
      <w:r w:rsidRPr="00F11A18">
        <w:rPr>
          <w:b/>
          <w:bCs/>
          <w:sz w:val="20"/>
          <w:szCs w:val="20"/>
        </w:rPr>
        <w:t>End Points and Statistical Methods</w:t>
      </w:r>
    </w:p>
    <w:p w:rsidR="000B2401" w:rsidRPr="00F11A18" w:rsidRDefault="00C41A33" w:rsidP="00B41B23">
      <w:pPr>
        <w:pStyle w:val="BodyText"/>
        <w:snapToGrid w:val="0"/>
        <w:ind w:left="0" w:firstLine="425"/>
        <w:jc w:val="both"/>
        <w:rPr>
          <w:sz w:val="20"/>
          <w:szCs w:val="20"/>
        </w:rPr>
      </w:pPr>
      <w:r w:rsidRPr="00F11A18">
        <w:rPr>
          <w:sz w:val="20"/>
          <w:szCs w:val="20"/>
        </w:rPr>
        <w:t>Outcome was assessed during and at completion of each episode. Outcome was categorized as (favorable) if all of the following criteria were found: patient became a</w:t>
      </w:r>
      <w:r w:rsidR="00F11A18" w:rsidRPr="00F11A18">
        <w:rPr>
          <w:rFonts w:eastAsiaTheme="minorEastAsia" w:hint="eastAsia"/>
          <w:sz w:val="20"/>
          <w:szCs w:val="20"/>
          <w:lang w:eastAsia="zh-CN"/>
        </w:rPr>
        <w:t xml:space="preserve"> </w:t>
      </w:r>
      <w:r w:rsidRPr="00F11A18">
        <w:rPr>
          <w:sz w:val="20"/>
          <w:szCs w:val="20"/>
        </w:rPr>
        <w:t>febrile (&lt; 38˚c) for at least 3 consecutive days, clearance of signs and symptoms of infection and eradication of isolated infectious microorganism or (unfavorable) if the episode ended up with death.</w:t>
      </w:r>
    </w:p>
    <w:p w:rsidR="000B2401" w:rsidRPr="00F11A18" w:rsidRDefault="00C41A33" w:rsidP="00B41B23">
      <w:pPr>
        <w:pStyle w:val="BodyText"/>
        <w:snapToGrid w:val="0"/>
        <w:ind w:left="0" w:firstLine="425"/>
        <w:jc w:val="both"/>
        <w:rPr>
          <w:sz w:val="20"/>
          <w:szCs w:val="20"/>
        </w:rPr>
      </w:pPr>
      <w:r w:rsidRPr="00F11A18">
        <w:rPr>
          <w:sz w:val="20"/>
          <w:szCs w:val="20"/>
        </w:rPr>
        <w:t>Numerical data were expressed as mean and standard deviation or median and range as appropriate. Qualitative data were expressed as frequency and percentage. Chi-square test or Fisher’s exact test was used to examine the relation between qualitative variables. For not normally distributed quantitative data, comparison between two groups was done using Mann- Whitney test (non-parametric t-test). All tests were two-tailed. A p-value &lt; 0.05 was considered significant.</w:t>
      </w:r>
    </w:p>
    <w:p w:rsidR="000B2401" w:rsidRPr="00F11A18" w:rsidRDefault="000B2401" w:rsidP="00B41B23">
      <w:pPr>
        <w:pStyle w:val="BodyText"/>
        <w:snapToGrid w:val="0"/>
        <w:ind w:left="0" w:firstLine="425"/>
        <w:jc w:val="both"/>
        <w:rPr>
          <w:sz w:val="20"/>
          <w:szCs w:val="20"/>
        </w:rPr>
      </w:pPr>
    </w:p>
    <w:p w:rsidR="000B2401" w:rsidRPr="00F11A18" w:rsidRDefault="00EB24D8" w:rsidP="00B41B23">
      <w:pPr>
        <w:pStyle w:val="Heading1"/>
        <w:snapToGrid w:val="0"/>
        <w:ind w:left="0"/>
        <w:jc w:val="both"/>
        <w:rPr>
          <w:sz w:val="20"/>
          <w:szCs w:val="20"/>
        </w:rPr>
      </w:pPr>
      <w:r w:rsidRPr="00F11A18">
        <w:rPr>
          <w:sz w:val="20"/>
          <w:szCs w:val="20"/>
        </w:rPr>
        <w:t xml:space="preserve">3. </w:t>
      </w:r>
      <w:r w:rsidR="00C41A33" w:rsidRPr="00F11A18">
        <w:rPr>
          <w:sz w:val="20"/>
          <w:szCs w:val="20"/>
        </w:rPr>
        <w:t>Results</w:t>
      </w:r>
    </w:p>
    <w:p w:rsidR="000B2401" w:rsidRPr="00F11A18" w:rsidRDefault="00C41A33" w:rsidP="00B41B23">
      <w:pPr>
        <w:pStyle w:val="ListParagraph"/>
        <w:snapToGrid w:val="0"/>
        <w:ind w:left="0" w:firstLine="0"/>
        <w:jc w:val="both"/>
        <w:rPr>
          <w:b/>
          <w:sz w:val="20"/>
          <w:szCs w:val="20"/>
        </w:rPr>
      </w:pPr>
      <w:r w:rsidRPr="00F11A18">
        <w:rPr>
          <w:b/>
          <w:sz w:val="20"/>
          <w:szCs w:val="20"/>
        </w:rPr>
        <w:t>Patient</w:t>
      </w:r>
      <w:r w:rsidR="009A440F" w:rsidRPr="00F11A18">
        <w:rPr>
          <w:b/>
          <w:sz w:val="20"/>
          <w:szCs w:val="20"/>
        </w:rPr>
        <w:t>s C</w:t>
      </w:r>
      <w:r w:rsidRPr="00F11A18">
        <w:rPr>
          <w:b/>
          <w:sz w:val="20"/>
          <w:szCs w:val="20"/>
        </w:rPr>
        <w:t>haracteristics</w:t>
      </w:r>
    </w:p>
    <w:p w:rsidR="000B2401" w:rsidRPr="00F11A18" w:rsidRDefault="00C41A33" w:rsidP="00B41B23">
      <w:pPr>
        <w:pStyle w:val="BodyText"/>
        <w:snapToGrid w:val="0"/>
        <w:ind w:left="0" w:firstLine="425"/>
        <w:jc w:val="both"/>
        <w:rPr>
          <w:sz w:val="20"/>
          <w:szCs w:val="20"/>
        </w:rPr>
      </w:pPr>
      <w:r w:rsidRPr="00F11A18">
        <w:rPr>
          <w:color w:val="121312"/>
          <w:sz w:val="20"/>
          <w:szCs w:val="20"/>
        </w:rPr>
        <w:t xml:space="preserve">This study included 65 patients with hematological malignancies who developed 72 episodes of bacteremia with MDR gram negative organisms (GNOs). All parameters were assessed as regards to number of episodes rather than number of patients. The </w:t>
      </w:r>
      <w:r w:rsidRPr="00F11A18">
        <w:rPr>
          <w:sz w:val="20"/>
          <w:szCs w:val="20"/>
        </w:rPr>
        <w:t>median age at diagnosis was 7 years (range from 1 to 18 years) and male to female ratio was 1.48:1.</w:t>
      </w:r>
    </w:p>
    <w:p w:rsidR="000B2401" w:rsidRPr="00F11A18" w:rsidRDefault="00C41A33" w:rsidP="00B41B23">
      <w:pPr>
        <w:pStyle w:val="BodyText"/>
        <w:snapToGrid w:val="0"/>
        <w:ind w:left="0" w:firstLine="425"/>
        <w:jc w:val="both"/>
        <w:rPr>
          <w:sz w:val="20"/>
          <w:szCs w:val="20"/>
        </w:rPr>
      </w:pPr>
      <w:r w:rsidRPr="00F11A18">
        <w:rPr>
          <w:sz w:val="20"/>
          <w:szCs w:val="20"/>
        </w:rPr>
        <w:t xml:space="preserve">The majority of episodes (48.6%) occurred in patients diagnosed with acute myeloid leukemia (AML). </w:t>
      </w:r>
      <w:r w:rsidRPr="00F11A18">
        <w:rPr>
          <w:color w:val="121312"/>
          <w:sz w:val="20"/>
          <w:szCs w:val="20"/>
        </w:rPr>
        <w:t>Patients’ characteristics and laboratory findings were summarized in tables (1) and (2), respectively.</w:t>
      </w:r>
    </w:p>
    <w:p w:rsidR="000B2401" w:rsidRPr="00F11A18" w:rsidRDefault="00C41A33" w:rsidP="00B41B23">
      <w:pPr>
        <w:pStyle w:val="BodyText"/>
        <w:snapToGrid w:val="0"/>
        <w:ind w:left="0" w:firstLine="425"/>
        <w:jc w:val="both"/>
        <w:rPr>
          <w:sz w:val="20"/>
          <w:szCs w:val="20"/>
        </w:rPr>
      </w:pPr>
      <w:r w:rsidRPr="00F11A18">
        <w:rPr>
          <w:sz w:val="20"/>
          <w:szCs w:val="20"/>
        </w:rPr>
        <w:t>Total number of collected blood cultures was 118 in 72 episodes. In 61/72 episodes, single MDR-gram negative organism was isolated, while in 11 episodes more than one organism was isolated. Frequency of isolated organisms and their susceptibility to different antimicrobial agents are illustrated in tables (3, 4) and figure (1).</w:t>
      </w:r>
    </w:p>
    <w:p w:rsidR="000B2401" w:rsidRPr="00F11A18" w:rsidRDefault="00C41A33" w:rsidP="00B41B23">
      <w:pPr>
        <w:pStyle w:val="BodyText"/>
        <w:snapToGrid w:val="0"/>
        <w:ind w:left="0" w:firstLine="425"/>
        <w:jc w:val="both"/>
        <w:rPr>
          <w:sz w:val="20"/>
          <w:szCs w:val="20"/>
        </w:rPr>
      </w:pPr>
      <w:r w:rsidRPr="00F11A18">
        <w:rPr>
          <w:sz w:val="20"/>
          <w:szCs w:val="20"/>
        </w:rPr>
        <w:t xml:space="preserve">Piperacillin / tazobactam was the first line agent used in 62/72 episodes (86.1%). It was used as a single agent in 27 episodes, while was used in combination with amikacin in the remaining 35 episodes. Out of the whole 62 episodes (where piperacillin / tazobactam was used as a first line), there was a culture history of MDR-GNB (within 3 months before the episode) in only 5 episodes. Mortality due to sepsis occurred in 4 / 5 episodes. Carbapenems were used as the first line </w:t>
      </w:r>
      <w:r w:rsidRPr="00F11A18">
        <w:rPr>
          <w:sz w:val="20"/>
          <w:szCs w:val="20"/>
        </w:rPr>
        <w:lastRenderedPageBreak/>
        <w:t>agent in 10/72 episodes (13.9%). Meropenem was used as a single agent in 5 episodes, in combination with amikacin in 3 episodes and in combination with amikacin and colistin in 2 episodes. Out of those whole 10 episodes (where carbapenems were used as a first line), there was a culture history of MDR-GNB (within 3 months before the episode) in 3 episodes. All of the 3 episodes passed uneventful with favorable</w:t>
      </w:r>
      <w:r w:rsidR="00F11A18">
        <w:rPr>
          <w:rFonts w:eastAsiaTheme="minorEastAsia" w:hint="eastAsia"/>
          <w:sz w:val="20"/>
          <w:szCs w:val="20"/>
          <w:lang w:eastAsia="zh-CN"/>
        </w:rPr>
        <w:t xml:space="preserve"> </w:t>
      </w:r>
      <w:r w:rsidRPr="00F11A18">
        <w:rPr>
          <w:sz w:val="20"/>
          <w:szCs w:val="20"/>
        </w:rPr>
        <w:t>outcome.</w:t>
      </w:r>
    </w:p>
    <w:p w:rsidR="000B2401" w:rsidRPr="00F11A18" w:rsidRDefault="00C41A33" w:rsidP="00B41B23">
      <w:pPr>
        <w:pStyle w:val="BodyText"/>
        <w:snapToGrid w:val="0"/>
        <w:ind w:left="0" w:firstLine="425"/>
        <w:jc w:val="both"/>
        <w:rPr>
          <w:sz w:val="20"/>
          <w:szCs w:val="20"/>
        </w:rPr>
      </w:pPr>
      <w:r w:rsidRPr="00F11A18">
        <w:rPr>
          <w:sz w:val="20"/>
          <w:szCs w:val="20"/>
        </w:rPr>
        <w:t>Carbapenems were used as a second line agent in 58 out of the 62 episodes where piperacillin / tazobactam</w:t>
      </w:r>
      <w:r w:rsidR="00F11A18">
        <w:rPr>
          <w:rFonts w:eastAsiaTheme="minorEastAsia" w:hint="eastAsia"/>
          <w:sz w:val="20"/>
          <w:szCs w:val="20"/>
          <w:lang w:eastAsia="zh-CN"/>
        </w:rPr>
        <w:t xml:space="preserve"> </w:t>
      </w:r>
      <w:r w:rsidRPr="00F11A18">
        <w:rPr>
          <w:sz w:val="20"/>
          <w:szCs w:val="20"/>
        </w:rPr>
        <w:t>was used as the first line (93.5%). Out of the whole 72 episodes, colistin was added in 28 episodes (38.9%) while tigecycline was added in 19 episodes (26.4%). In total, 65 out of the whole 72 episodes (90%) had treatment modifications (either by switching to carbapenems as a 2</w:t>
      </w:r>
      <w:r w:rsidRPr="00F11A18">
        <w:rPr>
          <w:sz w:val="20"/>
          <w:szCs w:val="20"/>
          <w:vertAlign w:val="superscript"/>
        </w:rPr>
        <w:t>nd</w:t>
      </w:r>
      <w:r w:rsidRPr="00F11A18">
        <w:rPr>
          <w:sz w:val="20"/>
          <w:szCs w:val="20"/>
        </w:rPr>
        <w:t xml:space="preserve"> line or by adding another anti-gram negative agents); 37 episodes were based on results of culture</w:t>
      </w:r>
      <w:r w:rsidR="00B405E1" w:rsidRPr="00F11A18">
        <w:rPr>
          <w:sz w:val="20"/>
          <w:szCs w:val="20"/>
        </w:rPr>
        <w:t xml:space="preserve"> &amp; </w:t>
      </w:r>
      <w:r w:rsidRPr="00F11A18">
        <w:rPr>
          <w:sz w:val="20"/>
          <w:szCs w:val="20"/>
        </w:rPr>
        <w:t xml:space="preserve">sensitivity, 18 episodes </w:t>
      </w:r>
      <w:r w:rsidRPr="00F11A18">
        <w:rPr>
          <w:sz w:val="20"/>
          <w:szCs w:val="20"/>
        </w:rPr>
        <w:lastRenderedPageBreak/>
        <w:t>were based on vital instability, while 10 episodes were based on clinical focus of infection. The median duration of treatment modifications was 10 days (ranging from 1 to 33</w:t>
      </w:r>
      <w:r w:rsidR="007457A4">
        <w:rPr>
          <w:rFonts w:eastAsiaTheme="minorEastAsia" w:hint="eastAsia"/>
          <w:sz w:val="20"/>
          <w:szCs w:val="20"/>
          <w:lang w:eastAsia="zh-CN"/>
        </w:rPr>
        <w:t xml:space="preserve"> </w:t>
      </w:r>
      <w:r w:rsidRPr="00F11A18">
        <w:rPr>
          <w:sz w:val="20"/>
          <w:szCs w:val="20"/>
        </w:rPr>
        <w:t>days).</w:t>
      </w:r>
    </w:p>
    <w:p w:rsidR="000B2401" w:rsidRPr="00F11A18" w:rsidRDefault="00C41A33" w:rsidP="00B41B23">
      <w:pPr>
        <w:pStyle w:val="Heading1"/>
        <w:snapToGrid w:val="0"/>
        <w:ind w:left="0"/>
        <w:jc w:val="both"/>
        <w:rPr>
          <w:sz w:val="20"/>
          <w:szCs w:val="20"/>
        </w:rPr>
      </w:pPr>
      <w:r w:rsidRPr="00F11A18">
        <w:rPr>
          <w:sz w:val="20"/>
          <w:szCs w:val="20"/>
        </w:rPr>
        <w:t>Mortality and its Relation to Different Variables</w:t>
      </w:r>
    </w:p>
    <w:p w:rsidR="000B2401" w:rsidRPr="00F11A18" w:rsidRDefault="00C41A33" w:rsidP="00B41B23">
      <w:pPr>
        <w:pStyle w:val="BodyText"/>
        <w:snapToGrid w:val="0"/>
        <w:ind w:left="0" w:firstLine="425"/>
        <w:jc w:val="both"/>
        <w:rPr>
          <w:sz w:val="20"/>
          <w:szCs w:val="20"/>
        </w:rPr>
      </w:pPr>
      <w:r w:rsidRPr="00F11A18">
        <w:rPr>
          <w:sz w:val="20"/>
          <w:szCs w:val="20"/>
        </w:rPr>
        <w:t>The mortality rate for the whole episodes was 56.9%. Univariate analysis revealed statistically higher mortality rate among patients with AML (P=0.045), in relapse (P=0.007), vital instability (P&lt;0.001), ICU admission (P&lt;0.001), TLC &lt;500/cc (P=0.003), platelet count less than 20,000/cc (P=0.004), impaired electrolytes (P=0.003), impaired liver function tests (P=0.014), impaired renal function tests (P=0.001), coagulopathy (P=0.001), history of previous culture of MDR-GNB who started their treatment with piperacillin/tazobactam (P=0.041), and treatment modification based on vital instability (P=0.004). Other risk factors didn’t show statistical impact on mortality (Table</w:t>
      </w:r>
      <w:r w:rsidR="007457A4">
        <w:rPr>
          <w:rFonts w:eastAsiaTheme="minorEastAsia" w:hint="eastAsia"/>
          <w:sz w:val="20"/>
          <w:szCs w:val="20"/>
          <w:lang w:eastAsia="zh-CN"/>
        </w:rPr>
        <w:t xml:space="preserve"> </w:t>
      </w:r>
      <w:r w:rsidRPr="00F11A18">
        <w:rPr>
          <w:sz w:val="20"/>
          <w:szCs w:val="20"/>
        </w:rPr>
        <w:t>5).</w:t>
      </w:r>
    </w:p>
    <w:p w:rsidR="00B41B23" w:rsidRPr="00F11A18" w:rsidRDefault="00B41B23" w:rsidP="00B41B23">
      <w:pPr>
        <w:pStyle w:val="BodyText"/>
        <w:snapToGrid w:val="0"/>
        <w:ind w:left="0"/>
        <w:jc w:val="center"/>
        <w:rPr>
          <w:sz w:val="20"/>
          <w:szCs w:val="20"/>
        </w:rPr>
        <w:sectPr w:rsidR="00B41B23" w:rsidRPr="00F11A18" w:rsidSect="00B41B23">
          <w:type w:val="continuous"/>
          <w:pgSz w:w="12240" w:h="15840" w:code="1"/>
          <w:pgMar w:top="1440" w:right="1440" w:bottom="1440" w:left="1440" w:header="720" w:footer="720" w:gutter="0"/>
          <w:cols w:num="2" w:space="550"/>
          <w:docGrid w:linePitch="299"/>
        </w:sectPr>
      </w:pPr>
    </w:p>
    <w:p w:rsidR="000B2401" w:rsidRPr="00F11A18" w:rsidRDefault="000B2401" w:rsidP="00B41B23">
      <w:pPr>
        <w:pStyle w:val="BodyText"/>
        <w:snapToGrid w:val="0"/>
        <w:ind w:left="0"/>
        <w:jc w:val="center"/>
        <w:rPr>
          <w:sz w:val="20"/>
          <w:szCs w:val="20"/>
        </w:rPr>
      </w:pPr>
    </w:p>
    <w:p w:rsidR="000B2401" w:rsidRPr="00F11A18" w:rsidRDefault="00C64926" w:rsidP="00B41B23">
      <w:pPr>
        <w:pStyle w:val="Heading1"/>
        <w:snapToGrid w:val="0"/>
        <w:ind w:left="0"/>
        <w:jc w:val="center"/>
        <w:rPr>
          <w:sz w:val="20"/>
          <w:szCs w:val="20"/>
        </w:rPr>
      </w:pPr>
      <w:r w:rsidRPr="00F11A18">
        <w:rPr>
          <w:sz w:val="20"/>
          <w:szCs w:val="20"/>
        </w:rPr>
        <w:t xml:space="preserve">Table </w:t>
      </w:r>
      <w:r w:rsidR="00C41A33" w:rsidRPr="00F11A18">
        <w:rPr>
          <w:sz w:val="20"/>
          <w:szCs w:val="20"/>
        </w:rPr>
        <w:t>(1): Characteristics of the whole cohort of patients</w:t>
      </w:r>
    </w:p>
    <w:tbl>
      <w:tblPr>
        <w:tblW w:w="5000" w:type="pct"/>
        <w:jc w:val="center"/>
        <w:tblCellMar>
          <w:left w:w="57" w:type="dxa"/>
          <w:right w:w="57" w:type="dxa"/>
        </w:tblCellMar>
        <w:tblLook w:val="01E0"/>
      </w:tblPr>
      <w:tblGrid>
        <w:gridCol w:w="7520"/>
        <w:gridCol w:w="1954"/>
      </w:tblGrid>
      <w:tr w:rsidR="000B2401" w:rsidRPr="00F11A18" w:rsidTr="00B405E1">
        <w:trPr>
          <w:jc w:val="center"/>
        </w:trPr>
        <w:tc>
          <w:tcPr>
            <w:tcW w:w="3969" w:type="pct"/>
            <w:tcBorders>
              <w:top w:val="single" w:sz="4" w:space="0" w:color="000000"/>
              <w:left w:val="single" w:sz="4" w:space="0" w:color="000000"/>
              <w:bottom w:val="single" w:sz="4" w:space="0" w:color="000000"/>
              <w:righ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Characteristic</w:t>
            </w:r>
          </w:p>
        </w:tc>
        <w:tc>
          <w:tcPr>
            <w:tcW w:w="1031" w:type="pct"/>
            <w:tcBorders>
              <w:top w:val="single" w:sz="4" w:space="0" w:color="000000"/>
              <w:left w:val="single" w:sz="4" w:space="0" w:color="000000"/>
              <w:bottom w:val="single" w:sz="4" w:space="0" w:color="000000"/>
              <w:righ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N (%)</w:t>
            </w:r>
          </w:p>
        </w:tc>
      </w:tr>
      <w:tr w:rsidR="000B2401" w:rsidRPr="00F11A18" w:rsidTr="00B405E1">
        <w:trPr>
          <w:jc w:val="center"/>
        </w:trPr>
        <w:tc>
          <w:tcPr>
            <w:tcW w:w="3969" w:type="pct"/>
            <w:tcBorders>
              <w:top w:val="single" w:sz="4" w:space="0" w:color="000000"/>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Total number of episodes</w:t>
            </w:r>
          </w:p>
        </w:tc>
        <w:tc>
          <w:tcPr>
            <w:tcW w:w="1031" w:type="pct"/>
            <w:tcBorders>
              <w:top w:val="single" w:sz="4" w:space="0" w:color="000000"/>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72</w:t>
            </w:r>
          </w:p>
        </w:tc>
      </w:tr>
      <w:tr w:rsidR="000B2401" w:rsidRPr="00F11A18" w:rsidTr="00B405E1">
        <w:trPr>
          <w:jc w:val="center"/>
        </w:trPr>
        <w:tc>
          <w:tcPr>
            <w:tcW w:w="3969"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Sex</w:t>
            </w:r>
          </w:p>
          <w:p w:rsidR="000B2401" w:rsidRPr="00F11A18" w:rsidRDefault="00C41A33" w:rsidP="00B41B23">
            <w:pPr>
              <w:pStyle w:val="TableParagraph"/>
              <w:snapToGrid w:val="0"/>
              <w:ind w:left="0"/>
              <w:jc w:val="both"/>
              <w:rPr>
                <w:sz w:val="20"/>
                <w:szCs w:val="20"/>
              </w:rPr>
            </w:pPr>
            <w:r w:rsidRPr="00F11A18">
              <w:rPr>
                <w:sz w:val="20"/>
                <w:szCs w:val="20"/>
              </w:rPr>
              <w:t>Male</w:t>
            </w:r>
          </w:p>
          <w:p w:rsidR="000B2401" w:rsidRPr="00F11A18" w:rsidRDefault="00C41A33" w:rsidP="00B41B23">
            <w:pPr>
              <w:pStyle w:val="TableParagraph"/>
              <w:snapToGrid w:val="0"/>
              <w:ind w:left="0"/>
              <w:jc w:val="both"/>
              <w:rPr>
                <w:sz w:val="20"/>
                <w:szCs w:val="20"/>
              </w:rPr>
            </w:pPr>
            <w:r w:rsidRPr="00F11A18">
              <w:rPr>
                <w:sz w:val="20"/>
                <w:szCs w:val="20"/>
              </w:rPr>
              <w:t>Female</w:t>
            </w:r>
          </w:p>
        </w:tc>
        <w:tc>
          <w:tcPr>
            <w:tcW w:w="1031"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43(59.7)</w:t>
            </w:r>
          </w:p>
          <w:p w:rsidR="000B2401" w:rsidRPr="00F11A18" w:rsidRDefault="00C41A33" w:rsidP="00B41B23">
            <w:pPr>
              <w:pStyle w:val="TableParagraph"/>
              <w:snapToGrid w:val="0"/>
              <w:ind w:left="0"/>
              <w:jc w:val="both"/>
              <w:rPr>
                <w:sz w:val="20"/>
                <w:szCs w:val="20"/>
              </w:rPr>
            </w:pPr>
            <w:r w:rsidRPr="00F11A18">
              <w:rPr>
                <w:sz w:val="20"/>
                <w:szCs w:val="20"/>
              </w:rPr>
              <w:t>29(40.3)</w:t>
            </w:r>
          </w:p>
        </w:tc>
      </w:tr>
      <w:tr w:rsidR="000B2401" w:rsidRPr="00F11A18" w:rsidTr="00B405E1">
        <w:trPr>
          <w:jc w:val="center"/>
        </w:trPr>
        <w:tc>
          <w:tcPr>
            <w:tcW w:w="3969"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Age at diagnosis</w:t>
            </w:r>
          </w:p>
          <w:p w:rsidR="000B2401" w:rsidRPr="00F11A18" w:rsidRDefault="00C41A33" w:rsidP="00B41B23">
            <w:pPr>
              <w:pStyle w:val="TableParagraph"/>
              <w:snapToGrid w:val="0"/>
              <w:ind w:left="0"/>
              <w:jc w:val="both"/>
              <w:rPr>
                <w:sz w:val="20"/>
                <w:szCs w:val="20"/>
              </w:rPr>
            </w:pPr>
            <w:r w:rsidRPr="00F11A18">
              <w:rPr>
                <w:sz w:val="20"/>
                <w:szCs w:val="20"/>
              </w:rPr>
              <w:t>&lt; 5years</w:t>
            </w:r>
          </w:p>
          <w:p w:rsidR="000B2401" w:rsidRPr="00F11A18" w:rsidRDefault="00C41A33" w:rsidP="00B41B23">
            <w:pPr>
              <w:pStyle w:val="TableParagraph"/>
              <w:snapToGrid w:val="0"/>
              <w:ind w:left="0"/>
              <w:jc w:val="both"/>
              <w:rPr>
                <w:sz w:val="20"/>
                <w:szCs w:val="20"/>
              </w:rPr>
            </w:pPr>
            <w:r w:rsidRPr="00F11A18">
              <w:rPr>
                <w:sz w:val="20"/>
                <w:szCs w:val="20"/>
              </w:rPr>
              <w:t>≥ 5years</w:t>
            </w:r>
          </w:p>
          <w:p w:rsidR="000B2401" w:rsidRPr="00F11A18" w:rsidRDefault="00C41A33" w:rsidP="00B41B23">
            <w:pPr>
              <w:pStyle w:val="TableParagraph"/>
              <w:snapToGrid w:val="0"/>
              <w:ind w:left="0"/>
              <w:jc w:val="both"/>
              <w:rPr>
                <w:sz w:val="20"/>
                <w:szCs w:val="20"/>
              </w:rPr>
            </w:pPr>
            <w:r w:rsidRPr="00F11A18">
              <w:rPr>
                <w:sz w:val="20"/>
                <w:szCs w:val="20"/>
              </w:rPr>
              <w:t>Median ag</w:t>
            </w:r>
            <w:r w:rsidR="00B405E1" w:rsidRPr="00F11A18">
              <w:rPr>
                <w:sz w:val="20"/>
                <w:szCs w:val="20"/>
              </w:rPr>
              <w:t>e (</w:t>
            </w:r>
            <w:r w:rsidRPr="00F11A18">
              <w:rPr>
                <w:sz w:val="20"/>
                <w:szCs w:val="20"/>
              </w:rPr>
              <w:t>years)</w:t>
            </w:r>
          </w:p>
          <w:p w:rsidR="000B2401" w:rsidRPr="00F11A18" w:rsidRDefault="00C41A33" w:rsidP="00B41B23">
            <w:pPr>
              <w:pStyle w:val="TableParagraph"/>
              <w:snapToGrid w:val="0"/>
              <w:ind w:left="0"/>
              <w:jc w:val="both"/>
              <w:rPr>
                <w:sz w:val="20"/>
                <w:szCs w:val="20"/>
              </w:rPr>
            </w:pPr>
            <w:r w:rsidRPr="00F11A18">
              <w:rPr>
                <w:sz w:val="20"/>
                <w:szCs w:val="20"/>
              </w:rPr>
              <w:t>Range (min –max)</w:t>
            </w:r>
          </w:p>
        </w:tc>
        <w:tc>
          <w:tcPr>
            <w:tcW w:w="1031"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25(34.7)</w:t>
            </w:r>
          </w:p>
          <w:p w:rsidR="000B2401" w:rsidRPr="00F11A18" w:rsidRDefault="00C41A33" w:rsidP="00B41B23">
            <w:pPr>
              <w:pStyle w:val="TableParagraph"/>
              <w:snapToGrid w:val="0"/>
              <w:ind w:left="0"/>
              <w:jc w:val="both"/>
              <w:rPr>
                <w:sz w:val="20"/>
                <w:szCs w:val="20"/>
              </w:rPr>
            </w:pPr>
            <w:r w:rsidRPr="00F11A18">
              <w:rPr>
                <w:sz w:val="20"/>
                <w:szCs w:val="20"/>
              </w:rPr>
              <w:t>47(65.3)</w:t>
            </w:r>
          </w:p>
          <w:p w:rsidR="000B2401" w:rsidRPr="00F11A18" w:rsidRDefault="00C41A33" w:rsidP="00B41B23">
            <w:pPr>
              <w:pStyle w:val="TableParagraph"/>
              <w:snapToGrid w:val="0"/>
              <w:ind w:left="0"/>
              <w:jc w:val="both"/>
              <w:rPr>
                <w:sz w:val="20"/>
                <w:szCs w:val="20"/>
              </w:rPr>
            </w:pPr>
            <w:r w:rsidRPr="00F11A18">
              <w:rPr>
                <w:sz w:val="20"/>
                <w:szCs w:val="20"/>
              </w:rPr>
              <w:t>7</w:t>
            </w:r>
          </w:p>
          <w:p w:rsidR="000B2401" w:rsidRPr="00F11A18" w:rsidRDefault="00C41A33" w:rsidP="00B41B23">
            <w:pPr>
              <w:pStyle w:val="TableParagraph"/>
              <w:snapToGrid w:val="0"/>
              <w:ind w:left="0"/>
              <w:jc w:val="both"/>
              <w:rPr>
                <w:sz w:val="20"/>
                <w:szCs w:val="20"/>
              </w:rPr>
            </w:pPr>
            <w:r w:rsidRPr="00F11A18">
              <w:rPr>
                <w:sz w:val="20"/>
                <w:szCs w:val="20"/>
              </w:rPr>
              <w:t>1 – 18</w:t>
            </w:r>
          </w:p>
        </w:tc>
      </w:tr>
      <w:tr w:rsidR="000B2401" w:rsidRPr="00F11A18" w:rsidTr="00B405E1">
        <w:trPr>
          <w:jc w:val="center"/>
        </w:trPr>
        <w:tc>
          <w:tcPr>
            <w:tcW w:w="3969"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Diagnosis of the studied episodes</w:t>
            </w:r>
          </w:p>
          <w:p w:rsidR="000B2401" w:rsidRPr="00F11A18" w:rsidRDefault="00C41A33" w:rsidP="00B41B23">
            <w:pPr>
              <w:pStyle w:val="TableParagraph"/>
              <w:snapToGrid w:val="0"/>
              <w:ind w:left="0"/>
              <w:jc w:val="both"/>
              <w:rPr>
                <w:sz w:val="20"/>
                <w:szCs w:val="20"/>
              </w:rPr>
            </w:pPr>
            <w:r w:rsidRPr="00F11A18">
              <w:rPr>
                <w:sz w:val="20"/>
                <w:szCs w:val="20"/>
              </w:rPr>
              <w:t>AML</w:t>
            </w:r>
          </w:p>
          <w:p w:rsidR="000B2401" w:rsidRPr="00F11A18" w:rsidRDefault="00C41A33" w:rsidP="00B41B23">
            <w:pPr>
              <w:pStyle w:val="TableParagraph"/>
              <w:snapToGrid w:val="0"/>
              <w:ind w:left="0"/>
              <w:jc w:val="both"/>
              <w:rPr>
                <w:sz w:val="20"/>
                <w:szCs w:val="20"/>
              </w:rPr>
            </w:pPr>
            <w:r w:rsidRPr="00F11A18">
              <w:rPr>
                <w:sz w:val="20"/>
                <w:szCs w:val="20"/>
              </w:rPr>
              <w:t>ALL</w:t>
            </w:r>
          </w:p>
          <w:p w:rsidR="000B2401" w:rsidRPr="00F11A18" w:rsidRDefault="00C41A33" w:rsidP="00B41B23">
            <w:pPr>
              <w:pStyle w:val="TableParagraph"/>
              <w:snapToGrid w:val="0"/>
              <w:ind w:left="0"/>
              <w:jc w:val="both"/>
              <w:rPr>
                <w:sz w:val="20"/>
                <w:szCs w:val="20"/>
              </w:rPr>
            </w:pPr>
            <w:r w:rsidRPr="00F11A18">
              <w:rPr>
                <w:sz w:val="20"/>
                <w:szCs w:val="20"/>
              </w:rPr>
              <w:t>Lymphomas</w:t>
            </w:r>
          </w:p>
          <w:p w:rsidR="000B2401" w:rsidRPr="00F11A18" w:rsidRDefault="00C41A33" w:rsidP="00B41B23">
            <w:pPr>
              <w:pStyle w:val="TableParagraph"/>
              <w:snapToGrid w:val="0"/>
              <w:ind w:left="0"/>
              <w:jc w:val="both"/>
              <w:rPr>
                <w:sz w:val="20"/>
                <w:szCs w:val="20"/>
              </w:rPr>
            </w:pPr>
            <w:r w:rsidRPr="00F11A18">
              <w:rPr>
                <w:sz w:val="20"/>
                <w:szCs w:val="20"/>
              </w:rPr>
              <w:t>LCH</w:t>
            </w:r>
          </w:p>
        </w:tc>
        <w:tc>
          <w:tcPr>
            <w:tcW w:w="1031"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35(48.6)</w:t>
            </w:r>
          </w:p>
          <w:p w:rsidR="000B2401" w:rsidRPr="00F11A18" w:rsidRDefault="00C41A33" w:rsidP="00B41B23">
            <w:pPr>
              <w:pStyle w:val="TableParagraph"/>
              <w:snapToGrid w:val="0"/>
              <w:ind w:left="0"/>
              <w:jc w:val="both"/>
              <w:rPr>
                <w:sz w:val="20"/>
                <w:szCs w:val="20"/>
              </w:rPr>
            </w:pPr>
            <w:r w:rsidRPr="00F11A18">
              <w:rPr>
                <w:sz w:val="20"/>
                <w:szCs w:val="20"/>
              </w:rPr>
              <w:t>21(29.2)</w:t>
            </w:r>
          </w:p>
          <w:p w:rsidR="000B2401" w:rsidRPr="00F11A18" w:rsidRDefault="00C41A33" w:rsidP="00B41B23">
            <w:pPr>
              <w:pStyle w:val="TableParagraph"/>
              <w:snapToGrid w:val="0"/>
              <w:ind w:left="0"/>
              <w:jc w:val="both"/>
              <w:rPr>
                <w:sz w:val="20"/>
                <w:szCs w:val="20"/>
              </w:rPr>
            </w:pPr>
            <w:r w:rsidRPr="00F11A18">
              <w:rPr>
                <w:sz w:val="20"/>
                <w:szCs w:val="20"/>
              </w:rPr>
              <w:t>14(19.4)</w:t>
            </w:r>
          </w:p>
          <w:p w:rsidR="000B2401" w:rsidRPr="00F11A18" w:rsidRDefault="00C41A33" w:rsidP="00B41B23">
            <w:pPr>
              <w:pStyle w:val="TableParagraph"/>
              <w:snapToGrid w:val="0"/>
              <w:ind w:left="0"/>
              <w:jc w:val="both"/>
              <w:rPr>
                <w:sz w:val="20"/>
                <w:szCs w:val="20"/>
              </w:rPr>
            </w:pPr>
            <w:r w:rsidRPr="00F11A18">
              <w:rPr>
                <w:sz w:val="20"/>
                <w:szCs w:val="20"/>
              </w:rPr>
              <w:t>2 (2.8)</w:t>
            </w:r>
          </w:p>
        </w:tc>
      </w:tr>
      <w:tr w:rsidR="000B2401" w:rsidRPr="00F11A18" w:rsidTr="00B405E1">
        <w:trPr>
          <w:jc w:val="center"/>
        </w:trPr>
        <w:tc>
          <w:tcPr>
            <w:tcW w:w="3969"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Disease status of the studied episodes</w:t>
            </w:r>
          </w:p>
          <w:p w:rsidR="000B2401" w:rsidRPr="00F11A18" w:rsidRDefault="00C41A33" w:rsidP="00B41B23">
            <w:pPr>
              <w:pStyle w:val="TableParagraph"/>
              <w:snapToGrid w:val="0"/>
              <w:ind w:left="0"/>
              <w:jc w:val="both"/>
              <w:rPr>
                <w:sz w:val="20"/>
                <w:szCs w:val="20"/>
              </w:rPr>
            </w:pPr>
            <w:r w:rsidRPr="00F11A18">
              <w:rPr>
                <w:sz w:val="20"/>
                <w:szCs w:val="20"/>
              </w:rPr>
              <w:t>Complete remissio</w:t>
            </w:r>
            <w:r w:rsidR="00B405E1" w:rsidRPr="00F11A18">
              <w:rPr>
                <w:sz w:val="20"/>
                <w:szCs w:val="20"/>
              </w:rPr>
              <w:t>n (</w:t>
            </w:r>
            <w:r w:rsidRPr="00F11A18">
              <w:rPr>
                <w:sz w:val="20"/>
                <w:szCs w:val="20"/>
              </w:rPr>
              <w:t>CR) CR1</w:t>
            </w:r>
          </w:p>
          <w:p w:rsidR="000B2401" w:rsidRPr="00F11A18" w:rsidRDefault="00C41A33" w:rsidP="00B41B23">
            <w:pPr>
              <w:pStyle w:val="TableParagraph"/>
              <w:snapToGrid w:val="0"/>
              <w:ind w:left="0"/>
              <w:jc w:val="both"/>
              <w:rPr>
                <w:sz w:val="20"/>
                <w:szCs w:val="20"/>
              </w:rPr>
            </w:pPr>
            <w:r w:rsidRPr="00F11A18">
              <w:rPr>
                <w:sz w:val="20"/>
                <w:szCs w:val="20"/>
              </w:rPr>
              <w:t>CR2</w:t>
            </w:r>
          </w:p>
          <w:p w:rsidR="000B2401" w:rsidRPr="00F11A18" w:rsidRDefault="00C41A33" w:rsidP="00B41B23">
            <w:pPr>
              <w:pStyle w:val="TableParagraph"/>
              <w:snapToGrid w:val="0"/>
              <w:ind w:left="0"/>
              <w:jc w:val="both"/>
              <w:rPr>
                <w:sz w:val="20"/>
                <w:szCs w:val="20"/>
              </w:rPr>
            </w:pPr>
            <w:r w:rsidRPr="00F11A18">
              <w:rPr>
                <w:sz w:val="20"/>
                <w:szCs w:val="20"/>
              </w:rPr>
              <w:t xml:space="preserve">Still </w:t>
            </w:r>
            <w:r w:rsidR="00F11A18" w:rsidRPr="00F11A18">
              <w:rPr>
                <w:sz w:val="20"/>
                <w:szCs w:val="20"/>
              </w:rPr>
              <w:t>having disease</w:t>
            </w:r>
          </w:p>
          <w:p w:rsidR="000B2401" w:rsidRPr="00F11A18" w:rsidRDefault="00C41A33" w:rsidP="00B41B23">
            <w:pPr>
              <w:pStyle w:val="TableParagraph"/>
              <w:snapToGrid w:val="0"/>
              <w:ind w:left="0"/>
              <w:jc w:val="both"/>
              <w:rPr>
                <w:sz w:val="20"/>
                <w:szCs w:val="20"/>
              </w:rPr>
            </w:pPr>
            <w:r w:rsidRPr="00F11A18">
              <w:rPr>
                <w:sz w:val="20"/>
                <w:szCs w:val="20"/>
              </w:rPr>
              <w:t>Not evaluated for disease status</w:t>
            </w:r>
          </w:p>
        </w:tc>
        <w:tc>
          <w:tcPr>
            <w:tcW w:w="1031"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37 (51.4)</w:t>
            </w:r>
          </w:p>
          <w:p w:rsidR="000B2401" w:rsidRPr="00F11A18" w:rsidRDefault="00C41A33" w:rsidP="00B41B23">
            <w:pPr>
              <w:pStyle w:val="TableParagraph"/>
              <w:snapToGrid w:val="0"/>
              <w:ind w:left="0"/>
              <w:jc w:val="both"/>
              <w:rPr>
                <w:sz w:val="20"/>
                <w:szCs w:val="20"/>
              </w:rPr>
            </w:pPr>
            <w:r w:rsidRPr="00F11A18">
              <w:rPr>
                <w:sz w:val="20"/>
                <w:szCs w:val="20"/>
              </w:rPr>
              <w:t>31(43)</w:t>
            </w:r>
          </w:p>
          <w:p w:rsidR="000B2401" w:rsidRPr="00F11A18" w:rsidRDefault="00C41A33" w:rsidP="00B41B23">
            <w:pPr>
              <w:pStyle w:val="TableParagraph"/>
              <w:snapToGrid w:val="0"/>
              <w:ind w:left="0"/>
              <w:jc w:val="both"/>
              <w:rPr>
                <w:sz w:val="20"/>
                <w:szCs w:val="20"/>
              </w:rPr>
            </w:pPr>
            <w:r w:rsidRPr="00F11A18">
              <w:rPr>
                <w:sz w:val="20"/>
                <w:szCs w:val="20"/>
              </w:rPr>
              <w:t>6(8.4)</w:t>
            </w:r>
          </w:p>
          <w:p w:rsidR="000B2401" w:rsidRPr="00F11A18" w:rsidRDefault="00C41A33" w:rsidP="00B41B23">
            <w:pPr>
              <w:pStyle w:val="TableParagraph"/>
              <w:snapToGrid w:val="0"/>
              <w:ind w:left="0"/>
              <w:jc w:val="both"/>
              <w:rPr>
                <w:sz w:val="20"/>
                <w:szCs w:val="20"/>
              </w:rPr>
            </w:pPr>
            <w:r w:rsidRPr="00F11A18">
              <w:rPr>
                <w:sz w:val="20"/>
                <w:szCs w:val="20"/>
              </w:rPr>
              <w:t>2(2.8)</w:t>
            </w:r>
          </w:p>
          <w:p w:rsidR="000B2401" w:rsidRPr="00F11A18" w:rsidRDefault="00C41A33" w:rsidP="00B41B23">
            <w:pPr>
              <w:pStyle w:val="TableParagraph"/>
              <w:snapToGrid w:val="0"/>
              <w:ind w:left="0"/>
              <w:jc w:val="both"/>
              <w:rPr>
                <w:sz w:val="20"/>
                <w:szCs w:val="20"/>
              </w:rPr>
            </w:pPr>
            <w:r w:rsidRPr="00F11A18">
              <w:rPr>
                <w:sz w:val="20"/>
                <w:szCs w:val="20"/>
              </w:rPr>
              <w:t>33 (45.8)</w:t>
            </w:r>
          </w:p>
        </w:tc>
      </w:tr>
      <w:tr w:rsidR="000B2401" w:rsidRPr="00F11A18" w:rsidTr="00B405E1">
        <w:trPr>
          <w:jc w:val="center"/>
        </w:trPr>
        <w:tc>
          <w:tcPr>
            <w:tcW w:w="3969"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Vital stability</w:t>
            </w:r>
          </w:p>
          <w:p w:rsidR="000B2401" w:rsidRPr="00F11A18" w:rsidRDefault="00C41A33" w:rsidP="00B41B23">
            <w:pPr>
              <w:pStyle w:val="TableParagraph"/>
              <w:snapToGrid w:val="0"/>
              <w:ind w:left="0"/>
              <w:jc w:val="both"/>
              <w:rPr>
                <w:sz w:val="20"/>
                <w:szCs w:val="20"/>
              </w:rPr>
            </w:pPr>
            <w:r w:rsidRPr="00F11A18">
              <w:rPr>
                <w:sz w:val="20"/>
                <w:szCs w:val="20"/>
              </w:rPr>
              <w:t>Stable</w:t>
            </w:r>
          </w:p>
          <w:p w:rsidR="000B2401" w:rsidRPr="00F11A18" w:rsidRDefault="00C41A33" w:rsidP="00B41B23">
            <w:pPr>
              <w:pStyle w:val="TableParagraph"/>
              <w:snapToGrid w:val="0"/>
              <w:ind w:left="0"/>
              <w:jc w:val="both"/>
              <w:rPr>
                <w:sz w:val="20"/>
                <w:szCs w:val="20"/>
              </w:rPr>
            </w:pPr>
            <w:r w:rsidRPr="00F11A18">
              <w:rPr>
                <w:sz w:val="20"/>
                <w:szCs w:val="20"/>
              </w:rPr>
              <w:t>Unstable</w:t>
            </w:r>
          </w:p>
        </w:tc>
        <w:tc>
          <w:tcPr>
            <w:tcW w:w="1031"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27(37.5)</w:t>
            </w:r>
          </w:p>
          <w:p w:rsidR="000B2401" w:rsidRPr="00F11A18" w:rsidRDefault="00C41A33" w:rsidP="00B41B23">
            <w:pPr>
              <w:pStyle w:val="TableParagraph"/>
              <w:snapToGrid w:val="0"/>
              <w:ind w:left="0"/>
              <w:jc w:val="both"/>
              <w:rPr>
                <w:sz w:val="20"/>
                <w:szCs w:val="20"/>
              </w:rPr>
            </w:pPr>
            <w:r w:rsidRPr="00F11A18">
              <w:rPr>
                <w:sz w:val="20"/>
                <w:szCs w:val="20"/>
              </w:rPr>
              <w:t>45(62.5)</w:t>
            </w:r>
          </w:p>
        </w:tc>
      </w:tr>
      <w:tr w:rsidR="000B2401" w:rsidRPr="00F11A18" w:rsidTr="00B405E1">
        <w:trPr>
          <w:jc w:val="center"/>
        </w:trPr>
        <w:tc>
          <w:tcPr>
            <w:tcW w:w="3969"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Focus of infection</w:t>
            </w:r>
          </w:p>
          <w:p w:rsidR="000B2401" w:rsidRPr="00F11A18" w:rsidRDefault="00C41A33" w:rsidP="00B41B23">
            <w:pPr>
              <w:pStyle w:val="TableParagraph"/>
              <w:snapToGrid w:val="0"/>
              <w:ind w:left="0"/>
              <w:jc w:val="both"/>
              <w:rPr>
                <w:sz w:val="20"/>
                <w:szCs w:val="20"/>
              </w:rPr>
            </w:pPr>
            <w:r w:rsidRPr="00F11A18">
              <w:rPr>
                <w:sz w:val="20"/>
                <w:szCs w:val="20"/>
              </w:rPr>
              <w:t>Pneumonia</w:t>
            </w:r>
          </w:p>
          <w:p w:rsidR="000B2401" w:rsidRPr="00F11A18" w:rsidRDefault="00C41A33" w:rsidP="00B41B23">
            <w:pPr>
              <w:pStyle w:val="TableParagraph"/>
              <w:snapToGrid w:val="0"/>
              <w:ind w:left="0"/>
              <w:jc w:val="both"/>
              <w:rPr>
                <w:sz w:val="20"/>
                <w:szCs w:val="20"/>
              </w:rPr>
            </w:pPr>
            <w:r w:rsidRPr="00F11A18">
              <w:rPr>
                <w:sz w:val="20"/>
                <w:szCs w:val="20"/>
              </w:rPr>
              <w:t xml:space="preserve">Soft </w:t>
            </w:r>
            <w:r w:rsidR="00F11A18" w:rsidRPr="00F11A18">
              <w:rPr>
                <w:sz w:val="20"/>
                <w:szCs w:val="20"/>
              </w:rPr>
              <w:t>tissue infection</w:t>
            </w:r>
          </w:p>
          <w:p w:rsidR="000B2401" w:rsidRPr="00F11A18" w:rsidRDefault="00C41A33" w:rsidP="00B41B23">
            <w:pPr>
              <w:pStyle w:val="TableParagraph"/>
              <w:snapToGrid w:val="0"/>
              <w:ind w:left="0"/>
              <w:jc w:val="both"/>
              <w:rPr>
                <w:sz w:val="20"/>
                <w:szCs w:val="20"/>
              </w:rPr>
            </w:pPr>
            <w:r w:rsidRPr="00F11A18">
              <w:rPr>
                <w:sz w:val="20"/>
                <w:szCs w:val="20"/>
              </w:rPr>
              <w:t>Typhlitis /colitis</w:t>
            </w:r>
          </w:p>
          <w:p w:rsidR="000B2401" w:rsidRPr="00F11A18" w:rsidRDefault="00C41A33" w:rsidP="00B41B23">
            <w:pPr>
              <w:pStyle w:val="TableParagraph"/>
              <w:snapToGrid w:val="0"/>
              <w:ind w:left="0"/>
              <w:jc w:val="both"/>
              <w:rPr>
                <w:sz w:val="20"/>
                <w:szCs w:val="20"/>
              </w:rPr>
            </w:pPr>
            <w:r w:rsidRPr="00F11A18">
              <w:rPr>
                <w:sz w:val="20"/>
                <w:szCs w:val="20"/>
              </w:rPr>
              <w:t>Absent</w:t>
            </w:r>
          </w:p>
        </w:tc>
        <w:tc>
          <w:tcPr>
            <w:tcW w:w="1031"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34(47.2)</w:t>
            </w:r>
          </w:p>
          <w:p w:rsidR="000B2401" w:rsidRPr="00F11A18" w:rsidRDefault="00C41A33" w:rsidP="00B41B23">
            <w:pPr>
              <w:pStyle w:val="TableParagraph"/>
              <w:snapToGrid w:val="0"/>
              <w:ind w:left="0"/>
              <w:jc w:val="both"/>
              <w:rPr>
                <w:sz w:val="20"/>
                <w:szCs w:val="20"/>
              </w:rPr>
            </w:pPr>
            <w:r w:rsidRPr="00F11A18">
              <w:rPr>
                <w:sz w:val="20"/>
                <w:szCs w:val="20"/>
              </w:rPr>
              <w:t>22(30.6)</w:t>
            </w:r>
          </w:p>
          <w:p w:rsidR="000B2401" w:rsidRPr="00F11A18" w:rsidRDefault="00C41A33" w:rsidP="00B41B23">
            <w:pPr>
              <w:pStyle w:val="TableParagraph"/>
              <w:snapToGrid w:val="0"/>
              <w:ind w:left="0"/>
              <w:jc w:val="both"/>
              <w:rPr>
                <w:sz w:val="20"/>
                <w:szCs w:val="20"/>
              </w:rPr>
            </w:pPr>
            <w:r w:rsidRPr="00F11A18">
              <w:rPr>
                <w:sz w:val="20"/>
                <w:szCs w:val="20"/>
              </w:rPr>
              <w:t>14(19.4)</w:t>
            </w:r>
          </w:p>
          <w:p w:rsidR="000B2401" w:rsidRPr="00F11A18" w:rsidRDefault="00C41A33" w:rsidP="00B41B23">
            <w:pPr>
              <w:pStyle w:val="TableParagraph"/>
              <w:snapToGrid w:val="0"/>
              <w:ind w:left="0"/>
              <w:jc w:val="both"/>
              <w:rPr>
                <w:sz w:val="20"/>
                <w:szCs w:val="20"/>
              </w:rPr>
            </w:pPr>
            <w:r w:rsidRPr="00F11A18">
              <w:rPr>
                <w:sz w:val="20"/>
                <w:szCs w:val="20"/>
              </w:rPr>
              <w:t>2 (2.8)</w:t>
            </w:r>
          </w:p>
        </w:tc>
      </w:tr>
      <w:tr w:rsidR="000B2401" w:rsidRPr="00F11A18" w:rsidTr="00B405E1">
        <w:trPr>
          <w:jc w:val="center"/>
        </w:trPr>
        <w:tc>
          <w:tcPr>
            <w:tcW w:w="3969" w:type="pct"/>
            <w:tcBorders>
              <w:left w:val="single" w:sz="4" w:space="0" w:color="000000"/>
              <w:bottom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ICU admission</w:t>
            </w:r>
          </w:p>
          <w:p w:rsidR="000B2401" w:rsidRPr="00F11A18" w:rsidRDefault="00C41A33" w:rsidP="00B41B23">
            <w:pPr>
              <w:pStyle w:val="TableParagraph"/>
              <w:snapToGrid w:val="0"/>
              <w:ind w:left="0"/>
              <w:jc w:val="both"/>
              <w:rPr>
                <w:sz w:val="20"/>
                <w:szCs w:val="20"/>
              </w:rPr>
            </w:pPr>
            <w:r w:rsidRPr="00F11A18">
              <w:rPr>
                <w:sz w:val="20"/>
                <w:szCs w:val="20"/>
              </w:rPr>
              <w:t>Yes</w:t>
            </w:r>
          </w:p>
          <w:p w:rsidR="000B2401" w:rsidRPr="00F11A18" w:rsidRDefault="00C41A33" w:rsidP="00B41B23">
            <w:pPr>
              <w:pStyle w:val="TableParagraph"/>
              <w:snapToGrid w:val="0"/>
              <w:ind w:left="0"/>
              <w:jc w:val="both"/>
              <w:rPr>
                <w:sz w:val="20"/>
                <w:szCs w:val="20"/>
              </w:rPr>
            </w:pPr>
            <w:r w:rsidRPr="00F11A18">
              <w:rPr>
                <w:sz w:val="20"/>
                <w:szCs w:val="20"/>
              </w:rPr>
              <w:t>No</w:t>
            </w:r>
          </w:p>
        </w:tc>
        <w:tc>
          <w:tcPr>
            <w:tcW w:w="1031" w:type="pct"/>
            <w:tcBorders>
              <w:bottom w:val="single" w:sz="4" w:space="0" w:color="000000"/>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54(75)</w:t>
            </w:r>
          </w:p>
          <w:p w:rsidR="000B2401" w:rsidRPr="00F11A18" w:rsidRDefault="00C41A33" w:rsidP="00B41B23">
            <w:pPr>
              <w:pStyle w:val="TableParagraph"/>
              <w:snapToGrid w:val="0"/>
              <w:ind w:left="0"/>
              <w:jc w:val="both"/>
              <w:rPr>
                <w:sz w:val="20"/>
                <w:szCs w:val="20"/>
              </w:rPr>
            </w:pPr>
            <w:r w:rsidRPr="00F11A18">
              <w:rPr>
                <w:sz w:val="20"/>
                <w:szCs w:val="20"/>
              </w:rPr>
              <w:t>18(25)</w:t>
            </w:r>
          </w:p>
        </w:tc>
      </w:tr>
    </w:tbl>
    <w:p w:rsidR="000B2401" w:rsidRPr="00F11A18" w:rsidRDefault="00C41A33" w:rsidP="00B41B23">
      <w:pPr>
        <w:snapToGrid w:val="0"/>
        <w:jc w:val="both"/>
        <w:rPr>
          <w:sz w:val="20"/>
          <w:szCs w:val="20"/>
        </w:rPr>
      </w:pPr>
      <w:r w:rsidRPr="00F11A18">
        <w:rPr>
          <w:sz w:val="20"/>
          <w:szCs w:val="20"/>
        </w:rPr>
        <w:t>AML; acute myeloid leukemia, ALL; acute lymphoblastic leukemia, LCH; Langerhan cell histiocytosis, CR; complete remission</w:t>
      </w:r>
    </w:p>
    <w:p w:rsidR="00DA641A" w:rsidRPr="00F11A18" w:rsidRDefault="00DA641A" w:rsidP="00B41B23">
      <w:pPr>
        <w:pStyle w:val="Heading1"/>
        <w:snapToGrid w:val="0"/>
        <w:ind w:left="0"/>
        <w:jc w:val="both"/>
        <w:rPr>
          <w:sz w:val="20"/>
          <w:szCs w:val="20"/>
        </w:rPr>
      </w:pPr>
    </w:p>
    <w:p w:rsidR="000B2401" w:rsidRPr="00F11A18" w:rsidRDefault="00DA641A" w:rsidP="00B41B23">
      <w:pPr>
        <w:pStyle w:val="Heading1"/>
        <w:snapToGrid w:val="0"/>
        <w:ind w:left="0"/>
        <w:jc w:val="center"/>
        <w:rPr>
          <w:sz w:val="20"/>
          <w:szCs w:val="20"/>
        </w:rPr>
      </w:pPr>
      <w:r w:rsidRPr="00F11A18">
        <w:rPr>
          <w:sz w:val="20"/>
          <w:szCs w:val="20"/>
        </w:rPr>
        <w:lastRenderedPageBreak/>
        <w:t xml:space="preserve">Table </w:t>
      </w:r>
      <w:r w:rsidR="00C41A33" w:rsidRPr="00F11A18">
        <w:rPr>
          <w:sz w:val="20"/>
          <w:szCs w:val="20"/>
        </w:rPr>
        <w:t>(2): Laboratory findings among the whole episodes</w:t>
      </w:r>
    </w:p>
    <w:tbl>
      <w:tblPr>
        <w:tblW w:w="5000" w:type="pct"/>
        <w:jc w:val="center"/>
        <w:tblCellMar>
          <w:left w:w="57" w:type="dxa"/>
          <w:right w:w="57" w:type="dxa"/>
        </w:tblCellMar>
        <w:tblLook w:val="01E0"/>
      </w:tblPr>
      <w:tblGrid>
        <w:gridCol w:w="5844"/>
        <w:gridCol w:w="3630"/>
      </w:tblGrid>
      <w:tr w:rsidR="000B2401" w:rsidRPr="00F11A18" w:rsidTr="00B405E1">
        <w:trPr>
          <w:jc w:val="center"/>
        </w:trPr>
        <w:tc>
          <w:tcPr>
            <w:tcW w:w="3084" w:type="pct"/>
            <w:tcBorders>
              <w:top w:val="single" w:sz="4" w:space="0" w:color="000000"/>
              <w:left w:val="single" w:sz="4" w:space="0" w:color="000000"/>
              <w:bottom w:val="single" w:sz="4" w:space="0" w:color="000000"/>
              <w:righ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Characteristic</w:t>
            </w:r>
          </w:p>
        </w:tc>
        <w:tc>
          <w:tcPr>
            <w:tcW w:w="1916" w:type="pct"/>
            <w:tcBorders>
              <w:top w:val="single" w:sz="4" w:space="0" w:color="000000"/>
              <w:left w:val="single" w:sz="4" w:space="0" w:color="000000"/>
              <w:bottom w:val="single" w:sz="4" w:space="0" w:color="000000"/>
              <w:righ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N (%)</w:t>
            </w:r>
          </w:p>
        </w:tc>
      </w:tr>
      <w:tr w:rsidR="000B2401" w:rsidRPr="00F11A18" w:rsidTr="00B405E1">
        <w:trPr>
          <w:jc w:val="center"/>
        </w:trPr>
        <w:tc>
          <w:tcPr>
            <w:tcW w:w="3084" w:type="pct"/>
            <w:tcBorders>
              <w:top w:val="single" w:sz="4" w:space="0" w:color="000000"/>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Total number of episodes</w:t>
            </w:r>
          </w:p>
        </w:tc>
        <w:tc>
          <w:tcPr>
            <w:tcW w:w="1916" w:type="pct"/>
            <w:tcBorders>
              <w:top w:val="single" w:sz="4" w:space="0" w:color="000000"/>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72</w:t>
            </w:r>
          </w:p>
        </w:tc>
      </w:tr>
      <w:tr w:rsidR="000B2401" w:rsidRPr="00F11A18" w:rsidTr="00B405E1">
        <w:trPr>
          <w:jc w:val="center"/>
        </w:trPr>
        <w:tc>
          <w:tcPr>
            <w:tcW w:w="3084"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TLC</w:t>
            </w:r>
          </w:p>
          <w:p w:rsidR="000B2401" w:rsidRPr="00F11A18" w:rsidRDefault="00C41A33" w:rsidP="00B41B23">
            <w:pPr>
              <w:pStyle w:val="TableParagraph"/>
              <w:snapToGrid w:val="0"/>
              <w:ind w:left="0"/>
              <w:jc w:val="both"/>
              <w:rPr>
                <w:sz w:val="20"/>
                <w:szCs w:val="20"/>
              </w:rPr>
            </w:pPr>
            <w:r w:rsidRPr="00F11A18">
              <w:rPr>
                <w:sz w:val="20"/>
                <w:szCs w:val="20"/>
              </w:rPr>
              <w:t>&lt;500/cc</w:t>
            </w:r>
          </w:p>
          <w:p w:rsidR="000B2401" w:rsidRPr="00F11A18" w:rsidRDefault="00C41A33" w:rsidP="00B41B23">
            <w:pPr>
              <w:pStyle w:val="TableParagraph"/>
              <w:snapToGrid w:val="0"/>
              <w:ind w:left="0"/>
              <w:jc w:val="both"/>
              <w:rPr>
                <w:sz w:val="20"/>
                <w:szCs w:val="20"/>
              </w:rPr>
            </w:pPr>
            <w:r w:rsidRPr="00F11A18">
              <w:rPr>
                <w:sz w:val="20"/>
                <w:szCs w:val="20"/>
              </w:rPr>
              <w:t>≥500 /cc</w:t>
            </w:r>
          </w:p>
          <w:p w:rsidR="000B2401" w:rsidRPr="00F11A18" w:rsidRDefault="00C41A33" w:rsidP="00B41B23">
            <w:pPr>
              <w:pStyle w:val="TableParagraph"/>
              <w:snapToGrid w:val="0"/>
              <w:ind w:left="0"/>
              <w:jc w:val="both"/>
              <w:rPr>
                <w:sz w:val="20"/>
                <w:szCs w:val="20"/>
              </w:rPr>
            </w:pPr>
            <w:r w:rsidRPr="00F11A18">
              <w:rPr>
                <w:sz w:val="20"/>
                <w:szCs w:val="20"/>
              </w:rPr>
              <w:t>Media</w:t>
            </w:r>
            <w:r w:rsidR="00B405E1" w:rsidRPr="00F11A18">
              <w:rPr>
                <w:sz w:val="20"/>
                <w:szCs w:val="20"/>
              </w:rPr>
              <w:t>n (</w:t>
            </w:r>
            <w:r w:rsidRPr="00F11A18">
              <w:rPr>
                <w:sz w:val="20"/>
                <w:szCs w:val="20"/>
              </w:rPr>
              <w:t>/cc)</w:t>
            </w:r>
          </w:p>
          <w:p w:rsidR="000B2401" w:rsidRPr="00F11A18" w:rsidRDefault="00C41A33" w:rsidP="00B41B23">
            <w:pPr>
              <w:pStyle w:val="TableParagraph"/>
              <w:snapToGrid w:val="0"/>
              <w:ind w:left="0"/>
              <w:jc w:val="both"/>
              <w:rPr>
                <w:sz w:val="20"/>
                <w:szCs w:val="20"/>
              </w:rPr>
            </w:pPr>
            <w:r w:rsidRPr="00F11A18">
              <w:rPr>
                <w:sz w:val="20"/>
                <w:szCs w:val="20"/>
              </w:rPr>
              <w:t>Range (/cc)</w:t>
            </w:r>
          </w:p>
        </w:tc>
        <w:tc>
          <w:tcPr>
            <w:tcW w:w="1916"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63 (87.5)</w:t>
            </w:r>
          </w:p>
          <w:p w:rsidR="000B2401" w:rsidRPr="00F11A18" w:rsidRDefault="00C41A33" w:rsidP="00B41B23">
            <w:pPr>
              <w:pStyle w:val="TableParagraph"/>
              <w:snapToGrid w:val="0"/>
              <w:ind w:left="0"/>
              <w:jc w:val="both"/>
              <w:rPr>
                <w:sz w:val="20"/>
                <w:szCs w:val="20"/>
              </w:rPr>
            </w:pPr>
            <w:r w:rsidRPr="00F11A18">
              <w:rPr>
                <w:sz w:val="20"/>
                <w:szCs w:val="20"/>
              </w:rPr>
              <w:t>9 (12.5)</w:t>
            </w:r>
          </w:p>
          <w:p w:rsidR="000B2401" w:rsidRPr="00F11A18" w:rsidRDefault="00C41A33" w:rsidP="00B41B23">
            <w:pPr>
              <w:pStyle w:val="TableParagraph"/>
              <w:snapToGrid w:val="0"/>
              <w:ind w:left="0"/>
              <w:jc w:val="both"/>
              <w:rPr>
                <w:sz w:val="20"/>
                <w:szCs w:val="20"/>
              </w:rPr>
            </w:pPr>
            <w:r w:rsidRPr="00F11A18">
              <w:rPr>
                <w:sz w:val="20"/>
                <w:szCs w:val="20"/>
              </w:rPr>
              <w:t>100</w:t>
            </w:r>
          </w:p>
          <w:p w:rsidR="000B2401" w:rsidRPr="00F11A18" w:rsidRDefault="00C41A33" w:rsidP="00B41B23">
            <w:pPr>
              <w:pStyle w:val="TableParagraph"/>
              <w:snapToGrid w:val="0"/>
              <w:ind w:left="0"/>
              <w:jc w:val="both"/>
              <w:rPr>
                <w:sz w:val="20"/>
                <w:szCs w:val="20"/>
              </w:rPr>
            </w:pPr>
            <w:r w:rsidRPr="00F11A18">
              <w:rPr>
                <w:sz w:val="20"/>
                <w:szCs w:val="20"/>
              </w:rPr>
              <w:t>10 – 5,600</w:t>
            </w:r>
          </w:p>
        </w:tc>
      </w:tr>
      <w:tr w:rsidR="000B2401" w:rsidRPr="00F11A18" w:rsidTr="00B405E1">
        <w:trPr>
          <w:jc w:val="center"/>
        </w:trPr>
        <w:tc>
          <w:tcPr>
            <w:tcW w:w="3084"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Hemoglobin</w:t>
            </w:r>
          </w:p>
          <w:p w:rsidR="000B2401" w:rsidRPr="00F11A18" w:rsidRDefault="00C41A33" w:rsidP="00B41B23">
            <w:pPr>
              <w:pStyle w:val="TableParagraph"/>
              <w:snapToGrid w:val="0"/>
              <w:ind w:left="0"/>
              <w:jc w:val="both"/>
              <w:rPr>
                <w:sz w:val="20"/>
                <w:szCs w:val="20"/>
              </w:rPr>
            </w:pPr>
            <w:r w:rsidRPr="00F11A18">
              <w:rPr>
                <w:sz w:val="20"/>
                <w:szCs w:val="20"/>
              </w:rPr>
              <w:t>&lt;7g/dL</w:t>
            </w:r>
          </w:p>
          <w:p w:rsidR="000B2401" w:rsidRPr="00F11A18" w:rsidRDefault="00C41A33" w:rsidP="00B41B23">
            <w:pPr>
              <w:pStyle w:val="TableParagraph"/>
              <w:snapToGrid w:val="0"/>
              <w:ind w:left="0"/>
              <w:jc w:val="both"/>
              <w:rPr>
                <w:sz w:val="20"/>
                <w:szCs w:val="20"/>
              </w:rPr>
            </w:pPr>
            <w:r w:rsidRPr="00F11A18">
              <w:rPr>
                <w:sz w:val="20"/>
                <w:szCs w:val="20"/>
              </w:rPr>
              <w:t>≥7g/dL</w:t>
            </w:r>
          </w:p>
          <w:p w:rsidR="000B2401" w:rsidRPr="00F11A18" w:rsidRDefault="00C41A33" w:rsidP="00B41B23">
            <w:pPr>
              <w:pStyle w:val="TableParagraph"/>
              <w:snapToGrid w:val="0"/>
              <w:ind w:left="0"/>
              <w:jc w:val="both"/>
              <w:rPr>
                <w:sz w:val="20"/>
                <w:szCs w:val="20"/>
              </w:rPr>
            </w:pPr>
            <w:r w:rsidRPr="00F11A18">
              <w:rPr>
                <w:sz w:val="20"/>
                <w:szCs w:val="20"/>
              </w:rPr>
              <w:t>Media</w:t>
            </w:r>
            <w:r w:rsidR="00B405E1" w:rsidRPr="00F11A18">
              <w:rPr>
                <w:sz w:val="20"/>
                <w:szCs w:val="20"/>
              </w:rPr>
              <w:t>n (</w:t>
            </w:r>
            <w:r w:rsidRPr="00F11A18">
              <w:rPr>
                <w:sz w:val="20"/>
                <w:szCs w:val="20"/>
              </w:rPr>
              <w:t>g/dL)</w:t>
            </w:r>
          </w:p>
          <w:p w:rsidR="000B2401" w:rsidRPr="00F11A18" w:rsidRDefault="00C41A33" w:rsidP="00B41B23">
            <w:pPr>
              <w:pStyle w:val="TableParagraph"/>
              <w:snapToGrid w:val="0"/>
              <w:ind w:left="0"/>
              <w:jc w:val="both"/>
              <w:rPr>
                <w:sz w:val="20"/>
                <w:szCs w:val="20"/>
              </w:rPr>
            </w:pPr>
            <w:r w:rsidRPr="00F11A18">
              <w:rPr>
                <w:sz w:val="20"/>
                <w:szCs w:val="20"/>
              </w:rPr>
              <w:t>Range (g/dL)</w:t>
            </w:r>
          </w:p>
        </w:tc>
        <w:tc>
          <w:tcPr>
            <w:tcW w:w="1916"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23(31.9)</w:t>
            </w:r>
          </w:p>
          <w:p w:rsidR="000B2401" w:rsidRPr="00F11A18" w:rsidRDefault="00C41A33" w:rsidP="00B41B23">
            <w:pPr>
              <w:pStyle w:val="TableParagraph"/>
              <w:snapToGrid w:val="0"/>
              <w:ind w:left="0"/>
              <w:jc w:val="both"/>
              <w:rPr>
                <w:sz w:val="20"/>
                <w:szCs w:val="20"/>
              </w:rPr>
            </w:pPr>
            <w:r w:rsidRPr="00F11A18">
              <w:rPr>
                <w:sz w:val="20"/>
                <w:szCs w:val="20"/>
              </w:rPr>
              <w:t>49(68.1)</w:t>
            </w:r>
          </w:p>
          <w:p w:rsidR="000B2401" w:rsidRPr="00F11A18" w:rsidRDefault="00C41A33" w:rsidP="00B41B23">
            <w:pPr>
              <w:pStyle w:val="TableParagraph"/>
              <w:snapToGrid w:val="0"/>
              <w:ind w:left="0"/>
              <w:jc w:val="both"/>
              <w:rPr>
                <w:sz w:val="20"/>
                <w:szCs w:val="20"/>
              </w:rPr>
            </w:pPr>
            <w:r w:rsidRPr="00F11A18">
              <w:rPr>
                <w:sz w:val="20"/>
                <w:szCs w:val="20"/>
              </w:rPr>
              <w:t>7</w:t>
            </w:r>
          </w:p>
          <w:p w:rsidR="000B2401" w:rsidRPr="00F11A18" w:rsidRDefault="00C41A33" w:rsidP="00B41B23">
            <w:pPr>
              <w:pStyle w:val="TableParagraph"/>
              <w:snapToGrid w:val="0"/>
              <w:ind w:left="0"/>
              <w:jc w:val="both"/>
              <w:rPr>
                <w:sz w:val="20"/>
                <w:szCs w:val="20"/>
              </w:rPr>
            </w:pPr>
            <w:r w:rsidRPr="00F11A18">
              <w:rPr>
                <w:sz w:val="20"/>
                <w:szCs w:val="20"/>
              </w:rPr>
              <w:t>5 – 11</w:t>
            </w:r>
          </w:p>
        </w:tc>
      </w:tr>
      <w:tr w:rsidR="000B2401" w:rsidRPr="00F11A18" w:rsidTr="00B405E1">
        <w:trPr>
          <w:jc w:val="center"/>
        </w:trPr>
        <w:tc>
          <w:tcPr>
            <w:tcW w:w="3084"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Platelets</w:t>
            </w:r>
          </w:p>
          <w:p w:rsidR="000B2401" w:rsidRPr="00F11A18" w:rsidRDefault="00C41A33" w:rsidP="00B41B23">
            <w:pPr>
              <w:pStyle w:val="TableParagraph"/>
              <w:snapToGrid w:val="0"/>
              <w:ind w:left="0"/>
              <w:jc w:val="both"/>
              <w:rPr>
                <w:sz w:val="20"/>
                <w:szCs w:val="20"/>
              </w:rPr>
            </w:pPr>
            <w:r w:rsidRPr="00F11A18">
              <w:rPr>
                <w:sz w:val="20"/>
                <w:szCs w:val="20"/>
              </w:rPr>
              <w:t>&lt;20,000/cc</w:t>
            </w:r>
          </w:p>
          <w:p w:rsidR="000B2401" w:rsidRPr="00F11A18" w:rsidRDefault="00C41A33" w:rsidP="00B41B23">
            <w:pPr>
              <w:pStyle w:val="TableParagraph"/>
              <w:snapToGrid w:val="0"/>
              <w:ind w:left="0"/>
              <w:jc w:val="both"/>
              <w:rPr>
                <w:sz w:val="20"/>
                <w:szCs w:val="20"/>
              </w:rPr>
            </w:pPr>
            <w:r w:rsidRPr="00F11A18">
              <w:rPr>
                <w:sz w:val="20"/>
                <w:szCs w:val="20"/>
              </w:rPr>
              <w:t>≥20,000 /cc</w:t>
            </w:r>
          </w:p>
          <w:p w:rsidR="000B2401" w:rsidRPr="00F11A18" w:rsidRDefault="00C41A33" w:rsidP="00B41B23">
            <w:pPr>
              <w:pStyle w:val="TableParagraph"/>
              <w:snapToGrid w:val="0"/>
              <w:ind w:left="0"/>
              <w:jc w:val="both"/>
              <w:rPr>
                <w:sz w:val="20"/>
                <w:szCs w:val="20"/>
              </w:rPr>
            </w:pPr>
            <w:r w:rsidRPr="00F11A18">
              <w:rPr>
                <w:sz w:val="20"/>
                <w:szCs w:val="20"/>
              </w:rPr>
              <w:t>Media</w:t>
            </w:r>
            <w:r w:rsidR="00B405E1" w:rsidRPr="00F11A18">
              <w:rPr>
                <w:sz w:val="20"/>
                <w:szCs w:val="20"/>
              </w:rPr>
              <w:t>n (</w:t>
            </w:r>
            <w:r w:rsidRPr="00F11A18">
              <w:rPr>
                <w:sz w:val="20"/>
                <w:szCs w:val="20"/>
              </w:rPr>
              <w:t>/cc)</w:t>
            </w:r>
          </w:p>
          <w:p w:rsidR="000B2401" w:rsidRPr="00F11A18" w:rsidRDefault="00C41A33" w:rsidP="00B41B23">
            <w:pPr>
              <w:pStyle w:val="TableParagraph"/>
              <w:snapToGrid w:val="0"/>
              <w:ind w:left="0"/>
              <w:jc w:val="both"/>
              <w:rPr>
                <w:sz w:val="20"/>
                <w:szCs w:val="20"/>
              </w:rPr>
            </w:pPr>
            <w:r w:rsidRPr="00F11A18">
              <w:rPr>
                <w:sz w:val="20"/>
                <w:szCs w:val="20"/>
              </w:rPr>
              <w:t>Range (/cc)</w:t>
            </w:r>
          </w:p>
        </w:tc>
        <w:tc>
          <w:tcPr>
            <w:tcW w:w="1916"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54(75)</w:t>
            </w:r>
          </w:p>
          <w:p w:rsidR="000B2401" w:rsidRPr="00F11A18" w:rsidRDefault="00C41A33" w:rsidP="00B41B23">
            <w:pPr>
              <w:pStyle w:val="TableParagraph"/>
              <w:snapToGrid w:val="0"/>
              <w:ind w:left="0"/>
              <w:jc w:val="both"/>
              <w:rPr>
                <w:sz w:val="20"/>
                <w:szCs w:val="20"/>
              </w:rPr>
            </w:pPr>
            <w:r w:rsidRPr="00F11A18">
              <w:rPr>
                <w:sz w:val="20"/>
                <w:szCs w:val="20"/>
              </w:rPr>
              <w:t>18(25)</w:t>
            </w:r>
          </w:p>
          <w:p w:rsidR="000B2401" w:rsidRPr="00F11A18" w:rsidRDefault="00C41A33" w:rsidP="00B41B23">
            <w:pPr>
              <w:pStyle w:val="TableParagraph"/>
              <w:snapToGrid w:val="0"/>
              <w:ind w:left="0"/>
              <w:jc w:val="both"/>
              <w:rPr>
                <w:sz w:val="20"/>
                <w:szCs w:val="20"/>
              </w:rPr>
            </w:pPr>
            <w:r w:rsidRPr="00F11A18">
              <w:rPr>
                <w:sz w:val="20"/>
                <w:szCs w:val="20"/>
              </w:rPr>
              <w:t>12,000</w:t>
            </w:r>
          </w:p>
          <w:p w:rsidR="000B2401" w:rsidRPr="00F11A18" w:rsidRDefault="00C41A33" w:rsidP="00B41B23">
            <w:pPr>
              <w:pStyle w:val="TableParagraph"/>
              <w:snapToGrid w:val="0"/>
              <w:ind w:left="0"/>
              <w:jc w:val="both"/>
              <w:rPr>
                <w:sz w:val="20"/>
                <w:szCs w:val="20"/>
              </w:rPr>
            </w:pPr>
            <w:r w:rsidRPr="00F11A18">
              <w:rPr>
                <w:sz w:val="20"/>
                <w:szCs w:val="20"/>
              </w:rPr>
              <w:t>2,000 – 616,000</w:t>
            </w:r>
          </w:p>
        </w:tc>
      </w:tr>
      <w:tr w:rsidR="000B2401" w:rsidRPr="00F11A18" w:rsidTr="00B405E1">
        <w:trPr>
          <w:jc w:val="center"/>
        </w:trPr>
        <w:tc>
          <w:tcPr>
            <w:tcW w:w="3084"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Liver function tests</w:t>
            </w:r>
          </w:p>
          <w:p w:rsidR="000B2401" w:rsidRPr="00F11A18" w:rsidRDefault="00C41A33" w:rsidP="00B41B23">
            <w:pPr>
              <w:pStyle w:val="TableParagraph"/>
              <w:snapToGrid w:val="0"/>
              <w:ind w:left="0"/>
              <w:jc w:val="both"/>
              <w:rPr>
                <w:sz w:val="20"/>
                <w:szCs w:val="20"/>
              </w:rPr>
            </w:pPr>
            <w:r w:rsidRPr="00F11A18">
              <w:rPr>
                <w:sz w:val="20"/>
                <w:szCs w:val="20"/>
              </w:rPr>
              <w:t>Impaired</w:t>
            </w:r>
          </w:p>
          <w:p w:rsidR="000B2401" w:rsidRPr="00F11A18" w:rsidRDefault="00C41A33" w:rsidP="00B41B23">
            <w:pPr>
              <w:pStyle w:val="TableParagraph"/>
              <w:snapToGrid w:val="0"/>
              <w:ind w:left="0"/>
              <w:jc w:val="both"/>
              <w:rPr>
                <w:sz w:val="20"/>
                <w:szCs w:val="20"/>
              </w:rPr>
            </w:pPr>
            <w:r w:rsidRPr="00F11A18">
              <w:rPr>
                <w:sz w:val="20"/>
                <w:szCs w:val="20"/>
              </w:rPr>
              <w:t>Notimpaired</w:t>
            </w:r>
          </w:p>
        </w:tc>
        <w:tc>
          <w:tcPr>
            <w:tcW w:w="1916"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42(58.3)</w:t>
            </w:r>
          </w:p>
          <w:p w:rsidR="000B2401" w:rsidRPr="00F11A18" w:rsidRDefault="00C41A33" w:rsidP="00B41B23">
            <w:pPr>
              <w:pStyle w:val="TableParagraph"/>
              <w:snapToGrid w:val="0"/>
              <w:ind w:left="0"/>
              <w:jc w:val="both"/>
              <w:rPr>
                <w:sz w:val="20"/>
                <w:szCs w:val="20"/>
              </w:rPr>
            </w:pPr>
            <w:r w:rsidRPr="00F11A18">
              <w:rPr>
                <w:sz w:val="20"/>
                <w:szCs w:val="20"/>
              </w:rPr>
              <w:t>30(41.7)</w:t>
            </w:r>
          </w:p>
        </w:tc>
      </w:tr>
      <w:tr w:rsidR="000B2401" w:rsidRPr="00F11A18" w:rsidTr="00B405E1">
        <w:trPr>
          <w:jc w:val="center"/>
        </w:trPr>
        <w:tc>
          <w:tcPr>
            <w:tcW w:w="3084"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Renal function tests</w:t>
            </w:r>
          </w:p>
          <w:p w:rsidR="000B2401" w:rsidRPr="00F11A18" w:rsidRDefault="00C41A33" w:rsidP="00B41B23">
            <w:pPr>
              <w:pStyle w:val="TableParagraph"/>
              <w:snapToGrid w:val="0"/>
              <w:ind w:left="0"/>
              <w:jc w:val="both"/>
              <w:rPr>
                <w:sz w:val="20"/>
                <w:szCs w:val="20"/>
              </w:rPr>
            </w:pPr>
            <w:r w:rsidRPr="00F11A18">
              <w:rPr>
                <w:sz w:val="20"/>
                <w:szCs w:val="20"/>
              </w:rPr>
              <w:t>Impaired</w:t>
            </w:r>
          </w:p>
          <w:p w:rsidR="000B2401" w:rsidRPr="00F11A18" w:rsidRDefault="00C41A33" w:rsidP="00B41B23">
            <w:pPr>
              <w:pStyle w:val="TableParagraph"/>
              <w:snapToGrid w:val="0"/>
              <w:ind w:left="0"/>
              <w:jc w:val="both"/>
              <w:rPr>
                <w:sz w:val="20"/>
                <w:szCs w:val="20"/>
              </w:rPr>
            </w:pPr>
            <w:r w:rsidRPr="00F11A18">
              <w:rPr>
                <w:sz w:val="20"/>
                <w:szCs w:val="20"/>
              </w:rPr>
              <w:t>Notimpaired</w:t>
            </w:r>
          </w:p>
        </w:tc>
        <w:tc>
          <w:tcPr>
            <w:tcW w:w="1916"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12(16.7)</w:t>
            </w:r>
          </w:p>
          <w:p w:rsidR="000B2401" w:rsidRPr="00F11A18" w:rsidRDefault="00C41A33" w:rsidP="00B41B23">
            <w:pPr>
              <w:pStyle w:val="TableParagraph"/>
              <w:snapToGrid w:val="0"/>
              <w:ind w:left="0"/>
              <w:jc w:val="both"/>
              <w:rPr>
                <w:sz w:val="20"/>
                <w:szCs w:val="20"/>
              </w:rPr>
            </w:pPr>
            <w:r w:rsidRPr="00F11A18">
              <w:rPr>
                <w:sz w:val="20"/>
                <w:szCs w:val="20"/>
              </w:rPr>
              <w:t>60(83.3)</w:t>
            </w:r>
          </w:p>
        </w:tc>
      </w:tr>
      <w:tr w:rsidR="000B2401" w:rsidRPr="00F11A18" w:rsidTr="00B405E1">
        <w:trPr>
          <w:jc w:val="center"/>
        </w:trPr>
        <w:tc>
          <w:tcPr>
            <w:tcW w:w="3084"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Electrolytes</w:t>
            </w:r>
          </w:p>
          <w:p w:rsidR="000B2401" w:rsidRPr="00F11A18" w:rsidRDefault="00C41A33" w:rsidP="00B41B23">
            <w:pPr>
              <w:pStyle w:val="TableParagraph"/>
              <w:snapToGrid w:val="0"/>
              <w:ind w:left="0"/>
              <w:jc w:val="both"/>
              <w:rPr>
                <w:sz w:val="20"/>
                <w:szCs w:val="20"/>
              </w:rPr>
            </w:pPr>
            <w:r w:rsidRPr="00F11A18">
              <w:rPr>
                <w:sz w:val="20"/>
                <w:szCs w:val="20"/>
              </w:rPr>
              <w:t>Impaired</w:t>
            </w:r>
          </w:p>
          <w:p w:rsidR="000B2401" w:rsidRPr="00F11A18" w:rsidRDefault="00C41A33" w:rsidP="00B41B23">
            <w:pPr>
              <w:pStyle w:val="TableParagraph"/>
              <w:snapToGrid w:val="0"/>
              <w:ind w:left="0"/>
              <w:jc w:val="both"/>
              <w:rPr>
                <w:sz w:val="20"/>
                <w:szCs w:val="20"/>
              </w:rPr>
            </w:pPr>
            <w:r w:rsidRPr="00F11A18">
              <w:rPr>
                <w:sz w:val="20"/>
                <w:szCs w:val="20"/>
              </w:rPr>
              <w:t>Notimpaired</w:t>
            </w:r>
          </w:p>
        </w:tc>
        <w:tc>
          <w:tcPr>
            <w:tcW w:w="1916" w:type="pct"/>
            <w:tcBorders>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33(45.8)</w:t>
            </w:r>
          </w:p>
          <w:p w:rsidR="000B2401" w:rsidRPr="00F11A18" w:rsidRDefault="00C41A33" w:rsidP="00B41B23">
            <w:pPr>
              <w:pStyle w:val="TableParagraph"/>
              <w:snapToGrid w:val="0"/>
              <w:ind w:left="0"/>
              <w:jc w:val="both"/>
              <w:rPr>
                <w:sz w:val="20"/>
                <w:szCs w:val="20"/>
              </w:rPr>
            </w:pPr>
            <w:r w:rsidRPr="00F11A18">
              <w:rPr>
                <w:sz w:val="20"/>
                <w:szCs w:val="20"/>
              </w:rPr>
              <w:t>39(54.2)</w:t>
            </w:r>
          </w:p>
        </w:tc>
      </w:tr>
      <w:tr w:rsidR="000B2401" w:rsidRPr="00F11A18" w:rsidTr="00B405E1">
        <w:trPr>
          <w:jc w:val="center"/>
        </w:trPr>
        <w:tc>
          <w:tcPr>
            <w:tcW w:w="3084" w:type="pct"/>
            <w:tcBorders>
              <w:left w:val="single" w:sz="4" w:space="0" w:color="000000"/>
              <w:bottom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Coagulation profile</w:t>
            </w:r>
          </w:p>
          <w:p w:rsidR="000B2401" w:rsidRPr="00F11A18" w:rsidRDefault="00C41A33" w:rsidP="00B41B23">
            <w:pPr>
              <w:pStyle w:val="TableParagraph"/>
              <w:snapToGrid w:val="0"/>
              <w:ind w:left="0"/>
              <w:jc w:val="both"/>
              <w:rPr>
                <w:sz w:val="20"/>
                <w:szCs w:val="20"/>
              </w:rPr>
            </w:pPr>
            <w:r w:rsidRPr="00F11A18">
              <w:rPr>
                <w:sz w:val="20"/>
                <w:szCs w:val="20"/>
              </w:rPr>
              <w:t>Impaired</w:t>
            </w:r>
          </w:p>
          <w:p w:rsidR="000B2401" w:rsidRPr="00F11A18" w:rsidRDefault="00C41A33" w:rsidP="00B41B23">
            <w:pPr>
              <w:pStyle w:val="TableParagraph"/>
              <w:snapToGrid w:val="0"/>
              <w:ind w:left="0"/>
              <w:jc w:val="both"/>
              <w:rPr>
                <w:sz w:val="20"/>
                <w:szCs w:val="20"/>
              </w:rPr>
            </w:pPr>
            <w:r w:rsidRPr="00F11A18">
              <w:rPr>
                <w:sz w:val="20"/>
                <w:szCs w:val="20"/>
              </w:rPr>
              <w:t>Notimpaired</w:t>
            </w:r>
          </w:p>
        </w:tc>
        <w:tc>
          <w:tcPr>
            <w:tcW w:w="1916" w:type="pct"/>
            <w:tcBorders>
              <w:bottom w:val="single" w:sz="4" w:space="0" w:color="000000"/>
              <w:right w:val="single" w:sz="4" w:space="0" w:color="000000"/>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29(40.3)</w:t>
            </w:r>
          </w:p>
          <w:p w:rsidR="000B2401" w:rsidRPr="00F11A18" w:rsidRDefault="00C41A33" w:rsidP="00B41B23">
            <w:pPr>
              <w:pStyle w:val="TableParagraph"/>
              <w:snapToGrid w:val="0"/>
              <w:ind w:left="0"/>
              <w:jc w:val="both"/>
              <w:rPr>
                <w:sz w:val="20"/>
                <w:szCs w:val="20"/>
              </w:rPr>
            </w:pPr>
            <w:r w:rsidRPr="00F11A18">
              <w:rPr>
                <w:sz w:val="20"/>
                <w:szCs w:val="20"/>
              </w:rPr>
              <w:t>43(59.7)</w:t>
            </w:r>
          </w:p>
        </w:tc>
      </w:tr>
    </w:tbl>
    <w:p w:rsidR="000B2401" w:rsidRPr="00F11A18" w:rsidRDefault="00C41A33" w:rsidP="00B41B23">
      <w:pPr>
        <w:snapToGrid w:val="0"/>
        <w:jc w:val="both"/>
        <w:rPr>
          <w:sz w:val="20"/>
          <w:szCs w:val="20"/>
        </w:rPr>
      </w:pPr>
      <w:r w:rsidRPr="00F11A18">
        <w:rPr>
          <w:sz w:val="20"/>
          <w:szCs w:val="20"/>
        </w:rPr>
        <w:t>TLC; Total leucocytic count</w:t>
      </w:r>
    </w:p>
    <w:p w:rsidR="00DA641A" w:rsidRPr="00F11A18" w:rsidRDefault="00DA641A" w:rsidP="00B41B23">
      <w:pPr>
        <w:pStyle w:val="Heading1"/>
        <w:snapToGrid w:val="0"/>
        <w:ind w:left="0"/>
        <w:jc w:val="both"/>
        <w:rPr>
          <w:sz w:val="20"/>
          <w:szCs w:val="20"/>
        </w:rPr>
      </w:pPr>
    </w:p>
    <w:p w:rsidR="000B2401" w:rsidRPr="00F11A18" w:rsidRDefault="00DA641A" w:rsidP="00B41B23">
      <w:pPr>
        <w:pStyle w:val="Heading1"/>
        <w:snapToGrid w:val="0"/>
        <w:ind w:left="0"/>
        <w:jc w:val="center"/>
        <w:rPr>
          <w:sz w:val="20"/>
          <w:szCs w:val="20"/>
        </w:rPr>
      </w:pPr>
      <w:r w:rsidRPr="00F11A18">
        <w:rPr>
          <w:sz w:val="20"/>
          <w:szCs w:val="20"/>
        </w:rPr>
        <w:t xml:space="preserve">Table </w:t>
      </w:r>
      <w:r w:rsidR="00C41A33" w:rsidRPr="00F11A18">
        <w:rPr>
          <w:sz w:val="20"/>
          <w:szCs w:val="20"/>
        </w:rPr>
        <w:t>(3): Frequency of isolated organisms in 118 blood cultures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8034"/>
        <w:gridCol w:w="1440"/>
      </w:tblGrid>
      <w:tr w:rsidR="000B2401" w:rsidRPr="00F11A18" w:rsidTr="00B405E1">
        <w:trPr>
          <w:jc w:val="center"/>
        </w:trPr>
        <w:tc>
          <w:tcPr>
            <w:tcW w:w="4240"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Organism</w:t>
            </w:r>
          </w:p>
        </w:tc>
        <w:tc>
          <w:tcPr>
            <w:tcW w:w="760"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N (%)</w:t>
            </w:r>
          </w:p>
        </w:tc>
      </w:tr>
      <w:tr w:rsidR="000B2401" w:rsidRPr="00F11A18" w:rsidTr="00B405E1">
        <w:trPr>
          <w:jc w:val="center"/>
        </w:trPr>
        <w:tc>
          <w:tcPr>
            <w:tcW w:w="4240" w:type="pct"/>
            <w:tcBorders>
              <w:bottom w:val="nil"/>
            </w:tcBorders>
            <w:vAlign w:val="center"/>
          </w:tcPr>
          <w:p w:rsidR="000B2401" w:rsidRPr="00F11A18" w:rsidRDefault="00C41A33" w:rsidP="00B41B23">
            <w:pPr>
              <w:pStyle w:val="TableParagraph"/>
              <w:snapToGrid w:val="0"/>
              <w:ind w:left="0"/>
              <w:jc w:val="both"/>
              <w:rPr>
                <w:sz w:val="20"/>
                <w:szCs w:val="20"/>
              </w:rPr>
            </w:pPr>
            <w:r w:rsidRPr="00F11A18">
              <w:rPr>
                <w:i/>
                <w:sz w:val="20"/>
                <w:szCs w:val="20"/>
              </w:rPr>
              <w:t>Klebsiella</w:t>
            </w:r>
            <w:r w:rsidR="00F11A18">
              <w:rPr>
                <w:rFonts w:eastAsiaTheme="minorEastAsia" w:hint="eastAsia"/>
                <w:i/>
                <w:sz w:val="20"/>
                <w:szCs w:val="20"/>
                <w:lang w:eastAsia="zh-CN"/>
              </w:rPr>
              <w:t xml:space="preserve"> </w:t>
            </w:r>
            <w:r w:rsidRPr="00F11A18">
              <w:rPr>
                <w:sz w:val="20"/>
                <w:szCs w:val="20"/>
              </w:rPr>
              <w:t>species</w:t>
            </w:r>
          </w:p>
        </w:tc>
        <w:tc>
          <w:tcPr>
            <w:tcW w:w="760" w:type="pct"/>
            <w:tcBorders>
              <w:bottom w:val="nil"/>
            </w:tcBorders>
            <w:vAlign w:val="center"/>
          </w:tcPr>
          <w:p w:rsidR="000B2401" w:rsidRPr="00F11A18" w:rsidRDefault="00C41A33" w:rsidP="00B41B23">
            <w:pPr>
              <w:pStyle w:val="TableParagraph"/>
              <w:snapToGrid w:val="0"/>
              <w:ind w:left="0"/>
              <w:jc w:val="both"/>
              <w:rPr>
                <w:sz w:val="20"/>
                <w:szCs w:val="20"/>
              </w:rPr>
            </w:pPr>
            <w:r w:rsidRPr="00F11A18">
              <w:rPr>
                <w:sz w:val="20"/>
                <w:szCs w:val="20"/>
              </w:rPr>
              <w:t>46 (38.9)</w:t>
            </w:r>
          </w:p>
        </w:tc>
      </w:tr>
      <w:tr w:rsidR="000B2401" w:rsidRPr="00F11A18" w:rsidTr="00B405E1">
        <w:trPr>
          <w:jc w:val="center"/>
        </w:trPr>
        <w:tc>
          <w:tcPr>
            <w:tcW w:w="4240" w:type="pct"/>
            <w:tcBorders>
              <w:top w:val="nil"/>
              <w:bottom w:val="nil"/>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Fermenters</w:t>
            </w:r>
          </w:p>
          <w:p w:rsidR="000B2401" w:rsidRPr="00F11A18" w:rsidRDefault="00C41A33" w:rsidP="00B41B23">
            <w:pPr>
              <w:pStyle w:val="TableParagraph"/>
              <w:snapToGrid w:val="0"/>
              <w:ind w:left="0"/>
              <w:jc w:val="both"/>
              <w:rPr>
                <w:i/>
                <w:sz w:val="20"/>
                <w:szCs w:val="20"/>
              </w:rPr>
            </w:pPr>
            <w:r w:rsidRPr="00F11A18">
              <w:rPr>
                <w:i/>
                <w:sz w:val="20"/>
                <w:szCs w:val="20"/>
              </w:rPr>
              <w:t>E-coli</w:t>
            </w:r>
          </w:p>
          <w:p w:rsidR="000B2401" w:rsidRPr="00F11A18" w:rsidRDefault="00C41A33" w:rsidP="00B41B23">
            <w:pPr>
              <w:pStyle w:val="TableParagraph"/>
              <w:snapToGrid w:val="0"/>
              <w:ind w:left="0"/>
              <w:jc w:val="both"/>
              <w:rPr>
                <w:sz w:val="20"/>
                <w:szCs w:val="20"/>
              </w:rPr>
            </w:pPr>
            <w:r w:rsidRPr="00F11A18">
              <w:rPr>
                <w:i/>
                <w:sz w:val="20"/>
                <w:szCs w:val="20"/>
              </w:rPr>
              <w:t>Enterobacter</w:t>
            </w:r>
            <w:r w:rsidR="00F11A18">
              <w:rPr>
                <w:rFonts w:eastAsiaTheme="minorEastAsia" w:hint="eastAsia"/>
                <w:i/>
                <w:sz w:val="20"/>
                <w:szCs w:val="20"/>
                <w:lang w:eastAsia="zh-CN"/>
              </w:rPr>
              <w:t xml:space="preserve"> </w:t>
            </w:r>
            <w:r w:rsidRPr="00F11A18">
              <w:rPr>
                <w:sz w:val="20"/>
                <w:szCs w:val="20"/>
              </w:rPr>
              <w:t>species</w:t>
            </w:r>
          </w:p>
          <w:p w:rsidR="000B2401" w:rsidRPr="00F11A18" w:rsidRDefault="00C41A33" w:rsidP="00B41B23">
            <w:pPr>
              <w:pStyle w:val="TableParagraph"/>
              <w:snapToGrid w:val="0"/>
              <w:ind w:left="0"/>
              <w:jc w:val="both"/>
              <w:rPr>
                <w:i/>
                <w:sz w:val="20"/>
                <w:szCs w:val="20"/>
              </w:rPr>
            </w:pPr>
            <w:r w:rsidRPr="00F11A18">
              <w:rPr>
                <w:i/>
                <w:sz w:val="20"/>
                <w:szCs w:val="20"/>
              </w:rPr>
              <w:t>Citrobacterfreudii</w:t>
            </w:r>
          </w:p>
        </w:tc>
        <w:tc>
          <w:tcPr>
            <w:tcW w:w="760" w:type="pct"/>
            <w:tcBorders>
              <w:top w:val="nil"/>
              <w:bottom w:val="nil"/>
            </w:tcBorders>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37 (31.3)</w:t>
            </w:r>
          </w:p>
          <w:p w:rsidR="000B2401" w:rsidRPr="00F11A18" w:rsidRDefault="00C41A33" w:rsidP="00B41B23">
            <w:pPr>
              <w:pStyle w:val="TableParagraph"/>
              <w:snapToGrid w:val="0"/>
              <w:ind w:left="0"/>
              <w:jc w:val="both"/>
              <w:rPr>
                <w:sz w:val="20"/>
                <w:szCs w:val="20"/>
              </w:rPr>
            </w:pPr>
            <w:r w:rsidRPr="00F11A18">
              <w:rPr>
                <w:sz w:val="20"/>
                <w:szCs w:val="20"/>
              </w:rPr>
              <w:t>6 (5)</w:t>
            </w:r>
          </w:p>
          <w:p w:rsidR="000B2401" w:rsidRPr="00F11A18" w:rsidRDefault="00C41A33" w:rsidP="00B41B23">
            <w:pPr>
              <w:pStyle w:val="TableParagraph"/>
              <w:snapToGrid w:val="0"/>
              <w:ind w:left="0"/>
              <w:jc w:val="both"/>
              <w:rPr>
                <w:sz w:val="20"/>
                <w:szCs w:val="20"/>
              </w:rPr>
            </w:pPr>
            <w:r w:rsidRPr="00F11A18">
              <w:rPr>
                <w:sz w:val="20"/>
                <w:szCs w:val="20"/>
              </w:rPr>
              <w:t>1 (0.84)</w:t>
            </w:r>
          </w:p>
        </w:tc>
      </w:tr>
      <w:tr w:rsidR="000B2401" w:rsidRPr="00F11A18" w:rsidTr="00B405E1">
        <w:trPr>
          <w:jc w:val="center"/>
        </w:trPr>
        <w:tc>
          <w:tcPr>
            <w:tcW w:w="4240" w:type="pct"/>
            <w:tcBorders>
              <w:top w:val="nil"/>
            </w:tcBorders>
            <w:vAlign w:val="center"/>
          </w:tcPr>
          <w:p w:rsidR="000B2401" w:rsidRPr="00F11A18" w:rsidRDefault="00C41A33" w:rsidP="00B41B23">
            <w:pPr>
              <w:pStyle w:val="TableParagraph"/>
              <w:snapToGrid w:val="0"/>
              <w:ind w:left="0"/>
              <w:jc w:val="both"/>
              <w:rPr>
                <w:sz w:val="20"/>
                <w:szCs w:val="20"/>
              </w:rPr>
            </w:pPr>
            <w:r w:rsidRPr="00F11A18">
              <w:rPr>
                <w:b/>
                <w:sz w:val="20"/>
                <w:szCs w:val="20"/>
              </w:rPr>
              <w:t xml:space="preserve">Non-fermenters </w:t>
            </w:r>
            <w:r w:rsidRPr="00F11A18">
              <w:rPr>
                <w:i/>
                <w:sz w:val="20"/>
                <w:szCs w:val="20"/>
              </w:rPr>
              <w:t xml:space="preserve">Pseudomonas </w:t>
            </w:r>
            <w:r w:rsidRPr="00F11A18">
              <w:rPr>
                <w:sz w:val="20"/>
                <w:szCs w:val="20"/>
              </w:rPr>
              <w:t xml:space="preserve">species </w:t>
            </w:r>
            <w:r w:rsidRPr="00F11A18">
              <w:rPr>
                <w:i/>
                <w:sz w:val="20"/>
                <w:szCs w:val="20"/>
              </w:rPr>
              <w:t>Acinetobacter</w:t>
            </w:r>
            <w:r w:rsidR="00F11A18">
              <w:rPr>
                <w:rFonts w:eastAsiaTheme="minorEastAsia" w:hint="eastAsia"/>
                <w:i/>
                <w:sz w:val="20"/>
                <w:szCs w:val="20"/>
                <w:lang w:eastAsia="zh-CN"/>
              </w:rPr>
              <w:t xml:space="preserve"> </w:t>
            </w:r>
            <w:r w:rsidRPr="00F11A18">
              <w:rPr>
                <w:sz w:val="20"/>
                <w:szCs w:val="20"/>
              </w:rPr>
              <w:t>species</w:t>
            </w:r>
          </w:p>
        </w:tc>
        <w:tc>
          <w:tcPr>
            <w:tcW w:w="760" w:type="pct"/>
            <w:tcBorders>
              <w:top w:val="nil"/>
            </w:tcBorders>
            <w:vAlign w:val="center"/>
          </w:tcPr>
          <w:p w:rsidR="000B2401" w:rsidRPr="00F11A18" w:rsidRDefault="00C41A33" w:rsidP="00B41B23">
            <w:pPr>
              <w:pStyle w:val="TableParagraph"/>
              <w:snapToGrid w:val="0"/>
              <w:ind w:left="0"/>
              <w:jc w:val="both"/>
              <w:rPr>
                <w:sz w:val="20"/>
                <w:szCs w:val="20"/>
              </w:rPr>
            </w:pPr>
            <w:r w:rsidRPr="00F11A18">
              <w:rPr>
                <w:sz w:val="20"/>
                <w:szCs w:val="20"/>
              </w:rPr>
              <w:t>14</w:t>
            </w:r>
            <w:r w:rsidR="00F11A18">
              <w:rPr>
                <w:rFonts w:eastAsiaTheme="minorEastAsia" w:hint="eastAsia"/>
                <w:sz w:val="20"/>
                <w:szCs w:val="20"/>
                <w:lang w:eastAsia="zh-CN"/>
              </w:rPr>
              <w:t xml:space="preserve"> </w:t>
            </w:r>
            <w:r w:rsidRPr="00F11A18">
              <w:rPr>
                <w:sz w:val="20"/>
                <w:szCs w:val="20"/>
              </w:rPr>
              <w:t>(11.4)</w:t>
            </w:r>
          </w:p>
          <w:p w:rsidR="000B2401" w:rsidRPr="00F11A18" w:rsidRDefault="00C41A33" w:rsidP="00B41B23">
            <w:pPr>
              <w:pStyle w:val="TableParagraph"/>
              <w:snapToGrid w:val="0"/>
              <w:ind w:left="0"/>
              <w:jc w:val="both"/>
              <w:rPr>
                <w:sz w:val="20"/>
                <w:szCs w:val="20"/>
              </w:rPr>
            </w:pPr>
            <w:r w:rsidRPr="00F11A18">
              <w:rPr>
                <w:sz w:val="20"/>
                <w:szCs w:val="20"/>
              </w:rPr>
              <w:t>14</w:t>
            </w:r>
            <w:r w:rsidR="00F11A18">
              <w:rPr>
                <w:rFonts w:eastAsiaTheme="minorEastAsia" w:hint="eastAsia"/>
                <w:sz w:val="20"/>
                <w:szCs w:val="20"/>
                <w:lang w:eastAsia="zh-CN"/>
              </w:rPr>
              <w:t xml:space="preserve"> </w:t>
            </w:r>
            <w:r w:rsidRPr="00F11A18">
              <w:rPr>
                <w:sz w:val="20"/>
                <w:szCs w:val="20"/>
              </w:rPr>
              <w:t>(11.4)</w:t>
            </w:r>
          </w:p>
        </w:tc>
      </w:tr>
      <w:tr w:rsidR="000B2401" w:rsidRPr="00F11A18" w:rsidTr="00B405E1">
        <w:trPr>
          <w:jc w:val="center"/>
        </w:trPr>
        <w:tc>
          <w:tcPr>
            <w:tcW w:w="4240"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Total</w:t>
            </w:r>
          </w:p>
        </w:tc>
        <w:tc>
          <w:tcPr>
            <w:tcW w:w="760"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118 (100)</w:t>
            </w:r>
          </w:p>
        </w:tc>
      </w:tr>
    </w:tbl>
    <w:p w:rsidR="000B2401" w:rsidRPr="00F11A18" w:rsidRDefault="000B2401" w:rsidP="00B41B23">
      <w:pPr>
        <w:pStyle w:val="BodyText"/>
        <w:snapToGrid w:val="0"/>
        <w:ind w:left="0"/>
        <w:jc w:val="center"/>
        <w:rPr>
          <w:b/>
          <w:sz w:val="20"/>
          <w:szCs w:val="20"/>
        </w:rPr>
      </w:pPr>
    </w:p>
    <w:p w:rsidR="000B2401" w:rsidRPr="00F11A18" w:rsidRDefault="00DA641A" w:rsidP="00B41B23">
      <w:pPr>
        <w:snapToGrid w:val="0"/>
        <w:jc w:val="center"/>
        <w:rPr>
          <w:b/>
          <w:sz w:val="20"/>
          <w:szCs w:val="20"/>
        </w:rPr>
      </w:pPr>
      <w:r w:rsidRPr="00F11A18">
        <w:rPr>
          <w:b/>
          <w:sz w:val="20"/>
          <w:szCs w:val="20"/>
        </w:rPr>
        <w:t xml:space="preserve">Table </w:t>
      </w:r>
      <w:r w:rsidR="00C41A33" w:rsidRPr="00F11A18">
        <w:rPr>
          <w:b/>
          <w:sz w:val="20"/>
          <w:szCs w:val="20"/>
        </w:rPr>
        <w:t>(4): Susceptibility of organisms to antimicrobial agents</w:t>
      </w:r>
    </w:p>
    <w:tbl>
      <w:tblPr>
        <w:tblW w:w="5000" w:type="pct"/>
        <w:jc w:val="center"/>
        <w:tblCellMar>
          <w:left w:w="57" w:type="dxa"/>
          <w:right w:w="57" w:type="dxa"/>
        </w:tblCellMar>
        <w:tblLook w:val="01E0"/>
      </w:tblPr>
      <w:tblGrid>
        <w:gridCol w:w="3404"/>
        <w:gridCol w:w="3053"/>
        <w:gridCol w:w="3017"/>
      </w:tblGrid>
      <w:tr w:rsidR="000B2401" w:rsidRPr="00F11A18" w:rsidTr="00B405E1">
        <w:trPr>
          <w:jc w:val="center"/>
        </w:trPr>
        <w:tc>
          <w:tcPr>
            <w:tcW w:w="1796" w:type="pct"/>
            <w:tcBorders>
              <w:top w:val="single" w:sz="4" w:space="0" w:color="000000"/>
              <w:left w:val="single" w:sz="4" w:space="0" w:color="000000"/>
              <w:bottom w:val="single" w:sz="4" w:space="0" w:color="000000"/>
              <w:righ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Antimicrobial</w:t>
            </w:r>
          </w:p>
        </w:tc>
        <w:tc>
          <w:tcPr>
            <w:tcW w:w="1611" w:type="pct"/>
            <w:tcBorders>
              <w:top w:val="single" w:sz="4" w:space="0" w:color="000000"/>
              <w:left w:val="single" w:sz="4" w:space="0" w:color="000000"/>
              <w:bottom w:val="single" w:sz="4" w:space="0" w:color="000000"/>
              <w:righ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Sensitive N (%)</w:t>
            </w:r>
          </w:p>
        </w:tc>
        <w:tc>
          <w:tcPr>
            <w:tcW w:w="1592" w:type="pct"/>
            <w:tcBorders>
              <w:top w:val="single" w:sz="4" w:space="0" w:color="000000"/>
              <w:left w:val="single" w:sz="4" w:space="0" w:color="000000"/>
              <w:bottom w:val="single" w:sz="4" w:space="0" w:color="000000"/>
              <w:righ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Resistant</w:t>
            </w:r>
            <w:r w:rsidR="009A440F" w:rsidRPr="00F11A18">
              <w:rPr>
                <w:rFonts w:eastAsiaTheme="minorEastAsia" w:hint="eastAsia"/>
                <w:b/>
                <w:sz w:val="20"/>
                <w:szCs w:val="20"/>
                <w:lang w:eastAsia="zh-CN"/>
              </w:rPr>
              <w:t xml:space="preserve"> </w:t>
            </w:r>
            <w:r w:rsidRPr="00F11A18">
              <w:rPr>
                <w:b/>
                <w:sz w:val="20"/>
                <w:szCs w:val="20"/>
              </w:rPr>
              <w:t>N (%)</w:t>
            </w:r>
          </w:p>
        </w:tc>
      </w:tr>
      <w:tr w:rsidR="000B2401" w:rsidRPr="00F11A18" w:rsidTr="00B405E1">
        <w:trPr>
          <w:jc w:val="center"/>
        </w:trPr>
        <w:tc>
          <w:tcPr>
            <w:tcW w:w="1796" w:type="pct"/>
            <w:tcBorders>
              <w:top w:val="single" w:sz="4" w:space="0" w:color="000000"/>
              <w:lef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Meropenem</w:t>
            </w:r>
          </w:p>
        </w:tc>
        <w:tc>
          <w:tcPr>
            <w:tcW w:w="1611" w:type="pct"/>
            <w:tcBorders>
              <w:top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8 (6.8%)</w:t>
            </w:r>
          </w:p>
        </w:tc>
        <w:tc>
          <w:tcPr>
            <w:tcW w:w="1592" w:type="pct"/>
            <w:tcBorders>
              <w:top w:val="single" w:sz="4" w:space="0" w:color="000000"/>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110 (93.2%)</w:t>
            </w:r>
          </w:p>
        </w:tc>
      </w:tr>
      <w:tr w:rsidR="000B2401" w:rsidRPr="00F11A18" w:rsidTr="00B405E1">
        <w:trPr>
          <w:jc w:val="center"/>
        </w:trPr>
        <w:tc>
          <w:tcPr>
            <w:tcW w:w="1796" w:type="pct"/>
            <w:tcBorders>
              <w:lef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Ciprofloxacin</w:t>
            </w:r>
          </w:p>
        </w:tc>
        <w:tc>
          <w:tcPr>
            <w:tcW w:w="1611" w:type="pct"/>
            <w:vAlign w:val="center"/>
          </w:tcPr>
          <w:p w:rsidR="000B2401" w:rsidRPr="00F11A18" w:rsidRDefault="00C41A33" w:rsidP="00B41B23">
            <w:pPr>
              <w:pStyle w:val="TableParagraph"/>
              <w:snapToGrid w:val="0"/>
              <w:ind w:left="0"/>
              <w:jc w:val="both"/>
              <w:rPr>
                <w:sz w:val="20"/>
                <w:szCs w:val="20"/>
              </w:rPr>
            </w:pPr>
            <w:r w:rsidRPr="00F11A18">
              <w:rPr>
                <w:sz w:val="20"/>
                <w:szCs w:val="20"/>
              </w:rPr>
              <w:t>8 (6.8%)</w:t>
            </w:r>
          </w:p>
        </w:tc>
        <w:tc>
          <w:tcPr>
            <w:tcW w:w="1592" w:type="pct"/>
            <w:tcBorders>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110 (93.2%)</w:t>
            </w:r>
          </w:p>
        </w:tc>
      </w:tr>
      <w:tr w:rsidR="000B2401" w:rsidRPr="00F11A18" w:rsidTr="00B405E1">
        <w:trPr>
          <w:jc w:val="center"/>
        </w:trPr>
        <w:tc>
          <w:tcPr>
            <w:tcW w:w="1796" w:type="pct"/>
            <w:tcBorders>
              <w:lef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Levofloxacin</w:t>
            </w:r>
          </w:p>
        </w:tc>
        <w:tc>
          <w:tcPr>
            <w:tcW w:w="1611" w:type="pct"/>
            <w:vAlign w:val="center"/>
          </w:tcPr>
          <w:p w:rsidR="000B2401" w:rsidRPr="00F11A18" w:rsidRDefault="00C41A33" w:rsidP="00B41B23">
            <w:pPr>
              <w:pStyle w:val="TableParagraph"/>
              <w:snapToGrid w:val="0"/>
              <w:ind w:left="0"/>
              <w:jc w:val="both"/>
              <w:rPr>
                <w:sz w:val="20"/>
                <w:szCs w:val="20"/>
              </w:rPr>
            </w:pPr>
            <w:r w:rsidRPr="00F11A18">
              <w:rPr>
                <w:sz w:val="20"/>
                <w:szCs w:val="20"/>
              </w:rPr>
              <w:t>10 (8.5%)</w:t>
            </w:r>
          </w:p>
        </w:tc>
        <w:tc>
          <w:tcPr>
            <w:tcW w:w="1592" w:type="pct"/>
            <w:tcBorders>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108 (91.5%)</w:t>
            </w:r>
          </w:p>
        </w:tc>
      </w:tr>
      <w:tr w:rsidR="000B2401" w:rsidRPr="00F11A18" w:rsidTr="00B405E1">
        <w:trPr>
          <w:jc w:val="center"/>
        </w:trPr>
        <w:tc>
          <w:tcPr>
            <w:tcW w:w="1796" w:type="pct"/>
            <w:tcBorders>
              <w:lef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Imipinemcilastatin</w:t>
            </w:r>
          </w:p>
        </w:tc>
        <w:tc>
          <w:tcPr>
            <w:tcW w:w="1611" w:type="pct"/>
            <w:vAlign w:val="center"/>
          </w:tcPr>
          <w:p w:rsidR="000B2401" w:rsidRPr="00F11A18" w:rsidRDefault="00C41A33" w:rsidP="00B41B23">
            <w:pPr>
              <w:pStyle w:val="TableParagraph"/>
              <w:snapToGrid w:val="0"/>
              <w:ind w:left="0"/>
              <w:jc w:val="both"/>
              <w:rPr>
                <w:sz w:val="20"/>
                <w:szCs w:val="20"/>
              </w:rPr>
            </w:pPr>
            <w:r w:rsidRPr="00F11A18">
              <w:rPr>
                <w:sz w:val="20"/>
                <w:szCs w:val="20"/>
              </w:rPr>
              <w:t>13 (11.1%)</w:t>
            </w:r>
          </w:p>
        </w:tc>
        <w:tc>
          <w:tcPr>
            <w:tcW w:w="1592" w:type="pct"/>
            <w:tcBorders>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105 (88.9%)</w:t>
            </w:r>
          </w:p>
        </w:tc>
      </w:tr>
      <w:tr w:rsidR="000B2401" w:rsidRPr="00F11A18" w:rsidTr="00B405E1">
        <w:trPr>
          <w:jc w:val="center"/>
        </w:trPr>
        <w:tc>
          <w:tcPr>
            <w:tcW w:w="1796" w:type="pct"/>
            <w:tcBorders>
              <w:lef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Gentamycin</w:t>
            </w:r>
          </w:p>
        </w:tc>
        <w:tc>
          <w:tcPr>
            <w:tcW w:w="1611" w:type="pct"/>
            <w:vAlign w:val="center"/>
          </w:tcPr>
          <w:p w:rsidR="000B2401" w:rsidRPr="00F11A18" w:rsidRDefault="00C41A33" w:rsidP="00B41B23">
            <w:pPr>
              <w:pStyle w:val="TableParagraph"/>
              <w:snapToGrid w:val="0"/>
              <w:ind w:left="0"/>
              <w:jc w:val="both"/>
              <w:rPr>
                <w:sz w:val="20"/>
                <w:szCs w:val="20"/>
              </w:rPr>
            </w:pPr>
            <w:r w:rsidRPr="00F11A18">
              <w:rPr>
                <w:sz w:val="20"/>
                <w:szCs w:val="20"/>
              </w:rPr>
              <w:t>17 (14.5%)</w:t>
            </w:r>
          </w:p>
        </w:tc>
        <w:tc>
          <w:tcPr>
            <w:tcW w:w="1592" w:type="pct"/>
            <w:tcBorders>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101 (85.5%)</w:t>
            </w:r>
          </w:p>
        </w:tc>
      </w:tr>
      <w:tr w:rsidR="000B2401" w:rsidRPr="00F11A18" w:rsidTr="00B405E1">
        <w:trPr>
          <w:jc w:val="center"/>
        </w:trPr>
        <w:tc>
          <w:tcPr>
            <w:tcW w:w="1796" w:type="pct"/>
            <w:tcBorders>
              <w:lef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Amikacin</w:t>
            </w:r>
          </w:p>
        </w:tc>
        <w:tc>
          <w:tcPr>
            <w:tcW w:w="1611" w:type="pct"/>
            <w:vAlign w:val="center"/>
          </w:tcPr>
          <w:p w:rsidR="000B2401" w:rsidRPr="00F11A18" w:rsidRDefault="00C41A33" w:rsidP="00B41B23">
            <w:pPr>
              <w:pStyle w:val="TableParagraph"/>
              <w:snapToGrid w:val="0"/>
              <w:ind w:left="0"/>
              <w:jc w:val="both"/>
              <w:rPr>
                <w:sz w:val="20"/>
                <w:szCs w:val="20"/>
              </w:rPr>
            </w:pPr>
            <w:r w:rsidRPr="00F11A18">
              <w:rPr>
                <w:sz w:val="20"/>
                <w:szCs w:val="20"/>
              </w:rPr>
              <w:t>31 (26.3%)</w:t>
            </w:r>
          </w:p>
        </w:tc>
        <w:tc>
          <w:tcPr>
            <w:tcW w:w="1592" w:type="pct"/>
            <w:tcBorders>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87 (73.7%)</w:t>
            </w:r>
          </w:p>
        </w:tc>
      </w:tr>
      <w:tr w:rsidR="000B2401" w:rsidRPr="00F11A18" w:rsidTr="00B405E1">
        <w:trPr>
          <w:jc w:val="center"/>
        </w:trPr>
        <w:tc>
          <w:tcPr>
            <w:tcW w:w="1796" w:type="pct"/>
            <w:tcBorders>
              <w:lef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Colistin</w:t>
            </w:r>
          </w:p>
        </w:tc>
        <w:tc>
          <w:tcPr>
            <w:tcW w:w="1611" w:type="pct"/>
            <w:vAlign w:val="center"/>
          </w:tcPr>
          <w:p w:rsidR="000B2401" w:rsidRPr="00F11A18" w:rsidRDefault="00C41A33" w:rsidP="00B41B23">
            <w:pPr>
              <w:pStyle w:val="TableParagraph"/>
              <w:snapToGrid w:val="0"/>
              <w:ind w:left="0"/>
              <w:jc w:val="both"/>
              <w:rPr>
                <w:sz w:val="20"/>
                <w:szCs w:val="20"/>
              </w:rPr>
            </w:pPr>
            <w:r w:rsidRPr="00F11A18">
              <w:rPr>
                <w:sz w:val="20"/>
                <w:szCs w:val="20"/>
              </w:rPr>
              <w:t>45 (38.1%)</w:t>
            </w:r>
          </w:p>
        </w:tc>
        <w:tc>
          <w:tcPr>
            <w:tcW w:w="1592" w:type="pct"/>
            <w:tcBorders>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73 (61.9%)</w:t>
            </w:r>
          </w:p>
        </w:tc>
      </w:tr>
      <w:tr w:rsidR="000B2401" w:rsidRPr="00F11A18" w:rsidTr="00B405E1">
        <w:trPr>
          <w:jc w:val="center"/>
        </w:trPr>
        <w:tc>
          <w:tcPr>
            <w:tcW w:w="1796" w:type="pct"/>
            <w:tcBorders>
              <w:left w:val="single" w:sz="4" w:space="0" w:color="000000"/>
              <w:bottom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Tigecycline</w:t>
            </w:r>
          </w:p>
        </w:tc>
        <w:tc>
          <w:tcPr>
            <w:tcW w:w="1611" w:type="pct"/>
            <w:tcBorders>
              <w:bottom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53 (45%)</w:t>
            </w:r>
          </w:p>
        </w:tc>
        <w:tc>
          <w:tcPr>
            <w:tcW w:w="1592" w:type="pct"/>
            <w:tcBorders>
              <w:bottom w:val="single" w:sz="4" w:space="0" w:color="000000"/>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65 (55%)</w:t>
            </w:r>
          </w:p>
        </w:tc>
      </w:tr>
    </w:tbl>
    <w:p w:rsidR="00C64926" w:rsidRPr="00F11A18" w:rsidRDefault="00C64926" w:rsidP="00B41B23">
      <w:pPr>
        <w:snapToGrid w:val="0"/>
        <w:jc w:val="center"/>
        <w:rPr>
          <w:rFonts w:eastAsiaTheme="minorEastAsia"/>
          <w:b/>
          <w:sz w:val="20"/>
          <w:szCs w:val="20"/>
          <w:lang w:eastAsia="zh-CN"/>
        </w:rPr>
      </w:pPr>
    </w:p>
    <w:p w:rsidR="00B41B23" w:rsidRPr="00F11A18" w:rsidRDefault="00B41B23" w:rsidP="00B41B23">
      <w:pPr>
        <w:snapToGrid w:val="0"/>
        <w:jc w:val="center"/>
        <w:rPr>
          <w:rFonts w:eastAsiaTheme="minorEastAsia"/>
          <w:b/>
          <w:sz w:val="20"/>
          <w:szCs w:val="20"/>
          <w:lang w:eastAsia="zh-CN"/>
        </w:rPr>
      </w:pPr>
    </w:p>
    <w:p w:rsidR="007457A4" w:rsidRDefault="007457A4" w:rsidP="00B41B23">
      <w:pPr>
        <w:snapToGrid w:val="0"/>
        <w:jc w:val="center"/>
        <w:rPr>
          <w:rFonts w:eastAsiaTheme="minorEastAsia" w:hint="eastAsia"/>
          <w:b/>
          <w:sz w:val="20"/>
          <w:szCs w:val="20"/>
          <w:lang w:eastAsia="zh-CN"/>
        </w:rPr>
      </w:pPr>
    </w:p>
    <w:p w:rsidR="000B2401" w:rsidRPr="00F11A18" w:rsidRDefault="000F782C" w:rsidP="00B41B23">
      <w:pPr>
        <w:snapToGrid w:val="0"/>
        <w:jc w:val="center"/>
        <w:rPr>
          <w:b/>
          <w:sz w:val="20"/>
          <w:szCs w:val="20"/>
        </w:rPr>
      </w:pPr>
      <w:r w:rsidRPr="00F11A18">
        <w:rPr>
          <w:b/>
          <w:sz w:val="20"/>
          <w:szCs w:val="20"/>
        </w:rPr>
        <w:t xml:space="preserve">Table </w:t>
      </w:r>
      <w:r w:rsidR="00C41A33" w:rsidRPr="00F11A18">
        <w:rPr>
          <w:b/>
          <w:sz w:val="20"/>
          <w:szCs w:val="20"/>
        </w:rPr>
        <w:t>(5): Mortality and its relation to different variables</w:t>
      </w:r>
    </w:p>
    <w:tbl>
      <w:tblPr>
        <w:tblStyle w:val="TableGrid"/>
        <w:tblW w:w="5000" w:type="pct"/>
        <w:jc w:val="center"/>
        <w:tblCellMar>
          <w:left w:w="57" w:type="dxa"/>
          <w:right w:w="57" w:type="dxa"/>
        </w:tblCellMar>
        <w:tblLook w:val="01E0"/>
      </w:tblPr>
      <w:tblGrid>
        <w:gridCol w:w="5330"/>
        <w:gridCol w:w="1179"/>
        <w:gridCol w:w="1883"/>
        <w:gridCol w:w="1082"/>
      </w:tblGrid>
      <w:tr w:rsidR="00DA641A" w:rsidRPr="00F11A18" w:rsidTr="00B41B23">
        <w:trPr>
          <w:tblHeade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Variable</w:t>
            </w:r>
          </w:p>
        </w:tc>
        <w:tc>
          <w:tcPr>
            <w:tcW w:w="622"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Number</w:t>
            </w:r>
          </w:p>
        </w:tc>
        <w:tc>
          <w:tcPr>
            <w:tcW w:w="994"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Mortality (%)</w:t>
            </w:r>
          </w:p>
        </w:tc>
        <w:tc>
          <w:tcPr>
            <w:tcW w:w="571"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P-value</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Sex</w:t>
            </w:r>
          </w:p>
          <w:p w:rsidR="000B2401" w:rsidRPr="00F11A18" w:rsidRDefault="00C41A33" w:rsidP="00B41B23">
            <w:pPr>
              <w:pStyle w:val="TableParagraph"/>
              <w:snapToGrid w:val="0"/>
              <w:ind w:left="0"/>
              <w:jc w:val="both"/>
              <w:rPr>
                <w:sz w:val="20"/>
                <w:szCs w:val="20"/>
              </w:rPr>
            </w:pPr>
            <w:r w:rsidRPr="00F11A18">
              <w:rPr>
                <w:sz w:val="20"/>
                <w:szCs w:val="20"/>
              </w:rPr>
              <w:t>Male</w:t>
            </w:r>
          </w:p>
          <w:p w:rsidR="000B2401" w:rsidRPr="00F11A18" w:rsidRDefault="00C41A33" w:rsidP="00B41B23">
            <w:pPr>
              <w:pStyle w:val="TableParagraph"/>
              <w:snapToGrid w:val="0"/>
              <w:ind w:left="0"/>
              <w:jc w:val="both"/>
              <w:rPr>
                <w:sz w:val="20"/>
                <w:szCs w:val="20"/>
              </w:rPr>
            </w:pPr>
            <w:r w:rsidRPr="00F11A18">
              <w:rPr>
                <w:sz w:val="20"/>
                <w:szCs w:val="20"/>
              </w:rPr>
              <w:t>Female</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43</w:t>
            </w:r>
          </w:p>
          <w:p w:rsidR="000B2401" w:rsidRPr="00F11A18" w:rsidRDefault="00C41A33" w:rsidP="00B41B23">
            <w:pPr>
              <w:pStyle w:val="TableParagraph"/>
              <w:snapToGrid w:val="0"/>
              <w:ind w:left="0"/>
              <w:jc w:val="both"/>
              <w:rPr>
                <w:sz w:val="20"/>
                <w:szCs w:val="20"/>
              </w:rPr>
            </w:pPr>
            <w:r w:rsidRPr="00F11A18">
              <w:rPr>
                <w:sz w:val="20"/>
                <w:szCs w:val="20"/>
              </w:rPr>
              <w:t>29</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55.8</w:t>
            </w:r>
          </w:p>
          <w:p w:rsidR="000B2401" w:rsidRPr="00F11A18" w:rsidRDefault="00C41A33" w:rsidP="00B41B23">
            <w:pPr>
              <w:pStyle w:val="TableParagraph"/>
              <w:snapToGrid w:val="0"/>
              <w:ind w:left="0"/>
              <w:jc w:val="both"/>
              <w:rPr>
                <w:sz w:val="20"/>
                <w:szCs w:val="20"/>
              </w:rPr>
            </w:pPr>
            <w:r w:rsidRPr="00F11A18">
              <w:rPr>
                <w:sz w:val="20"/>
                <w:szCs w:val="20"/>
              </w:rPr>
              <w:t>58.6</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0.814</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Age (years)</w:t>
            </w:r>
          </w:p>
          <w:p w:rsidR="000B2401" w:rsidRPr="00F11A18" w:rsidRDefault="00C41A33" w:rsidP="00B41B23">
            <w:pPr>
              <w:pStyle w:val="TableParagraph"/>
              <w:snapToGrid w:val="0"/>
              <w:ind w:left="0"/>
              <w:jc w:val="both"/>
              <w:rPr>
                <w:sz w:val="20"/>
                <w:szCs w:val="20"/>
              </w:rPr>
            </w:pPr>
            <w:r w:rsidRPr="00F11A18">
              <w:rPr>
                <w:sz w:val="20"/>
                <w:szCs w:val="20"/>
              </w:rPr>
              <w:t>&lt;5</w:t>
            </w:r>
          </w:p>
          <w:p w:rsidR="000B2401" w:rsidRPr="00F11A18" w:rsidRDefault="00C41A33" w:rsidP="00B41B23">
            <w:pPr>
              <w:pStyle w:val="TableParagraph"/>
              <w:snapToGrid w:val="0"/>
              <w:ind w:left="0"/>
              <w:jc w:val="both"/>
              <w:rPr>
                <w:sz w:val="20"/>
                <w:szCs w:val="20"/>
              </w:rPr>
            </w:pPr>
            <w:r w:rsidRPr="00F11A18">
              <w:rPr>
                <w:sz w:val="20"/>
                <w:szCs w:val="20"/>
              </w:rPr>
              <w:t>≥5</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25</w:t>
            </w:r>
          </w:p>
          <w:p w:rsidR="000B2401" w:rsidRPr="00F11A18" w:rsidRDefault="00C41A33" w:rsidP="00B41B23">
            <w:pPr>
              <w:pStyle w:val="TableParagraph"/>
              <w:snapToGrid w:val="0"/>
              <w:ind w:left="0"/>
              <w:jc w:val="both"/>
              <w:rPr>
                <w:sz w:val="20"/>
                <w:szCs w:val="20"/>
              </w:rPr>
            </w:pPr>
            <w:r w:rsidRPr="00F11A18">
              <w:rPr>
                <w:sz w:val="20"/>
                <w:szCs w:val="20"/>
              </w:rPr>
              <w:t>47</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48</w:t>
            </w:r>
          </w:p>
          <w:p w:rsidR="000B2401" w:rsidRPr="00F11A18" w:rsidRDefault="00C41A33" w:rsidP="00B41B23">
            <w:pPr>
              <w:pStyle w:val="TableParagraph"/>
              <w:snapToGrid w:val="0"/>
              <w:ind w:left="0"/>
              <w:jc w:val="both"/>
              <w:rPr>
                <w:sz w:val="20"/>
                <w:szCs w:val="20"/>
              </w:rPr>
            </w:pPr>
            <w:r w:rsidRPr="00F11A18">
              <w:rPr>
                <w:sz w:val="20"/>
                <w:szCs w:val="20"/>
              </w:rPr>
              <w:t>61.7</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0.246</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Diagnosis</w:t>
            </w:r>
          </w:p>
          <w:p w:rsidR="000B2401" w:rsidRPr="00F11A18" w:rsidRDefault="00C41A33" w:rsidP="00B41B23">
            <w:pPr>
              <w:pStyle w:val="TableParagraph"/>
              <w:snapToGrid w:val="0"/>
              <w:ind w:left="0"/>
              <w:jc w:val="both"/>
              <w:rPr>
                <w:sz w:val="20"/>
                <w:szCs w:val="20"/>
              </w:rPr>
            </w:pPr>
            <w:r w:rsidRPr="00F11A18">
              <w:rPr>
                <w:sz w:val="20"/>
                <w:szCs w:val="20"/>
              </w:rPr>
              <w:t>AML</w:t>
            </w:r>
          </w:p>
          <w:p w:rsidR="000B2401" w:rsidRPr="00F11A18" w:rsidRDefault="00C41A33" w:rsidP="00B41B23">
            <w:pPr>
              <w:pStyle w:val="TableParagraph"/>
              <w:snapToGrid w:val="0"/>
              <w:ind w:left="0"/>
              <w:jc w:val="both"/>
              <w:rPr>
                <w:sz w:val="20"/>
                <w:szCs w:val="20"/>
              </w:rPr>
            </w:pPr>
            <w:r w:rsidRPr="00F11A18">
              <w:rPr>
                <w:sz w:val="20"/>
                <w:szCs w:val="20"/>
              </w:rPr>
              <w:t>ALL</w:t>
            </w:r>
          </w:p>
          <w:p w:rsidR="000B2401" w:rsidRPr="00F11A18" w:rsidRDefault="00C41A33" w:rsidP="00B41B23">
            <w:pPr>
              <w:pStyle w:val="TableParagraph"/>
              <w:snapToGrid w:val="0"/>
              <w:ind w:left="0"/>
              <w:jc w:val="both"/>
              <w:rPr>
                <w:sz w:val="20"/>
                <w:szCs w:val="20"/>
              </w:rPr>
            </w:pPr>
            <w:r w:rsidRPr="00F11A18">
              <w:rPr>
                <w:sz w:val="20"/>
                <w:szCs w:val="20"/>
              </w:rPr>
              <w:t>Lymphomas</w:t>
            </w:r>
            <w:r w:rsidR="00B405E1" w:rsidRPr="00F11A18">
              <w:rPr>
                <w:sz w:val="20"/>
                <w:szCs w:val="20"/>
              </w:rPr>
              <w:t xml:space="preserve"> &amp; </w:t>
            </w:r>
            <w:r w:rsidRPr="00F11A18">
              <w:rPr>
                <w:sz w:val="20"/>
                <w:szCs w:val="20"/>
              </w:rPr>
              <w:t>LCH</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35</w:t>
            </w:r>
          </w:p>
          <w:p w:rsidR="000B2401" w:rsidRPr="00F11A18" w:rsidRDefault="00C41A33" w:rsidP="00B41B23">
            <w:pPr>
              <w:pStyle w:val="TableParagraph"/>
              <w:snapToGrid w:val="0"/>
              <w:ind w:left="0"/>
              <w:jc w:val="both"/>
              <w:rPr>
                <w:sz w:val="20"/>
                <w:szCs w:val="20"/>
              </w:rPr>
            </w:pPr>
            <w:r w:rsidRPr="00F11A18">
              <w:rPr>
                <w:sz w:val="20"/>
                <w:szCs w:val="20"/>
              </w:rPr>
              <w:t>21</w:t>
            </w:r>
          </w:p>
          <w:p w:rsidR="000B2401" w:rsidRPr="00F11A18" w:rsidRDefault="00C41A33" w:rsidP="00B41B23">
            <w:pPr>
              <w:pStyle w:val="TableParagraph"/>
              <w:snapToGrid w:val="0"/>
              <w:ind w:left="0"/>
              <w:jc w:val="both"/>
              <w:rPr>
                <w:sz w:val="20"/>
                <w:szCs w:val="20"/>
              </w:rPr>
            </w:pPr>
            <w:r w:rsidRPr="00F11A18">
              <w:rPr>
                <w:sz w:val="20"/>
                <w:szCs w:val="20"/>
              </w:rPr>
              <w:t>16</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71.4</w:t>
            </w:r>
          </w:p>
          <w:p w:rsidR="000B2401" w:rsidRPr="00F11A18" w:rsidRDefault="00C41A33" w:rsidP="00B41B23">
            <w:pPr>
              <w:pStyle w:val="TableParagraph"/>
              <w:snapToGrid w:val="0"/>
              <w:ind w:left="0"/>
              <w:jc w:val="both"/>
              <w:rPr>
                <w:sz w:val="20"/>
                <w:szCs w:val="20"/>
              </w:rPr>
            </w:pPr>
            <w:r w:rsidRPr="00F11A18">
              <w:rPr>
                <w:sz w:val="20"/>
                <w:szCs w:val="20"/>
              </w:rPr>
              <w:t>47.6</w:t>
            </w:r>
          </w:p>
          <w:p w:rsidR="000B2401" w:rsidRPr="00F11A18" w:rsidRDefault="00C41A33" w:rsidP="00B41B23">
            <w:pPr>
              <w:pStyle w:val="TableParagraph"/>
              <w:snapToGrid w:val="0"/>
              <w:ind w:left="0"/>
              <w:jc w:val="both"/>
              <w:rPr>
                <w:sz w:val="20"/>
                <w:szCs w:val="20"/>
              </w:rPr>
            </w:pPr>
            <w:r w:rsidRPr="00F11A18">
              <w:rPr>
                <w:sz w:val="20"/>
                <w:szCs w:val="20"/>
              </w:rPr>
              <w:t>37.5</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0.045</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Disease status</w:t>
            </w:r>
          </w:p>
          <w:p w:rsidR="000B2401" w:rsidRPr="00F11A18" w:rsidRDefault="00F11A18" w:rsidP="00B41B23">
            <w:pPr>
              <w:pStyle w:val="TableParagraph"/>
              <w:snapToGrid w:val="0"/>
              <w:ind w:left="0"/>
              <w:jc w:val="both"/>
              <w:rPr>
                <w:sz w:val="20"/>
                <w:szCs w:val="20"/>
              </w:rPr>
            </w:pPr>
            <w:r w:rsidRPr="00F11A18">
              <w:rPr>
                <w:sz w:val="20"/>
                <w:szCs w:val="20"/>
              </w:rPr>
              <w:t>Induction therapy</w:t>
            </w:r>
          </w:p>
          <w:p w:rsidR="000B2401" w:rsidRPr="00F11A18" w:rsidRDefault="00C41A33" w:rsidP="00B41B23">
            <w:pPr>
              <w:pStyle w:val="TableParagraph"/>
              <w:snapToGrid w:val="0"/>
              <w:ind w:left="0"/>
              <w:jc w:val="both"/>
              <w:rPr>
                <w:sz w:val="20"/>
                <w:szCs w:val="20"/>
              </w:rPr>
            </w:pPr>
            <w:r w:rsidRPr="00F11A18">
              <w:rPr>
                <w:sz w:val="20"/>
                <w:szCs w:val="20"/>
              </w:rPr>
              <w:t>CR</w:t>
            </w:r>
          </w:p>
          <w:p w:rsidR="000B2401" w:rsidRPr="00F11A18" w:rsidRDefault="00C41A33" w:rsidP="00B41B23">
            <w:pPr>
              <w:pStyle w:val="TableParagraph"/>
              <w:snapToGrid w:val="0"/>
              <w:ind w:left="0"/>
              <w:jc w:val="both"/>
              <w:rPr>
                <w:sz w:val="20"/>
                <w:szCs w:val="20"/>
              </w:rPr>
            </w:pPr>
            <w:r w:rsidRPr="00F11A18">
              <w:rPr>
                <w:sz w:val="20"/>
                <w:szCs w:val="20"/>
              </w:rPr>
              <w:t>Relapse</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29</w:t>
            </w:r>
          </w:p>
          <w:p w:rsidR="000B2401" w:rsidRPr="00F11A18" w:rsidRDefault="00C41A33" w:rsidP="00B41B23">
            <w:pPr>
              <w:pStyle w:val="TableParagraph"/>
              <w:snapToGrid w:val="0"/>
              <w:ind w:left="0"/>
              <w:jc w:val="both"/>
              <w:rPr>
                <w:sz w:val="20"/>
                <w:szCs w:val="20"/>
              </w:rPr>
            </w:pPr>
            <w:r w:rsidRPr="00F11A18">
              <w:rPr>
                <w:sz w:val="20"/>
                <w:szCs w:val="20"/>
              </w:rPr>
              <w:t>30</w:t>
            </w:r>
          </w:p>
          <w:p w:rsidR="000B2401" w:rsidRPr="00F11A18" w:rsidRDefault="00C41A33" w:rsidP="00B41B23">
            <w:pPr>
              <w:pStyle w:val="TableParagraph"/>
              <w:snapToGrid w:val="0"/>
              <w:ind w:left="0"/>
              <w:jc w:val="both"/>
              <w:rPr>
                <w:sz w:val="20"/>
                <w:szCs w:val="20"/>
              </w:rPr>
            </w:pPr>
            <w:r w:rsidRPr="00F11A18">
              <w:rPr>
                <w:sz w:val="20"/>
                <w:szCs w:val="20"/>
              </w:rPr>
              <w:t>13</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65.5</w:t>
            </w:r>
          </w:p>
          <w:p w:rsidR="000B2401" w:rsidRPr="00F11A18" w:rsidRDefault="00C41A33" w:rsidP="00B41B23">
            <w:pPr>
              <w:pStyle w:val="TableParagraph"/>
              <w:snapToGrid w:val="0"/>
              <w:ind w:left="0"/>
              <w:jc w:val="both"/>
              <w:rPr>
                <w:sz w:val="20"/>
                <w:szCs w:val="20"/>
              </w:rPr>
            </w:pPr>
            <w:r w:rsidRPr="00F11A18">
              <w:rPr>
                <w:sz w:val="20"/>
                <w:szCs w:val="20"/>
              </w:rPr>
              <w:t>36.7</w:t>
            </w:r>
          </w:p>
          <w:p w:rsidR="000B2401" w:rsidRPr="00F11A18" w:rsidRDefault="00C41A33" w:rsidP="00B41B23">
            <w:pPr>
              <w:pStyle w:val="TableParagraph"/>
              <w:snapToGrid w:val="0"/>
              <w:ind w:left="0"/>
              <w:jc w:val="both"/>
              <w:rPr>
                <w:sz w:val="20"/>
                <w:szCs w:val="20"/>
              </w:rPr>
            </w:pPr>
            <w:r w:rsidRPr="00F11A18">
              <w:rPr>
                <w:sz w:val="20"/>
                <w:szCs w:val="20"/>
              </w:rPr>
              <w:t>84.6</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0.007</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Vital signs</w:t>
            </w:r>
          </w:p>
          <w:p w:rsidR="000B2401" w:rsidRPr="00F11A18" w:rsidRDefault="00C41A33" w:rsidP="00B41B23">
            <w:pPr>
              <w:pStyle w:val="TableParagraph"/>
              <w:snapToGrid w:val="0"/>
              <w:ind w:left="0"/>
              <w:jc w:val="both"/>
              <w:rPr>
                <w:sz w:val="20"/>
                <w:szCs w:val="20"/>
              </w:rPr>
            </w:pPr>
            <w:r w:rsidRPr="00F11A18">
              <w:rPr>
                <w:sz w:val="20"/>
                <w:szCs w:val="20"/>
              </w:rPr>
              <w:t>Stable</w:t>
            </w:r>
          </w:p>
          <w:p w:rsidR="000B2401" w:rsidRPr="00F11A18" w:rsidRDefault="00C41A33" w:rsidP="00B41B23">
            <w:pPr>
              <w:pStyle w:val="TableParagraph"/>
              <w:snapToGrid w:val="0"/>
              <w:ind w:left="0"/>
              <w:jc w:val="both"/>
              <w:rPr>
                <w:sz w:val="20"/>
                <w:szCs w:val="20"/>
              </w:rPr>
            </w:pPr>
            <w:r w:rsidRPr="00F11A18">
              <w:rPr>
                <w:sz w:val="20"/>
                <w:szCs w:val="20"/>
              </w:rPr>
              <w:t>Unstable</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27</w:t>
            </w:r>
          </w:p>
          <w:p w:rsidR="000B2401" w:rsidRPr="00F11A18" w:rsidRDefault="00C41A33" w:rsidP="00B41B23">
            <w:pPr>
              <w:pStyle w:val="TableParagraph"/>
              <w:snapToGrid w:val="0"/>
              <w:ind w:left="0"/>
              <w:jc w:val="both"/>
              <w:rPr>
                <w:sz w:val="20"/>
                <w:szCs w:val="20"/>
              </w:rPr>
            </w:pPr>
            <w:r w:rsidRPr="00F11A18">
              <w:rPr>
                <w:sz w:val="20"/>
                <w:szCs w:val="20"/>
              </w:rPr>
              <w:t>45</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14.8</w:t>
            </w:r>
          </w:p>
          <w:p w:rsidR="000B2401" w:rsidRPr="00F11A18" w:rsidRDefault="00C41A33" w:rsidP="00B41B23">
            <w:pPr>
              <w:pStyle w:val="TableParagraph"/>
              <w:snapToGrid w:val="0"/>
              <w:ind w:left="0"/>
              <w:jc w:val="both"/>
              <w:rPr>
                <w:sz w:val="20"/>
                <w:szCs w:val="20"/>
              </w:rPr>
            </w:pPr>
            <w:r w:rsidRPr="00F11A18">
              <w:rPr>
                <w:sz w:val="20"/>
                <w:szCs w:val="20"/>
              </w:rPr>
              <w:t>82.2</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&lt;0.001</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Admission to ICU</w:t>
            </w:r>
          </w:p>
          <w:p w:rsidR="000B2401" w:rsidRPr="00F11A18" w:rsidRDefault="00C41A33" w:rsidP="00B41B23">
            <w:pPr>
              <w:pStyle w:val="TableParagraph"/>
              <w:snapToGrid w:val="0"/>
              <w:ind w:left="0"/>
              <w:jc w:val="both"/>
              <w:rPr>
                <w:sz w:val="20"/>
                <w:szCs w:val="20"/>
              </w:rPr>
            </w:pPr>
            <w:r w:rsidRPr="00F11A18">
              <w:rPr>
                <w:sz w:val="20"/>
                <w:szCs w:val="20"/>
              </w:rPr>
              <w:t>Yes</w:t>
            </w:r>
          </w:p>
          <w:p w:rsidR="000B2401" w:rsidRPr="00F11A18" w:rsidRDefault="00C41A33" w:rsidP="00B41B23">
            <w:pPr>
              <w:pStyle w:val="TableParagraph"/>
              <w:snapToGrid w:val="0"/>
              <w:ind w:left="0"/>
              <w:jc w:val="both"/>
              <w:rPr>
                <w:sz w:val="20"/>
                <w:szCs w:val="20"/>
              </w:rPr>
            </w:pPr>
            <w:r w:rsidRPr="00F11A18">
              <w:rPr>
                <w:sz w:val="20"/>
                <w:szCs w:val="20"/>
              </w:rPr>
              <w:t>No</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54</w:t>
            </w:r>
          </w:p>
          <w:p w:rsidR="000B2401" w:rsidRPr="00F11A18" w:rsidRDefault="00C41A33" w:rsidP="00B41B23">
            <w:pPr>
              <w:pStyle w:val="TableParagraph"/>
              <w:snapToGrid w:val="0"/>
              <w:ind w:left="0"/>
              <w:jc w:val="both"/>
              <w:rPr>
                <w:sz w:val="20"/>
                <w:szCs w:val="20"/>
              </w:rPr>
            </w:pPr>
            <w:r w:rsidRPr="00F11A18">
              <w:rPr>
                <w:sz w:val="20"/>
                <w:szCs w:val="20"/>
              </w:rPr>
              <w:t>18</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75.9</w:t>
            </w:r>
          </w:p>
          <w:p w:rsidR="000B2401" w:rsidRPr="00F11A18" w:rsidRDefault="00C41A33" w:rsidP="00B41B23">
            <w:pPr>
              <w:pStyle w:val="TableParagraph"/>
              <w:snapToGrid w:val="0"/>
              <w:ind w:left="0"/>
              <w:jc w:val="both"/>
              <w:rPr>
                <w:sz w:val="20"/>
                <w:szCs w:val="20"/>
              </w:rPr>
            </w:pPr>
            <w:r w:rsidRPr="00F11A18">
              <w:rPr>
                <w:sz w:val="20"/>
                <w:szCs w:val="20"/>
              </w:rPr>
              <w:t>0</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&lt;0.001</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Pneumonia</w:t>
            </w:r>
          </w:p>
          <w:p w:rsidR="000B2401" w:rsidRPr="00F11A18" w:rsidRDefault="00C41A33" w:rsidP="00B41B23">
            <w:pPr>
              <w:pStyle w:val="TableParagraph"/>
              <w:snapToGrid w:val="0"/>
              <w:ind w:left="0"/>
              <w:jc w:val="both"/>
              <w:rPr>
                <w:sz w:val="20"/>
                <w:szCs w:val="20"/>
              </w:rPr>
            </w:pPr>
            <w:r w:rsidRPr="00F11A18">
              <w:rPr>
                <w:sz w:val="20"/>
                <w:szCs w:val="20"/>
              </w:rPr>
              <w:t>Yes</w:t>
            </w:r>
          </w:p>
          <w:p w:rsidR="000B2401" w:rsidRPr="00F11A18" w:rsidRDefault="00C41A33" w:rsidP="00B41B23">
            <w:pPr>
              <w:pStyle w:val="TableParagraph"/>
              <w:snapToGrid w:val="0"/>
              <w:ind w:left="0"/>
              <w:jc w:val="both"/>
              <w:rPr>
                <w:sz w:val="20"/>
                <w:szCs w:val="20"/>
              </w:rPr>
            </w:pPr>
            <w:r w:rsidRPr="00F11A18">
              <w:rPr>
                <w:sz w:val="20"/>
                <w:szCs w:val="20"/>
              </w:rPr>
              <w:t>No</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34</w:t>
            </w:r>
          </w:p>
          <w:p w:rsidR="000B2401" w:rsidRPr="00F11A18" w:rsidRDefault="00C41A33" w:rsidP="00B41B23">
            <w:pPr>
              <w:pStyle w:val="TableParagraph"/>
              <w:snapToGrid w:val="0"/>
              <w:ind w:left="0"/>
              <w:jc w:val="both"/>
              <w:rPr>
                <w:sz w:val="20"/>
                <w:szCs w:val="20"/>
              </w:rPr>
            </w:pPr>
            <w:r w:rsidRPr="00F11A18">
              <w:rPr>
                <w:sz w:val="20"/>
                <w:szCs w:val="20"/>
              </w:rPr>
              <w:t>38</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58.8</w:t>
            </w:r>
          </w:p>
          <w:p w:rsidR="000B2401" w:rsidRPr="00F11A18" w:rsidRDefault="00C41A33" w:rsidP="00B41B23">
            <w:pPr>
              <w:pStyle w:val="TableParagraph"/>
              <w:snapToGrid w:val="0"/>
              <w:ind w:left="0"/>
              <w:jc w:val="both"/>
              <w:rPr>
                <w:sz w:val="20"/>
                <w:szCs w:val="20"/>
              </w:rPr>
            </w:pPr>
            <w:r w:rsidRPr="00F11A18">
              <w:rPr>
                <w:sz w:val="20"/>
                <w:szCs w:val="20"/>
              </w:rPr>
              <w:t>55.3</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0.761</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Typhlitis / Colitis</w:t>
            </w:r>
          </w:p>
          <w:p w:rsidR="000B2401" w:rsidRPr="00F11A18" w:rsidRDefault="00C41A33" w:rsidP="00B41B23">
            <w:pPr>
              <w:pStyle w:val="TableParagraph"/>
              <w:snapToGrid w:val="0"/>
              <w:ind w:left="0"/>
              <w:jc w:val="both"/>
              <w:rPr>
                <w:sz w:val="20"/>
                <w:szCs w:val="20"/>
              </w:rPr>
            </w:pPr>
            <w:r w:rsidRPr="00F11A18">
              <w:rPr>
                <w:sz w:val="20"/>
                <w:szCs w:val="20"/>
              </w:rPr>
              <w:t>Yes</w:t>
            </w:r>
          </w:p>
          <w:p w:rsidR="000B2401" w:rsidRPr="00F11A18" w:rsidRDefault="00C41A33" w:rsidP="00B41B23">
            <w:pPr>
              <w:pStyle w:val="TableParagraph"/>
              <w:snapToGrid w:val="0"/>
              <w:ind w:left="0"/>
              <w:jc w:val="both"/>
              <w:rPr>
                <w:sz w:val="20"/>
                <w:szCs w:val="20"/>
              </w:rPr>
            </w:pPr>
            <w:r w:rsidRPr="00F11A18">
              <w:rPr>
                <w:sz w:val="20"/>
                <w:szCs w:val="20"/>
              </w:rPr>
              <w:t>No</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14</w:t>
            </w:r>
          </w:p>
          <w:p w:rsidR="000B2401" w:rsidRPr="00F11A18" w:rsidRDefault="00C41A33" w:rsidP="00B41B23">
            <w:pPr>
              <w:pStyle w:val="TableParagraph"/>
              <w:snapToGrid w:val="0"/>
              <w:ind w:left="0"/>
              <w:jc w:val="both"/>
              <w:rPr>
                <w:sz w:val="20"/>
                <w:szCs w:val="20"/>
              </w:rPr>
            </w:pPr>
            <w:r w:rsidRPr="00F11A18">
              <w:rPr>
                <w:sz w:val="20"/>
                <w:szCs w:val="20"/>
              </w:rPr>
              <w:t>58</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64.3</w:t>
            </w:r>
          </w:p>
          <w:p w:rsidR="000B2401" w:rsidRPr="00F11A18" w:rsidRDefault="00C41A33" w:rsidP="00B41B23">
            <w:pPr>
              <w:pStyle w:val="TableParagraph"/>
              <w:snapToGrid w:val="0"/>
              <w:ind w:left="0"/>
              <w:jc w:val="both"/>
              <w:rPr>
                <w:sz w:val="20"/>
                <w:szCs w:val="20"/>
              </w:rPr>
            </w:pPr>
            <w:r w:rsidRPr="00F11A18">
              <w:rPr>
                <w:sz w:val="20"/>
                <w:szCs w:val="20"/>
              </w:rPr>
              <w:t>55.2</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0.537</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Soft tissue infection</w:t>
            </w:r>
          </w:p>
          <w:p w:rsidR="000B2401" w:rsidRPr="00F11A18" w:rsidRDefault="00C41A33" w:rsidP="00B41B23">
            <w:pPr>
              <w:pStyle w:val="TableParagraph"/>
              <w:snapToGrid w:val="0"/>
              <w:ind w:left="0"/>
              <w:jc w:val="both"/>
              <w:rPr>
                <w:sz w:val="20"/>
                <w:szCs w:val="20"/>
              </w:rPr>
            </w:pPr>
            <w:r w:rsidRPr="00F11A18">
              <w:rPr>
                <w:sz w:val="20"/>
                <w:szCs w:val="20"/>
              </w:rPr>
              <w:t>Yes</w:t>
            </w:r>
          </w:p>
          <w:p w:rsidR="000B2401" w:rsidRPr="00F11A18" w:rsidRDefault="00C41A33" w:rsidP="00B41B23">
            <w:pPr>
              <w:pStyle w:val="TableParagraph"/>
              <w:snapToGrid w:val="0"/>
              <w:ind w:left="0"/>
              <w:jc w:val="both"/>
              <w:rPr>
                <w:sz w:val="20"/>
                <w:szCs w:val="20"/>
              </w:rPr>
            </w:pPr>
            <w:r w:rsidRPr="00F11A18">
              <w:rPr>
                <w:sz w:val="20"/>
                <w:szCs w:val="20"/>
              </w:rPr>
              <w:t>No</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22</w:t>
            </w:r>
          </w:p>
          <w:p w:rsidR="000B2401" w:rsidRPr="00F11A18" w:rsidRDefault="00C41A33" w:rsidP="00B41B23">
            <w:pPr>
              <w:pStyle w:val="TableParagraph"/>
              <w:snapToGrid w:val="0"/>
              <w:ind w:left="0"/>
              <w:jc w:val="both"/>
              <w:rPr>
                <w:sz w:val="20"/>
                <w:szCs w:val="20"/>
              </w:rPr>
            </w:pPr>
            <w:r w:rsidRPr="00F11A18">
              <w:rPr>
                <w:sz w:val="20"/>
                <w:szCs w:val="20"/>
              </w:rPr>
              <w:t>50</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50</w:t>
            </w:r>
          </w:p>
          <w:p w:rsidR="000B2401" w:rsidRPr="00F11A18" w:rsidRDefault="00C41A33" w:rsidP="00B41B23">
            <w:pPr>
              <w:pStyle w:val="TableParagraph"/>
              <w:snapToGrid w:val="0"/>
              <w:ind w:left="0"/>
              <w:jc w:val="both"/>
              <w:rPr>
                <w:sz w:val="20"/>
                <w:szCs w:val="20"/>
              </w:rPr>
            </w:pPr>
            <w:r w:rsidRPr="00F11A18">
              <w:rPr>
                <w:sz w:val="20"/>
                <w:szCs w:val="20"/>
              </w:rPr>
              <w:t>60</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0.43</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TLC</w:t>
            </w:r>
          </w:p>
          <w:p w:rsidR="000B2401" w:rsidRPr="00F11A18" w:rsidRDefault="00C41A33" w:rsidP="00B41B23">
            <w:pPr>
              <w:pStyle w:val="TableParagraph"/>
              <w:snapToGrid w:val="0"/>
              <w:ind w:left="0"/>
              <w:jc w:val="both"/>
              <w:rPr>
                <w:sz w:val="20"/>
                <w:szCs w:val="20"/>
              </w:rPr>
            </w:pPr>
            <w:r w:rsidRPr="00F11A18">
              <w:rPr>
                <w:sz w:val="20"/>
                <w:szCs w:val="20"/>
              </w:rPr>
              <w:t>&lt;500 /cc</w:t>
            </w:r>
          </w:p>
          <w:p w:rsidR="000B2401" w:rsidRPr="00F11A18" w:rsidRDefault="00C41A33" w:rsidP="00B41B23">
            <w:pPr>
              <w:pStyle w:val="TableParagraph"/>
              <w:snapToGrid w:val="0"/>
              <w:ind w:left="0"/>
              <w:jc w:val="both"/>
              <w:rPr>
                <w:sz w:val="20"/>
                <w:szCs w:val="20"/>
              </w:rPr>
            </w:pPr>
            <w:r w:rsidRPr="00F11A18">
              <w:rPr>
                <w:sz w:val="20"/>
                <w:szCs w:val="20"/>
              </w:rPr>
              <w:t>≥500 / cc</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63</w:t>
            </w:r>
          </w:p>
          <w:p w:rsidR="000B2401" w:rsidRPr="00F11A18" w:rsidRDefault="00C41A33" w:rsidP="00B41B23">
            <w:pPr>
              <w:pStyle w:val="TableParagraph"/>
              <w:snapToGrid w:val="0"/>
              <w:ind w:left="0"/>
              <w:jc w:val="both"/>
              <w:rPr>
                <w:sz w:val="20"/>
                <w:szCs w:val="20"/>
              </w:rPr>
            </w:pPr>
            <w:r w:rsidRPr="00F11A18">
              <w:rPr>
                <w:sz w:val="20"/>
                <w:szCs w:val="20"/>
              </w:rPr>
              <w:t>9</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63.5</w:t>
            </w:r>
          </w:p>
          <w:p w:rsidR="000B2401" w:rsidRPr="00F11A18" w:rsidRDefault="00C41A33" w:rsidP="00B41B23">
            <w:pPr>
              <w:pStyle w:val="TableParagraph"/>
              <w:snapToGrid w:val="0"/>
              <w:ind w:left="0"/>
              <w:jc w:val="both"/>
              <w:rPr>
                <w:sz w:val="20"/>
                <w:szCs w:val="20"/>
              </w:rPr>
            </w:pPr>
            <w:r w:rsidRPr="00F11A18">
              <w:rPr>
                <w:sz w:val="20"/>
                <w:szCs w:val="20"/>
              </w:rPr>
              <w:t>11.1</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0.003</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Hemoglobin</w:t>
            </w:r>
          </w:p>
          <w:p w:rsidR="000B2401" w:rsidRPr="00F11A18" w:rsidRDefault="00C41A33" w:rsidP="00B41B23">
            <w:pPr>
              <w:pStyle w:val="TableParagraph"/>
              <w:snapToGrid w:val="0"/>
              <w:ind w:left="0"/>
              <w:jc w:val="both"/>
              <w:rPr>
                <w:sz w:val="20"/>
                <w:szCs w:val="20"/>
              </w:rPr>
            </w:pPr>
            <w:r w:rsidRPr="00F11A18">
              <w:rPr>
                <w:sz w:val="20"/>
                <w:szCs w:val="20"/>
              </w:rPr>
              <w:t>&lt;7g/dL</w:t>
            </w:r>
          </w:p>
          <w:p w:rsidR="000B2401" w:rsidRPr="00F11A18" w:rsidRDefault="00C41A33" w:rsidP="00B41B23">
            <w:pPr>
              <w:pStyle w:val="TableParagraph"/>
              <w:snapToGrid w:val="0"/>
              <w:ind w:left="0"/>
              <w:jc w:val="both"/>
              <w:rPr>
                <w:sz w:val="20"/>
                <w:szCs w:val="20"/>
              </w:rPr>
            </w:pPr>
            <w:r w:rsidRPr="00F11A18">
              <w:rPr>
                <w:sz w:val="20"/>
                <w:szCs w:val="20"/>
              </w:rPr>
              <w:t>≥7g/dL</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23</w:t>
            </w:r>
          </w:p>
          <w:p w:rsidR="000B2401" w:rsidRPr="00F11A18" w:rsidRDefault="00C41A33" w:rsidP="00B41B23">
            <w:pPr>
              <w:pStyle w:val="TableParagraph"/>
              <w:snapToGrid w:val="0"/>
              <w:ind w:left="0"/>
              <w:jc w:val="both"/>
              <w:rPr>
                <w:sz w:val="20"/>
                <w:szCs w:val="20"/>
              </w:rPr>
            </w:pPr>
            <w:r w:rsidRPr="00F11A18">
              <w:rPr>
                <w:sz w:val="20"/>
                <w:szCs w:val="20"/>
              </w:rPr>
              <w:t>49</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65.2</w:t>
            </w:r>
          </w:p>
          <w:p w:rsidR="000B2401" w:rsidRPr="00F11A18" w:rsidRDefault="00C41A33" w:rsidP="00B41B23">
            <w:pPr>
              <w:pStyle w:val="TableParagraph"/>
              <w:snapToGrid w:val="0"/>
              <w:ind w:left="0"/>
              <w:jc w:val="both"/>
              <w:rPr>
                <w:sz w:val="20"/>
                <w:szCs w:val="20"/>
              </w:rPr>
            </w:pPr>
            <w:r w:rsidRPr="00F11A18">
              <w:rPr>
                <w:sz w:val="20"/>
                <w:szCs w:val="20"/>
              </w:rPr>
              <w:t>53.1</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0.331</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Platelet count</w:t>
            </w:r>
          </w:p>
          <w:p w:rsidR="000B2401" w:rsidRPr="00F11A18" w:rsidRDefault="00C41A33" w:rsidP="00B41B23">
            <w:pPr>
              <w:pStyle w:val="TableParagraph"/>
              <w:snapToGrid w:val="0"/>
              <w:ind w:left="0"/>
              <w:jc w:val="both"/>
              <w:rPr>
                <w:sz w:val="20"/>
                <w:szCs w:val="20"/>
              </w:rPr>
            </w:pPr>
            <w:r w:rsidRPr="00F11A18">
              <w:rPr>
                <w:sz w:val="20"/>
                <w:szCs w:val="20"/>
              </w:rPr>
              <w:t>&lt;20,000 /cc</w:t>
            </w:r>
          </w:p>
          <w:p w:rsidR="000B2401" w:rsidRPr="00F11A18" w:rsidRDefault="00C41A33" w:rsidP="00B41B23">
            <w:pPr>
              <w:pStyle w:val="TableParagraph"/>
              <w:snapToGrid w:val="0"/>
              <w:ind w:left="0"/>
              <w:jc w:val="both"/>
              <w:rPr>
                <w:sz w:val="20"/>
                <w:szCs w:val="20"/>
              </w:rPr>
            </w:pPr>
            <w:r w:rsidRPr="00F11A18">
              <w:rPr>
                <w:sz w:val="20"/>
                <w:szCs w:val="20"/>
              </w:rPr>
              <w:t>≥20,000 / cc</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54</w:t>
            </w:r>
          </w:p>
          <w:p w:rsidR="000B2401" w:rsidRPr="00F11A18" w:rsidRDefault="00C41A33" w:rsidP="00B41B23">
            <w:pPr>
              <w:pStyle w:val="TableParagraph"/>
              <w:snapToGrid w:val="0"/>
              <w:ind w:left="0"/>
              <w:jc w:val="both"/>
              <w:rPr>
                <w:sz w:val="20"/>
                <w:szCs w:val="20"/>
              </w:rPr>
            </w:pPr>
            <w:r w:rsidRPr="00F11A18">
              <w:rPr>
                <w:sz w:val="20"/>
                <w:szCs w:val="20"/>
              </w:rPr>
              <w:t>18</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66.7</w:t>
            </w:r>
          </w:p>
          <w:p w:rsidR="000B2401" w:rsidRPr="00F11A18" w:rsidRDefault="00C41A33" w:rsidP="00B41B23">
            <w:pPr>
              <w:pStyle w:val="TableParagraph"/>
              <w:snapToGrid w:val="0"/>
              <w:ind w:left="0"/>
              <w:jc w:val="both"/>
              <w:rPr>
                <w:sz w:val="20"/>
                <w:szCs w:val="20"/>
              </w:rPr>
            </w:pPr>
            <w:r w:rsidRPr="00F11A18">
              <w:rPr>
                <w:sz w:val="20"/>
                <w:szCs w:val="20"/>
              </w:rPr>
              <w:t>27.8</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0.004</w:t>
            </w:r>
          </w:p>
        </w:tc>
      </w:tr>
      <w:tr w:rsidR="00DA641A"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Electrolytes</w:t>
            </w:r>
          </w:p>
          <w:p w:rsidR="000B2401" w:rsidRPr="00F11A18" w:rsidRDefault="00C41A33" w:rsidP="00B41B23">
            <w:pPr>
              <w:pStyle w:val="TableParagraph"/>
              <w:snapToGrid w:val="0"/>
              <w:ind w:left="0"/>
              <w:jc w:val="both"/>
              <w:rPr>
                <w:sz w:val="20"/>
                <w:szCs w:val="20"/>
              </w:rPr>
            </w:pPr>
            <w:r w:rsidRPr="00F11A18">
              <w:rPr>
                <w:sz w:val="20"/>
                <w:szCs w:val="20"/>
              </w:rPr>
              <w:t>Normal</w:t>
            </w:r>
          </w:p>
          <w:p w:rsidR="000B2401" w:rsidRPr="00F11A18" w:rsidRDefault="00C41A33" w:rsidP="00B41B23">
            <w:pPr>
              <w:pStyle w:val="TableParagraph"/>
              <w:snapToGrid w:val="0"/>
              <w:ind w:left="0"/>
              <w:jc w:val="both"/>
              <w:rPr>
                <w:sz w:val="20"/>
                <w:szCs w:val="20"/>
              </w:rPr>
            </w:pPr>
            <w:r w:rsidRPr="00F11A18">
              <w:rPr>
                <w:sz w:val="20"/>
                <w:szCs w:val="20"/>
              </w:rPr>
              <w:t>Impaired</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39</w:t>
            </w:r>
          </w:p>
          <w:p w:rsidR="000B2401" w:rsidRPr="00F11A18" w:rsidRDefault="00C41A33" w:rsidP="00B41B23">
            <w:pPr>
              <w:pStyle w:val="TableParagraph"/>
              <w:snapToGrid w:val="0"/>
              <w:ind w:left="0"/>
              <w:jc w:val="both"/>
              <w:rPr>
                <w:sz w:val="20"/>
                <w:szCs w:val="20"/>
              </w:rPr>
            </w:pPr>
            <w:r w:rsidRPr="00F11A18">
              <w:rPr>
                <w:sz w:val="20"/>
                <w:szCs w:val="20"/>
              </w:rPr>
              <w:t>33</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41</w:t>
            </w:r>
          </w:p>
          <w:p w:rsidR="000B2401" w:rsidRPr="00F11A18" w:rsidRDefault="00C41A33" w:rsidP="00B41B23">
            <w:pPr>
              <w:pStyle w:val="TableParagraph"/>
              <w:snapToGrid w:val="0"/>
              <w:ind w:left="0"/>
              <w:jc w:val="both"/>
              <w:rPr>
                <w:sz w:val="20"/>
                <w:szCs w:val="20"/>
              </w:rPr>
            </w:pPr>
            <w:r w:rsidRPr="00F11A18">
              <w:rPr>
                <w:sz w:val="20"/>
                <w:szCs w:val="20"/>
              </w:rPr>
              <w:t>75.8</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0.003</w:t>
            </w:r>
          </w:p>
        </w:tc>
      </w:tr>
      <w:tr w:rsidR="000F782C"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Liver function tests</w:t>
            </w:r>
          </w:p>
          <w:p w:rsidR="000B2401" w:rsidRPr="00F11A18" w:rsidRDefault="00C41A33" w:rsidP="00B41B23">
            <w:pPr>
              <w:pStyle w:val="TableParagraph"/>
              <w:snapToGrid w:val="0"/>
              <w:ind w:left="0"/>
              <w:jc w:val="both"/>
              <w:rPr>
                <w:sz w:val="20"/>
                <w:szCs w:val="20"/>
              </w:rPr>
            </w:pPr>
            <w:r w:rsidRPr="00F11A18">
              <w:rPr>
                <w:sz w:val="20"/>
                <w:szCs w:val="20"/>
              </w:rPr>
              <w:t>Normal</w:t>
            </w:r>
          </w:p>
          <w:p w:rsidR="000B2401" w:rsidRPr="00F11A18" w:rsidRDefault="00C41A33" w:rsidP="00B41B23">
            <w:pPr>
              <w:pStyle w:val="TableParagraph"/>
              <w:snapToGrid w:val="0"/>
              <w:ind w:left="0"/>
              <w:jc w:val="both"/>
              <w:rPr>
                <w:sz w:val="20"/>
                <w:szCs w:val="20"/>
              </w:rPr>
            </w:pPr>
            <w:r w:rsidRPr="00F11A18">
              <w:rPr>
                <w:sz w:val="20"/>
                <w:szCs w:val="20"/>
              </w:rPr>
              <w:t>Impaired</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30</w:t>
            </w:r>
          </w:p>
          <w:p w:rsidR="000B2401" w:rsidRPr="00F11A18" w:rsidRDefault="00C41A33" w:rsidP="00B41B23">
            <w:pPr>
              <w:pStyle w:val="TableParagraph"/>
              <w:snapToGrid w:val="0"/>
              <w:ind w:left="0"/>
              <w:jc w:val="both"/>
              <w:rPr>
                <w:sz w:val="20"/>
                <w:szCs w:val="20"/>
              </w:rPr>
            </w:pPr>
            <w:r w:rsidRPr="00F11A18">
              <w:rPr>
                <w:sz w:val="20"/>
                <w:szCs w:val="20"/>
              </w:rPr>
              <w:t>42</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40</w:t>
            </w:r>
          </w:p>
          <w:p w:rsidR="000B2401" w:rsidRPr="00F11A18" w:rsidRDefault="00C41A33" w:rsidP="00B41B23">
            <w:pPr>
              <w:pStyle w:val="TableParagraph"/>
              <w:snapToGrid w:val="0"/>
              <w:ind w:left="0"/>
              <w:jc w:val="both"/>
              <w:rPr>
                <w:sz w:val="20"/>
                <w:szCs w:val="20"/>
              </w:rPr>
            </w:pPr>
            <w:r w:rsidRPr="00F11A18">
              <w:rPr>
                <w:sz w:val="20"/>
                <w:szCs w:val="20"/>
              </w:rPr>
              <w:t>69</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0.014</w:t>
            </w:r>
          </w:p>
        </w:tc>
      </w:tr>
      <w:tr w:rsidR="000F782C"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Renal function tests</w:t>
            </w:r>
          </w:p>
          <w:p w:rsidR="000B2401" w:rsidRPr="00F11A18" w:rsidRDefault="00C41A33" w:rsidP="00B41B23">
            <w:pPr>
              <w:pStyle w:val="TableParagraph"/>
              <w:snapToGrid w:val="0"/>
              <w:ind w:left="0"/>
              <w:jc w:val="both"/>
              <w:rPr>
                <w:sz w:val="20"/>
                <w:szCs w:val="20"/>
              </w:rPr>
            </w:pPr>
            <w:r w:rsidRPr="00F11A18">
              <w:rPr>
                <w:sz w:val="20"/>
                <w:szCs w:val="20"/>
              </w:rPr>
              <w:t>Normal</w:t>
            </w:r>
          </w:p>
          <w:p w:rsidR="000B2401" w:rsidRPr="00F11A18" w:rsidRDefault="00C41A33" w:rsidP="00B41B23">
            <w:pPr>
              <w:pStyle w:val="TableParagraph"/>
              <w:snapToGrid w:val="0"/>
              <w:ind w:left="0"/>
              <w:jc w:val="both"/>
              <w:rPr>
                <w:sz w:val="20"/>
                <w:szCs w:val="20"/>
              </w:rPr>
            </w:pPr>
            <w:r w:rsidRPr="00F11A18">
              <w:rPr>
                <w:sz w:val="20"/>
                <w:szCs w:val="20"/>
              </w:rPr>
              <w:t>Impaired</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60</w:t>
            </w:r>
          </w:p>
          <w:p w:rsidR="000B2401" w:rsidRPr="00F11A18" w:rsidRDefault="00C41A33" w:rsidP="00B41B23">
            <w:pPr>
              <w:pStyle w:val="TableParagraph"/>
              <w:snapToGrid w:val="0"/>
              <w:ind w:left="0"/>
              <w:jc w:val="both"/>
              <w:rPr>
                <w:sz w:val="20"/>
                <w:szCs w:val="20"/>
              </w:rPr>
            </w:pPr>
            <w:r w:rsidRPr="00F11A18">
              <w:rPr>
                <w:sz w:val="20"/>
                <w:szCs w:val="20"/>
              </w:rPr>
              <w:t>12</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48.3</w:t>
            </w:r>
          </w:p>
          <w:p w:rsidR="000B2401" w:rsidRPr="00F11A18" w:rsidRDefault="00C41A33" w:rsidP="00B41B23">
            <w:pPr>
              <w:pStyle w:val="TableParagraph"/>
              <w:snapToGrid w:val="0"/>
              <w:ind w:left="0"/>
              <w:jc w:val="both"/>
              <w:rPr>
                <w:sz w:val="20"/>
                <w:szCs w:val="20"/>
              </w:rPr>
            </w:pPr>
            <w:r w:rsidRPr="00F11A18">
              <w:rPr>
                <w:sz w:val="20"/>
                <w:szCs w:val="20"/>
              </w:rPr>
              <w:t>100</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0.001</w:t>
            </w:r>
          </w:p>
        </w:tc>
      </w:tr>
      <w:tr w:rsidR="000F782C"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Coagulation profile</w:t>
            </w:r>
          </w:p>
          <w:p w:rsidR="000B2401" w:rsidRPr="00F11A18" w:rsidRDefault="00C41A33" w:rsidP="00B41B23">
            <w:pPr>
              <w:pStyle w:val="TableParagraph"/>
              <w:snapToGrid w:val="0"/>
              <w:ind w:left="0"/>
              <w:jc w:val="both"/>
              <w:rPr>
                <w:sz w:val="20"/>
                <w:szCs w:val="20"/>
              </w:rPr>
            </w:pPr>
            <w:r w:rsidRPr="00F11A18">
              <w:rPr>
                <w:sz w:val="20"/>
                <w:szCs w:val="20"/>
              </w:rPr>
              <w:t>Normal</w:t>
            </w:r>
          </w:p>
          <w:p w:rsidR="000B2401" w:rsidRPr="00F11A18" w:rsidRDefault="00C41A33" w:rsidP="00B41B23">
            <w:pPr>
              <w:pStyle w:val="TableParagraph"/>
              <w:snapToGrid w:val="0"/>
              <w:ind w:left="0"/>
              <w:jc w:val="both"/>
              <w:rPr>
                <w:sz w:val="20"/>
                <w:szCs w:val="20"/>
              </w:rPr>
            </w:pPr>
            <w:r w:rsidRPr="00F11A18">
              <w:rPr>
                <w:sz w:val="20"/>
                <w:szCs w:val="20"/>
              </w:rPr>
              <w:t>Impaired</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43</w:t>
            </w:r>
          </w:p>
          <w:p w:rsidR="000B2401" w:rsidRPr="00F11A18" w:rsidRDefault="00C41A33" w:rsidP="00B41B23">
            <w:pPr>
              <w:pStyle w:val="TableParagraph"/>
              <w:snapToGrid w:val="0"/>
              <w:ind w:left="0"/>
              <w:jc w:val="both"/>
              <w:rPr>
                <w:sz w:val="20"/>
                <w:szCs w:val="20"/>
              </w:rPr>
            </w:pPr>
            <w:r w:rsidRPr="00F11A18">
              <w:rPr>
                <w:sz w:val="20"/>
                <w:szCs w:val="20"/>
              </w:rPr>
              <w:t>29</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34.9</w:t>
            </w:r>
          </w:p>
          <w:p w:rsidR="000B2401" w:rsidRPr="00F11A18" w:rsidRDefault="00C41A33" w:rsidP="00B41B23">
            <w:pPr>
              <w:pStyle w:val="TableParagraph"/>
              <w:snapToGrid w:val="0"/>
              <w:ind w:left="0"/>
              <w:jc w:val="both"/>
              <w:rPr>
                <w:sz w:val="20"/>
                <w:szCs w:val="20"/>
              </w:rPr>
            </w:pPr>
            <w:r w:rsidRPr="00F11A18">
              <w:rPr>
                <w:sz w:val="20"/>
                <w:szCs w:val="20"/>
              </w:rPr>
              <w:t>89.7</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0.001</w:t>
            </w:r>
          </w:p>
        </w:tc>
      </w:tr>
      <w:tr w:rsidR="000F782C"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Type of organism</w:t>
            </w:r>
          </w:p>
          <w:p w:rsidR="000B2401" w:rsidRPr="00F11A18" w:rsidRDefault="00C41A33" w:rsidP="00B41B23">
            <w:pPr>
              <w:pStyle w:val="TableParagraph"/>
              <w:snapToGrid w:val="0"/>
              <w:ind w:left="0"/>
              <w:jc w:val="both"/>
              <w:rPr>
                <w:sz w:val="20"/>
                <w:szCs w:val="20"/>
              </w:rPr>
            </w:pPr>
            <w:r w:rsidRPr="00F11A18">
              <w:rPr>
                <w:sz w:val="20"/>
                <w:szCs w:val="20"/>
              </w:rPr>
              <w:t>Fermenter</w:t>
            </w:r>
          </w:p>
          <w:p w:rsidR="000B2401" w:rsidRPr="00F11A18" w:rsidRDefault="00C41A33" w:rsidP="00B41B23">
            <w:pPr>
              <w:pStyle w:val="TableParagraph"/>
              <w:snapToGrid w:val="0"/>
              <w:ind w:left="0"/>
              <w:jc w:val="both"/>
              <w:rPr>
                <w:sz w:val="20"/>
                <w:szCs w:val="20"/>
              </w:rPr>
            </w:pPr>
            <w:r w:rsidRPr="00F11A18">
              <w:rPr>
                <w:sz w:val="20"/>
                <w:szCs w:val="20"/>
              </w:rPr>
              <w:lastRenderedPageBreak/>
              <w:t>Non-fermenter</w:t>
            </w:r>
          </w:p>
          <w:p w:rsidR="000B2401" w:rsidRPr="00F11A18" w:rsidRDefault="00C41A33" w:rsidP="00B41B23">
            <w:pPr>
              <w:pStyle w:val="TableParagraph"/>
              <w:snapToGrid w:val="0"/>
              <w:ind w:left="0"/>
              <w:jc w:val="both"/>
              <w:rPr>
                <w:sz w:val="20"/>
                <w:szCs w:val="20"/>
              </w:rPr>
            </w:pPr>
            <w:r w:rsidRPr="00F11A18">
              <w:rPr>
                <w:sz w:val="20"/>
                <w:szCs w:val="20"/>
              </w:rPr>
              <w:t>Klebsiella</w:t>
            </w:r>
            <w:r w:rsidR="00F11A18">
              <w:rPr>
                <w:rFonts w:eastAsiaTheme="minorEastAsia" w:hint="eastAsia"/>
                <w:sz w:val="20"/>
                <w:szCs w:val="20"/>
                <w:lang w:eastAsia="zh-CN"/>
              </w:rPr>
              <w:t xml:space="preserve"> </w:t>
            </w:r>
            <w:r w:rsidRPr="00F11A18">
              <w:rPr>
                <w:sz w:val="20"/>
                <w:szCs w:val="20"/>
              </w:rPr>
              <w:t>species</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21</w:t>
            </w:r>
          </w:p>
          <w:p w:rsidR="000B2401" w:rsidRPr="00F11A18" w:rsidRDefault="00C41A33" w:rsidP="00B41B23">
            <w:pPr>
              <w:pStyle w:val="TableParagraph"/>
              <w:snapToGrid w:val="0"/>
              <w:ind w:left="0"/>
              <w:jc w:val="both"/>
              <w:rPr>
                <w:sz w:val="20"/>
                <w:szCs w:val="20"/>
              </w:rPr>
            </w:pPr>
            <w:r w:rsidRPr="00F11A18">
              <w:rPr>
                <w:sz w:val="20"/>
                <w:szCs w:val="20"/>
              </w:rPr>
              <w:lastRenderedPageBreak/>
              <w:t>16</w:t>
            </w:r>
          </w:p>
          <w:p w:rsidR="000B2401" w:rsidRPr="00F11A18" w:rsidRDefault="00C41A33" w:rsidP="00B41B23">
            <w:pPr>
              <w:pStyle w:val="TableParagraph"/>
              <w:snapToGrid w:val="0"/>
              <w:ind w:left="0"/>
              <w:jc w:val="both"/>
              <w:rPr>
                <w:sz w:val="20"/>
                <w:szCs w:val="20"/>
              </w:rPr>
            </w:pPr>
            <w:r w:rsidRPr="00F11A18">
              <w:rPr>
                <w:sz w:val="20"/>
                <w:szCs w:val="20"/>
              </w:rPr>
              <w:t>24</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52.4</w:t>
            </w:r>
          </w:p>
          <w:p w:rsidR="000B2401" w:rsidRPr="00F11A18" w:rsidRDefault="00C41A33" w:rsidP="00B41B23">
            <w:pPr>
              <w:pStyle w:val="TableParagraph"/>
              <w:snapToGrid w:val="0"/>
              <w:ind w:left="0"/>
              <w:jc w:val="both"/>
              <w:rPr>
                <w:sz w:val="20"/>
                <w:szCs w:val="20"/>
              </w:rPr>
            </w:pPr>
            <w:r w:rsidRPr="00F11A18">
              <w:rPr>
                <w:sz w:val="20"/>
                <w:szCs w:val="20"/>
              </w:rPr>
              <w:lastRenderedPageBreak/>
              <w:t>68.8</w:t>
            </w:r>
          </w:p>
          <w:p w:rsidR="000B2401" w:rsidRPr="00F11A18" w:rsidRDefault="00C41A33" w:rsidP="00B41B23">
            <w:pPr>
              <w:pStyle w:val="TableParagraph"/>
              <w:snapToGrid w:val="0"/>
              <w:ind w:left="0"/>
              <w:jc w:val="both"/>
              <w:rPr>
                <w:sz w:val="20"/>
                <w:szCs w:val="20"/>
              </w:rPr>
            </w:pPr>
            <w:r w:rsidRPr="00F11A18">
              <w:rPr>
                <w:sz w:val="20"/>
                <w:szCs w:val="20"/>
              </w:rPr>
              <w:t>54.2</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0.559</w:t>
            </w:r>
          </w:p>
        </w:tc>
      </w:tr>
      <w:tr w:rsidR="000F782C"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lastRenderedPageBreak/>
              <w:t>Number of organisms per episode</w:t>
            </w:r>
          </w:p>
          <w:p w:rsidR="000B2401" w:rsidRPr="00F11A18" w:rsidRDefault="00C41A33" w:rsidP="00B41B23">
            <w:pPr>
              <w:pStyle w:val="TableParagraph"/>
              <w:snapToGrid w:val="0"/>
              <w:ind w:left="0"/>
              <w:jc w:val="both"/>
              <w:rPr>
                <w:sz w:val="20"/>
                <w:szCs w:val="20"/>
              </w:rPr>
            </w:pPr>
            <w:r w:rsidRPr="00F11A18">
              <w:rPr>
                <w:sz w:val="20"/>
                <w:szCs w:val="20"/>
              </w:rPr>
              <w:t>Single</w:t>
            </w:r>
          </w:p>
          <w:p w:rsidR="000B2401" w:rsidRPr="00F11A18" w:rsidRDefault="00C41A33" w:rsidP="00B41B23">
            <w:pPr>
              <w:pStyle w:val="TableParagraph"/>
              <w:snapToGrid w:val="0"/>
              <w:ind w:left="0"/>
              <w:jc w:val="both"/>
              <w:rPr>
                <w:sz w:val="20"/>
                <w:szCs w:val="20"/>
              </w:rPr>
            </w:pPr>
            <w:r w:rsidRPr="00F11A18">
              <w:rPr>
                <w:sz w:val="20"/>
                <w:szCs w:val="20"/>
              </w:rPr>
              <w:t>Two or</w:t>
            </w:r>
            <w:r w:rsidR="00F11A18">
              <w:rPr>
                <w:rFonts w:eastAsiaTheme="minorEastAsia" w:hint="eastAsia"/>
                <w:sz w:val="20"/>
                <w:szCs w:val="20"/>
                <w:lang w:eastAsia="zh-CN"/>
              </w:rPr>
              <w:t xml:space="preserve"> </w:t>
            </w:r>
            <w:r w:rsidRPr="00F11A18">
              <w:rPr>
                <w:sz w:val="20"/>
                <w:szCs w:val="20"/>
              </w:rPr>
              <w:t>more</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61</w:t>
            </w:r>
          </w:p>
          <w:p w:rsidR="000B2401" w:rsidRPr="00F11A18" w:rsidRDefault="00C41A33" w:rsidP="00B41B23">
            <w:pPr>
              <w:pStyle w:val="TableParagraph"/>
              <w:snapToGrid w:val="0"/>
              <w:ind w:left="0"/>
              <w:jc w:val="both"/>
              <w:rPr>
                <w:sz w:val="20"/>
                <w:szCs w:val="20"/>
              </w:rPr>
            </w:pPr>
            <w:r w:rsidRPr="00F11A18">
              <w:rPr>
                <w:sz w:val="20"/>
                <w:szCs w:val="20"/>
              </w:rPr>
              <w:t>11</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57.4</w:t>
            </w:r>
          </w:p>
          <w:p w:rsidR="000B2401" w:rsidRPr="00F11A18" w:rsidRDefault="00C41A33" w:rsidP="00B41B23">
            <w:pPr>
              <w:pStyle w:val="TableParagraph"/>
              <w:snapToGrid w:val="0"/>
              <w:ind w:left="0"/>
              <w:jc w:val="both"/>
              <w:rPr>
                <w:sz w:val="20"/>
                <w:szCs w:val="20"/>
              </w:rPr>
            </w:pPr>
            <w:r w:rsidRPr="00F11A18">
              <w:rPr>
                <w:sz w:val="20"/>
                <w:szCs w:val="20"/>
              </w:rPr>
              <w:t>54.5</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0.861</w:t>
            </w:r>
          </w:p>
        </w:tc>
      </w:tr>
      <w:tr w:rsidR="000F782C"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First line antimicrobial</w:t>
            </w:r>
          </w:p>
          <w:p w:rsidR="000B2401" w:rsidRPr="00F11A18" w:rsidRDefault="00C41A33" w:rsidP="00B41B23">
            <w:pPr>
              <w:pStyle w:val="TableParagraph"/>
              <w:snapToGrid w:val="0"/>
              <w:ind w:left="0"/>
              <w:jc w:val="both"/>
              <w:rPr>
                <w:sz w:val="20"/>
                <w:szCs w:val="20"/>
              </w:rPr>
            </w:pPr>
            <w:r w:rsidRPr="00F11A18">
              <w:rPr>
                <w:sz w:val="20"/>
                <w:szCs w:val="20"/>
              </w:rPr>
              <w:t>Piperacillin /Tazobactam</w:t>
            </w:r>
          </w:p>
          <w:p w:rsidR="000B2401" w:rsidRPr="00F11A18" w:rsidRDefault="00C41A33" w:rsidP="00B41B23">
            <w:pPr>
              <w:pStyle w:val="TableParagraph"/>
              <w:snapToGrid w:val="0"/>
              <w:ind w:left="0"/>
              <w:jc w:val="both"/>
              <w:rPr>
                <w:sz w:val="20"/>
                <w:szCs w:val="20"/>
              </w:rPr>
            </w:pPr>
            <w:r w:rsidRPr="00F11A18">
              <w:rPr>
                <w:sz w:val="20"/>
                <w:szCs w:val="20"/>
              </w:rPr>
              <w:t>Carbapenems</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62</w:t>
            </w:r>
          </w:p>
          <w:p w:rsidR="000B2401" w:rsidRPr="00F11A18" w:rsidRDefault="00C41A33" w:rsidP="00B41B23">
            <w:pPr>
              <w:pStyle w:val="TableParagraph"/>
              <w:snapToGrid w:val="0"/>
              <w:ind w:left="0"/>
              <w:jc w:val="both"/>
              <w:rPr>
                <w:sz w:val="20"/>
                <w:szCs w:val="20"/>
              </w:rPr>
            </w:pPr>
            <w:r w:rsidRPr="00F11A18">
              <w:rPr>
                <w:sz w:val="20"/>
                <w:szCs w:val="20"/>
              </w:rPr>
              <w:t>10</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59.7</w:t>
            </w:r>
          </w:p>
          <w:p w:rsidR="000B2401" w:rsidRPr="00F11A18" w:rsidRDefault="00C41A33" w:rsidP="00B41B23">
            <w:pPr>
              <w:pStyle w:val="TableParagraph"/>
              <w:snapToGrid w:val="0"/>
              <w:ind w:left="0"/>
              <w:jc w:val="both"/>
              <w:rPr>
                <w:sz w:val="20"/>
                <w:szCs w:val="20"/>
              </w:rPr>
            </w:pPr>
            <w:r w:rsidRPr="00F11A18">
              <w:rPr>
                <w:sz w:val="20"/>
                <w:szCs w:val="20"/>
              </w:rPr>
              <w:t>40</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0.244</w:t>
            </w:r>
          </w:p>
        </w:tc>
      </w:tr>
      <w:tr w:rsidR="000F782C"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Antimicrobial modification</w:t>
            </w:r>
          </w:p>
          <w:p w:rsidR="000B2401" w:rsidRPr="00F11A18" w:rsidRDefault="00C41A33" w:rsidP="00B41B23">
            <w:pPr>
              <w:pStyle w:val="TableParagraph"/>
              <w:snapToGrid w:val="0"/>
              <w:ind w:left="0"/>
              <w:jc w:val="both"/>
              <w:rPr>
                <w:sz w:val="20"/>
                <w:szCs w:val="20"/>
              </w:rPr>
            </w:pPr>
            <w:r w:rsidRPr="00F11A18">
              <w:rPr>
                <w:sz w:val="20"/>
                <w:szCs w:val="20"/>
              </w:rPr>
              <w:t>Vital instability</w:t>
            </w:r>
          </w:p>
          <w:p w:rsidR="000B2401" w:rsidRPr="00F11A18" w:rsidRDefault="00C41A33" w:rsidP="00B41B23">
            <w:pPr>
              <w:pStyle w:val="TableParagraph"/>
              <w:snapToGrid w:val="0"/>
              <w:ind w:left="0"/>
              <w:jc w:val="both"/>
              <w:rPr>
                <w:sz w:val="20"/>
                <w:szCs w:val="20"/>
              </w:rPr>
            </w:pPr>
            <w:r w:rsidRPr="00F11A18">
              <w:rPr>
                <w:sz w:val="20"/>
                <w:szCs w:val="20"/>
              </w:rPr>
              <w:t>Clinical focus of</w:t>
            </w:r>
            <w:r w:rsidR="00F11A18">
              <w:rPr>
                <w:rFonts w:eastAsiaTheme="minorEastAsia" w:hint="eastAsia"/>
                <w:sz w:val="20"/>
                <w:szCs w:val="20"/>
                <w:lang w:eastAsia="zh-CN"/>
              </w:rPr>
              <w:t xml:space="preserve"> </w:t>
            </w:r>
            <w:r w:rsidRPr="00F11A18">
              <w:rPr>
                <w:sz w:val="20"/>
                <w:szCs w:val="20"/>
              </w:rPr>
              <w:t>infection</w:t>
            </w:r>
          </w:p>
          <w:p w:rsidR="000B2401" w:rsidRPr="00F11A18" w:rsidRDefault="00C41A33" w:rsidP="00B41B23">
            <w:pPr>
              <w:pStyle w:val="TableParagraph"/>
              <w:snapToGrid w:val="0"/>
              <w:ind w:left="0"/>
              <w:jc w:val="both"/>
              <w:rPr>
                <w:sz w:val="20"/>
                <w:szCs w:val="20"/>
              </w:rPr>
            </w:pPr>
            <w:r w:rsidRPr="00F11A18">
              <w:rPr>
                <w:sz w:val="20"/>
                <w:szCs w:val="20"/>
              </w:rPr>
              <w:t>Results of blood</w:t>
            </w:r>
            <w:r w:rsidR="00F11A18">
              <w:rPr>
                <w:rFonts w:eastAsiaTheme="minorEastAsia" w:hint="eastAsia"/>
                <w:sz w:val="20"/>
                <w:szCs w:val="20"/>
                <w:lang w:eastAsia="zh-CN"/>
              </w:rPr>
              <w:t xml:space="preserve"> </w:t>
            </w:r>
            <w:r w:rsidRPr="00F11A18">
              <w:rPr>
                <w:sz w:val="20"/>
                <w:szCs w:val="20"/>
              </w:rPr>
              <w:t>cultures</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18</w:t>
            </w:r>
          </w:p>
          <w:p w:rsidR="000B2401" w:rsidRPr="00F11A18" w:rsidRDefault="00C41A33" w:rsidP="00B41B23">
            <w:pPr>
              <w:pStyle w:val="TableParagraph"/>
              <w:snapToGrid w:val="0"/>
              <w:ind w:left="0"/>
              <w:jc w:val="both"/>
              <w:rPr>
                <w:sz w:val="20"/>
                <w:szCs w:val="20"/>
              </w:rPr>
            </w:pPr>
            <w:r w:rsidRPr="00F11A18">
              <w:rPr>
                <w:sz w:val="20"/>
                <w:szCs w:val="20"/>
              </w:rPr>
              <w:t>10</w:t>
            </w:r>
          </w:p>
          <w:p w:rsidR="000B2401" w:rsidRPr="00F11A18" w:rsidRDefault="00C41A33" w:rsidP="00B41B23">
            <w:pPr>
              <w:pStyle w:val="TableParagraph"/>
              <w:snapToGrid w:val="0"/>
              <w:ind w:left="0"/>
              <w:jc w:val="both"/>
              <w:rPr>
                <w:sz w:val="20"/>
                <w:szCs w:val="20"/>
              </w:rPr>
            </w:pPr>
            <w:r w:rsidRPr="00F11A18">
              <w:rPr>
                <w:sz w:val="20"/>
                <w:szCs w:val="20"/>
              </w:rPr>
              <w:t>37</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88.9</w:t>
            </w:r>
          </w:p>
          <w:p w:rsidR="000B2401" w:rsidRPr="00F11A18" w:rsidRDefault="00C41A33" w:rsidP="00B41B23">
            <w:pPr>
              <w:pStyle w:val="TableParagraph"/>
              <w:snapToGrid w:val="0"/>
              <w:ind w:left="0"/>
              <w:jc w:val="both"/>
              <w:rPr>
                <w:sz w:val="20"/>
                <w:szCs w:val="20"/>
              </w:rPr>
            </w:pPr>
            <w:r w:rsidRPr="00F11A18">
              <w:rPr>
                <w:sz w:val="20"/>
                <w:szCs w:val="20"/>
              </w:rPr>
              <w:t>70</w:t>
            </w:r>
          </w:p>
          <w:p w:rsidR="000B2401" w:rsidRPr="00F11A18" w:rsidRDefault="00C41A33" w:rsidP="00B41B23">
            <w:pPr>
              <w:pStyle w:val="TableParagraph"/>
              <w:snapToGrid w:val="0"/>
              <w:ind w:left="0"/>
              <w:jc w:val="both"/>
              <w:rPr>
                <w:sz w:val="20"/>
                <w:szCs w:val="20"/>
              </w:rPr>
            </w:pPr>
            <w:r w:rsidRPr="00F11A18">
              <w:rPr>
                <w:sz w:val="20"/>
                <w:szCs w:val="20"/>
              </w:rPr>
              <w:t>43</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0.004</w:t>
            </w:r>
          </w:p>
        </w:tc>
      </w:tr>
      <w:tr w:rsidR="000F782C"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Modification by switching to carbapenems</w:t>
            </w:r>
          </w:p>
          <w:p w:rsidR="000B2401" w:rsidRPr="00F11A18" w:rsidRDefault="00C41A33" w:rsidP="00B41B23">
            <w:pPr>
              <w:pStyle w:val="TableParagraph"/>
              <w:snapToGrid w:val="0"/>
              <w:ind w:left="0"/>
              <w:jc w:val="both"/>
              <w:rPr>
                <w:sz w:val="20"/>
                <w:szCs w:val="20"/>
              </w:rPr>
            </w:pPr>
            <w:r w:rsidRPr="00F11A18">
              <w:rPr>
                <w:sz w:val="20"/>
                <w:szCs w:val="20"/>
              </w:rPr>
              <w:t>Yes</w:t>
            </w:r>
          </w:p>
          <w:p w:rsidR="000B2401" w:rsidRPr="00F11A18" w:rsidRDefault="00C41A33" w:rsidP="00B41B23">
            <w:pPr>
              <w:pStyle w:val="TableParagraph"/>
              <w:snapToGrid w:val="0"/>
              <w:ind w:left="0"/>
              <w:jc w:val="both"/>
              <w:rPr>
                <w:sz w:val="20"/>
                <w:szCs w:val="20"/>
              </w:rPr>
            </w:pPr>
            <w:r w:rsidRPr="00F11A18">
              <w:rPr>
                <w:sz w:val="20"/>
                <w:szCs w:val="20"/>
              </w:rPr>
              <w:t>No</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58</w:t>
            </w:r>
          </w:p>
          <w:p w:rsidR="000B2401" w:rsidRPr="00F11A18" w:rsidRDefault="00C41A33" w:rsidP="00B41B23">
            <w:pPr>
              <w:pStyle w:val="TableParagraph"/>
              <w:snapToGrid w:val="0"/>
              <w:ind w:left="0"/>
              <w:jc w:val="both"/>
              <w:rPr>
                <w:sz w:val="20"/>
                <w:szCs w:val="20"/>
              </w:rPr>
            </w:pPr>
            <w:r w:rsidRPr="00F11A18">
              <w:rPr>
                <w:sz w:val="20"/>
                <w:szCs w:val="20"/>
              </w:rPr>
              <w:t>14</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63.8</w:t>
            </w:r>
          </w:p>
          <w:p w:rsidR="000B2401" w:rsidRPr="00F11A18" w:rsidRDefault="00C41A33" w:rsidP="00B41B23">
            <w:pPr>
              <w:pStyle w:val="TableParagraph"/>
              <w:snapToGrid w:val="0"/>
              <w:ind w:left="0"/>
              <w:jc w:val="both"/>
              <w:rPr>
                <w:sz w:val="20"/>
                <w:szCs w:val="20"/>
              </w:rPr>
            </w:pPr>
            <w:r w:rsidRPr="00F11A18">
              <w:rPr>
                <w:sz w:val="20"/>
                <w:szCs w:val="20"/>
              </w:rPr>
              <w:t>28.6</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0.017</w:t>
            </w:r>
          </w:p>
        </w:tc>
      </w:tr>
      <w:tr w:rsidR="000F782C"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Modification by adding colistin</w:t>
            </w:r>
          </w:p>
          <w:p w:rsidR="000B2401" w:rsidRPr="00F11A18" w:rsidRDefault="00C41A33" w:rsidP="00B41B23">
            <w:pPr>
              <w:pStyle w:val="TableParagraph"/>
              <w:snapToGrid w:val="0"/>
              <w:ind w:left="0"/>
              <w:jc w:val="both"/>
              <w:rPr>
                <w:sz w:val="20"/>
                <w:szCs w:val="20"/>
              </w:rPr>
            </w:pPr>
            <w:r w:rsidRPr="00F11A18">
              <w:rPr>
                <w:sz w:val="20"/>
                <w:szCs w:val="20"/>
              </w:rPr>
              <w:t>Yes</w:t>
            </w:r>
          </w:p>
          <w:p w:rsidR="000B2401" w:rsidRPr="00F11A18" w:rsidRDefault="00C41A33" w:rsidP="00B41B23">
            <w:pPr>
              <w:pStyle w:val="TableParagraph"/>
              <w:snapToGrid w:val="0"/>
              <w:ind w:left="0"/>
              <w:jc w:val="both"/>
              <w:rPr>
                <w:sz w:val="20"/>
                <w:szCs w:val="20"/>
              </w:rPr>
            </w:pPr>
            <w:r w:rsidRPr="00F11A18">
              <w:rPr>
                <w:sz w:val="20"/>
                <w:szCs w:val="20"/>
              </w:rPr>
              <w:t>No</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28</w:t>
            </w:r>
          </w:p>
          <w:p w:rsidR="000B2401" w:rsidRPr="00F11A18" w:rsidRDefault="00C41A33" w:rsidP="00B41B23">
            <w:pPr>
              <w:pStyle w:val="TableParagraph"/>
              <w:snapToGrid w:val="0"/>
              <w:ind w:left="0"/>
              <w:jc w:val="both"/>
              <w:rPr>
                <w:sz w:val="20"/>
                <w:szCs w:val="20"/>
              </w:rPr>
            </w:pPr>
            <w:r w:rsidRPr="00F11A18">
              <w:rPr>
                <w:sz w:val="20"/>
                <w:szCs w:val="20"/>
              </w:rPr>
              <w:t>44</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53.6</w:t>
            </w:r>
          </w:p>
          <w:p w:rsidR="000B2401" w:rsidRPr="00F11A18" w:rsidRDefault="00C41A33" w:rsidP="00B41B23">
            <w:pPr>
              <w:pStyle w:val="TableParagraph"/>
              <w:snapToGrid w:val="0"/>
              <w:ind w:left="0"/>
              <w:jc w:val="both"/>
              <w:rPr>
                <w:sz w:val="20"/>
                <w:szCs w:val="20"/>
              </w:rPr>
            </w:pPr>
            <w:r w:rsidRPr="00F11A18">
              <w:rPr>
                <w:sz w:val="20"/>
                <w:szCs w:val="20"/>
              </w:rPr>
              <w:t>59.1</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0.645</w:t>
            </w:r>
          </w:p>
        </w:tc>
      </w:tr>
      <w:tr w:rsidR="000F782C"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Modification by adding tigecycline</w:t>
            </w:r>
          </w:p>
          <w:p w:rsidR="000B2401" w:rsidRPr="00F11A18" w:rsidRDefault="00C41A33" w:rsidP="00B41B23">
            <w:pPr>
              <w:pStyle w:val="TableParagraph"/>
              <w:snapToGrid w:val="0"/>
              <w:ind w:left="0"/>
              <w:jc w:val="both"/>
              <w:rPr>
                <w:sz w:val="20"/>
                <w:szCs w:val="20"/>
              </w:rPr>
            </w:pPr>
            <w:r w:rsidRPr="00F11A18">
              <w:rPr>
                <w:sz w:val="20"/>
                <w:szCs w:val="20"/>
              </w:rPr>
              <w:t>Yes</w:t>
            </w:r>
          </w:p>
          <w:p w:rsidR="000B2401" w:rsidRPr="00F11A18" w:rsidRDefault="00C41A33" w:rsidP="00B41B23">
            <w:pPr>
              <w:pStyle w:val="TableParagraph"/>
              <w:snapToGrid w:val="0"/>
              <w:ind w:left="0"/>
              <w:jc w:val="both"/>
              <w:rPr>
                <w:sz w:val="20"/>
                <w:szCs w:val="20"/>
              </w:rPr>
            </w:pPr>
            <w:r w:rsidRPr="00F11A18">
              <w:rPr>
                <w:sz w:val="20"/>
                <w:szCs w:val="20"/>
              </w:rPr>
              <w:t>No</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19</w:t>
            </w:r>
          </w:p>
          <w:p w:rsidR="000B2401" w:rsidRPr="00F11A18" w:rsidRDefault="00C41A33" w:rsidP="00B41B23">
            <w:pPr>
              <w:pStyle w:val="TableParagraph"/>
              <w:snapToGrid w:val="0"/>
              <w:ind w:left="0"/>
              <w:jc w:val="both"/>
              <w:rPr>
                <w:sz w:val="20"/>
                <w:szCs w:val="20"/>
              </w:rPr>
            </w:pPr>
            <w:r w:rsidRPr="00F11A18">
              <w:rPr>
                <w:sz w:val="20"/>
                <w:szCs w:val="20"/>
              </w:rPr>
              <w:t>53</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47.4</w:t>
            </w:r>
          </w:p>
          <w:p w:rsidR="000B2401" w:rsidRPr="00F11A18" w:rsidRDefault="00C41A33" w:rsidP="00B41B23">
            <w:pPr>
              <w:pStyle w:val="TableParagraph"/>
              <w:snapToGrid w:val="0"/>
              <w:ind w:left="0"/>
              <w:jc w:val="both"/>
              <w:rPr>
                <w:sz w:val="20"/>
                <w:szCs w:val="20"/>
              </w:rPr>
            </w:pPr>
            <w:r w:rsidRPr="00F11A18">
              <w:rPr>
                <w:sz w:val="20"/>
                <w:szCs w:val="20"/>
              </w:rPr>
              <w:t>60.4</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0.326</w:t>
            </w:r>
          </w:p>
        </w:tc>
      </w:tr>
      <w:tr w:rsidR="000F782C" w:rsidRPr="00F11A18" w:rsidTr="00B405E1">
        <w:trPr>
          <w:jc w:val="center"/>
        </w:trPr>
        <w:tc>
          <w:tcPr>
            <w:tcW w:w="2813"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Previous culture with MDR organism</w:t>
            </w:r>
          </w:p>
          <w:p w:rsidR="000B2401" w:rsidRPr="00F11A18" w:rsidRDefault="00C41A33" w:rsidP="00B41B23">
            <w:pPr>
              <w:pStyle w:val="TableParagraph"/>
              <w:snapToGrid w:val="0"/>
              <w:ind w:left="0"/>
              <w:jc w:val="both"/>
              <w:rPr>
                <w:sz w:val="20"/>
                <w:szCs w:val="20"/>
              </w:rPr>
            </w:pPr>
            <w:r w:rsidRPr="00F11A18">
              <w:rPr>
                <w:sz w:val="20"/>
                <w:szCs w:val="20"/>
              </w:rPr>
              <w:t>1</w:t>
            </w:r>
            <w:r w:rsidRPr="00F11A18">
              <w:rPr>
                <w:sz w:val="20"/>
                <w:szCs w:val="20"/>
                <w:vertAlign w:val="superscript"/>
              </w:rPr>
              <w:t>st</w:t>
            </w:r>
            <w:r w:rsidRPr="00F11A18">
              <w:rPr>
                <w:sz w:val="20"/>
                <w:szCs w:val="20"/>
              </w:rPr>
              <w:t xml:space="preserve"> line: Piperacillin /Tazobactam</w:t>
            </w:r>
          </w:p>
          <w:p w:rsidR="000B2401" w:rsidRPr="00F11A18" w:rsidRDefault="00C41A33" w:rsidP="00B41B23">
            <w:pPr>
              <w:pStyle w:val="TableParagraph"/>
              <w:snapToGrid w:val="0"/>
              <w:ind w:left="0"/>
              <w:jc w:val="both"/>
              <w:rPr>
                <w:sz w:val="20"/>
                <w:szCs w:val="20"/>
              </w:rPr>
            </w:pPr>
            <w:r w:rsidRPr="00F11A18">
              <w:rPr>
                <w:sz w:val="20"/>
                <w:szCs w:val="20"/>
              </w:rPr>
              <w:t>1</w:t>
            </w:r>
            <w:r w:rsidRPr="00F11A18">
              <w:rPr>
                <w:sz w:val="20"/>
                <w:szCs w:val="20"/>
                <w:vertAlign w:val="superscript"/>
              </w:rPr>
              <w:t>st</w:t>
            </w:r>
            <w:r w:rsidRPr="00F11A18">
              <w:rPr>
                <w:sz w:val="20"/>
                <w:szCs w:val="20"/>
              </w:rPr>
              <w:t xml:space="preserve"> line: Carbapenems</w:t>
            </w:r>
          </w:p>
        </w:tc>
        <w:tc>
          <w:tcPr>
            <w:tcW w:w="622"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5</w:t>
            </w:r>
          </w:p>
          <w:p w:rsidR="000B2401" w:rsidRPr="00F11A18" w:rsidRDefault="00C41A33" w:rsidP="00B41B23">
            <w:pPr>
              <w:pStyle w:val="TableParagraph"/>
              <w:snapToGrid w:val="0"/>
              <w:ind w:left="0"/>
              <w:jc w:val="both"/>
              <w:rPr>
                <w:sz w:val="20"/>
                <w:szCs w:val="20"/>
              </w:rPr>
            </w:pPr>
            <w:r w:rsidRPr="00F11A18">
              <w:rPr>
                <w:sz w:val="20"/>
                <w:szCs w:val="20"/>
              </w:rPr>
              <w:t>3</w:t>
            </w:r>
          </w:p>
        </w:tc>
        <w:tc>
          <w:tcPr>
            <w:tcW w:w="994"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80</w:t>
            </w:r>
          </w:p>
          <w:p w:rsidR="000B2401" w:rsidRPr="00F11A18" w:rsidRDefault="00C41A33" w:rsidP="00B41B23">
            <w:pPr>
              <w:pStyle w:val="TableParagraph"/>
              <w:snapToGrid w:val="0"/>
              <w:ind w:left="0"/>
              <w:jc w:val="both"/>
              <w:rPr>
                <w:sz w:val="20"/>
                <w:szCs w:val="20"/>
              </w:rPr>
            </w:pPr>
            <w:r w:rsidRPr="00F11A18">
              <w:rPr>
                <w:sz w:val="20"/>
                <w:szCs w:val="20"/>
              </w:rPr>
              <w:t>0</w:t>
            </w:r>
          </w:p>
        </w:tc>
        <w:tc>
          <w:tcPr>
            <w:tcW w:w="571" w:type="pct"/>
            <w:vAlign w:val="center"/>
          </w:tcPr>
          <w:p w:rsidR="000B2401" w:rsidRPr="00F11A18" w:rsidRDefault="000B2401" w:rsidP="00B41B23">
            <w:pPr>
              <w:pStyle w:val="TableParagraph"/>
              <w:snapToGrid w:val="0"/>
              <w:ind w:left="0"/>
              <w:jc w:val="both"/>
              <w:rPr>
                <w:b/>
                <w:sz w:val="20"/>
                <w:szCs w:val="20"/>
              </w:rPr>
            </w:pPr>
          </w:p>
          <w:p w:rsidR="000B2401" w:rsidRPr="00F11A18" w:rsidRDefault="00C41A33" w:rsidP="00B41B23">
            <w:pPr>
              <w:pStyle w:val="TableParagraph"/>
              <w:snapToGrid w:val="0"/>
              <w:ind w:left="0"/>
              <w:jc w:val="both"/>
              <w:rPr>
                <w:sz w:val="20"/>
                <w:szCs w:val="20"/>
              </w:rPr>
            </w:pPr>
            <w:r w:rsidRPr="00F11A18">
              <w:rPr>
                <w:sz w:val="20"/>
                <w:szCs w:val="20"/>
              </w:rPr>
              <w:t>0.041</w:t>
            </w:r>
          </w:p>
        </w:tc>
      </w:tr>
    </w:tbl>
    <w:p w:rsidR="00C64926" w:rsidRDefault="00C64926" w:rsidP="00B41B23">
      <w:pPr>
        <w:snapToGrid w:val="0"/>
        <w:jc w:val="both"/>
        <w:rPr>
          <w:rFonts w:eastAsiaTheme="minorEastAsia" w:hint="eastAsia"/>
          <w:b/>
          <w:sz w:val="20"/>
          <w:szCs w:val="20"/>
          <w:lang w:eastAsia="zh-CN"/>
        </w:rPr>
      </w:pPr>
    </w:p>
    <w:p w:rsidR="007457A4" w:rsidRPr="007457A4" w:rsidRDefault="007457A4" w:rsidP="00B41B23">
      <w:pPr>
        <w:snapToGrid w:val="0"/>
        <w:jc w:val="both"/>
        <w:rPr>
          <w:rFonts w:eastAsiaTheme="minorEastAsia" w:hint="eastAsia"/>
          <w:b/>
          <w:sz w:val="20"/>
          <w:szCs w:val="20"/>
          <w:lang w:eastAsia="zh-CN"/>
        </w:rPr>
      </w:pPr>
    </w:p>
    <w:p w:rsidR="00B41B23" w:rsidRPr="00F11A18" w:rsidRDefault="00B41B23" w:rsidP="00B41B23">
      <w:pPr>
        <w:snapToGrid w:val="0"/>
        <w:jc w:val="center"/>
        <w:rPr>
          <w:b/>
          <w:sz w:val="20"/>
          <w:szCs w:val="20"/>
        </w:rPr>
        <w:sectPr w:rsidR="00B41B23" w:rsidRPr="00F11A18" w:rsidSect="00B405E1">
          <w:type w:val="continuous"/>
          <w:pgSz w:w="12240" w:h="15840" w:code="1"/>
          <w:pgMar w:top="1440" w:right="1440" w:bottom="1440" w:left="1440" w:header="720" w:footer="720" w:gutter="0"/>
          <w:cols w:space="720"/>
          <w:docGrid w:linePitch="299"/>
        </w:sectPr>
      </w:pPr>
    </w:p>
    <w:p w:rsidR="00C41A33" w:rsidRPr="00F11A18" w:rsidRDefault="00C41A33" w:rsidP="00B41B23">
      <w:pPr>
        <w:snapToGrid w:val="0"/>
        <w:jc w:val="center"/>
        <w:rPr>
          <w:b/>
          <w:sz w:val="20"/>
          <w:szCs w:val="20"/>
        </w:rPr>
      </w:pPr>
      <w:r w:rsidRPr="00F11A18">
        <w:rPr>
          <w:b/>
          <w:noProof/>
          <w:sz w:val="20"/>
          <w:szCs w:val="20"/>
          <w:lang w:eastAsia="zh-CN" w:bidi="ar-SA"/>
        </w:rPr>
        <w:lastRenderedPageBreak/>
        <w:drawing>
          <wp:inline distT="0" distB="0" distL="0" distR="0">
            <wp:extent cx="2787760" cy="168311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8245" cy="1689448"/>
                    </a:xfrm>
                    <a:prstGeom prst="rect">
                      <a:avLst/>
                    </a:prstGeom>
                    <a:noFill/>
                  </pic:spPr>
                </pic:pic>
              </a:graphicData>
            </a:graphic>
          </wp:inline>
        </w:drawing>
      </w:r>
    </w:p>
    <w:p w:rsidR="000B2401" w:rsidRPr="00F11A18" w:rsidRDefault="00C41A33" w:rsidP="00B41B23">
      <w:pPr>
        <w:snapToGrid w:val="0"/>
        <w:jc w:val="both"/>
        <w:rPr>
          <w:b/>
          <w:sz w:val="20"/>
          <w:szCs w:val="20"/>
        </w:rPr>
      </w:pPr>
      <w:r w:rsidRPr="00F11A18">
        <w:rPr>
          <w:b/>
          <w:sz w:val="20"/>
          <w:szCs w:val="20"/>
        </w:rPr>
        <w:t>Figure (1): Susceptibility pattern of different organisms to antimicrobials</w:t>
      </w:r>
    </w:p>
    <w:p w:rsidR="00EB24D8" w:rsidRDefault="00EB24D8" w:rsidP="00B41B23">
      <w:pPr>
        <w:snapToGrid w:val="0"/>
        <w:jc w:val="both"/>
        <w:rPr>
          <w:rFonts w:eastAsiaTheme="minorEastAsia" w:hint="eastAsia"/>
          <w:b/>
          <w:sz w:val="20"/>
          <w:szCs w:val="20"/>
          <w:lang w:eastAsia="zh-CN"/>
        </w:rPr>
      </w:pPr>
    </w:p>
    <w:p w:rsidR="007457A4" w:rsidRPr="007457A4" w:rsidRDefault="007457A4" w:rsidP="00B41B23">
      <w:pPr>
        <w:snapToGrid w:val="0"/>
        <w:jc w:val="both"/>
        <w:rPr>
          <w:rFonts w:eastAsiaTheme="minorEastAsia" w:hint="eastAsia"/>
          <w:b/>
          <w:sz w:val="20"/>
          <w:szCs w:val="20"/>
          <w:lang w:eastAsia="zh-CN"/>
        </w:rPr>
      </w:pPr>
    </w:p>
    <w:p w:rsidR="00C64926" w:rsidRPr="00F11A18" w:rsidRDefault="00C64926" w:rsidP="00B41B23">
      <w:pPr>
        <w:pStyle w:val="Heading1"/>
        <w:snapToGrid w:val="0"/>
        <w:ind w:left="0"/>
        <w:jc w:val="both"/>
        <w:rPr>
          <w:sz w:val="20"/>
          <w:szCs w:val="20"/>
        </w:rPr>
      </w:pPr>
      <w:r w:rsidRPr="00F11A18">
        <w:rPr>
          <w:sz w:val="20"/>
          <w:szCs w:val="20"/>
        </w:rPr>
        <w:t>4. Discussion</w:t>
      </w:r>
    </w:p>
    <w:p w:rsidR="00C64926" w:rsidRPr="00F11A18" w:rsidRDefault="00C64926" w:rsidP="00B41B23">
      <w:pPr>
        <w:pStyle w:val="BodyText"/>
        <w:snapToGrid w:val="0"/>
        <w:ind w:left="0" w:firstLine="425"/>
        <w:jc w:val="both"/>
        <w:rPr>
          <w:sz w:val="20"/>
          <w:szCs w:val="20"/>
        </w:rPr>
      </w:pPr>
      <w:r w:rsidRPr="00F11A18">
        <w:rPr>
          <w:sz w:val="20"/>
          <w:szCs w:val="20"/>
        </w:rPr>
        <w:t>Despite significant improvement in antimicrobial treatment, antibiotic resistance represents an emergency condition, particularly in immune compromised patients. Also, infections due to MDR-GNB are leading causes of death</w:t>
      </w:r>
      <w:r w:rsidRPr="00F11A18">
        <w:rPr>
          <w:color w:val="221F1F"/>
          <w:sz w:val="20"/>
          <w:szCs w:val="20"/>
        </w:rPr>
        <w:t>.</w:t>
      </w:r>
      <w:r w:rsidRPr="00F11A18">
        <w:rPr>
          <w:color w:val="221F1F"/>
          <w:sz w:val="20"/>
          <w:szCs w:val="20"/>
          <w:vertAlign w:val="superscript"/>
        </w:rPr>
        <w:t>12</w:t>
      </w:r>
      <w:r w:rsidRPr="00F11A18">
        <w:rPr>
          <w:sz w:val="20"/>
          <w:szCs w:val="20"/>
        </w:rPr>
        <w:t xml:space="preserve">Therefore, we attempted to investigate the outcome (and its predictors) of </w:t>
      </w:r>
      <w:r w:rsidRPr="00F11A18">
        <w:rPr>
          <w:color w:val="121312"/>
          <w:sz w:val="20"/>
          <w:szCs w:val="20"/>
        </w:rPr>
        <w:t xml:space="preserve">MDR gram-negative bacteremia </w:t>
      </w:r>
      <w:r w:rsidRPr="00F11A18">
        <w:rPr>
          <w:sz w:val="20"/>
          <w:szCs w:val="20"/>
        </w:rPr>
        <w:t xml:space="preserve">in children with hematologic malignancies who presented to </w:t>
      </w:r>
      <w:r w:rsidR="00F11A18" w:rsidRPr="00F11A18">
        <w:rPr>
          <w:sz w:val="20"/>
          <w:szCs w:val="20"/>
        </w:rPr>
        <w:t>our department</w:t>
      </w:r>
      <w:r w:rsidRPr="00F11A18">
        <w:rPr>
          <w:sz w:val="20"/>
          <w:szCs w:val="20"/>
        </w:rPr>
        <w:t>.</w:t>
      </w:r>
    </w:p>
    <w:p w:rsidR="00C64926" w:rsidRPr="00F11A18" w:rsidRDefault="00C64926" w:rsidP="00B41B23">
      <w:pPr>
        <w:pStyle w:val="BodyText"/>
        <w:snapToGrid w:val="0"/>
        <w:ind w:left="0" w:firstLine="425"/>
        <w:jc w:val="both"/>
        <w:rPr>
          <w:sz w:val="20"/>
          <w:szCs w:val="20"/>
        </w:rPr>
      </w:pPr>
      <w:r w:rsidRPr="00F11A18">
        <w:rPr>
          <w:color w:val="121312"/>
          <w:sz w:val="20"/>
          <w:szCs w:val="20"/>
        </w:rPr>
        <w:t xml:space="preserve">During the study period, 65 patients with hematological malignancies developed 72 episodes of bacteremia with isolation of MDR-GNOs. </w:t>
      </w:r>
      <w:r w:rsidRPr="00F11A18">
        <w:rPr>
          <w:sz w:val="20"/>
          <w:szCs w:val="20"/>
        </w:rPr>
        <w:t xml:space="preserve">Numbers </w:t>
      </w:r>
      <w:r w:rsidRPr="00F11A18">
        <w:rPr>
          <w:sz w:val="20"/>
          <w:szCs w:val="20"/>
        </w:rPr>
        <w:lastRenderedPageBreak/>
        <w:t xml:space="preserve">are different from other Egyptian studies </w:t>
      </w:r>
      <w:r w:rsidRPr="00F11A18">
        <w:rPr>
          <w:color w:val="221F1F"/>
          <w:sz w:val="20"/>
          <w:szCs w:val="20"/>
        </w:rPr>
        <w:t xml:space="preserve">at </w:t>
      </w:r>
      <w:r w:rsidRPr="00F11A18">
        <w:rPr>
          <w:sz w:val="20"/>
          <w:szCs w:val="20"/>
        </w:rPr>
        <w:t>National Cancer Institute, Cairo University</w:t>
      </w:r>
      <w:r w:rsidRPr="00F11A18">
        <w:rPr>
          <w:color w:val="221F1F"/>
          <w:sz w:val="20"/>
          <w:szCs w:val="20"/>
        </w:rPr>
        <w:t xml:space="preserve">; </w:t>
      </w:r>
      <w:r w:rsidRPr="00F11A18">
        <w:rPr>
          <w:i/>
          <w:sz w:val="20"/>
          <w:szCs w:val="20"/>
        </w:rPr>
        <w:t xml:space="preserve">El-Mahallawy et al, </w:t>
      </w:r>
      <w:r w:rsidRPr="00F11A18">
        <w:rPr>
          <w:sz w:val="20"/>
          <w:szCs w:val="20"/>
        </w:rPr>
        <w:t>who studied 239 febrile neutropenic episodes in 193 patients, of those 33 episodes had MDR-GNB</w:t>
      </w:r>
      <w:r w:rsidRPr="00F11A18">
        <w:rPr>
          <w:color w:val="221F1F"/>
          <w:sz w:val="20"/>
          <w:szCs w:val="20"/>
          <w:vertAlign w:val="superscript"/>
        </w:rPr>
        <w:t>2</w:t>
      </w:r>
      <w:r w:rsidRPr="00F11A18">
        <w:rPr>
          <w:sz w:val="20"/>
          <w:szCs w:val="20"/>
        </w:rPr>
        <w:t xml:space="preserve">, and </w:t>
      </w:r>
      <w:r w:rsidRPr="00F11A18">
        <w:rPr>
          <w:i/>
          <w:sz w:val="20"/>
          <w:szCs w:val="20"/>
        </w:rPr>
        <w:t xml:space="preserve">El- Mahallawy et al, </w:t>
      </w:r>
      <w:r w:rsidRPr="00F11A18">
        <w:rPr>
          <w:sz w:val="20"/>
          <w:szCs w:val="20"/>
        </w:rPr>
        <w:t>who studied 232 febrile neutropenic episodes in 192 patients, of those 119 episodes ha</w:t>
      </w:r>
      <w:r w:rsidR="009A440F" w:rsidRPr="00F11A18">
        <w:rPr>
          <w:sz w:val="20"/>
          <w:szCs w:val="20"/>
        </w:rPr>
        <w:t>d M</w:t>
      </w:r>
      <w:r w:rsidRPr="00F11A18">
        <w:rPr>
          <w:sz w:val="20"/>
          <w:szCs w:val="20"/>
        </w:rPr>
        <w:t>DR-GNB</w:t>
      </w:r>
      <w:r w:rsidRPr="00F11A18">
        <w:rPr>
          <w:color w:val="221F1F"/>
          <w:sz w:val="20"/>
          <w:szCs w:val="20"/>
        </w:rPr>
        <w:t>.</w:t>
      </w:r>
      <w:r w:rsidRPr="00F11A18">
        <w:rPr>
          <w:color w:val="221F1F"/>
          <w:sz w:val="20"/>
          <w:szCs w:val="20"/>
          <w:vertAlign w:val="superscript"/>
        </w:rPr>
        <w:t>13</w:t>
      </w:r>
    </w:p>
    <w:p w:rsidR="00C64926" w:rsidRPr="00F11A18" w:rsidRDefault="00C64926" w:rsidP="00B41B23">
      <w:pPr>
        <w:pStyle w:val="BodyText"/>
        <w:snapToGrid w:val="0"/>
        <w:ind w:left="0" w:firstLine="425"/>
        <w:jc w:val="both"/>
        <w:rPr>
          <w:sz w:val="20"/>
          <w:szCs w:val="20"/>
        </w:rPr>
      </w:pPr>
      <w:r w:rsidRPr="00F11A18">
        <w:rPr>
          <w:sz w:val="20"/>
          <w:szCs w:val="20"/>
        </w:rPr>
        <w:t xml:space="preserve">In the current study, age of the patients ranged from 1 year to 18 years with a median age of 7 years. This is similar to what was reported by </w:t>
      </w:r>
      <w:r w:rsidRPr="00F11A18">
        <w:rPr>
          <w:i/>
          <w:sz w:val="20"/>
          <w:szCs w:val="20"/>
        </w:rPr>
        <w:t xml:space="preserve">El-Mahallawy et al, </w:t>
      </w:r>
      <w:r w:rsidRPr="00F11A18">
        <w:rPr>
          <w:sz w:val="20"/>
          <w:szCs w:val="20"/>
        </w:rPr>
        <w:t>whereas age ranged from</w:t>
      </w:r>
      <w:r w:rsidR="00B41B23" w:rsidRPr="00F11A18">
        <w:rPr>
          <w:rFonts w:eastAsiaTheme="minorEastAsia" w:hint="eastAsia"/>
          <w:sz w:val="20"/>
          <w:szCs w:val="20"/>
          <w:lang w:eastAsia="zh-CN"/>
        </w:rPr>
        <w:t xml:space="preserve"> </w:t>
      </w:r>
      <w:r w:rsidRPr="00F11A18">
        <w:rPr>
          <w:sz w:val="20"/>
          <w:szCs w:val="20"/>
        </w:rPr>
        <w:t>1.5 month to 18 years with a median age of 6.8 years</w:t>
      </w:r>
      <w:r w:rsidRPr="00F11A18">
        <w:rPr>
          <w:color w:val="221F1F"/>
          <w:sz w:val="20"/>
          <w:szCs w:val="20"/>
          <w:vertAlign w:val="superscript"/>
        </w:rPr>
        <w:t>13</w:t>
      </w:r>
      <w:r w:rsidRPr="00F11A18">
        <w:rPr>
          <w:sz w:val="20"/>
          <w:szCs w:val="20"/>
        </w:rPr>
        <w:t xml:space="preserve">, and </w:t>
      </w:r>
      <w:r w:rsidRPr="00F11A18">
        <w:rPr>
          <w:i/>
          <w:sz w:val="20"/>
          <w:szCs w:val="20"/>
        </w:rPr>
        <w:t xml:space="preserve">Costa et al, </w:t>
      </w:r>
      <w:r w:rsidRPr="00F11A18">
        <w:rPr>
          <w:sz w:val="20"/>
          <w:szCs w:val="20"/>
        </w:rPr>
        <w:t>whereas age ranged from 2 months to 18 years with a median age of 7 years</w:t>
      </w:r>
      <w:r w:rsidRPr="00F11A18">
        <w:rPr>
          <w:color w:val="221F1F"/>
          <w:sz w:val="20"/>
          <w:szCs w:val="20"/>
        </w:rPr>
        <w:t>.</w:t>
      </w:r>
      <w:r w:rsidRPr="00F11A18">
        <w:rPr>
          <w:color w:val="221F1F"/>
          <w:sz w:val="20"/>
          <w:szCs w:val="20"/>
          <w:vertAlign w:val="superscript"/>
        </w:rPr>
        <w:t>14</w:t>
      </w:r>
    </w:p>
    <w:p w:rsidR="00C64926" w:rsidRPr="00F11A18" w:rsidRDefault="00C64926" w:rsidP="00B41B23">
      <w:pPr>
        <w:pStyle w:val="BodyText"/>
        <w:snapToGrid w:val="0"/>
        <w:ind w:left="0" w:firstLine="425"/>
        <w:jc w:val="both"/>
        <w:rPr>
          <w:sz w:val="20"/>
          <w:szCs w:val="20"/>
        </w:rPr>
      </w:pPr>
      <w:r w:rsidRPr="00F11A18">
        <w:rPr>
          <w:sz w:val="20"/>
          <w:szCs w:val="20"/>
        </w:rPr>
        <w:t xml:space="preserve">In the current study, AML was the most common hematological malignancy. This also correlates with </w:t>
      </w:r>
      <w:r w:rsidRPr="00F11A18">
        <w:rPr>
          <w:i/>
          <w:sz w:val="20"/>
          <w:szCs w:val="20"/>
        </w:rPr>
        <w:t>El- Mahallawy et al,</w:t>
      </w:r>
      <w:r w:rsidRPr="00F11A18">
        <w:rPr>
          <w:sz w:val="20"/>
          <w:szCs w:val="20"/>
          <w:vertAlign w:val="superscript"/>
        </w:rPr>
        <w:t>2</w:t>
      </w:r>
      <w:r w:rsidRPr="00F11A18">
        <w:rPr>
          <w:sz w:val="20"/>
          <w:szCs w:val="20"/>
        </w:rPr>
        <w:t xml:space="preserve"> and </w:t>
      </w:r>
      <w:r w:rsidRPr="00F11A18">
        <w:rPr>
          <w:i/>
          <w:sz w:val="20"/>
          <w:szCs w:val="20"/>
        </w:rPr>
        <w:t>Gedik et al,</w:t>
      </w:r>
      <w:r w:rsidRPr="00F11A18">
        <w:rPr>
          <w:sz w:val="20"/>
          <w:szCs w:val="20"/>
          <w:vertAlign w:val="superscript"/>
        </w:rPr>
        <w:t>15</w:t>
      </w:r>
      <w:r w:rsidRPr="00F11A18">
        <w:rPr>
          <w:sz w:val="20"/>
          <w:szCs w:val="20"/>
        </w:rPr>
        <w:t xml:space="preserve"> who reported AML as the most common hematological malignancy in their cohorts of patients with MDR-GNB; 50% and 37%, respectively. However, ALL was the dominant diagnosis among the cohort of 2 other studies; </w:t>
      </w:r>
      <w:r w:rsidRPr="00F11A18">
        <w:rPr>
          <w:i/>
          <w:sz w:val="20"/>
          <w:szCs w:val="20"/>
        </w:rPr>
        <w:t xml:space="preserve">El- Mahallawy et al, </w:t>
      </w:r>
      <w:r w:rsidRPr="00F11A18">
        <w:rPr>
          <w:sz w:val="20"/>
          <w:szCs w:val="20"/>
        </w:rPr>
        <w:t>(37.5%)</w:t>
      </w:r>
      <w:r w:rsidRPr="00F11A18">
        <w:rPr>
          <w:sz w:val="20"/>
          <w:szCs w:val="20"/>
          <w:vertAlign w:val="superscript"/>
        </w:rPr>
        <w:t>13</w:t>
      </w:r>
      <w:r w:rsidRPr="00F11A18">
        <w:rPr>
          <w:sz w:val="20"/>
          <w:szCs w:val="20"/>
        </w:rPr>
        <w:t xml:space="preserve"> and </w:t>
      </w:r>
      <w:r w:rsidRPr="00F11A18">
        <w:rPr>
          <w:i/>
          <w:sz w:val="20"/>
          <w:szCs w:val="20"/>
        </w:rPr>
        <w:t xml:space="preserve">Haeusler et al, </w:t>
      </w:r>
      <w:r w:rsidRPr="00F11A18">
        <w:rPr>
          <w:sz w:val="20"/>
          <w:szCs w:val="20"/>
        </w:rPr>
        <w:t>(54.8%)</w:t>
      </w:r>
      <w:r w:rsidRPr="00F11A18">
        <w:rPr>
          <w:color w:val="221F1F"/>
          <w:sz w:val="20"/>
          <w:szCs w:val="20"/>
        </w:rPr>
        <w:t>.</w:t>
      </w:r>
      <w:r w:rsidRPr="00F11A18">
        <w:rPr>
          <w:color w:val="221F1F"/>
          <w:sz w:val="20"/>
          <w:szCs w:val="20"/>
          <w:vertAlign w:val="superscript"/>
        </w:rPr>
        <w:t>16</w:t>
      </w:r>
      <w:r w:rsidR="007457A4">
        <w:rPr>
          <w:rFonts w:eastAsiaTheme="minorEastAsia" w:hint="eastAsia"/>
          <w:color w:val="221F1F"/>
          <w:sz w:val="20"/>
          <w:szCs w:val="20"/>
          <w:vertAlign w:val="superscript"/>
          <w:lang w:eastAsia="zh-CN"/>
        </w:rPr>
        <w:t xml:space="preserve"> </w:t>
      </w:r>
      <w:r w:rsidRPr="00F11A18">
        <w:rPr>
          <w:sz w:val="20"/>
          <w:szCs w:val="20"/>
        </w:rPr>
        <w:t>In our study, the mortality rate was significantly higher among patients with AML as compared to other diagnoses (P=0.045), which is expected due to the higher intensity of chemotherapy they received.</w:t>
      </w:r>
    </w:p>
    <w:p w:rsidR="00C64926" w:rsidRPr="00F11A18" w:rsidRDefault="00C64926" w:rsidP="00B41B23">
      <w:pPr>
        <w:pStyle w:val="BodyText"/>
        <w:snapToGrid w:val="0"/>
        <w:ind w:left="0" w:firstLine="425"/>
        <w:jc w:val="both"/>
        <w:rPr>
          <w:sz w:val="20"/>
          <w:szCs w:val="20"/>
        </w:rPr>
      </w:pPr>
      <w:r w:rsidRPr="00F11A18">
        <w:rPr>
          <w:sz w:val="20"/>
          <w:szCs w:val="20"/>
        </w:rPr>
        <w:t xml:space="preserve">In our study, almost half of the patients weren’t </w:t>
      </w:r>
      <w:r w:rsidRPr="00F11A18">
        <w:rPr>
          <w:sz w:val="20"/>
          <w:szCs w:val="20"/>
        </w:rPr>
        <w:lastRenderedPageBreak/>
        <w:t xml:space="preserve">in CR. This high percentage contributes to the occurrence of MDR gram negative bacteremia. That was also demonstrated by </w:t>
      </w:r>
      <w:r w:rsidRPr="00F11A18">
        <w:rPr>
          <w:i/>
          <w:sz w:val="20"/>
          <w:szCs w:val="20"/>
        </w:rPr>
        <w:t xml:space="preserve">Costa et al, </w:t>
      </w:r>
      <w:r w:rsidRPr="00F11A18">
        <w:rPr>
          <w:sz w:val="20"/>
          <w:szCs w:val="20"/>
        </w:rPr>
        <w:t>who reported 85.1% of their patients were still having disease and 14.9% were in CR</w:t>
      </w:r>
      <w:r w:rsidRPr="00F11A18">
        <w:rPr>
          <w:color w:val="221F1F"/>
          <w:sz w:val="20"/>
          <w:szCs w:val="20"/>
        </w:rPr>
        <w:t>.</w:t>
      </w:r>
      <w:r w:rsidRPr="00F11A18">
        <w:rPr>
          <w:color w:val="221F1F"/>
          <w:sz w:val="20"/>
          <w:szCs w:val="20"/>
          <w:vertAlign w:val="superscript"/>
        </w:rPr>
        <w:t>14</w:t>
      </w:r>
      <w:r w:rsidRPr="00F11A18">
        <w:rPr>
          <w:sz w:val="20"/>
          <w:szCs w:val="20"/>
        </w:rPr>
        <w:t>Our study showed significant higher mortality rate among patients who were in relaps</w:t>
      </w:r>
      <w:r w:rsidR="00B405E1" w:rsidRPr="00F11A18">
        <w:rPr>
          <w:sz w:val="20"/>
          <w:szCs w:val="20"/>
        </w:rPr>
        <w:t>e (</w:t>
      </w:r>
      <w:r w:rsidRPr="00F11A18">
        <w:rPr>
          <w:sz w:val="20"/>
          <w:szCs w:val="20"/>
        </w:rPr>
        <w:t>P=0.007).</w:t>
      </w:r>
    </w:p>
    <w:p w:rsidR="00C64926" w:rsidRPr="00F11A18" w:rsidRDefault="00C64926" w:rsidP="00B41B23">
      <w:pPr>
        <w:pStyle w:val="BodyText"/>
        <w:snapToGrid w:val="0"/>
        <w:ind w:left="0" w:firstLine="425"/>
        <w:jc w:val="both"/>
        <w:rPr>
          <w:sz w:val="20"/>
          <w:szCs w:val="20"/>
        </w:rPr>
      </w:pPr>
      <w:r w:rsidRPr="00F11A18">
        <w:rPr>
          <w:sz w:val="20"/>
          <w:szCs w:val="20"/>
        </w:rPr>
        <w:t>Infections with MDR-GNB are associated with ICU admission along with higher mortality in patients with hematological disorders</w:t>
      </w:r>
      <w:r w:rsidRPr="00F11A18">
        <w:rPr>
          <w:color w:val="221F1F"/>
          <w:sz w:val="20"/>
          <w:szCs w:val="20"/>
        </w:rPr>
        <w:t>.</w:t>
      </w:r>
      <w:r w:rsidRPr="00F11A18">
        <w:rPr>
          <w:color w:val="221F1F"/>
          <w:sz w:val="20"/>
          <w:szCs w:val="20"/>
          <w:vertAlign w:val="superscript"/>
        </w:rPr>
        <w:t>17</w:t>
      </w:r>
      <w:r w:rsidRPr="00F11A18">
        <w:rPr>
          <w:sz w:val="20"/>
          <w:szCs w:val="20"/>
        </w:rPr>
        <w:t xml:space="preserve">Inthe current study, vital instability was documented in 62.5% of episodes, while ICU admission was encountered in 75%. Mortality was higher among such group of patients as compared to those who were vitally stable or were not admitted to ICU with significant P-value &lt; 0.001. This is similar to what was reported by </w:t>
      </w:r>
      <w:r w:rsidRPr="00F11A18">
        <w:rPr>
          <w:i/>
          <w:color w:val="221F1F"/>
          <w:sz w:val="20"/>
          <w:szCs w:val="20"/>
        </w:rPr>
        <w:t>Gudiol et al,</w:t>
      </w:r>
      <w:r w:rsidRPr="00F11A18">
        <w:rPr>
          <w:color w:val="221F1F"/>
          <w:sz w:val="20"/>
          <w:szCs w:val="20"/>
          <w:vertAlign w:val="superscript"/>
        </w:rPr>
        <w:t>17</w:t>
      </w:r>
      <w:r w:rsidRPr="00F11A18">
        <w:rPr>
          <w:color w:val="221F1F"/>
          <w:sz w:val="20"/>
          <w:szCs w:val="20"/>
        </w:rPr>
        <w:t xml:space="preserve"> who reported that ICU admission was higher in MDR-GNB arm than non-MDR-GNB arm with </w:t>
      </w:r>
      <w:r w:rsidRPr="00F11A18">
        <w:rPr>
          <w:sz w:val="20"/>
          <w:szCs w:val="20"/>
        </w:rPr>
        <w:t xml:space="preserve">significant P-value = 0.023 and </w:t>
      </w:r>
      <w:r w:rsidRPr="00F11A18">
        <w:rPr>
          <w:i/>
          <w:color w:val="121312"/>
          <w:sz w:val="20"/>
          <w:szCs w:val="20"/>
        </w:rPr>
        <w:t>Freire et al,</w:t>
      </w:r>
      <w:r w:rsidRPr="00F11A18">
        <w:rPr>
          <w:color w:val="121312"/>
          <w:sz w:val="20"/>
          <w:szCs w:val="20"/>
          <w:vertAlign w:val="superscript"/>
        </w:rPr>
        <w:t>18</w:t>
      </w:r>
      <w:r w:rsidRPr="00F11A18">
        <w:rPr>
          <w:color w:val="121312"/>
          <w:sz w:val="20"/>
          <w:szCs w:val="20"/>
        </w:rPr>
        <w:t xml:space="preserve"> who reported that the need for ICU admission was associated with poor outcomes with significant </w:t>
      </w:r>
      <w:r w:rsidRPr="00F11A18">
        <w:rPr>
          <w:sz w:val="20"/>
          <w:szCs w:val="20"/>
        </w:rPr>
        <w:t xml:space="preserve">P-value </w:t>
      </w:r>
      <w:r w:rsidRPr="00F11A18">
        <w:rPr>
          <w:color w:val="121312"/>
          <w:sz w:val="20"/>
          <w:szCs w:val="20"/>
        </w:rPr>
        <w:t xml:space="preserve">= 0.001. </w:t>
      </w:r>
      <w:r w:rsidRPr="00F11A18">
        <w:rPr>
          <w:color w:val="221F1F"/>
          <w:sz w:val="20"/>
          <w:szCs w:val="20"/>
        </w:rPr>
        <w:t>In contrast</w:t>
      </w:r>
      <w:r w:rsidR="009A440F" w:rsidRPr="00F11A18">
        <w:rPr>
          <w:rFonts w:eastAsiaTheme="minorEastAsia" w:hint="eastAsia"/>
          <w:color w:val="221F1F"/>
          <w:sz w:val="20"/>
          <w:szCs w:val="20"/>
          <w:lang w:eastAsia="zh-CN"/>
        </w:rPr>
        <w:t xml:space="preserve"> </w:t>
      </w:r>
      <w:r w:rsidRPr="00F11A18">
        <w:rPr>
          <w:color w:val="221F1F"/>
          <w:sz w:val="20"/>
          <w:szCs w:val="20"/>
        </w:rPr>
        <w:t>t</w:t>
      </w:r>
      <w:r w:rsidR="009A440F" w:rsidRPr="00F11A18">
        <w:rPr>
          <w:color w:val="221F1F"/>
          <w:sz w:val="20"/>
          <w:szCs w:val="20"/>
        </w:rPr>
        <w:t xml:space="preserve">o </w:t>
      </w:r>
      <w:r w:rsidR="009A440F" w:rsidRPr="00F11A18">
        <w:rPr>
          <w:i/>
          <w:sz w:val="20"/>
          <w:szCs w:val="20"/>
        </w:rPr>
        <w:t>H</w:t>
      </w:r>
      <w:r w:rsidRPr="00F11A18">
        <w:rPr>
          <w:i/>
          <w:sz w:val="20"/>
          <w:szCs w:val="20"/>
        </w:rPr>
        <w:t>aeusler et al,</w:t>
      </w:r>
      <w:r w:rsidRPr="00F11A18">
        <w:rPr>
          <w:color w:val="221F1F"/>
          <w:sz w:val="20"/>
          <w:szCs w:val="20"/>
          <w:vertAlign w:val="superscript"/>
        </w:rPr>
        <w:t>16</w:t>
      </w:r>
      <w:r w:rsidRPr="00F11A18">
        <w:rPr>
          <w:sz w:val="20"/>
          <w:szCs w:val="20"/>
        </w:rPr>
        <w:t>who reported 17.5% of patients in antibiotic resistant (AR)-GN arm were admitted to ICU with non-significant P-value = 0.63 as compared to non-ARGN arm.</w:t>
      </w:r>
    </w:p>
    <w:p w:rsidR="00C64926" w:rsidRPr="00F11A18" w:rsidRDefault="00C64926" w:rsidP="00B41B23">
      <w:pPr>
        <w:pStyle w:val="BodyText"/>
        <w:snapToGrid w:val="0"/>
        <w:ind w:left="0" w:firstLine="425"/>
        <w:jc w:val="both"/>
        <w:rPr>
          <w:sz w:val="20"/>
          <w:szCs w:val="20"/>
        </w:rPr>
      </w:pPr>
      <w:r w:rsidRPr="00F11A18">
        <w:rPr>
          <w:sz w:val="20"/>
          <w:szCs w:val="20"/>
        </w:rPr>
        <w:t>Patients who are receiving chemotherapy are at increased risk for contracting infections as their white blood cell count is declining. For those patients, infections can become serious, and prompt antibiotics are crucial for prevention of severe complications and death. Thus, it is evident that neutropenia is still a major determinant indicator of mortality risk in febrile neutropenic patients</w:t>
      </w:r>
      <w:r w:rsidRPr="00F11A18">
        <w:rPr>
          <w:color w:val="221F1F"/>
          <w:sz w:val="20"/>
          <w:szCs w:val="20"/>
        </w:rPr>
        <w:t>.</w:t>
      </w:r>
      <w:r w:rsidRPr="00F11A18">
        <w:rPr>
          <w:color w:val="221F1F"/>
          <w:sz w:val="20"/>
          <w:szCs w:val="20"/>
          <w:vertAlign w:val="superscript"/>
        </w:rPr>
        <w:t>13</w:t>
      </w:r>
      <w:r w:rsidRPr="00F11A18">
        <w:rPr>
          <w:sz w:val="20"/>
          <w:szCs w:val="20"/>
        </w:rPr>
        <w:t>In our study, mortality was higher in patients whom their TLC</w:t>
      </w:r>
      <w:r w:rsidR="00F11A18">
        <w:rPr>
          <w:rFonts w:eastAsiaTheme="minorEastAsia" w:hint="eastAsia"/>
          <w:sz w:val="20"/>
          <w:szCs w:val="20"/>
          <w:lang w:eastAsia="zh-CN"/>
        </w:rPr>
        <w:t xml:space="preserve"> </w:t>
      </w:r>
      <w:r w:rsidRPr="00F11A18">
        <w:rPr>
          <w:sz w:val="20"/>
          <w:szCs w:val="20"/>
        </w:rPr>
        <w:t>was</w:t>
      </w:r>
      <w:r w:rsidR="00B41B23" w:rsidRPr="00F11A18">
        <w:rPr>
          <w:rFonts w:eastAsiaTheme="minorEastAsia" w:hint="eastAsia"/>
          <w:sz w:val="20"/>
          <w:szCs w:val="20"/>
          <w:lang w:eastAsia="zh-CN"/>
        </w:rPr>
        <w:t xml:space="preserve"> </w:t>
      </w:r>
      <w:r w:rsidRPr="00F11A18">
        <w:rPr>
          <w:sz w:val="20"/>
          <w:szCs w:val="20"/>
        </w:rPr>
        <w:t>&lt;500/cc (P=0.003), and whom their platelet count was &lt;20,000/cc (P=0.004). This supports the fact that increasing the intensity of chemotherapy is associated with more myelosupperssion, and hence more infection related morbidities and mortalities.</w:t>
      </w:r>
    </w:p>
    <w:p w:rsidR="00C64926" w:rsidRPr="00F11A18" w:rsidRDefault="00C64926" w:rsidP="00B41B23">
      <w:pPr>
        <w:pStyle w:val="BodyText"/>
        <w:snapToGrid w:val="0"/>
        <w:ind w:left="0" w:firstLine="425"/>
        <w:jc w:val="both"/>
        <w:rPr>
          <w:sz w:val="20"/>
          <w:szCs w:val="20"/>
        </w:rPr>
      </w:pPr>
      <w:r w:rsidRPr="00F11A18">
        <w:rPr>
          <w:sz w:val="20"/>
          <w:szCs w:val="20"/>
        </w:rPr>
        <w:t>Mortality is significantly higher in patients with sepsis and multiple organ dysfunction</w:t>
      </w:r>
      <w:r w:rsidRPr="00F11A18">
        <w:rPr>
          <w:color w:val="221F1F"/>
          <w:sz w:val="20"/>
          <w:szCs w:val="20"/>
        </w:rPr>
        <w:t>.</w:t>
      </w:r>
      <w:r w:rsidRPr="00F11A18">
        <w:rPr>
          <w:color w:val="221F1F"/>
          <w:sz w:val="20"/>
          <w:szCs w:val="20"/>
          <w:vertAlign w:val="superscript"/>
        </w:rPr>
        <w:t>19</w:t>
      </w:r>
      <w:r w:rsidRPr="00F11A18">
        <w:rPr>
          <w:sz w:val="20"/>
          <w:szCs w:val="20"/>
        </w:rPr>
        <w:t>In the current study, impaired liver functions was observed in 58.3% of patients, impaired renal functions in 16.7%, electrolytes disturbance in 45.8% and coagulopathies in 40.3% of patients. Mortality was significantly higher in these patients with P-value of 0.014, 0.001, 0.003 and 0.001</w:t>
      </w:r>
      <w:r w:rsidR="00B41B23" w:rsidRPr="00F11A18">
        <w:rPr>
          <w:sz w:val="20"/>
          <w:szCs w:val="20"/>
        </w:rPr>
        <w:t>, r</w:t>
      </w:r>
      <w:r w:rsidRPr="00F11A18">
        <w:rPr>
          <w:sz w:val="20"/>
          <w:szCs w:val="20"/>
        </w:rPr>
        <w:t>espectively.</w:t>
      </w:r>
    </w:p>
    <w:p w:rsidR="00C64926" w:rsidRPr="00F11A18" w:rsidRDefault="00C64926" w:rsidP="00B41B23">
      <w:pPr>
        <w:pStyle w:val="BodyText"/>
        <w:snapToGrid w:val="0"/>
        <w:ind w:left="0" w:firstLine="425"/>
        <w:jc w:val="both"/>
        <w:rPr>
          <w:sz w:val="20"/>
          <w:szCs w:val="20"/>
        </w:rPr>
      </w:pPr>
      <w:r w:rsidRPr="00F11A18">
        <w:rPr>
          <w:sz w:val="20"/>
          <w:szCs w:val="20"/>
        </w:rPr>
        <w:t xml:space="preserve">In patients known to have malignancies, </w:t>
      </w:r>
      <w:r w:rsidRPr="00F11A18">
        <w:rPr>
          <w:i/>
          <w:sz w:val="20"/>
          <w:szCs w:val="20"/>
        </w:rPr>
        <w:t>Klebsiellapneumoniae</w:t>
      </w:r>
      <w:r w:rsidR="00F11A18">
        <w:rPr>
          <w:rFonts w:eastAsiaTheme="minorEastAsia" w:hint="eastAsia"/>
          <w:i/>
          <w:sz w:val="20"/>
          <w:szCs w:val="20"/>
          <w:lang w:eastAsia="zh-CN"/>
        </w:rPr>
        <w:t xml:space="preserve"> </w:t>
      </w:r>
      <w:r w:rsidRPr="00F11A18">
        <w:rPr>
          <w:sz w:val="20"/>
          <w:szCs w:val="20"/>
        </w:rPr>
        <w:t>is an important agent of infection. The mortality risk is 18–30%, and is even higher in the set up of having multidrug- resistant strains</w:t>
      </w:r>
      <w:r w:rsidRPr="00F11A18">
        <w:rPr>
          <w:color w:val="221F1F"/>
          <w:sz w:val="20"/>
          <w:szCs w:val="20"/>
        </w:rPr>
        <w:t>.</w:t>
      </w:r>
      <w:r w:rsidRPr="00F11A18">
        <w:rPr>
          <w:color w:val="221F1F"/>
          <w:sz w:val="20"/>
          <w:szCs w:val="20"/>
          <w:vertAlign w:val="superscript"/>
        </w:rPr>
        <w:t>18</w:t>
      </w:r>
      <w:r w:rsidRPr="00F11A18">
        <w:rPr>
          <w:sz w:val="20"/>
          <w:szCs w:val="20"/>
        </w:rPr>
        <w:t xml:space="preserve">The mortality rate approaches 35.8–83.3% in hematology patients infected with MDR </w:t>
      </w:r>
      <w:r w:rsidRPr="00F11A18">
        <w:rPr>
          <w:i/>
          <w:sz w:val="20"/>
          <w:szCs w:val="20"/>
        </w:rPr>
        <w:t>Pseudomonas aeruginosa</w:t>
      </w:r>
      <w:r w:rsidRPr="00F11A18">
        <w:rPr>
          <w:color w:val="221F1F"/>
          <w:sz w:val="20"/>
          <w:szCs w:val="20"/>
        </w:rPr>
        <w:t>.</w:t>
      </w:r>
      <w:r w:rsidRPr="00F11A18">
        <w:rPr>
          <w:color w:val="221F1F"/>
          <w:sz w:val="20"/>
          <w:szCs w:val="20"/>
          <w:vertAlign w:val="superscript"/>
        </w:rPr>
        <w:t>20,21</w:t>
      </w:r>
      <w:r w:rsidRPr="00F11A18">
        <w:rPr>
          <w:sz w:val="20"/>
          <w:szCs w:val="20"/>
        </w:rPr>
        <w:t xml:space="preserve">In our cohort, the mortality rate among patients infected with </w:t>
      </w:r>
      <w:r w:rsidRPr="00F11A18">
        <w:rPr>
          <w:i/>
          <w:sz w:val="20"/>
          <w:szCs w:val="20"/>
        </w:rPr>
        <w:t>Klebsiella</w:t>
      </w:r>
      <w:r w:rsidR="00F11A18">
        <w:rPr>
          <w:rFonts w:eastAsiaTheme="minorEastAsia" w:hint="eastAsia"/>
          <w:i/>
          <w:sz w:val="20"/>
          <w:szCs w:val="20"/>
          <w:lang w:eastAsia="zh-CN"/>
        </w:rPr>
        <w:t xml:space="preserve"> </w:t>
      </w:r>
      <w:r w:rsidRPr="00F11A18">
        <w:rPr>
          <w:sz w:val="20"/>
          <w:szCs w:val="20"/>
        </w:rPr>
        <w:t>species, fermenters (</w:t>
      </w:r>
      <w:r w:rsidRPr="00F11A18">
        <w:rPr>
          <w:i/>
          <w:sz w:val="20"/>
          <w:szCs w:val="20"/>
        </w:rPr>
        <w:t>E-coli, Enterobacter</w:t>
      </w:r>
      <w:r w:rsidR="00F11A18">
        <w:rPr>
          <w:rFonts w:eastAsiaTheme="minorEastAsia" w:hint="eastAsia"/>
          <w:i/>
          <w:sz w:val="20"/>
          <w:szCs w:val="20"/>
          <w:lang w:eastAsia="zh-CN"/>
        </w:rPr>
        <w:t xml:space="preserve"> </w:t>
      </w:r>
      <w:r w:rsidRPr="00F11A18">
        <w:rPr>
          <w:sz w:val="20"/>
          <w:szCs w:val="20"/>
        </w:rPr>
        <w:t xml:space="preserve">species and </w:t>
      </w:r>
      <w:r w:rsidRPr="00F11A18">
        <w:rPr>
          <w:i/>
          <w:sz w:val="20"/>
          <w:szCs w:val="20"/>
        </w:rPr>
        <w:t>Citrobacterfreudii</w:t>
      </w:r>
      <w:r w:rsidRPr="00F11A18">
        <w:rPr>
          <w:sz w:val="20"/>
          <w:szCs w:val="20"/>
        </w:rPr>
        <w:t xml:space="preserve">), </w:t>
      </w:r>
      <w:r w:rsidRPr="00F11A18">
        <w:rPr>
          <w:sz w:val="20"/>
          <w:szCs w:val="20"/>
        </w:rPr>
        <w:lastRenderedPageBreak/>
        <w:t>and non-fermenters (</w:t>
      </w:r>
      <w:r w:rsidRPr="00F11A18">
        <w:rPr>
          <w:i/>
          <w:sz w:val="20"/>
          <w:szCs w:val="20"/>
        </w:rPr>
        <w:t xml:space="preserve">Pseudomonas </w:t>
      </w:r>
      <w:r w:rsidRPr="00F11A18">
        <w:rPr>
          <w:sz w:val="20"/>
          <w:szCs w:val="20"/>
        </w:rPr>
        <w:t xml:space="preserve">species and </w:t>
      </w:r>
      <w:r w:rsidRPr="00F11A18">
        <w:rPr>
          <w:i/>
          <w:sz w:val="20"/>
          <w:szCs w:val="20"/>
        </w:rPr>
        <w:t>Acinetobacter</w:t>
      </w:r>
      <w:r w:rsidR="00F11A18">
        <w:rPr>
          <w:rFonts w:eastAsiaTheme="minorEastAsia" w:hint="eastAsia"/>
          <w:i/>
          <w:sz w:val="20"/>
          <w:szCs w:val="20"/>
          <w:lang w:eastAsia="zh-CN"/>
        </w:rPr>
        <w:t xml:space="preserve"> </w:t>
      </w:r>
      <w:r w:rsidRPr="00F11A18">
        <w:rPr>
          <w:sz w:val="20"/>
          <w:szCs w:val="20"/>
        </w:rPr>
        <w:t>species) is 54.2%, 52.4% and 68.8%, respectively with non-significant P-value. The higher mortality rate in our patients is attributed to the lack of appropriate supportive care in our</w:t>
      </w:r>
      <w:r w:rsidR="00F11A18">
        <w:rPr>
          <w:rFonts w:eastAsiaTheme="minorEastAsia" w:hint="eastAsia"/>
          <w:sz w:val="20"/>
          <w:szCs w:val="20"/>
          <w:lang w:eastAsia="zh-CN"/>
        </w:rPr>
        <w:t xml:space="preserve"> </w:t>
      </w:r>
      <w:r w:rsidRPr="00F11A18">
        <w:rPr>
          <w:sz w:val="20"/>
          <w:szCs w:val="20"/>
        </w:rPr>
        <w:t>center.</w:t>
      </w:r>
    </w:p>
    <w:p w:rsidR="00C64926" w:rsidRPr="00F11A18" w:rsidRDefault="00C64926" w:rsidP="00B41B23">
      <w:pPr>
        <w:pStyle w:val="BodyText"/>
        <w:snapToGrid w:val="0"/>
        <w:ind w:left="0" w:firstLine="425"/>
        <w:jc w:val="both"/>
        <w:rPr>
          <w:sz w:val="20"/>
          <w:szCs w:val="20"/>
        </w:rPr>
      </w:pPr>
      <w:r w:rsidRPr="00F11A18">
        <w:rPr>
          <w:sz w:val="20"/>
          <w:szCs w:val="20"/>
        </w:rPr>
        <w:t xml:space="preserve">In the current study, high frequency of resistance was observed in all isolates. Susceptibilities to tigecycline, colistin, amikacin, gentamycin, imipinemcilastatin, levofloxacin, meropenem and ciprofloxacin were 46%, 38.1%, 26.3%, 14.5%, 11.1%, 8.5%, 6.8% and 6.8%, respectively. </w:t>
      </w:r>
      <w:r w:rsidRPr="00F11A18">
        <w:rPr>
          <w:i/>
          <w:color w:val="121312"/>
          <w:sz w:val="20"/>
          <w:szCs w:val="20"/>
        </w:rPr>
        <w:t>Freire et al,</w:t>
      </w:r>
      <w:r w:rsidRPr="00F11A18">
        <w:rPr>
          <w:color w:val="221F1F"/>
          <w:sz w:val="20"/>
          <w:szCs w:val="20"/>
          <w:vertAlign w:val="superscript"/>
        </w:rPr>
        <w:t>18</w:t>
      </w:r>
      <w:r w:rsidR="007457A4">
        <w:rPr>
          <w:rFonts w:eastAsiaTheme="minorEastAsia" w:hint="eastAsia"/>
          <w:color w:val="221F1F"/>
          <w:sz w:val="20"/>
          <w:szCs w:val="20"/>
          <w:vertAlign w:val="superscript"/>
          <w:lang w:eastAsia="zh-CN"/>
        </w:rPr>
        <w:t xml:space="preserve"> </w:t>
      </w:r>
      <w:r w:rsidRPr="00F11A18">
        <w:rPr>
          <w:color w:val="121312"/>
          <w:sz w:val="20"/>
          <w:szCs w:val="20"/>
        </w:rPr>
        <w:t xml:space="preserve">who studied infection with </w:t>
      </w:r>
      <w:r w:rsidRPr="00F11A18">
        <w:rPr>
          <w:i/>
          <w:sz w:val="20"/>
          <w:szCs w:val="20"/>
        </w:rPr>
        <w:t>Klebsiellapnueomoniae</w:t>
      </w:r>
      <w:r w:rsidR="00B41B23" w:rsidRPr="00F11A18">
        <w:rPr>
          <w:rFonts w:eastAsiaTheme="minorEastAsia" w:hint="eastAsia"/>
          <w:i/>
          <w:sz w:val="20"/>
          <w:szCs w:val="20"/>
          <w:lang w:eastAsia="zh-CN"/>
        </w:rPr>
        <w:t xml:space="preserve"> </w:t>
      </w:r>
      <w:r w:rsidRPr="00F11A18">
        <w:rPr>
          <w:sz w:val="20"/>
          <w:szCs w:val="20"/>
        </w:rPr>
        <w:t>carbapenemas</w:t>
      </w:r>
      <w:r w:rsidR="00B405E1" w:rsidRPr="00F11A18">
        <w:rPr>
          <w:sz w:val="20"/>
          <w:szCs w:val="20"/>
        </w:rPr>
        <w:t xml:space="preserve">e </w:t>
      </w:r>
      <w:r w:rsidR="00B405E1" w:rsidRPr="00F11A18">
        <w:rPr>
          <w:color w:val="121312"/>
          <w:sz w:val="20"/>
          <w:szCs w:val="20"/>
        </w:rPr>
        <w:t>(</w:t>
      </w:r>
      <w:r w:rsidRPr="00F11A18">
        <w:rPr>
          <w:color w:val="121312"/>
          <w:sz w:val="20"/>
          <w:szCs w:val="20"/>
        </w:rPr>
        <w:t xml:space="preserve">KPC) producing </w:t>
      </w:r>
      <w:r w:rsidRPr="00F11A18">
        <w:rPr>
          <w:i/>
          <w:color w:val="121312"/>
          <w:sz w:val="20"/>
          <w:szCs w:val="20"/>
        </w:rPr>
        <w:t>Klebsiellapneumoniae</w:t>
      </w:r>
      <w:r w:rsidRPr="00F11A18">
        <w:rPr>
          <w:color w:val="121312"/>
          <w:sz w:val="20"/>
          <w:szCs w:val="20"/>
        </w:rPr>
        <w:t>in cancer patients, reported a high frequency of resistance observed in all of the carbapenems tested, with the levels of susceptibility being highest for tigecycline and amikacin. Between 2010 and 2013, there was an overall decrease in susceptibility to meropenem from 37 to 0 % and to imipenemcilastatin from 37 to 4%.</w:t>
      </w:r>
    </w:p>
    <w:p w:rsidR="00C64926" w:rsidRPr="00F11A18" w:rsidRDefault="00C64926" w:rsidP="00B41B23">
      <w:pPr>
        <w:pStyle w:val="BodyText"/>
        <w:snapToGrid w:val="0"/>
        <w:ind w:left="0" w:firstLine="425"/>
        <w:jc w:val="both"/>
        <w:rPr>
          <w:sz w:val="20"/>
          <w:szCs w:val="20"/>
        </w:rPr>
      </w:pPr>
      <w:r w:rsidRPr="00F11A18">
        <w:rPr>
          <w:sz w:val="20"/>
          <w:szCs w:val="20"/>
        </w:rPr>
        <w:t>An important determining factor that dictates the outcome of patients with infections is the appropriate empirical antibiotic therapy within the first 2 days of the initial presentation and within the first 24 hours of a positive blood culture</w:t>
      </w:r>
      <w:r w:rsidRPr="00F11A18">
        <w:rPr>
          <w:color w:val="221F1F"/>
          <w:sz w:val="20"/>
          <w:szCs w:val="20"/>
        </w:rPr>
        <w:t>.</w:t>
      </w:r>
      <w:r w:rsidRPr="00F11A18">
        <w:rPr>
          <w:color w:val="221F1F"/>
          <w:sz w:val="20"/>
          <w:szCs w:val="20"/>
          <w:vertAlign w:val="superscript"/>
        </w:rPr>
        <w:t>22</w:t>
      </w:r>
      <w:r w:rsidRPr="00F11A18">
        <w:rPr>
          <w:sz w:val="20"/>
          <w:szCs w:val="20"/>
        </w:rPr>
        <w:t>Inour study, the mortality rate did not differ among patients who started their first line therapy with piperacillin/tazobactam or carbapenems. However, significant difference was observed when comparing mortality rate among a subset of both groups who had culture history of MDR-GNB 3 months before the onset of their studied episodes; 80% for those who started their first line therapy with piperacillin/tazobactam versus 0% for those who started their first line therapy with carbapenems (P=0.041).</w:t>
      </w:r>
    </w:p>
    <w:p w:rsidR="00C64926" w:rsidRPr="00F11A18" w:rsidRDefault="00C64926" w:rsidP="00B41B23">
      <w:pPr>
        <w:pStyle w:val="BodyText"/>
        <w:snapToGrid w:val="0"/>
        <w:ind w:left="0" w:firstLine="425"/>
        <w:jc w:val="both"/>
        <w:rPr>
          <w:sz w:val="20"/>
          <w:szCs w:val="20"/>
        </w:rPr>
      </w:pPr>
      <w:r w:rsidRPr="00F11A18">
        <w:rPr>
          <w:color w:val="221F1F"/>
          <w:sz w:val="20"/>
          <w:szCs w:val="20"/>
        </w:rPr>
        <w:t>Although inadequate empirical antibiotic therapy has been related with mortality in gram- negative bacteremia,</w:t>
      </w:r>
      <w:r w:rsidRPr="00F11A18">
        <w:rPr>
          <w:color w:val="221F1F"/>
          <w:sz w:val="20"/>
          <w:szCs w:val="20"/>
          <w:vertAlign w:val="superscript"/>
        </w:rPr>
        <w:t>23,24</w:t>
      </w:r>
      <w:r w:rsidRPr="00F11A18">
        <w:rPr>
          <w:sz w:val="20"/>
          <w:szCs w:val="20"/>
        </w:rPr>
        <w:t xml:space="preserve">we were not able to find statistical difference, may be due to low number of patients who initially started carbapenems (only 10 patients). Also, we did not compare the outcome of patients with </w:t>
      </w:r>
      <w:r w:rsidRPr="00F11A18">
        <w:rPr>
          <w:color w:val="121312"/>
          <w:sz w:val="20"/>
          <w:szCs w:val="20"/>
        </w:rPr>
        <w:t xml:space="preserve">multidrug resistant organisms </w:t>
      </w:r>
      <w:r w:rsidRPr="00F11A18">
        <w:rPr>
          <w:sz w:val="20"/>
          <w:szCs w:val="20"/>
        </w:rPr>
        <w:t>(MDROs) versus those with non-MDROs.</w:t>
      </w:r>
    </w:p>
    <w:p w:rsidR="00C64926" w:rsidRPr="00F11A18" w:rsidRDefault="00C64926" w:rsidP="00B41B23">
      <w:pPr>
        <w:pStyle w:val="BodyText"/>
        <w:snapToGrid w:val="0"/>
        <w:ind w:left="0" w:firstLine="425"/>
        <w:jc w:val="both"/>
        <w:rPr>
          <w:sz w:val="20"/>
          <w:szCs w:val="20"/>
        </w:rPr>
      </w:pPr>
      <w:r w:rsidRPr="00F11A18">
        <w:rPr>
          <w:sz w:val="20"/>
          <w:szCs w:val="20"/>
        </w:rPr>
        <w:t>Mortality rates for patients whom treatment was modified based on vital instability, clinical focus of infection and result of culture and sensitivity were 88.9%, 70% and 43.2%, respectively (P=0.004).</w:t>
      </w:r>
    </w:p>
    <w:p w:rsidR="00C64926" w:rsidRPr="00F11A18" w:rsidRDefault="00C64926" w:rsidP="00B41B23">
      <w:pPr>
        <w:pStyle w:val="Heading1"/>
        <w:snapToGrid w:val="0"/>
        <w:ind w:left="0"/>
        <w:jc w:val="both"/>
        <w:rPr>
          <w:sz w:val="20"/>
          <w:szCs w:val="20"/>
        </w:rPr>
      </w:pPr>
    </w:p>
    <w:p w:rsidR="00C64926" w:rsidRPr="00F11A18" w:rsidRDefault="00C64926" w:rsidP="00B41B23">
      <w:pPr>
        <w:pStyle w:val="Heading1"/>
        <w:snapToGrid w:val="0"/>
        <w:ind w:left="0"/>
        <w:jc w:val="both"/>
        <w:rPr>
          <w:sz w:val="20"/>
          <w:szCs w:val="20"/>
        </w:rPr>
      </w:pPr>
      <w:r w:rsidRPr="00F11A18">
        <w:rPr>
          <w:sz w:val="20"/>
          <w:szCs w:val="20"/>
        </w:rPr>
        <w:t>Conclusion</w:t>
      </w:r>
    </w:p>
    <w:p w:rsidR="00C64926" w:rsidRPr="00F11A18" w:rsidRDefault="00C64926" w:rsidP="00B41B23">
      <w:pPr>
        <w:pStyle w:val="BodyText"/>
        <w:snapToGrid w:val="0"/>
        <w:ind w:left="0" w:firstLine="425"/>
        <w:jc w:val="both"/>
        <w:rPr>
          <w:sz w:val="20"/>
          <w:szCs w:val="20"/>
        </w:rPr>
      </w:pPr>
      <w:r w:rsidRPr="00F11A18">
        <w:rPr>
          <w:sz w:val="20"/>
          <w:szCs w:val="20"/>
        </w:rPr>
        <w:t>In summary, mortality predictors were AML, active disease, vital instability, ICU admission, TLC &lt;500/cc, platelet count &lt;20,000/cc, impaired liver function tests, impaired renal function tests, impaired electrolytes, coagulopathies, treatment modification due to vital instability and history of previous culture with MDR-GNB.</w:t>
      </w:r>
    </w:p>
    <w:p w:rsidR="00C64926" w:rsidRPr="00F11A18" w:rsidRDefault="00C64926" w:rsidP="00B41B23">
      <w:pPr>
        <w:pStyle w:val="ListParagraph"/>
        <w:snapToGrid w:val="0"/>
        <w:ind w:left="0" w:firstLine="0"/>
        <w:jc w:val="both"/>
        <w:rPr>
          <w:b/>
          <w:sz w:val="20"/>
          <w:szCs w:val="20"/>
        </w:rPr>
      </w:pPr>
    </w:p>
    <w:p w:rsidR="00C64926" w:rsidRPr="00F11A18" w:rsidRDefault="00C64926" w:rsidP="00B41B23">
      <w:pPr>
        <w:pStyle w:val="ListParagraph"/>
        <w:snapToGrid w:val="0"/>
        <w:ind w:left="0" w:firstLine="0"/>
        <w:jc w:val="both"/>
        <w:rPr>
          <w:b/>
          <w:sz w:val="20"/>
          <w:szCs w:val="20"/>
        </w:rPr>
      </w:pPr>
      <w:r w:rsidRPr="00F11A18">
        <w:rPr>
          <w:b/>
          <w:sz w:val="20"/>
          <w:szCs w:val="20"/>
        </w:rPr>
        <w:t>Declarations:</w:t>
      </w:r>
    </w:p>
    <w:p w:rsidR="00C64926" w:rsidRPr="00F11A18" w:rsidRDefault="00C64926" w:rsidP="00B41B23">
      <w:pPr>
        <w:pStyle w:val="ListParagraph"/>
        <w:snapToGrid w:val="0"/>
        <w:ind w:left="0" w:firstLine="425"/>
        <w:jc w:val="both"/>
        <w:rPr>
          <w:sz w:val="20"/>
          <w:szCs w:val="20"/>
        </w:rPr>
      </w:pPr>
      <w:r w:rsidRPr="00F11A18">
        <w:rPr>
          <w:b/>
          <w:sz w:val="20"/>
          <w:szCs w:val="20"/>
        </w:rPr>
        <w:t xml:space="preserve">Ethics Approval and Consent to Participate: </w:t>
      </w:r>
      <w:r w:rsidRPr="00F11A18">
        <w:rPr>
          <w:sz w:val="20"/>
          <w:szCs w:val="20"/>
        </w:rPr>
        <w:t>not</w:t>
      </w:r>
      <w:r w:rsidR="00F11A18">
        <w:rPr>
          <w:rFonts w:eastAsiaTheme="minorEastAsia" w:hint="eastAsia"/>
          <w:sz w:val="20"/>
          <w:szCs w:val="20"/>
          <w:lang w:eastAsia="zh-CN"/>
        </w:rPr>
        <w:t xml:space="preserve"> </w:t>
      </w:r>
      <w:r w:rsidRPr="00F11A18">
        <w:rPr>
          <w:sz w:val="20"/>
          <w:szCs w:val="20"/>
        </w:rPr>
        <w:t>applicable.</w:t>
      </w:r>
    </w:p>
    <w:p w:rsidR="00C64926" w:rsidRPr="00F11A18" w:rsidRDefault="00C64926" w:rsidP="00B41B23">
      <w:pPr>
        <w:pStyle w:val="ListParagraph"/>
        <w:snapToGrid w:val="0"/>
        <w:ind w:left="0" w:firstLine="425"/>
        <w:jc w:val="both"/>
        <w:rPr>
          <w:sz w:val="20"/>
          <w:szCs w:val="20"/>
        </w:rPr>
      </w:pPr>
      <w:r w:rsidRPr="00F11A18">
        <w:rPr>
          <w:b/>
          <w:sz w:val="20"/>
          <w:szCs w:val="20"/>
        </w:rPr>
        <w:t xml:space="preserve">Consent for Publication: </w:t>
      </w:r>
      <w:r w:rsidRPr="00F11A18">
        <w:rPr>
          <w:sz w:val="20"/>
          <w:szCs w:val="20"/>
        </w:rPr>
        <w:t>not</w:t>
      </w:r>
      <w:r w:rsidR="00F11A18">
        <w:rPr>
          <w:rFonts w:eastAsiaTheme="minorEastAsia" w:hint="eastAsia"/>
          <w:sz w:val="20"/>
          <w:szCs w:val="20"/>
          <w:lang w:eastAsia="zh-CN"/>
        </w:rPr>
        <w:t xml:space="preserve"> </w:t>
      </w:r>
      <w:r w:rsidRPr="00F11A18">
        <w:rPr>
          <w:sz w:val="20"/>
          <w:szCs w:val="20"/>
        </w:rPr>
        <w:t>applicable.</w:t>
      </w:r>
    </w:p>
    <w:p w:rsidR="00C64926" w:rsidRPr="00F11A18" w:rsidRDefault="00C64926" w:rsidP="00B41B23">
      <w:pPr>
        <w:pStyle w:val="ListParagraph"/>
        <w:snapToGrid w:val="0"/>
        <w:ind w:left="0" w:firstLine="425"/>
        <w:jc w:val="both"/>
        <w:rPr>
          <w:rFonts w:eastAsiaTheme="minorEastAsia"/>
          <w:sz w:val="20"/>
          <w:szCs w:val="20"/>
          <w:lang w:eastAsia="zh-CN"/>
        </w:rPr>
      </w:pPr>
      <w:r w:rsidRPr="00F11A18">
        <w:rPr>
          <w:b/>
          <w:sz w:val="20"/>
          <w:szCs w:val="20"/>
        </w:rPr>
        <w:t xml:space="preserve">Availability of data and materials: </w:t>
      </w:r>
      <w:r w:rsidRPr="00F11A18">
        <w:rPr>
          <w:sz w:val="20"/>
          <w:szCs w:val="20"/>
        </w:rPr>
        <w:t>The datasets used and/or analyzed during the current study are available from the corresponding author on reasonable</w:t>
      </w:r>
      <w:r w:rsidR="00F11A18">
        <w:rPr>
          <w:rFonts w:eastAsiaTheme="minorEastAsia" w:hint="eastAsia"/>
          <w:sz w:val="20"/>
          <w:szCs w:val="20"/>
          <w:lang w:eastAsia="zh-CN"/>
        </w:rPr>
        <w:t xml:space="preserve"> </w:t>
      </w:r>
      <w:r w:rsidRPr="00F11A18">
        <w:rPr>
          <w:sz w:val="20"/>
          <w:szCs w:val="20"/>
        </w:rPr>
        <w:lastRenderedPageBreak/>
        <w:t>request.</w:t>
      </w:r>
    </w:p>
    <w:p w:rsidR="00B41B23" w:rsidRPr="00F11A18" w:rsidRDefault="00B41B23" w:rsidP="00B41B23">
      <w:pPr>
        <w:pStyle w:val="ListParagraph"/>
        <w:snapToGrid w:val="0"/>
        <w:ind w:left="0" w:firstLine="425"/>
        <w:jc w:val="both"/>
        <w:rPr>
          <w:rFonts w:eastAsiaTheme="minorEastAsia"/>
          <w:sz w:val="20"/>
          <w:szCs w:val="20"/>
          <w:lang w:eastAsia="zh-CN"/>
        </w:rPr>
      </w:pPr>
    </w:p>
    <w:p w:rsidR="00C64926" w:rsidRPr="00F11A18" w:rsidRDefault="00C64926" w:rsidP="00B41B23">
      <w:pPr>
        <w:pStyle w:val="ListParagraph"/>
        <w:snapToGrid w:val="0"/>
        <w:ind w:left="0" w:firstLine="0"/>
        <w:jc w:val="both"/>
        <w:rPr>
          <w:sz w:val="20"/>
          <w:szCs w:val="20"/>
        </w:rPr>
      </w:pPr>
      <w:r w:rsidRPr="00F11A18">
        <w:rPr>
          <w:b/>
          <w:sz w:val="20"/>
          <w:szCs w:val="20"/>
        </w:rPr>
        <w:t xml:space="preserve">Funding: </w:t>
      </w:r>
      <w:r w:rsidRPr="00F11A18">
        <w:rPr>
          <w:sz w:val="20"/>
          <w:szCs w:val="20"/>
        </w:rPr>
        <w:t>not</w:t>
      </w:r>
      <w:r w:rsidR="00F11A18">
        <w:rPr>
          <w:rFonts w:eastAsiaTheme="minorEastAsia" w:hint="eastAsia"/>
          <w:sz w:val="20"/>
          <w:szCs w:val="20"/>
          <w:lang w:eastAsia="zh-CN"/>
        </w:rPr>
        <w:t xml:space="preserve"> </w:t>
      </w:r>
      <w:r w:rsidRPr="00F11A18">
        <w:rPr>
          <w:sz w:val="20"/>
          <w:szCs w:val="20"/>
        </w:rPr>
        <w:t>applicable.</w:t>
      </w:r>
    </w:p>
    <w:p w:rsidR="00C64926" w:rsidRPr="00F11A18" w:rsidRDefault="00C64926" w:rsidP="00B41B23">
      <w:pPr>
        <w:pStyle w:val="ListParagraph"/>
        <w:snapToGrid w:val="0"/>
        <w:ind w:left="0" w:firstLine="0"/>
        <w:jc w:val="both"/>
        <w:rPr>
          <w:sz w:val="20"/>
          <w:szCs w:val="20"/>
        </w:rPr>
      </w:pPr>
      <w:r w:rsidRPr="00F11A18">
        <w:rPr>
          <w:b/>
          <w:sz w:val="20"/>
          <w:szCs w:val="20"/>
        </w:rPr>
        <w:t xml:space="preserve">Acknowledgements: </w:t>
      </w:r>
      <w:r w:rsidRPr="00F11A18">
        <w:rPr>
          <w:sz w:val="20"/>
          <w:szCs w:val="20"/>
        </w:rPr>
        <w:t>not applicable.</w:t>
      </w:r>
    </w:p>
    <w:p w:rsidR="00B41B23" w:rsidRPr="00F11A18" w:rsidRDefault="00B41B23" w:rsidP="00B41B23">
      <w:pPr>
        <w:snapToGrid w:val="0"/>
        <w:ind w:firstLine="425"/>
        <w:jc w:val="both"/>
        <w:rPr>
          <w:rFonts w:eastAsiaTheme="minorEastAsia"/>
          <w:b/>
          <w:sz w:val="20"/>
          <w:szCs w:val="20"/>
          <w:lang w:eastAsia="zh-CN"/>
        </w:rPr>
      </w:pPr>
    </w:p>
    <w:p w:rsidR="00B41B23" w:rsidRPr="00F11A18" w:rsidRDefault="00C64926" w:rsidP="00B41B23">
      <w:pPr>
        <w:snapToGrid w:val="0"/>
        <w:jc w:val="both"/>
        <w:rPr>
          <w:rFonts w:eastAsiaTheme="minorEastAsia"/>
          <w:b/>
          <w:sz w:val="20"/>
          <w:szCs w:val="20"/>
          <w:lang w:eastAsia="zh-CN"/>
        </w:rPr>
      </w:pPr>
      <w:r w:rsidRPr="00F11A18">
        <w:rPr>
          <w:b/>
          <w:sz w:val="20"/>
          <w:szCs w:val="20"/>
        </w:rPr>
        <w:t xml:space="preserve">Competing interests: </w:t>
      </w:r>
    </w:p>
    <w:p w:rsidR="00C64926" w:rsidRPr="00F11A18" w:rsidRDefault="00C64926" w:rsidP="00B41B23">
      <w:pPr>
        <w:snapToGrid w:val="0"/>
        <w:ind w:firstLine="425"/>
        <w:jc w:val="both"/>
        <w:rPr>
          <w:sz w:val="20"/>
          <w:szCs w:val="20"/>
        </w:rPr>
      </w:pPr>
      <w:r w:rsidRPr="00F11A18">
        <w:rPr>
          <w:sz w:val="20"/>
          <w:szCs w:val="20"/>
        </w:rPr>
        <w:t>The authors declare that they have no competing interests.</w:t>
      </w:r>
    </w:p>
    <w:p w:rsidR="00B41B23" w:rsidRPr="00F11A18" w:rsidRDefault="00B41B23" w:rsidP="00B41B23">
      <w:pPr>
        <w:pStyle w:val="Heading1"/>
        <w:snapToGrid w:val="0"/>
        <w:ind w:left="0"/>
        <w:jc w:val="both"/>
        <w:rPr>
          <w:sz w:val="20"/>
          <w:szCs w:val="20"/>
        </w:rPr>
        <w:sectPr w:rsidR="00B41B23" w:rsidRPr="00F11A18" w:rsidSect="00B41B23">
          <w:type w:val="continuous"/>
          <w:pgSz w:w="12240" w:h="15840" w:code="1"/>
          <w:pgMar w:top="1440" w:right="1440" w:bottom="1440" w:left="1440" w:header="720" w:footer="720" w:gutter="0"/>
          <w:cols w:num="2" w:space="550"/>
          <w:docGrid w:linePitch="299"/>
        </w:sectPr>
      </w:pPr>
    </w:p>
    <w:p w:rsidR="000F782C" w:rsidRPr="00F11A18" w:rsidRDefault="000F782C" w:rsidP="00B41B23">
      <w:pPr>
        <w:pStyle w:val="Heading1"/>
        <w:snapToGrid w:val="0"/>
        <w:ind w:left="0"/>
        <w:jc w:val="both"/>
        <w:rPr>
          <w:sz w:val="20"/>
          <w:szCs w:val="20"/>
        </w:rPr>
      </w:pPr>
    </w:p>
    <w:p w:rsidR="007457A4" w:rsidRDefault="007457A4" w:rsidP="00B41B23">
      <w:pPr>
        <w:pStyle w:val="Heading1"/>
        <w:snapToGrid w:val="0"/>
        <w:ind w:left="0"/>
        <w:jc w:val="both"/>
        <w:rPr>
          <w:rFonts w:eastAsiaTheme="minorEastAsia" w:hint="eastAsia"/>
          <w:sz w:val="20"/>
          <w:szCs w:val="20"/>
          <w:lang w:eastAsia="zh-CN"/>
        </w:rPr>
      </w:pPr>
    </w:p>
    <w:p w:rsidR="00C64926" w:rsidRPr="00F11A18" w:rsidRDefault="00C64926" w:rsidP="00B41B23">
      <w:pPr>
        <w:pStyle w:val="Heading1"/>
        <w:snapToGrid w:val="0"/>
        <w:ind w:left="0"/>
        <w:jc w:val="both"/>
        <w:rPr>
          <w:sz w:val="20"/>
          <w:szCs w:val="20"/>
        </w:rPr>
      </w:pPr>
      <w:r w:rsidRPr="00F11A18">
        <w:rPr>
          <w:sz w:val="20"/>
          <w:szCs w:val="20"/>
        </w:rPr>
        <w:t>List of abbreviations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2168"/>
        <w:gridCol w:w="7306"/>
      </w:tblGrid>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b/>
                <w:sz w:val="20"/>
                <w:szCs w:val="20"/>
              </w:rPr>
            </w:pPr>
            <w:r w:rsidRPr="00F11A18">
              <w:rPr>
                <w:b/>
                <w:sz w:val="20"/>
                <w:szCs w:val="20"/>
              </w:rPr>
              <w:t>Abbreviation</w:t>
            </w:r>
          </w:p>
        </w:tc>
        <w:tc>
          <w:tcPr>
            <w:tcW w:w="3856" w:type="pct"/>
            <w:vAlign w:val="center"/>
          </w:tcPr>
          <w:p w:rsidR="00C64926" w:rsidRPr="00F11A18" w:rsidRDefault="00C64926" w:rsidP="00B41B23">
            <w:pPr>
              <w:pStyle w:val="TableParagraph"/>
              <w:snapToGrid w:val="0"/>
              <w:ind w:left="0"/>
              <w:jc w:val="both"/>
              <w:rPr>
                <w:b/>
                <w:sz w:val="20"/>
                <w:szCs w:val="20"/>
              </w:rPr>
            </w:pPr>
            <w:r w:rsidRPr="00F11A18">
              <w:rPr>
                <w:b/>
                <w:sz w:val="20"/>
                <w:szCs w:val="20"/>
              </w:rPr>
              <w:t>Full term</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ALL</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Acute lymphoblastic leukemia</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AML</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Acute myeloid leukemia</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AR</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Antibiotic resistant</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AR-GN</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 xml:space="preserve">Antibiotic resistant </w:t>
            </w:r>
            <w:r w:rsidRPr="00F11A18">
              <w:rPr>
                <w:color w:val="221F1F"/>
                <w:sz w:val="20"/>
                <w:szCs w:val="20"/>
              </w:rPr>
              <w:t>Gram-negative</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BSIs</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Blood-stream infections</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CR</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Complete remission</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color w:val="221F1F"/>
                <w:sz w:val="20"/>
                <w:szCs w:val="20"/>
              </w:rPr>
              <w:t>CTCAE</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Common Terminology Criteria for Adverse Events</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F</w:t>
            </w:r>
            <w:r w:rsidR="00B405E1" w:rsidRPr="00F11A18">
              <w:rPr>
                <w:sz w:val="20"/>
                <w:szCs w:val="20"/>
              </w:rPr>
              <w:t xml:space="preserve"> &amp; </w:t>
            </w:r>
            <w:r w:rsidRPr="00F11A18">
              <w:rPr>
                <w:sz w:val="20"/>
                <w:szCs w:val="20"/>
              </w:rPr>
              <w:t>N</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Febrile neutropenia</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GNB</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color w:val="221F1F"/>
                <w:sz w:val="20"/>
                <w:szCs w:val="20"/>
              </w:rPr>
              <w:t>Gram-negative bacteria</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ICU</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Intensive care unit</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KPC</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i/>
                <w:sz w:val="20"/>
                <w:szCs w:val="20"/>
              </w:rPr>
              <w:t>Klebsiellapnueomoniae</w:t>
            </w:r>
            <w:r w:rsidR="00F11A18">
              <w:rPr>
                <w:rFonts w:eastAsiaTheme="minorEastAsia" w:hint="eastAsia"/>
                <w:i/>
                <w:sz w:val="20"/>
                <w:szCs w:val="20"/>
                <w:lang w:eastAsia="zh-CN"/>
              </w:rPr>
              <w:t xml:space="preserve"> </w:t>
            </w:r>
            <w:r w:rsidRPr="00F11A18">
              <w:rPr>
                <w:sz w:val="20"/>
                <w:szCs w:val="20"/>
              </w:rPr>
              <w:t>carbapenemase</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LCH</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Langerhans’s cell histiocytosis</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MDR</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Multi-drug resistant</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color w:val="221F1F"/>
                <w:sz w:val="20"/>
                <w:szCs w:val="20"/>
              </w:rPr>
              <w:t>MDR-GNB</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 xml:space="preserve">Multi-drug resistant </w:t>
            </w:r>
            <w:r w:rsidRPr="00F11A18">
              <w:rPr>
                <w:color w:val="221F1F"/>
                <w:sz w:val="20"/>
                <w:szCs w:val="20"/>
              </w:rPr>
              <w:t>Gram-negative bacteria</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color w:val="221F1F"/>
                <w:sz w:val="20"/>
                <w:szCs w:val="20"/>
              </w:rPr>
              <w:t>MDR-GNOs</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color w:val="121312"/>
                <w:sz w:val="20"/>
                <w:szCs w:val="20"/>
              </w:rPr>
              <w:t>Multidrug resistant gram negative organisms</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color w:val="221F1F"/>
                <w:sz w:val="20"/>
                <w:szCs w:val="20"/>
              </w:rPr>
              <w:t>MDROs</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color w:val="121312"/>
                <w:sz w:val="20"/>
                <w:szCs w:val="20"/>
              </w:rPr>
              <w:t>Multidrug resistant organisms</w:t>
            </w:r>
          </w:p>
        </w:tc>
      </w:tr>
      <w:tr w:rsidR="00C64926" w:rsidRPr="00F11A18" w:rsidTr="00B405E1">
        <w:trPr>
          <w:jc w:val="center"/>
        </w:trPr>
        <w:tc>
          <w:tcPr>
            <w:tcW w:w="1144" w:type="pct"/>
            <w:vAlign w:val="center"/>
          </w:tcPr>
          <w:p w:rsidR="00C64926" w:rsidRPr="00F11A18" w:rsidRDefault="00C64926" w:rsidP="00B41B23">
            <w:pPr>
              <w:pStyle w:val="TableParagraph"/>
              <w:snapToGrid w:val="0"/>
              <w:ind w:left="0"/>
              <w:jc w:val="both"/>
              <w:rPr>
                <w:sz w:val="20"/>
                <w:szCs w:val="20"/>
              </w:rPr>
            </w:pPr>
            <w:r w:rsidRPr="00F11A18">
              <w:rPr>
                <w:sz w:val="20"/>
                <w:szCs w:val="20"/>
              </w:rPr>
              <w:t>TLC</w:t>
            </w:r>
          </w:p>
        </w:tc>
        <w:tc>
          <w:tcPr>
            <w:tcW w:w="3856" w:type="pct"/>
            <w:vAlign w:val="center"/>
          </w:tcPr>
          <w:p w:rsidR="00C64926" w:rsidRPr="00F11A18" w:rsidRDefault="00C64926" w:rsidP="00B41B23">
            <w:pPr>
              <w:pStyle w:val="TableParagraph"/>
              <w:snapToGrid w:val="0"/>
              <w:ind w:left="0"/>
              <w:jc w:val="both"/>
              <w:rPr>
                <w:sz w:val="20"/>
                <w:szCs w:val="20"/>
              </w:rPr>
            </w:pPr>
            <w:r w:rsidRPr="00F11A18">
              <w:rPr>
                <w:sz w:val="20"/>
                <w:szCs w:val="20"/>
              </w:rPr>
              <w:t>Total leucocytic count</w:t>
            </w:r>
          </w:p>
        </w:tc>
      </w:tr>
    </w:tbl>
    <w:p w:rsidR="00C64926" w:rsidRDefault="00C64926" w:rsidP="00B41B23">
      <w:pPr>
        <w:snapToGrid w:val="0"/>
        <w:jc w:val="both"/>
        <w:rPr>
          <w:rFonts w:eastAsiaTheme="minorEastAsia" w:hint="eastAsia"/>
          <w:b/>
          <w:sz w:val="20"/>
          <w:szCs w:val="20"/>
          <w:lang w:eastAsia="zh-CN"/>
        </w:rPr>
      </w:pPr>
    </w:p>
    <w:p w:rsidR="007457A4" w:rsidRDefault="007457A4" w:rsidP="00B41B23">
      <w:pPr>
        <w:snapToGrid w:val="0"/>
        <w:jc w:val="both"/>
        <w:rPr>
          <w:rFonts w:eastAsiaTheme="minorEastAsia" w:hint="eastAsia"/>
          <w:b/>
          <w:sz w:val="20"/>
          <w:szCs w:val="20"/>
          <w:lang w:eastAsia="zh-CN"/>
        </w:rPr>
      </w:pPr>
    </w:p>
    <w:p w:rsidR="007457A4" w:rsidRPr="007457A4" w:rsidRDefault="007457A4" w:rsidP="00B41B23">
      <w:pPr>
        <w:snapToGrid w:val="0"/>
        <w:jc w:val="both"/>
        <w:rPr>
          <w:rFonts w:eastAsiaTheme="minorEastAsia" w:hint="eastAsia"/>
          <w:b/>
          <w:sz w:val="20"/>
          <w:szCs w:val="20"/>
          <w:lang w:eastAsia="zh-CN"/>
        </w:rPr>
      </w:pPr>
    </w:p>
    <w:p w:rsidR="00B41B23" w:rsidRPr="00F11A18" w:rsidRDefault="00B41B23" w:rsidP="00B41B23">
      <w:pPr>
        <w:snapToGrid w:val="0"/>
        <w:jc w:val="both"/>
        <w:rPr>
          <w:b/>
          <w:sz w:val="20"/>
          <w:szCs w:val="20"/>
        </w:rPr>
        <w:sectPr w:rsidR="00B41B23" w:rsidRPr="00F11A18" w:rsidSect="00B405E1">
          <w:type w:val="continuous"/>
          <w:pgSz w:w="12240" w:h="15840" w:code="1"/>
          <w:pgMar w:top="1440" w:right="1440" w:bottom="1440" w:left="1440" w:header="720" w:footer="720" w:gutter="0"/>
          <w:cols w:space="720"/>
          <w:docGrid w:linePitch="299"/>
        </w:sectPr>
      </w:pPr>
    </w:p>
    <w:p w:rsidR="00C64926" w:rsidRPr="00F11A18" w:rsidRDefault="00C64926" w:rsidP="00B41B23">
      <w:pPr>
        <w:snapToGrid w:val="0"/>
        <w:jc w:val="both"/>
        <w:rPr>
          <w:sz w:val="20"/>
          <w:szCs w:val="20"/>
        </w:rPr>
      </w:pPr>
      <w:r w:rsidRPr="00F11A18">
        <w:rPr>
          <w:b/>
          <w:sz w:val="20"/>
          <w:szCs w:val="20"/>
        </w:rPr>
        <w:lastRenderedPageBreak/>
        <w:t>References</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Nouér</w:t>
      </w:r>
      <w:r w:rsidR="00B405E1" w:rsidRPr="00F11A18">
        <w:rPr>
          <w:sz w:val="20"/>
          <w:szCs w:val="20"/>
        </w:rPr>
        <w:t xml:space="preserve"> </w:t>
      </w:r>
      <w:r w:rsidRPr="00F11A18">
        <w:rPr>
          <w:sz w:val="20"/>
          <w:szCs w:val="20"/>
        </w:rPr>
        <w:t>SA,</w:t>
      </w:r>
      <w:r w:rsidR="00B405E1" w:rsidRPr="00F11A18">
        <w:rPr>
          <w:sz w:val="20"/>
          <w:szCs w:val="20"/>
        </w:rPr>
        <w:t xml:space="preserve"> </w:t>
      </w:r>
      <w:r w:rsidRPr="00F11A18">
        <w:rPr>
          <w:sz w:val="20"/>
          <w:szCs w:val="20"/>
        </w:rPr>
        <w:t>Nucci</w:t>
      </w:r>
      <w:r w:rsidR="00B405E1" w:rsidRPr="00F11A18">
        <w:rPr>
          <w:sz w:val="20"/>
          <w:szCs w:val="20"/>
        </w:rPr>
        <w:t xml:space="preserve"> </w:t>
      </w:r>
      <w:r w:rsidRPr="00F11A18">
        <w:rPr>
          <w:sz w:val="20"/>
          <w:szCs w:val="20"/>
        </w:rPr>
        <w:t>M,</w:t>
      </w:r>
      <w:r w:rsidR="00B405E1" w:rsidRPr="00F11A18">
        <w:rPr>
          <w:sz w:val="20"/>
          <w:szCs w:val="20"/>
        </w:rPr>
        <w:t xml:space="preserve"> </w:t>
      </w:r>
      <w:r w:rsidRPr="00F11A18">
        <w:rPr>
          <w:sz w:val="20"/>
          <w:szCs w:val="20"/>
        </w:rPr>
        <w:t>Anaissie</w:t>
      </w:r>
      <w:r w:rsidR="00B405E1" w:rsidRPr="00F11A18">
        <w:rPr>
          <w:sz w:val="20"/>
          <w:szCs w:val="20"/>
        </w:rPr>
        <w:t xml:space="preserve"> </w:t>
      </w:r>
      <w:r w:rsidRPr="00F11A18">
        <w:rPr>
          <w:sz w:val="20"/>
          <w:szCs w:val="20"/>
        </w:rPr>
        <w:t>E.</w:t>
      </w:r>
      <w:r w:rsidR="00B405E1" w:rsidRPr="00F11A18">
        <w:rPr>
          <w:sz w:val="20"/>
          <w:szCs w:val="20"/>
        </w:rPr>
        <w:t xml:space="preserve"> </w:t>
      </w:r>
      <w:r w:rsidRPr="00F11A18">
        <w:rPr>
          <w:sz w:val="20"/>
          <w:szCs w:val="20"/>
        </w:rPr>
        <w:t>Tackling</w:t>
      </w:r>
      <w:r w:rsidR="00B405E1" w:rsidRPr="00F11A18">
        <w:rPr>
          <w:sz w:val="20"/>
          <w:szCs w:val="20"/>
        </w:rPr>
        <w:t xml:space="preserve"> </w:t>
      </w:r>
      <w:r w:rsidRPr="00F11A18">
        <w:rPr>
          <w:sz w:val="20"/>
          <w:szCs w:val="20"/>
        </w:rPr>
        <w:t>antibiotic</w:t>
      </w:r>
      <w:r w:rsidR="00B405E1" w:rsidRPr="00F11A18">
        <w:rPr>
          <w:sz w:val="20"/>
          <w:szCs w:val="20"/>
        </w:rPr>
        <w:t xml:space="preserve"> </w:t>
      </w:r>
      <w:r w:rsidRPr="00F11A18">
        <w:rPr>
          <w:sz w:val="20"/>
          <w:szCs w:val="20"/>
        </w:rPr>
        <w:t>resistance</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febrile</w:t>
      </w:r>
      <w:r w:rsidR="00B405E1" w:rsidRPr="00F11A18">
        <w:rPr>
          <w:sz w:val="20"/>
          <w:szCs w:val="20"/>
        </w:rPr>
        <w:t xml:space="preserve"> </w:t>
      </w:r>
      <w:r w:rsidRPr="00F11A18">
        <w:rPr>
          <w:sz w:val="20"/>
          <w:szCs w:val="20"/>
        </w:rPr>
        <w:t>neutropenia:</w:t>
      </w:r>
      <w:r w:rsidR="00B405E1" w:rsidRPr="00F11A18">
        <w:rPr>
          <w:sz w:val="20"/>
          <w:szCs w:val="20"/>
        </w:rPr>
        <w:t xml:space="preserve"> </w:t>
      </w:r>
      <w:r w:rsidRPr="00F11A18">
        <w:rPr>
          <w:sz w:val="20"/>
          <w:szCs w:val="20"/>
        </w:rPr>
        <w:t>current</w:t>
      </w:r>
      <w:r w:rsidR="00B405E1" w:rsidRPr="00F11A18">
        <w:rPr>
          <w:sz w:val="20"/>
          <w:szCs w:val="20"/>
        </w:rPr>
        <w:t xml:space="preserve"> </w:t>
      </w:r>
      <w:r w:rsidRPr="00F11A18">
        <w:rPr>
          <w:sz w:val="20"/>
          <w:szCs w:val="20"/>
        </w:rPr>
        <w:t>challenges</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recommendations</w:t>
      </w:r>
      <w:r w:rsidR="00B405E1" w:rsidRPr="00F11A18">
        <w:rPr>
          <w:sz w:val="20"/>
          <w:szCs w:val="20"/>
        </w:rPr>
        <w:t xml:space="preserve"> </w:t>
      </w:r>
      <w:r w:rsidRPr="00F11A18">
        <w:rPr>
          <w:sz w:val="20"/>
          <w:szCs w:val="20"/>
        </w:rPr>
        <w:t>for</w:t>
      </w:r>
      <w:r w:rsidR="00B405E1" w:rsidRPr="00F11A18">
        <w:rPr>
          <w:sz w:val="20"/>
          <w:szCs w:val="20"/>
        </w:rPr>
        <w:t xml:space="preserve"> </w:t>
      </w:r>
      <w:r w:rsidRPr="00F11A18">
        <w:rPr>
          <w:sz w:val="20"/>
          <w:szCs w:val="20"/>
        </w:rPr>
        <w:t>managing</w:t>
      </w:r>
      <w:r w:rsidR="00B405E1" w:rsidRPr="00F11A18">
        <w:rPr>
          <w:sz w:val="20"/>
          <w:szCs w:val="20"/>
        </w:rPr>
        <w:t xml:space="preserve"> </w:t>
      </w:r>
      <w:r w:rsidRPr="00F11A18">
        <w:rPr>
          <w:sz w:val="20"/>
          <w:szCs w:val="20"/>
        </w:rPr>
        <w:t>infections</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resistant</w:t>
      </w:r>
      <w:r w:rsidR="00B405E1" w:rsidRPr="00F11A18">
        <w:rPr>
          <w:sz w:val="20"/>
          <w:szCs w:val="20"/>
        </w:rPr>
        <w:t xml:space="preserve"> </w:t>
      </w:r>
      <w:r w:rsidRPr="00F11A18">
        <w:rPr>
          <w:sz w:val="20"/>
          <w:szCs w:val="20"/>
        </w:rPr>
        <w:t>Gram-negative</w:t>
      </w:r>
      <w:r w:rsidR="00B405E1" w:rsidRPr="00F11A18">
        <w:rPr>
          <w:sz w:val="20"/>
          <w:szCs w:val="20"/>
        </w:rPr>
        <w:t xml:space="preserve"> </w:t>
      </w:r>
      <w:r w:rsidRPr="00F11A18">
        <w:rPr>
          <w:sz w:val="20"/>
          <w:szCs w:val="20"/>
        </w:rPr>
        <w:t>organisms.</w:t>
      </w:r>
      <w:r w:rsidR="00B405E1" w:rsidRPr="00F11A18">
        <w:rPr>
          <w:sz w:val="20"/>
          <w:szCs w:val="20"/>
        </w:rPr>
        <w:t xml:space="preserve"> </w:t>
      </w:r>
      <w:r w:rsidRPr="00F11A18">
        <w:rPr>
          <w:sz w:val="20"/>
          <w:szCs w:val="20"/>
        </w:rPr>
        <w:t>Expert</w:t>
      </w:r>
      <w:r w:rsidR="00B405E1" w:rsidRPr="00F11A18">
        <w:rPr>
          <w:sz w:val="20"/>
          <w:szCs w:val="20"/>
        </w:rPr>
        <w:t xml:space="preserve"> </w:t>
      </w:r>
      <w:r w:rsidRPr="00F11A18">
        <w:rPr>
          <w:sz w:val="20"/>
          <w:szCs w:val="20"/>
        </w:rPr>
        <w:t>Rev</w:t>
      </w:r>
      <w:r w:rsidR="00B405E1" w:rsidRPr="00F11A18">
        <w:rPr>
          <w:sz w:val="20"/>
          <w:szCs w:val="20"/>
        </w:rPr>
        <w:t xml:space="preserve"> </w:t>
      </w:r>
      <w:r w:rsidRPr="00F11A18">
        <w:rPr>
          <w:sz w:val="20"/>
          <w:szCs w:val="20"/>
        </w:rPr>
        <w:t>Hematol</w:t>
      </w:r>
      <w:r w:rsidR="00F11A18">
        <w:rPr>
          <w:rFonts w:eastAsiaTheme="minorEastAsia" w:hint="eastAsia"/>
          <w:sz w:val="20"/>
          <w:szCs w:val="20"/>
          <w:lang w:eastAsia="zh-CN"/>
        </w:rPr>
        <w:t xml:space="preserve"> </w:t>
      </w:r>
      <w:r w:rsidRPr="00F11A18">
        <w:rPr>
          <w:sz w:val="20"/>
          <w:szCs w:val="20"/>
        </w:rPr>
        <w:t>2015;8(5):647–58.</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El-Mahallawy</w:t>
      </w:r>
      <w:r w:rsidR="00B405E1" w:rsidRPr="00F11A18">
        <w:rPr>
          <w:sz w:val="20"/>
          <w:szCs w:val="20"/>
        </w:rPr>
        <w:t xml:space="preserve"> </w:t>
      </w:r>
      <w:r w:rsidRPr="00F11A18">
        <w:rPr>
          <w:sz w:val="20"/>
          <w:szCs w:val="20"/>
        </w:rPr>
        <w:t>HA,</w:t>
      </w:r>
      <w:r w:rsidR="00B405E1" w:rsidRPr="00F11A18">
        <w:rPr>
          <w:sz w:val="20"/>
          <w:szCs w:val="20"/>
        </w:rPr>
        <w:t xml:space="preserve"> </w:t>
      </w:r>
      <w:r w:rsidRPr="00F11A18">
        <w:rPr>
          <w:sz w:val="20"/>
          <w:szCs w:val="20"/>
        </w:rPr>
        <w:t>El-Wakil</w:t>
      </w:r>
      <w:r w:rsidR="00B405E1" w:rsidRPr="00F11A18">
        <w:rPr>
          <w:sz w:val="20"/>
          <w:szCs w:val="20"/>
        </w:rPr>
        <w:t xml:space="preserve"> </w:t>
      </w:r>
      <w:r w:rsidRPr="00F11A18">
        <w:rPr>
          <w:sz w:val="20"/>
          <w:szCs w:val="20"/>
        </w:rPr>
        <w:t>M,</w:t>
      </w:r>
      <w:r w:rsidR="00B405E1" w:rsidRPr="00F11A18">
        <w:rPr>
          <w:sz w:val="20"/>
          <w:szCs w:val="20"/>
        </w:rPr>
        <w:t xml:space="preserve"> </w:t>
      </w:r>
      <w:r w:rsidRPr="00F11A18">
        <w:rPr>
          <w:sz w:val="20"/>
          <w:szCs w:val="20"/>
        </w:rPr>
        <w:t>Moneer</w:t>
      </w:r>
      <w:r w:rsidR="00B405E1" w:rsidRPr="00F11A18">
        <w:rPr>
          <w:sz w:val="20"/>
          <w:szCs w:val="20"/>
        </w:rPr>
        <w:t xml:space="preserve"> </w:t>
      </w:r>
      <w:r w:rsidRPr="00F11A18">
        <w:rPr>
          <w:sz w:val="20"/>
          <w:szCs w:val="20"/>
        </w:rPr>
        <w:t>MM,</w:t>
      </w:r>
      <w:r w:rsidR="00B405E1" w:rsidRPr="00F11A18">
        <w:rPr>
          <w:sz w:val="20"/>
          <w:szCs w:val="20"/>
        </w:rPr>
        <w:t xml:space="preserve"> </w:t>
      </w:r>
      <w:r w:rsidRPr="00F11A18">
        <w:rPr>
          <w:sz w:val="20"/>
          <w:szCs w:val="20"/>
        </w:rPr>
        <w:t>Shalaby</w:t>
      </w:r>
      <w:r w:rsidR="00B405E1" w:rsidRPr="00F11A18">
        <w:rPr>
          <w:sz w:val="20"/>
          <w:szCs w:val="20"/>
        </w:rPr>
        <w:t xml:space="preserve"> </w:t>
      </w:r>
      <w:r w:rsidRPr="00F11A18">
        <w:rPr>
          <w:sz w:val="20"/>
          <w:szCs w:val="20"/>
        </w:rPr>
        <w:t>L.</w:t>
      </w:r>
      <w:r w:rsidR="00B405E1" w:rsidRPr="00F11A18">
        <w:rPr>
          <w:sz w:val="20"/>
          <w:szCs w:val="20"/>
        </w:rPr>
        <w:t xml:space="preserve"> </w:t>
      </w:r>
      <w:r w:rsidRPr="00F11A18">
        <w:rPr>
          <w:sz w:val="20"/>
          <w:szCs w:val="20"/>
        </w:rPr>
        <w:t>Antibiotic</w:t>
      </w:r>
      <w:r w:rsidR="00B405E1" w:rsidRPr="00F11A18">
        <w:rPr>
          <w:sz w:val="20"/>
          <w:szCs w:val="20"/>
        </w:rPr>
        <w:t xml:space="preserve"> </w:t>
      </w:r>
      <w:r w:rsidRPr="00F11A18">
        <w:rPr>
          <w:sz w:val="20"/>
          <w:szCs w:val="20"/>
        </w:rPr>
        <w:t>resistance</w:t>
      </w:r>
      <w:r w:rsidR="00B405E1" w:rsidRPr="00F11A18">
        <w:rPr>
          <w:sz w:val="20"/>
          <w:szCs w:val="20"/>
        </w:rPr>
        <w:t xml:space="preserve"> </w:t>
      </w:r>
      <w:r w:rsidRPr="00F11A18">
        <w:rPr>
          <w:sz w:val="20"/>
          <w:szCs w:val="20"/>
        </w:rPr>
        <w:t>is</w:t>
      </w:r>
      <w:r w:rsidR="00B405E1" w:rsidRPr="00F11A18">
        <w:rPr>
          <w:sz w:val="20"/>
          <w:szCs w:val="20"/>
        </w:rPr>
        <w:t xml:space="preserve"> </w:t>
      </w:r>
      <w:r w:rsidRPr="00F11A18">
        <w:rPr>
          <w:sz w:val="20"/>
          <w:szCs w:val="20"/>
        </w:rPr>
        <w:t>associated</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longer</w:t>
      </w:r>
      <w:r w:rsidR="00B405E1" w:rsidRPr="00F11A18">
        <w:rPr>
          <w:sz w:val="20"/>
          <w:szCs w:val="20"/>
        </w:rPr>
        <w:t xml:space="preserve"> </w:t>
      </w:r>
      <w:r w:rsidRPr="00F11A18">
        <w:rPr>
          <w:sz w:val="20"/>
          <w:szCs w:val="20"/>
        </w:rPr>
        <w:t>bacteremic</w:t>
      </w:r>
      <w:r w:rsidR="00B405E1" w:rsidRPr="00F11A18">
        <w:rPr>
          <w:sz w:val="20"/>
          <w:szCs w:val="20"/>
        </w:rPr>
        <w:t xml:space="preserve"> </w:t>
      </w:r>
      <w:r w:rsidRPr="00F11A18">
        <w:rPr>
          <w:sz w:val="20"/>
          <w:szCs w:val="20"/>
        </w:rPr>
        <w:t>episodes</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worse</w:t>
      </w:r>
      <w:r w:rsidR="00B405E1" w:rsidRPr="00F11A18">
        <w:rPr>
          <w:sz w:val="20"/>
          <w:szCs w:val="20"/>
        </w:rPr>
        <w:t xml:space="preserve"> </w:t>
      </w:r>
      <w:r w:rsidRPr="00F11A18">
        <w:rPr>
          <w:sz w:val="20"/>
          <w:szCs w:val="20"/>
        </w:rPr>
        <w:t>outcome</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febrile</w:t>
      </w:r>
      <w:r w:rsidR="00B405E1" w:rsidRPr="00F11A18">
        <w:rPr>
          <w:sz w:val="20"/>
          <w:szCs w:val="20"/>
        </w:rPr>
        <w:t xml:space="preserve"> </w:t>
      </w:r>
      <w:r w:rsidRPr="00F11A18">
        <w:rPr>
          <w:sz w:val="20"/>
          <w:szCs w:val="20"/>
        </w:rPr>
        <w:t>neutropenic</w:t>
      </w:r>
      <w:r w:rsidR="00B405E1" w:rsidRPr="00F11A18">
        <w:rPr>
          <w:sz w:val="20"/>
          <w:szCs w:val="20"/>
        </w:rPr>
        <w:t xml:space="preserve"> </w:t>
      </w:r>
      <w:r w:rsidRPr="00F11A18">
        <w:rPr>
          <w:sz w:val="20"/>
          <w:szCs w:val="20"/>
        </w:rPr>
        <w:t>children</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cancer.</w:t>
      </w:r>
      <w:r w:rsidR="00B405E1" w:rsidRPr="00F11A18">
        <w:rPr>
          <w:sz w:val="20"/>
          <w:szCs w:val="20"/>
        </w:rPr>
        <w:t xml:space="preserve"> </w:t>
      </w:r>
      <w:r w:rsidRPr="00F11A18">
        <w:rPr>
          <w:sz w:val="20"/>
          <w:szCs w:val="20"/>
        </w:rPr>
        <w:t>Pediatr</w:t>
      </w:r>
      <w:r w:rsidR="00B405E1" w:rsidRPr="00F11A18">
        <w:rPr>
          <w:sz w:val="20"/>
          <w:szCs w:val="20"/>
        </w:rPr>
        <w:t xml:space="preserve"> </w:t>
      </w:r>
      <w:r w:rsidRPr="00F11A18">
        <w:rPr>
          <w:sz w:val="20"/>
          <w:szCs w:val="20"/>
        </w:rPr>
        <w:t>Blood</w:t>
      </w:r>
      <w:r w:rsidR="00B405E1" w:rsidRPr="00F11A18">
        <w:rPr>
          <w:sz w:val="20"/>
          <w:szCs w:val="20"/>
        </w:rPr>
        <w:t xml:space="preserve"> </w:t>
      </w:r>
      <w:r w:rsidRPr="00F11A18">
        <w:rPr>
          <w:sz w:val="20"/>
          <w:szCs w:val="20"/>
        </w:rPr>
        <w:t>Cancer</w:t>
      </w:r>
      <w:r w:rsidR="00B405E1" w:rsidRPr="00F11A18">
        <w:rPr>
          <w:sz w:val="20"/>
          <w:szCs w:val="20"/>
        </w:rPr>
        <w:t xml:space="preserve"> </w:t>
      </w:r>
      <w:r w:rsidRPr="00F11A18">
        <w:rPr>
          <w:sz w:val="20"/>
          <w:szCs w:val="20"/>
        </w:rPr>
        <w:t>2011;57(2):283–8.</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Passerini</w:t>
      </w:r>
      <w:r w:rsidR="00B405E1" w:rsidRPr="00F11A18">
        <w:rPr>
          <w:sz w:val="20"/>
          <w:szCs w:val="20"/>
        </w:rPr>
        <w:t xml:space="preserve"> </w:t>
      </w:r>
      <w:r w:rsidRPr="00F11A18">
        <w:rPr>
          <w:sz w:val="20"/>
          <w:szCs w:val="20"/>
        </w:rPr>
        <w:t>R,</w:t>
      </w:r>
      <w:r w:rsidR="00B405E1" w:rsidRPr="00F11A18">
        <w:rPr>
          <w:sz w:val="20"/>
          <w:szCs w:val="20"/>
        </w:rPr>
        <w:t xml:space="preserve"> </w:t>
      </w:r>
      <w:r w:rsidRPr="00F11A18">
        <w:rPr>
          <w:sz w:val="20"/>
          <w:szCs w:val="20"/>
        </w:rPr>
        <w:t>Ghezzi</w:t>
      </w:r>
      <w:r w:rsidR="00B405E1" w:rsidRPr="00F11A18">
        <w:rPr>
          <w:sz w:val="20"/>
          <w:szCs w:val="20"/>
        </w:rPr>
        <w:t xml:space="preserve"> </w:t>
      </w:r>
      <w:r w:rsidRPr="00F11A18">
        <w:rPr>
          <w:sz w:val="20"/>
          <w:szCs w:val="20"/>
        </w:rPr>
        <w:t>TL,</w:t>
      </w:r>
      <w:r w:rsidR="00B405E1" w:rsidRPr="00F11A18">
        <w:rPr>
          <w:sz w:val="20"/>
          <w:szCs w:val="20"/>
        </w:rPr>
        <w:t xml:space="preserve"> </w:t>
      </w:r>
      <w:r w:rsidRPr="00F11A18">
        <w:rPr>
          <w:sz w:val="20"/>
          <w:szCs w:val="20"/>
        </w:rPr>
        <w:t>Sandri</w:t>
      </w:r>
      <w:r w:rsidR="00B405E1" w:rsidRPr="00F11A18">
        <w:rPr>
          <w:sz w:val="20"/>
          <w:szCs w:val="20"/>
        </w:rPr>
        <w:t xml:space="preserve"> </w:t>
      </w:r>
      <w:r w:rsidRPr="00F11A18">
        <w:rPr>
          <w:sz w:val="20"/>
          <w:szCs w:val="20"/>
        </w:rPr>
        <w:t>MT,</w:t>
      </w:r>
      <w:r w:rsidR="00B405E1" w:rsidRPr="00F11A18">
        <w:rPr>
          <w:sz w:val="20"/>
          <w:szCs w:val="20"/>
        </w:rPr>
        <w:t xml:space="preserve"> </w:t>
      </w:r>
      <w:r w:rsidRPr="00F11A18">
        <w:rPr>
          <w:sz w:val="20"/>
          <w:szCs w:val="20"/>
        </w:rPr>
        <w:t>Radice</w:t>
      </w:r>
      <w:r w:rsidR="00B405E1" w:rsidRPr="00F11A18">
        <w:rPr>
          <w:sz w:val="20"/>
          <w:szCs w:val="20"/>
        </w:rPr>
        <w:t xml:space="preserve"> </w:t>
      </w:r>
      <w:r w:rsidRPr="00F11A18">
        <w:rPr>
          <w:sz w:val="20"/>
          <w:szCs w:val="20"/>
        </w:rPr>
        <w:t>D,</w:t>
      </w:r>
      <w:r w:rsidR="00B405E1" w:rsidRPr="00F11A18">
        <w:rPr>
          <w:sz w:val="20"/>
          <w:szCs w:val="20"/>
        </w:rPr>
        <w:t xml:space="preserve"> </w:t>
      </w:r>
      <w:r w:rsidRPr="00F11A18">
        <w:rPr>
          <w:sz w:val="20"/>
          <w:szCs w:val="20"/>
        </w:rPr>
        <w:t>Biffi</w:t>
      </w:r>
      <w:r w:rsidR="00B405E1" w:rsidRPr="00F11A18">
        <w:rPr>
          <w:sz w:val="20"/>
          <w:szCs w:val="20"/>
        </w:rPr>
        <w:t xml:space="preserve"> </w:t>
      </w:r>
      <w:r w:rsidRPr="00F11A18">
        <w:rPr>
          <w:sz w:val="20"/>
          <w:szCs w:val="20"/>
        </w:rPr>
        <w:t>R.</w:t>
      </w:r>
      <w:r w:rsidR="00B405E1" w:rsidRPr="00F11A18">
        <w:rPr>
          <w:sz w:val="20"/>
          <w:szCs w:val="20"/>
        </w:rPr>
        <w:t xml:space="preserve"> </w:t>
      </w:r>
      <w:r w:rsidRPr="00F11A18">
        <w:rPr>
          <w:sz w:val="20"/>
          <w:szCs w:val="20"/>
        </w:rPr>
        <w:t>Ten-</w:t>
      </w:r>
      <w:r w:rsidR="00B405E1" w:rsidRPr="00F11A18">
        <w:rPr>
          <w:sz w:val="20"/>
          <w:szCs w:val="20"/>
        </w:rPr>
        <w:t xml:space="preserve"> </w:t>
      </w:r>
      <w:r w:rsidRPr="00F11A18">
        <w:rPr>
          <w:sz w:val="20"/>
          <w:szCs w:val="20"/>
        </w:rPr>
        <w:t>year</w:t>
      </w:r>
      <w:r w:rsidR="00B405E1" w:rsidRPr="00F11A18">
        <w:rPr>
          <w:sz w:val="20"/>
          <w:szCs w:val="20"/>
        </w:rPr>
        <w:t xml:space="preserve"> </w:t>
      </w:r>
      <w:r w:rsidRPr="00F11A18">
        <w:rPr>
          <w:sz w:val="20"/>
          <w:szCs w:val="20"/>
        </w:rPr>
        <w:t>surveillance</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nosocomial</w:t>
      </w:r>
      <w:r w:rsidR="00B405E1" w:rsidRPr="00F11A18">
        <w:rPr>
          <w:sz w:val="20"/>
          <w:szCs w:val="20"/>
        </w:rPr>
        <w:t xml:space="preserve"> </w:t>
      </w:r>
      <w:r w:rsidRPr="00F11A18">
        <w:rPr>
          <w:sz w:val="20"/>
          <w:szCs w:val="20"/>
        </w:rPr>
        <w:t>bloodstream</w:t>
      </w:r>
      <w:r w:rsidR="00B405E1" w:rsidRPr="00F11A18">
        <w:rPr>
          <w:sz w:val="20"/>
          <w:szCs w:val="20"/>
        </w:rPr>
        <w:t xml:space="preserve"> </w:t>
      </w:r>
      <w:r w:rsidRPr="00F11A18">
        <w:rPr>
          <w:sz w:val="20"/>
          <w:szCs w:val="20"/>
        </w:rPr>
        <w:t>infections;</w:t>
      </w:r>
      <w:r w:rsidR="00B405E1" w:rsidRPr="00F11A18">
        <w:rPr>
          <w:sz w:val="20"/>
          <w:szCs w:val="20"/>
        </w:rPr>
        <w:t xml:space="preserve"> </w:t>
      </w:r>
      <w:r w:rsidRPr="00F11A18">
        <w:rPr>
          <w:sz w:val="20"/>
          <w:szCs w:val="20"/>
        </w:rPr>
        <w:t>trends</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aetiology</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antimicrobial</w:t>
      </w:r>
      <w:r w:rsidR="00B405E1" w:rsidRPr="00F11A18">
        <w:rPr>
          <w:sz w:val="20"/>
          <w:szCs w:val="20"/>
        </w:rPr>
        <w:t xml:space="preserve"> </w:t>
      </w:r>
      <w:r w:rsidRPr="00F11A18">
        <w:rPr>
          <w:sz w:val="20"/>
          <w:szCs w:val="20"/>
        </w:rPr>
        <w:t>resistance</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comprehensive</w:t>
      </w:r>
      <w:r w:rsidR="00B405E1" w:rsidRPr="00F11A18">
        <w:rPr>
          <w:sz w:val="20"/>
          <w:szCs w:val="20"/>
        </w:rPr>
        <w:t xml:space="preserve"> </w:t>
      </w:r>
      <w:r w:rsidRPr="00F11A18">
        <w:rPr>
          <w:sz w:val="20"/>
          <w:szCs w:val="20"/>
        </w:rPr>
        <w:t>cancer</w:t>
      </w:r>
      <w:r w:rsidR="00B405E1" w:rsidRPr="00F11A18">
        <w:rPr>
          <w:sz w:val="20"/>
          <w:szCs w:val="20"/>
        </w:rPr>
        <w:t xml:space="preserve"> </w:t>
      </w:r>
      <w:r w:rsidRPr="00F11A18">
        <w:rPr>
          <w:sz w:val="20"/>
          <w:szCs w:val="20"/>
        </w:rPr>
        <w:t>centre.</w:t>
      </w:r>
      <w:r w:rsidR="00B405E1" w:rsidRPr="00F11A18">
        <w:rPr>
          <w:sz w:val="20"/>
          <w:szCs w:val="20"/>
        </w:rPr>
        <w:t xml:space="preserve"> </w:t>
      </w:r>
      <w:r w:rsidRPr="00F11A18">
        <w:rPr>
          <w:sz w:val="20"/>
          <w:szCs w:val="20"/>
        </w:rPr>
        <w:t>E</w:t>
      </w:r>
      <w:r w:rsidR="00F11A18">
        <w:rPr>
          <w:rFonts w:eastAsiaTheme="minorEastAsia" w:hint="eastAsia"/>
          <w:sz w:val="20"/>
          <w:szCs w:val="20"/>
          <w:lang w:eastAsia="zh-CN"/>
        </w:rPr>
        <w:t xml:space="preserve"> </w:t>
      </w:r>
      <w:r w:rsidRPr="00F11A18">
        <w:rPr>
          <w:sz w:val="20"/>
          <w:szCs w:val="20"/>
        </w:rPr>
        <w:t>cancer</w:t>
      </w:r>
      <w:r w:rsidR="00F11A18">
        <w:rPr>
          <w:rFonts w:eastAsiaTheme="minorEastAsia" w:hint="eastAsia"/>
          <w:sz w:val="20"/>
          <w:szCs w:val="20"/>
          <w:lang w:eastAsia="zh-CN"/>
        </w:rPr>
        <w:t xml:space="preserve"> </w:t>
      </w:r>
      <w:r w:rsidRPr="00F11A18">
        <w:rPr>
          <w:sz w:val="20"/>
          <w:szCs w:val="20"/>
        </w:rPr>
        <w:t>medical</w:t>
      </w:r>
      <w:r w:rsidR="00F11A18">
        <w:rPr>
          <w:rFonts w:eastAsiaTheme="minorEastAsia" w:hint="eastAsia"/>
          <w:sz w:val="20"/>
          <w:szCs w:val="20"/>
          <w:lang w:eastAsia="zh-CN"/>
        </w:rPr>
        <w:t xml:space="preserve"> </w:t>
      </w:r>
      <w:r w:rsidRPr="00F11A18">
        <w:rPr>
          <w:sz w:val="20"/>
          <w:szCs w:val="20"/>
        </w:rPr>
        <w:t>science</w:t>
      </w:r>
      <w:r w:rsidR="00F11A18">
        <w:rPr>
          <w:rFonts w:eastAsiaTheme="minorEastAsia" w:hint="eastAsia"/>
          <w:sz w:val="20"/>
          <w:szCs w:val="20"/>
          <w:lang w:eastAsia="zh-CN"/>
        </w:rPr>
        <w:t xml:space="preserve"> </w:t>
      </w:r>
      <w:r w:rsidRPr="00F11A18">
        <w:rPr>
          <w:sz w:val="20"/>
          <w:szCs w:val="20"/>
        </w:rPr>
        <w:t>2011;5:191.</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Wisplinghoff</w:t>
      </w:r>
      <w:r w:rsidR="00B405E1" w:rsidRPr="00F11A18">
        <w:rPr>
          <w:sz w:val="20"/>
          <w:szCs w:val="20"/>
        </w:rPr>
        <w:t xml:space="preserve"> </w:t>
      </w:r>
      <w:r w:rsidRPr="00F11A18">
        <w:rPr>
          <w:sz w:val="20"/>
          <w:szCs w:val="20"/>
        </w:rPr>
        <w:t>H,</w:t>
      </w:r>
      <w:r w:rsidR="00B405E1" w:rsidRPr="00F11A18">
        <w:rPr>
          <w:sz w:val="20"/>
          <w:szCs w:val="20"/>
        </w:rPr>
        <w:t xml:space="preserve"> </w:t>
      </w:r>
      <w:r w:rsidRPr="00F11A18">
        <w:rPr>
          <w:sz w:val="20"/>
          <w:szCs w:val="20"/>
        </w:rPr>
        <w:t>Bischoff</w:t>
      </w:r>
      <w:r w:rsidR="00B405E1" w:rsidRPr="00F11A18">
        <w:rPr>
          <w:sz w:val="20"/>
          <w:szCs w:val="20"/>
        </w:rPr>
        <w:t xml:space="preserve"> </w:t>
      </w:r>
      <w:r w:rsidRPr="00F11A18">
        <w:rPr>
          <w:sz w:val="20"/>
          <w:szCs w:val="20"/>
        </w:rPr>
        <w:t>T,</w:t>
      </w:r>
      <w:r w:rsidR="00B405E1" w:rsidRPr="00F11A18">
        <w:rPr>
          <w:sz w:val="20"/>
          <w:szCs w:val="20"/>
        </w:rPr>
        <w:t xml:space="preserve"> </w:t>
      </w:r>
      <w:r w:rsidRPr="00F11A18">
        <w:rPr>
          <w:sz w:val="20"/>
          <w:szCs w:val="20"/>
        </w:rPr>
        <w:t>Tallent</w:t>
      </w:r>
      <w:r w:rsidR="00B405E1" w:rsidRPr="00F11A18">
        <w:rPr>
          <w:sz w:val="20"/>
          <w:szCs w:val="20"/>
        </w:rPr>
        <w:t xml:space="preserve"> </w:t>
      </w:r>
      <w:r w:rsidRPr="00F11A18">
        <w:rPr>
          <w:sz w:val="20"/>
          <w:szCs w:val="20"/>
        </w:rPr>
        <w:t>SM,</w:t>
      </w:r>
      <w:r w:rsidR="00B405E1" w:rsidRPr="00F11A18">
        <w:rPr>
          <w:sz w:val="20"/>
          <w:szCs w:val="20"/>
        </w:rPr>
        <w:t xml:space="preserve"> </w:t>
      </w:r>
      <w:r w:rsidRPr="00F11A18">
        <w:rPr>
          <w:sz w:val="20"/>
          <w:szCs w:val="20"/>
        </w:rPr>
        <w:t>Seifert</w:t>
      </w:r>
      <w:r w:rsidR="00B405E1" w:rsidRPr="00F11A18">
        <w:rPr>
          <w:sz w:val="20"/>
          <w:szCs w:val="20"/>
        </w:rPr>
        <w:t xml:space="preserve"> </w:t>
      </w:r>
      <w:r w:rsidRPr="00F11A18">
        <w:rPr>
          <w:sz w:val="20"/>
          <w:szCs w:val="20"/>
        </w:rPr>
        <w:t>H,</w:t>
      </w:r>
      <w:r w:rsidR="00B405E1" w:rsidRPr="00F11A18">
        <w:rPr>
          <w:sz w:val="20"/>
          <w:szCs w:val="20"/>
        </w:rPr>
        <w:t xml:space="preserve"> </w:t>
      </w:r>
      <w:r w:rsidRPr="00F11A18">
        <w:rPr>
          <w:sz w:val="20"/>
          <w:szCs w:val="20"/>
        </w:rPr>
        <w:t>Wenzel</w:t>
      </w:r>
      <w:r w:rsidR="00B405E1" w:rsidRPr="00F11A18">
        <w:rPr>
          <w:sz w:val="20"/>
          <w:szCs w:val="20"/>
        </w:rPr>
        <w:t xml:space="preserve"> </w:t>
      </w:r>
      <w:r w:rsidRPr="00F11A18">
        <w:rPr>
          <w:sz w:val="20"/>
          <w:szCs w:val="20"/>
        </w:rPr>
        <w:t>RP,</w:t>
      </w:r>
      <w:r w:rsidR="00B405E1" w:rsidRPr="00F11A18">
        <w:rPr>
          <w:sz w:val="20"/>
          <w:szCs w:val="20"/>
        </w:rPr>
        <w:t xml:space="preserve"> </w:t>
      </w:r>
      <w:r w:rsidRPr="00F11A18">
        <w:rPr>
          <w:sz w:val="20"/>
          <w:szCs w:val="20"/>
        </w:rPr>
        <w:t>Edmond</w:t>
      </w:r>
      <w:r w:rsidR="00B405E1" w:rsidRPr="00F11A18">
        <w:rPr>
          <w:sz w:val="20"/>
          <w:szCs w:val="20"/>
        </w:rPr>
        <w:t xml:space="preserve"> </w:t>
      </w:r>
      <w:r w:rsidRPr="00F11A18">
        <w:rPr>
          <w:sz w:val="20"/>
          <w:szCs w:val="20"/>
        </w:rPr>
        <w:t>MB.</w:t>
      </w:r>
      <w:r w:rsidR="00B405E1" w:rsidRPr="00F11A18">
        <w:rPr>
          <w:sz w:val="20"/>
          <w:szCs w:val="20"/>
        </w:rPr>
        <w:t xml:space="preserve"> </w:t>
      </w:r>
      <w:r w:rsidRPr="00F11A18">
        <w:rPr>
          <w:sz w:val="20"/>
          <w:szCs w:val="20"/>
        </w:rPr>
        <w:t>Nosocomial</w:t>
      </w:r>
      <w:r w:rsidR="00B405E1" w:rsidRPr="00F11A18">
        <w:rPr>
          <w:sz w:val="20"/>
          <w:szCs w:val="20"/>
        </w:rPr>
        <w:t xml:space="preserve"> </w:t>
      </w:r>
      <w:r w:rsidRPr="00F11A18">
        <w:rPr>
          <w:sz w:val="20"/>
          <w:szCs w:val="20"/>
        </w:rPr>
        <w:t>bloodstream</w:t>
      </w:r>
      <w:r w:rsidR="00B405E1" w:rsidRPr="00F11A18">
        <w:rPr>
          <w:sz w:val="20"/>
          <w:szCs w:val="20"/>
        </w:rPr>
        <w:t xml:space="preserve"> </w:t>
      </w:r>
      <w:r w:rsidRPr="00F11A18">
        <w:rPr>
          <w:sz w:val="20"/>
          <w:szCs w:val="20"/>
        </w:rPr>
        <w:t>infections</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US</w:t>
      </w:r>
      <w:r w:rsidR="00B405E1" w:rsidRPr="00F11A18">
        <w:rPr>
          <w:sz w:val="20"/>
          <w:szCs w:val="20"/>
        </w:rPr>
        <w:t xml:space="preserve"> </w:t>
      </w:r>
      <w:r w:rsidRPr="00F11A18">
        <w:rPr>
          <w:sz w:val="20"/>
          <w:szCs w:val="20"/>
        </w:rPr>
        <w:t>hospitals:</w:t>
      </w:r>
      <w:r w:rsidR="00B405E1" w:rsidRPr="00F11A18">
        <w:rPr>
          <w:sz w:val="20"/>
          <w:szCs w:val="20"/>
        </w:rPr>
        <w:t xml:space="preserve"> </w:t>
      </w:r>
      <w:r w:rsidRPr="00F11A18">
        <w:rPr>
          <w:sz w:val="20"/>
          <w:szCs w:val="20"/>
        </w:rPr>
        <w:t>analysis</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24,</w:t>
      </w:r>
      <w:r w:rsidR="00B405E1" w:rsidRPr="00F11A18">
        <w:rPr>
          <w:sz w:val="20"/>
          <w:szCs w:val="20"/>
        </w:rPr>
        <w:t xml:space="preserve"> </w:t>
      </w:r>
      <w:r w:rsidRPr="00F11A18">
        <w:rPr>
          <w:sz w:val="20"/>
          <w:szCs w:val="20"/>
        </w:rPr>
        <w:t>179</w:t>
      </w:r>
      <w:r w:rsidR="00B405E1" w:rsidRPr="00F11A18">
        <w:rPr>
          <w:sz w:val="20"/>
          <w:szCs w:val="20"/>
        </w:rPr>
        <w:t xml:space="preserve"> </w:t>
      </w:r>
      <w:r w:rsidRPr="00F11A18">
        <w:rPr>
          <w:sz w:val="20"/>
          <w:szCs w:val="20"/>
        </w:rPr>
        <w:t>cases</w:t>
      </w:r>
      <w:r w:rsidR="00B405E1" w:rsidRPr="00F11A18">
        <w:rPr>
          <w:sz w:val="20"/>
          <w:szCs w:val="20"/>
        </w:rPr>
        <w:t xml:space="preserve"> </w:t>
      </w:r>
      <w:r w:rsidRPr="00F11A18">
        <w:rPr>
          <w:sz w:val="20"/>
          <w:szCs w:val="20"/>
        </w:rPr>
        <w:t>from</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prospective</w:t>
      </w:r>
      <w:r w:rsidR="00B405E1" w:rsidRPr="00F11A18">
        <w:rPr>
          <w:sz w:val="20"/>
          <w:szCs w:val="20"/>
        </w:rPr>
        <w:t xml:space="preserve"> </w:t>
      </w:r>
      <w:r w:rsidRPr="00F11A18">
        <w:rPr>
          <w:sz w:val="20"/>
          <w:szCs w:val="20"/>
        </w:rPr>
        <w:t>nationwide</w:t>
      </w:r>
      <w:r w:rsidR="00B405E1" w:rsidRPr="00F11A18">
        <w:rPr>
          <w:sz w:val="20"/>
          <w:szCs w:val="20"/>
        </w:rPr>
        <w:t xml:space="preserve"> </w:t>
      </w:r>
      <w:r w:rsidRPr="00F11A18">
        <w:rPr>
          <w:sz w:val="20"/>
          <w:szCs w:val="20"/>
        </w:rPr>
        <w:t>surveillance</w:t>
      </w:r>
      <w:r w:rsidR="00B405E1" w:rsidRPr="00F11A18">
        <w:rPr>
          <w:sz w:val="20"/>
          <w:szCs w:val="20"/>
        </w:rPr>
        <w:t xml:space="preserve"> </w:t>
      </w:r>
      <w:r w:rsidRPr="00F11A18">
        <w:rPr>
          <w:sz w:val="20"/>
          <w:szCs w:val="20"/>
        </w:rPr>
        <w:t>study.</w:t>
      </w:r>
      <w:r w:rsidR="00B405E1" w:rsidRPr="00F11A18">
        <w:rPr>
          <w:sz w:val="20"/>
          <w:szCs w:val="20"/>
        </w:rPr>
        <w:t xml:space="preserve"> </w:t>
      </w:r>
      <w:r w:rsidRPr="00F11A18">
        <w:rPr>
          <w:sz w:val="20"/>
          <w:szCs w:val="20"/>
        </w:rPr>
        <w:t>Clin</w:t>
      </w:r>
      <w:r w:rsidR="00B405E1" w:rsidRPr="00F11A18">
        <w:rPr>
          <w:sz w:val="20"/>
          <w:szCs w:val="20"/>
        </w:rPr>
        <w:t xml:space="preserve"> </w:t>
      </w:r>
      <w:r w:rsidRPr="00F11A18">
        <w:rPr>
          <w:sz w:val="20"/>
          <w:szCs w:val="20"/>
        </w:rPr>
        <w:t>Infect</w:t>
      </w:r>
      <w:r w:rsidR="00B405E1" w:rsidRPr="00F11A18">
        <w:rPr>
          <w:sz w:val="20"/>
          <w:szCs w:val="20"/>
        </w:rPr>
        <w:t xml:space="preserve"> </w:t>
      </w:r>
      <w:r w:rsidRPr="00F11A18">
        <w:rPr>
          <w:sz w:val="20"/>
          <w:szCs w:val="20"/>
        </w:rPr>
        <w:t>Dis</w:t>
      </w:r>
      <w:r w:rsidR="00F11A18">
        <w:rPr>
          <w:rFonts w:eastAsiaTheme="minorEastAsia" w:hint="eastAsia"/>
          <w:sz w:val="20"/>
          <w:szCs w:val="20"/>
          <w:lang w:eastAsia="zh-CN"/>
        </w:rPr>
        <w:t xml:space="preserve"> </w:t>
      </w:r>
      <w:r w:rsidRPr="00F11A18">
        <w:rPr>
          <w:sz w:val="20"/>
          <w:szCs w:val="20"/>
        </w:rPr>
        <w:lastRenderedPageBreak/>
        <w:t>2004;39(3):309–17.</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Chen</w:t>
      </w:r>
      <w:r w:rsidR="00B405E1" w:rsidRPr="00F11A18">
        <w:rPr>
          <w:sz w:val="20"/>
          <w:szCs w:val="20"/>
        </w:rPr>
        <w:t xml:space="preserve"> </w:t>
      </w:r>
      <w:r w:rsidRPr="00F11A18">
        <w:rPr>
          <w:sz w:val="20"/>
          <w:szCs w:val="20"/>
        </w:rPr>
        <w:t>CY,</w:t>
      </w:r>
      <w:r w:rsidR="00B405E1" w:rsidRPr="00F11A18">
        <w:rPr>
          <w:sz w:val="20"/>
          <w:szCs w:val="20"/>
        </w:rPr>
        <w:t xml:space="preserve"> </w:t>
      </w:r>
      <w:r w:rsidRPr="00F11A18">
        <w:rPr>
          <w:sz w:val="20"/>
          <w:szCs w:val="20"/>
        </w:rPr>
        <w:t>Tsay</w:t>
      </w:r>
      <w:r w:rsidR="00B405E1" w:rsidRPr="00F11A18">
        <w:rPr>
          <w:sz w:val="20"/>
          <w:szCs w:val="20"/>
        </w:rPr>
        <w:t xml:space="preserve"> </w:t>
      </w:r>
      <w:r w:rsidRPr="00F11A18">
        <w:rPr>
          <w:sz w:val="20"/>
          <w:szCs w:val="20"/>
        </w:rPr>
        <w:t>W,</w:t>
      </w:r>
      <w:r w:rsidR="00B405E1" w:rsidRPr="00F11A18">
        <w:rPr>
          <w:sz w:val="20"/>
          <w:szCs w:val="20"/>
        </w:rPr>
        <w:t xml:space="preserve"> </w:t>
      </w:r>
      <w:r w:rsidRPr="00F11A18">
        <w:rPr>
          <w:sz w:val="20"/>
          <w:szCs w:val="20"/>
        </w:rPr>
        <w:t>Tang</w:t>
      </w:r>
      <w:r w:rsidR="00B405E1" w:rsidRPr="00F11A18">
        <w:rPr>
          <w:sz w:val="20"/>
          <w:szCs w:val="20"/>
        </w:rPr>
        <w:t xml:space="preserve"> </w:t>
      </w:r>
      <w:r w:rsidRPr="00F11A18">
        <w:rPr>
          <w:sz w:val="20"/>
          <w:szCs w:val="20"/>
        </w:rPr>
        <w:t>JL,</w:t>
      </w:r>
      <w:r w:rsidR="00B405E1" w:rsidRPr="00F11A18">
        <w:rPr>
          <w:sz w:val="20"/>
          <w:szCs w:val="20"/>
        </w:rPr>
        <w:t xml:space="preserve"> </w:t>
      </w:r>
      <w:r w:rsidRPr="00F11A18">
        <w:rPr>
          <w:sz w:val="20"/>
          <w:szCs w:val="20"/>
        </w:rPr>
        <w:t>Tien</w:t>
      </w:r>
      <w:r w:rsidR="00B405E1" w:rsidRPr="00F11A18">
        <w:rPr>
          <w:sz w:val="20"/>
          <w:szCs w:val="20"/>
        </w:rPr>
        <w:t xml:space="preserve"> </w:t>
      </w:r>
      <w:r w:rsidRPr="00F11A18">
        <w:rPr>
          <w:sz w:val="20"/>
          <w:szCs w:val="20"/>
        </w:rPr>
        <w:t>HF,</w:t>
      </w:r>
      <w:r w:rsidR="00B405E1" w:rsidRPr="00F11A18">
        <w:rPr>
          <w:sz w:val="20"/>
          <w:szCs w:val="20"/>
        </w:rPr>
        <w:t xml:space="preserve"> </w:t>
      </w:r>
      <w:r w:rsidRPr="00F11A18">
        <w:rPr>
          <w:sz w:val="20"/>
          <w:szCs w:val="20"/>
        </w:rPr>
        <w:t>Chen</w:t>
      </w:r>
      <w:r w:rsidR="00B405E1" w:rsidRPr="00F11A18">
        <w:rPr>
          <w:sz w:val="20"/>
          <w:szCs w:val="20"/>
        </w:rPr>
        <w:t xml:space="preserve"> </w:t>
      </w:r>
      <w:r w:rsidRPr="00F11A18">
        <w:rPr>
          <w:sz w:val="20"/>
          <w:szCs w:val="20"/>
        </w:rPr>
        <w:t>YC,</w:t>
      </w:r>
      <w:r w:rsidR="00B405E1" w:rsidRPr="00F11A18">
        <w:rPr>
          <w:sz w:val="20"/>
          <w:szCs w:val="20"/>
        </w:rPr>
        <w:t xml:space="preserve"> </w:t>
      </w:r>
      <w:r w:rsidRPr="00F11A18">
        <w:rPr>
          <w:sz w:val="20"/>
          <w:szCs w:val="20"/>
        </w:rPr>
        <w:t>Chang</w:t>
      </w:r>
      <w:r w:rsidR="00B405E1" w:rsidRPr="00F11A18">
        <w:rPr>
          <w:sz w:val="20"/>
          <w:szCs w:val="20"/>
        </w:rPr>
        <w:t xml:space="preserve"> </w:t>
      </w:r>
      <w:r w:rsidRPr="00F11A18">
        <w:rPr>
          <w:sz w:val="20"/>
          <w:szCs w:val="20"/>
        </w:rPr>
        <w:t>SC,</w:t>
      </w:r>
      <w:r w:rsidR="00B405E1" w:rsidRPr="00F11A18">
        <w:rPr>
          <w:sz w:val="20"/>
          <w:szCs w:val="20"/>
        </w:rPr>
        <w:t xml:space="preserve"> </w:t>
      </w:r>
      <w:r w:rsidRPr="00F11A18">
        <w:rPr>
          <w:sz w:val="20"/>
          <w:szCs w:val="20"/>
        </w:rPr>
        <w:t>Hsueh</w:t>
      </w:r>
      <w:r w:rsidR="00B405E1" w:rsidRPr="00F11A18">
        <w:rPr>
          <w:sz w:val="20"/>
          <w:szCs w:val="20"/>
        </w:rPr>
        <w:t xml:space="preserve"> </w:t>
      </w:r>
      <w:r w:rsidRPr="00F11A18">
        <w:rPr>
          <w:sz w:val="20"/>
          <w:szCs w:val="20"/>
        </w:rPr>
        <w:t>PR.</w:t>
      </w:r>
      <w:r w:rsidR="00B405E1" w:rsidRPr="00F11A18">
        <w:rPr>
          <w:sz w:val="20"/>
          <w:szCs w:val="20"/>
        </w:rPr>
        <w:t xml:space="preserve"> </w:t>
      </w:r>
      <w:r w:rsidRPr="00F11A18">
        <w:rPr>
          <w:sz w:val="20"/>
          <w:szCs w:val="20"/>
        </w:rPr>
        <w:t>Epidemiology</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bloodstream</w:t>
      </w:r>
      <w:r w:rsidR="00B405E1" w:rsidRPr="00F11A18">
        <w:rPr>
          <w:sz w:val="20"/>
          <w:szCs w:val="20"/>
        </w:rPr>
        <w:t xml:space="preserve"> </w:t>
      </w:r>
      <w:r w:rsidRPr="00F11A18">
        <w:rPr>
          <w:sz w:val="20"/>
          <w:szCs w:val="20"/>
        </w:rPr>
        <w:t>infections</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haematological</w:t>
      </w:r>
      <w:r w:rsidR="00B405E1" w:rsidRPr="00F11A18">
        <w:rPr>
          <w:sz w:val="20"/>
          <w:szCs w:val="20"/>
        </w:rPr>
        <w:t xml:space="preserve"> </w:t>
      </w:r>
      <w:r w:rsidRPr="00F11A18">
        <w:rPr>
          <w:sz w:val="20"/>
          <w:szCs w:val="20"/>
        </w:rPr>
        <w:t>malignancies</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without</w:t>
      </w:r>
      <w:r w:rsidR="00B405E1" w:rsidRPr="00F11A18">
        <w:rPr>
          <w:sz w:val="20"/>
          <w:szCs w:val="20"/>
        </w:rPr>
        <w:t xml:space="preserve"> </w:t>
      </w:r>
      <w:r w:rsidRPr="00F11A18">
        <w:rPr>
          <w:sz w:val="20"/>
          <w:szCs w:val="20"/>
        </w:rPr>
        <w:t>neutropenia.</w:t>
      </w:r>
      <w:r w:rsidR="00B405E1" w:rsidRPr="00F11A18">
        <w:rPr>
          <w:sz w:val="20"/>
          <w:szCs w:val="20"/>
        </w:rPr>
        <w:t xml:space="preserve"> </w:t>
      </w:r>
      <w:r w:rsidRPr="00F11A18">
        <w:rPr>
          <w:sz w:val="20"/>
          <w:szCs w:val="20"/>
        </w:rPr>
        <w:t>Epidemiol</w:t>
      </w:r>
      <w:r w:rsidR="00B405E1" w:rsidRPr="00F11A18">
        <w:rPr>
          <w:sz w:val="20"/>
          <w:szCs w:val="20"/>
        </w:rPr>
        <w:t xml:space="preserve"> </w:t>
      </w:r>
      <w:r w:rsidRPr="00F11A18">
        <w:rPr>
          <w:sz w:val="20"/>
          <w:szCs w:val="20"/>
        </w:rPr>
        <w:t>Infect.</w:t>
      </w:r>
      <w:r w:rsidR="00F11A18">
        <w:rPr>
          <w:rFonts w:eastAsiaTheme="minorEastAsia" w:hint="eastAsia"/>
          <w:sz w:val="20"/>
          <w:szCs w:val="20"/>
          <w:lang w:eastAsia="zh-CN"/>
        </w:rPr>
        <w:t xml:space="preserve"> </w:t>
      </w:r>
      <w:r w:rsidRPr="00F11A18">
        <w:rPr>
          <w:sz w:val="20"/>
          <w:szCs w:val="20"/>
        </w:rPr>
        <w:t>2010;</w:t>
      </w:r>
      <w:r w:rsidR="00F11A18">
        <w:rPr>
          <w:rFonts w:eastAsiaTheme="minorEastAsia" w:hint="eastAsia"/>
          <w:sz w:val="20"/>
          <w:szCs w:val="20"/>
          <w:lang w:eastAsia="zh-CN"/>
        </w:rPr>
        <w:t xml:space="preserve"> </w:t>
      </w:r>
      <w:r w:rsidRPr="00F11A18">
        <w:rPr>
          <w:sz w:val="20"/>
          <w:szCs w:val="20"/>
        </w:rPr>
        <w:t>138(7):1044–51.</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Mohsen</w:t>
      </w:r>
      <w:r w:rsidR="00B405E1" w:rsidRPr="00F11A18">
        <w:rPr>
          <w:sz w:val="20"/>
          <w:szCs w:val="20"/>
        </w:rPr>
        <w:t xml:space="preserve"> </w:t>
      </w:r>
      <w:r w:rsidRPr="00F11A18">
        <w:rPr>
          <w:sz w:val="20"/>
          <w:szCs w:val="20"/>
        </w:rPr>
        <w:t>Meidani,</w:t>
      </w:r>
      <w:r w:rsidR="00B405E1" w:rsidRPr="00F11A18">
        <w:rPr>
          <w:sz w:val="20"/>
          <w:szCs w:val="20"/>
        </w:rPr>
        <w:t xml:space="preserve"> </w:t>
      </w:r>
      <w:r w:rsidRPr="00F11A18">
        <w:rPr>
          <w:sz w:val="20"/>
          <w:szCs w:val="20"/>
        </w:rPr>
        <w:t>Ahmad</w:t>
      </w:r>
      <w:r w:rsidR="00B405E1" w:rsidRPr="00F11A18">
        <w:rPr>
          <w:sz w:val="20"/>
          <w:szCs w:val="20"/>
        </w:rPr>
        <w:t xml:space="preserve"> </w:t>
      </w:r>
      <w:r w:rsidRPr="00F11A18">
        <w:rPr>
          <w:sz w:val="20"/>
          <w:szCs w:val="20"/>
        </w:rPr>
        <w:t>Bagheri,</w:t>
      </w:r>
      <w:r w:rsidR="00B405E1" w:rsidRPr="00F11A18">
        <w:rPr>
          <w:sz w:val="20"/>
          <w:szCs w:val="20"/>
        </w:rPr>
        <w:t xml:space="preserve"> </w:t>
      </w:r>
      <w:r w:rsidRPr="00F11A18">
        <w:rPr>
          <w:sz w:val="20"/>
          <w:szCs w:val="20"/>
        </w:rPr>
        <w:t>Farzi</w:t>
      </w:r>
      <w:r w:rsidR="009A440F" w:rsidRPr="00F11A18">
        <w:rPr>
          <w:sz w:val="20"/>
          <w:szCs w:val="20"/>
        </w:rPr>
        <w:t>n K</w:t>
      </w:r>
      <w:r w:rsidRPr="00F11A18">
        <w:rPr>
          <w:sz w:val="20"/>
          <w:szCs w:val="20"/>
        </w:rPr>
        <w:t>horvash.</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Population</w:t>
      </w:r>
      <w:r w:rsidR="00B405E1" w:rsidRPr="00F11A18">
        <w:rPr>
          <w:sz w:val="20"/>
          <w:szCs w:val="20"/>
        </w:rPr>
        <w:t xml:space="preserve"> </w:t>
      </w:r>
      <w:r w:rsidRPr="00F11A18">
        <w:rPr>
          <w:sz w:val="20"/>
          <w:szCs w:val="20"/>
        </w:rPr>
        <w:t>Based</w:t>
      </w:r>
      <w:r w:rsidR="00B405E1" w:rsidRPr="00F11A18">
        <w:rPr>
          <w:sz w:val="20"/>
          <w:szCs w:val="20"/>
        </w:rPr>
        <w:t xml:space="preserve"> </w:t>
      </w:r>
      <w:r w:rsidRPr="00F11A18">
        <w:rPr>
          <w:sz w:val="20"/>
          <w:szCs w:val="20"/>
        </w:rPr>
        <w:t>Study</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Bacterial</w:t>
      </w:r>
      <w:r w:rsidR="00B405E1" w:rsidRPr="00F11A18">
        <w:rPr>
          <w:sz w:val="20"/>
          <w:szCs w:val="20"/>
        </w:rPr>
        <w:t xml:space="preserve"> </w:t>
      </w:r>
      <w:r w:rsidRPr="00F11A18">
        <w:rPr>
          <w:sz w:val="20"/>
          <w:szCs w:val="20"/>
        </w:rPr>
        <w:t>Spectrum</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Febrile</w:t>
      </w:r>
      <w:r w:rsidR="00B405E1" w:rsidRPr="00F11A18">
        <w:rPr>
          <w:sz w:val="20"/>
          <w:szCs w:val="20"/>
        </w:rPr>
        <w:t xml:space="preserve"> </w:t>
      </w:r>
      <w:r w:rsidRPr="00F11A18">
        <w:rPr>
          <w:sz w:val="20"/>
          <w:szCs w:val="20"/>
        </w:rPr>
        <w:t>Neutropenic</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Jundishapur</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Microbiol2013;6:150–6.</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Wisplinghoff</w:t>
      </w:r>
      <w:r w:rsidR="00B405E1" w:rsidRPr="00F11A18">
        <w:rPr>
          <w:sz w:val="20"/>
          <w:szCs w:val="20"/>
        </w:rPr>
        <w:t xml:space="preserve"> </w:t>
      </w:r>
      <w:r w:rsidRPr="00F11A18">
        <w:rPr>
          <w:sz w:val="20"/>
          <w:szCs w:val="20"/>
        </w:rPr>
        <w:t>H,</w:t>
      </w:r>
      <w:r w:rsidR="00B405E1" w:rsidRPr="00F11A18">
        <w:rPr>
          <w:sz w:val="20"/>
          <w:szCs w:val="20"/>
        </w:rPr>
        <w:t xml:space="preserve"> </w:t>
      </w:r>
      <w:r w:rsidRPr="00F11A18">
        <w:rPr>
          <w:sz w:val="20"/>
          <w:szCs w:val="20"/>
        </w:rPr>
        <w:t>Seifert</w:t>
      </w:r>
      <w:r w:rsidR="00B405E1" w:rsidRPr="00F11A18">
        <w:rPr>
          <w:sz w:val="20"/>
          <w:szCs w:val="20"/>
        </w:rPr>
        <w:t xml:space="preserve"> </w:t>
      </w:r>
      <w:r w:rsidRPr="00F11A18">
        <w:rPr>
          <w:sz w:val="20"/>
          <w:szCs w:val="20"/>
        </w:rPr>
        <w:t>H,</w:t>
      </w:r>
      <w:r w:rsidR="00B405E1" w:rsidRPr="00F11A18">
        <w:rPr>
          <w:sz w:val="20"/>
          <w:szCs w:val="20"/>
        </w:rPr>
        <w:t xml:space="preserve"> </w:t>
      </w:r>
      <w:r w:rsidRPr="00F11A18">
        <w:rPr>
          <w:sz w:val="20"/>
          <w:szCs w:val="20"/>
        </w:rPr>
        <w:t>Wenzel</w:t>
      </w:r>
      <w:r w:rsidR="00B405E1" w:rsidRPr="00F11A18">
        <w:rPr>
          <w:sz w:val="20"/>
          <w:szCs w:val="20"/>
        </w:rPr>
        <w:t xml:space="preserve"> </w:t>
      </w:r>
      <w:r w:rsidRPr="00F11A18">
        <w:rPr>
          <w:sz w:val="20"/>
          <w:szCs w:val="20"/>
        </w:rPr>
        <w:t>RP,</w:t>
      </w:r>
      <w:r w:rsidR="00B405E1" w:rsidRPr="00F11A18">
        <w:rPr>
          <w:sz w:val="20"/>
          <w:szCs w:val="20"/>
        </w:rPr>
        <w:t xml:space="preserve"> </w:t>
      </w:r>
      <w:r w:rsidRPr="00F11A18">
        <w:rPr>
          <w:sz w:val="20"/>
          <w:szCs w:val="20"/>
        </w:rPr>
        <w:t>Edmond</w:t>
      </w:r>
      <w:r w:rsidR="00B405E1" w:rsidRPr="00F11A18">
        <w:rPr>
          <w:sz w:val="20"/>
          <w:szCs w:val="20"/>
        </w:rPr>
        <w:t xml:space="preserve"> </w:t>
      </w:r>
      <w:r w:rsidRPr="00F11A18">
        <w:rPr>
          <w:sz w:val="20"/>
          <w:szCs w:val="20"/>
        </w:rPr>
        <w:t>MB.</w:t>
      </w:r>
      <w:r w:rsidR="00B405E1" w:rsidRPr="00F11A18">
        <w:rPr>
          <w:sz w:val="20"/>
          <w:szCs w:val="20"/>
        </w:rPr>
        <w:t xml:space="preserve"> </w:t>
      </w:r>
      <w:r w:rsidRPr="00F11A18">
        <w:rPr>
          <w:sz w:val="20"/>
          <w:szCs w:val="20"/>
        </w:rPr>
        <w:t>Current</w:t>
      </w:r>
      <w:r w:rsidR="00B405E1" w:rsidRPr="00F11A18">
        <w:rPr>
          <w:sz w:val="20"/>
          <w:szCs w:val="20"/>
        </w:rPr>
        <w:t xml:space="preserve"> </w:t>
      </w:r>
      <w:r w:rsidRPr="00F11A18">
        <w:rPr>
          <w:sz w:val="20"/>
          <w:szCs w:val="20"/>
        </w:rPr>
        <w:t>trends</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epidemiology</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nosocomial</w:t>
      </w:r>
      <w:r w:rsidR="00B405E1" w:rsidRPr="00F11A18">
        <w:rPr>
          <w:sz w:val="20"/>
          <w:szCs w:val="20"/>
        </w:rPr>
        <w:t xml:space="preserve"> </w:t>
      </w:r>
      <w:r w:rsidRPr="00F11A18">
        <w:rPr>
          <w:sz w:val="20"/>
          <w:szCs w:val="20"/>
        </w:rPr>
        <w:t>bloodstream</w:t>
      </w:r>
      <w:r w:rsidR="00B405E1" w:rsidRPr="00F11A18">
        <w:rPr>
          <w:sz w:val="20"/>
          <w:szCs w:val="20"/>
        </w:rPr>
        <w:t xml:space="preserve"> </w:t>
      </w:r>
      <w:r w:rsidRPr="00F11A18">
        <w:rPr>
          <w:sz w:val="20"/>
          <w:szCs w:val="20"/>
        </w:rPr>
        <w:t>infections</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hematological</w:t>
      </w:r>
      <w:r w:rsidR="00B405E1" w:rsidRPr="00F11A18">
        <w:rPr>
          <w:sz w:val="20"/>
          <w:szCs w:val="20"/>
        </w:rPr>
        <w:t xml:space="preserve"> </w:t>
      </w:r>
      <w:r w:rsidRPr="00F11A18">
        <w:rPr>
          <w:sz w:val="20"/>
          <w:szCs w:val="20"/>
        </w:rPr>
        <w:t>malignancies</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solid</w:t>
      </w:r>
      <w:r w:rsidR="00B405E1" w:rsidRPr="00F11A18">
        <w:rPr>
          <w:sz w:val="20"/>
          <w:szCs w:val="20"/>
        </w:rPr>
        <w:t xml:space="preserve"> </w:t>
      </w:r>
      <w:r w:rsidRPr="00F11A18">
        <w:rPr>
          <w:sz w:val="20"/>
          <w:szCs w:val="20"/>
        </w:rPr>
        <w:t>neoplasms</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hospitals</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United</w:t>
      </w:r>
      <w:r w:rsidR="00B405E1" w:rsidRPr="00F11A18">
        <w:rPr>
          <w:sz w:val="20"/>
          <w:szCs w:val="20"/>
        </w:rPr>
        <w:t xml:space="preserve"> </w:t>
      </w:r>
      <w:r w:rsidRPr="00F11A18">
        <w:rPr>
          <w:sz w:val="20"/>
          <w:szCs w:val="20"/>
        </w:rPr>
        <w:t>States.</w:t>
      </w:r>
      <w:r w:rsidR="00B405E1" w:rsidRPr="00F11A18">
        <w:rPr>
          <w:sz w:val="20"/>
          <w:szCs w:val="20"/>
        </w:rPr>
        <w:t xml:space="preserve"> </w:t>
      </w:r>
      <w:r w:rsidRPr="00F11A18">
        <w:rPr>
          <w:sz w:val="20"/>
          <w:szCs w:val="20"/>
        </w:rPr>
        <w:t>Clin</w:t>
      </w:r>
      <w:r w:rsidR="00B405E1" w:rsidRPr="00F11A18">
        <w:rPr>
          <w:sz w:val="20"/>
          <w:szCs w:val="20"/>
        </w:rPr>
        <w:t xml:space="preserve"> </w:t>
      </w:r>
      <w:r w:rsidRPr="00F11A18">
        <w:rPr>
          <w:sz w:val="20"/>
          <w:szCs w:val="20"/>
        </w:rPr>
        <w:t>Infect</w:t>
      </w:r>
      <w:r w:rsidR="00B405E1" w:rsidRPr="00F11A18">
        <w:rPr>
          <w:sz w:val="20"/>
          <w:szCs w:val="20"/>
        </w:rPr>
        <w:t xml:space="preserve"> </w:t>
      </w:r>
      <w:r w:rsidRPr="00F11A18">
        <w:rPr>
          <w:sz w:val="20"/>
          <w:szCs w:val="20"/>
        </w:rPr>
        <w:t>Dis</w:t>
      </w:r>
      <w:r w:rsidR="00B405E1" w:rsidRPr="00F11A18">
        <w:rPr>
          <w:sz w:val="20"/>
          <w:szCs w:val="20"/>
        </w:rPr>
        <w:t xml:space="preserve"> </w:t>
      </w:r>
      <w:r w:rsidRPr="00F11A18">
        <w:rPr>
          <w:sz w:val="20"/>
          <w:szCs w:val="20"/>
        </w:rPr>
        <w:t>2003;36(9):1103–10.</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Tumbarello</w:t>
      </w:r>
      <w:r w:rsidR="00B405E1" w:rsidRPr="00F11A18">
        <w:rPr>
          <w:sz w:val="20"/>
          <w:szCs w:val="20"/>
        </w:rPr>
        <w:t xml:space="preserve"> </w:t>
      </w:r>
      <w:r w:rsidRPr="00F11A18">
        <w:rPr>
          <w:sz w:val="20"/>
          <w:szCs w:val="20"/>
        </w:rPr>
        <w:t>M,</w:t>
      </w:r>
      <w:r w:rsidR="00B405E1" w:rsidRPr="00F11A18">
        <w:rPr>
          <w:sz w:val="20"/>
          <w:szCs w:val="20"/>
        </w:rPr>
        <w:t xml:space="preserve"> </w:t>
      </w:r>
      <w:r w:rsidRPr="00F11A18">
        <w:rPr>
          <w:sz w:val="20"/>
          <w:szCs w:val="20"/>
        </w:rPr>
        <w:t>Viale</w:t>
      </w:r>
      <w:r w:rsidR="00B405E1" w:rsidRPr="00F11A18">
        <w:rPr>
          <w:sz w:val="20"/>
          <w:szCs w:val="20"/>
        </w:rPr>
        <w:t xml:space="preserve"> </w:t>
      </w:r>
      <w:r w:rsidRPr="00F11A18">
        <w:rPr>
          <w:sz w:val="20"/>
          <w:szCs w:val="20"/>
        </w:rPr>
        <w:t>P,</w:t>
      </w:r>
      <w:r w:rsidR="00B405E1" w:rsidRPr="00F11A18">
        <w:rPr>
          <w:sz w:val="20"/>
          <w:szCs w:val="20"/>
        </w:rPr>
        <w:t xml:space="preserve"> </w:t>
      </w:r>
      <w:r w:rsidRPr="00F11A18">
        <w:rPr>
          <w:sz w:val="20"/>
          <w:szCs w:val="20"/>
        </w:rPr>
        <w:t>Viscoli</w:t>
      </w:r>
      <w:r w:rsidR="00B405E1" w:rsidRPr="00F11A18">
        <w:rPr>
          <w:sz w:val="20"/>
          <w:szCs w:val="20"/>
        </w:rPr>
        <w:t xml:space="preserve"> </w:t>
      </w:r>
      <w:r w:rsidRPr="00F11A18">
        <w:rPr>
          <w:sz w:val="20"/>
          <w:szCs w:val="20"/>
        </w:rPr>
        <w:t>C,</w:t>
      </w:r>
      <w:r w:rsidR="00B405E1" w:rsidRPr="00F11A18">
        <w:rPr>
          <w:sz w:val="20"/>
          <w:szCs w:val="20"/>
        </w:rPr>
        <w:t xml:space="preserve"> </w:t>
      </w:r>
      <w:r w:rsidRPr="00F11A18">
        <w:rPr>
          <w:sz w:val="20"/>
          <w:szCs w:val="20"/>
        </w:rPr>
        <w:t>Trecarichi</w:t>
      </w:r>
      <w:r w:rsidR="00B405E1" w:rsidRPr="00F11A18">
        <w:rPr>
          <w:sz w:val="20"/>
          <w:szCs w:val="20"/>
        </w:rPr>
        <w:t xml:space="preserve"> </w:t>
      </w:r>
      <w:r w:rsidRPr="00F11A18">
        <w:rPr>
          <w:sz w:val="20"/>
          <w:szCs w:val="20"/>
        </w:rPr>
        <w:t>EM,</w:t>
      </w:r>
      <w:r w:rsidR="00B405E1" w:rsidRPr="00F11A18">
        <w:rPr>
          <w:sz w:val="20"/>
          <w:szCs w:val="20"/>
        </w:rPr>
        <w:t xml:space="preserve"> </w:t>
      </w:r>
      <w:r w:rsidRPr="00F11A18">
        <w:rPr>
          <w:sz w:val="20"/>
          <w:szCs w:val="20"/>
        </w:rPr>
        <w:t>Tumietto</w:t>
      </w:r>
      <w:r w:rsidR="00B405E1" w:rsidRPr="00F11A18">
        <w:rPr>
          <w:sz w:val="20"/>
          <w:szCs w:val="20"/>
        </w:rPr>
        <w:t xml:space="preserve"> </w:t>
      </w:r>
      <w:r w:rsidRPr="00F11A18">
        <w:rPr>
          <w:sz w:val="20"/>
          <w:szCs w:val="20"/>
        </w:rPr>
        <w:t>F,</w:t>
      </w:r>
      <w:r w:rsidR="00B405E1" w:rsidRPr="00F11A18">
        <w:rPr>
          <w:sz w:val="20"/>
          <w:szCs w:val="20"/>
        </w:rPr>
        <w:t xml:space="preserve"> </w:t>
      </w:r>
      <w:r w:rsidRPr="00F11A18">
        <w:rPr>
          <w:sz w:val="20"/>
          <w:szCs w:val="20"/>
        </w:rPr>
        <w:t>Marchese</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et</w:t>
      </w:r>
      <w:r w:rsidR="00B405E1" w:rsidRPr="00F11A18">
        <w:rPr>
          <w:sz w:val="20"/>
          <w:szCs w:val="20"/>
        </w:rPr>
        <w:t xml:space="preserve"> </w:t>
      </w:r>
      <w:r w:rsidRPr="00F11A18">
        <w:rPr>
          <w:sz w:val="20"/>
          <w:szCs w:val="20"/>
        </w:rPr>
        <w:t>al.</w:t>
      </w:r>
      <w:r w:rsidR="00B405E1" w:rsidRPr="00F11A18">
        <w:rPr>
          <w:sz w:val="20"/>
          <w:szCs w:val="20"/>
        </w:rPr>
        <w:t xml:space="preserve"> </w:t>
      </w:r>
      <w:r w:rsidRPr="00F11A18">
        <w:rPr>
          <w:sz w:val="20"/>
          <w:szCs w:val="20"/>
        </w:rPr>
        <w:t>Predictors</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mortality</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bloodstream</w:t>
      </w:r>
      <w:r w:rsidR="00B405E1" w:rsidRPr="00F11A18">
        <w:rPr>
          <w:sz w:val="20"/>
          <w:szCs w:val="20"/>
        </w:rPr>
        <w:t xml:space="preserve"> </w:t>
      </w:r>
      <w:r w:rsidRPr="00F11A18">
        <w:rPr>
          <w:sz w:val="20"/>
          <w:szCs w:val="20"/>
        </w:rPr>
        <w:t>infections</w:t>
      </w:r>
      <w:r w:rsidR="00B405E1" w:rsidRPr="00F11A18">
        <w:rPr>
          <w:sz w:val="20"/>
          <w:szCs w:val="20"/>
        </w:rPr>
        <w:t xml:space="preserve"> </w:t>
      </w:r>
      <w:r w:rsidRPr="00F11A18">
        <w:rPr>
          <w:sz w:val="20"/>
          <w:szCs w:val="20"/>
        </w:rPr>
        <w:t>caused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Klebsiellapneumoniae</w:t>
      </w:r>
      <w:r w:rsidR="00F11A18">
        <w:rPr>
          <w:rFonts w:eastAsiaTheme="minorEastAsia" w:hint="eastAsia"/>
          <w:sz w:val="20"/>
          <w:szCs w:val="20"/>
          <w:lang w:eastAsia="zh-CN"/>
        </w:rPr>
        <w:t xml:space="preserve"> </w:t>
      </w:r>
      <w:r w:rsidRPr="00F11A18">
        <w:rPr>
          <w:sz w:val="20"/>
          <w:szCs w:val="20"/>
        </w:rPr>
        <w:t>carbapenemase-</w:t>
      </w:r>
      <w:r w:rsidR="00B405E1" w:rsidRPr="00F11A18">
        <w:rPr>
          <w:sz w:val="20"/>
          <w:szCs w:val="20"/>
        </w:rPr>
        <w:t xml:space="preserve"> </w:t>
      </w:r>
      <w:r w:rsidRPr="00F11A18">
        <w:rPr>
          <w:sz w:val="20"/>
          <w:szCs w:val="20"/>
        </w:rPr>
        <w:t>producing</w:t>
      </w:r>
      <w:r w:rsidR="00B405E1" w:rsidRPr="00F11A18">
        <w:rPr>
          <w:sz w:val="20"/>
          <w:szCs w:val="20"/>
        </w:rPr>
        <w:t xml:space="preserve"> </w:t>
      </w:r>
      <w:r w:rsidRPr="00F11A18">
        <w:rPr>
          <w:sz w:val="20"/>
          <w:szCs w:val="20"/>
        </w:rPr>
        <w:t>K.</w:t>
      </w:r>
      <w:r w:rsidR="00B405E1" w:rsidRPr="00F11A18">
        <w:rPr>
          <w:sz w:val="20"/>
          <w:szCs w:val="20"/>
        </w:rPr>
        <w:t xml:space="preserve"> </w:t>
      </w:r>
      <w:r w:rsidRPr="00F11A18">
        <w:rPr>
          <w:sz w:val="20"/>
          <w:szCs w:val="20"/>
        </w:rPr>
        <w:t>pneumoniae:</w:t>
      </w:r>
      <w:r w:rsidR="00B405E1" w:rsidRPr="00F11A18">
        <w:rPr>
          <w:sz w:val="20"/>
          <w:szCs w:val="20"/>
        </w:rPr>
        <w:t xml:space="preserve"> </w:t>
      </w:r>
      <w:r w:rsidRPr="00F11A18">
        <w:rPr>
          <w:sz w:val="20"/>
          <w:szCs w:val="20"/>
        </w:rPr>
        <w:t>importance</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combination</w:t>
      </w:r>
      <w:r w:rsidR="00B405E1" w:rsidRPr="00F11A18">
        <w:rPr>
          <w:sz w:val="20"/>
          <w:szCs w:val="20"/>
        </w:rPr>
        <w:t xml:space="preserve"> </w:t>
      </w:r>
      <w:r w:rsidRPr="00F11A18">
        <w:rPr>
          <w:sz w:val="20"/>
          <w:szCs w:val="20"/>
        </w:rPr>
        <w:t>therapy.</w:t>
      </w:r>
      <w:r w:rsidR="00B405E1" w:rsidRPr="00F11A18">
        <w:rPr>
          <w:sz w:val="20"/>
          <w:szCs w:val="20"/>
        </w:rPr>
        <w:t xml:space="preserve"> </w:t>
      </w:r>
      <w:r w:rsidRPr="00F11A18">
        <w:rPr>
          <w:sz w:val="20"/>
          <w:szCs w:val="20"/>
        </w:rPr>
        <w:t>Clin</w:t>
      </w:r>
      <w:r w:rsidR="00B405E1" w:rsidRPr="00F11A18">
        <w:rPr>
          <w:sz w:val="20"/>
          <w:szCs w:val="20"/>
        </w:rPr>
        <w:t xml:space="preserve"> </w:t>
      </w:r>
      <w:r w:rsidRPr="00F11A18">
        <w:rPr>
          <w:sz w:val="20"/>
          <w:szCs w:val="20"/>
        </w:rPr>
        <w:t>Infect</w:t>
      </w:r>
      <w:r w:rsidR="00B405E1" w:rsidRPr="00F11A18">
        <w:rPr>
          <w:sz w:val="20"/>
          <w:szCs w:val="20"/>
        </w:rPr>
        <w:t xml:space="preserve"> </w:t>
      </w:r>
      <w:r w:rsidRPr="00F11A18">
        <w:rPr>
          <w:sz w:val="20"/>
          <w:szCs w:val="20"/>
        </w:rPr>
        <w:t>Dis</w:t>
      </w:r>
      <w:r w:rsidR="00B405E1" w:rsidRPr="00F11A18">
        <w:rPr>
          <w:sz w:val="20"/>
          <w:szCs w:val="20"/>
        </w:rPr>
        <w:t xml:space="preserve"> </w:t>
      </w:r>
      <w:r w:rsidRPr="00F11A18">
        <w:rPr>
          <w:sz w:val="20"/>
          <w:szCs w:val="20"/>
        </w:rPr>
        <w:lastRenderedPageBreak/>
        <w:t>2012;55(7):943–</w:t>
      </w:r>
      <w:r w:rsidR="00B405E1" w:rsidRPr="00F11A18">
        <w:rPr>
          <w:sz w:val="20"/>
          <w:szCs w:val="20"/>
        </w:rPr>
        <w:t xml:space="preserve"> </w:t>
      </w:r>
      <w:r w:rsidRPr="00F11A18">
        <w:rPr>
          <w:sz w:val="20"/>
          <w:szCs w:val="20"/>
        </w:rPr>
        <w:t>50.</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Montassier</w:t>
      </w:r>
      <w:r w:rsidR="00B405E1" w:rsidRPr="00F11A18">
        <w:rPr>
          <w:sz w:val="20"/>
          <w:szCs w:val="20"/>
        </w:rPr>
        <w:t xml:space="preserve"> </w:t>
      </w:r>
      <w:r w:rsidRPr="00F11A18">
        <w:rPr>
          <w:sz w:val="20"/>
          <w:szCs w:val="20"/>
        </w:rPr>
        <w:t>E,</w:t>
      </w:r>
      <w:r w:rsidR="00B405E1" w:rsidRPr="00F11A18">
        <w:rPr>
          <w:sz w:val="20"/>
          <w:szCs w:val="20"/>
        </w:rPr>
        <w:t xml:space="preserve"> </w:t>
      </w:r>
      <w:r w:rsidRPr="00F11A18">
        <w:rPr>
          <w:sz w:val="20"/>
          <w:szCs w:val="20"/>
        </w:rPr>
        <w:t>Batard</w:t>
      </w:r>
      <w:r w:rsidR="00B405E1" w:rsidRPr="00F11A18">
        <w:rPr>
          <w:sz w:val="20"/>
          <w:szCs w:val="20"/>
        </w:rPr>
        <w:t xml:space="preserve"> </w:t>
      </w:r>
      <w:r w:rsidRPr="00F11A18">
        <w:rPr>
          <w:sz w:val="20"/>
          <w:szCs w:val="20"/>
        </w:rPr>
        <w:t>E,</w:t>
      </w:r>
      <w:r w:rsidR="00B405E1" w:rsidRPr="00F11A18">
        <w:rPr>
          <w:sz w:val="20"/>
          <w:szCs w:val="20"/>
        </w:rPr>
        <w:t xml:space="preserve"> </w:t>
      </w:r>
      <w:r w:rsidRPr="00F11A18">
        <w:rPr>
          <w:sz w:val="20"/>
          <w:szCs w:val="20"/>
        </w:rPr>
        <w:t>Gastinne</w:t>
      </w:r>
      <w:r w:rsidR="00B405E1" w:rsidRPr="00F11A18">
        <w:rPr>
          <w:sz w:val="20"/>
          <w:szCs w:val="20"/>
        </w:rPr>
        <w:t xml:space="preserve"> </w:t>
      </w:r>
      <w:r w:rsidRPr="00F11A18">
        <w:rPr>
          <w:sz w:val="20"/>
          <w:szCs w:val="20"/>
        </w:rPr>
        <w:t>T,</w:t>
      </w:r>
      <w:r w:rsidR="00B405E1" w:rsidRPr="00F11A18">
        <w:rPr>
          <w:sz w:val="20"/>
          <w:szCs w:val="20"/>
        </w:rPr>
        <w:t xml:space="preserve"> </w:t>
      </w:r>
      <w:r w:rsidRPr="00F11A18">
        <w:rPr>
          <w:sz w:val="20"/>
          <w:szCs w:val="20"/>
        </w:rPr>
        <w:t>Potel</w:t>
      </w:r>
      <w:r w:rsidR="00B405E1" w:rsidRPr="00F11A18">
        <w:rPr>
          <w:sz w:val="20"/>
          <w:szCs w:val="20"/>
        </w:rPr>
        <w:t xml:space="preserve"> </w:t>
      </w:r>
      <w:r w:rsidRPr="00F11A18">
        <w:rPr>
          <w:sz w:val="20"/>
          <w:szCs w:val="20"/>
        </w:rPr>
        <w:t>G</w:t>
      </w:r>
      <w:r w:rsidR="00B41B23" w:rsidRPr="00F11A18">
        <w:rPr>
          <w:sz w:val="20"/>
          <w:szCs w:val="20"/>
        </w:rPr>
        <w:t>, d</w:t>
      </w:r>
      <w:r w:rsidRPr="00F11A18">
        <w:rPr>
          <w:sz w:val="20"/>
          <w:szCs w:val="20"/>
        </w:rPr>
        <w:t>e</w:t>
      </w:r>
      <w:r w:rsidR="00B405E1" w:rsidRPr="00F11A18">
        <w:rPr>
          <w:sz w:val="20"/>
          <w:szCs w:val="20"/>
        </w:rPr>
        <w:t xml:space="preserve"> </w:t>
      </w:r>
      <w:r w:rsidRPr="00F11A18">
        <w:rPr>
          <w:sz w:val="20"/>
          <w:szCs w:val="20"/>
        </w:rPr>
        <w:t>La</w:t>
      </w:r>
      <w:r w:rsidR="00B405E1" w:rsidRPr="00F11A18">
        <w:rPr>
          <w:sz w:val="20"/>
          <w:szCs w:val="20"/>
        </w:rPr>
        <w:t xml:space="preserve"> </w:t>
      </w:r>
      <w:r w:rsidRPr="00F11A18">
        <w:rPr>
          <w:sz w:val="20"/>
          <w:szCs w:val="20"/>
        </w:rPr>
        <w:t>Cochetière</w:t>
      </w:r>
      <w:r w:rsidR="00B405E1" w:rsidRPr="00F11A18">
        <w:rPr>
          <w:sz w:val="20"/>
          <w:szCs w:val="20"/>
        </w:rPr>
        <w:t xml:space="preserve"> </w:t>
      </w:r>
      <w:r w:rsidRPr="00F11A18">
        <w:rPr>
          <w:sz w:val="20"/>
          <w:szCs w:val="20"/>
        </w:rPr>
        <w:t>MF</w:t>
      </w:r>
      <w:r w:rsidR="00B41B23" w:rsidRPr="00F11A18">
        <w:rPr>
          <w:sz w:val="20"/>
          <w:szCs w:val="20"/>
        </w:rPr>
        <w:t>. R</w:t>
      </w:r>
      <w:r w:rsidRPr="00F11A18">
        <w:rPr>
          <w:sz w:val="20"/>
          <w:szCs w:val="20"/>
        </w:rPr>
        <w:t>ecent</w:t>
      </w:r>
      <w:r w:rsidR="00B405E1" w:rsidRPr="00F11A18">
        <w:rPr>
          <w:sz w:val="20"/>
          <w:szCs w:val="20"/>
        </w:rPr>
        <w:t xml:space="preserve"> </w:t>
      </w:r>
      <w:r w:rsidRPr="00F11A18">
        <w:rPr>
          <w:sz w:val="20"/>
          <w:szCs w:val="20"/>
        </w:rPr>
        <w:t>changes</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bacteremia</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cancer:</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systematic</w:t>
      </w:r>
      <w:r w:rsidR="00B405E1" w:rsidRPr="00F11A18">
        <w:rPr>
          <w:sz w:val="20"/>
          <w:szCs w:val="20"/>
        </w:rPr>
        <w:t xml:space="preserve"> </w:t>
      </w:r>
      <w:r w:rsidRPr="00F11A18">
        <w:rPr>
          <w:sz w:val="20"/>
          <w:szCs w:val="20"/>
        </w:rPr>
        <w:t>review</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epidemiology</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antibiotic</w:t>
      </w:r>
      <w:r w:rsidR="00B405E1" w:rsidRPr="00F11A18">
        <w:rPr>
          <w:sz w:val="20"/>
          <w:szCs w:val="20"/>
        </w:rPr>
        <w:t xml:space="preserve"> </w:t>
      </w:r>
      <w:r w:rsidRPr="00F11A18">
        <w:rPr>
          <w:sz w:val="20"/>
          <w:szCs w:val="20"/>
        </w:rPr>
        <w:t>resistance.</w:t>
      </w:r>
      <w:r w:rsidR="00B405E1" w:rsidRPr="00F11A18">
        <w:rPr>
          <w:sz w:val="20"/>
          <w:szCs w:val="20"/>
        </w:rPr>
        <w:t xml:space="preserve"> </w:t>
      </w:r>
      <w:r w:rsidRPr="00F11A18">
        <w:rPr>
          <w:sz w:val="20"/>
          <w:szCs w:val="20"/>
        </w:rPr>
        <w:t>Eur</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Cli</w:t>
      </w:r>
      <w:r w:rsidR="009A440F" w:rsidRPr="00F11A18">
        <w:rPr>
          <w:sz w:val="20"/>
          <w:szCs w:val="20"/>
        </w:rPr>
        <w:t>n M</w:t>
      </w:r>
      <w:r w:rsidRPr="00F11A18">
        <w:rPr>
          <w:sz w:val="20"/>
          <w:szCs w:val="20"/>
        </w:rPr>
        <w:t>icrobiol</w:t>
      </w:r>
      <w:r w:rsidR="00B405E1" w:rsidRPr="00F11A18">
        <w:rPr>
          <w:sz w:val="20"/>
          <w:szCs w:val="20"/>
        </w:rPr>
        <w:t xml:space="preserve"> </w:t>
      </w:r>
      <w:r w:rsidRPr="00F11A18">
        <w:rPr>
          <w:sz w:val="20"/>
          <w:szCs w:val="20"/>
        </w:rPr>
        <w:t>Infect</w:t>
      </w:r>
      <w:r w:rsidR="00B405E1" w:rsidRPr="00F11A18">
        <w:rPr>
          <w:sz w:val="20"/>
          <w:szCs w:val="20"/>
        </w:rPr>
        <w:t xml:space="preserve"> </w:t>
      </w:r>
      <w:r w:rsidRPr="00F11A18">
        <w:rPr>
          <w:sz w:val="20"/>
          <w:szCs w:val="20"/>
        </w:rPr>
        <w:t>Dis</w:t>
      </w:r>
      <w:r w:rsidR="00B405E1" w:rsidRPr="00F11A18">
        <w:rPr>
          <w:sz w:val="20"/>
          <w:szCs w:val="20"/>
        </w:rPr>
        <w:t xml:space="preserve"> </w:t>
      </w:r>
      <w:r w:rsidRPr="00F11A18">
        <w:rPr>
          <w:sz w:val="20"/>
          <w:szCs w:val="20"/>
        </w:rPr>
        <w:t>2013;32(7):841–50.</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Sievert</w:t>
      </w:r>
      <w:r w:rsidR="00B405E1" w:rsidRPr="00F11A18">
        <w:rPr>
          <w:sz w:val="20"/>
          <w:szCs w:val="20"/>
        </w:rPr>
        <w:t xml:space="preserve"> </w:t>
      </w:r>
      <w:r w:rsidRPr="00F11A18">
        <w:rPr>
          <w:sz w:val="20"/>
          <w:szCs w:val="20"/>
        </w:rPr>
        <w:t>DM,</w:t>
      </w:r>
      <w:r w:rsidR="00B405E1" w:rsidRPr="00F11A18">
        <w:rPr>
          <w:sz w:val="20"/>
          <w:szCs w:val="20"/>
        </w:rPr>
        <w:t xml:space="preserve"> </w:t>
      </w:r>
      <w:r w:rsidRPr="00F11A18">
        <w:rPr>
          <w:sz w:val="20"/>
          <w:szCs w:val="20"/>
        </w:rPr>
        <w:t>Ricks</w:t>
      </w:r>
      <w:r w:rsidR="00B405E1" w:rsidRPr="00F11A18">
        <w:rPr>
          <w:sz w:val="20"/>
          <w:szCs w:val="20"/>
        </w:rPr>
        <w:t xml:space="preserve"> </w:t>
      </w:r>
      <w:r w:rsidRPr="00F11A18">
        <w:rPr>
          <w:sz w:val="20"/>
          <w:szCs w:val="20"/>
        </w:rPr>
        <w:t>P,</w:t>
      </w:r>
      <w:r w:rsidR="00B405E1" w:rsidRPr="00F11A18">
        <w:rPr>
          <w:sz w:val="20"/>
          <w:szCs w:val="20"/>
        </w:rPr>
        <w:t xml:space="preserve"> </w:t>
      </w:r>
      <w:r w:rsidRPr="00F11A18">
        <w:rPr>
          <w:sz w:val="20"/>
          <w:szCs w:val="20"/>
        </w:rPr>
        <w:t>Edwards</w:t>
      </w:r>
      <w:r w:rsidR="00B405E1" w:rsidRPr="00F11A18">
        <w:rPr>
          <w:sz w:val="20"/>
          <w:szCs w:val="20"/>
        </w:rPr>
        <w:t xml:space="preserve"> </w:t>
      </w:r>
      <w:r w:rsidRPr="00F11A18">
        <w:rPr>
          <w:sz w:val="20"/>
          <w:szCs w:val="20"/>
        </w:rPr>
        <w:t>JR,</w:t>
      </w:r>
      <w:r w:rsidR="00B405E1" w:rsidRPr="00F11A18">
        <w:rPr>
          <w:sz w:val="20"/>
          <w:szCs w:val="20"/>
        </w:rPr>
        <w:t xml:space="preserve"> </w:t>
      </w:r>
      <w:r w:rsidRPr="00F11A18">
        <w:rPr>
          <w:sz w:val="20"/>
          <w:szCs w:val="20"/>
        </w:rPr>
        <w:t>Schneider</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Patel</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Srinivasan</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et</w:t>
      </w:r>
      <w:r w:rsidR="00B405E1" w:rsidRPr="00F11A18">
        <w:rPr>
          <w:sz w:val="20"/>
          <w:szCs w:val="20"/>
        </w:rPr>
        <w:t xml:space="preserve"> </w:t>
      </w:r>
      <w:r w:rsidRPr="00F11A18">
        <w:rPr>
          <w:sz w:val="20"/>
          <w:szCs w:val="20"/>
        </w:rPr>
        <w:t>al.</w:t>
      </w:r>
      <w:r w:rsidR="00B405E1" w:rsidRPr="00F11A18">
        <w:rPr>
          <w:sz w:val="20"/>
          <w:szCs w:val="20"/>
        </w:rPr>
        <w:t xml:space="preserve"> </w:t>
      </w:r>
      <w:r w:rsidRPr="00F11A18">
        <w:rPr>
          <w:sz w:val="20"/>
          <w:szCs w:val="20"/>
        </w:rPr>
        <w:t>Antimicrobial-</w:t>
      </w:r>
      <w:r w:rsidR="00B405E1" w:rsidRPr="00F11A18">
        <w:rPr>
          <w:sz w:val="20"/>
          <w:szCs w:val="20"/>
        </w:rPr>
        <w:t xml:space="preserve"> </w:t>
      </w:r>
      <w:r w:rsidRPr="00F11A18">
        <w:rPr>
          <w:sz w:val="20"/>
          <w:szCs w:val="20"/>
        </w:rPr>
        <w:t>resistant</w:t>
      </w:r>
      <w:r w:rsidR="00B405E1" w:rsidRPr="00F11A18">
        <w:rPr>
          <w:sz w:val="20"/>
          <w:szCs w:val="20"/>
        </w:rPr>
        <w:t xml:space="preserve"> </w:t>
      </w:r>
      <w:r w:rsidRPr="00F11A18">
        <w:rPr>
          <w:sz w:val="20"/>
          <w:szCs w:val="20"/>
        </w:rPr>
        <w:t>pathogens</w:t>
      </w:r>
      <w:r w:rsidR="00B405E1" w:rsidRPr="00F11A18">
        <w:rPr>
          <w:sz w:val="20"/>
          <w:szCs w:val="20"/>
        </w:rPr>
        <w:t xml:space="preserve"> </w:t>
      </w:r>
      <w:r w:rsidRPr="00F11A18">
        <w:rPr>
          <w:sz w:val="20"/>
          <w:szCs w:val="20"/>
        </w:rPr>
        <w:t>associated</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healthcare-associated</w:t>
      </w:r>
      <w:r w:rsidR="00B405E1" w:rsidRPr="00F11A18">
        <w:rPr>
          <w:sz w:val="20"/>
          <w:szCs w:val="20"/>
        </w:rPr>
        <w:t xml:space="preserve"> </w:t>
      </w:r>
      <w:r w:rsidRPr="00F11A18">
        <w:rPr>
          <w:sz w:val="20"/>
          <w:szCs w:val="20"/>
        </w:rPr>
        <w:t>infections:</w:t>
      </w:r>
      <w:r w:rsidR="00B405E1" w:rsidRPr="00F11A18">
        <w:rPr>
          <w:sz w:val="20"/>
          <w:szCs w:val="20"/>
        </w:rPr>
        <w:t xml:space="preserve"> </w:t>
      </w:r>
      <w:r w:rsidRPr="00F11A18">
        <w:rPr>
          <w:sz w:val="20"/>
          <w:szCs w:val="20"/>
        </w:rPr>
        <w:t>summary</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data</w:t>
      </w:r>
      <w:r w:rsidR="00B405E1" w:rsidRPr="00F11A18">
        <w:rPr>
          <w:sz w:val="20"/>
          <w:szCs w:val="20"/>
        </w:rPr>
        <w:t xml:space="preserve"> </w:t>
      </w:r>
      <w:r w:rsidRPr="00F11A18">
        <w:rPr>
          <w:sz w:val="20"/>
          <w:szCs w:val="20"/>
        </w:rPr>
        <w:t>reported</w:t>
      </w:r>
      <w:r w:rsidR="00F11A18">
        <w:rPr>
          <w:rFonts w:eastAsiaTheme="minorEastAsia" w:hint="eastAsia"/>
          <w:sz w:val="20"/>
          <w:szCs w:val="20"/>
          <w:lang w:eastAsia="zh-CN"/>
        </w:rPr>
        <w:t xml:space="preserve"> </w:t>
      </w:r>
      <w:r w:rsidRPr="00F11A18">
        <w:rPr>
          <w:sz w:val="20"/>
          <w:szCs w:val="20"/>
        </w:rPr>
        <w:t>to</w:t>
      </w:r>
      <w:r w:rsidR="00F11A18">
        <w:rPr>
          <w:rFonts w:eastAsiaTheme="minorEastAsia" w:hint="eastAsia"/>
          <w:sz w:val="20"/>
          <w:szCs w:val="20"/>
          <w:lang w:eastAsia="zh-CN"/>
        </w:rPr>
        <w:t xml:space="preserve"> </w:t>
      </w:r>
      <w:r w:rsidRPr="00F11A18">
        <w:rPr>
          <w:sz w:val="20"/>
          <w:szCs w:val="20"/>
        </w:rPr>
        <w:t>the</w:t>
      </w:r>
      <w:r w:rsidR="00B405E1" w:rsidRPr="00F11A18">
        <w:rPr>
          <w:sz w:val="20"/>
          <w:szCs w:val="20"/>
        </w:rPr>
        <w:t xml:space="preserve"> </w:t>
      </w:r>
      <w:r w:rsidRPr="00F11A18">
        <w:rPr>
          <w:sz w:val="20"/>
          <w:szCs w:val="20"/>
        </w:rPr>
        <w:t>National</w:t>
      </w:r>
      <w:r w:rsidR="00B405E1" w:rsidRPr="00F11A18">
        <w:rPr>
          <w:sz w:val="20"/>
          <w:szCs w:val="20"/>
        </w:rPr>
        <w:t xml:space="preserve"> </w:t>
      </w:r>
      <w:r w:rsidRPr="00F11A18">
        <w:rPr>
          <w:sz w:val="20"/>
          <w:szCs w:val="20"/>
        </w:rPr>
        <w:t>Healthcare</w:t>
      </w:r>
      <w:r w:rsidR="00B405E1" w:rsidRPr="00F11A18">
        <w:rPr>
          <w:sz w:val="20"/>
          <w:szCs w:val="20"/>
        </w:rPr>
        <w:t xml:space="preserve"> </w:t>
      </w:r>
      <w:r w:rsidRPr="00F11A18">
        <w:rPr>
          <w:sz w:val="20"/>
          <w:szCs w:val="20"/>
        </w:rPr>
        <w:t>Safety</w:t>
      </w:r>
      <w:r w:rsidR="00B405E1" w:rsidRPr="00F11A18">
        <w:rPr>
          <w:sz w:val="20"/>
          <w:szCs w:val="20"/>
        </w:rPr>
        <w:t xml:space="preserve"> </w:t>
      </w:r>
      <w:r w:rsidRPr="00F11A18">
        <w:rPr>
          <w:sz w:val="20"/>
          <w:szCs w:val="20"/>
        </w:rPr>
        <w:t>Network</w:t>
      </w:r>
      <w:r w:rsidR="00B405E1" w:rsidRPr="00F11A18">
        <w:rPr>
          <w:sz w:val="20"/>
          <w:szCs w:val="20"/>
        </w:rPr>
        <w:t xml:space="preserve"> </w:t>
      </w:r>
      <w:r w:rsidRPr="00F11A18">
        <w:rPr>
          <w:sz w:val="20"/>
          <w:szCs w:val="20"/>
        </w:rPr>
        <w:t>at</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Centers</w:t>
      </w:r>
      <w:r w:rsidR="00B405E1" w:rsidRPr="00F11A18">
        <w:rPr>
          <w:sz w:val="20"/>
          <w:szCs w:val="20"/>
        </w:rPr>
        <w:t xml:space="preserve"> </w:t>
      </w:r>
      <w:r w:rsidRPr="00F11A18">
        <w:rPr>
          <w:sz w:val="20"/>
          <w:szCs w:val="20"/>
        </w:rPr>
        <w:t>for</w:t>
      </w:r>
      <w:r w:rsidR="00B405E1" w:rsidRPr="00F11A18">
        <w:rPr>
          <w:sz w:val="20"/>
          <w:szCs w:val="20"/>
        </w:rPr>
        <w:t xml:space="preserve"> </w:t>
      </w:r>
      <w:r w:rsidRPr="00F11A18">
        <w:rPr>
          <w:sz w:val="20"/>
          <w:szCs w:val="20"/>
        </w:rPr>
        <w:t>Disease</w:t>
      </w:r>
      <w:r w:rsidR="00B405E1" w:rsidRPr="00F11A18">
        <w:rPr>
          <w:sz w:val="20"/>
          <w:szCs w:val="20"/>
        </w:rPr>
        <w:t xml:space="preserve"> </w:t>
      </w:r>
      <w:r w:rsidRPr="00F11A18">
        <w:rPr>
          <w:sz w:val="20"/>
          <w:szCs w:val="20"/>
        </w:rPr>
        <w:t>Control</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Prevention,</w:t>
      </w:r>
      <w:r w:rsidR="00B405E1" w:rsidRPr="00F11A18">
        <w:rPr>
          <w:sz w:val="20"/>
          <w:szCs w:val="20"/>
        </w:rPr>
        <w:t xml:space="preserve"> </w:t>
      </w:r>
      <w:r w:rsidRPr="00F11A18">
        <w:rPr>
          <w:sz w:val="20"/>
          <w:szCs w:val="20"/>
        </w:rPr>
        <w:t>2009–2010.</w:t>
      </w:r>
      <w:r w:rsidR="00B405E1" w:rsidRPr="00F11A18">
        <w:rPr>
          <w:sz w:val="20"/>
          <w:szCs w:val="20"/>
        </w:rPr>
        <w:t xml:space="preserve"> </w:t>
      </w:r>
      <w:r w:rsidRPr="00F11A18">
        <w:rPr>
          <w:sz w:val="20"/>
          <w:szCs w:val="20"/>
        </w:rPr>
        <w:t>Infect</w:t>
      </w:r>
      <w:r w:rsidR="00B405E1" w:rsidRPr="00F11A18">
        <w:rPr>
          <w:sz w:val="20"/>
          <w:szCs w:val="20"/>
        </w:rPr>
        <w:t xml:space="preserve"> </w:t>
      </w:r>
      <w:r w:rsidRPr="00F11A18">
        <w:rPr>
          <w:sz w:val="20"/>
          <w:szCs w:val="20"/>
        </w:rPr>
        <w:t>Control</w:t>
      </w:r>
      <w:r w:rsidR="00B405E1" w:rsidRPr="00F11A18">
        <w:rPr>
          <w:sz w:val="20"/>
          <w:szCs w:val="20"/>
        </w:rPr>
        <w:t xml:space="preserve"> </w:t>
      </w:r>
      <w:r w:rsidRPr="00F11A18">
        <w:rPr>
          <w:sz w:val="20"/>
          <w:szCs w:val="20"/>
        </w:rPr>
        <w:t>Hos</w:t>
      </w:r>
      <w:r w:rsidR="009A440F" w:rsidRPr="00F11A18">
        <w:rPr>
          <w:sz w:val="20"/>
          <w:szCs w:val="20"/>
        </w:rPr>
        <w:t>p E</w:t>
      </w:r>
      <w:r w:rsidRPr="00F11A18">
        <w:rPr>
          <w:sz w:val="20"/>
          <w:szCs w:val="20"/>
        </w:rPr>
        <w:t>pidemiol.</w:t>
      </w:r>
      <w:r w:rsidR="00B405E1" w:rsidRPr="00F11A18">
        <w:rPr>
          <w:sz w:val="20"/>
          <w:szCs w:val="20"/>
        </w:rPr>
        <w:t xml:space="preserve"> </w:t>
      </w:r>
      <w:r w:rsidRPr="00F11A18">
        <w:rPr>
          <w:sz w:val="20"/>
          <w:szCs w:val="20"/>
        </w:rPr>
        <w:t>2013;34(1):1–14.</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CTCAE:</w:t>
      </w:r>
      <w:r w:rsidR="00B405E1" w:rsidRPr="00F11A18">
        <w:rPr>
          <w:sz w:val="20"/>
          <w:szCs w:val="20"/>
        </w:rPr>
        <w:t xml:space="preserve"> </w:t>
      </w:r>
      <w:r w:rsidRPr="00F11A18">
        <w:rPr>
          <w:sz w:val="20"/>
          <w:szCs w:val="20"/>
        </w:rPr>
        <w:t>Common</w:t>
      </w:r>
      <w:r w:rsidR="00B405E1" w:rsidRPr="00F11A18">
        <w:rPr>
          <w:sz w:val="20"/>
          <w:szCs w:val="20"/>
        </w:rPr>
        <w:t xml:space="preserve"> </w:t>
      </w:r>
      <w:r w:rsidRPr="00F11A18">
        <w:rPr>
          <w:sz w:val="20"/>
          <w:szCs w:val="20"/>
        </w:rPr>
        <w:t>Terminology</w:t>
      </w:r>
      <w:r w:rsidR="00B405E1" w:rsidRPr="00F11A18">
        <w:rPr>
          <w:sz w:val="20"/>
          <w:szCs w:val="20"/>
        </w:rPr>
        <w:t xml:space="preserve"> </w:t>
      </w:r>
      <w:r w:rsidRPr="00F11A18">
        <w:rPr>
          <w:sz w:val="20"/>
          <w:szCs w:val="20"/>
        </w:rPr>
        <w:t>Criteria</w:t>
      </w:r>
      <w:r w:rsidR="00B405E1" w:rsidRPr="00F11A18">
        <w:rPr>
          <w:sz w:val="20"/>
          <w:szCs w:val="20"/>
        </w:rPr>
        <w:t xml:space="preserve"> </w:t>
      </w:r>
      <w:r w:rsidRPr="00F11A18">
        <w:rPr>
          <w:sz w:val="20"/>
          <w:szCs w:val="20"/>
        </w:rPr>
        <w:t>for</w:t>
      </w:r>
      <w:r w:rsidR="00B405E1" w:rsidRPr="00F11A18">
        <w:rPr>
          <w:sz w:val="20"/>
          <w:szCs w:val="20"/>
        </w:rPr>
        <w:t xml:space="preserve"> </w:t>
      </w:r>
      <w:r w:rsidRPr="00F11A18">
        <w:rPr>
          <w:sz w:val="20"/>
          <w:szCs w:val="20"/>
        </w:rPr>
        <w:t>Adverse</w:t>
      </w:r>
      <w:r w:rsidR="00B405E1" w:rsidRPr="00F11A18">
        <w:rPr>
          <w:sz w:val="20"/>
          <w:szCs w:val="20"/>
        </w:rPr>
        <w:t xml:space="preserve"> </w:t>
      </w:r>
      <w:r w:rsidRPr="00F11A18">
        <w:rPr>
          <w:sz w:val="20"/>
          <w:szCs w:val="20"/>
        </w:rPr>
        <w:t>Events</w:t>
      </w:r>
      <w:r w:rsidR="00B41B23" w:rsidRPr="00F11A18">
        <w:rPr>
          <w:sz w:val="20"/>
          <w:szCs w:val="20"/>
        </w:rPr>
        <w:t>. V</w:t>
      </w:r>
      <w:r w:rsidRPr="00F11A18">
        <w:rPr>
          <w:sz w:val="20"/>
          <w:szCs w:val="20"/>
        </w:rPr>
        <w:t>ersion</w:t>
      </w:r>
      <w:r w:rsidR="00B405E1" w:rsidRPr="00F11A18">
        <w:rPr>
          <w:sz w:val="20"/>
          <w:szCs w:val="20"/>
        </w:rPr>
        <w:t xml:space="preserve"> </w:t>
      </w:r>
      <w:r w:rsidRPr="00F11A18">
        <w:rPr>
          <w:sz w:val="20"/>
          <w:szCs w:val="20"/>
        </w:rPr>
        <w:t>4.0.</w:t>
      </w:r>
      <w:r w:rsidR="00B405E1" w:rsidRPr="00F11A18">
        <w:rPr>
          <w:sz w:val="20"/>
          <w:szCs w:val="20"/>
        </w:rPr>
        <w:t xml:space="preserve"> </w:t>
      </w:r>
      <w:r w:rsidRPr="00F11A18">
        <w:rPr>
          <w:sz w:val="20"/>
          <w:szCs w:val="20"/>
        </w:rPr>
        <w:t>Published:</w:t>
      </w:r>
      <w:r w:rsidR="00B405E1" w:rsidRPr="00F11A18">
        <w:rPr>
          <w:sz w:val="20"/>
          <w:szCs w:val="20"/>
        </w:rPr>
        <w:t xml:space="preserve"> </w:t>
      </w:r>
      <w:r w:rsidRPr="00F11A18">
        <w:rPr>
          <w:sz w:val="20"/>
          <w:szCs w:val="20"/>
        </w:rPr>
        <w:t>May</w:t>
      </w:r>
      <w:r w:rsidR="00B405E1" w:rsidRPr="00F11A18">
        <w:rPr>
          <w:sz w:val="20"/>
          <w:szCs w:val="20"/>
        </w:rPr>
        <w:t xml:space="preserve"> </w:t>
      </w:r>
      <w:r w:rsidRPr="00F11A18">
        <w:rPr>
          <w:sz w:val="20"/>
          <w:szCs w:val="20"/>
        </w:rPr>
        <w:t>28,</w:t>
      </w:r>
      <w:r w:rsidR="00B405E1" w:rsidRPr="00F11A18">
        <w:rPr>
          <w:sz w:val="20"/>
          <w:szCs w:val="20"/>
        </w:rPr>
        <w:t xml:space="preserve"> </w:t>
      </w:r>
      <w:r w:rsidRPr="00F11A18">
        <w:rPr>
          <w:sz w:val="20"/>
          <w:szCs w:val="20"/>
        </w:rPr>
        <w:t>2009</w:t>
      </w:r>
      <w:r w:rsidR="00B405E1" w:rsidRPr="00F11A18">
        <w:rPr>
          <w:sz w:val="20"/>
          <w:szCs w:val="20"/>
        </w:rPr>
        <w:t xml:space="preserve"> </w:t>
      </w:r>
      <w:r w:rsidRPr="00F11A18">
        <w:rPr>
          <w:sz w:val="20"/>
          <w:szCs w:val="20"/>
        </w:rPr>
        <w:t>(v4.03:</w:t>
      </w:r>
      <w:r w:rsidR="00B405E1" w:rsidRPr="00F11A18">
        <w:rPr>
          <w:sz w:val="20"/>
          <w:szCs w:val="20"/>
        </w:rPr>
        <w:t xml:space="preserve"> </w:t>
      </w:r>
      <w:r w:rsidRPr="00F11A18">
        <w:rPr>
          <w:sz w:val="20"/>
          <w:szCs w:val="20"/>
        </w:rPr>
        <w:t>June</w:t>
      </w:r>
      <w:r w:rsidR="00B405E1" w:rsidRPr="00F11A18">
        <w:rPr>
          <w:sz w:val="20"/>
          <w:szCs w:val="20"/>
        </w:rPr>
        <w:t xml:space="preserve"> </w:t>
      </w:r>
      <w:r w:rsidRPr="00F11A18">
        <w:rPr>
          <w:sz w:val="20"/>
          <w:szCs w:val="20"/>
        </w:rPr>
        <w:t>14,</w:t>
      </w:r>
      <w:r w:rsidR="00B405E1" w:rsidRPr="00F11A18">
        <w:rPr>
          <w:sz w:val="20"/>
          <w:szCs w:val="20"/>
        </w:rPr>
        <w:t xml:space="preserve"> </w:t>
      </w:r>
      <w:r w:rsidRPr="00F11A18">
        <w:rPr>
          <w:sz w:val="20"/>
          <w:szCs w:val="20"/>
        </w:rPr>
        <w:t>2010).</w:t>
      </w:r>
      <w:r w:rsidR="00B405E1" w:rsidRPr="00F11A18">
        <w:rPr>
          <w:sz w:val="20"/>
          <w:szCs w:val="20"/>
        </w:rPr>
        <w:t xml:space="preserve"> </w:t>
      </w:r>
      <w:r w:rsidRPr="00F11A18">
        <w:rPr>
          <w:sz w:val="20"/>
          <w:szCs w:val="20"/>
        </w:rPr>
        <w:t>U</w:t>
      </w:r>
      <w:r w:rsidR="00B41B23" w:rsidRPr="00F11A18">
        <w:rPr>
          <w:sz w:val="20"/>
          <w:szCs w:val="20"/>
        </w:rPr>
        <w:t>. S</w:t>
      </w:r>
      <w:r w:rsidRPr="00F11A18">
        <w:rPr>
          <w:sz w:val="20"/>
          <w:szCs w:val="20"/>
        </w:rPr>
        <w:t>.</w:t>
      </w:r>
      <w:r w:rsidR="00B405E1" w:rsidRPr="00F11A18">
        <w:rPr>
          <w:sz w:val="20"/>
          <w:szCs w:val="20"/>
        </w:rPr>
        <w:t xml:space="preserve"> </w:t>
      </w:r>
      <w:r w:rsidRPr="00F11A18">
        <w:rPr>
          <w:sz w:val="20"/>
          <w:szCs w:val="20"/>
        </w:rPr>
        <w:t>department</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health</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human</w:t>
      </w:r>
      <w:r w:rsidR="00B405E1" w:rsidRPr="00F11A18">
        <w:rPr>
          <w:sz w:val="20"/>
          <w:szCs w:val="20"/>
        </w:rPr>
        <w:t xml:space="preserve"> </w:t>
      </w:r>
      <w:r w:rsidRPr="00F11A18">
        <w:rPr>
          <w:sz w:val="20"/>
          <w:szCs w:val="20"/>
        </w:rPr>
        <w:t>services.</w:t>
      </w:r>
      <w:r w:rsidR="00B405E1" w:rsidRPr="00F11A18">
        <w:rPr>
          <w:sz w:val="20"/>
          <w:szCs w:val="20"/>
        </w:rPr>
        <w:t xml:space="preserve"> </w:t>
      </w:r>
      <w:r w:rsidRPr="00F11A18">
        <w:rPr>
          <w:sz w:val="20"/>
          <w:szCs w:val="20"/>
        </w:rPr>
        <w:t>National</w:t>
      </w:r>
      <w:r w:rsidR="00B405E1" w:rsidRPr="00F11A18">
        <w:rPr>
          <w:sz w:val="20"/>
          <w:szCs w:val="20"/>
        </w:rPr>
        <w:t xml:space="preserve"> </w:t>
      </w:r>
      <w:r w:rsidRPr="00F11A18">
        <w:rPr>
          <w:sz w:val="20"/>
          <w:szCs w:val="20"/>
        </w:rPr>
        <w:t>Institutes</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Health.</w:t>
      </w:r>
      <w:r w:rsidR="00B405E1" w:rsidRPr="00F11A18">
        <w:rPr>
          <w:sz w:val="20"/>
          <w:szCs w:val="20"/>
        </w:rPr>
        <w:t xml:space="preserve"> </w:t>
      </w:r>
      <w:r w:rsidRPr="00F11A18">
        <w:rPr>
          <w:sz w:val="20"/>
          <w:szCs w:val="20"/>
        </w:rPr>
        <w:t>National</w:t>
      </w:r>
      <w:r w:rsidR="00B405E1" w:rsidRPr="00F11A18">
        <w:rPr>
          <w:sz w:val="20"/>
          <w:szCs w:val="20"/>
        </w:rPr>
        <w:t xml:space="preserve"> </w:t>
      </w:r>
      <w:r w:rsidRPr="00F11A18">
        <w:rPr>
          <w:sz w:val="20"/>
          <w:szCs w:val="20"/>
        </w:rPr>
        <w:t>Cance</w:t>
      </w:r>
      <w:r w:rsidR="009A440F" w:rsidRPr="00F11A18">
        <w:rPr>
          <w:sz w:val="20"/>
          <w:szCs w:val="20"/>
        </w:rPr>
        <w:t>r I</w:t>
      </w:r>
      <w:r w:rsidRPr="00F11A18">
        <w:rPr>
          <w:sz w:val="20"/>
          <w:szCs w:val="20"/>
        </w:rPr>
        <w:t>nstitute.</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Bassetti</w:t>
      </w:r>
      <w:r w:rsidR="00B405E1" w:rsidRPr="00F11A18">
        <w:rPr>
          <w:sz w:val="20"/>
          <w:szCs w:val="20"/>
        </w:rPr>
        <w:t xml:space="preserve"> </w:t>
      </w:r>
      <w:r w:rsidRPr="00F11A18">
        <w:rPr>
          <w:sz w:val="20"/>
          <w:szCs w:val="20"/>
        </w:rPr>
        <w:t>M</w:t>
      </w:r>
      <w:r w:rsidR="00B41B23" w:rsidRPr="00F11A18">
        <w:rPr>
          <w:sz w:val="20"/>
          <w:szCs w:val="20"/>
        </w:rPr>
        <w:t>, R</w:t>
      </w:r>
      <w:r w:rsidRPr="00F11A18">
        <w:rPr>
          <w:sz w:val="20"/>
          <w:szCs w:val="20"/>
        </w:rPr>
        <w:t>ighi</w:t>
      </w:r>
      <w:r w:rsidR="00B405E1" w:rsidRPr="00F11A18">
        <w:rPr>
          <w:sz w:val="20"/>
          <w:szCs w:val="20"/>
        </w:rPr>
        <w:t xml:space="preserve"> </w:t>
      </w:r>
      <w:r w:rsidRPr="00F11A18">
        <w:rPr>
          <w:sz w:val="20"/>
          <w:szCs w:val="20"/>
        </w:rPr>
        <w:t>E.</w:t>
      </w:r>
      <w:r w:rsidR="00B405E1" w:rsidRPr="00F11A18">
        <w:rPr>
          <w:sz w:val="20"/>
          <w:szCs w:val="20"/>
        </w:rPr>
        <w:t xml:space="preserve"> </w:t>
      </w:r>
      <w:r w:rsidRPr="00F11A18">
        <w:rPr>
          <w:sz w:val="20"/>
          <w:szCs w:val="20"/>
        </w:rPr>
        <w:t>Multidrug-resistant</w:t>
      </w:r>
      <w:r w:rsidR="00B405E1" w:rsidRPr="00F11A18">
        <w:rPr>
          <w:sz w:val="20"/>
          <w:szCs w:val="20"/>
        </w:rPr>
        <w:t xml:space="preserve"> </w:t>
      </w:r>
      <w:r w:rsidRPr="00F11A18">
        <w:rPr>
          <w:sz w:val="20"/>
          <w:szCs w:val="20"/>
        </w:rPr>
        <w:t>bacteria:</w:t>
      </w:r>
      <w:r w:rsidR="00B405E1" w:rsidRPr="00F11A18">
        <w:rPr>
          <w:sz w:val="20"/>
          <w:szCs w:val="20"/>
        </w:rPr>
        <w:t xml:space="preserve"> </w:t>
      </w:r>
      <w:r w:rsidRPr="00F11A18">
        <w:rPr>
          <w:sz w:val="20"/>
          <w:szCs w:val="20"/>
        </w:rPr>
        <w:t>what</w:t>
      </w:r>
      <w:r w:rsidR="00B405E1" w:rsidRPr="00F11A18">
        <w:rPr>
          <w:sz w:val="20"/>
          <w:szCs w:val="20"/>
        </w:rPr>
        <w:t xml:space="preserve"> </w:t>
      </w:r>
      <w:r w:rsidRPr="00F11A18">
        <w:rPr>
          <w:sz w:val="20"/>
          <w:szCs w:val="20"/>
        </w:rPr>
        <w:t>is</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threat?</w:t>
      </w:r>
      <w:r w:rsidR="00B405E1" w:rsidRPr="00F11A18">
        <w:rPr>
          <w:sz w:val="20"/>
          <w:szCs w:val="20"/>
        </w:rPr>
        <w:t xml:space="preserve"> </w:t>
      </w:r>
      <w:r w:rsidRPr="00F11A18">
        <w:rPr>
          <w:sz w:val="20"/>
          <w:szCs w:val="20"/>
        </w:rPr>
        <w:t>Hematology</w:t>
      </w:r>
      <w:r w:rsidR="00B405E1" w:rsidRPr="00F11A18">
        <w:rPr>
          <w:sz w:val="20"/>
          <w:szCs w:val="20"/>
        </w:rPr>
        <w:t xml:space="preserve"> </w:t>
      </w:r>
      <w:r w:rsidRPr="00F11A18">
        <w:rPr>
          <w:sz w:val="20"/>
          <w:szCs w:val="20"/>
        </w:rPr>
        <w:t>Am</w:t>
      </w:r>
      <w:r w:rsidR="00B405E1" w:rsidRPr="00F11A18">
        <w:rPr>
          <w:sz w:val="20"/>
          <w:szCs w:val="20"/>
        </w:rPr>
        <w:t xml:space="preserve"> </w:t>
      </w:r>
      <w:r w:rsidRPr="00F11A18">
        <w:rPr>
          <w:sz w:val="20"/>
          <w:szCs w:val="20"/>
        </w:rPr>
        <w:t>So</w:t>
      </w:r>
      <w:r w:rsidR="009A440F" w:rsidRPr="00F11A18">
        <w:rPr>
          <w:sz w:val="20"/>
          <w:szCs w:val="20"/>
        </w:rPr>
        <w:t>c H</w:t>
      </w:r>
      <w:r w:rsidRPr="00F11A18">
        <w:rPr>
          <w:sz w:val="20"/>
          <w:szCs w:val="20"/>
        </w:rPr>
        <w:t>emato</w:t>
      </w:r>
      <w:r w:rsidR="009A440F" w:rsidRPr="00F11A18">
        <w:rPr>
          <w:sz w:val="20"/>
          <w:szCs w:val="20"/>
        </w:rPr>
        <w:t>l E</w:t>
      </w:r>
      <w:r w:rsidRPr="00F11A18">
        <w:rPr>
          <w:sz w:val="20"/>
          <w:szCs w:val="20"/>
        </w:rPr>
        <w:t>duc</w:t>
      </w:r>
      <w:r w:rsidR="00B405E1" w:rsidRPr="00F11A18">
        <w:rPr>
          <w:sz w:val="20"/>
          <w:szCs w:val="20"/>
        </w:rPr>
        <w:t xml:space="preserve"> </w:t>
      </w:r>
      <w:r w:rsidRPr="00F11A18">
        <w:rPr>
          <w:sz w:val="20"/>
          <w:szCs w:val="20"/>
        </w:rPr>
        <w:t>Program.</w:t>
      </w:r>
      <w:r w:rsidR="007457A4">
        <w:rPr>
          <w:rFonts w:eastAsiaTheme="minorEastAsia" w:hint="eastAsia"/>
          <w:sz w:val="20"/>
          <w:szCs w:val="20"/>
          <w:lang w:eastAsia="zh-CN"/>
        </w:rPr>
        <w:t xml:space="preserve"> </w:t>
      </w:r>
      <w:r w:rsidRPr="00F11A18">
        <w:rPr>
          <w:sz w:val="20"/>
          <w:szCs w:val="20"/>
        </w:rPr>
        <w:t>2013;2013:428–32.</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El-Mahallawy</w:t>
      </w:r>
      <w:r w:rsidR="00B405E1" w:rsidRPr="00F11A18">
        <w:rPr>
          <w:sz w:val="20"/>
          <w:szCs w:val="20"/>
        </w:rPr>
        <w:t xml:space="preserve"> </w:t>
      </w:r>
      <w:r w:rsidRPr="00F11A18">
        <w:rPr>
          <w:sz w:val="20"/>
          <w:szCs w:val="20"/>
        </w:rPr>
        <w:t>HA,</w:t>
      </w:r>
      <w:r w:rsidR="00B405E1" w:rsidRPr="00F11A18">
        <w:rPr>
          <w:sz w:val="20"/>
          <w:szCs w:val="20"/>
        </w:rPr>
        <w:t xml:space="preserve"> </w:t>
      </w:r>
      <w:r w:rsidRPr="00F11A18">
        <w:rPr>
          <w:sz w:val="20"/>
          <w:szCs w:val="20"/>
        </w:rPr>
        <w:t>Hassan</w:t>
      </w:r>
      <w:r w:rsidR="00B405E1" w:rsidRPr="00F11A18">
        <w:rPr>
          <w:sz w:val="20"/>
          <w:szCs w:val="20"/>
        </w:rPr>
        <w:t xml:space="preserve"> </w:t>
      </w:r>
      <w:r w:rsidRPr="00F11A18">
        <w:rPr>
          <w:sz w:val="20"/>
          <w:szCs w:val="20"/>
        </w:rPr>
        <w:t>SS,</w:t>
      </w:r>
      <w:r w:rsidR="00B405E1" w:rsidRPr="00F11A18">
        <w:rPr>
          <w:sz w:val="20"/>
          <w:szCs w:val="20"/>
        </w:rPr>
        <w:t xml:space="preserve"> </w:t>
      </w:r>
      <w:r w:rsidRPr="00F11A18">
        <w:rPr>
          <w:sz w:val="20"/>
          <w:szCs w:val="20"/>
        </w:rPr>
        <w:t>El-Wakil</w:t>
      </w:r>
      <w:r w:rsidR="00B405E1" w:rsidRPr="00F11A18">
        <w:rPr>
          <w:sz w:val="20"/>
          <w:szCs w:val="20"/>
        </w:rPr>
        <w:t xml:space="preserve"> </w:t>
      </w:r>
      <w:r w:rsidRPr="00F11A18">
        <w:rPr>
          <w:sz w:val="20"/>
          <w:szCs w:val="20"/>
        </w:rPr>
        <w:t>M</w:t>
      </w:r>
      <w:r w:rsidR="00B41B23" w:rsidRPr="00F11A18">
        <w:rPr>
          <w:sz w:val="20"/>
          <w:szCs w:val="20"/>
        </w:rPr>
        <w:t>, M</w:t>
      </w:r>
      <w:r w:rsidRPr="00F11A18">
        <w:rPr>
          <w:sz w:val="20"/>
          <w:szCs w:val="20"/>
        </w:rPr>
        <w:t>oneer</w:t>
      </w:r>
      <w:r w:rsidR="00B405E1" w:rsidRPr="00F11A18">
        <w:rPr>
          <w:sz w:val="20"/>
          <w:szCs w:val="20"/>
        </w:rPr>
        <w:t xml:space="preserve"> </w:t>
      </w:r>
      <w:r w:rsidRPr="00F11A18">
        <w:rPr>
          <w:sz w:val="20"/>
          <w:szCs w:val="20"/>
        </w:rPr>
        <w:t>MM</w:t>
      </w:r>
      <w:r w:rsidR="00B41B23" w:rsidRPr="00F11A18">
        <w:rPr>
          <w:sz w:val="20"/>
          <w:szCs w:val="20"/>
        </w:rPr>
        <w:t>, S</w:t>
      </w:r>
      <w:r w:rsidRPr="00F11A18">
        <w:rPr>
          <w:sz w:val="20"/>
          <w:szCs w:val="20"/>
        </w:rPr>
        <w:t>halaby</w:t>
      </w:r>
      <w:r w:rsidR="00B405E1" w:rsidRPr="00F11A18">
        <w:rPr>
          <w:sz w:val="20"/>
          <w:szCs w:val="20"/>
        </w:rPr>
        <w:t xml:space="preserve"> </w:t>
      </w:r>
      <w:r w:rsidRPr="00F11A18">
        <w:rPr>
          <w:sz w:val="20"/>
          <w:szCs w:val="20"/>
        </w:rPr>
        <w:t>L.</w:t>
      </w:r>
      <w:r w:rsidR="00B405E1" w:rsidRPr="00F11A18">
        <w:rPr>
          <w:sz w:val="20"/>
          <w:szCs w:val="20"/>
        </w:rPr>
        <w:t xml:space="preserve"> </w:t>
      </w:r>
      <w:r w:rsidRPr="00F11A18">
        <w:rPr>
          <w:sz w:val="20"/>
          <w:szCs w:val="20"/>
        </w:rPr>
        <w:t>Increasing</w:t>
      </w:r>
      <w:r w:rsidR="00B405E1" w:rsidRPr="00F11A18">
        <w:rPr>
          <w:sz w:val="20"/>
          <w:szCs w:val="20"/>
        </w:rPr>
        <w:t xml:space="preserve"> </w:t>
      </w:r>
      <w:r w:rsidRPr="00F11A18">
        <w:rPr>
          <w:sz w:val="20"/>
          <w:szCs w:val="20"/>
        </w:rPr>
        <w:t>Antimicrobial</w:t>
      </w:r>
      <w:r w:rsidR="00B405E1" w:rsidRPr="00F11A18">
        <w:rPr>
          <w:sz w:val="20"/>
          <w:szCs w:val="20"/>
        </w:rPr>
        <w:t xml:space="preserve"> </w:t>
      </w:r>
      <w:r w:rsidRPr="00F11A18">
        <w:rPr>
          <w:sz w:val="20"/>
          <w:szCs w:val="20"/>
        </w:rPr>
        <w:t>Resistance</w:t>
      </w:r>
      <w:r w:rsidR="00B405E1" w:rsidRPr="00F11A18">
        <w:rPr>
          <w:sz w:val="20"/>
          <w:szCs w:val="20"/>
        </w:rPr>
        <w:t xml:space="preserve"> </w:t>
      </w:r>
      <w:r w:rsidRPr="00F11A18">
        <w:rPr>
          <w:sz w:val="20"/>
          <w:szCs w:val="20"/>
        </w:rPr>
        <w:t>Monitored</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Surveillance</w:t>
      </w:r>
      <w:r w:rsidR="00B405E1" w:rsidRPr="00F11A18">
        <w:rPr>
          <w:sz w:val="20"/>
          <w:szCs w:val="20"/>
        </w:rPr>
        <w:t xml:space="preserve"> </w:t>
      </w:r>
      <w:r w:rsidRPr="00F11A18">
        <w:rPr>
          <w:sz w:val="20"/>
          <w:szCs w:val="20"/>
        </w:rPr>
        <w:t>Analysis</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Blood</w:t>
      </w:r>
      <w:r w:rsidR="00B405E1" w:rsidRPr="00F11A18">
        <w:rPr>
          <w:sz w:val="20"/>
          <w:szCs w:val="20"/>
        </w:rPr>
        <w:t xml:space="preserve"> </w:t>
      </w:r>
      <w:r w:rsidRPr="00F11A18">
        <w:rPr>
          <w:sz w:val="20"/>
          <w:szCs w:val="20"/>
        </w:rPr>
        <w:t>Stream</w:t>
      </w:r>
      <w:r w:rsidR="00B405E1" w:rsidRPr="00F11A18">
        <w:rPr>
          <w:sz w:val="20"/>
          <w:szCs w:val="20"/>
        </w:rPr>
        <w:t xml:space="preserve"> </w:t>
      </w:r>
      <w:r w:rsidRPr="00F11A18">
        <w:rPr>
          <w:sz w:val="20"/>
          <w:szCs w:val="20"/>
        </w:rPr>
        <w:t>Infections</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Febrile</w:t>
      </w:r>
      <w:r w:rsidR="00B405E1" w:rsidRPr="00F11A18">
        <w:rPr>
          <w:sz w:val="20"/>
          <w:szCs w:val="20"/>
        </w:rPr>
        <w:t xml:space="preserve"> </w:t>
      </w:r>
      <w:r w:rsidRPr="00F11A18">
        <w:rPr>
          <w:sz w:val="20"/>
          <w:szCs w:val="20"/>
        </w:rPr>
        <w:t>Neutropenic</w:t>
      </w:r>
      <w:r w:rsidR="00B405E1" w:rsidRPr="00F11A18">
        <w:rPr>
          <w:sz w:val="20"/>
          <w:szCs w:val="20"/>
        </w:rPr>
        <w:t xml:space="preserve"> </w:t>
      </w:r>
      <w:r w:rsidRPr="00F11A18">
        <w:rPr>
          <w:sz w:val="20"/>
          <w:szCs w:val="20"/>
        </w:rPr>
        <w:t>Pediatric</w:t>
      </w:r>
      <w:r w:rsidR="00B405E1" w:rsidRPr="00F11A18">
        <w:rPr>
          <w:sz w:val="20"/>
          <w:szCs w:val="20"/>
        </w:rPr>
        <w:t xml:space="preserve"> </w:t>
      </w:r>
      <w:r w:rsidRPr="00F11A18">
        <w:rPr>
          <w:sz w:val="20"/>
          <w:szCs w:val="20"/>
        </w:rPr>
        <w:t>Oncology</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Asian</w:t>
      </w:r>
      <w:r w:rsidR="00B405E1" w:rsidRPr="00F11A18">
        <w:rPr>
          <w:sz w:val="20"/>
          <w:szCs w:val="20"/>
        </w:rPr>
        <w:t xml:space="preserve"> </w:t>
      </w:r>
      <w:r w:rsidRPr="00F11A18">
        <w:rPr>
          <w:sz w:val="20"/>
          <w:szCs w:val="20"/>
        </w:rPr>
        <w:t>Pac</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Cancer</w:t>
      </w:r>
      <w:r w:rsidR="00B405E1" w:rsidRPr="00F11A18">
        <w:rPr>
          <w:sz w:val="20"/>
          <w:szCs w:val="20"/>
        </w:rPr>
        <w:t xml:space="preserve"> </w:t>
      </w:r>
      <w:r w:rsidRPr="00F11A18">
        <w:rPr>
          <w:sz w:val="20"/>
          <w:szCs w:val="20"/>
        </w:rPr>
        <w:t>Prev.</w:t>
      </w:r>
      <w:r w:rsidR="007457A4">
        <w:rPr>
          <w:rFonts w:eastAsiaTheme="minorEastAsia" w:hint="eastAsia"/>
          <w:sz w:val="20"/>
          <w:szCs w:val="20"/>
          <w:lang w:eastAsia="zh-CN"/>
        </w:rPr>
        <w:t xml:space="preserve"> </w:t>
      </w:r>
      <w:r w:rsidRPr="00F11A18">
        <w:rPr>
          <w:sz w:val="20"/>
          <w:szCs w:val="20"/>
        </w:rPr>
        <w:t>2015;16(14):5691–5.</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Costa</w:t>
      </w:r>
      <w:r w:rsidR="00B405E1" w:rsidRPr="00F11A18">
        <w:rPr>
          <w:sz w:val="20"/>
          <w:szCs w:val="20"/>
        </w:rPr>
        <w:t xml:space="preserve"> </w:t>
      </w:r>
      <w:r w:rsidRPr="00F11A18">
        <w:rPr>
          <w:sz w:val="20"/>
          <w:szCs w:val="20"/>
        </w:rPr>
        <w:t>Pde</w:t>
      </w:r>
      <w:r w:rsidR="00B405E1" w:rsidRPr="00F11A18">
        <w:rPr>
          <w:sz w:val="20"/>
          <w:szCs w:val="20"/>
        </w:rPr>
        <w:t xml:space="preserve"> </w:t>
      </w:r>
      <w:r w:rsidRPr="00F11A18">
        <w:rPr>
          <w:sz w:val="20"/>
          <w:szCs w:val="20"/>
        </w:rPr>
        <w:t>O,</w:t>
      </w:r>
      <w:r w:rsidR="00B405E1" w:rsidRPr="00F11A18">
        <w:rPr>
          <w:sz w:val="20"/>
          <w:szCs w:val="20"/>
        </w:rPr>
        <w:t xml:space="preserve"> </w:t>
      </w:r>
      <w:r w:rsidRPr="00F11A18">
        <w:rPr>
          <w:sz w:val="20"/>
          <w:szCs w:val="20"/>
        </w:rPr>
        <w:t>Atta</w:t>
      </w:r>
      <w:r w:rsidR="00B405E1" w:rsidRPr="00F11A18">
        <w:rPr>
          <w:sz w:val="20"/>
          <w:szCs w:val="20"/>
        </w:rPr>
        <w:t xml:space="preserve"> </w:t>
      </w:r>
      <w:r w:rsidRPr="00F11A18">
        <w:rPr>
          <w:sz w:val="20"/>
          <w:szCs w:val="20"/>
        </w:rPr>
        <w:t>EH,</w:t>
      </w:r>
      <w:r w:rsidR="00B405E1" w:rsidRPr="00F11A18">
        <w:rPr>
          <w:sz w:val="20"/>
          <w:szCs w:val="20"/>
        </w:rPr>
        <w:t xml:space="preserve"> </w:t>
      </w:r>
      <w:r w:rsidRPr="00F11A18">
        <w:rPr>
          <w:sz w:val="20"/>
          <w:szCs w:val="20"/>
        </w:rPr>
        <w:t>Silva</w:t>
      </w:r>
      <w:r w:rsidR="00B405E1" w:rsidRPr="00F11A18">
        <w:rPr>
          <w:sz w:val="20"/>
          <w:szCs w:val="20"/>
        </w:rPr>
        <w:t xml:space="preserve"> </w:t>
      </w:r>
      <w:r w:rsidRPr="00F11A18">
        <w:rPr>
          <w:sz w:val="20"/>
          <w:szCs w:val="20"/>
        </w:rPr>
        <w:t>AR.</w:t>
      </w:r>
      <w:r w:rsidR="00B405E1" w:rsidRPr="00F11A18">
        <w:rPr>
          <w:sz w:val="20"/>
          <w:szCs w:val="20"/>
        </w:rPr>
        <w:t xml:space="preserve"> </w:t>
      </w:r>
      <w:r w:rsidRPr="00F11A18">
        <w:rPr>
          <w:sz w:val="20"/>
          <w:szCs w:val="20"/>
        </w:rPr>
        <w:t>Infection</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multidrug-resistant</w:t>
      </w:r>
      <w:r w:rsidR="00B405E1" w:rsidRPr="00F11A18">
        <w:rPr>
          <w:sz w:val="20"/>
          <w:szCs w:val="20"/>
        </w:rPr>
        <w:t xml:space="preserve"> </w:t>
      </w:r>
      <w:r w:rsidRPr="00F11A18">
        <w:rPr>
          <w:sz w:val="20"/>
          <w:szCs w:val="20"/>
        </w:rPr>
        <w:t>gram-negative</w:t>
      </w:r>
      <w:r w:rsidR="00B405E1" w:rsidRPr="00F11A18">
        <w:rPr>
          <w:sz w:val="20"/>
          <w:szCs w:val="20"/>
        </w:rPr>
        <w:t xml:space="preserve"> </w:t>
      </w:r>
      <w:r w:rsidRPr="00F11A18">
        <w:rPr>
          <w:sz w:val="20"/>
          <w:szCs w:val="20"/>
        </w:rPr>
        <w:t>bacteria</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pediatric</w:t>
      </w:r>
      <w:r w:rsidR="00B405E1" w:rsidRPr="00F11A18">
        <w:rPr>
          <w:sz w:val="20"/>
          <w:szCs w:val="20"/>
        </w:rPr>
        <w:t xml:space="preserve"> </w:t>
      </w:r>
      <w:r w:rsidRPr="00F11A18">
        <w:rPr>
          <w:sz w:val="20"/>
          <w:szCs w:val="20"/>
        </w:rPr>
        <w:t>oncology</w:t>
      </w:r>
      <w:r w:rsidR="00B405E1" w:rsidRPr="00F11A18">
        <w:rPr>
          <w:sz w:val="20"/>
          <w:szCs w:val="20"/>
        </w:rPr>
        <w:t xml:space="preserve"> </w:t>
      </w:r>
      <w:r w:rsidRPr="00F11A18">
        <w:rPr>
          <w:sz w:val="20"/>
          <w:szCs w:val="20"/>
        </w:rPr>
        <w:t>intensive</w:t>
      </w:r>
      <w:r w:rsidR="00B405E1" w:rsidRPr="00F11A18">
        <w:rPr>
          <w:sz w:val="20"/>
          <w:szCs w:val="20"/>
        </w:rPr>
        <w:t xml:space="preserve"> </w:t>
      </w:r>
      <w:r w:rsidRPr="00F11A18">
        <w:rPr>
          <w:sz w:val="20"/>
          <w:szCs w:val="20"/>
        </w:rPr>
        <w:t>care</w:t>
      </w:r>
      <w:r w:rsidR="00B405E1" w:rsidRPr="00F11A18">
        <w:rPr>
          <w:sz w:val="20"/>
          <w:szCs w:val="20"/>
        </w:rPr>
        <w:t xml:space="preserve"> </w:t>
      </w:r>
      <w:r w:rsidRPr="00F11A18">
        <w:rPr>
          <w:sz w:val="20"/>
          <w:szCs w:val="20"/>
        </w:rPr>
        <w:t>unit:</w:t>
      </w:r>
      <w:r w:rsidR="00B405E1" w:rsidRPr="00F11A18">
        <w:rPr>
          <w:sz w:val="20"/>
          <w:szCs w:val="20"/>
        </w:rPr>
        <w:t xml:space="preserve"> </w:t>
      </w:r>
      <w:r w:rsidRPr="00F11A18">
        <w:rPr>
          <w:sz w:val="20"/>
          <w:szCs w:val="20"/>
        </w:rPr>
        <w:t>risk</w:t>
      </w:r>
      <w:r w:rsidR="00B405E1" w:rsidRPr="00F11A18">
        <w:rPr>
          <w:sz w:val="20"/>
          <w:szCs w:val="20"/>
        </w:rPr>
        <w:t xml:space="preserve"> </w:t>
      </w:r>
      <w:r w:rsidRPr="00F11A18">
        <w:rPr>
          <w:sz w:val="20"/>
          <w:szCs w:val="20"/>
        </w:rPr>
        <w:t>factors</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outcomes.</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Pediatr</w:t>
      </w:r>
      <w:r w:rsidR="00B405E1" w:rsidRPr="00F11A18">
        <w:rPr>
          <w:sz w:val="20"/>
          <w:szCs w:val="20"/>
        </w:rPr>
        <w:t xml:space="preserve"> </w:t>
      </w:r>
      <w:r w:rsidRPr="00F11A18">
        <w:rPr>
          <w:sz w:val="20"/>
          <w:szCs w:val="20"/>
        </w:rPr>
        <w:t>(Rio</w:t>
      </w:r>
      <w:r w:rsidR="00B405E1" w:rsidRPr="00F11A18">
        <w:rPr>
          <w:sz w:val="20"/>
          <w:szCs w:val="20"/>
        </w:rPr>
        <w:t xml:space="preserve"> </w:t>
      </w:r>
      <w:r w:rsidRPr="00F11A18">
        <w:rPr>
          <w:sz w:val="20"/>
          <w:szCs w:val="20"/>
        </w:rPr>
        <w:t>J).</w:t>
      </w:r>
      <w:r w:rsidR="00F11A18">
        <w:rPr>
          <w:rFonts w:eastAsiaTheme="minorEastAsia" w:hint="eastAsia"/>
          <w:sz w:val="20"/>
          <w:szCs w:val="20"/>
          <w:lang w:eastAsia="zh-CN"/>
        </w:rPr>
        <w:t xml:space="preserve"> </w:t>
      </w:r>
      <w:r w:rsidRPr="00F11A18">
        <w:rPr>
          <w:sz w:val="20"/>
          <w:szCs w:val="20"/>
        </w:rPr>
        <w:t>2015;91(5):435–41.</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Gedik</w:t>
      </w:r>
      <w:r w:rsidR="00B405E1" w:rsidRPr="00F11A18">
        <w:rPr>
          <w:sz w:val="20"/>
          <w:szCs w:val="20"/>
        </w:rPr>
        <w:t xml:space="preserve"> </w:t>
      </w:r>
      <w:r w:rsidRPr="00F11A18">
        <w:rPr>
          <w:sz w:val="20"/>
          <w:szCs w:val="20"/>
        </w:rPr>
        <w:t>H,</w:t>
      </w:r>
      <w:r w:rsidR="00B405E1" w:rsidRPr="00F11A18">
        <w:rPr>
          <w:sz w:val="20"/>
          <w:szCs w:val="20"/>
        </w:rPr>
        <w:t xml:space="preserve"> </w:t>
      </w:r>
      <w:r w:rsidRPr="00F11A18">
        <w:rPr>
          <w:sz w:val="20"/>
          <w:szCs w:val="20"/>
        </w:rPr>
        <w:t>Şimşek</w:t>
      </w:r>
      <w:r w:rsidR="00B405E1" w:rsidRPr="00F11A18">
        <w:rPr>
          <w:sz w:val="20"/>
          <w:szCs w:val="20"/>
        </w:rPr>
        <w:t xml:space="preserve"> </w:t>
      </w:r>
      <w:r w:rsidRPr="00F11A18">
        <w:rPr>
          <w:sz w:val="20"/>
          <w:szCs w:val="20"/>
        </w:rPr>
        <w:t>F,</w:t>
      </w:r>
      <w:r w:rsidR="00B405E1" w:rsidRPr="00F11A18">
        <w:rPr>
          <w:sz w:val="20"/>
          <w:szCs w:val="20"/>
        </w:rPr>
        <w:t xml:space="preserve"> </w:t>
      </w:r>
      <w:r w:rsidRPr="00F11A18">
        <w:rPr>
          <w:sz w:val="20"/>
          <w:szCs w:val="20"/>
        </w:rPr>
        <w:t>Yıldırmak</w:t>
      </w:r>
      <w:r w:rsidR="00B405E1" w:rsidRPr="00F11A18">
        <w:rPr>
          <w:sz w:val="20"/>
          <w:szCs w:val="20"/>
        </w:rPr>
        <w:t xml:space="preserve"> </w:t>
      </w:r>
      <w:r w:rsidRPr="00F11A18">
        <w:rPr>
          <w:sz w:val="20"/>
          <w:szCs w:val="20"/>
        </w:rPr>
        <w:t>T,</w:t>
      </w:r>
      <w:r w:rsidR="00B405E1" w:rsidRPr="00F11A18">
        <w:rPr>
          <w:sz w:val="20"/>
          <w:szCs w:val="20"/>
        </w:rPr>
        <w:t xml:space="preserve"> </w:t>
      </w:r>
      <w:r w:rsidRPr="00F11A18">
        <w:rPr>
          <w:sz w:val="20"/>
          <w:szCs w:val="20"/>
        </w:rPr>
        <w:t>Kantürk</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Aydın</w:t>
      </w:r>
      <w:r w:rsidR="00B405E1" w:rsidRPr="00F11A18">
        <w:rPr>
          <w:sz w:val="20"/>
          <w:szCs w:val="20"/>
        </w:rPr>
        <w:t xml:space="preserve"> </w:t>
      </w:r>
      <w:r w:rsidRPr="00F11A18">
        <w:rPr>
          <w:sz w:val="20"/>
          <w:szCs w:val="20"/>
        </w:rPr>
        <w:t>D,</w:t>
      </w:r>
      <w:r w:rsidR="00B405E1" w:rsidRPr="00F11A18">
        <w:rPr>
          <w:sz w:val="20"/>
          <w:szCs w:val="20"/>
        </w:rPr>
        <w:t xml:space="preserve"> </w:t>
      </w:r>
      <w:r w:rsidRPr="00F11A18">
        <w:rPr>
          <w:sz w:val="20"/>
          <w:szCs w:val="20"/>
        </w:rPr>
        <w:t>Demirel</w:t>
      </w:r>
      <w:r w:rsidR="00B405E1" w:rsidRPr="00F11A18">
        <w:rPr>
          <w:sz w:val="20"/>
          <w:szCs w:val="20"/>
        </w:rPr>
        <w:t xml:space="preserve"> </w:t>
      </w:r>
      <w:r w:rsidRPr="00F11A18">
        <w:rPr>
          <w:sz w:val="20"/>
          <w:szCs w:val="20"/>
        </w:rPr>
        <w:t>N,</w:t>
      </w:r>
      <w:r w:rsidR="00B405E1" w:rsidRPr="00F11A18">
        <w:rPr>
          <w:sz w:val="20"/>
          <w:szCs w:val="20"/>
        </w:rPr>
        <w:t xml:space="preserve"> </w:t>
      </w:r>
      <w:r w:rsidRPr="00F11A18">
        <w:rPr>
          <w:sz w:val="20"/>
          <w:szCs w:val="20"/>
        </w:rPr>
        <w:t>et</w:t>
      </w:r>
      <w:r w:rsidR="00B405E1" w:rsidRPr="00F11A18">
        <w:rPr>
          <w:sz w:val="20"/>
          <w:szCs w:val="20"/>
        </w:rPr>
        <w:t xml:space="preserve"> </w:t>
      </w:r>
      <w:r w:rsidRPr="00F11A18">
        <w:rPr>
          <w:sz w:val="20"/>
          <w:szCs w:val="20"/>
        </w:rPr>
        <w:t>al.</w:t>
      </w:r>
      <w:r w:rsidR="00B405E1" w:rsidRPr="00F11A18">
        <w:rPr>
          <w:sz w:val="20"/>
          <w:szCs w:val="20"/>
        </w:rPr>
        <w:t xml:space="preserve"> </w:t>
      </w:r>
      <w:r w:rsidRPr="00F11A18">
        <w:rPr>
          <w:sz w:val="20"/>
          <w:szCs w:val="20"/>
        </w:rPr>
        <w:t>Which</w:t>
      </w:r>
      <w:r w:rsidR="00B405E1" w:rsidRPr="00F11A18">
        <w:rPr>
          <w:sz w:val="20"/>
          <w:szCs w:val="20"/>
        </w:rPr>
        <w:t xml:space="preserve"> </w:t>
      </w:r>
      <w:r w:rsidRPr="00F11A18">
        <w:rPr>
          <w:sz w:val="20"/>
          <w:szCs w:val="20"/>
        </w:rPr>
        <w:t>Multidrug-</w:t>
      </w:r>
      <w:r w:rsidR="00B405E1" w:rsidRPr="00F11A18">
        <w:rPr>
          <w:sz w:val="20"/>
          <w:szCs w:val="20"/>
        </w:rPr>
        <w:t xml:space="preserve"> </w:t>
      </w:r>
      <w:r w:rsidRPr="00F11A18">
        <w:rPr>
          <w:sz w:val="20"/>
          <w:szCs w:val="20"/>
        </w:rPr>
        <w:t>Resitant</w:t>
      </w:r>
      <w:r w:rsidR="00B405E1" w:rsidRPr="00F11A18">
        <w:rPr>
          <w:sz w:val="20"/>
          <w:szCs w:val="20"/>
        </w:rPr>
        <w:t xml:space="preserve"> </w:t>
      </w:r>
      <w:r w:rsidRPr="00F11A18">
        <w:rPr>
          <w:sz w:val="20"/>
          <w:szCs w:val="20"/>
        </w:rPr>
        <w:t>Bacteria</w:t>
      </w:r>
      <w:r w:rsidR="00B405E1" w:rsidRPr="00F11A18">
        <w:rPr>
          <w:sz w:val="20"/>
          <w:szCs w:val="20"/>
        </w:rPr>
        <w:t xml:space="preserve"> </w:t>
      </w:r>
      <w:r w:rsidRPr="00F11A18">
        <w:rPr>
          <w:sz w:val="20"/>
          <w:szCs w:val="20"/>
        </w:rPr>
        <w:t>are</w:t>
      </w:r>
      <w:r w:rsidR="00B405E1" w:rsidRPr="00F11A18">
        <w:rPr>
          <w:sz w:val="20"/>
          <w:szCs w:val="20"/>
        </w:rPr>
        <w:t xml:space="preserve"> </w:t>
      </w:r>
      <w:r w:rsidRPr="00F11A18">
        <w:rPr>
          <w:sz w:val="20"/>
          <w:szCs w:val="20"/>
        </w:rPr>
        <w:t>Emerging</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Hematological</w:t>
      </w:r>
      <w:r w:rsidR="00B405E1" w:rsidRPr="00F11A18">
        <w:rPr>
          <w:sz w:val="20"/>
          <w:szCs w:val="20"/>
        </w:rPr>
        <w:t xml:space="preserve"> </w:t>
      </w:r>
      <w:r w:rsidRPr="00F11A18">
        <w:rPr>
          <w:sz w:val="20"/>
          <w:szCs w:val="20"/>
        </w:rPr>
        <w:t>Malignancies?:</w:t>
      </w:r>
      <w:r w:rsidR="00B405E1" w:rsidRPr="00F11A18">
        <w:rPr>
          <w:sz w:val="20"/>
          <w:szCs w:val="20"/>
        </w:rPr>
        <w:t xml:space="preserve"> </w:t>
      </w:r>
      <w:r w:rsidRPr="00F11A18">
        <w:rPr>
          <w:sz w:val="20"/>
          <w:szCs w:val="20"/>
        </w:rPr>
        <w:t>One-Year</w:t>
      </w:r>
      <w:r w:rsidR="00B405E1" w:rsidRPr="00F11A18">
        <w:rPr>
          <w:sz w:val="20"/>
          <w:szCs w:val="20"/>
        </w:rPr>
        <w:t xml:space="preserve"> </w:t>
      </w:r>
      <w:r w:rsidRPr="00F11A18">
        <w:rPr>
          <w:sz w:val="20"/>
          <w:szCs w:val="20"/>
        </w:rPr>
        <w:t>Report</w:t>
      </w:r>
      <w:r w:rsidR="00B41B23" w:rsidRPr="00F11A18">
        <w:rPr>
          <w:sz w:val="20"/>
          <w:szCs w:val="20"/>
        </w:rPr>
        <w:t>. I</w:t>
      </w:r>
      <w:r w:rsidRPr="00F11A18">
        <w:rPr>
          <w:sz w:val="20"/>
          <w:szCs w:val="20"/>
        </w:rPr>
        <w:t>ndian</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Hematol</w:t>
      </w:r>
      <w:r w:rsidR="00B405E1" w:rsidRPr="00F11A18">
        <w:rPr>
          <w:sz w:val="20"/>
          <w:szCs w:val="20"/>
        </w:rPr>
        <w:t xml:space="preserve"> </w:t>
      </w:r>
      <w:r w:rsidRPr="00F11A18">
        <w:rPr>
          <w:sz w:val="20"/>
          <w:szCs w:val="20"/>
        </w:rPr>
        <w:t>Blood</w:t>
      </w:r>
      <w:r w:rsidR="00B405E1" w:rsidRPr="00F11A18">
        <w:rPr>
          <w:sz w:val="20"/>
          <w:szCs w:val="20"/>
        </w:rPr>
        <w:t xml:space="preserve"> </w:t>
      </w:r>
      <w:proofErr w:type="spellStart"/>
      <w:r w:rsidRPr="00F11A18">
        <w:rPr>
          <w:sz w:val="20"/>
          <w:szCs w:val="20"/>
        </w:rPr>
        <w:t>Transfus</w:t>
      </w:r>
      <w:proofErr w:type="spellEnd"/>
      <w:r w:rsidRPr="00F11A18">
        <w:rPr>
          <w:sz w:val="20"/>
          <w:szCs w:val="20"/>
        </w:rPr>
        <w:t>.</w:t>
      </w:r>
      <w:r w:rsidR="007457A4">
        <w:rPr>
          <w:rFonts w:eastAsiaTheme="minorEastAsia" w:hint="eastAsia"/>
          <w:sz w:val="20"/>
          <w:szCs w:val="20"/>
          <w:lang w:eastAsia="zh-CN"/>
        </w:rPr>
        <w:t xml:space="preserve"> </w:t>
      </w:r>
      <w:r w:rsidRPr="00F11A18">
        <w:rPr>
          <w:sz w:val="20"/>
          <w:szCs w:val="20"/>
        </w:rPr>
        <w:t>2015;31(1):51–6.</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Haeusler</w:t>
      </w:r>
      <w:r w:rsidR="00B405E1" w:rsidRPr="00F11A18">
        <w:rPr>
          <w:sz w:val="20"/>
          <w:szCs w:val="20"/>
        </w:rPr>
        <w:t xml:space="preserve"> </w:t>
      </w:r>
      <w:r w:rsidRPr="00F11A18">
        <w:rPr>
          <w:sz w:val="20"/>
          <w:szCs w:val="20"/>
        </w:rPr>
        <w:t>GM</w:t>
      </w:r>
      <w:r w:rsidR="00B41B23" w:rsidRPr="00F11A18">
        <w:rPr>
          <w:sz w:val="20"/>
          <w:szCs w:val="20"/>
        </w:rPr>
        <w:t>, M</w:t>
      </w:r>
      <w:r w:rsidRPr="00F11A18">
        <w:rPr>
          <w:sz w:val="20"/>
          <w:szCs w:val="20"/>
        </w:rPr>
        <w:t>echinaud</w:t>
      </w:r>
      <w:r w:rsidR="00B405E1" w:rsidRPr="00F11A18">
        <w:rPr>
          <w:sz w:val="20"/>
          <w:szCs w:val="20"/>
        </w:rPr>
        <w:t xml:space="preserve"> </w:t>
      </w:r>
      <w:r w:rsidRPr="00F11A18">
        <w:rPr>
          <w:sz w:val="20"/>
          <w:szCs w:val="20"/>
        </w:rPr>
        <w:t>F</w:t>
      </w:r>
      <w:r w:rsidR="00B41B23" w:rsidRPr="00F11A18">
        <w:rPr>
          <w:sz w:val="20"/>
          <w:szCs w:val="20"/>
        </w:rPr>
        <w:t>, D</w:t>
      </w:r>
      <w:r w:rsidRPr="00F11A18">
        <w:rPr>
          <w:sz w:val="20"/>
          <w:szCs w:val="20"/>
        </w:rPr>
        <w:t>aley</w:t>
      </w:r>
      <w:r w:rsidR="00B405E1" w:rsidRPr="00F11A18">
        <w:rPr>
          <w:sz w:val="20"/>
          <w:szCs w:val="20"/>
        </w:rPr>
        <w:t xml:space="preserve"> </w:t>
      </w:r>
      <w:r w:rsidRPr="00F11A18">
        <w:rPr>
          <w:sz w:val="20"/>
          <w:szCs w:val="20"/>
        </w:rPr>
        <w:t>AJ</w:t>
      </w:r>
      <w:r w:rsidR="00B41B23" w:rsidRPr="00F11A18">
        <w:rPr>
          <w:sz w:val="20"/>
          <w:szCs w:val="20"/>
        </w:rPr>
        <w:t>, S</w:t>
      </w:r>
      <w:r w:rsidRPr="00F11A18">
        <w:rPr>
          <w:sz w:val="20"/>
          <w:szCs w:val="20"/>
        </w:rPr>
        <w:t>tarr</w:t>
      </w:r>
      <w:r w:rsidR="00B405E1" w:rsidRPr="00F11A18">
        <w:rPr>
          <w:sz w:val="20"/>
          <w:szCs w:val="20"/>
        </w:rPr>
        <w:t xml:space="preserve"> </w:t>
      </w:r>
      <w:r w:rsidRPr="00F11A18">
        <w:rPr>
          <w:sz w:val="20"/>
          <w:szCs w:val="20"/>
        </w:rPr>
        <w:t>M,</w:t>
      </w:r>
      <w:r w:rsidR="00B405E1" w:rsidRPr="00F11A18">
        <w:rPr>
          <w:sz w:val="20"/>
          <w:szCs w:val="20"/>
        </w:rPr>
        <w:t xml:space="preserve"> </w:t>
      </w:r>
      <w:r w:rsidRPr="00F11A18">
        <w:rPr>
          <w:sz w:val="20"/>
          <w:szCs w:val="20"/>
        </w:rPr>
        <w:t>Shann</w:t>
      </w:r>
      <w:r w:rsidR="00B405E1" w:rsidRPr="00F11A18">
        <w:rPr>
          <w:sz w:val="20"/>
          <w:szCs w:val="20"/>
        </w:rPr>
        <w:t xml:space="preserve"> </w:t>
      </w:r>
      <w:r w:rsidRPr="00F11A18">
        <w:rPr>
          <w:sz w:val="20"/>
          <w:szCs w:val="20"/>
        </w:rPr>
        <w:t>F,</w:t>
      </w:r>
      <w:r w:rsidR="00B405E1" w:rsidRPr="00F11A18">
        <w:rPr>
          <w:sz w:val="20"/>
          <w:szCs w:val="20"/>
        </w:rPr>
        <w:t xml:space="preserve"> </w:t>
      </w:r>
      <w:r w:rsidRPr="00F11A18">
        <w:rPr>
          <w:sz w:val="20"/>
          <w:szCs w:val="20"/>
        </w:rPr>
        <w:t>Connell</w:t>
      </w:r>
      <w:r w:rsidR="00B405E1" w:rsidRPr="00F11A18">
        <w:rPr>
          <w:sz w:val="20"/>
          <w:szCs w:val="20"/>
        </w:rPr>
        <w:t xml:space="preserve"> </w:t>
      </w:r>
      <w:r w:rsidRPr="00F11A18">
        <w:rPr>
          <w:sz w:val="20"/>
          <w:szCs w:val="20"/>
        </w:rPr>
        <w:t>TG,</w:t>
      </w:r>
      <w:r w:rsidR="00B405E1" w:rsidRPr="00F11A18">
        <w:rPr>
          <w:sz w:val="20"/>
          <w:szCs w:val="20"/>
        </w:rPr>
        <w:t xml:space="preserve"> </w:t>
      </w:r>
      <w:r w:rsidRPr="00F11A18">
        <w:rPr>
          <w:sz w:val="20"/>
          <w:szCs w:val="20"/>
        </w:rPr>
        <w:t>et</w:t>
      </w:r>
      <w:r w:rsidR="00B405E1" w:rsidRPr="00F11A18">
        <w:rPr>
          <w:sz w:val="20"/>
          <w:szCs w:val="20"/>
        </w:rPr>
        <w:t xml:space="preserve"> </w:t>
      </w:r>
      <w:r w:rsidRPr="00F11A18">
        <w:rPr>
          <w:sz w:val="20"/>
          <w:szCs w:val="20"/>
        </w:rPr>
        <w:t>al.</w:t>
      </w:r>
      <w:r w:rsidR="00B405E1" w:rsidRPr="00F11A18">
        <w:rPr>
          <w:sz w:val="20"/>
          <w:szCs w:val="20"/>
        </w:rPr>
        <w:t xml:space="preserve"> </w:t>
      </w:r>
      <w:r w:rsidRPr="00F11A18">
        <w:rPr>
          <w:sz w:val="20"/>
          <w:szCs w:val="20"/>
        </w:rPr>
        <w:t>Antibiotic-</w:t>
      </w:r>
      <w:r w:rsidR="00B405E1" w:rsidRPr="00F11A18">
        <w:rPr>
          <w:sz w:val="20"/>
          <w:szCs w:val="20"/>
        </w:rPr>
        <w:t xml:space="preserve"> </w:t>
      </w:r>
      <w:r w:rsidRPr="00F11A18">
        <w:rPr>
          <w:sz w:val="20"/>
          <w:szCs w:val="20"/>
        </w:rPr>
        <w:t>resistant</w:t>
      </w:r>
      <w:r w:rsidR="00B405E1" w:rsidRPr="00F11A18">
        <w:rPr>
          <w:sz w:val="20"/>
          <w:szCs w:val="20"/>
        </w:rPr>
        <w:t xml:space="preserve"> </w:t>
      </w:r>
      <w:r w:rsidRPr="00F11A18">
        <w:rPr>
          <w:sz w:val="20"/>
          <w:szCs w:val="20"/>
        </w:rPr>
        <w:t>Gram-negative</w:t>
      </w:r>
      <w:r w:rsidR="00B405E1" w:rsidRPr="00F11A18">
        <w:rPr>
          <w:sz w:val="20"/>
          <w:szCs w:val="20"/>
        </w:rPr>
        <w:t xml:space="preserve"> </w:t>
      </w:r>
      <w:r w:rsidRPr="00F11A18">
        <w:rPr>
          <w:sz w:val="20"/>
          <w:szCs w:val="20"/>
        </w:rPr>
        <w:t>bacteremia</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pediatric</w:t>
      </w:r>
      <w:r w:rsidR="00B405E1" w:rsidRPr="00F11A18">
        <w:rPr>
          <w:sz w:val="20"/>
          <w:szCs w:val="20"/>
        </w:rPr>
        <w:t xml:space="preserve"> </w:t>
      </w:r>
      <w:r w:rsidRPr="00F11A18">
        <w:rPr>
          <w:sz w:val="20"/>
          <w:szCs w:val="20"/>
        </w:rPr>
        <w:t>oncology</w:t>
      </w:r>
      <w:r w:rsidR="00B405E1" w:rsidRPr="00F11A18">
        <w:rPr>
          <w:sz w:val="20"/>
          <w:szCs w:val="20"/>
        </w:rPr>
        <w:t xml:space="preserve"> </w:t>
      </w:r>
      <w:r w:rsidRPr="00F11A18">
        <w:rPr>
          <w:sz w:val="20"/>
          <w:szCs w:val="20"/>
        </w:rPr>
        <w:t>patients--risk</w:t>
      </w:r>
      <w:r w:rsidR="00B405E1" w:rsidRPr="00F11A18">
        <w:rPr>
          <w:sz w:val="20"/>
          <w:szCs w:val="20"/>
        </w:rPr>
        <w:t xml:space="preserve"> </w:t>
      </w:r>
      <w:r w:rsidRPr="00F11A18">
        <w:rPr>
          <w:sz w:val="20"/>
          <w:szCs w:val="20"/>
        </w:rPr>
        <w:t>factors</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outcomes</w:t>
      </w:r>
      <w:r w:rsidR="00B41B23" w:rsidRPr="00F11A18">
        <w:rPr>
          <w:sz w:val="20"/>
          <w:szCs w:val="20"/>
        </w:rPr>
        <w:t>. P</w:t>
      </w:r>
      <w:r w:rsidRPr="00F11A18">
        <w:rPr>
          <w:sz w:val="20"/>
          <w:szCs w:val="20"/>
        </w:rPr>
        <w:t>ediatr</w:t>
      </w:r>
      <w:r w:rsidR="00B405E1" w:rsidRPr="00F11A18">
        <w:rPr>
          <w:sz w:val="20"/>
          <w:szCs w:val="20"/>
        </w:rPr>
        <w:t xml:space="preserve"> </w:t>
      </w:r>
      <w:r w:rsidRPr="00F11A18">
        <w:rPr>
          <w:sz w:val="20"/>
          <w:szCs w:val="20"/>
        </w:rPr>
        <w:t>Infect</w:t>
      </w:r>
      <w:r w:rsidR="00B405E1" w:rsidRPr="00F11A18">
        <w:rPr>
          <w:sz w:val="20"/>
          <w:szCs w:val="20"/>
        </w:rPr>
        <w:t xml:space="preserve"> </w:t>
      </w:r>
      <w:r w:rsidRPr="00F11A18">
        <w:rPr>
          <w:sz w:val="20"/>
          <w:szCs w:val="20"/>
        </w:rPr>
        <w:t>Dis</w:t>
      </w:r>
      <w:r w:rsidR="00B405E1" w:rsidRPr="00F11A18">
        <w:rPr>
          <w:sz w:val="20"/>
          <w:szCs w:val="20"/>
        </w:rPr>
        <w:t xml:space="preserve"> </w:t>
      </w:r>
      <w:r w:rsidRPr="00F11A18">
        <w:rPr>
          <w:sz w:val="20"/>
          <w:szCs w:val="20"/>
        </w:rPr>
        <w:t>J.</w:t>
      </w:r>
      <w:r w:rsidR="007457A4">
        <w:rPr>
          <w:rFonts w:eastAsiaTheme="minorEastAsia" w:hint="eastAsia"/>
          <w:sz w:val="20"/>
          <w:szCs w:val="20"/>
          <w:lang w:eastAsia="zh-CN"/>
        </w:rPr>
        <w:t xml:space="preserve"> </w:t>
      </w:r>
      <w:r w:rsidRPr="00F11A18">
        <w:rPr>
          <w:sz w:val="20"/>
          <w:szCs w:val="20"/>
        </w:rPr>
        <w:t>2013;32(7):723–6.</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Gudiol</w:t>
      </w:r>
      <w:r w:rsidR="00B405E1" w:rsidRPr="00F11A18">
        <w:rPr>
          <w:sz w:val="20"/>
          <w:szCs w:val="20"/>
        </w:rPr>
        <w:t xml:space="preserve"> </w:t>
      </w:r>
      <w:r w:rsidRPr="00F11A18">
        <w:rPr>
          <w:sz w:val="20"/>
          <w:szCs w:val="20"/>
        </w:rPr>
        <w:t>C,</w:t>
      </w:r>
      <w:r w:rsidR="00B405E1" w:rsidRPr="00F11A18">
        <w:rPr>
          <w:sz w:val="20"/>
          <w:szCs w:val="20"/>
        </w:rPr>
        <w:t xml:space="preserve"> </w:t>
      </w:r>
      <w:r w:rsidRPr="00F11A18">
        <w:rPr>
          <w:sz w:val="20"/>
          <w:szCs w:val="20"/>
        </w:rPr>
        <w:t>Calatayud</w:t>
      </w:r>
      <w:r w:rsidR="00B405E1" w:rsidRPr="00F11A18">
        <w:rPr>
          <w:sz w:val="20"/>
          <w:szCs w:val="20"/>
        </w:rPr>
        <w:t xml:space="preserve"> </w:t>
      </w:r>
      <w:r w:rsidRPr="00F11A18">
        <w:rPr>
          <w:sz w:val="20"/>
          <w:szCs w:val="20"/>
        </w:rPr>
        <w:t>L,</w:t>
      </w:r>
      <w:r w:rsidR="00B405E1" w:rsidRPr="00F11A18">
        <w:rPr>
          <w:sz w:val="20"/>
          <w:szCs w:val="20"/>
        </w:rPr>
        <w:t xml:space="preserve"> </w:t>
      </w:r>
      <w:r w:rsidRPr="00F11A18">
        <w:rPr>
          <w:sz w:val="20"/>
          <w:szCs w:val="20"/>
        </w:rPr>
        <w:t>Garcia-Vidal</w:t>
      </w:r>
      <w:r w:rsidR="00B405E1" w:rsidRPr="00F11A18">
        <w:rPr>
          <w:sz w:val="20"/>
          <w:szCs w:val="20"/>
        </w:rPr>
        <w:t xml:space="preserve"> </w:t>
      </w:r>
      <w:r w:rsidRPr="00F11A18">
        <w:rPr>
          <w:sz w:val="20"/>
          <w:szCs w:val="20"/>
        </w:rPr>
        <w:t>C,</w:t>
      </w:r>
      <w:r w:rsidR="00B405E1" w:rsidRPr="00F11A18">
        <w:rPr>
          <w:sz w:val="20"/>
          <w:szCs w:val="20"/>
        </w:rPr>
        <w:t xml:space="preserve"> </w:t>
      </w:r>
      <w:r w:rsidRPr="00F11A18">
        <w:rPr>
          <w:sz w:val="20"/>
          <w:szCs w:val="20"/>
        </w:rPr>
        <w:t>Lora-Tamayo</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Cisnal</w:t>
      </w:r>
      <w:r w:rsidR="00B405E1" w:rsidRPr="00F11A18">
        <w:rPr>
          <w:sz w:val="20"/>
          <w:szCs w:val="20"/>
        </w:rPr>
        <w:t xml:space="preserve"> </w:t>
      </w:r>
      <w:r w:rsidRPr="00F11A18">
        <w:rPr>
          <w:sz w:val="20"/>
          <w:szCs w:val="20"/>
        </w:rPr>
        <w:t>M,</w:t>
      </w:r>
      <w:r w:rsidR="00B405E1" w:rsidRPr="00F11A18">
        <w:rPr>
          <w:sz w:val="20"/>
          <w:szCs w:val="20"/>
        </w:rPr>
        <w:t xml:space="preserve"> </w:t>
      </w:r>
      <w:r w:rsidRPr="00F11A18">
        <w:rPr>
          <w:sz w:val="20"/>
          <w:szCs w:val="20"/>
        </w:rPr>
        <w:t>Duarte</w:t>
      </w:r>
      <w:r w:rsidR="00B405E1" w:rsidRPr="00F11A18">
        <w:rPr>
          <w:sz w:val="20"/>
          <w:szCs w:val="20"/>
        </w:rPr>
        <w:t xml:space="preserve"> </w:t>
      </w:r>
      <w:r w:rsidRPr="00F11A18">
        <w:rPr>
          <w:sz w:val="20"/>
          <w:szCs w:val="20"/>
        </w:rPr>
        <w:t>R,</w:t>
      </w:r>
      <w:r w:rsidR="00B405E1" w:rsidRPr="00F11A18">
        <w:rPr>
          <w:sz w:val="20"/>
          <w:szCs w:val="20"/>
        </w:rPr>
        <w:t xml:space="preserve"> </w:t>
      </w:r>
      <w:r w:rsidRPr="00F11A18">
        <w:rPr>
          <w:sz w:val="20"/>
          <w:szCs w:val="20"/>
        </w:rPr>
        <w:t>et</w:t>
      </w:r>
      <w:r w:rsidR="00B405E1" w:rsidRPr="00F11A18">
        <w:rPr>
          <w:sz w:val="20"/>
          <w:szCs w:val="20"/>
        </w:rPr>
        <w:t xml:space="preserve"> </w:t>
      </w:r>
      <w:r w:rsidRPr="00F11A18">
        <w:rPr>
          <w:sz w:val="20"/>
          <w:szCs w:val="20"/>
        </w:rPr>
        <w:t>al.</w:t>
      </w:r>
      <w:r w:rsidR="00B405E1" w:rsidRPr="00F11A18">
        <w:rPr>
          <w:sz w:val="20"/>
          <w:szCs w:val="20"/>
        </w:rPr>
        <w:t xml:space="preserve"> </w:t>
      </w:r>
      <w:r w:rsidRPr="00F11A18">
        <w:rPr>
          <w:sz w:val="20"/>
          <w:szCs w:val="20"/>
        </w:rPr>
        <w:lastRenderedPageBreak/>
        <w:t>Bacteraemia</w:t>
      </w:r>
      <w:r w:rsidR="00B405E1" w:rsidRPr="00F11A18">
        <w:rPr>
          <w:sz w:val="20"/>
          <w:szCs w:val="20"/>
        </w:rPr>
        <w:t xml:space="preserve"> </w:t>
      </w:r>
      <w:r w:rsidRPr="00F11A18">
        <w:rPr>
          <w:sz w:val="20"/>
          <w:szCs w:val="20"/>
        </w:rPr>
        <w:t>due</w:t>
      </w:r>
      <w:r w:rsidR="00B405E1" w:rsidRPr="00F11A18">
        <w:rPr>
          <w:sz w:val="20"/>
          <w:szCs w:val="20"/>
        </w:rPr>
        <w:t xml:space="preserve"> </w:t>
      </w:r>
      <w:r w:rsidRPr="00F11A18">
        <w:rPr>
          <w:sz w:val="20"/>
          <w:szCs w:val="20"/>
        </w:rPr>
        <w:t>to</w:t>
      </w:r>
      <w:r w:rsidR="00B405E1" w:rsidRPr="00F11A18">
        <w:rPr>
          <w:sz w:val="20"/>
          <w:szCs w:val="20"/>
        </w:rPr>
        <w:t xml:space="preserve"> </w:t>
      </w:r>
      <w:r w:rsidRPr="00F11A18">
        <w:rPr>
          <w:sz w:val="20"/>
          <w:szCs w:val="20"/>
        </w:rPr>
        <w:t>extended-spectrum</w:t>
      </w:r>
      <w:r w:rsidR="00B405E1" w:rsidRPr="00F11A18">
        <w:rPr>
          <w:sz w:val="20"/>
          <w:szCs w:val="20"/>
        </w:rPr>
        <w:t xml:space="preserve"> </w:t>
      </w:r>
      <w:r w:rsidRPr="00F11A18">
        <w:rPr>
          <w:sz w:val="20"/>
          <w:szCs w:val="20"/>
        </w:rPr>
        <w:t>beta-lactamase-producing</w:t>
      </w:r>
      <w:r w:rsidR="00B405E1" w:rsidRPr="00F11A18">
        <w:rPr>
          <w:sz w:val="20"/>
          <w:szCs w:val="20"/>
        </w:rPr>
        <w:t xml:space="preserve"> </w:t>
      </w:r>
      <w:r w:rsidRPr="00F11A18">
        <w:rPr>
          <w:sz w:val="20"/>
          <w:szCs w:val="20"/>
        </w:rPr>
        <w:t>Escherichia</w:t>
      </w:r>
      <w:r w:rsidR="00B405E1" w:rsidRPr="00F11A18">
        <w:rPr>
          <w:sz w:val="20"/>
          <w:szCs w:val="20"/>
        </w:rPr>
        <w:t xml:space="preserve"> </w:t>
      </w:r>
      <w:r w:rsidRPr="00F11A18">
        <w:rPr>
          <w:sz w:val="20"/>
          <w:szCs w:val="20"/>
        </w:rPr>
        <w:t>coli</w:t>
      </w:r>
      <w:r w:rsidR="00B405E1" w:rsidRPr="00F11A18">
        <w:rPr>
          <w:sz w:val="20"/>
          <w:szCs w:val="20"/>
        </w:rPr>
        <w:t xml:space="preserve"> </w:t>
      </w:r>
      <w:r w:rsidRPr="00F11A18">
        <w:rPr>
          <w:sz w:val="20"/>
          <w:szCs w:val="20"/>
        </w:rPr>
        <w:t>(ESBL-EC)</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cancer</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clinical</w:t>
      </w:r>
      <w:r w:rsidR="00B405E1" w:rsidRPr="00F11A18">
        <w:rPr>
          <w:sz w:val="20"/>
          <w:szCs w:val="20"/>
        </w:rPr>
        <w:t xml:space="preserve"> </w:t>
      </w:r>
      <w:r w:rsidRPr="00F11A18">
        <w:rPr>
          <w:sz w:val="20"/>
          <w:szCs w:val="20"/>
        </w:rPr>
        <w:t>features,</w:t>
      </w:r>
      <w:r w:rsidR="00B405E1" w:rsidRPr="00F11A18">
        <w:rPr>
          <w:sz w:val="20"/>
          <w:szCs w:val="20"/>
        </w:rPr>
        <w:t xml:space="preserve"> </w:t>
      </w:r>
      <w:r w:rsidRPr="00F11A18">
        <w:rPr>
          <w:sz w:val="20"/>
          <w:szCs w:val="20"/>
        </w:rPr>
        <w:t>risk</w:t>
      </w:r>
      <w:r w:rsidR="00B405E1" w:rsidRPr="00F11A18">
        <w:rPr>
          <w:sz w:val="20"/>
          <w:szCs w:val="20"/>
        </w:rPr>
        <w:t xml:space="preserve"> </w:t>
      </w:r>
      <w:r w:rsidRPr="00F11A18">
        <w:rPr>
          <w:sz w:val="20"/>
          <w:szCs w:val="20"/>
        </w:rPr>
        <w:t>factors,</w:t>
      </w:r>
      <w:r w:rsidR="00B405E1" w:rsidRPr="00F11A18">
        <w:rPr>
          <w:sz w:val="20"/>
          <w:szCs w:val="20"/>
        </w:rPr>
        <w:t xml:space="preserve"> </w:t>
      </w:r>
      <w:r w:rsidRPr="00F11A18">
        <w:rPr>
          <w:sz w:val="20"/>
          <w:szCs w:val="20"/>
        </w:rPr>
        <w:t>molecular</w:t>
      </w:r>
      <w:r w:rsidR="00B405E1" w:rsidRPr="00F11A18">
        <w:rPr>
          <w:sz w:val="20"/>
          <w:szCs w:val="20"/>
        </w:rPr>
        <w:t xml:space="preserve"> </w:t>
      </w:r>
      <w:r w:rsidRPr="00F11A18">
        <w:rPr>
          <w:sz w:val="20"/>
          <w:szCs w:val="20"/>
        </w:rPr>
        <w:t>epidemiology</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outcome.</w:t>
      </w:r>
      <w:r w:rsidR="00B405E1" w:rsidRPr="00F11A18">
        <w:rPr>
          <w:sz w:val="20"/>
          <w:szCs w:val="20"/>
        </w:rPr>
        <w:t xml:space="preserve"> </w:t>
      </w:r>
      <w:r w:rsidRPr="00F11A18">
        <w:rPr>
          <w:sz w:val="20"/>
          <w:szCs w:val="20"/>
        </w:rPr>
        <w:t>J</w:t>
      </w:r>
      <w:r w:rsidR="00F11A18">
        <w:rPr>
          <w:rFonts w:eastAsiaTheme="minorEastAsia" w:hint="eastAsia"/>
          <w:sz w:val="20"/>
          <w:szCs w:val="20"/>
          <w:lang w:eastAsia="zh-CN"/>
        </w:rPr>
        <w:t xml:space="preserve"> </w:t>
      </w:r>
      <w:r w:rsidRPr="00F11A18">
        <w:rPr>
          <w:sz w:val="20"/>
          <w:szCs w:val="20"/>
        </w:rPr>
        <w:t>Antimicro</w:t>
      </w:r>
      <w:r w:rsidR="009A440F" w:rsidRPr="00F11A18">
        <w:rPr>
          <w:sz w:val="20"/>
          <w:szCs w:val="20"/>
        </w:rPr>
        <w:t>b C</w:t>
      </w:r>
      <w:r w:rsidRPr="00F11A18">
        <w:rPr>
          <w:sz w:val="20"/>
          <w:szCs w:val="20"/>
        </w:rPr>
        <w:t>hemother.2010;65(2):333–41.</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Freire</w:t>
      </w:r>
      <w:r w:rsidR="00B405E1" w:rsidRPr="00F11A18">
        <w:rPr>
          <w:sz w:val="20"/>
          <w:szCs w:val="20"/>
        </w:rPr>
        <w:t xml:space="preserve"> </w:t>
      </w:r>
      <w:r w:rsidRPr="00F11A18">
        <w:rPr>
          <w:sz w:val="20"/>
          <w:szCs w:val="20"/>
        </w:rPr>
        <w:t>MP</w:t>
      </w:r>
      <w:r w:rsidR="00B41B23" w:rsidRPr="00F11A18">
        <w:rPr>
          <w:sz w:val="20"/>
          <w:szCs w:val="20"/>
        </w:rPr>
        <w:t>, P</w:t>
      </w:r>
      <w:r w:rsidRPr="00F11A18">
        <w:rPr>
          <w:sz w:val="20"/>
          <w:szCs w:val="20"/>
        </w:rPr>
        <w:t>ierrotti</w:t>
      </w:r>
      <w:r w:rsidR="00B405E1" w:rsidRPr="00F11A18">
        <w:rPr>
          <w:sz w:val="20"/>
          <w:szCs w:val="20"/>
        </w:rPr>
        <w:t xml:space="preserve"> </w:t>
      </w:r>
      <w:r w:rsidRPr="00F11A18">
        <w:rPr>
          <w:sz w:val="20"/>
          <w:szCs w:val="20"/>
        </w:rPr>
        <w:t>LC,</w:t>
      </w:r>
      <w:r w:rsidR="00B405E1" w:rsidRPr="00F11A18">
        <w:rPr>
          <w:sz w:val="20"/>
          <w:szCs w:val="20"/>
        </w:rPr>
        <w:t xml:space="preserve"> </w:t>
      </w:r>
      <w:r w:rsidRPr="00F11A18">
        <w:rPr>
          <w:sz w:val="20"/>
          <w:szCs w:val="20"/>
        </w:rPr>
        <w:t>Filho</w:t>
      </w:r>
      <w:r w:rsidR="00B405E1" w:rsidRPr="00F11A18">
        <w:rPr>
          <w:sz w:val="20"/>
          <w:szCs w:val="20"/>
        </w:rPr>
        <w:t xml:space="preserve"> </w:t>
      </w:r>
      <w:r w:rsidRPr="00F11A18">
        <w:rPr>
          <w:sz w:val="20"/>
          <w:szCs w:val="20"/>
        </w:rPr>
        <w:t>HH,</w:t>
      </w:r>
      <w:r w:rsidR="00B405E1" w:rsidRPr="00F11A18">
        <w:rPr>
          <w:sz w:val="20"/>
          <w:szCs w:val="20"/>
        </w:rPr>
        <w:t xml:space="preserve"> </w:t>
      </w:r>
      <w:r w:rsidRPr="00F11A18">
        <w:rPr>
          <w:sz w:val="20"/>
          <w:szCs w:val="20"/>
        </w:rPr>
        <w:t>Ibrahim</w:t>
      </w:r>
      <w:r w:rsidR="00B405E1" w:rsidRPr="00F11A18">
        <w:rPr>
          <w:sz w:val="20"/>
          <w:szCs w:val="20"/>
        </w:rPr>
        <w:t xml:space="preserve"> </w:t>
      </w:r>
      <w:r w:rsidRPr="00F11A18">
        <w:rPr>
          <w:sz w:val="20"/>
          <w:szCs w:val="20"/>
        </w:rPr>
        <w:t>KY,</w:t>
      </w:r>
      <w:r w:rsidR="00B405E1" w:rsidRPr="00F11A18">
        <w:rPr>
          <w:sz w:val="20"/>
          <w:szCs w:val="20"/>
        </w:rPr>
        <w:t xml:space="preserve"> </w:t>
      </w:r>
      <w:r w:rsidRPr="00F11A18">
        <w:rPr>
          <w:sz w:val="20"/>
          <w:szCs w:val="20"/>
        </w:rPr>
        <w:t>Magri</w:t>
      </w:r>
      <w:r w:rsidR="00B405E1" w:rsidRPr="00F11A18">
        <w:rPr>
          <w:sz w:val="20"/>
          <w:szCs w:val="20"/>
        </w:rPr>
        <w:t xml:space="preserve"> </w:t>
      </w:r>
      <w:r w:rsidRPr="00F11A18">
        <w:rPr>
          <w:sz w:val="20"/>
          <w:szCs w:val="20"/>
        </w:rPr>
        <w:t>AS,</w:t>
      </w:r>
      <w:r w:rsidR="00B405E1" w:rsidRPr="00F11A18">
        <w:rPr>
          <w:sz w:val="20"/>
          <w:szCs w:val="20"/>
        </w:rPr>
        <w:t xml:space="preserve"> </w:t>
      </w:r>
      <w:r w:rsidRPr="00F11A18">
        <w:rPr>
          <w:sz w:val="20"/>
          <w:szCs w:val="20"/>
        </w:rPr>
        <w:t>Bonazzi</w:t>
      </w:r>
      <w:r w:rsidR="00B405E1" w:rsidRPr="00F11A18">
        <w:rPr>
          <w:sz w:val="20"/>
          <w:szCs w:val="20"/>
        </w:rPr>
        <w:t xml:space="preserve"> </w:t>
      </w:r>
      <w:r w:rsidRPr="00F11A18">
        <w:rPr>
          <w:sz w:val="20"/>
          <w:szCs w:val="20"/>
        </w:rPr>
        <w:t>PR,</w:t>
      </w:r>
      <w:r w:rsidR="00B405E1" w:rsidRPr="00F11A18">
        <w:rPr>
          <w:sz w:val="20"/>
          <w:szCs w:val="20"/>
        </w:rPr>
        <w:t xml:space="preserve"> </w:t>
      </w:r>
      <w:r w:rsidRPr="00F11A18">
        <w:rPr>
          <w:sz w:val="20"/>
          <w:szCs w:val="20"/>
        </w:rPr>
        <w:t>et</w:t>
      </w:r>
      <w:r w:rsidR="00B405E1" w:rsidRPr="00F11A18">
        <w:rPr>
          <w:sz w:val="20"/>
          <w:szCs w:val="20"/>
        </w:rPr>
        <w:t xml:space="preserve"> </w:t>
      </w:r>
      <w:r w:rsidRPr="00F11A18">
        <w:rPr>
          <w:sz w:val="20"/>
          <w:szCs w:val="20"/>
        </w:rPr>
        <w:t>al.</w:t>
      </w:r>
      <w:r w:rsidR="00B405E1" w:rsidRPr="00F11A18">
        <w:rPr>
          <w:sz w:val="20"/>
          <w:szCs w:val="20"/>
        </w:rPr>
        <w:t xml:space="preserve"> </w:t>
      </w:r>
      <w:r w:rsidRPr="00F11A18">
        <w:rPr>
          <w:sz w:val="20"/>
          <w:szCs w:val="20"/>
        </w:rPr>
        <w:t>Infection</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Klebsiellapneumoniae</w:t>
      </w:r>
      <w:r w:rsidR="00F11A18">
        <w:rPr>
          <w:rFonts w:eastAsiaTheme="minorEastAsia" w:hint="eastAsia"/>
          <w:sz w:val="20"/>
          <w:szCs w:val="20"/>
          <w:lang w:eastAsia="zh-CN"/>
        </w:rPr>
        <w:t xml:space="preserve"> </w:t>
      </w:r>
      <w:r w:rsidRPr="00F11A18">
        <w:rPr>
          <w:sz w:val="20"/>
          <w:szCs w:val="20"/>
        </w:rPr>
        <w:t>carbapenemase</w:t>
      </w:r>
      <w:r w:rsidR="00B405E1" w:rsidRPr="00F11A18">
        <w:rPr>
          <w:sz w:val="20"/>
          <w:szCs w:val="20"/>
        </w:rPr>
        <w:t xml:space="preserve"> </w:t>
      </w:r>
      <w:r w:rsidRPr="00F11A18">
        <w:rPr>
          <w:sz w:val="20"/>
          <w:szCs w:val="20"/>
        </w:rPr>
        <w:t>(KPC)-producing</w:t>
      </w:r>
      <w:r w:rsidR="00B405E1" w:rsidRPr="00F11A18">
        <w:rPr>
          <w:sz w:val="20"/>
          <w:szCs w:val="20"/>
        </w:rPr>
        <w:t xml:space="preserve"> </w:t>
      </w:r>
      <w:r w:rsidRPr="00F11A18">
        <w:rPr>
          <w:sz w:val="20"/>
          <w:szCs w:val="20"/>
        </w:rPr>
        <w:t>Klebsiellapneumoniae</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cancer</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Eur</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Cli</w:t>
      </w:r>
      <w:r w:rsidR="009A440F" w:rsidRPr="00F11A18">
        <w:rPr>
          <w:sz w:val="20"/>
          <w:szCs w:val="20"/>
        </w:rPr>
        <w:t>n M</w:t>
      </w:r>
      <w:r w:rsidRPr="00F11A18">
        <w:rPr>
          <w:sz w:val="20"/>
          <w:szCs w:val="20"/>
        </w:rPr>
        <w:t>icrobiol</w:t>
      </w:r>
      <w:r w:rsidR="00B405E1" w:rsidRPr="00F11A18">
        <w:rPr>
          <w:sz w:val="20"/>
          <w:szCs w:val="20"/>
        </w:rPr>
        <w:t xml:space="preserve"> </w:t>
      </w:r>
      <w:r w:rsidRPr="00F11A18">
        <w:rPr>
          <w:sz w:val="20"/>
          <w:szCs w:val="20"/>
        </w:rPr>
        <w:t>Infect</w:t>
      </w:r>
      <w:r w:rsidR="00B405E1" w:rsidRPr="00F11A18">
        <w:rPr>
          <w:sz w:val="20"/>
          <w:szCs w:val="20"/>
        </w:rPr>
        <w:t xml:space="preserve"> </w:t>
      </w:r>
      <w:r w:rsidRPr="00F11A18">
        <w:rPr>
          <w:sz w:val="20"/>
          <w:szCs w:val="20"/>
        </w:rPr>
        <w:t>Dis.</w:t>
      </w:r>
      <w:r w:rsidR="007457A4">
        <w:rPr>
          <w:rFonts w:eastAsiaTheme="minorEastAsia" w:hint="eastAsia"/>
          <w:sz w:val="20"/>
          <w:szCs w:val="20"/>
          <w:lang w:eastAsia="zh-CN"/>
        </w:rPr>
        <w:t xml:space="preserve"> </w:t>
      </w:r>
      <w:r w:rsidRPr="00F11A18">
        <w:rPr>
          <w:sz w:val="20"/>
          <w:szCs w:val="20"/>
        </w:rPr>
        <w:t>2015;34(2):277–86.</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Tantaleán</w:t>
      </w:r>
      <w:r w:rsidR="00B405E1" w:rsidRPr="00F11A18">
        <w:rPr>
          <w:sz w:val="20"/>
          <w:szCs w:val="20"/>
        </w:rPr>
        <w:t xml:space="preserve"> </w:t>
      </w:r>
      <w:r w:rsidRPr="00F11A18">
        <w:rPr>
          <w:sz w:val="20"/>
          <w:szCs w:val="20"/>
        </w:rPr>
        <w:t>JA,</w:t>
      </w:r>
      <w:r w:rsidR="00B405E1" w:rsidRPr="00F11A18">
        <w:rPr>
          <w:sz w:val="20"/>
          <w:szCs w:val="20"/>
        </w:rPr>
        <w:t xml:space="preserve"> </w:t>
      </w:r>
      <w:r w:rsidRPr="00F11A18">
        <w:rPr>
          <w:sz w:val="20"/>
          <w:szCs w:val="20"/>
        </w:rPr>
        <w:t>León</w:t>
      </w:r>
      <w:r w:rsidR="00B405E1" w:rsidRPr="00F11A18">
        <w:rPr>
          <w:sz w:val="20"/>
          <w:szCs w:val="20"/>
        </w:rPr>
        <w:t xml:space="preserve"> </w:t>
      </w:r>
      <w:r w:rsidRPr="00F11A18">
        <w:rPr>
          <w:sz w:val="20"/>
          <w:szCs w:val="20"/>
        </w:rPr>
        <w:t>RJ,</w:t>
      </w:r>
      <w:r w:rsidR="00B405E1" w:rsidRPr="00F11A18">
        <w:rPr>
          <w:sz w:val="20"/>
          <w:szCs w:val="20"/>
        </w:rPr>
        <w:t xml:space="preserve"> </w:t>
      </w:r>
      <w:r w:rsidRPr="00F11A18">
        <w:rPr>
          <w:sz w:val="20"/>
          <w:szCs w:val="20"/>
        </w:rPr>
        <w:t>Santos</w:t>
      </w:r>
      <w:r w:rsidR="00B405E1" w:rsidRPr="00F11A18">
        <w:rPr>
          <w:sz w:val="20"/>
          <w:szCs w:val="20"/>
        </w:rPr>
        <w:t xml:space="preserve"> </w:t>
      </w:r>
      <w:r w:rsidRPr="00F11A18">
        <w:rPr>
          <w:sz w:val="20"/>
          <w:szCs w:val="20"/>
        </w:rPr>
        <w:t>AA,</w:t>
      </w:r>
      <w:r w:rsidR="00B405E1" w:rsidRPr="00F11A18">
        <w:rPr>
          <w:sz w:val="20"/>
          <w:szCs w:val="20"/>
        </w:rPr>
        <w:t xml:space="preserve"> </w:t>
      </w:r>
      <w:r w:rsidRPr="00F11A18">
        <w:rPr>
          <w:sz w:val="20"/>
          <w:szCs w:val="20"/>
        </w:rPr>
        <w:t>Sánchez</w:t>
      </w:r>
      <w:r w:rsidR="00B405E1" w:rsidRPr="00F11A18">
        <w:rPr>
          <w:sz w:val="20"/>
          <w:szCs w:val="20"/>
        </w:rPr>
        <w:t xml:space="preserve"> </w:t>
      </w:r>
      <w:r w:rsidRPr="00F11A18">
        <w:rPr>
          <w:sz w:val="20"/>
          <w:szCs w:val="20"/>
        </w:rPr>
        <w:t>E.</w:t>
      </w:r>
      <w:r w:rsidR="00B405E1" w:rsidRPr="00F11A18">
        <w:rPr>
          <w:sz w:val="20"/>
          <w:szCs w:val="20"/>
        </w:rPr>
        <w:t xml:space="preserve"> </w:t>
      </w:r>
      <w:r w:rsidRPr="00F11A18">
        <w:rPr>
          <w:sz w:val="20"/>
          <w:szCs w:val="20"/>
        </w:rPr>
        <w:t>Multiple</w:t>
      </w:r>
      <w:r w:rsidR="00B405E1" w:rsidRPr="00F11A18">
        <w:rPr>
          <w:sz w:val="20"/>
          <w:szCs w:val="20"/>
        </w:rPr>
        <w:t xml:space="preserve"> </w:t>
      </w:r>
      <w:r w:rsidRPr="00F11A18">
        <w:rPr>
          <w:sz w:val="20"/>
          <w:szCs w:val="20"/>
        </w:rPr>
        <w:t>organ</w:t>
      </w:r>
      <w:r w:rsidR="00B405E1" w:rsidRPr="00F11A18">
        <w:rPr>
          <w:sz w:val="20"/>
          <w:szCs w:val="20"/>
        </w:rPr>
        <w:t xml:space="preserve"> </w:t>
      </w:r>
      <w:r w:rsidRPr="00F11A18">
        <w:rPr>
          <w:sz w:val="20"/>
          <w:szCs w:val="20"/>
        </w:rPr>
        <w:t>dysfunction</w:t>
      </w:r>
      <w:r w:rsidR="00B405E1" w:rsidRPr="00F11A18">
        <w:rPr>
          <w:sz w:val="20"/>
          <w:szCs w:val="20"/>
        </w:rPr>
        <w:t xml:space="preserve"> </w:t>
      </w:r>
      <w:r w:rsidRPr="00F11A18">
        <w:rPr>
          <w:sz w:val="20"/>
          <w:szCs w:val="20"/>
        </w:rPr>
        <w:t>syndrome</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children.</w:t>
      </w:r>
      <w:r w:rsidR="00B405E1" w:rsidRPr="00F11A18">
        <w:rPr>
          <w:sz w:val="20"/>
          <w:szCs w:val="20"/>
        </w:rPr>
        <w:t xml:space="preserve"> </w:t>
      </w:r>
      <w:r w:rsidRPr="00F11A18">
        <w:rPr>
          <w:sz w:val="20"/>
          <w:szCs w:val="20"/>
        </w:rPr>
        <w:t>Pediat</w:t>
      </w:r>
      <w:r w:rsidR="009A440F" w:rsidRPr="00F11A18">
        <w:rPr>
          <w:sz w:val="20"/>
          <w:szCs w:val="20"/>
        </w:rPr>
        <w:t>r C</w:t>
      </w:r>
      <w:r w:rsidRPr="00F11A18">
        <w:rPr>
          <w:sz w:val="20"/>
          <w:szCs w:val="20"/>
        </w:rPr>
        <w:t>rit</w:t>
      </w:r>
      <w:r w:rsidR="00B405E1" w:rsidRPr="00F11A18">
        <w:rPr>
          <w:sz w:val="20"/>
          <w:szCs w:val="20"/>
        </w:rPr>
        <w:t xml:space="preserve"> </w:t>
      </w:r>
      <w:r w:rsidRPr="00F11A18">
        <w:rPr>
          <w:sz w:val="20"/>
          <w:szCs w:val="20"/>
        </w:rPr>
        <w:t>Care</w:t>
      </w:r>
      <w:r w:rsidR="00B405E1" w:rsidRPr="00F11A18">
        <w:rPr>
          <w:sz w:val="20"/>
          <w:szCs w:val="20"/>
        </w:rPr>
        <w:t xml:space="preserve"> </w:t>
      </w:r>
      <w:r w:rsidRPr="00F11A18">
        <w:rPr>
          <w:sz w:val="20"/>
          <w:szCs w:val="20"/>
        </w:rPr>
        <w:t>Med.2003;4(2):181–5.</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Cattaneo</w:t>
      </w:r>
      <w:r w:rsidR="00B405E1" w:rsidRPr="00F11A18">
        <w:rPr>
          <w:sz w:val="20"/>
          <w:szCs w:val="20"/>
        </w:rPr>
        <w:t xml:space="preserve"> </w:t>
      </w:r>
      <w:r w:rsidRPr="00F11A18">
        <w:rPr>
          <w:sz w:val="20"/>
          <w:szCs w:val="20"/>
        </w:rPr>
        <w:t>C</w:t>
      </w:r>
      <w:r w:rsidR="00B41B23" w:rsidRPr="00F11A18">
        <w:rPr>
          <w:sz w:val="20"/>
          <w:szCs w:val="20"/>
        </w:rPr>
        <w:t>, C</w:t>
      </w:r>
      <w:r w:rsidRPr="00F11A18">
        <w:rPr>
          <w:sz w:val="20"/>
          <w:szCs w:val="20"/>
        </w:rPr>
        <w:t>asari</w:t>
      </w:r>
      <w:r w:rsidR="00B405E1" w:rsidRPr="00F11A18">
        <w:rPr>
          <w:sz w:val="20"/>
          <w:szCs w:val="20"/>
        </w:rPr>
        <w:t xml:space="preserve"> </w:t>
      </w:r>
      <w:r w:rsidRPr="00F11A18">
        <w:rPr>
          <w:sz w:val="20"/>
          <w:szCs w:val="20"/>
        </w:rPr>
        <w:t>S,</w:t>
      </w:r>
      <w:r w:rsidR="00B405E1" w:rsidRPr="00F11A18">
        <w:rPr>
          <w:sz w:val="20"/>
          <w:szCs w:val="20"/>
        </w:rPr>
        <w:t xml:space="preserve"> </w:t>
      </w:r>
      <w:r w:rsidRPr="00F11A18">
        <w:rPr>
          <w:sz w:val="20"/>
          <w:szCs w:val="20"/>
        </w:rPr>
        <w:t>Bracchi</w:t>
      </w:r>
      <w:r w:rsidR="00B405E1" w:rsidRPr="00F11A18">
        <w:rPr>
          <w:sz w:val="20"/>
          <w:szCs w:val="20"/>
        </w:rPr>
        <w:t xml:space="preserve"> </w:t>
      </w:r>
      <w:r w:rsidRPr="00F11A18">
        <w:rPr>
          <w:sz w:val="20"/>
          <w:szCs w:val="20"/>
        </w:rPr>
        <w:t>F</w:t>
      </w:r>
      <w:r w:rsidR="00B41B23" w:rsidRPr="00F11A18">
        <w:rPr>
          <w:sz w:val="20"/>
          <w:szCs w:val="20"/>
        </w:rPr>
        <w:t>, S</w:t>
      </w:r>
      <w:r w:rsidRPr="00F11A18">
        <w:rPr>
          <w:sz w:val="20"/>
          <w:szCs w:val="20"/>
        </w:rPr>
        <w:t>ignorini</w:t>
      </w:r>
      <w:r w:rsidR="00B405E1" w:rsidRPr="00F11A18">
        <w:rPr>
          <w:sz w:val="20"/>
          <w:szCs w:val="20"/>
        </w:rPr>
        <w:t xml:space="preserve"> </w:t>
      </w:r>
      <w:r w:rsidRPr="00F11A18">
        <w:rPr>
          <w:sz w:val="20"/>
          <w:szCs w:val="20"/>
        </w:rPr>
        <w:t>L,</w:t>
      </w:r>
      <w:r w:rsidR="00B405E1" w:rsidRPr="00F11A18">
        <w:rPr>
          <w:sz w:val="20"/>
          <w:szCs w:val="20"/>
        </w:rPr>
        <w:t xml:space="preserve"> </w:t>
      </w:r>
      <w:r w:rsidRPr="00F11A18">
        <w:rPr>
          <w:sz w:val="20"/>
          <w:szCs w:val="20"/>
        </w:rPr>
        <w:t>Ravizzola</w:t>
      </w:r>
      <w:r w:rsidR="00B405E1" w:rsidRPr="00F11A18">
        <w:rPr>
          <w:sz w:val="20"/>
          <w:szCs w:val="20"/>
        </w:rPr>
        <w:t xml:space="preserve"> </w:t>
      </w:r>
      <w:r w:rsidRPr="00F11A18">
        <w:rPr>
          <w:sz w:val="20"/>
          <w:szCs w:val="20"/>
        </w:rPr>
        <w:t>G,</w:t>
      </w:r>
      <w:r w:rsidR="00B405E1" w:rsidRPr="00F11A18">
        <w:rPr>
          <w:sz w:val="20"/>
          <w:szCs w:val="20"/>
        </w:rPr>
        <w:t xml:space="preserve"> </w:t>
      </w:r>
      <w:r w:rsidRPr="00F11A18">
        <w:rPr>
          <w:sz w:val="20"/>
          <w:szCs w:val="20"/>
        </w:rPr>
        <w:t>Borlenghi</w:t>
      </w:r>
      <w:r w:rsidR="00B405E1" w:rsidRPr="00F11A18">
        <w:rPr>
          <w:sz w:val="20"/>
          <w:szCs w:val="20"/>
        </w:rPr>
        <w:t xml:space="preserve"> </w:t>
      </w:r>
      <w:r w:rsidRPr="00F11A18">
        <w:rPr>
          <w:sz w:val="20"/>
          <w:szCs w:val="20"/>
        </w:rPr>
        <w:t>E,</w:t>
      </w:r>
      <w:r w:rsidR="00B405E1" w:rsidRPr="00F11A18">
        <w:rPr>
          <w:sz w:val="20"/>
          <w:szCs w:val="20"/>
        </w:rPr>
        <w:t xml:space="preserve"> </w:t>
      </w:r>
      <w:r w:rsidRPr="00F11A18">
        <w:rPr>
          <w:sz w:val="20"/>
          <w:szCs w:val="20"/>
        </w:rPr>
        <w:t>et</w:t>
      </w:r>
      <w:r w:rsidR="00B405E1" w:rsidRPr="00F11A18">
        <w:rPr>
          <w:sz w:val="20"/>
          <w:szCs w:val="20"/>
        </w:rPr>
        <w:t xml:space="preserve"> </w:t>
      </w:r>
      <w:r w:rsidRPr="00F11A18">
        <w:rPr>
          <w:sz w:val="20"/>
          <w:szCs w:val="20"/>
        </w:rPr>
        <w:t>al.</w:t>
      </w:r>
      <w:r w:rsidR="00B405E1" w:rsidRPr="00F11A18">
        <w:rPr>
          <w:sz w:val="20"/>
          <w:szCs w:val="20"/>
        </w:rPr>
        <w:t xml:space="preserve"> </w:t>
      </w:r>
      <w:r w:rsidRPr="00F11A18">
        <w:rPr>
          <w:sz w:val="20"/>
          <w:szCs w:val="20"/>
        </w:rPr>
        <w:t>Recent</w:t>
      </w:r>
      <w:r w:rsidR="00B405E1" w:rsidRPr="00F11A18">
        <w:rPr>
          <w:sz w:val="20"/>
          <w:szCs w:val="20"/>
        </w:rPr>
        <w:t xml:space="preserve"> </w:t>
      </w:r>
      <w:r w:rsidRPr="00F11A18">
        <w:rPr>
          <w:sz w:val="20"/>
          <w:szCs w:val="20"/>
        </w:rPr>
        <w:t>increase</w:t>
      </w:r>
      <w:r w:rsidR="00F11A18">
        <w:rPr>
          <w:rFonts w:eastAsiaTheme="minorEastAsia" w:hint="eastAsia"/>
          <w:sz w:val="20"/>
          <w:szCs w:val="20"/>
          <w:lang w:eastAsia="zh-CN"/>
        </w:rPr>
        <w:t xml:space="preserve"> </w:t>
      </w:r>
      <w:r w:rsidRPr="00F11A18">
        <w:rPr>
          <w:sz w:val="20"/>
          <w:szCs w:val="20"/>
        </w:rPr>
        <w:t>inenterococci</w:t>
      </w:r>
      <w:r w:rsidR="00B41B23" w:rsidRPr="00F11A18">
        <w:rPr>
          <w:sz w:val="20"/>
          <w:szCs w:val="20"/>
        </w:rPr>
        <w:t>, v</w:t>
      </w:r>
      <w:r w:rsidRPr="00F11A18">
        <w:rPr>
          <w:sz w:val="20"/>
          <w:szCs w:val="20"/>
        </w:rPr>
        <w:t>iridansstreptococci</w:t>
      </w:r>
      <w:r w:rsidR="00B41B23" w:rsidRPr="00F11A18">
        <w:rPr>
          <w:sz w:val="20"/>
          <w:szCs w:val="20"/>
        </w:rPr>
        <w:t>, P</w:t>
      </w:r>
      <w:r w:rsidRPr="00F11A18">
        <w:rPr>
          <w:sz w:val="20"/>
          <w:szCs w:val="20"/>
        </w:rPr>
        <w:t>seudomonasspp</w:t>
      </w:r>
      <w:r w:rsidR="00B41B23" w:rsidRPr="00F11A18">
        <w:rPr>
          <w:sz w:val="20"/>
          <w:szCs w:val="20"/>
        </w:rPr>
        <w:t xml:space="preserve">. </w:t>
      </w:r>
      <w:r w:rsidR="00F11A18" w:rsidRPr="00F11A18">
        <w:rPr>
          <w:sz w:val="20"/>
          <w:szCs w:val="20"/>
        </w:rPr>
        <w:t>A</w:t>
      </w:r>
      <w:r w:rsidRPr="00F11A18">
        <w:rPr>
          <w:sz w:val="20"/>
          <w:szCs w:val="20"/>
        </w:rPr>
        <w:t>nd</w:t>
      </w:r>
      <w:r w:rsidR="00F11A18">
        <w:rPr>
          <w:rFonts w:eastAsiaTheme="minorEastAsia" w:hint="eastAsia"/>
          <w:sz w:val="20"/>
          <w:szCs w:val="20"/>
          <w:lang w:eastAsia="zh-CN"/>
        </w:rPr>
        <w:t xml:space="preserve"> </w:t>
      </w:r>
      <w:r w:rsidRPr="00F11A18">
        <w:rPr>
          <w:sz w:val="20"/>
          <w:szCs w:val="20"/>
        </w:rPr>
        <w:t>multiresistant</w:t>
      </w:r>
      <w:r w:rsidR="00F11A18">
        <w:rPr>
          <w:rFonts w:eastAsiaTheme="minorEastAsia" w:hint="eastAsia"/>
          <w:sz w:val="20"/>
          <w:szCs w:val="20"/>
          <w:lang w:eastAsia="zh-CN"/>
        </w:rPr>
        <w:t xml:space="preserve"> </w:t>
      </w:r>
      <w:r w:rsidRPr="00F11A18">
        <w:rPr>
          <w:sz w:val="20"/>
          <w:szCs w:val="20"/>
        </w:rPr>
        <w:t>strains</w:t>
      </w:r>
      <w:r w:rsidR="00F11A18">
        <w:rPr>
          <w:rFonts w:eastAsiaTheme="minorEastAsia" w:hint="eastAsia"/>
          <w:sz w:val="20"/>
          <w:szCs w:val="20"/>
          <w:lang w:eastAsia="zh-CN"/>
        </w:rPr>
        <w:t xml:space="preserve"> </w:t>
      </w:r>
      <w:r w:rsidRPr="00F11A18">
        <w:rPr>
          <w:sz w:val="20"/>
          <w:szCs w:val="20"/>
        </w:rPr>
        <w:t>among</w:t>
      </w:r>
      <w:r w:rsidR="00B405E1" w:rsidRPr="00F11A18">
        <w:rPr>
          <w:sz w:val="20"/>
          <w:szCs w:val="20"/>
        </w:rPr>
        <w:t xml:space="preserve"> </w:t>
      </w:r>
      <w:r w:rsidRPr="00F11A18">
        <w:rPr>
          <w:sz w:val="20"/>
          <w:szCs w:val="20"/>
        </w:rPr>
        <w:t>haematological</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negative</w:t>
      </w:r>
      <w:r w:rsidR="00B405E1" w:rsidRPr="00F11A18">
        <w:rPr>
          <w:sz w:val="20"/>
          <w:szCs w:val="20"/>
        </w:rPr>
        <w:t xml:space="preserve"> </w:t>
      </w:r>
      <w:r w:rsidRPr="00F11A18">
        <w:rPr>
          <w:sz w:val="20"/>
          <w:szCs w:val="20"/>
        </w:rPr>
        <w:t>impact</w:t>
      </w:r>
      <w:r w:rsidR="00B405E1" w:rsidRPr="00F11A18">
        <w:rPr>
          <w:sz w:val="20"/>
          <w:szCs w:val="20"/>
        </w:rPr>
        <w:t xml:space="preserve"> </w:t>
      </w:r>
      <w:r w:rsidRPr="00F11A18">
        <w:rPr>
          <w:sz w:val="20"/>
          <w:szCs w:val="20"/>
        </w:rPr>
        <w:t>on</w:t>
      </w:r>
      <w:r w:rsidR="00B405E1" w:rsidRPr="00F11A18">
        <w:rPr>
          <w:sz w:val="20"/>
          <w:szCs w:val="20"/>
        </w:rPr>
        <w:t xml:space="preserve"> </w:t>
      </w:r>
      <w:r w:rsidRPr="00F11A18">
        <w:rPr>
          <w:sz w:val="20"/>
          <w:szCs w:val="20"/>
        </w:rPr>
        <w:t>outcome.</w:t>
      </w:r>
      <w:r w:rsidR="00B405E1" w:rsidRPr="00F11A18">
        <w:rPr>
          <w:sz w:val="20"/>
          <w:szCs w:val="20"/>
        </w:rPr>
        <w:t xml:space="preserve"> </w:t>
      </w:r>
      <w:r w:rsidRPr="00F11A18">
        <w:rPr>
          <w:sz w:val="20"/>
          <w:szCs w:val="20"/>
        </w:rPr>
        <w:t>Results</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3-year</w:t>
      </w:r>
      <w:r w:rsidR="00B405E1" w:rsidRPr="00F11A18">
        <w:rPr>
          <w:sz w:val="20"/>
          <w:szCs w:val="20"/>
        </w:rPr>
        <w:t xml:space="preserve"> </w:t>
      </w:r>
      <w:r w:rsidRPr="00F11A18">
        <w:rPr>
          <w:sz w:val="20"/>
          <w:szCs w:val="20"/>
        </w:rPr>
        <w:t>surveillance</w:t>
      </w:r>
      <w:r w:rsidR="00B405E1" w:rsidRPr="00F11A18">
        <w:rPr>
          <w:sz w:val="20"/>
          <w:szCs w:val="20"/>
        </w:rPr>
        <w:t xml:space="preserve"> </w:t>
      </w:r>
      <w:r w:rsidRPr="00F11A18">
        <w:rPr>
          <w:sz w:val="20"/>
          <w:szCs w:val="20"/>
        </w:rPr>
        <w:t>study</w:t>
      </w:r>
      <w:r w:rsidR="00B405E1" w:rsidRPr="00F11A18">
        <w:rPr>
          <w:sz w:val="20"/>
          <w:szCs w:val="20"/>
        </w:rPr>
        <w:t xml:space="preserve"> </w:t>
      </w:r>
      <w:r w:rsidRPr="00F11A18">
        <w:rPr>
          <w:sz w:val="20"/>
          <w:szCs w:val="20"/>
        </w:rPr>
        <w:t>at</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single</w:t>
      </w:r>
      <w:r w:rsidR="00B405E1" w:rsidRPr="00F11A18">
        <w:rPr>
          <w:sz w:val="20"/>
          <w:szCs w:val="20"/>
        </w:rPr>
        <w:t xml:space="preserve"> </w:t>
      </w:r>
      <w:r w:rsidRPr="00F11A18">
        <w:rPr>
          <w:sz w:val="20"/>
          <w:szCs w:val="20"/>
        </w:rPr>
        <w:t>institution.</w:t>
      </w:r>
      <w:r w:rsidR="00B405E1" w:rsidRPr="00F11A18">
        <w:rPr>
          <w:sz w:val="20"/>
          <w:szCs w:val="20"/>
        </w:rPr>
        <w:t xml:space="preserve"> </w:t>
      </w:r>
      <w:r w:rsidRPr="00F11A18">
        <w:rPr>
          <w:sz w:val="20"/>
          <w:szCs w:val="20"/>
        </w:rPr>
        <w:t>Scand</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Infect</w:t>
      </w:r>
      <w:r w:rsidR="00B405E1" w:rsidRPr="00F11A18">
        <w:rPr>
          <w:sz w:val="20"/>
          <w:szCs w:val="20"/>
        </w:rPr>
        <w:t xml:space="preserve"> </w:t>
      </w:r>
      <w:r w:rsidRPr="00F11A18">
        <w:rPr>
          <w:sz w:val="20"/>
          <w:szCs w:val="20"/>
        </w:rPr>
        <w:t>Dis.</w:t>
      </w:r>
      <w:r w:rsidR="00B405E1" w:rsidRPr="00F11A18">
        <w:rPr>
          <w:sz w:val="20"/>
          <w:szCs w:val="20"/>
        </w:rPr>
        <w:t xml:space="preserve"> </w:t>
      </w:r>
      <w:r w:rsidRPr="00F11A18">
        <w:rPr>
          <w:sz w:val="20"/>
          <w:szCs w:val="20"/>
        </w:rPr>
        <w:t>2010;42(5):324–32.</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Cattaneo</w:t>
      </w:r>
      <w:r w:rsidR="00B405E1" w:rsidRPr="00F11A18">
        <w:rPr>
          <w:sz w:val="20"/>
          <w:szCs w:val="20"/>
        </w:rPr>
        <w:t xml:space="preserve"> </w:t>
      </w:r>
      <w:r w:rsidRPr="00F11A18">
        <w:rPr>
          <w:sz w:val="20"/>
          <w:szCs w:val="20"/>
        </w:rPr>
        <w:t>C,</w:t>
      </w:r>
      <w:r w:rsidR="00B405E1" w:rsidRPr="00F11A18">
        <w:rPr>
          <w:sz w:val="20"/>
          <w:szCs w:val="20"/>
        </w:rPr>
        <w:t xml:space="preserve"> </w:t>
      </w:r>
      <w:r w:rsidRPr="00F11A18">
        <w:rPr>
          <w:sz w:val="20"/>
          <w:szCs w:val="20"/>
        </w:rPr>
        <w:t>Antoniazzi</w:t>
      </w:r>
      <w:r w:rsidR="00B405E1" w:rsidRPr="00F11A18">
        <w:rPr>
          <w:sz w:val="20"/>
          <w:szCs w:val="20"/>
        </w:rPr>
        <w:t xml:space="preserve"> </w:t>
      </w:r>
      <w:r w:rsidRPr="00F11A18">
        <w:rPr>
          <w:sz w:val="20"/>
          <w:szCs w:val="20"/>
        </w:rPr>
        <w:t>F,</w:t>
      </w:r>
      <w:r w:rsidR="00B405E1" w:rsidRPr="00F11A18">
        <w:rPr>
          <w:sz w:val="20"/>
          <w:szCs w:val="20"/>
        </w:rPr>
        <w:t xml:space="preserve"> </w:t>
      </w:r>
      <w:r w:rsidRPr="00F11A18">
        <w:rPr>
          <w:sz w:val="20"/>
          <w:szCs w:val="20"/>
        </w:rPr>
        <w:t>Casari</w:t>
      </w:r>
      <w:r w:rsidR="00B405E1" w:rsidRPr="00F11A18">
        <w:rPr>
          <w:sz w:val="20"/>
          <w:szCs w:val="20"/>
        </w:rPr>
        <w:t xml:space="preserve"> </w:t>
      </w:r>
      <w:r w:rsidRPr="00F11A18">
        <w:rPr>
          <w:sz w:val="20"/>
          <w:szCs w:val="20"/>
        </w:rPr>
        <w:t>S,</w:t>
      </w:r>
      <w:r w:rsidR="00B405E1" w:rsidRPr="00F11A18">
        <w:rPr>
          <w:sz w:val="20"/>
          <w:szCs w:val="20"/>
        </w:rPr>
        <w:t xml:space="preserve"> </w:t>
      </w:r>
      <w:r w:rsidRPr="00F11A18">
        <w:rPr>
          <w:sz w:val="20"/>
          <w:szCs w:val="20"/>
        </w:rPr>
        <w:t>Ravizzola</w:t>
      </w:r>
      <w:r w:rsidR="00B405E1" w:rsidRPr="00F11A18">
        <w:rPr>
          <w:sz w:val="20"/>
          <w:szCs w:val="20"/>
        </w:rPr>
        <w:t xml:space="preserve"> </w:t>
      </w:r>
      <w:r w:rsidRPr="00F11A18">
        <w:rPr>
          <w:sz w:val="20"/>
          <w:szCs w:val="20"/>
        </w:rPr>
        <w:t>G,</w:t>
      </w:r>
      <w:r w:rsidR="00B405E1" w:rsidRPr="00F11A18">
        <w:rPr>
          <w:sz w:val="20"/>
          <w:szCs w:val="20"/>
        </w:rPr>
        <w:t xml:space="preserve"> </w:t>
      </w:r>
      <w:r w:rsidRPr="00F11A18">
        <w:rPr>
          <w:sz w:val="20"/>
          <w:szCs w:val="20"/>
        </w:rPr>
        <w:t>Gelmi</w:t>
      </w:r>
      <w:r w:rsidR="00B405E1" w:rsidRPr="00F11A18">
        <w:rPr>
          <w:sz w:val="20"/>
          <w:szCs w:val="20"/>
        </w:rPr>
        <w:t xml:space="preserve"> </w:t>
      </w:r>
      <w:r w:rsidRPr="00F11A18">
        <w:rPr>
          <w:sz w:val="20"/>
          <w:szCs w:val="20"/>
        </w:rPr>
        <w:t>M,</w:t>
      </w:r>
      <w:r w:rsidR="00B405E1" w:rsidRPr="00F11A18">
        <w:rPr>
          <w:sz w:val="20"/>
          <w:szCs w:val="20"/>
        </w:rPr>
        <w:t xml:space="preserve"> </w:t>
      </w:r>
      <w:r w:rsidRPr="00F11A18">
        <w:rPr>
          <w:sz w:val="20"/>
          <w:szCs w:val="20"/>
        </w:rPr>
        <w:t>Pagani</w:t>
      </w:r>
      <w:r w:rsidR="00B405E1" w:rsidRPr="00F11A18">
        <w:rPr>
          <w:sz w:val="20"/>
          <w:szCs w:val="20"/>
        </w:rPr>
        <w:t xml:space="preserve"> </w:t>
      </w:r>
      <w:r w:rsidRPr="00F11A18">
        <w:rPr>
          <w:sz w:val="20"/>
          <w:szCs w:val="20"/>
        </w:rPr>
        <w:t>C,</w:t>
      </w:r>
      <w:r w:rsidR="00B405E1" w:rsidRPr="00F11A18">
        <w:rPr>
          <w:sz w:val="20"/>
          <w:szCs w:val="20"/>
        </w:rPr>
        <w:t xml:space="preserve"> </w:t>
      </w:r>
      <w:r w:rsidRPr="00F11A18">
        <w:rPr>
          <w:sz w:val="20"/>
          <w:szCs w:val="20"/>
        </w:rPr>
        <w:t>et</w:t>
      </w:r>
      <w:r w:rsidR="00B405E1" w:rsidRPr="00F11A18">
        <w:rPr>
          <w:sz w:val="20"/>
          <w:szCs w:val="20"/>
        </w:rPr>
        <w:t xml:space="preserve"> </w:t>
      </w:r>
      <w:r w:rsidRPr="00F11A18">
        <w:rPr>
          <w:sz w:val="20"/>
          <w:szCs w:val="20"/>
        </w:rPr>
        <w:t>al.</w:t>
      </w:r>
      <w:r w:rsidR="00B405E1" w:rsidRPr="00F11A18">
        <w:rPr>
          <w:sz w:val="20"/>
          <w:szCs w:val="20"/>
        </w:rPr>
        <w:t xml:space="preserve"> </w:t>
      </w:r>
      <w:r w:rsidRPr="00F11A18">
        <w:rPr>
          <w:sz w:val="20"/>
          <w:szCs w:val="20"/>
        </w:rPr>
        <w:t>P.</w:t>
      </w:r>
      <w:r w:rsidR="00B405E1" w:rsidRPr="00F11A18">
        <w:rPr>
          <w:sz w:val="20"/>
          <w:szCs w:val="20"/>
        </w:rPr>
        <w:t xml:space="preserve"> </w:t>
      </w:r>
      <w:r w:rsidRPr="00F11A18">
        <w:rPr>
          <w:sz w:val="20"/>
          <w:szCs w:val="20"/>
        </w:rPr>
        <w:t>aeruginosa</w:t>
      </w:r>
      <w:r w:rsidR="00B405E1" w:rsidRPr="00F11A18">
        <w:rPr>
          <w:sz w:val="20"/>
          <w:szCs w:val="20"/>
        </w:rPr>
        <w:t xml:space="preserve"> </w:t>
      </w:r>
      <w:r w:rsidRPr="00F11A18">
        <w:rPr>
          <w:sz w:val="20"/>
          <w:szCs w:val="20"/>
        </w:rPr>
        <w:t>bloodstream</w:t>
      </w:r>
      <w:r w:rsidR="00B405E1" w:rsidRPr="00F11A18">
        <w:rPr>
          <w:sz w:val="20"/>
          <w:szCs w:val="20"/>
        </w:rPr>
        <w:t xml:space="preserve"> </w:t>
      </w:r>
      <w:r w:rsidRPr="00F11A18">
        <w:rPr>
          <w:sz w:val="20"/>
          <w:szCs w:val="20"/>
        </w:rPr>
        <w:t>infections</w:t>
      </w:r>
      <w:r w:rsidR="00B405E1" w:rsidRPr="00F11A18">
        <w:rPr>
          <w:sz w:val="20"/>
          <w:szCs w:val="20"/>
        </w:rPr>
        <w:t xml:space="preserve"> </w:t>
      </w:r>
      <w:r w:rsidRPr="00F11A18">
        <w:rPr>
          <w:sz w:val="20"/>
          <w:szCs w:val="20"/>
        </w:rPr>
        <w:t>among</w:t>
      </w:r>
      <w:r w:rsidR="00B405E1" w:rsidRPr="00F11A18">
        <w:rPr>
          <w:sz w:val="20"/>
          <w:szCs w:val="20"/>
        </w:rPr>
        <w:t xml:space="preserve"> </w:t>
      </w:r>
      <w:r w:rsidRPr="00F11A18">
        <w:rPr>
          <w:sz w:val="20"/>
          <w:szCs w:val="20"/>
        </w:rPr>
        <w:t>hematological</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an</w:t>
      </w:r>
      <w:r w:rsidR="00B405E1" w:rsidRPr="00F11A18">
        <w:rPr>
          <w:sz w:val="20"/>
          <w:szCs w:val="20"/>
        </w:rPr>
        <w:t xml:space="preserve"> </w:t>
      </w:r>
      <w:r w:rsidRPr="00F11A18">
        <w:rPr>
          <w:sz w:val="20"/>
          <w:szCs w:val="20"/>
        </w:rPr>
        <w:t>old</w:t>
      </w:r>
      <w:r w:rsidR="00B405E1" w:rsidRPr="00F11A18">
        <w:rPr>
          <w:sz w:val="20"/>
          <w:szCs w:val="20"/>
        </w:rPr>
        <w:t xml:space="preserve"> </w:t>
      </w:r>
      <w:r w:rsidRPr="00F11A18">
        <w:rPr>
          <w:sz w:val="20"/>
          <w:szCs w:val="20"/>
        </w:rPr>
        <w:t>or</w:t>
      </w:r>
      <w:r w:rsidR="00B405E1" w:rsidRPr="00F11A18">
        <w:rPr>
          <w:sz w:val="20"/>
          <w:szCs w:val="20"/>
        </w:rPr>
        <w:t xml:space="preserve"> </w:t>
      </w:r>
      <w:r w:rsidRPr="00F11A18">
        <w:rPr>
          <w:sz w:val="20"/>
          <w:szCs w:val="20"/>
        </w:rPr>
        <w:t>new</w:t>
      </w:r>
      <w:r w:rsidR="00B405E1" w:rsidRPr="00F11A18">
        <w:rPr>
          <w:sz w:val="20"/>
          <w:szCs w:val="20"/>
        </w:rPr>
        <w:t xml:space="preserve"> </w:t>
      </w:r>
      <w:r w:rsidRPr="00F11A18">
        <w:rPr>
          <w:sz w:val="20"/>
          <w:szCs w:val="20"/>
        </w:rPr>
        <w:t>question?</w:t>
      </w:r>
      <w:r w:rsidR="00B405E1" w:rsidRPr="00F11A18">
        <w:rPr>
          <w:sz w:val="20"/>
          <w:szCs w:val="20"/>
        </w:rPr>
        <w:t xml:space="preserve"> </w:t>
      </w:r>
      <w:r w:rsidRPr="00F11A18">
        <w:rPr>
          <w:sz w:val="20"/>
          <w:szCs w:val="20"/>
        </w:rPr>
        <w:t>Ann</w:t>
      </w:r>
      <w:r w:rsidR="00B405E1" w:rsidRPr="00F11A18">
        <w:rPr>
          <w:sz w:val="20"/>
          <w:szCs w:val="20"/>
        </w:rPr>
        <w:t xml:space="preserve"> </w:t>
      </w:r>
      <w:r w:rsidRPr="00F11A18">
        <w:rPr>
          <w:sz w:val="20"/>
          <w:szCs w:val="20"/>
        </w:rPr>
        <w:t>Hematol.2012;91(8):1299–304.</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Gudiol</w:t>
      </w:r>
      <w:r w:rsidR="00B405E1" w:rsidRPr="00F11A18">
        <w:rPr>
          <w:sz w:val="20"/>
          <w:szCs w:val="20"/>
        </w:rPr>
        <w:t xml:space="preserve"> </w:t>
      </w:r>
      <w:r w:rsidRPr="00F11A18">
        <w:rPr>
          <w:sz w:val="20"/>
          <w:szCs w:val="20"/>
        </w:rPr>
        <w:t>C,</w:t>
      </w:r>
      <w:r w:rsidR="00B405E1" w:rsidRPr="00F11A18">
        <w:rPr>
          <w:sz w:val="20"/>
          <w:szCs w:val="20"/>
        </w:rPr>
        <w:t xml:space="preserve"> </w:t>
      </w:r>
      <w:r w:rsidRPr="00F11A18">
        <w:rPr>
          <w:sz w:val="20"/>
          <w:szCs w:val="20"/>
        </w:rPr>
        <w:t>Tubau</w:t>
      </w:r>
      <w:r w:rsidR="00B405E1" w:rsidRPr="00F11A18">
        <w:rPr>
          <w:sz w:val="20"/>
          <w:szCs w:val="20"/>
        </w:rPr>
        <w:t xml:space="preserve"> </w:t>
      </w:r>
      <w:r w:rsidRPr="00F11A18">
        <w:rPr>
          <w:sz w:val="20"/>
          <w:szCs w:val="20"/>
        </w:rPr>
        <w:t>F,</w:t>
      </w:r>
      <w:r w:rsidR="00B405E1" w:rsidRPr="00F11A18">
        <w:rPr>
          <w:sz w:val="20"/>
          <w:szCs w:val="20"/>
        </w:rPr>
        <w:t xml:space="preserve"> </w:t>
      </w:r>
      <w:r w:rsidRPr="00F11A18">
        <w:rPr>
          <w:sz w:val="20"/>
          <w:szCs w:val="20"/>
        </w:rPr>
        <w:t>Calatayud</w:t>
      </w:r>
      <w:r w:rsidR="00B405E1" w:rsidRPr="00F11A18">
        <w:rPr>
          <w:sz w:val="20"/>
          <w:szCs w:val="20"/>
        </w:rPr>
        <w:t xml:space="preserve"> </w:t>
      </w:r>
      <w:r w:rsidRPr="00F11A18">
        <w:rPr>
          <w:sz w:val="20"/>
          <w:szCs w:val="20"/>
        </w:rPr>
        <w:t>L,</w:t>
      </w:r>
      <w:r w:rsidR="00B405E1" w:rsidRPr="00F11A18">
        <w:rPr>
          <w:sz w:val="20"/>
          <w:szCs w:val="20"/>
        </w:rPr>
        <w:t xml:space="preserve"> </w:t>
      </w:r>
      <w:r w:rsidRPr="00F11A18">
        <w:rPr>
          <w:sz w:val="20"/>
          <w:szCs w:val="20"/>
        </w:rPr>
        <w:t>Garcia-Vidal</w:t>
      </w:r>
      <w:r w:rsidR="00B405E1" w:rsidRPr="00F11A18">
        <w:rPr>
          <w:sz w:val="20"/>
          <w:szCs w:val="20"/>
        </w:rPr>
        <w:t xml:space="preserve"> </w:t>
      </w:r>
      <w:r w:rsidRPr="00F11A18">
        <w:rPr>
          <w:sz w:val="20"/>
          <w:szCs w:val="20"/>
        </w:rPr>
        <w:t>C,</w:t>
      </w:r>
      <w:r w:rsidR="00B405E1" w:rsidRPr="00F11A18">
        <w:rPr>
          <w:sz w:val="20"/>
          <w:szCs w:val="20"/>
        </w:rPr>
        <w:t xml:space="preserve"> </w:t>
      </w:r>
      <w:r w:rsidRPr="00F11A18">
        <w:rPr>
          <w:sz w:val="20"/>
          <w:szCs w:val="20"/>
        </w:rPr>
        <w:t>Cisnal</w:t>
      </w:r>
      <w:r w:rsidR="00B405E1" w:rsidRPr="00F11A18">
        <w:rPr>
          <w:sz w:val="20"/>
          <w:szCs w:val="20"/>
        </w:rPr>
        <w:t xml:space="preserve"> </w:t>
      </w:r>
      <w:r w:rsidRPr="00F11A18">
        <w:rPr>
          <w:sz w:val="20"/>
          <w:szCs w:val="20"/>
        </w:rPr>
        <w:t>M,</w:t>
      </w:r>
      <w:r w:rsidR="00B405E1" w:rsidRPr="00F11A18">
        <w:rPr>
          <w:sz w:val="20"/>
          <w:szCs w:val="20"/>
        </w:rPr>
        <w:t xml:space="preserve"> </w:t>
      </w:r>
      <w:r w:rsidRPr="00F11A18">
        <w:rPr>
          <w:sz w:val="20"/>
          <w:szCs w:val="20"/>
        </w:rPr>
        <w:t>Sánchez-Ortega</w:t>
      </w:r>
      <w:r w:rsidR="00B405E1" w:rsidRPr="00F11A18">
        <w:rPr>
          <w:sz w:val="20"/>
          <w:szCs w:val="20"/>
        </w:rPr>
        <w:t xml:space="preserve"> </w:t>
      </w:r>
      <w:r w:rsidRPr="00F11A18">
        <w:rPr>
          <w:sz w:val="20"/>
          <w:szCs w:val="20"/>
        </w:rPr>
        <w:t>I,</w:t>
      </w:r>
      <w:r w:rsidR="00B405E1" w:rsidRPr="00F11A18">
        <w:rPr>
          <w:sz w:val="20"/>
          <w:szCs w:val="20"/>
        </w:rPr>
        <w:t xml:space="preserve"> </w:t>
      </w:r>
      <w:r w:rsidRPr="00F11A18">
        <w:rPr>
          <w:sz w:val="20"/>
          <w:szCs w:val="20"/>
        </w:rPr>
        <w:t>et</w:t>
      </w:r>
      <w:r w:rsidR="00B405E1" w:rsidRPr="00F11A18">
        <w:rPr>
          <w:sz w:val="20"/>
          <w:szCs w:val="20"/>
        </w:rPr>
        <w:t xml:space="preserve"> </w:t>
      </w:r>
      <w:r w:rsidRPr="00F11A18">
        <w:rPr>
          <w:sz w:val="20"/>
          <w:szCs w:val="20"/>
        </w:rPr>
        <w:t>al.</w:t>
      </w:r>
      <w:r w:rsidR="00B405E1" w:rsidRPr="00F11A18">
        <w:rPr>
          <w:sz w:val="20"/>
          <w:szCs w:val="20"/>
        </w:rPr>
        <w:t xml:space="preserve"> </w:t>
      </w:r>
      <w:r w:rsidRPr="00F11A18">
        <w:rPr>
          <w:sz w:val="20"/>
          <w:szCs w:val="20"/>
        </w:rPr>
        <w:t>Bacteraemia</w:t>
      </w:r>
      <w:r w:rsidR="00B405E1" w:rsidRPr="00F11A18">
        <w:rPr>
          <w:sz w:val="20"/>
          <w:szCs w:val="20"/>
        </w:rPr>
        <w:t xml:space="preserve"> </w:t>
      </w:r>
      <w:r w:rsidRPr="00F11A18">
        <w:rPr>
          <w:sz w:val="20"/>
          <w:szCs w:val="20"/>
        </w:rPr>
        <w:t>due</w:t>
      </w:r>
      <w:r w:rsidR="00B405E1" w:rsidRPr="00F11A18">
        <w:rPr>
          <w:sz w:val="20"/>
          <w:szCs w:val="20"/>
        </w:rPr>
        <w:t xml:space="preserve"> </w:t>
      </w:r>
      <w:r w:rsidRPr="00F11A18">
        <w:rPr>
          <w:sz w:val="20"/>
          <w:szCs w:val="20"/>
        </w:rPr>
        <w:t>to</w:t>
      </w:r>
      <w:r w:rsidR="00B405E1" w:rsidRPr="00F11A18">
        <w:rPr>
          <w:sz w:val="20"/>
          <w:szCs w:val="20"/>
        </w:rPr>
        <w:t xml:space="preserve"> </w:t>
      </w:r>
      <w:r w:rsidRPr="00F11A18">
        <w:rPr>
          <w:sz w:val="20"/>
          <w:szCs w:val="20"/>
        </w:rPr>
        <w:t>multidrug-resistant</w:t>
      </w:r>
      <w:r w:rsidR="00B405E1" w:rsidRPr="00F11A18">
        <w:rPr>
          <w:sz w:val="20"/>
          <w:szCs w:val="20"/>
        </w:rPr>
        <w:t xml:space="preserve"> </w:t>
      </w:r>
      <w:r w:rsidRPr="00F11A18">
        <w:rPr>
          <w:sz w:val="20"/>
          <w:szCs w:val="20"/>
        </w:rPr>
        <w:t>Gram-negative</w:t>
      </w:r>
      <w:r w:rsidR="00B405E1" w:rsidRPr="00F11A18">
        <w:rPr>
          <w:sz w:val="20"/>
          <w:szCs w:val="20"/>
        </w:rPr>
        <w:t xml:space="preserve"> </w:t>
      </w:r>
      <w:r w:rsidRPr="00F11A18">
        <w:rPr>
          <w:sz w:val="20"/>
          <w:szCs w:val="20"/>
        </w:rPr>
        <w:t>bacilli</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cancer</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risk</w:t>
      </w:r>
      <w:r w:rsidR="00B405E1" w:rsidRPr="00F11A18">
        <w:rPr>
          <w:sz w:val="20"/>
          <w:szCs w:val="20"/>
        </w:rPr>
        <w:t xml:space="preserve"> </w:t>
      </w:r>
      <w:r w:rsidRPr="00F11A18">
        <w:rPr>
          <w:sz w:val="20"/>
          <w:szCs w:val="20"/>
        </w:rPr>
        <w:t>factors,</w:t>
      </w:r>
      <w:r w:rsidR="00B405E1" w:rsidRPr="00F11A18">
        <w:rPr>
          <w:sz w:val="20"/>
          <w:szCs w:val="20"/>
        </w:rPr>
        <w:t xml:space="preserve"> </w:t>
      </w:r>
      <w:r w:rsidRPr="00F11A18">
        <w:rPr>
          <w:sz w:val="20"/>
          <w:szCs w:val="20"/>
        </w:rPr>
        <w:t>antibiotic</w:t>
      </w:r>
      <w:r w:rsidR="00B405E1" w:rsidRPr="00F11A18">
        <w:rPr>
          <w:sz w:val="20"/>
          <w:szCs w:val="20"/>
        </w:rPr>
        <w:t xml:space="preserve"> </w:t>
      </w:r>
      <w:r w:rsidRPr="00F11A18">
        <w:rPr>
          <w:sz w:val="20"/>
          <w:szCs w:val="20"/>
        </w:rPr>
        <w:t>therapy</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outcomes.</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Antimicro</w:t>
      </w:r>
      <w:r w:rsidR="009A440F" w:rsidRPr="00F11A18">
        <w:rPr>
          <w:sz w:val="20"/>
          <w:szCs w:val="20"/>
        </w:rPr>
        <w:t xml:space="preserve">b </w:t>
      </w:r>
      <w:proofErr w:type="spellStart"/>
      <w:r w:rsidR="009A440F" w:rsidRPr="00F11A18">
        <w:rPr>
          <w:sz w:val="20"/>
          <w:szCs w:val="20"/>
        </w:rPr>
        <w:t>C</w:t>
      </w:r>
      <w:r w:rsidRPr="00F11A18">
        <w:rPr>
          <w:sz w:val="20"/>
          <w:szCs w:val="20"/>
        </w:rPr>
        <w:t>hemother</w:t>
      </w:r>
      <w:proofErr w:type="spellEnd"/>
      <w:r w:rsidRPr="00F11A18">
        <w:rPr>
          <w:sz w:val="20"/>
          <w:szCs w:val="20"/>
        </w:rPr>
        <w:t>.</w:t>
      </w:r>
      <w:r w:rsidR="007457A4">
        <w:rPr>
          <w:rFonts w:eastAsiaTheme="minorEastAsia" w:hint="eastAsia"/>
          <w:sz w:val="20"/>
          <w:szCs w:val="20"/>
          <w:lang w:eastAsia="zh-CN"/>
        </w:rPr>
        <w:t xml:space="preserve"> </w:t>
      </w:r>
      <w:r w:rsidRPr="00F11A18">
        <w:rPr>
          <w:sz w:val="20"/>
          <w:szCs w:val="20"/>
        </w:rPr>
        <w:t>2011;66(3):657–63.</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Ortega</w:t>
      </w:r>
      <w:r w:rsidR="00B405E1" w:rsidRPr="00F11A18">
        <w:rPr>
          <w:sz w:val="20"/>
          <w:szCs w:val="20"/>
        </w:rPr>
        <w:t xml:space="preserve"> </w:t>
      </w:r>
      <w:r w:rsidRPr="00F11A18">
        <w:rPr>
          <w:sz w:val="20"/>
          <w:szCs w:val="20"/>
        </w:rPr>
        <w:t>M,</w:t>
      </w:r>
      <w:r w:rsidR="00B405E1" w:rsidRPr="00F11A18">
        <w:rPr>
          <w:sz w:val="20"/>
          <w:szCs w:val="20"/>
        </w:rPr>
        <w:t xml:space="preserve"> </w:t>
      </w:r>
      <w:r w:rsidRPr="00F11A18">
        <w:rPr>
          <w:sz w:val="20"/>
          <w:szCs w:val="20"/>
        </w:rPr>
        <w:t>Marco</w:t>
      </w:r>
      <w:r w:rsidR="00B405E1" w:rsidRPr="00F11A18">
        <w:rPr>
          <w:sz w:val="20"/>
          <w:szCs w:val="20"/>
        </w:rPr>
        <w:t xml:space="preserve"> </w:t>
      </w:r>
      <w:r w:rsidRPr="00F11A18">
        <w:rPr>
          <w:sz w:val="20"/>
          <w:szCs w:val="20"/>
        </w:rPr>
        <w:t>F,</w:t>
      </w:r>
      <w:r w:rsidR="00B405E1" w:rsidRPr="00F11A18">
        <w:rPr>
          <w:sz w:val="20"/>
          <w:szCs w:val="20"/>
        </w:rPr>
        <w:t xml:space="preserve"> </w:t>
      </w:r>
      <w:r w:rsidRPr="00F11A18">
        <w:rPr>
          <w:sz w:val="20"/>
          <w:szCs w:val="20"/>
        </w:rPr>
        <w:t>Soriano</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Almela</w:t>
      </w:r>
      <w:r w:rsidR="00B405E1" w:rsidRPr="00F11A18">
        <w:rPr>
          <w:sz w:val="20"/>
          <w:szCs w:val="20"/>
        </w:rPr>
        <w:t xml:space="preserve"> </w:t>
      </w:r>
      <w:r w:rsidRPr="00F11A18">
        <w:rPr>
          <w:sz w:val="20"/>
          <w:szCs w:val="20"/>
        </w:rPr>
        <w:t>M,</w:t>
      </w:r>
      <w:r w:rsidR="00B405E1" w:rsidRPr="00F11A18">
        <w:rPr>
          <w:sz w:val="20"/>
          <w:szCs w:val="20"/>
        </w:rPr>
        <w:t xml:space="preserve"> </w:t>
      </w:r>
      <w:r w:rsidRPr="00F11A18">
        <w:rPr>
          <w:sz w:val="20"/>
          <w:szCs w:val="20"/>
        </w:rPr>
        <w:t>Martínez</w:t>
      </w:r>
      <w:r w:rsidR="00B405E1" w:rsidRPr="00F11A18">
        <w:rPr>
          <w:sz w:val="20"/>
          <w:szCs w:val="20"/>
        </w:rPr>
        <w:t xml:space="preserve"> </w:t>
      </w:r>
      <w:r w:rsidRPr="00F11A18">
        <w:rPr>
          <w:sz w:val="20"/>
          <w:szCs w:val="20"/>
        </w:rPr>
        <w:t>JA,</w:t>
      </w:r>
      <w:r w:rsidR="00B405E1" w:rsidRPr="00F11A18">
        <w:rPr>
          <w:sz w:val="20"/>
          <w:szCs w:val="20"/>
        </w:rPr>
        <w:t xml:space="preserve"> </w:t>
      </w:r>
      <w:r w:rsidRPr="00F11A18">
        <w:rPr>
          <w:sz w:val="20"/>
          <w:szCs w:val="20"/>
        </w:rPr>
        <w:t>Muñoz</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Mensa</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Analysis</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4758</w:t>
      </w:r>
      <w:r w:rsidR="00B405E1" w:rsidRPr="00F11A18">
        <w:rPr>
          <w:sz w:val="20"/>
          <w:szCs w:val="20"/>
        </w:rPr>
        <w:t xml:space="preserve"> </w:t>
      </w:r>
      <w:r w:rsidRPr="00F11A18">
        <w:rPr>
          <w:sz w:val="20"/>
          <w:szCs w:val="20"/>
        </w:rPr>
        <w:t>Escherichia</w:t>
      </w:r>
      <w:r w:rsidR="00B405E1" w:rsidRPr="00F11A18">
        <w:rPr>
          <w:sz w:val="20"/>
          <w:szCs w:val="20"/>
        </w:rPr>
        <w:t xml:space="preserve"> </w:t>
      </w:r>
      <w:r w:rsidRPr="00F11A18">
        <w:rPr>
          <w:sz w:val="20"/>
          <w:szCs w:val="20"/>
        </w:rPr>
        <w:t>coli</w:t>
      </w:r>
      <w:r w:rsidR="00B405E1" w:rsidRPr="00F11A18">
        <w:rPr>
          <w:sz w:val="20"/>
          <w:szCs w:val="20"/>
        </w:rPr>
        <w:t xml:space="preserve"> </w:t>
      </w:r>
      <w:r w:rsidRPr="00F11A18">
        <w:rPr>
          <w:sz w:val="20"/>
          <w:szCs w:val="20"/>
        </w:rPr>
        <w:t>bacteraemia</w:t>
      </w:r>
      <w:r w:rsidR="00B405E1" w:rsidRPr="00F11A18">
        <w:rPr>
          <w:sz w:val="20"/>
          <w:szCs w:val="20"/>
        </w:rPr>
        <w:t xml:space="preserve"> </w:t>
      </w:r>
      <w:r w:rsidRPr="00F11A18">
        <w:rPr>
          <w:sz w:val="20"/>
          <w:szCs w:val="20"/>
        </w:rPr>
        <w:t>episodes:</w:t>
      </w:r>
      <w:r w:rsidR="00B405E1" w:rsidRPr="00F11A18">
        <w:rPr>
          <w:sz w:val="20"/>
          <w:szCs w:val="20"/>
        </w:rPr>
        <w:t xml:space="preserve"> </w:t>
      </w:r>
      <w:r w:rsidRPr="00F11A18">
        <w:rPr>
          <w:sz w:val="20"/>
          <w:szCs w:val="20"/>
        </w:rPr>
        <w:t>predictive</w:t>
      </w:r>
      <w:r w:rsidR="00B405E1" w:rsidRPr="00F11A18">
        <w:rPr>
          <w:sz w:val="20"/>
          <w:szCs w:val="20"/>
        </w:rPr>
        <w:t xml:space="preserve"> </w:t>
      </w:r>
      <w:r w:rsidRPr="00F11A18">
        <w:rPr>
          <w:sz w:val="20"/>
          <w:szCs w:val="20"/>
        </w:rPr>
        <w:t>factors</w:t>
      </w:r>
      <w:r w:rsidR="00B405E1" w:rsidRPr="00F11A18">
        <w:rPr>
          <w:sz w:val="20"/>
          <w:szCs w:val="20"/>
        </w:rPr>
        <w:t xml:space="preserve"> </w:t>
      </w:r>
      <w:r w:rsidRPr="00F11A18">
        <w:rPr>
          <w:sz w:val="20"/>
          <w:szCs w:val="20"/>
        </w:rPr>
        <w:t>for</w:t>
      </w:r>
      <w:r w:rsidR="00B405E1" w:rsidRPr="00F11A18">
        <w:rPr>
          <w:sz w:val="20"/>
          <w:szCs w:val="20"/>
        </w:rPr>
        <w:t xml:space="preserve"> </w:t>
      </w:r>
      <w:r w:rsidRPr="00F11A18">
        <w:rPr>
          <w:sz w:val="20"/>
          <w:szCs w:val="20"/>
        </w:rPr>
        <w:t>isolation</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an</w:t>
      </w:r>
      <w:r w:rsidR="00B405E1" w:rsidRPr="00F11A18">
        <w:rPr>
          <w:sz w:val="20"/>
          <w:szCs w:val="20"/>
        </w:rPr>
        <w:t xml:space="preserve"> </w:t>
      </w:r>
      <w:r w:rsidRPr="00F11A18">
        <w:rPr>
          <w:sz w:val="20"/>
          <w:szCs w:val="20"/>
        </w:rPr>
        <w:t>antibiotic-</w:t>
      </w:r>
      <w:r w:rsidR="00B405E1" w:rsidRPr="00F11A18">
        <w:rPr>
          <w:sz w:val="20"/>
          <w:szCs w:val="20"/>
        </w:rPr>
        <w:t xml:space="preserve"> </w:t>
      </w:r>
      <w:r w:rsidRPr="00F11A18">
        <w:rPr>
          <w:sz w:val="20"/>
          <w:szCs w:val="20"/>
        </w:rPr>
        <w:t>resistant</w:t>
      </w:r>
      <w:r w:rsidR="00B405E1" w:rsidRPr="00F11A18">
        <w:rPr>
          <w:sz w:val="20"/>
          <w:szCs w:val="20"/>
        </w:rPr>
        <w:t xml:space="preserve"> </w:t>
      </w:r>
      <w:r w:rsidRPr="00F11A18">
        <w:rPr>
          <w:sz w:val="20"/>
          <w:szCs w:val="20"/>
        </w:rPr>
        <w:t>strain</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their</w:t>
      </w:r>
      <w:r w:rsidR="00B405E1" w:rsidRPr="00F11A18">
        <w:rPr>
          <w:sz w:val="20"/>
          <w:szCs w:val="20"/>
        </w:rPr>
        <w:t xml:space="preserve"> </w:t>
      </w:r>
      <w:r w:rsidRPr="00F11A18">
        <w:rPr>
          <w:sz w:val="20"/>
          <w:szCs w:val="20"/>
        </w:rPr>
        <w:t>impact</w:t>
      </w:r>
      <w:r w:rsidR="00B405E1" w:rsidRPr="00F11A18">
        <w:rPr>
          <w:sz w:val="20"/>
          <w:szCs w:val="20"/>
        </w:rPr>
        <w:t xml:space="preserve"> </w:t>
      </w:r>
      <w:r w:rsidRPr="00F11A18">
        <w:rPr>
          <w:sz w:val="20"/>
          <w:szCs w:val="20"/>
        </w:rPr>
        <w:t>on</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outcome.</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Antimicro</w:t>
      </w:r>
      <w:r w:rsidR="009A440F" w:rsidRPr="00F11A18">
        <w:rPr>
          <w:sz w:val="20"/>
          <w:szCs w:val="20"/>
        </w:rPr>
        <w:t>b C</w:t>
      </w:r>
      <w:r w:rsidRPr="00F11A18">
        <w:rPr>
          <w:sz w:val="20"/>
          <w:szCs w:val="20"/>
        </w:rPr>
        <w:t>hemother.2009;63(3):568–74.</w:t>
      </w:r>
    </w:p>
    <w:p w:rsidR="00C64926" w:rsidRPr="00F11A18" w:rsidRDefault="00C64926" w:rsidP="00B41B23">
      <w:pPr>
        <w:pStyle w:val="ListParagraph"/>
        <w:numPr>
          <w:ilvl w:val="0"/>
          <w:numId w:val="2"/>
        </w:numPr>
        <w:snapToGrid w:val="0"/>
        <w:ind w:left="425" w:hanging="425"/>
        <w:jc w:val="both"/>
        <w:rPr>
          <w:sz w:val="20"/>
          <w:szCs w:val="20"/>
        </w:rPr>
      </w:pPr>
      <w:r w:rsidRPr="00F11A18">
        <w:rPr>
          <w:sz w:val="20"/>
          <w:szCs w:val="20"/>
        </w:rPr>
        <w:t>Trecarichi</w:t>
      </w:r>
      <w:r w:rsidR="00B405E1" w:rsidRPr="00F11A18">
        <w:rPr>
          <w:sz w:val="20"/>
          <w:szCs w:val="20"/>
        </w:rPr>
        <w:t xml:space="preserve"> </w:t>
      </w:r>
      <w:r w:rsidRPr="00F11A18">
        <w:rPr>
          <w:sz w:val="20"/>
          <w:szCs w:val="20"/>
        </w:rPr>
        <w:t>EM,</w:t>
      </w:r>
      <w:r w:rsidR="00B405E1" w:rsidRPr="00F11A18">
        <w:rPr>
          <w:sz w:val="20"/>
          <w:szCs w:val="20"/>
        </w:rPr>
        <w:t xml:space="preserve"> </w:t>
      </w:r>
      <w:r w:rsidRPr="00F11A18">
        <w:rPr>
          <w:sz w:val="20"/>
          <w:szCs w:val="20"/>
        </w:rPr>
        <w:t>Tumbarello</w:t>
      </w:r>
      <w:r w:rsidR="00B405E1" w:rsidRPr="00F11A18">
        <w:rPr>
          <w:sz w:val="20"/>
          <w:szCs w:val="20"/>
        </w:rPr>
        <w:t xml:space="preserve"> </w:t>
      </w:r>
      <w:r w:rsidRPr="00F11A18">
        <w:rPr>
          <w:sz w:val="20"/>
          <w:szCs w:val="20"/>
        </w:rPr>
        <w:t>M,</w:t>
      </w:r>
      <w:r w:rsidR="00B405E1" w:rsidRPr="00F11A18">
        <w:rPr>
          <w:sz w:val="20"/>
          <w:szCs w:val="20"/>
        </w:rPr>
        <w:t xml:space="preserve"> </w:t>
      </w:r>
      <w:r w:rsidRPr="00F11A18">
        <w:rPr>
          <w:sz w:val="20"/>
          <w:szCs w:val="20"/>
        </w:rPr>
        <w:t>Spanu</w:t>
      </w:r>
      <w:r w:rsidR="00B405E1" w:rsidRPr="00F11A18">
        <w:rPr>
          <w:sz w:val="20"/>
          <w:szCs w:val="20"/>
        </w:rPr>
        <w:t xml:space="preserve"> </w:t>
      </w:r>
      <w:r w:rsidRPr="00F11A18">
        <w:rPr>
          <w:sz w:val="20"/>
          <w:szCs w:val="20"/>
        </w:rPr>
        <w:t>T,</w:t>
      </w:r>
      <w:r w:rsidR="00B405E1" w:rsidRPr="00F11A18">
        <w:rPr>
          <w:sz w:val="20"/>
          <w:szCs w:val="20"/>
        </w:rPr>
        <w:t xml:space="preserve"> </w:t>
      </w:r>
      <w:r w:rsidRPr="00F11A18">
        <w:rPr>
          <w:sz w:val="20"/>
          <w:szCs w:val="20"/>
        </w:rPr>
        <w:t>Caira</w:t>
      </w:r>
      <w:r w:rsidR="00B405E1" w:rsidRPr="00F11A18">
        <w:rPr>
          <w:sz w:val="20"/>
          <w:szCs w:val="20"/>
        </w:rPr>
        <w:t xml:space="preserve"> </w:t>
      </w:r>
      <w:r w:rsidRPr="00F11A18">
        <w:rPr>
          <w:sz w:val="20"/>
          <w:szCs w:val="20"/>
        </w:rPr>
        <w:t>M,</w:t>
      </w:r>
      <w:r w:rsidR="00B405E1" w:rsidRPr="00F11A18">
        <w:rPr>
          <w:sz w:val="20"/>
          <w:szCs w:val="20"/>
        </w:rPr>
        <w:t xml:space="preserve"> </w:t>
      </w:r>
      <w:r w:rsidRPr="00F11A18">
        <w:rPr>
          <w:sz w:val="20"/>
          <w:szCs w:val="20"/>
        </w:rPr>
        <w:t>Fianchi</w:t>
      </w:r>
      <w:r w:rsidR="00B405E1" w:rsidRPr="00F11A18">
        <w:rPr>
          <w:sz w:val="20"/>
          <w:szCs w:val="20"/>
        </w:rPr>
        <w:t xml:space="preserve"> </w:t>
      </w:r>
      <w:r w:rsidRPr="00F11A18">
        <w:rPr>
          <w:sz w:val="20"/>
          <w:szCs w:val="20"/>
        </w:rPr>
        <w:t>L,</w:t>
      </w:r>
      <w:r w:rsidR="00B405E1" w:rsidRPr="00F11A18">
        <w:rPr>
          <w:sz w:val="20"/>
          <w:szCs w:val="20"/>
        </w:rPr>
        <w:t xml:space="preserve"> </w:t>
      </w:r>
      <w:r w:rsidRPr="00F11A18">
        <w:rPr>
          <w:sz w:val="20"/>
          <w:szCs w:val="20"/>
        </w:rPr>
        <w:t>Chiusolo</w:t>
      </w:r>
      <w:r w:rsidR="00B405E1" w:rsidRPr="00F11A18">
        <w:rPr>
          <w:sz w:val="20"/>
          <w:szCs w:val="20"/>
        </w:rPr>
        <w:t xml:space="preserve"> </w:t>
      </w:r>
      <w:r w:rsidRPr="00F11A18">
        <w:rPr>
          <w:sz w:val="20"/>
          <w:szCs w:val="20"/>
        </w:rPr>
        <w:t>P,</w:t>
      </w:r>
      <w:r w:rsidR="00B405E1" w:rsidRPr="00F11A18">
        <w:rPr>
          <w:sz w:val="20"/>
          <w:szCs w:val="20"/>
        </w:rPr>
        <w:t xml:space="preserve"> </w:t>
      </w:r>
      <w:r w:rsidRPr="00F11A18">
        <w:rPr>
          <w:sz w:val="20"/>
          <w:szCs w:val="20"/>
        </w:rPr>
        <w:t>et</w:t>
      </w:r>
      <w:r w:rsidR="00B405E1" w:rsidRPr="00F11A18">
        <w:rPr>
          <w:sz w:val="20"/>
          <w:szCs w:val="20"/>
        </w:rPr>
        <w:t xml:space="preserve"> </w:t>
      </w:r>
      <w:r w:rsidRPr="00F11A18">
        <w:rPr>
          <w:sz w:val="20"/>
          <w:szCs w:val="20"/>
        </w:rPr>
        <w:t>al.</w:t>
      </w:r>
      <w:r w:rsidR="00B405E1" w:rsidRPr="00F11A18">
        <w:rPr>
          <w:sz w:val="20"/>
          <w:szCs w:val="20"/>
        </w:rPr>
        <w:t xml:space="preserve"> </w:t>
      </w:r>
      <w:r w:rsidRPr="00F11A18">
        <w:rPr>
          <w:sz w:val="20"/>
          <w:szCs w:val="20"/>
        </w:rPr>
        <w:t>Incidence</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clinical</w:t>
      </w:r>
      <w:r w:rsidR="00B405E1" w:rsidRPr="00F11A18">
        <w:rPr>
          <w:sz w:val="20"/>
          <w:szCs w:val="20"/>
        </w:rPr>
        <w:t xml:space="preserve"> </w:t>
      </w:r>
      <w:r w:rsidRPr="00F11A18">
        <w:rPr>
          <w:sz w:val="20"/>
          <w:szCs w:val="20"/>
        </w:rPr>
        <w:t>impact</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extended-spectrum-beta-lactamase</w:t>
      </w:r>
      <w:r w:rsidR="00B405E1" w:rsidRPr="00F11A18">
        <w:rPr>
          <w:sz w:val="20"/>
          <w:szCs w:val="20"/>
        </w:rPr>
        <w:t xml:space="preserve"> </w:t>
      </w:r>
      <w:r w:rsidRPr="00F11A18">
        <w:rPr>
          <w:sz w:val="20"/>
          <w:szCs w:val="20"/>
        </w:rPr>
        <w:t>(ESBL)</w:t>
      </w:r>
      <w:r w:rsidR="00B405E1" w:rsidRPr="00F11A18">
        <w:rPr>
          <w:sz w:val="20"/>
          <w:szCs w:val="20"/>
        </w:rPr>
        <w:t xml:space="preserve"> </w:t>
      </w:r>
      <w:r w:rsidRPr="00F11A18">
        <w:rPr>
          <w:sz w:val="20"/>
          <w:szCs w:val="20"/>
        </w:rPr>
        <w:t>production</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fluoroquinolone</w:t>
      </w:r>
      <w:r w:rsidR="00B405E1" w:rsidRPr="00F11A18">
        <w:rPr>
          <w:sz w:val="20"/>
          <w:szCs w:val="20"/>
        </w:rPr>
        <w:t xml:space="preserve"> </w:t>
      </w:r>
      <w:r w:rsidRPr="00F11A18">
        <w:rPr>
          <w:sz w:val="20"/>
          <w:szCs w:val="20"/>
        </w:rPr>
        <w:t>resistance</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bloodstream</w:t>
      </w:r>
      <w:r w:rsidR="00B405E1" w:rsidRPr="00F11A18">
        <w:rPr>
          <w:sz w:val="20"/>
          <w:szCs w:val="20"/>
        </w:rPr>
        <w:t xml:space="preserve"> </w:t>
      </w:r>
      <w:r w:rsidRPr="00F11A18">
        <w:rPr>
          <w:sz w:val="20"/>
          <w:szCs w:val="20"/>
        </w:rPr>
        <w:t>infections</w:t>
      </w:r>
      <w:r w:rsidR="00B405E1" w:rsidRPr="00F11A18">
        <w:rPr>
          <w:sz w:val="20"/>
          <w:szCs w:val="20"/>
        </w:rPr>
        <w:t xml:space="preserve"> </w:t>
      </w:r>
      <w:r w:rsidRPr="00F11A18">
        <w:rPr>
          <w:sz w:val="20"/>
          <w:szCs w:val="20"/>
        </w:rPr>
        <w:t>caused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Escherichia</w:t>
      </w:r>
      <w:r w:rsidR="00B405E1" w:rsidRPr="00F11A18">
        <w:rPr>
          <w:sz w:val="20"/>
          <w:szCs w:val="20"/>
        </w:rPr>
        <w:t xml:space="preserve"> </w:t>
      </w:r>
      <w:r w:rsidRPr="00F11A18">
        <w:rPr>
          <w:sz w:val="20"/>
          <w:szCs w:val="20"/>
        </w:rPr>
        <w:t>coli</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hematological</w:t>
      </w:r>
      <w:r w:rsidR="00B405E1" w:rsidRPr="00F11A18">
        <w:rPr>
          <w:sz w:val="20"/>
          <w:szCs w:val="20"/>
        </w:rPr>
        <w:t xml:space="preserve"> </w:t>
      </w:r>
      <w:r w:rsidRPr="00F11A18">
        <w:rPr>
          <w:sz w:val="20"/>
          <w:szCs w:val="20"/>
        </w:rPr>
        <w:t>malignancies.</w:t>
      </w:r>
      <w:r w:rsidR="00B405E1" w:rsidRPr="00F11A18">
        <w:rPr>
          <w:sz w:val="20"/>
          <w:szCs w:val="20"/>
        </w:rPr>
        <w:t xml:space="preserve"> </w:t>
      </w:r>
      <w:r w:rsidRPr="00F11A18">
        <w:rPr>
          <w:sz w:val="20"/>
          <w:szCs w:val="20"/>
        </w:rPr>
        <w:t>J</w:t>
      </w:r>
      <w:r w:rsidR="00B405E1" w:rsidRPr="00F11A18">
        <w:rPr>
          <w:sz w:val="20"/>
          <w:szCs w:val="20"/>
        </w:rPr>
        <w:t xml:space="preserve"> </w:t>
      </w:r>
      <w:r w:rsidRPr="00F11A18">
        <w:rPr>
          <w:sz w:val="20"/>
          <w:szCs w:val="20"/>
        </w:rPr>
        <w:t>Infect.</w:t>
      </w:r>
      <w:r w:rsidR="00F11A18">
        <w:rPr>
          <w:rFonts w:eastAsiaTheme="minorEastAsia" w:hint="eastAsia"/>
          <w:sz w:val="20"/>
          <w:szCs w:val="20"/>
          <w:lang w:eastAsia="zh-CN"/>
        </w:rPr>
        <w:t xml:space="preserve"> </w:t>
      </w:r>
      <w:r w:rsidRPr="00F11A18">
        <w:rPr>
          <w:sz w:val="20"/>
          <w:szCs w:val="20"/>
        </w:rPr>
        <w:t>2009;58(4):299–307.</w:t>
      </w:r>
    </w:p>
    <w:p w:rsidR="00B41B23" w:rsidRPr="00F11A18" w:rsidRDefault="00B41B23" w:rsidP="00B41B23">
      <w:pPr>
        <w:snapToGrid w:val="0"/>
        <w:ind w:left="425" w:hanging="425"/>
        <w:jc w:val="both"/>
        <w:rPr>
          <w:b/>
          <w:sz w:val="20"/>
          <w:szCs w:val="20"/>
        </w:rPr>
        <w:sectPr w:rsidR="00B41B23" w:rsidRPr="00F11A18" w:rsidSect="00B41B23">
          <w:type w:val="continuous"/>
          <w:pgSz w:w="12240" w:h="15840" w:code="1"/>
          <w:pgMar w:top="1440" w:right="1440" w:bottom="1440" w:left="1440" w:header="720" w:footer="720" w:gutter="0"/>
          <w:cols w:num="2" w:space="550"/>
          <w:docGrid w:linePitch="299"/>
        </w:sectPr>
      </w:pPr>
    </w:p>
    <w:p w:rsidR="00B41B23" w:rsidRPr="00F11A18" w:rsidRDefault="00B41B23">
      <w:pPr>
        <w:rPr>
          <w:rFonts w:eastAsiaTheme="minorEastAsia" w:hint="eastAsia"/>
          <w:b/>
          <w:sz w:val="20"/>
          <w:szCs w:val="20"/>
          <w:lang w:eastAsia="zh-CN"/>
        </w:rPr>
      </w:pPr>
    </w:p>
    <w:p w:rsidR="00F11A18" w:rsidRPr="00F11A18" w:rsidRDefault="00F11A18">
      <w:pPr>
        <w:rPr>
          <w:rFonts w:eastAsiaTheme="minorEastAsia"/>
          <w:b/>
          <w:sz w:val="20"/>
          <w:szCs w:val="20"/>
          <w:lang w:eastAsia="zh-CN"/>
        </w:rPr>
      </w:pPr>
    </w:p>
    <w:p w:rsidR="007457A4" w:rsidRDefault="007457A4" w:rsidP="00B41B23">
      <w:pPr>
        <w:snapToGrid w:val="0"/>
        <w:ind w:left="425" w:hanging="425"/>
        <w:jc w:val="both"/>
        <w:rPr>
          <w:rFonts w:eastAsiaTheme="minorEastAsia" w:hint="eastAsia"/>
          <w:b/>
          <w:sz w:val="20"/>
          <w:szCs w:val="20"/>
          <w:lang w:eastAsia="zh-CN"/>
        </w:rPr>
      </w:pPr>
    </w:p>
    <w:p w:rsidR="007457A4" w:rsidRDefault="007457A4" w:rsidP="00B41B23">
      <w:pPr>
        <w:snapToGrid w:val="0"/>
        <w:ind w:left="425" w:hanging="425"/>
        <w:jc w:val="both"/>
        <w:rPr>
          <w:rFonts w:eastAsiaTheme="minorEastAsia" w:hint="eastAsia"/>
          <w:b/>
          <w:sz w:val="20"/>
          <w:szCs w:val="20"/>
          <w:lang w:eastAsia="zh-CN"/>
        </w:rPr>
      </w:pPr>
    </w:p>
    <w:p w:rsidR="007457A4" w:rsidRDefault="007457A4" w:rsidP="00B41B23">
      <w:pPr>
        <w:snapToGrid w:val="0"/>
        <w:ind w:left="425" w:hanging="425"/>
        <w:jc w:val="both"/>
        <w:rPr>
          <w:rFonts w:eastAsiaTheme="minorEastAsia" w:hint="eastAsia"/>
          <w:b/>
          <w:sz w:val="20"/>
          <w:szCs w:val="20"/>
          <w:lang w:eastAsia="zh-CN"/>
        </w:rPr>
      </w:pPr>
    </w:p>
    <w:p w:rsidR="007457A4" w:rsidRDefault="007457A4" w:rsidP="00B41B23">
      <w:pPr>
        <w:snapToGrid w:val="0"/>
        <w:ind w:left="425" w:hanging="425"/>
        <w:jc w:val="both"/>
        <w:rPr>
          <w:rFonts w:eastAsiaTheme="minorEastAsia" w:hint="eastAsia"/>
          <w:b/>
          <w:sz w:val="20"/>
          <w:szCs w:val="20"/>
          <w:lang w:eastAsia="zh-CN"/>
        </w:rPr>
      </w:pPr>
    </w:p>
    <w:p w:rsidR="007457A4" w:rsidRDefault="007457A4" w:rsidP="00B41B23">
      <w:pPr>
        <w:snapToGrid w:val="0"/>
        <w:ind w:left="425" w:hanging="425"/>
        <w:jc w:val="both"/>
        <w:rPr>
          <w:rFonts w:eastAsiaTheme="minorEastAsia" w:hint="eastAsia"/>
          <w:b/>
          <w:sz w:val="20"/>
          <w:szCs w:val="20"/>
          <w:lang w:eastAsia="zh-CN"/>
        </w:rPr>
      </w:pPr>
    </w:p>
    <w:p w:rsidR="007457A4" w:rsidRDefault="007457A4" w:rsidP="00B41B23">
      <w:pPr>
        <w:snapToGrid w:val="0"/>
        <w:ind w:left="425" w:hanging="425"/>
        <w:jc w:val="both"/>
        <w:rPr>
          <w:rFonts w:eastAsiaTheme="minorEastAsia" w:hint="eastAsia"/>
          <w:b/>
          <w:sz w:val="20"/>
          <w:szCs w:val="20"/>
          <w:lang w:eastAsia="zh-CN"/>
        </w:rPr>
      </w:pPr>
    </w:p>
    <w:p w:rsidR="007457A4" w:rsidRDefault="007457A4" w:rsidP="00B41B23">
      <w:pPr>
        <w:snapToGrid w:val="0"/>
        <w:ind w:left="425" w:hanging="425"/>
        <w:jc w:val="both"/>
        <w:rPr>
          <w:rFonts w:eastAsiaTheme="minorEastAsia" w:hint="eastAsia"/>
          <w:b/>
          <w:sz w:val="20"/>
          <w:szCs w:val="20"/>
          <w:lang w:eastAsia="zh-CN"/>
        </w:rPr>
      </w:pPr>
    </w:p>
    <w:p w:rsidR="007457A4" w:rsidRDefault="007457A4" w:rsidP="00B41B23">
      <w:pPr>
        <w:snapToGrid w:val="0"/>
        <w:ind w:left="425" w:hanging="425"/>
        <w:jc w:val="both"/>
        <w:rPr>
          <w:rFonts w:eastAsiaTheme="minorEastAsia" w:hint="eastAsia"/>
          <w:b/>
          <w:sz w:val="20"/>
          <w:szCs w:val="20"/>
          <w:lang w:eastAsia="zh-CN"/>
        </w:rPr>
      </w:pPr>
    </w:p>
    <w:p w:rsidR="000B2401" w:rsidRPr="00F11A18" w:rsidRDefault="00C41A33" w:rsidP="00B41B23">
      <w:pPr>
        <w:snapToGrid w:val="0"/>
        <w:ind w:left="425" w:hanging="425"/>
        <w:jc w:val="both"/>
        <w:rPr>
          <w:b/>
          <w:sz w:val="20"/>
          <w:szCs w:val="20"/>
        </w:rPr>
      </w:pPr>
      <w:r w:rsidRPr="00F11A18">
        <w:rPr>
          <w:b/>
          <w:sz w:val="20"/>
          <w:szCs w:val="20"/>
        </w:rPr>
        <w:t>Appendix</w:t>
      </w:r>
      <w:r w:rsidR="00B405E1" w:rsidRPr="00F11A18">
        <w:rPr>
          <w:b/>
          <w:sz w:val="20"/>
          <w:szCs w:val="20"/>
        </w:rPr>
        <w:t xml:space="preserve"> </w:t>
      </w:r>
      <w:r w:rsidRPr="00F11A18">
        <w:rPr>
          <w:b/>
          <w:sz w:val="20"/>
          <w:szCs w:val="20"/>
        </w:rPr>
        <w:t>(1):</w:t>
      </w:r>
      <w:r w:rsidR="00B405E1" w:rsidRPr="00F11A18">
        <w:rPr>
          <w:b/>
          <w:sz w:val="20"/>
          <w:szCs w:val="20"/>
        </w:rPr>
        <w:t xml:space="preserve"> </w:t>
      </w:r>
      <w:r w:rsidRPr="00F11A18">
        <w:rPr>
          <w:b/>
          <w:sz w:val="20"/>
          <w:szCs w:val="20"/>
        </w:rPr>
        <w:t>Common</w:t>
      </w:r>
      <w:r w:rsidR="00B405E1" w:rsidRPr="00F11A18">
        <w:rPr>
          <w:b/>
          <w:sz w:val="20"/>
          <w:szCs w:val="20"/>
        </w:rPr>
        <w:t xml:space="preserve"> </w:t>
      </w:r>
      <w:r w:rsidRPr="00F11A18">
        <w:rPr>
          <w:b/>
          <w:sz w:val="20"/>
          <w:szCs w:val="20"/>
        </w:rPr>
        <w:t>Terminology</w:t>
      </w:r>
      <w:r w:rsidR="00B405E1" w:rsidRPr="00F11A18">
        <w:rPr>
          <w:b/>
          <w:sz w:val="20"/>
          <w:szCs w:val="20"/>
        </w:rPr>
        <w:t xml:space="preserve"> </w:t>
      </w:r>
      <w:r w:rsidRPr="00F11A18">
        <w:rPr>
          <w:b/>
          <w:sz w:val="20"/>
          <w:szCs w:val="20"/>
        </w:rPr>
        <w:t>Criteria</w:t>
      </w:r>
      <w:r w:rsidR="00B405E1" w:rsidRPr="00F11A18">
        <w:rPr>
          <w:b/>
          <w:sz w:val="20"/>
          <w:szCs w:val="20"/>
        </w:rPr>
        <w:t xml:space="preserve"> </w:t>
      </w:r>
      <w:r w:rsidRPr="00F11A18">
        <w:rPr>
          <w:b/>
          <w:sz w:val="20"/>
          <w:szCs w:val="20"/>
        </w:rPr>
        <w:t>for</w:t>
      </w:r>
      <w:r w:rsidR="00B405E1" w:rsidRPr="00F11A18">
        <w:rPr>
          <w:b/>
          <w:sz w:val="20"/>
          <w:szCs w:val="20"/>
        </w:rPr>
        <w:t xml:space="preserve"> </w:t>
      </w:r>
      <w:r w:rsidRPr="00F11A18">
        <w:rPr>
          <w:b/>
          <w:sz w:val="20"/>
          <w:szCs w:val="20"/>
        </w:rPr>
        <w:t>Adverse</w:t>
      </w:r>
      <w:r w:rsidR="00B405E1" w:rsidRPr="00F11A18">
        <w:rPr>
          <w:b/>
          <w:sz w:val="20"/>
          <w:szCs w:val="20"/>
        </w:rPr>
        <w:t xml:space="preserve"> </w:t>
      </w:r>
      <w:r w:rsidRPr="00F11A18">
        <w:rPr>
          <w:b/>
          <w:sz w:val="20"/>
          <w:szCs w:val="20"/>
        </w:rPr>
        <w:t>Events;</w:t>
      </w:r>
      <w:r w:rsidR="00B405E1" w:rsidRPr="00F11A18">
        <w:rPr>
          <w:b/>
          <w:sz w:val="20"/>
          <w:szCs w:val="20"/>
        </w:rPr>
        <w:t xml:space="preserve"> </w:t>
      </w:r>
      <w:r w:rsidRPr="00F11A18">
        <w:rPr>
          <w:b/>
          <w:sz w:val="20"/>
          <w:szCs w:val="20"/>
        </w:rPr>
        <w:t>Version</w:t>
      </w:r>
      <w:r w:rsidR="00B405E1" w:rsidRPr="00F11A18">
        <w:rPr>
          <w:b/>
          <w:sz w:val="20"/>
          <w:szCs w:val="20"/>
        </w:rPr>
        <w:t xml:space="preserve"> </w:t>
      </w:r>
      <w:r w:rsidRPr="00F11A18">
        <w:rPr>
          <w:b/>
          <w:sz w:val="20"/>
          <w:szCs w:val="20"/>
        </w:rPr>
        <w:t>4.0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859"/>
        <w:gridCol w:w="6615"/>
      </w:tblGrid>
      <w:tr w:rsidR="000B2401" w:rsidRPr="00F11A18" w:rsidTr="00B405E1">
        <w:trPr>
          <w:jc w:val="center"/>
        </w:trPr>
        <w:tc>
          <w:tcPr>
            <w:tcW w:w="1509"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Criteria</w:t>
            </w:r>
          </w:p>
        </w:tc>
        <w:tc>
          <w:tcPr>
            <w:tcW w:w="3491"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Definition</w:t>
            </w:r>
          </w:p>
        </w:tc>
      </w:tr>
      <w:tr w:rsidR="000B2401" w:rsidRPr="00F11A18" w:rsidTr="00B405E1">
        <w:trPr>
          <w:jc w:val="center"/>
        </w:trPr>
        <w:tc>
          <w:tcPr>
            <w:tcW w:w="1509"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Neutropenia</w:t>
            </w:r>
          </w:p>
        </w:tc>
        <w:tc>
          <w:tcPr>
            <w:tcW w:w="3491" w:type="pct"/>
            <w:vAlign w:val="center"/>
          </w:tcPr>
          <w:p w:rsidR="000B2401" w:rsidRPr="00F11A18" w:rsidRDefault="00C41A33" w:rsidP="00B41B23">
            <w:pPr>
              <w:pStyle w:val="TableParagraph"/>
              <w:snapToGrid w:val="0"/>
              <w:ind w:left="0"/>
              <w:jc w:val="both"/>
              <w:rPr>
                <w:sz w:val="20"/>
                <w:szCs w:val="20"/>
              </w:rPr>
            </w:pPr>
            <w:r w:rsidRPr="00F11A18">
              <w:rPr>
                <w:sz w:val="20"/>
                <w:szCs w:val="20"/>
              </w:rPr>
              <w:t>Neutrophil</w:t>
            </w:r>
            <w:r w:rsidR="00B405E1" w:rsidRPr="00F11A18">
              <w:rPr>
                <w:sz w:val="20"/>
                <w:szCs w:val="20"/>
              </w:rPr>
              <w:t xml:space="preserve"> </w:t>
            </w:r>
            <w:r w:rsidRPr="00F11A18">
              <w:rPr>
                <w:sz w:val="20"/>
                <w:szCs w:val="20"/>
              </w:rPr>
              <w:t>count</w:t>
            </w:r>
            <w:r w:rsidR="00B405E1" w:rsidRPr="00F11A18">
              <w:rPr>
                <w:sz w:val="20"/>
                <w:szCs w:val="20"/>
              </w:rPr>
              <w:t xml:space="preserve"> </w:t>
            </w:r>
            <w:r w:rsidRPr="00F11A18">
              <w:rPr>
                <w:sz w:val="20"/>
                <w:szCs w:val="20"/>
              </w:rPr>
              <w:t>decreased;</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b/>
                <w:sz w:val="20"/>
                <w:szCs w:val="20"/>
                <w:u w:val="thick"/>
              </w:rPr>
              <w:t>Grade1</w:t>
            </w:r>
            <w:r w:rsidRPr="00F11A18">
              <w:rPr>
                <w:sz w:val="20"/>
                <w:szCs w:val="20"/>
              </w:rPr>
              <w:t>:</w:t>
            </w:r>
            <w:r w:rsidR="00B405E1" w:rsidRPr="00F11A18">
              <w:rPr>
                <w:sz w:val="20"/>
                <w:szCs w:val="20"/>
              </w:rPr>
              <w:t xml:space="preserve"> </w:t>
            </w:r>
            <w:r w:rsidRPr="00F11A18">
              <w:rPr>
                <w:sz w:val="20"/>
                <w:szCs w:val="20"/>
              </w:rPr>
              <w:t>&lt;LLN</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1.5</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w:t>
            </w:r>
            <w:r w:rsidRPr="00F11A18">
              <w:rPr>
                <w:sz w:val="20"/>
                <w:szCs w:val="20"/>
                <w:vertAlign w:val="superscript"/>
              </w:rPr>
              <w:t>9</w:t>
            </w:r>
            <w:r w:rsidRPr="00F11A18">
              <w:rPr>
                <w:sz w:val="20"/>
                <w:szCs w:val="20"/>
              </w:rPr>
              <w:t>/L;</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b/>
                <w:sz w:val="20"/>
                <w:szCs w:val="20"/>
                <w:u w:val="thick"/>
              </w:rPr>
              <w:t>Grade</w:t>
            </w:r>
            <w:r w:rsidR="00B405E1" w:rsidRPr="00F11A18">
              <w:rPr>
                <w:b/>
                <w:sz w:val="20"/>
                <w:szCs w:val="20"/>
                <w:u w:val="thick"/>
              </w:rPr>
              <w:t xml:space="preserve"> </w:t>
            </w:r>
            <w:r w:rsidRPr="00F11A18">
              <w:rPr>
                <w:b/>
                <w:sz w:val="20"/>
                <w:szCs w:val="20"/>
                <w:u w:val="thick"/>
              </w:rPr>
              <w:t>2</w:t>
            </w:r>
            <w:r w:rsidRPr="00F11A18">
              <w:rPr>
                <w:sz w:val="20"/>
                <w:szCs w:val="20"/>
              </w:rPr>
              <w:t>:</w:t>
            </w:r>
            <w:r w:rsidR="00B405E1" w:rsidRPr="00F11A18">
              <w:rPr>
                <w:sz w:val="20"/>
                <w:szCs w:val="20"/>
              </w:rPr>
              <w:t xml:space="preserve"> </w:t>
            </w:r>
            <w:r w:rsidRPr="00F11A18">
              <w:rPr>
                <w:sz w:val="20"/>
                <w:szCs w:val="20"/>
              </w:rPr>
              <w:t>&lt;1.5</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w:t>
            </w:r>
            <w:r w:rsidRPr="00F11A18">
              <w:rPr>
                <w:sz w:val="20"/>
                <w:szCs w:val="20"/>
                <w:vertAlign w:val="superscript"/>
              </w:rPr>
              <w:t>9</w:t>
            </w:r>
            <w:r w:rsidRPr="00F11A18">
              <w:rPr>
                <w:sz w:val="20"/>
                <w:szCs w:val="20"/>
              </w:rPr>
              <w:t>/L</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b/>
                <w:sz w:val="20"/>
                <w:szCs w:val="20"/>
                <w:u w:val="thick"/>
              </w:rPr>
              <w:t>Grade</w:t>
            </w:r>
            <w:r w:rsidR="00B405E1" w:rsidRPr="00F11A18">
              <w:rPr>
                <w:b/>
                <w:sz w:val="20"/>
                <w:szCs w:val="20"/>
                <w:u w:val="thick"/>
              </w:rPr>
              <w:t xml:space="preserve"> </w:t>
            </w:r>
            <w:r w:rsidRPr="00F11A18">
              <w:rPr>
                <w:b/>
                <w:sz w:val="20"/>
                <w:szCs w:val="20"/>
                <w:u w:val="thick"/>
              </w:rPr>
              <w:t>3</w:t>
            </w:r>
            <w:r w:rsidRPr="00F11A18">
              <w:rPr>
                <w:sz w:val="20"/>
                <w:szCs w:val="20"/>
              </w:rPr>
              <w:t>:</w:t>
            </w:r>
            <w:r w:rsidR="00B405E1" w:rsidRPr="00F11A18">
              <w:rPr>
                <w:sz w:val="20"/>
                <w:szCs w:val="20"/>
              </w:rPr>
              <w:t xml:space="preserve"> </w:t>
            </w:r>
            <w:r w:rsidRPr="00F11A18">
              <w:rPr>
                <w:sz w:val="20"/>
                <w:szCs w:val="20"/>
              </w:rPr>
              <w:t>&lt;1.0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0.5</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w:t>
            </w:r>
            <w:r w:rsidRPr="00F11A18">
              <w:rPr>
                <w:sz w:val="20"/>
                <w:szCs w:val="20"/>
                <w:vertAlign w:val="superscript"/>
              </w:rPr>
              <w:t>9</w:t>
            </w:r>
            <w:r w:rsidRPr="00F11A18">
              <w:rPr>
                <w:sz w:val="20"/>
                <w:szCs w:val="20"/>
              </w:rPr>
              <w:t>/L</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b/>
                <w:sz w:val="20"/>
                <w:szCs w:val="20"/>
                <w:u w:val="thick"/>
              </w:rPr>
              <w:t>Grade</w:t>
            </w:r>
            <w:r w:rsidR="00B405E1" w:rsidRPr="00F11A18">
              <w:rPr>
                <w:b/>
                <w:sz w:val="20"/>
                <w:szCs w:val="20"/>
                <w:u w:val="thick"/>
              </w:rPr>
              <w:t xml:space="preserve"> </w:t>
            </w:r>
            <w:r w:rsidRPr="00F11A18">
              <w:rPr>
                <w:b/>
                <w:sz w:val="20"/>
                <w:szCs w:val="20"/>
                <w:u w:val="thick"/>
              </w:rPr>
              <w:t>4</w:t>
            </w:r>
            <w:r w:rsidRPr="00F11A18">
              <w:rPr>
                <w:sz w:val="20"/>
                <w:szCs w:val="20"/>
              </w:rPr>
              <w:t>:</w:t>
            </w:r>
            <w:r w:rsidR="00B405E1" w:rsidRPr="00F11A18">
              <w:rPr>
                <w:sz w:val="20"/>
                <w:szCs w:val="20"/>
              </w:rPr>
              <w:t xml:space="preserve"> </w:t>
            </w:r>
            <w:r w:rsidRPr="00F11A18">
              <w:rPr>
                <w:sz w:val="20"/>
                <w:szCs w:val="20"/>
              </w:rPr>
              <w:t>&lt;0.5</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w:t>
            </w:r>
            <w:r w:rsidRPr="00F11A18">
              <w:rPr>
                <w:sz w:val="20"/>
                <w:szCs w:val="20"/>
                <w:vertAlign w:val="superscript"/>
              </w:rPr>
              <w:t>9</w:t>
            </w:r>
            <w:r w:rsidRPr="00F11A18">
              <w:rPr>
                <w:sz w:val="20"/>
                <w:szCs w:val="20"/>
              </w:rPr>
              <w:t>/L</w:t>
            </w:r>
          </w:p>
        </w:tc>
      </w:tr>
      <w:tr w:rsidR="000B2401" w:rsidRPr="00F11A18" w:rsidTr="00B405E1">
        <w:trPr>
          <w:jc w:val="center"/>
        </w:trPr>
        <w:tc>
          <w:tcPr>
            <w:tcW w:w="1509"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Fever</w:t>
            </w:r>
          </w:p>
        </w:tc>
        <w:tc>
          <w:tcPr>
            <w:tcW w:w="3491" w:type="pct"/>
            <w:vAlign w:val="center"/>
          </w:tcPr>
          <w:p w:rsidR="000B2401" w:rsidRPr="00F11A18" w:rsidRDefault="00C41A33" w:rsidP="00B41B23">
            <w:pPr>
              <w:pStyle w:val="TableParagraph"/>
              <w:snapToGrid w:val="0"/>
              <w:ind w:left="0"/>
              <w:jc w:val="both"/>
              <w:rPr>
                <w:sz w:val="20"/>
                <w:szCs w:val="20"/>
              </w:rPr>
            </w:pP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elevation</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body's</w:t>
            </w:r>
            <w:r w:rsidR="00B405E1" w:rsidRPr="00F11A18">
              <w:rPr>
                <w:sz w:val="20"/>
                <w:szCs w:val="20"/>
              </w:rPr>
              <w:t xml:space="preserve"> </w:t>
            </w:r>
            <w:r w:rsidRPr="00F11A18">
              <w:rPr>
                <w:sz w:val="20"/>
                <w:szCs w:val="20"/>
              </w:rPr>
              <w:t>temperature</w:t>
            </w:r>
            <w:r w:rsidR="00B405E1" w:rsidRPr="00F11A18">
              <w:rPr>
                <w:sz w:val="20"/>
                <w:szCs w:val="20"/>
              </w:rPr>
              <w:t xml:space="preserve"> </w:t>
            </w:r>
            <w:r w:rsidRPr="00F11A18">
              <w:rPr>
                <w:sz w:val="20"/>
                <w:szCs w:val="20"/>
              </w:rPr>
              <w:t>above</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upper</w:t>
            </w:r>
            <w:r w:rsidR="00B405E1" w:rsidRPr="00F11A18">
              <w:rPr>
                <w:sz w:val="20"/>
                <w:szCs w:val="20"/>
              </w:rPr>
              <w:t xml:space="preserve"> </w:t>
            </w:r>
            <w:r w:rsidRPr="00F11A18">
              <w:rPr>
                <w:sz w:val="20"/>
                <w:szCs w:val="20"/>
              </w:rPr>
              <w:t>limit</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normal;</w:t>
            </w:r>
          </w:p>
          <w:p w:rsidR="000B2401" w:rsidRPr="00F11A18" w:rsidRDefault="00C41A33" w:rsidP="00B41B23">
            <w:pPr>
              <w:pStyle w:val="TableParagraph"/>
              <w:numPr>
                <w:ilvl w:val="0"/>
                <w:numId w:val="12"/>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1</w:t>
            </w:r>
            <w:r w:rsidRPr="00F11A18">
              <w:rPr>
                <w:sz w:val="20"/>
                <w:szCs w:val="20"/>
              </w:rPr>
              <w:t>:</w:t>
            </w:r>
            <w:r w:rsidR="00B405E1" w:rsidRPr="00F11A18">
              <w:rPr>
                <w:sz w:val="20"/>
                <w:szCs w:val="20"/>
              </w:rPr>
              <w:t xml:space="preserve"> </w:t>
            </w:r>
            <w:r w:rsidRPr="00F11A18">
              <w:rPr>
                <w:sz w:val="20"/>
                <w:szCs w:val="20"/>
              </w:rPr>
              <w:t>38.0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39.0</w:t>
            </w:r>
            <w:r w:rsidR="00B405E1" w:rsidRPr="00F11A18">
              <w:rPr>
                <w:sz w:val="20"/>
                <w:szCs w:val="20"/>
              </w:rPr>
              <w:t xml:space="preserve"> </w:t>
            </w:r>
            <w:r w:rsidRPr="00F11A18">
              <w:rPr>
                <w:sz w:val="20"/>
                <w:szCs w:val="20"/>
              </w:rPr>
              <w:t>degree</w:t>
            </w:r>
            <w:r w:rsidR="009A440F" w:rsidRPr="00F11A18">
              <w:rPr>
                <w:sz w:val="20"/>
                <w:szCs w:val="20"/>
              </w:rPr>
              <w:t>s C</w:t>
            </w:r>
          </w:p>
          <w:p w:rsidR="000B2401" w:rsidRPr="00F11A18" w:rsidRDefault="00C41A33" w:rsidP="00B41B23">
            <w:pPr>
              <w:pStyle w:val="TableParagraph"/>
              <w:numPr>
                <w:ilvl w:val="0"/>
                <w:numId w:val="12"/>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2</w:t>
            </w:r>
            <w:r w:rsidRPr="00F11A18">
              <w:rPr>
                <w:sz w:val="20"/>
                <w:szCs w:val="20"/>
              </w:rPr>
              <w:t>:</w:t>
            </w:r>
            <w:r w:rsidR="00B405E1" w:rsidRPr="00F11A18">
              <w:rPr>
                <w:sz w:val="20"/>
                <w:szCs w:val="20"/>
              </w:rPr>
              <w:t xml:space="preserve"> </w:t>
            </w:r>
            <w:r w:rsidRPr="00F11A18">
              <w:rPr>
                <w:sz w:val="20"/>
                <w:szCs w:val="20"/>
              </w:rPr>
              <w:t>&gt;39.0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40.0</w:t>
            </w:r>
            <w:r w:rsidR="00B405E1" w:rsidRPr="00F11A18">
              <w:rPr>
                <w:sz w:val="20"/>
                <w:szCs w:val="20"/>
              </w:rPr>
              <w:t xml:space="preserve"> </w:t>
            </w:r>
            <w:r w:rsidRPr="00F11A18">
              <w:rPr>
                <w:sz w:val="20"/>
                <w:szCs w:val="20"/>
              </w:rPr>
              <w:t>degree</w:t>
            </w:r>
            <w:r w:rsidR="009A440F" w:rsidRPr="00F11A18">
              <w:rPr>
                <w:sz w:val="20"/>
                <w:szCs w:val="20"/>
              </w:rPr>
              <w:t>s C</w:t>
            </w:r>
          </w:p>
          <w:p w:rsidR="000B2401" w:rsidRPr="00F11A18" w:rsidRDefault="00C41A33" w:rsidP="00B41B23">
            <w:pPr>
              <w:pStyle w:val="TableParagraph"/>
              <w:numPr>
                <w:ilvl w:val="0"/>
                <w:numId w:val="12"/>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3</w:t>
            </w:r>
            <w:r w:rsidR="00B405E1" w:rsidRPr="00F11A18">
              <w:rPr>
                <w:sz w:val="20"/>
                <w:szCs w:val="20"/>
              </w:rPr>
              <w:t xml:space="preserve">: </w:t>
            </w:r>
            <w:r w:rsidRPr="00F11A18">
              <w:rPr>
                <w:sz w:val="20"/>
                <w:szCs w:val="20"/>
              </w:rPr>
              <w:t>&gt;40.0</w:t>
            </w:r>
            <w:r w:rsidR="00B405E1" w:rsidRPr="00F11A18">
              <w:rPr>
                <w:sz w:val="20"/>
                <w:szCs w:val="20"/>
              </w:rPr>
              <w:t xml:space="preserve"> </w:t>
            </w:r>
            <w:r w:rsidRPr="00F11A18">
              <w:rPr>
                <w:sz w:val="20"/>
                <w:szCs w:val="20"/>
              </w:rPr>
              <w:t>degrees</w:t>
            </w:r>
            <w:r w:rsidR="00B405E1" w:rsidRPr="00F11A18">
              <w:rPr>
                <w:sz w:val="20"/>
                <w:szCs w:val="20"/>
              </w:rPr>
              <w:t xml:space="preserve"> </w:t>
            </w:r>
            <w:r w:rsidRPr="00F11A18">
              <w:rPr>
                <w:sz w:val="20"/>
                <w:szCs w:val="20"/>
              </w:rPr>
              <w:t>C</w:t>
            </w:r>
            <w:r w:rsidR="00B405E1" w:rsidRPr="00F11A18">
              <w:rPr>
                <w:sz w:val="20"/>
                <w:szCs w:val="20"/>
              </w:rPr>
              <w:t xml:space="preserve"> </w:t>
            </w:r>
            <w:r w:rsidRPr="00F11A18">
              <w:rPr>
                <w:sz w:val="20"/>
                <w:szCs w:val="20"/>
              </w:rPr>
              <w:t>for</w:t>
            </w:r>
            <w:r w:rsidR="00B405E1" w:rsidRPr="00F11A18">
              <w:rPr>
                <w:sz w:val="20"/>
                <w:szCs w:val="20"/>
              </w:rPr>
              <w:t xml:space="preserve"> </w:t>
            </w:r>
            <w:r w:rsidRPr="00F11A18">
              <w:rPr>
                <w:sz w:val="20"/>
                <w:szCs w:val="20"/>
              </w:rPr>
              <w:t>≤24</w:t>
            </w:r>
            <w:r w:rsidR="00B405E1" w:rsidRPr="00F11A18">
              <w:rPr>
                <w:sz w:val="20"/>
                <w:szCs w:val="20"/>
              </w:rPr>
              <w:t xml:space="preserve"> </w:t>
            </w:r>
            <w:r w:rsidRPr="00F11A18">
              <w:rPr>
                <w:sz w:val="20"/>
                <w:szCs w:val="20"/>
              </w:rPr>
              <w:t>hrs</w:t>
            </w:r>
          </w:p>
          <w:p w:rsidR="000B2401" w:rsidRPr="00F11A18" w:rsidRDefault="00C41A33" w:rsidP="00B41B23">
            <w:pPr>
              <w:pStyle w:val="TableParagraph"/>
              <w:numPr>
                <w:ilvl w:val="0"/>
                <w:numId w:val="12"/>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4</w:t>
            </w:r>
            <w:r w:rsidRPr="00F11A18">
              <w:rPr>
                <w:sz w:val="20"/>
                <w:szCs w:val="20"/>
              </w:rPr>
              <w:t>:</w:t>
            </w:r>
            <w:r w:rsidR="00B405E1" w:rsidRPr="00F11A18">
              <w:rPr>
                <w:sz w:val="20"/>
                <w:szCs w:val="20"/>
              </w:rPr>
              <w:t xml:space="preserve"> </w:t>
            </w:r>
            <w:r w:rsidRPr="00F11A18">
              <w:rPr>
                <w:sz w:val="20"/>
                <w:szCs w:val="20"/>
              </w:rPr>
              <w:t>&gt;40.0</w:t>
            </w:r>
            <w:r w:rsidR="00B405E1" w:rsidRPr="00F11A18">
              <w:rPr>
                <w:sz w:val="20"/>
                <w:szCs w:val="20"/>
              </w:rPr>
              <w:t xml:space="preserve"> </w:t>
            </w:r>
            <w:r w:rsidRPr="00F11A18">
              <w:rPr>
                <w:sz w:val="20"/>
                <w:szCs w:val="20"/>
              </w:rPr>
              <w:t>degrees</w:t>
            </w:r>
            <w:r w:rsidR="00B405E1" w:rsidRPr="00F11A18">
              <w:rPr>
                <w:sz w:val="20"/>
                <w:szCs w:val="20"/>
              </w:rPr>
              <w:t xml:space="preserve"> </w:t>
            </w:r>
            <w:r w:rsidRPr="00F11A18">
              <w:rPr>
                <w:sz w:val="20"/>
                <w:szCs w:val="20"/>
              </w:rPr>
              <w:t>C</w:t>
            </w:r>
            <w:r w:rsidR="00B405E1" w:rsidRPr="00F11A18">
              <w:rPr>
                <w:sz w:val="20"/>
                <w:szCs w:val="20"/>
              </w:rPr>
              <w:t xml:space="preserve"> </w:t>
            </w:r>
            <w:r w:rsidRPr="00F11A18">
              <w:rPr>
                <w:sz w:val="20"/>
                <w:szCs w:val="20"/>
              </w:rPr>
              <w:t>for</w:t>
            </w:r>
            <w:r w:rsidR="00B405E1" w:rsidRPr="00F11A18">
              <w:rPr>
                <w:sz w:val="20"/>
                <w:szCs w:val="20"/>
              </w:rPr>
              <w:t xml:space="preserve"> </w:t>
            </w:r>
            <w:r w:rsidRPr="00F11A18">
              <w:rPr>
                <w:sz w:val="20"/>
                <w:szCs w:val="20"/>
              </w:rPr>
              <w:t>&gt;24</w:t>
            </w:r>
            <w:r w:rsidR="00B405E1" w:rsidRPr="00F11A18">
              <w:rPr>
                <w:sz w:val="20"/>
                <w:szCs w:val="20"/>
              </w:rPr>
              <w:t xml:space="preserve"> </w:t>
            </w:r>
            <w:r w:rsidRPr="00F11A18">
              <w:rPr>
                <w:sz w:val="20"/>
                <w:szCs w:val="20"/>
              </w:rPr>
              <w:t>hrs</w:t>
            </w:r>
          </w:p>
          <w:p w:rsidR="000B2401" w:rsidRPr="00F11A18" w:rsidRDefault="00C41A33" w:rsidP="00B41B23">
            <w:pPr>
              <w:pStyle w:val="TableParagraph"/>
              <w:numPr>
                <w:ilvl w:val="0"/>
                <w:numId w:val="12"/>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5</w:t>
            </w:r>
            <w:r w:rsidR="00B41B23" w:rsidRPr="00F11A18">
              <w:rPr>
                <w:sz w:val="20"/>
                <w:szCs w:val="20"/>
              </w:rPr>
              <w:t>: d</w:t>
            </w:r>
            <w:r w:rsidRPr="00F11A18">
              <w:rPr>
                <w:sz w:val="20"/>
                <w:szCs w:val="20"/>
              </w:rPr>
              <w:t>eath</w:t>
            </w:r>
          </w:p>
        </w:tc>
      </w:tr>
      <w:tr w:rsidR="000B2401" w:rsidRPr="00F11A18" w:rsidTr="00B405E1">
        <w:trPr>
          <w:jc w:val="center"/>
        </w:trPr>
        <w:tc>
          <w:tcPr>
            <w:tcW w:w="1509"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Febrile</w:t>
            </w:r>
            <w:r w:rsidR="00B405E1" w:rsidRPr="00F11A18">
              <w:rPr>
                <w:b/>
                <w:sz w:val="20"/>
                <w:szCs w:val="20"/>
              </w:rPr>
              <w:t xml:space="preserve"> </w:t>
            </w:r>
            <w:r w:rsidRPr="00F11A18">
              <w:rPr>
                <w:b/>
                <w:sz w:val="20"/>
                <w:szCs w:val="20"/>
              </w:rPr>
              <w:t>neutropenia</w:t>
            </w:r>
          </w:p>
        </w:tc>
        <w:tc>
          <w:tcPr>
            <w:tcW w:w="3491" w:type="pct"/>
            <w:vAlign w:val="center"/>
          </w:tcPr>
          <w:p w:rsidR="000B2401" w:rsidRPr="00F11A18" w:rsidRDefault="00C41A33" w:rsidP="00B41B23">
            <w:pPr>
              <w:pStyle w:val="TableParagraph"/>
              <w:snapToGrid w:val="0"/>
              <w:ind w:left="0"/>
              <w:jc w:val="both"/>
              <w:rPr>
                <w:sz w:val="20"/>
                <w:szCs w:val="20"/>
              </w:rPr>
            </w:pPr>
            <w:r w:rsidRPr="00F11A18">
              <w:rPr>
                <w:sz w:val="20"/>
                <w:szCs w:val="20"/>
              </w:rPr>
              <w:t>Absolute</w:t>
            </w:r>
            <w:r w:rsidR="00B405E1" w:rsidRPr="00F11A18">
              <w:rPr>
                <w:sz w:val="20"/>
                <w:szCs w:val="20"/>
              </w:rPr>
              <w:t xml:space="preserve"> </w:t>
            </w:r>
            <w:r w:rsidRPr="00F11A18">
              <w:rPr>
                <w:sz w:val="20"/>
                <w:szCs w:val="20"/>
              </w:rPr>
              <w:t>neutrophilic</w:t>
            </w:r>
            <w:r w:rsidR="00B405E1" w:rsidRPr="00F11A18">
              <w:rPr>
                <w:sz w:val="20"/>
                <w:szCs w:val="20"/>
              </w:rPr>
              <w:t xml:space="preserve"> </w:t>
            </w:r>
            <w:r w:rsidRPr="00F11A18">
              <w:rPr>
                <w:sz w:val="20"/>
                <w:szCs w:val="20"/>
              </w:rPr>
              <w:t>count</w:t>
            </w:r>
            <w:r w:rsidR="00B405E1" w:rsidRPr="00F11A18">
              <w:rPr>
                <w:sz w:val="20"/>
                <w:szCs w:val="20"/>
              </w:rPr>
              <w:t xml:space="preserve"> </w:t>
            </w:r>
            <w:r w:rsidRPr="00F11A18">
              <w:rPr>
                <w:sz w:val="20"/>
                <w:szCs w:val="20"/>
              </w:rPr>
              <w:t>(ANC)</w:t>
            </w:r>
            <w:r w:rsidR="00B405E1" w:rsidRPr="00F11A18">
              <w:rPr>
                <w:sz w:val="20"/>
                <w:szCs w:val="20"/>
              </w:rPr>
              <w:t xml:space="preserve"> </w:t>
            </w:r>
            <w:r w:rsidRPr="00F11A18">
              <w:rPr>
                <w:sz w:val="20"/>
                <w:szCs w:val="20"/>
              </w:rPr>
              <w:t>&lt;1000/mm</w:t>
            </w:r>
            <w:r w:rsidRPr="00F11A18">
              <w:rPr>
                <w:sz w:val="20"/>
                <w:szCs w:val="20"/>
                <w:vertAlign w:val="superscript"/>
              </w:rPr>
              <w:t>3</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single</w:t>
            </w:r>
            <w:r w:rsidR="00B405E1" w:rsidRPr="00F11A18">
              <w:rPr>
                <w:sz w:val="20"/>
                <w:szCs w:val="20"/>
              </w:rPr>
              <w:t xml:space="preserve"> </w:t>
            </w:r>
            <w:r w:rsidRPr="00F11A18">
              <w:rPr>
                <w:sz w:val="20"/>
                <w:szCs w:val="20"/>
              </w:rPr>
              <w:t>temperature</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&gt;38.3</w:t>
            </w:r>
            <w:r w:rsidR="00B405E1" w:rsidRPr="00F11A18">
              <w:rPr>
                <w:sz w:val="20"/>
                <w:szCs w:val="20"/>
              </w:rPr>
              <w:t xml:space="preserve"> </w:t>
            </w:r>
            <w:r w:rsidRPr="00F11A18">
              <w:rPr>
                <w:sz w:val="20"/>
                <w:szCs w:val="20"/>
              </w:rPr>
              <w:t>degrees</w:t>
            </w:r>
            <w:r w:rsidR="00B405E1" w:rsidRPr="00F11A18">
              <w:rPr>
                <w:sz w:val="20"/>
                <w:szCs w:val="20"/>
              </w:rPr>
              <w:t xml:space="preserve"> </w:t>
            </w:r>
            <w:r w:rsidRPr="00F11A18">
              <w:rPr>
                <w:sz w:val="20"/>
                <w:szCs w:val="20"/>
              </w:rPr>
              <w:t>C</w:t>
            </w:r>
            <w:r w:rsidR="00B405E1" w:rsidRPr="00F11A18">
              <w:rPr>
                <w:sz w:val="20"/>
                <w:szCs w:val="20"/>
              </w:rPr>
              <w:t xml:space="preserve"> </w:t>
            </w:r>
            <w:r w:rsidRPr="00F11A18">
              <w:rPr>
                <w:sz w:val="20"/>
                <w:szCs w:val="20"/>
              </w:rPr>
              <w:t>or</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sustained</w:t>
            </w:r>
            <w:r w:rsidR="00B405E1" w:rsidRPr="00F11A18">
              <w:rPr>
                <w:sz w:val="20"/>
                <w:szCs w:val="20"/>
              </w:rPr>
              <w:t xml:space="preserve"> </w:t>
            </w:r>
            <w:r w:rsidRPr="00F11A18">
              <w:rPr>
                <w:sz w:val="20"/>
                <w:szCs w:val="20"/>
              </w:rPr>
              <w:t>temperature</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≥38</w:t>
            </w:r>
            <w:r w:rsidR="00B405E1" w:rsidRPr="00F11A18">
              <w:rPr>
                <w:sz w:val="20"/>
                <w:szCs w:val="20"/>
              </w:rPr>
              <w:t xml:space="preserve"> </w:t>
            </w:r>
            <w:r w:rsidRPr="00F11A18">
              <w:rPr>
                <w:sz w:val="20"/>
                <w:szCs w:val="20"/>
              </w:rPr>
              <w:t>degrees</w:t>
            </w:r>
            <w:r w:rsidR="00B405E1" w:rsidRPr="00F11A18">
              <w:rPr>
                <w:sz w:val="20"/>
                <w:szCs w:val="20"/>
              </w:rPr>
              <w:t xml:space="preserve"> </w:t>
            </w:r>
            <w:r w:rsidRPr="00F11A18">
              <w:rPr>
                <w:sz w:val="20"/>
                <w:szCs w:val="20"/>
              </w:rPr>
              <w:t>C</w:t>
            </w:r>
            <w:r w:rsidR="00B405E1" w:rsidRPr="00F11A18">
              <w:rPr>
                <w:sz w:val="20"/>
                <w:szCs w:val="20"/>
              </w:rPr>
              <w:t xml:space="preserve"> </w:t>
            </w:r>
            <w:r w:rsidRPr="00F11A18">
              <w:rPr>
                <w:sz w:val="20"/>
                <w:szCs w:val="20"/>
              </w:rPr>
              <w:t>for</w:t>
            </w:r>
            <w:r w:rsidR="00B405E1" w:rsidRPr="00F11A18">
              <w:rPr>
                <w:sz w:val="20"/>
                <w:szCs w:val="20"/>
              </w:rPr>
              <w:t xml:space="preserve"> </w:t>
            </w:r>
            <w:r w:rsidRPr="00F11A18">
              <w:rPr>
                <w:sz w:val="20"/>
                <w:szCs w:val="20"/>
              </w:rPr>
              <w:t>more</w:t>
            </w:r>
            <w:r w:rsidR="00B405E1" w:rsidRPr="00F11A18">
              <w:rPr>
                <w:sz w:val="20"/>
                <w:szCs w:val="20"/>
              </w:rPr>
              <w:t xml:space="preserve"> </w:t>
            </w:r>
            <w:r w:rsidRPr="00F11A18">
              <w:rPr>
                <w:sz w:val="20"/>
                <w:szCs w:val="20"/>
              </w:rPr>
              <w:t>than</w:t>
            </w:r>
            <w:r w:rsidR="00B405E1" w:rsidRPr="00F11A18">
              <w:rPr>
                <w:sz w:val="20"/>
                <w:szCs w:val="20"/>
              </w:rPr>
              <w:t xml:space="preserve"> </w:t>
            </w:r>
            <w:r w:rsidR="00F11A18" w:rsidRPr="00F11A18">
              <w:rPr>
                <w:sz w:val="20"/>
                <w:szCs w:val="20"/>
              </w:rPr>
              <w:t>one hour</w:t>
            </w:r>
          </w:p>
        </w:tc>
      </w:tr>
      <w:tr w:rsidR="000B2401" w:rsidRPr="00F11A18" w:rsidTr="00B405E1">
        <w:trPr>
          <w:jc w:val="center"/>
        </w:trPr>
        <w:tc>
          <w:tcPr>
            <w:tcW w:w="1509"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Bacteremia</w:t>
            </w:r>
          </w:p>
        </w:tc>
        <w:tc>
          <w:tcPr>
            <w:tcW w:w="3491" w:type="pct"/>
            <w:vAlign w:val="center"/>
          </w:tcPr>
          <w:p w:rsidR="000B2401" w:rsidRPr="00F11A18" w:rsidRDefault="00C41A33" w:rsidP="00B41B23">
            <w:pPr>
              <w:pStyle w:val="TableParagraph"/>
              <w:snapToGrid w:val="0"/>
              <w:ind w:left="0"/>
              <w:jc w:val="both"/>
              <w:rPr>
                <w:sz w:val="20"/>
                <w:szCs w:val="20"/>
              </w:rPr>
            </w:pPr>
            <w:r w:rsidRPr="00F11A18">
              <w:rPr>
                <w:sz w:val="20"/>
                <w:szCs w:val="20"/>
              </w:rPr>
              <w:t>The</w:t>
            </w:r>
            <w:r w:rsidR="00B405E1" w:rsidRPr="00F11A18">
              <w:rPr>
                <w:sz w:val="20"/>
                <w:szCs w:val="20"/>
              </w:rPr>
              <w:t xml:space="preserve"> </w:t>
            </w:r>
            <w:r w:rsidRPr="00F11A18">
              <w:rPr>
                <w:sz w:val="20"/>
                <w:szCs w:val="20"/>
              </w:rPr>
              <w:t>isolation</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bacterial</w:t>
            </w:r>
            <w:r w:rsidR="00B405E1" w:rsidRPr="00F11A18">
              <w:rPr>
                <w:sz w:val="20"/>
                <w:szCs w:val="20"/>
              </w:rPr>
              <w:t xml:space="preserve"> </w:t>
            </w:r>
            <w:r w:rsidRPr="00F11A18">
              <w:rPr>
                <w:sz w:val="20"/>
                <w:szCs w:val="20"/>
              </w:rPr>
              <w:t>pathogen</w:t>
            </w:r>
            <w:r w:rsidR="00B405E1" w:rsidRPr="00F11A18">
              <w:rPr>
                <w:sz w:val="20"/>
                <w:szCs w:val="20"/>
              </w:rPr>
              <w:t xml:space="preserve"> </w:t>
            </w:r>
            <w:r w:rsidRPr="00F11A18">
              <w:rPr>
                <w:sz w:val="20"/>
                <w:szCs w:val="20"/>
              </w:rPr>
              <w:t>from</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blood</w:t>
            </w:r>
            <w:r w:rsidR="00B405E1" w:rsidRPr="00F11A18">
              <w:rPr>
                <w:sz w:val="20"/>
                <w:szCs w:val="20"/>
              </w:rPr>
              <w:t xml:space="preserve"> </w:t>
            </w:r>
            <w:r w:rsidRPr="00F11A18">
              <w:rPr>
                <w:sz w:val="20"/>
                <w:szCs w:val="20"/>
              </w:rPr>
              <w:t>without</w:t>
            </w:r>
            <w:r w:rsidR="00B405E1" w:rsidRPr="00F11A18">
              <w:rPr>
                <w:sz w:val="20"/>
                <w:szCs w:val="20"/>
              </w:rPr>
              <w:t xml:space="preserve"> </w:t>
            </w:r>
            <w:r w:rsidRPr="00F11A18">
              <w:rPr>
                <w:sz w:val="20"/>
                <w:szCs w:val="20"/>
              </w:rPr>
              <w:t>fever</w:t>
            </w:r>
          </w:p>
        </w:tc>
      </w:tr>
      <w:tr w:rsidR="000B2401" w:rsidRPr="00F11A18" w:rsidTr="00B405E1">
        <w:trPr>
          <w:jc w:val="center"/>
        </w:trPr>
        <w:tc>
          <w:tcPr>
            <w:tcW w:w="1509"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Clinically</w:t>
            </w:r>
            <w:r w:rsidR="00B405E1" w:rsidRPr="00F11A18">
              <w:rPr>
                <w:b/>
                <w:sz w:val="20"/>
                <w:szCs w:val="20"/>
              </w:rPr>
              <w:t xml:space="preserve"> </w:t>
            </w:r>
            <w:r w:rsidRPr="00F11A18">
              <w:rPr>
                <w:b/>
                <w:sz w:val="20"/>
                <w:szCs w:val="20"/>
              </w:rPr>
              <w:t>documented</w:t>
            </w:r>
            <w:r w:rsidR="00B405E1" w:rsidRPr="00F11A18">
              <w:rPr>
                <w:b/>
                <w:sz w:val="20"/>
                <w:szCs w:val="20"/>
              </w:rPr>
              <w:t xml:space="preserve"> </w:t>
            </w:r>
            <w:r w:rsidRPr="00F11A18">
              <w:rPr>
                <w:b/>
                <w:sz w:val="20"/>
                <w:szCs w:val="20"/>
              </w:rPr>
              <w:t>infections</w:t>
            </w:r>
            <w:r w:rsidR="00B405E1" w:rsidRPr="00F11A18">
              <w:rPr>
                <w:b/>
                <w:sz w:val="20"/>
                <w:szCs w:val="20"/>
              </w:rPr>
              <w:t xml:space="preserve"> </w:t>
            </w:r>
            <w:r w:rsidRPr="00F11A18">
              <w:rPr>
                <w:b/>
                <w:sz w:val="20"/>
                <w:szCs w:val="20"/>
              </w:rPr>
              <w:t>(CDI)</w:t>
            </w:r>
          </w:p>
        </w:tc>
        <w:tc>
          <w:tcPr>
            <w:tcW w:w="3491" w:type="pct"/>
            <w:vAlign w:val="center"/>
          </w:tcPr>
          <w:p w:rsidR="000B2401" w:rsidRPr="00F11A18" w:rsidRDefault="00C41A33" w:rsidP="00B41B23">
            <w:pPr>
              <w:pStyle w:val="TableParagraph"/>
              <w:snapToGrid w:val="0"/>
              <w:ind w:left="0"/>
              <w:jc w:val="both"/>
              <w:rPr>
                <w:sz w:val="20"/>
                <w:szCs w:val="20"/>
              </w:rPr>
            </w:pPr>
            <w:r w:rsidRPr="00F11A18">
              <w:rPr>
                <w:sz w:val="20"/>
                <w:szCs w:val="20"/>
              </w:rPr>
              <w:t>Considered</w:t>
            </w:r>
            <w:r w:rsidR="00B405E1" w:rsidRPr="00F11A18">
              <w:rPr>
                <w:sz w:val="20"/>
                <w:szCs w:val="20"/>
              </w:rPr>
              <w:t xml:space="preserve"> </w:t>
            </w:r>
            <w:r w:rsidRPr="00F11A18">
              <w:rPr>
                <w:sz w:val="20"/>
                <w:szCs w:val="20"/>
              </w:rPr>
              <w:t>when</w:t>
            </w:r>
            <w:r w:rsidR="00B405E1" w:rsidRPr="00F11A18">
              <w:rPr>
                <w:sz w:val="20"/>
                <w:szCs w:val="20"/>
              </w:rPr>
              <w:t xml:space="preserve"> </w:t>
            </w:r>
            <w:r w:rsidRPr="00F11A18">
              <w:rPr>
                <w:sz w:val="20"/>
                <w:szCs w:val="20"/>
              </w:rPr>
              <w:t>there</w:t>
            </w:r>
            <w:r w:rsidR="00B405E1" w:rsidRPr="00F11A18">
              <w:rPr>
                <w:sz w:val="20"/>
                <w:szCs w:val="20"/>
              </w:rPr>
              <w:t xml:space="preserve"> </w:t>
            </w:r>
            <w:r w:rsidRPr="00F11A18">
              <w:rPr>
                <w:sz w:val="20"/>
                <w:szCs w:val="20"/>
              </w:rPr>
              <w:t>was</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focus</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infection</w:t>
            </w:r>
            <w:r w:rsidR="00B405E1" w:rsidRPr="00F11A18">
              <w:rPr>
                <w:sz w:val="20"/>
                <w:szCs w:val="20"/>
              </w:rPr>
              <w:t xml:space="preserve"> </w:t>
            </w:r>
            <w:r w:rsidRPr="00F11A18">
              <w:rPr>
                <w:sz w:val="20"/>
                <w:szCs w:val="20"/>
              </w:rPr>
              <w:t>on</w:t>
            </w:r>
            <w:r w:rsidR="00B405E1" w:rsidRPr="00F11A18">
              <w:rPr>
                <w:sz w:val="20"/>
                <w:szCs w:val="20"/>
              </w:rPr>
              <w:t xml:space="preserve"> </w:t>
            </w:r>
            <w:r w:rsidRPr="00F11A18">
              <w:rPr>
                <w:sz w:val="20"/>
                <w:szCs w:val="20"/>
              </w:rPr>
              <w:t>physical</w:t>
            </w:r>
            <w:r w:rsidR="00B405E1" w:rsidRPr="00F11A18">
              <w:rPr>
                <w:sz w:val="20"/>
                <w:szCs w:val="20"/>
              </w:rPr>
              <w:t xml:space="preserve"> </w:t>
            </w:r>
            <w:r w:rsidRPr="00F11A18">
              <w:rPr>
                <w:sz w:val="20"/>
                <w:szCs w:val="20"/>
              </w:rPr>
              <w:t>examination,</w:t>
            </w:r>
            <w:r w:rsidR="00B405E1" w:rsidRPr="00F11A18">
              <w:rPr>
                <w:sz w:val="20"/>
                <w:szCs w:val="20"/>
              </w:rPr>
              <w:t xml:space="preserve"> </w:t>
            </w:r>
            <w:r w:rsidRPr="00F11A18">
              <w:rPr>
                <w:sz w:val="20"/>
                <w:szCs w:val="20"/>
              </w:rPr>
              <w:t>without</w:t>
            </w:r>
            <w:r w:rsidR="00B405E1" w:rsidRPr="00F11A18">
              <w:rPr>
                <w:sz w:val="20"/>
                <w:szCs w:val="20"/>
              </w:rPr>
              <w:t xml:space="preserve"> </w:t>
            </w:r>
            <w:r w:rsidRPr="00F11A18">
              <w:rPr>
                <w:sz w:val="20"/>
                <w:szCs w:val="20"/>
              </w:rPr>
              <w:t>microbiological</w:t>
            </w:r>
            <w:r w:rsidR="00B405E1" w:rsidRPr="00F11A18">
              <w:rPr>
                <w:sz w:val="20"/>
                <w:szCs w:val="20"/>
              </w:rPr>
              <w:t xml:space="preserve"> </w:t>
            </w:r>
            <w:r w:rsidRPr="00F11A18">
              <w:rPr>
                <w:sz w:val="20"/>
                <w:szCs w:val="20"/>
              </w:rPr>
              <w:t>documentation</w:t>
            </w:r>
            <w:r w:rsidR="00B405E1" w:rsidRPr="00F11A18">
              <w:rPr>
                <w:sz w:val="20"/>
                <w:szCs w:val="20"/>
              </w:rPr>
              <w:t xml:space="preserve"> </w:t>
            </w:r>
            <w:r w:rsidRPr="00F11A18">
              <w:rPr>
                <w:sz w:val="20"/>
                <w:szCs w:val="20"/>
              </w:rPr>
              <w:t>included:</w:t>
            </w:r>
          </w:p>
          <w:p w:rsidR="000B2401" w:rsidRPr="00F11A18" w:rsidRDefault="00C41A33" w:rsidP="00B41B23">
            <w:pPr>
              <w:pStyle w:val="TableParagraph"/>
              <w:numPr>
                <w:ilvl w:val="0"/>
                <w:numId w:val="11"/>
              </w:numPr>
              <w:snapToGrid w:val="0"/>
              <w:ind w:left="0" w:firstLine="0"/>
              <w:jc w:val="both"/>
              <w:rPr>
                <w:sz w:val="20"/>
                <w:szCs w:val="20"/>
              </w:rPr>
            </w:pPr>
            <w:r w:rsidRPr="00F11A18">
              <w:rPr>
                <w:i/>
                <w:sz w:val="20"/>
                <w:szCs w:val="20"/>
              </w:rPr>
              <w:t>Mucositis</w:t>
            </w:r>
            <w:r w:rsidR="00B405E1" w:rsidRPr="00F11A18">
              <w:rPr>
                <w:i/>
                <w:sz w:val="20"/>
                <w:szCs w:val="20"/>
              </w:rPr>
              <w:t xml:space="preserve"> </w:t>
            </w:r>
            <w:r w:rsidRPr="00F11A18">
              <w:rPr>
                <w:i/>
                <w:sz w:val="20"/>
                <w:szCs w:val="20"/>
              </w:rPr>
              <w:t>oral;</w:t>
            </w:r>
            <w:r w:rsidR="00B405E1" w:rsidRPr="00F11A18">
              <w:rPr>
                <w:i/>
                <w:sz w:val="20"/>
                <w:szCs w:val="20"/>
              </w:rPr>
              <w:t xml:space="preserve"> </w:t>
            </w: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inflammation</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oral</w:t>
            </w:r>
            <w:r w:rsidR="00B405E1" w:rsidRPr="00F11A18">
              <w:rPr>
                <w:sz w:val="20"/>
                <w:szCs w:val="20"/>
              </w:rPr>
              <w:t xml:space="preserve"> </w:t>
            </w:r>
            <w:r w:rsidRPr="00F11A18">
              <w:rPr>
                <w:sz w:val="20"/>
                <w:szCs w:val="20"/>
              </w:rPr>
              <w:t>mucosa</w:t>
            </w:r>
          </w:p>
          <w:p w:rsidR="000B2401" w:rsidRPr="00F11A18" w:rsidRDefault="00C41A33" w:rsidP="00B41B23">
            <w:pPr>
              <w:pStyle w:val="TableParagraph"/>
              <w:numPr>
                <w:ilvl w:val="0"/>
                <w:numId w:val="11"/>
              </w:numPr>
              <w:snapToGrid w:val="0"/>
              <w:ind w:left="0" w:firstLine="0"/>
              <w:jc w:val="both"/>
              <w:rPr>
                <w:sz w:val="20"/>
                <w:szCs w:val="20"/>
              </w:rPr>
            </w:pPr>
            <w:r w:rsidRPr="00F11A18">
              <w:rPr>
                <w:i/>
                <w:sz w:val="20"/>
                <w:szCs w:val="20"/>
              </w:rPr>
              <w:t>Anal</w:t>
            </w:r>
            <w:r w:rsidR="00B405E1" w:rsidRPr="00F11A18">
              <w:rPr>
                <w:i/>
                <w:sz w:val="20"/>
                <w:szCs w:val="20"/>
              </w:rPr>
              <w:t xml:space="preserve"> </w:t>
            </w:r>
            <w:r w:rsidRPr="00F11A18">
              <w:rPr>
                <w:i/>
                <w:sz w:val="20"/>
                <w:szCs w:val="20"/>
              </w:rPr>
              <w:t>mucositis;</w:t>
            </w:r>
            <w:r w:rsidR="00B405E1" w:rsidRPr="00F11A18">
              <w:rPr>
                <w:i/>
                <w:sz w:val="20"/>
                <w:szCs w:val="20"/>
              </w:rPr>
              <w:t xml:space="preserve"> </w:t>
            </w: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inflammation</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mucous</w:t>
            </w:r>
            <w:r w:rsidR="00B405E1" w:rsidRPr="00F11A18">
              <w:rPr>
                <w:sz w:val="20"/>
                <w:szCs w:val="20"/>
              </w:rPr>
              <w:t xml:space="preserve"> </w:t>
            </w:r>
            <w:r w:rsidRPr="00F11A18">
              <w:rPr>
                <w:sz w:val="20"/>
                <w:szCs w:val="20"/>
              </w:rPr>
              <w:t>membrane</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theanus</w:t>
            </w:r>
          </w:p>
          <w:p w:rsidR="000B2401" w:rsidRPr="00F11A18" w:rsidRDefault="00C41A33" w:rsidP="00B41B23">
            <w:pPr>
              <w:pStyle w:val="TableParagraph"/>
              <w:numPr>
                <w:ilvl w:val="0"/>
                <w:numId w:val="11"/>
              </w:numPr>
              <w:snapToGrid w:val="0"/>
              <w:ind w:left="0" w:firstLine="0"/>
              <w:jc w:val="both"/>
              <w:rPr>
                <w:sz w:val="20"/>
                <w:szCs w:val="20"/>
              </w:rPr>
            </w:pPr>
            <w:r w:rsidRPr="00F11A18">
              <w:rPr>
                <w:i/>
                <w:sz w:val="20"/>
                <w:szCs w:val="20"/>
              </w:rPr>
              <w:t>Enterocolitis;</w:t>
            </w:r>
            <w:r w:rsidR="00B405E1" w:rsidRPr="00F11A18">
              <w:rPr>
                <w:i/>
                <w:sz w:val="20"/>
                <w:szCs w:val="20"/>
              </w:rPr>
              <w:t xml:space="preserve"> </w:t>
            </w: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inflammation</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small</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large</w:t>
            </w:r>
            <w:r w:rsidR="00F11A18">
              <w:rPr>
                <w:rFonts w:eastAsiaTheme="minorEastAsia" w:hint="eastAsia"/>
                <w:sz w:val="20"/>
                <w:szCs w:val="20"/>
                <w:lang w:eastAsia="zh-CN"/>
              </w:rPr>
              <w:t xml:space="preserve"> </w:t>
            </w:r>
            <w:r w:rsidRPr="00F11A18">
              <w:rPr>
                <w:sz w:val="20"/>
                <w:szCs w:val="20"/>
              </w:rPr>
              <w:t>intestines</w:t>
            </w:r>
          </w:p>
          <w:p w:rsidR="000B2401" w:rsidRPr="00F11A18" w:rsidRDefault="00C41A33" w:rsidP="00B41B23">
            <w:pPr>
              <w:pStyle w:val="TableParagraph"/>
              <w:numPr>
                <w:ilvl w:val="0"/>
                <w:numId w:val="11"/>
              </w:numPr>
              <w:snapToGrid w:val="0"/>
              <w:ind w:left="0" w:firstLine="0"/>
              <w:jc w:val="both"/>
              <w:rPr>
                <w:sz w:val="20"/>
                <w:szCs w:val="20"/>
              </w:rPr>
            </w:pPr>
            <w:r w:rsidRPr="00F11A18">
              <w:rPr>
                <w:sz w:val="20"/>
                <w:szCs w:val="20"/>
              </w:rPr>
              <w:t>Colitis;</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inflammation</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the</w:t>
            </w:r>
            <w:r w:rsidR="00F11A18">
              <w:rPr>
                <w:rFonts w:eastAsiaTheme="minorEastAsia" w:hint="eastAsia"/>
                <w:sz w:val="20"/>
                <w:szCs w:val="20"/>
                <w:lang w:eastAsia="zh-CN"/>
              </w:rPr>
              <w:t xml:space="preserve"> </w:t>
            </w:r>
            <w:r w:rsidRPr="00F11A18">
              <w:rPr>
                <w:sz w:val="20"/>
                <w:szCs w:val="20"/>
              </w:rPr>
              <w:t>colon</w:t>
            </w:r>
          </w:p>
          <w:p w:rsidR="000B2401" w:rsidRPr="00F11A18" w:rsidRDefault="00C41A33" w:rsidP="00B41B23">
            <w:pPr>
              <w:pStyle w:val="TableParagraph"/>
              <w:numPr>
                <w:ilvl w:val="0"/>
                <w:numId w:val="11"/>
              </w:numPr>
              <w:snapToGrid w:val="0"/>
              <w:ind w:left="0" w:firstLine="0"/>
              <w:jc w:val="both"/>
              <w:rPr>
                <w:sz w:val="20"/>
                <w:szCs w:val="20"/>
              </w:rPr>
            </w:pPr>
            <w:r w:rsidRPr="00F11A18">
              <w:rPr>
                <w:i/>
                <w:sz w:val="20"/>
                <w:szCs w:val="20"/>
              </w:rPr>
              <w:t>Typhlitis;</w:t>
            </w:r>
            <w:r w:rsidR="00B405E1" w:rsidRPr="00F11A18">
              <w:rPr>
                <w:i/>
                <w:sz w:val="20"/>
                <w:szCs w:val="20"/>
              </w:rPr>
              <w:t xml:space="preserve"> </w:t>
            </w: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inflammation</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the</w:t>
            </w:r>
            <w:r w:rsidR="00F11A18">
              <w:rPr>
                <w:rFonts w:eastAsiaTheme="minorEastAsia" w:hint="eastAsia"/>
                <w:sz w:val="20"/>
                <w:szCs w:val="20"/>
                <w:lang w:eastAsia="zh-CN"/>
              </w:rPr>
              <w:t xml:space="preserve"> </w:t>
            </w:r>
            <w:r w:rsidRPr="00F11A18">
              <w:rPr>
                <w:sz w:val="20"/>
                <w:szCs w:val="20"/>
              </w:rPr>
              <w:t>cecum</w:t>
            </w:r>
          </w:p>
          <w:p w:rsidR="000B2401" w:rsidRPr="00F11A18" w:rsidRDefault="00C41A33" w:rsidP="00B41B23">
            <w:pPr>
              <w:pStyle w:val="TableParagraph"/>
              <w:numPr>
                <w:ilvl w:val="0"/>
                <w:numId w:val="11"/>
              </w:numPr>
              <w:snapToGrid w:val="0"/>
              <w:ind w:left="0" w:firstLine="0"/>
              <w:jc w:val="both"/>
              <w:rPr>
                <w:sz w:val="20"/>
                <w:szCs w:val="20"/>
              </w:rPr>
            </w:pPr>
            <w:r w:rsidRPr="00F11A18">
              <w:rPr>
                <w:i/>
                <w:sz w:val="20"/>
                <w:szCs w:val="20"/>
              </w:rPr>
              <w:t>Abdominal</w:t>
            </w:r>
            <w:r w:rsidR="00B405E1" w:rsidRPr="00F11A18">
              <w:rPr>
                <w:i/>
                <w:sz w:val="20"/>
                <w:szCs w:val="20"/>
              </w:rPr>
              <w:t xml:space="preserve"> </w:t>
            </w:r>
            <w:r w:rsidRPr="00F11A18">
              <w:rPr>
                <w:i/>
                <w:sz w:val="20"/>
                <w:szCs w:val="20"/>
              </w:rPr>
              <w:t>infection;</w:t>
            </w:r>
            <w:r w:rsidR="00B405E1" w:rsidRPr="00F11A18">
              <w:rPr>
                <w:i/>
                <w:sz w:val="20"/>
                <w:szCs w:val="20"/>
              </w:rPr>
              <w:t xml:space="preserve"> </w:t>
            </w: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an</w:t>
            </w:r>
            <w:r w:rsidR="00B405E1" w:rsidRPr="00F11A18">
              <w:rPr>
                <w:sz w:val="20"/>
                <w:szCs w:val="20"/>
              </w:rPr>
              <w:t xml:space="preserve"> </w:t>
            </w:r>
            <w:r w:rsidRPr="00F11A18">
              <w:rPr>
                <w:sz w:val="20"/>
                <w:szCs w:val="20"/>
              </w:rPr>
              <w:t>infectious</w:t>
            </w:r>
            <w:r w:rsidR="00B405E1" w:rsidRPr="00F11A18">
              <w:rPr>
                <w:sz w:val="20"/>
                <w:szCs w:val="20"/>
              </w:rPr>
              <w:t xml:space="preserve"> </w:t>
            </w:r>
            <w:r w:rsidRPr="00F11A18">
              <w:rPr>
                <w:sz w:val="20"/>
                <w:szCs w:val="20"/>
              </w:rPr>
              <w:t>process</w:t>
            </w:r>
            <w:r w:rsidR="00B405E1" w:rsidRPr="00F11A18">
              <w:rPr>
                <w:sz w:val="20"/>
                <w:szCs w:val="20"/>
              </w:rPr>
              <w:t xml:space="preserve"> </w:t>
            </w:r>
            <w:r w:rsidRPr="00F11A18">
              <w:rPr>
                <w:sz w:val="20"/>
                <w:szCs w:val="20"/>
              </w:rPr>
              <w:t>involving</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abdominal</w:t>
            </w:r>
            <w:r w:rsidR="00F11A18">
              <w:rPr>
                <w:rFonts w:eastAsiaTheme="minorEastAsia" w:hint="eastAsia"/>
                <w:sz w:val="20"/>
                <w:szCs w:val="20"/>
                <w:lang w:eastAsia="zh-CN"/>
              </w:rPr>
              <w:t xml:space="preserve"> </w:t>
            </w:r>
            <w:r w:rsidRPr="00F11A18">
              <w:rPr>
                <w:sz w:val="20"/>
                <w:szCs w:val="20"/>
              </w:rPr>
              <w:t>cavity</w:t>
            </w:r>
          </w:p>
          <w:p w:rsidR="000B2401" w:rsidRPr="00F11A18" w:rsidRDefault="00C41A33" w:rsidP="00B41B23">
            <w:pPr>
              <w:pStyle w:val="TableParagraph"/>
              <w:numPr>
                <w:ilvl w:val="0"/>
                <w:numId w:val="11"/>
              </w:numPr>
              <w:snapToGrid w:val="0"/>
              <w:ind w:left="0" w:firstLine="0"/>
              <w:jc w:val="both"/>
              <w:rPr>
                <w:sz w:val="20"/>
                <w:szCs w:val="20"/>
              </w:rPr>
            </w:pPr>
            <w:r w:rsidRPr="00F11A18">
              <w:rPr>
                <w:i/>
                <w:sz w:val="20"/>
                <w:szCs w:val="20"/>
              </w:rPr>
              <w:t>Soft</w:t>
            </w:r>
            <w:r w:rsidR="00B405E1" w:rsidRPr="00F11A18">
              <w:rPr>
                <w:i/>
                <w:sz w:val="20"/>
                <w:szCs w:val="20"/>
              </w:rPr>
              <w:t xml:space="preserve"> </w:t>
            </w:r>
            <w:r w:rsidRPr="00F11A18">
              <w:rPr>
                <w:i/>
                <w:sz w:val="20"/>
                <w:szCs w:val="20"/>
              </w:rPr>
              <w:t>tissue</w:t>
            </w:r>
            <w:r w:rsidR="00B405E1" w:rsidRPr="00F11A18">
              <w:rPr>
                <w:i/>
                <w:sz w:val="20"/>
                <w:szCs w:val="20"/>
              </w:rPr>
              <w:t xml:space="preserve"> </w:t>
            </w:r>
            <w:r w:rsidRPr="00F11A18">
              <w:rPr>
                <w:i/>
                <w:sz w:val="20"/>
                <w:szCs w:val="20"/>
              </w:rPr>
              <w:t>infection;</w:t>
            </w:r>
            <w:r w:rsidR="00B405E1" w:rsidRPr="00F11A18">
              <w:rPr>
                <w:i/>
                <w:sz w:val="20"/>
                <w:szCs w:val="20"/>
              </w:rPr>
              <w:t xml:space="preserve"> </w:t>
            </w: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an</w:t>
            </w:r>
            <w:r w:rsidR="00B405E1" w:rsidRPr="00F11A18">
              <w:rPr>
                <w:sz w:val="20"/>
                <w:szCs w:val="20"/>
              </w:rPr>
              <w:t xml:space="preserve"> </w:t>
            </w:r>
            <w:r w:rsidRPr="00F11A18">
              <w:rPr>
                <w:sz w:val="20"/>
                <w:szCs w:val="20"/>
              </w:rPr>
              <w:t>infectious</w:t>
            </w:r>
            <w:r w:rsidR="00B405E1" w:rsidRPr="00F11A18">
              <w:rPr>
                <w:sz w:val="20"/>
                <w:szCs w:val="20"/>
              </w:rPr>
              <w:t xml:space="preserve"> </w:t>
            </w:r>
            <w:r w:rsidRPr="00F11A18">
              <w:rPr>
                <w:sz w:val="20"/>
                <w:szCs w:val="20"/>
              </w:rPr>
              <w:t>process</w:t>
            </w:r>
            <w:r w:rsidR="00B405E1" w:rsidRPr="00F11A18">
              <w:rPr>
                <w:sz w:val="20"/>
                <w:szCs w:val="20"/>
              </w:rPr>
              <w:t xml:space="preserve"> </w:t>
            </w:r>
            <w:r w:rsidRPr="00F11A18">
              <w:rPr>
                <w:sz w:val="20"/>
                <w:szCs w:val="20"/>
              </w:rPr>
              <w:t>involving</w:t>
            </w:r>
            <w:r w:rsidR="00B405E1" w:rsidRPr="00F11A18">
              <w:rPr>
                <w:sz w:val="20"/>
                <w:szCs w:val="20"/>
              </w:rPr>
              <w:t xml:space="preserve"> </w:t>
            </w:r>
            <w:r w:rsidRPr="00F11A18">
              <w:rPr>
                <w:sz w:val="20"/>
                <w:szCs w:val="20"/>
              </w:rPr>
              <w:t>soft</w:t>
            </w:r>
            <w:r w:rsidR="00F11A18">
              <w:rPr>
                <w:rFonts w:eastAsiaTheme="minorEastAsia" w:hint="eastAsia"/>
                <w:sz w:val="20"/>
                <w:szCs w:val="20"/>
                <w:lang w:eastAsia="zh-CN"/>
              </w:rPr>
              <w:t xml:space="preserve"> </w:t>
            </w:r>
            <w:r w:rsidRPr="00F11A18">
              <w:rPr>
                <w:sz w:val="20"/>
                <w:szCs w:val="20"/>
              </w:rPr>
              <w:t>tissues</w:t>
            </w:r>
          </w:p>
          <w:p w:rsidR="000B2401" w:rsidRPr="00F11A18" w:rsidRDefault="00C41A33" w:rsidP="00B41B23">
            <w:pPr>
              <w:pStyle w:val="TableParagraph"/>
              <w:numPr>
                <w:ilvl w:val="0"/>
                <w:numId w:val="11"/>
              </w:numPr>
              <w:snapToGrid w:val="0"/>
              <w:ind w:left="0" w:firstLine="0"/>
              <w:jc w:val="both"/>
              <w:rPr>
                <w:i/>
                <w:sz w:val="20"/>
                <w:szCs w:val="20"/>
              </w:rPr>
            </w:pPr>
            <w:r w:rsidRPr="00F11A18">
              <w:rPr>
                <w:i/>
                <w:sz w:val="20"/>
                <w:szCs w:val="20"/>
              </w:rPr>
              <w:t>Pneumonia</w:t>
            </w:r>
          </w:p>
        </w:tc>
      </w:tr>
      <w:tr w:rsidR="000B2401" w:rsidRPr="00F11A18" w:rsidTr="00B405E1">
        <w:trPr>
          <w:jc w:val="center"/>
        </w:trPr>
        <w:tc>
          <w:tcPr>
            <w:tcW w:w="1509"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Anemia</w:t>
            </w:r>
          </w:p>
        </w:tc>
        <w:tc>
          <w:tcPr>
            <w:tcW w:w="3491" w:type="pct"/>
            <w:vAlign w:val="center"/>
          </w:tcPr>
          <w:p w:rsidR="000B2401" w:rsidRPr="00F11A18" w:rsidRDefault="00C41A33" w:rsidP="00B41B23">
            <w:pPr>
              <w:pStyle w:val="TableParagraph"/>
              <w:snapToGrid w:val="0"/>
              <w:ind w:left="0"/>
              <w:jc w:val="both"/>
              <w:rPr>
                <w:sz w:val="20"/>
                <w:szCs w:val="20"/>
              </w:rPr>
            </w:pP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reduction</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amount</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hemoglobin</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100</w:t>
            </w:r>
            <w:r w:rsidR="00B405E1" w:rsidRPr="00F11A18">
              <w:rPr>
                <w:sz w:val="20"/>
                <w:szCs w:val="20"/>
              </w:rPr>
              <w:t xml:space="preserve"> </w:t>
            </w:r>
            <w:r w:rsidRPr="00F11A18">
              <w:rPr>
                <w:sz w:val="20"/>
                <w:szCs w:val="20"/>
              </w:rPr>
              <w:t>ml</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blood;</w:t>
            </w:r>
          </w:p>
          <w:p w:rsidR="000B2401" w:rsidRPr="00F11A18" w:rsidRDefault="00C41A33" w:rsidP="00B41B23">
            <w:pPr>
              <w:pStyle w:val="TableParagraph"/>
              <w:numPr>
                <w:ilvl w:val="0"/>
                <w:numId w:val="10"/>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1</w:t>
            </w:r>
            <w:r w:rsidRPr="00F11A18">
              <w:rPr>
                <w:sz w:val="20"/>
                <w:szCs w:val="20"/>
              </w:rPr>
              <w:t>:</w:t>
            </w:r>
            <w:r w:rsidR="00B405E1" w:rsidRPr="00F11A18">
              <w:rPr>
                <w:sz w:val="20"/>
                <w:szCs w:val="20"/>
              </w:rPr>
              <w:t xml:space="preserve"> </w:t>
            </w:r>
            <w:r w:rsidRPr="00F11A18">
              <w:rPr>
                <w:sz w:val="20"/>
                <w:szCs w:val="20"/>
              </w:rPr>
              <w:t>Hemoglobin</w:t>
            </w:r>
            <w:r w:rsidR="00B405E1" w:rsidRPr="00F11A18">
              <w:rPr>
                <w:sz w:val="20"/>
                <w:szCs w:val="20"/>
              </w:rPr>
              <w:t xml:space="preserve"> </w:t>
            </w:r>
            <w:r w:rsidRPr="00F11A18">
              <w:rPr>
                <w:sz w:val="20"/>
                <w:szCs w:val="20"/>
              </w:rPr>
              <w:t>(Hgb)</w:t>
            </w:r>
            <w:r w:rsidR="00B405E1" w:rsidRPr="00F11A18">
              <w:rPr>
                <w:sz w:val="20"/>
                <w:szCs w:val="20"/>
              </w:rPr>
              <w:t xml:space="preserve"> </w:t>
            </w:r>
            <w:r w:rsidRPr="00F11A18">
              <w:rPr>
                <w:sz w:val="20"/>
                <w:szCs w:val="20"/>
              </w:rPr>
              <w:t>&lt;</w:t>
            </w:r>
            <w:r w:rsidR="00B405E1" w:rsidRPr="00F11A18">
              <w:rPr>
                <w:sz w:val="20"/>
                <w:szCs w:val="20"/>
              </w:rPr>
              <w:t xml:space="preserve"> </w:t>
            </w:r>
            <w:r w:rsidRPr="00F11A18">
              <w:rPr>
                <w:sz w:val="20"/>
                <w:szCs w:val="20"/>
              </w:rPr>
              <w:t>10.0</w:t>
            </w:r>
            <w:r w:rsidR="00B405E1" w:rsidRPr="00F11A18">
              <w:rPr>
                <w:sz w:val="20"/>
                <w:szCs w:val="20"/>
              </w:rPr>
              <w:t xml:space="preserve"> </w:t>
            </w:r>
            <w:r w:rsidRPr="00F11A18">
              <w:rPr>
                <w:sz w:val="20"/>
                <w:szCs w:val="20"/>
              </w:rPr>
              <w:t>g/dL</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w:t>
            </w:r>
            <w:r w:rsidR="00B405E1" w:rsidRPr="00F11A18">
              <w:rPr>
                <w:sz w:val="20"/>
                <w:szCs w:val="20"/>
                <w:u w:val="single"/>
              </w:rPr>
              <w:t xml:space="preserve"> </w:t>
            </w:r>
            <w:r w:rsidRPr="00F11A18">
              <w:rPr>
                <w:sz w:val="20"/>
                <w:szCs w:val="20"/>
                <w:u w:val="single"/>
              </w:rPr>
              <w:t>2</w:t>
            </w:r>
            <w:r w:rsidRPr="00F11A18">
              <w:rPr>
                <w:sz w:val="20"/>
                <w:szCs w:val="20"/>
              </w:rPr>
              <w:t>:</w:t>
            </w:r>
            <w:r w:rsidR="00B405E1" w:rsidRPr="00F11A18">
              <w:rPr>
                <w:sz w:val="20"/>
                <w:szCs w:val="20"/>
              </w:rPr>
              <w:t xml:space="preserve"> </w:t>
            </w:r>
            <w:r w:rsidRPr="00F11A18">
              <w:rPr>
                <w:sz w:val="20"/>
                <w:szCs w:val="20"/>
              </w:rPr>
              <w:t>Hgb&lt;8.0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10.0g/dL</w:t>
            </w:r>
          </w:p>
          <w:p w:rsidR="000B2401" w:rsidRPr="00F11A18" w:rsidRDefault="00C41A33" w:rsidP="00B41B23">
            <w:pPr>
              <w:pStyle w:val="TableParagraph"/>
              <w:numPr>
                <w:ilvl w:val="0"/>
                <w:numId w:val="10"/>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3</w:t>
            </w:r>
            <w:r w:rsidRPr="00F11A18">
              <w:rPr>
                <w:sz w:val="20"/>
                <w:szCs w:val="20"/>
              </w:rPr>
              <w:t>:</w:t>
            </w:r>
            <w:r w:rsidR="00B405E1" w:rsidRPr="00F11A18">
              <w:rPr>
                <w:sz w:val="20"/>
                <w:szCs w:val="20"/>
              </w:rPr>
              <w:t xml:space="preserve"> </w:t>
            </w:r>
            <w:r w:rsidRPr="00F11A18">
              <w:rPr>
                <w:sz w:val="20"/>
                <w:szCs w:val="20"/>
              </w:rPr>
              <w:t>Hgb&lt;</w:t>
            </w:r>
            <w:r w:rsidR="00B405E1" w:rsidRPr="00F11A18">
              <w:rPr>
                <w:sz w:val="20"/>
                <w:szCs w:val="20"/>
              </w:rPr>
              <w:t xml:space="preserve"> </w:t>
            </w:r>
            <w:r w:rsidRPr="00F11A18">
              <w:rPr>
                <w:sz w:val="20"/>
                <w:szCs w:val="20"/>
              </w:rPr>
              <w:t>4.9</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8.0</w:t>
            </w:r>
            <w:r w:rsidR="00B405E1" w:rsidRPr="00F11A18">
              <w:rPr>
                <w:sz w:val="20"/>
                <w:szCs w:val="20"/>
              </w:rPr>
              <w:t xml:space="preserve"> </w:t>
            </w:r>
            <w:r w:rsidRPr="00F11A18">
              <w:rPr>
                <w:sz w:val="20"/>
                <w:szCs w:val="20"/>
              </w:rPr>
              <w:t>g/dL</w:t>
            </w:r>
            <w:r w:rsidR="00B405E1" w:rsidRPr="00F11A18">
              <w:rPr>
                <w:sz w:val="20"/>
                <w:szCs w:val="20"/>
              </w:rPr>
              <w:t xml:space="preserve"> </w:t>
            </w:r>
            <w:r w:rsidRPr="00F11A18">
              <w:rPr>
                <w:sz w:val="20"/>
                <w:szCs w:val="20"/>
              </w:rPr>
              <w:t>(transfusion</w:t>
            </w:r>
            <w:r w:rsidR="00F11A18">
              <w:rPr>
                <w:rFonts w:eastAsiaTheme="minorEastAsia" w:hint="eastAsia"/>
                <w:sz w:val="20"/>
                <w:szCs w:val="20"/>
                <w:lang w:eastAsia="zh-CN"/>
              </w:rPr>
              <w:t xml:space="preserve"> </w:t>
            </w:r>
            <w:r w:rsidRPr="00F11A18">
              <w:rPr>
                <w:sz w:val="20"/>
                <w:szCs w:val="20"/>
              </w:rPr>
              <w:t>indicated)</w:t>
            </w:r>
          </w:p>
          <w:p w:rsidR="000B2401" w:rsidRPr="00F11A18" w:rsidRDefault="00C41A33" w:rsidP="00B41B23">
            <w:pPr>
              <w:pStyle w:val="TableParagraph"/>
              <w:numPr>
                <w:ilvl w:val="0"/>
                <w:numId w:val="10"/>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4</w:t>
            </w:r>
            <w:r w:rsidRPr="00F11A18">
              <w:rPr>
                <w:sz w:val="20"/>
                <w:szCs w:val="20"/>
              </w:rPr>
              <w:t>:</w:t>
            </w:r>
            <w:r w:rsidR="00B405E1" w:rsidRPr="00F11A18">
              <w:rPr>
                <w:sz w:val="20"/>
                <w:szCs w:val="20"/>
              </w:rPr>
              <w:t xml:space="preserve"> </w:t>
            </w:r>
            <w:r w:rsidRPr="00F11A18">
              <w:rPr>
                <w:sz w:val="20"/>
                <w:szCs w:val="20"/>
              </w:rPr>
              <w:t>Life-threatening</w:t>
            </w:r>
            <w:r w:rsidR="00B405E1" w:rsidRPr="00F11A18">
              <w:rPr>
                <w:sz w:val="20"/>
                <w:szCs w:val="20"/>
              </w:rPr>
              <w:t xml:space="preserve"> </w:t>
            </w:r>
            <w:r w:rsidRPr="00F11A18">
              <w:rPr>
                <w:sz w:val="20"/>
                <w:szCs w:val="20"/>
              </w:rPr>
              <w:t>consequences</w:t>
            </w:r>
            <w:r w:rsidR="00B405E1" w:rsidRPr="00F11A18">
              <w:rPr>
                <w:sz w:val="20"/>
                <w:szCs w:val="20"/>
              </w:rPr>
              <w:t xml:space="preserve"> </w:t>
            </w:r>
            <w:r w:rsidRPr="00F11A18">
              <w:rPr>
                <w:sz w:val="20"/>
                <w:szCs w:val="20"/>
              </w:rPr>
              <w:t>(urgent</w:t>
            </w:r>
            <w:r w:rsidR="00B405E1" w:rsidRPr="00F11A18">
              <w:rPr>
                <w:sz w:val="20"/>
                <w:szCs w:val="20"/>
              </w:rPr>
              <w:t xml:space="preserve"> </w:t>
            </w:r>
            <w:r w:rsidRPr="00F11A18">
              <w:rPr>
                <w:sz w:val="20"/>
                <w:szCs w:val="20"/>
              </w:rPr>
              <w:t>intervention</w:t>
            </w:r>
            <w:r w:rsidR="00B405E1" w:rsidRPr="00F11A18">
              <w:rPr>
                <w:sz w:val="20"/>
                <w:szCs w:val="20"/>
              </w:rPr>
              <w:t xml:space="preserve"> </w:t>
            </w:r>
            <w:r w:rsidRPr="00F11A18">
              <w:rPr>
                <w:sz w:val="20"/>
                <w:szCs w:val="20"/>
              </w:rPr>
              <w:t>indicated)</w:t>
            </w:r>
          </w:p>
        </w:tc>
      </w:tr>
      <w:tr w:rsidR="000B2401" w:rsidRPr="00F11A18" w:rsidTr="00B405E1">
        <w:trPr>
          <w:jc w:val="center"/>
        </w:trPr>
        <w:tc>
          <w:tcPr>
            <w:tcW w:w="1509" w:type="pct"/>
            <w:vAlign w:val="center"/>
          </w:tcPr>
          <w:p w:rsidR="000B2401" w:rsidRPr="00F11A18" w:rsidRDefault="000B2401" w:rsidP="00B41B23">
            <w:pPr>
              <w:pStyle w:val="TableParagraph"/>
              <w:snapToGrid w:val="0"/>
              <w:ind w:left="0"/>
              <w:jc w:val="both"/>
              <w:rPr>
                <w:sz w:val="20"/>
                <w:szCs w:val="20"/>
              </w:rPr>
            </w:pPr>
          </w:p>
        </w:tc>
        <w:tc>
          <w:tcPr>
            <w:tcW w:w="3491" w:type="pct"/>
            <w:vAlign w:val="center"/>
          </w:tcPr>
          <w:p w:rsidR="000B2401" w:rsidRPr="00F11A18" w:rsidRDefault="00C41A33" w:rsidP="00B41B23">
            <w:pPr>
              <w:pStyle w:val="TableParagraph"/>
              <w:numPr>
                <w:ilvl w:val="0"/>
                <w:numId w:val="9"/>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5</w:t>
            </w:r>
            <w:r w:rsidR="00B41B23" w:rsidRPr="00F11A18">
              <w:rPr>
                <w:sz w:val="20"/>
                <w:szCs w:val="20"/>
              </w:rPr>
              <w:t>: d</w:t>
            </w:r>
            <w:r w:rsidRPr="00F11A18">
              <w:rPr>
                <w:sz w:val="20"/>
                <w:szCs w:val="20"/>
              </w:rPr>
              <w:t>eath</w:t>
            </w:r>
          </w:p>
        </w:tc>
      </w:tr>
      <w:tr w:rsidR="000B2401" w:rsidRPr="00F11A18" w:rsidTr="00B405E1">
        <w:trPr>
          <w:jc w:val="center"/>
        </w:trPr>
        <w:tc>
          <w:tcPr>
            <w:tcW w:w="1509"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Thrombocytopenia</w:t>
            </w:r>
          </w:p>
        </w:tc>
        <w:tc>
          <w:tcPr>
            <w:tcW w:w="3491" w:type="pct"/>
            <w:vAlign w:val="center"/>
          </w:tcPr>
          <w:p w:rsidR="000B2401" w:rsidRPr="00F11A18" w:rsidRDefault="00C41A33" w:rsidP="00B41B23">
            <w:pPr>
              <w:pStyle w:val="TableParagraph"/>
              <w:snapToGrid w:val="0"/>
              <w:ind w:left="0"/>
              <w:jc w:val="both"/>
              <w:rPr>
                <w:sz w:val="20"/>
                <w:szCs w:val="20"/>
              </w:rPr>
            </w:pPr>
            <w:r w:rsidRPr="00F11A18">
              <w:rPr>
                <w:sz w:val="20"/>
                <w:szCs w:val="20"/>
              </w:rPr>
              <w:t>A</w:t>
            </w:r>
            <w:r w:rsidR="00B405E1" w:rsidRPr="00F11A18">
              <w:rPr>
                <w:sz w:val="20"/>
                <w:szCs w:val="20"/>
              </w:rPr>
              <w:t xml:space="preserve"> </w:t>
            </w:r>
            <w:r w:rsidRPr="00F11A18">
              <w:rPr>
                <w:sz w:val="20"/>
                <w:szCs w:val="20"/>
              </w:rPr>
              <w:t>finding</w:t>
            </w:r>
            <w:r w:rsidR="00B405E1" w:rsidRPr="00F11A18">
              <w:rPr>
                <w:sz w:val="20"/>
                <w:szCs w:val="20"/>
              </w:rPr>
              <w:t xml:space="preserve"> </w:t>
            </w:r>
            <w:r w:rsidRPr="00F11A18">
              <w:rPr>
                <w:sz w:val="20"/>
                <w:szCs w:val="20"/>
              </w:rPr>
              <w:t>based</w:t>
            </w:r>
            <w:r w:rsidR="00B405E1" w:rsidRPr="00F11A18">
              <w:rPr>
                <w:sz w:val="20"/>
                <w:szCs w:val="20"/>
              </w:rPr>
              <w:t xml:space="preserve"> </w:t>
            </w:r>
            <w:r w:rsidRPr="00F11A18">
              <w:rPr>
                <w:sz w:val="20"/>
                <w:szCs w:val="20"/>
              </w:rPr>
              <w:t>on</w:t>
            </w:r>
            <w:r w:rsidR="00B405E1" w:rsidRPr="00F11A18">
              <w:rPr>
                <w:sz w:val="20"/>
                <w:szCs w:val="20"/>
              </w:rPr>
              <w:t xml:space="preserve"> </w:t>
            </w:r>
            <w:r w:rsidRPr="00F11A18">
              <w:rPr>
                <w:sz w:val="20"/>
                <w:szCs w:val="20"/>
              </w:rPr>
              <w:t>laboratory</w:t>
            </w:r>
            <w:r w:rsidR="00B405E1" w:rsidRPr="00F11A18">
              <w:rPr>
                <w:sz w:val="20"/>
                <w:szCs w:val="20"/>
              </w:rPr>
              <w:t xml:space="preserve"> </w:t>
            </w:r>
            <w:r w:rsidRPr="00F11A18">
              <w:rPr>
                <w:sz w:val="20"/>
                <w:szCs w:val="20"/>
              </w:rPr>
              <w:t>test</w:t>
            </w:r>
            <w:r w:rsidR="00B405E1" w:rsidRPr="00F11A18">
              <w:rPr>
                <w:sz w:val="20"/>
                <w:szCs w:val="20"/>
              </w:rPr>
              <w:t xml:space="preserve"> </w:t>
            </w:r>
            <w:r w:rsidRPr="00F11A18">
              <w:rPr>
                <w:sz w:val="20"/>
                <w:szCs w:val="20"/>
              </w:rPr>
              <w:t>results</w:t>
            </w:r>
            <w:r w:rsidR="00B405E1" w:rsidRPr="00F11A18">
              <w:rPr>
                <w:sz w:val="20"/>
                <w:szCs w:val="20"/>
              </w:rPr>
              <w:t xml:space="preserve"> </w:t>
            </w:r>
            <w:r w:rsidRPr="00F11A18">
              <w:rPr>
                <w:sz w:val="20"/>
                <w:szCs w:val="20"/>
              </w:rPr>
              <w:t>that</w:t>
            </w:r>
            <w:r w:rsidR="00B405E1" w:rsidRPr="00F11A18">
              <w:rPr>
                <w:sz w:val="20"/>
                <w:szCs w:val="20"/>
              </w:rPr>
              <w:t xml:space="preserve"> </w:t>
            </w:r>
            <w:r w:rsidRPr="00F11A18">
              <w:rPr>
                <w:sz w:val="20"/>
                <w:szCs w:val="20"/>
              </w:rPr>
              <w:t>indicate</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decrease</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number</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platelets</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blood</w:t>
            </w:r>
            <w:r w:rsidR="00B405E1" w:rsidRPr="00F11A18">
              <w:rPr>
                <w:sz w:val="20"/>
                <w:szCs w:val="20"/>
              </w:rPr>
              <w:t xml:space="preserve"> </w:t>
            </w:r>
            <w:r w:rsidRPr="00F11A18">
              <w:rPr>
                <w:sz w:val="20"/>
                <w:szCs w:val="20"/>
              </w:rPr>
              <w:t>specimen;</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Grade1</w:t>
            </w:r>
            <w:r w:rsidRPr="00F11A18">
              <w:rPr>
                <w:sz w:val="20"/>
                <w:szCs w:val="20"/>
              </w:rPr>
              <w:t>:</w:t>
            </w:r>
            <w:r w:rsidR="00B405E1" w:rsidRPr="00F11A18">
              <w:rPr>
                <w:sz w:val="20"/>
                <w:szCs w:val="20"/>
              </w:rPr>
              <w:t xml:space="preserve"> </w:t>
            </w:r>
            <w:r w:rsidRPr="00F11A18">
              <w:rPr>
                <w:sz w:val="20"/>
                <w:szCs w:val="20"/>
              </w:rPr>
              <w:t>&lt;LLN</w:t>
            </w:r>
            <w:r w:rsidR="00B405E1" w:rsidRPr="00F11A18">
              <w:rPr>
                <w:sz w:val="20"/>
                <w:szCs w:val="20"/>
              </w:rPr>
              <w:t xml:space="preserve"> </w:t>
            </w:r>
            <w:r w:rsidRPr="00F11A18">
              <w:rPr>
                <w:sz w:val="20"/>
                <w:szCs w:val="20"/>
              </w:rPr>
              <w:t>-75.0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w:t>
            </w:r>
            <w:r w:rsidRPr="00F11A18">
              <w:rPr>
                <w:sz w:val="20"/>
                <w:szCs w:val="20"/>
                <w:vertAlign w:val="superscript"/>
              </w:rPr>
              <w:t>9</w:t>
            </w:r>
            <w:r w:rsidR="00B405E1" w:rsidRPr="00F11A18">
              <w:rPr>
                <w:sz w:val="20"/>
                <w:szCs w:val="20"/>
              </w:rPr>
              <w:t xml:space="preserve"> </w:t>
            </w:r>
            <w:r w:rsidRPr="00F11A18">
              <w:rPr>
                <w:sz w:val="20"/>
                <w:szCs w:val="20"/>
              </w:rPr>
              <w:t>/L</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Grade2</w:t>
            </w:r>
            <w:r w:rsidRPr="00F11A18">
              <w:rPr>
                <w:sz w:val="20"/>
                <w:szCs w:val="20"/>
              </w:rPr>
              <w:t>:</w:t>
            </w:r>
            <w:r w:rsidR="00B405E1" w:rsidRPr="00F11A18">
              <w:rPr>
                <w:sz w:val="20"/>
                <w:szCs w:val="20"/>
              </w:rPr>
              <w:t xml:space="preserve"> </w:t>
            </w:r>
            <w:r w:rsidRPr="00F11A18">
              <w:rPr>
                <w:sz w:val="20"/>
                <w:szCs w:val="20"/>
              </w:rPr>
              <w:t>&lt;75.0-</w:t>
            </w:r>
            <w:r w:rsidR="00B405E1" w:rsidRPr="00F11A18">
              <w:rPr>
                <w:sz w:val="20"/>
                <w:szCs w:val="20"/>
              </w:rPr>
              <w:t xml:space="preserve"> </w:t>
            </w:r>
            <w:r w:rsidRPr="00F11A18">
              <w:rPr>
                <w:sz w:val="20"/>
                <w:szCs w:val="20"/>
              </w:rPr>
              <w:t>50.0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w:t>
            </w:r>
            <w:r w:rsidRPr="00F11A18">
              <w:rPr>
                <w:sz w:val="20"/>
                <w:szCs w:val="20"/>
                <w:vertAlign w:val="superscript"/>
              </w:rPr>
              <w:t>9</w:t>
            </w:r>
            <w:r w:rsidRPr="00F11A18">
              <w:rPr>
                <w:sz w:val="20"/>
                <w:szCs w:val="20"/>
              </w:rPr>
              <w:t>/L</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Grade3</w:t>
            </w:r>
            <w:r w:rsidRPr="00F11A18">
              <w:rPr>
                <w:sz w:val="20"/>
                <w:szCs w:val="20"/>
              </w:rPr>
              <w:t>:</w:t>
            </w:r>
            <w:r w:rsidR="00B405E1" w:rsidRPr="00F11A18">
              <w:rPr>
                <w:sz w:val="20"/>
                <w:szCs w:val="20"/>
              </w:rPr>
              <w:t xml:space="preserve"> </w:t>
            </w:r>
            <w:r w:rsidRPr="00F11A18">
              <w:rPr>
                <w:sz w:val="20"/>
                <w:szCs w:val="20"/>
              </w:rPr>
              <w:t>&lt;50.0-</w:t>
            </w:r>
            <w:r w:rsidR="00B405E1" w:rsidRPr="00F11A18">
              <w:rPr>
                <w:sz w:val="20"/>
                <w:szCs w:val="20"/>
              </w:rPr>
              <w:t xml:space="preserve"> </w:t>
            </w:r>
            <w:r w:rsidRPr="00F11A18">
              <w:rPr>
                <w:sz w:val="20"/>
                <w:szCs w:val="20"/>
              </w:rPr>
              <w:t>25.0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w:t>
            </w:r>
            <w:r w:rsidRPr="00F11A18">
              <w:rPr>
                <w:sz w:val="20"/>
                <w:szCs w:val="20"/>
                <w:vertAlign w:val="superscript"/>
              </w:rPr>
              <w:t>9</w:t>
            </w:r>
            <w:r w:rsidRPr="00F11A18">
              <w:rPr>
                <w:sz w:val="20"/>
                <w:szCs w:val="20"/>
              </w:rPr>
              <w:t>/L</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Grade4</w:t>
            </w:r>
            <w:r w:rsidRPr="00F11A18">
              <w:rPr>
                <w:sz w:val="20"/>
                <w:szCs w:val="20"/>
              </w:rPr>
              <w:t>:</w:t>
            </w:r>
            <w:r w:rsidR="00B405E1" w:rsidRPr="00F11A18">
              <w:rPr>
                <w:sz w:val="20"/>
                <w:szCs w:val="20"/>
              </w:rPr>
              <w:t xml:space="preserve"> </w:t>
            </w:r>
            <w:r w:rsidRPr="00F11A18">
              <w:rPr>
                <w:sz w:val="20"/>
                <w:szCs w:val="20"/>
              </w:rPr>
              <w:t>&lt;25.0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w:t>
            </w:r>
            <w:r w:rsidRPr="00F11A18">
              <w:rPr>
                <w:sz w:val="20"/>
                <w:szCs w:val="20"/>
                <w:vertAlign w:val="superscript"/>
              </w:rPr>
              <w:t>9</w:t>
            </w:r>
            <w:r w:rsidRPr="00F11A18">
              <w:rPr>
                <w:sz w:val="20"/>
                <w:szCs w:val="20"/>
              </w:rPr>
              <w:t>/L</w:t>
            </w:r>
          </w:p>
        </w:tc>
      </w:tr>
      <w:tr w:rsidR="000B2401" w:rsidRPr="00F11A18" w:rsidTr="00B405E1">
        <w:trPr>
          <w:jc w:val="center"/>
        </w:trPr>
        <w:tc>
          <w:tcPr>
            <w:tcW w:w="1509"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Impaired</w:t>
            </w:r>
            <w:r w:rsidR="00B405E1" w:rsidRPr="00F11A18">
              <w:rPr>
                <w:b/>
                <w:sz w:val="20"/>
                <w:szCs w:val="20"/>
              </w:rPr>
              <w:t xml:space="preserve"> </w:t>
            </w:r>
            <w:r w:rsidRPr="00F11A18">
              <w:rPr>
                <w:b/>
                <w:sz w:val="20"/>
                <w:szCs w:val="20"/>
              </w:rPr>
              <w:t>liver</w:t>
            </w:r>
            <w:r w:rsidR="00B405E1" w:rsidRPr="00F11A18">
              <w:rPr>
                <w:b/>
                <w:sz w:val="20"/>
                <w:szCs w:val="20"/>
              </w:rPr>
              <w:t xml:space="preserve"> </w:t>
            </w:r>
            <w:r w:rsidRPr="00F11A18">
              <w:rPr>
                <w:b/>
                <w:sz w:val="20"/>
                <w:szCs w:val="20"/>
              </w:rPr>
              <w:t>functions</w:t>
            </w:r>
          </w:p>
        </w:tc>
        <w:tc>
          <w:tcPr>
            <w:tcW w:w="3491" w:type="pct"/>
            <w:vAlign w:val="center"/>
          </w:tcPr>
          <w:p w:rsidR="000B2401" w:rsidRPr="00F11A18" w:rsidRDefault="00C41A33" w:rsidP="00B41B23">
            <w:pPr>
              <w:pStyle w:val="TableParagraph"/>
              <w:snapToGrid w:val="0"/>
              <w:ind w:left="0"/>
              <w:jc w:val="both"/>
              <w:rPr>
                <w:sz w:val="20"/>
                <w:szCs w:val="20"/>
              </w:rPr>
            </w:pPr>
            <w:r w:rsidRPr="00F11A18">
              <w:rPr>
                <w:sz w:val="20"/>
                <w:szCs w:val="20"/>
              </w:rPr>
              <w:t>Considered</w:t>
            </w:r>
            <w:r w:rsidR="00B405E1" w:rsidRPr="00F11A18">
              <w:rPr>
                <w:sz w:val="20"/>
                <w:szCs w:val="20"/>
              </w:rPr>
              <w:t xml:space="preserve"> </w:t>
            </w:r>
            <w:r w:rsidRPr="00F11A18">
              <w:rPr>
                <w:sz w:val="20"/>
                <w:szCs w:val="20"/>
              </w:rPr>
              <w:t>when</w:t>
            </w:r>
            <w:r w:rsidR="00B405E1" w:rsidRPr="00F11A18">
              <w:rPr>
                <w:sz w:val="20"/>
                <w:szCs w:val="20"/>
              </w:rPr>
              <w:t xml:space="preserve"> </w:t>
            </w:r>
            <w:r w:rsidRPr="00F11A18">
              <w:rPr>
                <w:sz w:val="20"/>
                <w:szCs w:val="20"/>
              </w:rPr>
              <w:t>there</w:t>
            </w:r>
            <w:r w:rsidR="00B405E1" w:rsidRPr="00F11A18">
              <w:rPr>
                <w:sz w:val="20"/>
                <w:szCs w:val="20"/>
              </w:rPr>
              <w:t xml:space="preserve"> </w:t>
            </w:r>
            <w:r w:rsidRPr="00F11A18">
              <w:rPr>
                <w:sz w:val="20"/>
                <w:szCs w:val="20"/>
              </w:rPr>
              <w:t>was</w:t>
            </w:r>
            <w:r w:rsidR="00B405E1" w:rsidRPr="00F11A18">
              <w:rPr>
                <w:sz w:val="20"/>
                <w:szCs w:val="20"/>
              </w:rPr>
              <w:t xml:space="preserve"> </w:t>
            </w:r>
            <w:r w:rsidRPr="00F11A18">
              <w:rPr>
                <w:sz w:val="20"/>
                <w:szCs w:val="20"/>
              </w:rPr>
              <w:t>increase</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either;</w:t>
            </w:r>
          </w:p>
          <w:p w:rsidR="000B2401" w:rsidRPr="00F11A18" w:rsidRDefault="00C41A33" w:rsidP="00B41B23">
            <w:pPr>
              <w:pStyle w:val="TableParagraph"/>
              <w:numPr>
                <w:ilvl w:val="0"/>
                <w:numId w:val="8"/>
              </w:numPr>
              <w:snapToGrid w:val="0"/>
              <w:ind w:left="0" w:firstLine="0"/>
              <w:jc w:val="both"/>
              <w:rPr>
                <w:sz w:val="20"/>
                <w:szCs w:val="20"/>
              </w:rPr>
            </w:pPr>
            <w:r w:rsidRPr="00F11A18">
              <w:rPr>
                <w:i/>
                <w:sz w:val="20"/>
                <w:szCs w:val="20"/>
              </w:rPr>
              <w:t>Alanine</w:t>
            </w:r>
            <w:r w:rsidR="00B405E1" w:rsidRPr="00F11A18">
              <w:rPr>
                <w:i/>
                <w:sz w:val="20"/>
                <w:szCs w:val="20"/>
              </w:rPr>
              <w:t xml:space="preserve"> </w:t>
            </w:r>
            <w:r w:rsidRPr="00F11A18">
              <w:rPr>
                <w:i/>
                <w:sz w:val="20"/>
                <w:szCs w:val="20"/>
              </w:rPr>
              <w:t>aminotransferase</w:t>
            </w:r>
            <w:r w:rsidR="00B405E1" w:rsidRPr="00F11A18">
              <w:rPr>
                <w:i/>
                <w:sz w:val="20"/>
                <w:szCs w:val="20"/>
              </w:rPr>
              <w:t xml:space="preserve"> </w:t>
            </w:r>
            <w:r w:rsidRPr="00F11A18">
              <w:rPr>
                <w:sz w:val="20"/>
                <w:szCs w:val="20"/>
              </w:rPr>
              <w:t>or</w:t>
            </w:r>
            <w:r w:rsidR="00B405E1" w:rsidRPr="00F11A18">
              <w:rPr>
                <w:sz w:val="20"/>
                <w:szCs w:val="20"/>
              </w:rPr>
              <w:t xml:space="preserve"> </w:t>
            </w:r>
            <w:r w:rsidRPr="00F11A18">
              <w:rPr>
                <w:i/>
                <w:sz w:val="20"/>
                <w:szCs w:val="20"/>
              </w:rPr>
              <w:t>Aspartate</w:t>
            </w:r>
            <w:r w:rsidR="00B405E1" w:rsidRPr="00F11A18">
              <w:rPr>
                <w:i/>
                <w:sz w:val="20"/>
                <w:szCs w:val="20"/>
              </w:rPr>
              <w:t xml:space="preserve"> </w:t>
            </w:r>
            <w:r w:rsidRPr="00F11A18">
              <w:rPr>
                <w:i/>
                <w:sz w:val="20"/>
                <w:szCs w:val="20"/>
              </w:rPr>
              <w:t>aminotransferase</w:t>
            </w:r>
            <w:r w:rsidR="00B405E1" w:rsidRPr="00F11A18">
              <w:rPr>
                <w:i/>
                <w:sz w:val="20"/>
                <w:szCs w:val="20"/>
              </w:rPr>
              <w:t xml:space="preserve"> </w:t>
            </w:r>
            <w:r w:rsidRPr="00F11A18">
              <w:rPr>
                <w:sz w:val="20"/>
                <w:szCs w:val="20"/>
              </w:rPr>
              <w:t>above</w:t>
            </w:r>
            <w:r w:rsidR="00B405E1" w:rsidRPr="00F11A18">
              <w:rPr>
                <w:sz w:val="20"/>
                <w:szCs w:val="20"/>
              </w:rPr>
              <w:t xml:space="preserve"> </w:t>
            </w:r>
            <w:r w:rsidRPr="00F11A18">
              <w:rPr>
                <w:sz w:val="20"/>
                <w:szCs w:val="20"/>
              </w:rPr>
              <w:t>upper</w:t>
            </w:r>
            <w:r w:rsidR="00B405E1" w:rsidRPr="00F11A18">
              <w:rPr>
                <w:sz w:val="20"/>
                <w:szCs w:val="20"/>
              </w:rPr>
              <w:t xml:space="preserve"> </w:t>
            </w:r>
            <w:r w:rsidRPr="00F11A18">
              <w:rPr>
                <w:sz w:val="20"/>
                <w:szCs w:val="20"/>
              </w:rPr>
              <w:t>limit;</w:t>
            </w:r>
          </w:p>
          <w:p w:rsidR="000B2401" w:rsidRPr="00F11A18" w:rsidRDefault="00C41A33" w:rsidP="00B41B23">
            <w:pPr>
              <w:pStyle w:val="TableParagraph"/>
              <w:numPr>
                <w:ilvl w:val="1"/>
                <w:numId w:val="8"/>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1</w:t>
            </w:r>
            <w:r w:rsidRPr="00F11A18">
              <w:rPr>
                <w:sz w:val="20"/>
                <w:szCs w:val="20"/>
              </w:rPr>
              <w:t>:</w:t>
            </w:r>
            <w:r w:rsidR="00B405E1" w:rsidRPr="00F11A18">
              <w:rPr>
                <w:sz w:val="20"/>
                <w:szCs w:val="20"/>
              </w:rPr>
              <w:t xml:space="preserve"> </w:t>
            </w:r>
            <w:r w:rsidRPr="00F11A18">
              <w:rPr>
                <w:sz w:val="20"/>
                <w:szCs w:val="20"/>
              </w:rPr>
              <w:t>3.0</w:t>
            </w:r>
            <w:r w:rsidR="00B405E1" w:rsidRPr="00F11A18">
              <w:rPr>
                <w:sz w:val="20"/>
                <w:szCs w:val="20"/>
              </w:rPr>
              <w:t xml:space="preserve"> </w:t>
            </w:r>
            <w:r w:rsidRPr="00F11A18">
              <w:rPr>
                <w:sz w:val="20"/>
                <w:szCs w:val="20"/>
              </w:rPr>
              <w:t>×ULN</w:t>
            </w:r>
          </w:p>
          <w:p w:rsidR="000B2401" w:rsidRPr="00F11A18" w:rsidRDefault="00C41A33" w:rsidP="00B41B23">
            <w:pPr>
              <w:pStyle w:val="TableParagraph"/>
              <w:snapToGrid w:val="0"/>
              <w:ind w:left="0"/>
              <w:jc w:val="both"/>
              <w:rPr>
                <w:sz w:val="20"/>
                <w:szCs w:val="20"/>
              </w:rPr>
            </w:pPr>
            <w:r w:rsidRPr="00F11A18">
              <w:rPr>
                <w:sz w:val="20"/>
                <w:szCs w:val="20"/>
              </w:rPr>
              <w:lastRenderedPageBreak/>
              <w:t></w:t>
            </w:r>
            <w:r w:rsidR="00B405E1" w:rsidRPr="00F11A18">
              <w:rPr>
                <w:sz w:val="20"/>
                <w:szCs w:val="20"/>
              </w:rPr>
              <w:t xml:space="preserve"> </w:t>
            </w:r>
            <w:r w:rsidRPr="00F11A18">
              <w:rPr>
                <w:sz w:val="20"/>
                <w:szCs w:val="20"/>
                <w:u w:val="single"/>
              </w:rPr>
              <w:t>Grade</w:t>
            </w:r>
            <w:r w:rsidR="00B405E1" w:rsidRPr="00F11A18">
              <w:rPr>
                <w:sz w:val="20"/>
                <w:szCs w:val="20"/>
                <w:u w:val="single"/>
              </w:rPr>
              <w:t xml:space="preserve"> </w:t>
            </w:r>
            <w:r w:rsidRPr="00F11A18">
              <w:rPr>
                <w:sz w:val="20"/>
                <w:szCs w:val="20"/>
                <w:u w:val="single"/>
              </w:rPr>
              <w:t>2</w:t>
            </w:r>
            <w:r w:rsidRPr="00F11A18">
              <w:rPr>
                <w:sz w:val="20"/>
                <w:szCs w:val="20"/>
              </w:rPr>
              <w:t>:</w:t>
            </w:r>
            <w:r w:rsidR="00B405E1" w:rsidRPr="00F11A18">
              <w:rPr>
                <w:sz w:val="20"/>
                <w:szCs w:val="20"/>
              </w:rPr>
              <w:t xml:space="preserve"> </w:t>
            </w:r>
            <w:r w:rsidRPr="00F11A18">
              <w:rPr>
                <w:sz w:val="20"/>
                <w:szCs w:val="20"/>
              </w:rPr>
              <w:t>&gt;3.0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5.0</w:t>
            </w:r>
            <w:r w:rsidR="00B405E1" w:rsidRPr="00F11A18">
              <w:rPr>
                <w:sz w:val="20"/>
                <w:szCs w:val="20"/>
              </w:rPr>
              <w:t xml:space="preserve"> </w:t>
            </w:r>
            <w:r w:rsidRPr="00F11A18">
              <w:rPr>
                <w:sz w:val="20"/>
                <w:szCs w:val="20"/>
              </w:rPr>
              <w:t>×ULN</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w:t>
            </w:r>
            <w:r w:rsidR="00B405E1" w:rsidRPr="00F11A18">
              <w:rPr>
                <w:sz w:val="20"/>
                <w:szCs w:val="20"/>
                <w:u w:val="single"/>
              </w:rPr>
              <w:t xml:space="preserve"> </w:t>
            </w:r>
            <w:r w:rsidRPr="00F11A18">
              <w:rPr>
                <w:sz w:val="20"/>
                <w:szCs w:val="20"/>
                <w:u w:val="single"/>
              </w:rPr>
              <w:t>3</w:t>
            </w:r>
            <w:r w:rsidRPr="00F11A18">
              <w:rPr>
                <w:sz w:val="20"/>
                <w:szCs w:val="20"/>
              </w:rPr>
              <w:t>:</w:t>
            </w:r>
            <w:r w:rsidR="00B405E1" w:rsidRPr="00F11A18">
              <w:rPr>
                <w:sz w:val="20"/>
                <w:szCs w:val="20"/>
              </w:rPr>
              <w:t xml:space="preserve"> </w:t>
            </w:r>
            <w:r w:rsidRPr="00F11A18">
              <w:rPr>
                <w:sz w:val="20"/>
                <w:szCs w:val="20"/>
              </w:rPr>
              <w:t>&gt;5.0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20.0</w:t>
            </w:r>
            <w:r w:rsidR="00B405E1" w:rsidRPr="00F11A18">
              <w:rPr>
                <w:sz w:val="20"/>
                <w:szCs w:val="20"/>
              </w:rPr>
              <w:t xml:space="preserve"> </w:t>
            </w:r>
            <w:r w:rsidRPr="00F11A18">
              <w:rPr>
                <w:sz w:val="20"/>
                <w:szCs w:val="20"/>
              </w:rPr>
              <w:t>×ULN</w:t>
            </w:r>
          </w:p>
          <w:p w:rsidR="000B2401" w:rsidRPr="00F11A18" w:rsidRDefault="00C41A33" w:rsidP="00B41B23">
            <w:pPr>
              <w:pStyle w:val="TableParagraph"/>
              <w:numPr>
                <w:ilvl w:val="1"/>
                <w:numId w:val="8"/>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4</w:t>
            </w:r>
            <w:r w:rsidRPr="00F11A18">
              <w:rPr>
                <w:sz w:val="20"/>
                <w:szCs w:val="20"/>
              </w:rPr>
              <w:t>:</w:t>
            </w:r>
            <w:r w:rsidR="00B405E1" w:rsidRPr="00F11A18">
              <w:rPr>
                <w:sz w:val="20"/>
                <w:szCs w:val="20"/>
              </w:rPr>
              <w:t xml:space="preserve"> </w:t>
            </w:r>
            <w:r w:rsidRPr="00F11A18">
              <w:rPr>
                <w:sz w:val="20"/>
                <w:szCs w:val="20"/>
              </w:rPr>
              <w:t>&gt;20.0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ULN</w:t>
            </w:r>
            <w:r w:rsidR="00B41B23" w:rsidRPr="00F11A18">
              <w:rPr>
                <w:sz w:val="20"/>
                <w:szCs w:val="20"/>
              </w:rPr>
              <w:t>, o</w:t>
            </w:r>
            <w:r w:rsidRPr="00F11A18">
              <w:rPr>
                <w:sz w:val="20"/>
                <w:szCs w:val="20"/>
              </w:rPr>
              <w:t>r</w:t>
            </w:r>
          </w:p>
          <w:p w:rsidR="000B2401" w:rsidRPr="00F11A18" w:rsidRDefault="00C41A33" w:rsidP="00B41B23">
            <w:pPr>
              <w:pStyle w:val="TableParagraph"/>
              <w:numPr>
                <w:ilvl w:val="0"/>
                <w:numId w:val="8"/>
              </w:numPr>
              <w:snapToGrid w:val="0"/>
              <w:ind w:left="0" w:firstLine="0"/>
              <w:jc w:val="both"/>
              <w:rPr>
                <w:i/>
                <w:sz w:val="20"/>
                <w:szCs w:val="20"/>
              </w:rPr>
            </w:pPr>
            <w:r w:rsidRPr="00F11A18">
              <w:rPr>
                <w:i/>
                <w:sz w:val="20"/>
                <w:szCs w:val="20"/>
              </w:rPr>
              <w:t>Blood</w:t>
            </w:r>
            <w:r w:rsidR="00B405E1" w:rsidRPr="00F11A18">
              <w:rPr>
                <w:i/>
                <w:sz w:val="20"/>
                <w:szCs w:val="20"/>
              </w:rPr>
              <w:t xml:space="preserve"> </w:t>
            </w:r>
            <w:r w:rsidRPr="00F11A18">
              <w:rPr>
                <w:i/>
                <w:sz w:val="20"/>
                <w:szCs w:val="20"/>
              </w:rPr>
              <w:t>bilirubinincreased;</w:t>
            </w:r>
          </w:p>
          <w:p w:rsidR="000B2401" w:rsidRPr="00F11A18" w:rsidRDefault="00C41A33" w:rsidP="00B41B23">
            <w:pPr>
              <w:pStyle w:val="TableParagraph"/>
              <w:numPr>
                <w:ilvl w:val="1"/>
                <w:numId w:val="8"/>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1</w:t>
            </w:r>
            <w:r w:rsidRPr="00F11A18">
              <w:rPr>
                <w:sz w:val="20"/>
                <w:szCs w:val="20"/>
              </w:rPr>
              <w:t>:</w:t>
            </w:r>
            <w:r w:rsidR="00B405E1" w:rsidRPr="00F11A18">
              <w:rPr>
                <w:sz w:val="20"/>
                <w:szCs w:val="20"/>
              </w:rPr>
              <w:t xml:space="preserve"> </w:t>
            </w:r>
            <w:r w:rsidRPr="00F11A18">
              <w:rPr>
                <w:sz w:val="20"/>
                <w:szCs w:val="20"/>
              </w:rPr>
              <w:t>&gt;ULN</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1.5</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ULN</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Grade2</w:t>
            </w:r>
            <w:r w:rsidRPr="00F11A18">
              <w:rPr>
                <w:sz w:val="20"/>
                <w:szCs w:val="20"/>
              </w:rPr>
              <w:t>:</w:t>
            </w:r>
            <w:r w:rsidR="00B405E1" w:rsidRPr="00F11A18">
              <w:rPr>
                <w:sz w:val="20"/>
                <w:szCs w:val="20"/>
              </w:rPr>
              <w:t xml:space="preserve"> </w:t>
            </w:r>
            <w:r w:rsidRPr="00F11A18">
              <w:rPr>
                <w:sz w:val="20"/>
                <w:szCs w:val="20"/>
              </w:rPr>
              <w:t>&gt;1.5</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3.0</w:t>
            </w:r>
            <w:r w:rsidR="00B405E1" w:rsidRPr="00F11A18">
              <w:rPr>
                <w:sz w:val="20"/>
                <w:szCs w:val="20"/>
              </w:rPr>
              <w:t xml:space="preserve"> </w:t>
            </w:r>
            <w:r w:rsidRPr="00F11A18">
              <w:rPr>
                <w:sz w:val="20"/>
                <w:szCs w:val="20"/>
              </w:rPr>
              <w:t>×ULN</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w:t>
            </w:r>
            <w:r w:rsidR="00B405E1" w:rsidRPr="00F11A18">
              <w:rPr>
                <w:sz w:val="20"/>
                <w:szCs w:val="20"/>
                <w:u w:val="single"/>
              </w:rPr>
              <w:t xml:space="preserve"> </w:t>
            </w:r>
            <w:r w:rsidRPr="00F11A18">
              <w:rPr>
                <w:sz w:val="20"/>
                <w:szCs w:val="20"/>
                <w:u w:val="single"/>
              </w:rPr>
              <w:t>3</w:t>
            </w:r>
            <w:r w:rsidRPr="00F11A18">
              <w:rPr>
                <w:sz w:val="20"/>
                <w:szCs w:val="20"/>
              </w:rPr>
              <w:t>:</w:t>
            </w:r>
            <w:r w:rsidR="00B405E1" w:rsidRPr="00F11A18">
              <w:rPr>
                <w:sz w:val="20"/>
                <w:szCs w:val="20"/>
              </w:rPr>
              <w:t xml:space="preserve"> </w:t>
            </w:r>
            <w:r w:rsidRPr="00F11A18">
              <w:rPr>
                <w:sz w:val="20"/>
                <w:szCs w:val="20"/>
              </w:rPr>
              <w:t>&gt;3.0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10.0</w:t>
            </w:r>
            <w:r w:rsidR="00B405E1" w:rsidRPr="00F11A18">
              <w:rPr>
                <w:sz w:val="20"/>
                <w:szCs w:val="20"/>
              </w:rPr>
              <w:t xml:space="preserve"> </w:t>
            </w:r>
            <w:r w:rsidRPr="00F11A18">
              <w:rPr>
                <w:sz w:val="20"/>
                <w:szCs w:val="20"/>
              </w:rPr>
              <w:t>×ULN</w:t>
            </w:r>
          </w:p>
          <w:p w:rsidR="000B2401" w:rsidRPr="00F11A18" w:rsidRDefault="00C41A33" w:rsidP="00B41B23">
            <w:pPr>
              <w:pStyle w:val="TableParagraph"/>
              <w:numPr>
                <w:ilvl w:val="1"/>
                <w:numId w:val="8"/>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4</w:t>
            </w:r>
            <w:r w:rsidRPr="00F11A18">
              <w:rPr>
                <w:sz w:val="20"/>
                <w:szCs w:val="20"/>
              </w:rPr>
              <w:t>:</w:t>
            </w:r>
            <w:r w:rsidR="00B405E1" w:rsidRPr="00F11A18">
              <w:rPr>
                <w:sz w:val="20"/>
                <w:szCs w:val="20"/>
              </w:rPr>
              <w:t xml:space="preserve"> </w:t>
            </w:r>
            <w:r w:rsidRPr="00F11A18">
              <w:rPr>
                <w:sz w:val="20"/>
                <w:szCs w:val="20"/>
              </w:rPr>
              <w:t>&gt;10.0</w:t>
            </w:r>
            <w:r w:rsidR="00B405E1" w:rsidRPr="00F11A18">
              <w:rPr>
                <w:sz w:val="20"/>
                <w:szCs w:val="20"/>
              </w:rPr>
              <w:t xml:space="preserve"> </w:t>
            </w:r>
            <w:r w:rsidRPr="00F11A18">
              <w:rPr>
                <w:sz w:val="20"/>
                <w:szCs w:val="20"/>
              </w:rPr>
              <w:t>×ULN</w:t>
            </w:r>
          </w:p>
        </w:tc>
      </w:tr>
      <w:tr w:rsidR="000B2401" w:rsidRPr="00F11A18" w:rsidTr="00B405E1">
        <w:trPr>
          <w:jc w:val="center"/>
        </w:trPr>
        <w:tc>
          <w:tcPr>
            <w:tcW w:w="1509"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lastRenderedPageBreak/>
              <w:t>Impaired</w:t>
            </w:r>
            <w:r w:rsidR="00B405E1" w:rsidRPr="00F11A18">
              <w:rPr>
                <w:b/>
                <w:sz w:val="20"/>
                <w:szCs w:val="20"/>
              </w:rPr>
              <w:t xml:space="preserve"> </w:t>
            </w:r>
            <w:r w:rsidRPr="00F11A18">
              <w:rPr>
                <w:b/>
                <w:sz w:val="20"/>
                <w:szCs w:val="20"/>
              </w:rPr>
              <w:t>renal</w:t>
            </w:r>
            <w:r w:rsidR="00B405E1" w:rsidRPr="00F11A18">
              <w:rPr>
                <w:b/>
                <w:sz w:val="20"/>
                <w:szCs w:val="20"/>
              </w:rPr>
              <w:t xml:space="preserve"> </w:t>
            </w:r>
            <w:r w:rsidRPr="00F11A18">
              <w:rPr>
                <w:b/>
                <w:sz w:val="20"/>
                <w:szCs w:val="20"/>
              </w:rPr>
              <w:t>functions</w:t>
            </w:r>
          </w:p>
        </w:tc>
        <w:tc>
          <w:tcPr>
            <w:tcW w:w="3491" w:type="pct"/>
            <w:vAlign w:val="center"/>
          </w:tcPr>
          <w:p w:rsidR="000B2401" w:rsidRPr="00F11A18" w:rsidRDefault="00C41A33" w:rsidP="00B41B23">
            <w:pPr>
              <w:pStyle w:val="TableParagraph"/>
              <w:snapToGrid w:val="0"/>
              <w:ind w:left="0"/>
              <w:jc w:val="both"/>
              <w:rPr>
                <w:sz w:val="20"/>
                <w:szCs w:val="20"/>
              </w:rPr>
            </w:pPr>
            <w:r w:rsidRPr="00F11A18">
              <w:rPr>
                <w:sz w:val="20"/>
                <w:szCs w:val="20"/>
              </w:rPr>
              <w:t>Considered</w:t>
            </w:r>
            <w:r w:rsidR="00B405E1" w:rsidRPr="00F11A18">
              <w:rPr>
                <w:sz w:val="20"/>
                <w:szCs w:val="20"/>
              </w:rPr>
              <w:t xml:space="preserve"> </w:t>
            </w:r>
            <w:r w:rsidRPr="00F11A18">
              <w:rPr>
                <w:sz w:val="20"/>
                <w:szCs w:val="20"/>
              </w:rPr>
              <w:t>when</w:t>
            </w:r>
            <w:r w:rsidR="00B405E1" w:rsidRPr="00F11A18">
              <w:rPr>
                <w:sz w:val="20"/>
                <w:szCs w:val="20"/>
              </w:rPr>
              <w:t xml:space="preserve"> </w:t>
            </w:r>
            <w:r w:rsidRPr="00F11A18">
              <w:rPr>
                <w:sz w:val="20"/>
                <w:szCs w:val="20"/>
              </w:rPr>
              <w:t>there</w:t>
            </w:r>
            <w:r w:rsidR="00B405E1" w:rsidRPr="00F11A18">
              <w:rPr>
                <w:sz w:val="20"/>
                <w:szCs w:val="20"/>
              </w:rPr>
              <w:t xml:space="preserve"> </w:t>
            </w:r>
            <w:r w:rsidRPr="00F11A18">
              <w:rPr>
                <w:sz w:val="20"/>
                <w:szCs w:val="20"/>
              </w:rPr>
              <w:t>was</w:t>
            </w:r>
            <w:r w:rsidR="00B405E1" w:rsidRPr="00F11A18">
              <w:rPr>
                <w:sz w:val="20"/>
                <w:szCs w:val="20"/>
              </w:rPr>
              <w:t xml:space="preserve"> </w:t>
            </w:r>
            <w:r w:rsidRPr="00F11A18">
              <w:rPr>
                <w:sz w:val="20"/>
                <w:szCs w:val="20"/>
              </w:rPr>
              <w:t>creatinine</w:t>
            </w:r>
            <w:r w:rsidR="00B405E1" w:rsidRPr="00F11A18">
              <w:rPr>
                <w:sz w:val="20"/>
                <w:szCs w:val="20"/>
              </w:rPr>
              <w:t xml:space="preserve"> </w:t>
            </w:r>
            <w:r w:rsidRPr="00F11A18">
              <w:rPr>
                <w:sz w:val="20"/>
                <w:szCs w:val="20"/>
              </w:rPr>
              <w:t>increased;</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w:t>
            </w:r>
            <w:r w:rsidR="00B405E1" w:rsidRPr="00F11A18">
              <w:rPr>
                <w:sz w:val="20"/>
                <w:szCs w:val="20"/>
                <w:u w:val="single"/>
              </w:rPr>
              <w:t xml:space="preserve"> </w:t>
            </w:r>
            <w:r w:rsidRPr="00F11A18">
              <w:rPr>
                <w:sz w:val="20"/>
                <w:szCs w:val="20"/>
                <w:u w:val="single"/>
              </w:rPr>
              <w:t>1</w:t>
            </w:r>
            <w:r w:rsidRPr="00F11A18">
              <w:rPr>
                <w:sz w:val="20"/>
                <w:szCs w:val="20"/>
              </w:rPr>
              <w:t>:</w:t>
            </w:r>
            <w:r w:rsidR="00B405E1" w:rsidRPr="00F11A18">
              <w:rPr>
                <w:sz w:val="20"/>
                <w:szCs w:val="20"/>
              </w:rPr>
              <w:t xml:space="preserve"> </w:t>
            </w:r>
            <w:r w:rsidRPr="00F11A18">
              <w:rPr>
                <w:sz w:val="20"/>
                <w:szCs w:val="20"/>
              </w:rPr>
              <w:t>&gt;1</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1.5</w:t>
            </w:r>
            <w:r w:rsidR="00B405E1" w:rsidRPr="00F11A18">
              <w:rPr>
                <w:sz w:val="20"/>
                <w:szCs w:val="20"/>
              </w:rPr>
              <w:t xml:space="preserve"> </w:t>
            </w:r>
            <w:r w:rsidRPr="00F11A18">
              <w:rPr>
                <w:sz w:val="20"/>
                <w:szCs w:val="20"/>
              </w:rPr>
              <w:t>×ULN</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w:t>
            </w:r>
            <w:r w:rsidR="00B405E1" w:rsidRPr="00F11A18">
              <w:rPr>
                <w:sz w:val="20"/>
                <w:szCs w:val="20"/>
                <w:u w:val="single"/>
              </w:rPr>
              <w:t xml:space="preserve"> </w:t>
            </w:r>
            <w:r w:rsidRPr="00F11A18">
              <w:rPr>
                <w:sz w:val="20"/>
                <w:szCs w:val="20"/>
                <w:u w:val="single"/>
              </w:rPr>
              <w:t>2</w:t>
            </w:r>
            <w:r w:rsidRPr="00F11A18">
              <w:rPr>
                <w:sz w:val="20"/>
                <w:szCs w:val="20"/>
              </w:rPr>
              <w:t>:</w:t>
            </w:r>
            <w:r w:rsidR="00B405E1" w:rsidRPr="00F11A18">
              <w:rPr>
                <w:sz w:val="20"/>
                <w:szCs w:val="20"/>
              </w:rPr>
              <w:t xml:space="preserve"> </w:t>
            </w:r>
            <w:r w:rsidRPr="00F11A18">
              <w:rPr>
                <w:sz w:val="20"/>
                <w:szCs w:val="20"/>
              </w:rPr>
              <w:t>&gt;1.5</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3.0</w:t>
            </w:r>
            <w:r w:rsidR="00B405E1" w:rsidRPr="00F11A18">
              <w:rPr>
                <w:sz w:val="20"/>
                <w:szCs w:val="20"/>
              </w:rPr>
              <w:t xml:space="preserve"> </w:t>
            </w:r>
            <w:r w:rsidRPr="00F11A18">
              <w:rPr>
                <w:sz w:val="20"/>
                <w:szCs w:val="20"/>
              </w:rPr>
              <w:t>×ULN</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Grade3</w:t>
            </w:r>
            <w:r w:rsidRPr="00F11A18">
              <w:rPr>
                <w:sz w:val="20"/>
                <w:szCs w:val="20"/>
              </w:rPr>
              <w:t>:</w:t>
            </w:r>
            <w:r w:rsidR="00B405E1" w:rsidRPr="00F11A18">
              <w:rPr>
                <w:sz w:val="20"/>
                <w:szCs w:val="20"/>
              </w:rPr>
              <w:t xml:space="preserve"> </w:t>
            </w:r>
            <w:r w:rsidRPr="00F11A18">
              <w:rPr>
                <w:sz w:val="20"/>
                <w:szCs w:val="20"/>
              </w:rPr>
              <w:t>&gt;3.0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6.0</w:t>
            </w:r>
            <w:r w:rsidR="00B405E1" w:rsidRPr="00F11A18">
              <w:rPr>
                <w:sz w:val="20"/>
                <w:szCs w:val="20"/>
              </w:rPr>
              <w:t xml:space="preserve"> </w:t>
            </w:r>
            <w:r w:rsidRPr="00F11A18">
              <w:rPr>
                <w:sz w:val="20"/>
                <w:szCs w:val="20"/>
              </w:rPr>
              <w:t>×ULN</w:t>
            </w:r>
          </w:p>
          <w:p w:rsidR="000B2401" w:rsidRPr="00F11A18" w:rsidRDefault="00C41A33" w:rsidP="00B41B23">
            <w:pPr>
              <w:pStyle w:val="TableParagraph"/>
              <w:numPr>
                <w:ilvl w:val="0"/>
                <w:numId w:val="7"/>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4</w:t>
            </w:r>
            <w:r w:rsidRPr="00F11A18">
              <w:rPr>
                <w:sz w:val="20"/>
                <w:szCs w:val="20"/>
              </w:rPr>
              <w:t>:</w:t>
            </w:r>
            <w:r w:rsidR="00B405E1" w:rsidRPr="00F11A18">
              <w:rPr>
                <w:sz w:val="20"/>
                <w:szCs w:val="20"/>
              </w:rPr>
              <w:t xml:space="preserve"> </w:t>
            </w:r>
            <w:r w:rsidRPr="00F11A18">
              <w:rPr>
                <w:sz w:val="20"/>
                <w:szCs w:val="20"/>
              </w:rPr>
              <w:t>&gt;6.0</w:t>
            </w:r>
            <w:r w:rsidR="00B405E1" w:rsidRPr="00F11A18">
              <w:rPr>
                <w:sz w:val="20"/>
                <w:szCs w:val="20"/>
              </w:rPr>
              <w:t xml:space="preserve"> </w:t>
            </w:r>
            <w:r w:rsidRPr="00F11A18">
              <w:rPr>
                <w:sz w:val="20"/>
                <w:szCs w:val="20"/>
              </w:rPr>
              <w:t>×ULN</w:t>
            </w:r>
          </w:p>
        </w:tc>
      </w:tr>
      <w:tr w:rsidR="000B2401" w:rsidRPr="00F11A18" w:rsidTr="00B405E1">
        <w:trPr>
          <w:jc w:val="center"/>
        </w:trPr>
        <w:tc>
          <w:tcPr>
            <w:tcW w:w="1509" w:type="pct"/>
            <w:vAlign w:val="center"/>
          </w:tcPr>
          <w:p w:rsidR="000B2401" w:rsidRPr="00F11A18" w:rsidRDefault="00C41A33" w:rsidP="00B41B23">
            <w:pPr>
              <w:pStyle w:val="TableParagraph"/>
              <w:snapToGrid w:val="0"/>
              <w:ind w:left="0"/>
              <w:jc w:val="both"/>
              <w:rPr>
                <w:b/>
                <w:sz w:val="20"/>
                <w:szCs w:val="20"/>
              </w:rPr>
            </w:pPr>
            <w:r w:rsidRPr="00F11A18">
              <w:rPr>
                <w:b/>
                <w:sz w:val="20"/>
                <w:szCs w:val="20"/>
              </w:rPr>
              <w:t>Electrolytes</w:t>
            </w:r>
            <w:r w:rsidR="00B405E1" w:rsidRPr="00F11A18">
              <w:rPr>
                <w:b/>
                <w:sz w:val="20"/>
                <w:szCs w:val="20"/>
              </w:rPr>
              <w:t xml:space="preserve"> </w:t>
            </w:r>
            <w:r w:rsidRPr="00F11A18">
              <w:rPr>
                <w:b/>
                <w:sz w:val="20"/>
                <w:szCs w:val="20"/>
              </w:rPr>
              <w:t>disturbance</w:t>
            </w:r>
          </w:p>
        </w:tc>
        <w:tc>
          <w:tcPr>
            <w:tcW w:w="3491" w:type="pct"/>
            <w:vAlign w:val="center"/>
          </w:tcPr>
          <w:p w:rsidR="000B2401" w:rsidRPr="00F11A18" w:rsidRDefault="00C41A33" w:rsidP="00B41B23">
            <w:pPr>
              <w:pStyle w:val="TableParagraph"/>
              <w:snapToGrid w:val="0"/>
              <w:ind w:left="0"/>
              <w:jc w:val="both"/>
              <w:rPr>
                <w:sz w:val="20"/>
                <w:szCs w:val="20"/>
              </w:rPr>
            </w:pPr>
            <w:r w:rsidRPr="00F11A18">
              <w:rPr>
                <w:sz w:val="20"/>
                <w:szCs w:val="20"/>
              </w:rPr>
              <w:t>Imbalance</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certain</w:t>
            </w:r>
            <w:r w:rsidR="00B405E1" w:rsidRPr="00F11A18">
              <w:rPr>
                <w:sz w:val="20"/>
                <w:szCs w:val="20"/>
              </w:rPr>
              <w:t xml:space="preserve"> </w:t>
            </w:r>
            <w:r w:rsidRPr="00F11A18">
              <w:rPr>
                <w:sz w:val="20"/>
                <w:szCs w:val="20"/>
              </w:rPr>
              <w:t>ionized</w:t>
            </w:r>
            <w:r w:rsidR="00B405E1" w:rsidRPr="00F11A18">
              <w:rPr>
                <w:sz w:val="20"/>
                <w:szCs w:val="20"/>
              </w:rPr>
              <w:t xml:space="preserve"> </w:t>
            </w:r>
            <w:r w:rsidRPr="00F11A18">
              <w:rPr>
                <w:sz w:val="20"/>
                <w:szCs w:val="20"/>
              </w:rPr>
              <w:t>salts</w:t>
            </w:r>
            <w:r w:rsidR="00B405E1" w:rsidRPr="00F11A18">
              <w:rPr>
                <w:sz w:val="20"/>
                <w:szCs w:val="20"/>
              </w:rPr>
              <w:t xml:space="preserve"> </w:t>
            </w:r>
            <w:r w:rsidRPr="00F11A18">
              <w:rPr>
                <w:sz w:val="20"/>
                <w:szCs w:val="20"/>
              </w:rPr>
              <w:t>(i.e.,</w:t>
            </w:r>
            <w:r w:rsidR="00B405E1" w:rsidRPr="00F11A18">
              <w:rPr>
                <w:sz w:val="20"/>
                <w:szCs w:val="20"/>
              </w:rPr>
              <w:t xml:space="preserve"> </w:t>
            </w:r>
            <w:r w:rsidRPr="00F11A18">
              <w:rPr>
                <w:sz w:val="20"/>
                <w:szCs w:val="20"/>
              </w:rPr>
              <w:t>bicarbonate,</w:t>
            </w:r>
            <w:r w:rsidR="00B405E1" w:rsidRPr="00F11A18">
              <w:rPr>
                <w:sz w:val="20"/>
                <w:szCs w:val="20"/>
              </w:rPr>
              <w:t xml:space="preserve"> </w:t>
            </w:r>
            <w:r w:rsidRPr="00F11A18">
              <w:rPr>
                <w:sz w:val="20"/>
                <w:szCs w:val="20"/>
              </w:rPr>
              <w:t>calcium,</w:t>
            </w:r>
            <w:r w:rsidR="00B405E1" w:rsidRPr="00F11A18">
              <w:rPr>
                <w:sz w:val="20"/>
                <w:szCs w:val="20"/>
              </w:rPr>
              <w:t xml:space="preserve"> </w:t>
            </w:r>
            <w:r w:rsidRPr="00F11A18">
              <w:rPr>
                <w:sz w:val="20"/>
                <w:szCs w:val="20"/>
              </w:rPr>
              <w:t>chloride,</w:t>
            </w:r>
            <w:r w:rsidR="00B405E1" w:rsidRPr="00F11A18">
              <w:rPr>
                <w:sz w:val="20"/>
                <w:szCs w:val="20"/>
              </w:rPr>
              <w:t xml:space="preserve"> </w:t>
            </w:r>
            <w:r w:rsidRPr="00F11A18">
              <w:rPr>
                <w:sz w:val="20"/>
                <w:szCs w:val="20"/>
              </w:rPr>
              <w:t>magnesium,</w:t>
            </w:r>
            <w:r w:rsidR="00B405E1" w:rsidRPr="00F11A18">
              <w:rPr>
                <w:sz w:val="20"/>
                <w:szCs w:val="20"/>
              </w:rPr>
              <w:t xml:space="preserve"> </w:t>
            </w:r>
            <w:r w:rsidRPr="00F11A18">
              <w:rPr>
                <w:sz w:val="20"/>
                <w:szCs w:val="20"/>
              </w:rPr>
              <w:t>phosphate,</w:t>
            </w:r>
            <w:r w:rsidR="00B405E1" w:rsidRPr="00F11A18">
              <w:rPr>
                <w:sz w:val="20"/>
                <w:szCs w:val="20"/>
              </w:rPr>
              <w:t xml:space="preserve"> </w:t>
            </w:r>
            <w:r w:rsidRPr="00F11A18">
              <w:rPr>
                <w:sz w:val="20"/>
                <w:szCs w:val="20"/>
              </w:rPr>
              <w:t>potassium,</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sodium)</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blood.</w:t>
            </w:r>
            <w:r w:rsidR="00B405E1" w:rsidRPr="00F11A18">
              <w:rPr>
                <w:sz w:val="20"/>
                <w:szCs w:val="20"/>
              </w:rPr>
              <w:t xml:space="preserve"> </w:t>
            </w:r>
            <w:r w:rsidRPr="00F11A18">
              <w:rPr>
                <w:sz w:val="20"/>
                <w:szCs w:val="20"/>
              </w:rPr>
              <w:t>Were</w:t>
            </w:r>
            <w:r w:rsidR="00B405E1" w:rsidRPr="00F11A18">
              <w:rPr>
                <w:sz w:val="20"/>
                <w:szCs w:val="20"/>
              </w:rPr>
              <w:t xml:space="preserve"> </w:t>
            </w:r>
            <w:r w:rsidRPr="00F11A18">
              <w:rPr>
                <w:sz w:val="20"/>
                <w:szCs w:val="20"/>
              </w:rPr>
              <w:t>considered</w:t>
            </w:r>
            <w:r w:rsidR="00B405E1" w:rsidRPr="00F11A18">
              <w:rPr>
                <w:sz w:val="20"/>
                <w:szCs w:val="20"/>
              </w:rPr>
              <w:t xml:space="preserve"> </w:t>
            </w:r>
            <w:r w:rsidRPr="00F11A18">
              <w:rPr>
                <w:sz w:val="20"/>
                <w:szCs w:val="20"/>
              </w:rPr>
              <w:t>when</w:t>
            </w:r>
            <w:r w:rsidR="00B405E1" w:rsidRPr="00F11A18">
              <w:rPr>
                <w:sz w:val="20"/>
                <w:szCs w:val="20"/>
              </w:rPr>
              <w:t xml:space="preserve"> </w:t>
            </w:r>
            <w:r w:rsidRPr="00F11A18">
              <w:rPr>
                <w:sz w:val="20"/>
                <w:szCs w:val="20"/>
              </w:rPr>
              <w:t>there</w:t>
            </w:r>
            <w:r w:rsidR="00B405E1" w:rsidRPr="00F11A18">
              <w:rPr>
                <w:sz w:val="20"/>
                <w:szCs w:val="20"/>
              </w:rPr>
              <w:t xml:space="preserve"> </w:t>
            </w:r>
            <w:r w:rsidRPr="00F11A18">
              <w:rPr>
                <w:sz w:val="20"/>
                <w:szCs w:val="20"/>
              </w:rPr>
              <w:t>was:</w:t>
            </w:r>
          </w:p>
          <w:p w:rsidR="000B2401" w:rsidRPr="00F11A18" w:rsidRDefault="00C41A33" w:rsidP="00B41B23">
            <w:pPr>
              <w:pStyle w:val="TableParagraph"/>
              <w:numPr>
                <w:ilvl w:val="0"/>
                <w:numId w:val="6"/>
              </w:numPr>
              <w:snapToGrid w:val="0"/>
              <w:ind w:left="0" w:firstLine="0"/>
              <w:jc w:val="both"/>
              <w:rPr>
                <w:i/>
                <w:sz w:val="20"/>
                <w:szCs w:val="20"/>
              </w:rPr>
            </w:pPr>
            <w:r w:rsidRPr="00F11A18">
              <w:rPr>
                <w:i/>
                <w:sz w:val="20"/>
                <w:szCs w:val="20"/>
              </w:rPr>
              <w:t>Hypokalemia</w:t>
            </w:r>
          </w:p>
          <w:p w:rsidR="000B2401" w:rsidRPr="00F11A18" w:rsidRDefault="00C41A33" w:rsidP="00B41B23">
            <w:pPr>
              <w:pStyle w:val="TableParagraph"/>
              <w:numPr>
                <w:ilvl w:val="1"/>
                <w:numId w:val="6"/>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1</w:t>
            </w:r>
            <w:r w:rsidRPr="00F11A18">
              <w:rPr>
                <w:sz w:val="20"/>
                <w:szCs w:val="20"/>
              </w:rPr>
              <w:t>:</w:t>
            </w:r>
            <w:r w:rsidR="00B405E1" w:rsidRPr="00F11A18">
              <w:rPr>
                <w:sz w:val="20"/>
                <w:szCs w:val="20"/>
              </w:rPr>
              <w:t xml:space="preserve"> </w:t>
            </w:r>
            <w:r w:rsidRPr="00F11A18">
              <w:rPr>
                <w:sz w:val="20"/>
                <w:szCs w:val="20"/>
              </w:rPr>
              <w:t>&lt;LLN</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3.0</w:t>
            </w:r>
            <w:r w:rsidR="00B405E1" w:rsidRPr="00F11A18">
              <w:rPr>
                <w:sz w:val="20"/>
                <w:szCs w:val="20"/>
              </w:rPr>
              <w:t xml:space="preserve"> </w:t>
            </w:r>
            <w:r w:rsidRPr="00F11A18">
              <w:rPr>
                <w:sz w:val="20"/>
                <w:szCs w:val="20"/>
              </w:rPr>
              <w:t>mmol/L</w:t>
            </w:r>
          </w:p>
          <w:p w:rsidR="000B2401" w:rsidRPr="00F11A18" w:rsidRDefault="00C41A33" w:rsidP="00B41B23">
            <w:pPr>
              <w:pStyle w:val="TableParagraph"/>
              <w:numPr>
                <w:ilvl w:val="1"/>
                <w:numId w:val="6"/>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2</w:t>
            </w:r>
            <w:r w:rsidRPr="00F11A18">
              <w:rPr>
                <w:sz w:val="20"/>
                <w:szCs w:val="20"/>
              </w:rPr>
              <w:t>:</w:t>
            </w:r>
            <w:r w:rsidR="00B405E1" w:rsidRPr="00F11A18">
              <w:rPr>
                <w:sz w:val="20"/>
                <w:szCs w:val="20"/>
              </w:rPr>
              <w:t xml:space="preserve"> </w:t>
            </w:r>
            <w:r w:rsidRPr="00F11A18">
              <w:rPr>
                <w:sz w:val="20"/>
                <w:szCs w:val="20"/>
              </w:rPr>
              <w:t>&lt;LLN</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3.0</w:t>
            </w:r>
            <w:r w:rsidR="00B405E1" w:rsidRPr="00F11A18">
              <w:rPr>
                <w:sz w:val="20"/>
                <w:szCs w:val="20"/>
              </w:rPr>
              <w:t xml:space="preserve"> </w:t>
            </w:r>
            <w:r w:rsidRPr="00F11A18">
              <w:rPr>
                <w:sz w:val="20"/>
                <w:szCs w:val="20"/>
              </w:rPr>
              <w:t>mmol/L;</w:t>
            </w:r>
            <w:r w:rsidR="00B405E1" w:rsidRPr="00F11A18">
              <w:rPr>
                <w:sz w:val="20"/>
                <w:szCs w:val="20"/>
              </w:rPr>
              <w:t xml:space="preserve"> </w:t>
            </w:r>
            <w:r w:rsidRPr="00F11A18">
              <w:rPr>
                <w:sz w:val="20"/>
                <w:szCs w:val="20"/>
              </w:rPr>
              <w:t>symptomatic;</w:t>
            </w:r>
            <w:r w:rsidR="00B405E1" w:rsidRPr="00F11A18">
              <w:rPr>
                <w:sz w:val="20"/>
                <w:szCs w:val="20"/>
              </w:rPr>
              <w:t xml:space="preserve"> </w:t>
            </w:r>
            <w:r w:rsidRPr="00F11A18">
              <w:rPr>
                <w:sz w:val="20"/>
                <w:szCs w:val="20"/>
              </w:rPr>
              <w:t>intervention</w:t>
            </w:r>
            <w:r w:rsidR="00B405E1" w:rsidRPr="00F11A18">
              <w:rPr>
                <w:sz w:val="20"/>
                <w:szCs w:val="20"/>
              </w:rPr>
              <w:t xml:space="preserve"> </w:t>
            </w:r>
            <w:r w:rsidRPr="00F11A18">
              <w:rPr>
                <w:sz w:val="20"/>
                <w:szCs w:val="20"/>
              </w:rPr>
              <w:t>indicated;</w:t>
            </w:r>
          </w:p>
          <w:p w:rsidR="000B2401" w:rsidRPr="00F11A18" w:rsidRDefault="00C41A33" w:rsidP="00B41B23">
            <w:pPr>
              <w:pStyle w:val="TableParagraph"/>
              <w:numPr>
                <w:ilvl w:val="1"/>
                <w:numId w:val="6"/>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3</w:t>
            </w:r>
            <w:r w:rsidRPr="00F11A18">
              <w:rPr>
                <w:sz w:val="20"/>
                <w:szCs w:val="20"/>
              </w:rPr>
              <w:t>:</w:t>
            </w:r>
            <w:r w:rsidR="00B405E1" w:rsidRPr="00F11A18">
              <w:rPr>
                <w:sz w:val="20"/>
                <w:szCs w:val="20"/>
              </w:rPr>
              <w:t xml:space="preserve"> </w:t>
            </w:r>
            <w:r w:rsidRPr="00F11A18">
              <w:rPr>
                <w:sz w:val="20"/>
                <w:szCs w:val="20"/>
              </w:rPr>
              <w:t>&lt;3.0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2.5</w:t>
            </w:r>
            <w:r w:rsidR="00B405E1" w:rsidRPr="00F11A18">
              <w:rPr>
                <w:sz w:val="20"/>
                <w:szCs w:val="20"/>
              </w:rPr>
              <w:t xml:space="preserve"> </w:t>
            </w:r>
            <w:r w:rsidRPr="00F11A18">
              <w:rPr>
                <w:sz w:val="20"/>
                <w:szCs w:val="20"/>
              </w:rPr>
              <w:t>mmol/L;</w:t>
            </w:r>
            <w:r w:rsidR="00B405E1" w:rsidRPr="00F11A18">
              <w:rPr>
                <w:sz w:val="20"/>
                <w:szCs w:val="20"/>
              </w:rPr>
              <w:t xml:space="preserve"> </w:t>
            </w:r>
            <w:r w:rsidRPr="00F11A18">
              <w:rPr>
                <w:sz w:val="20"/>
                <w:szCs w:val="20"/>
              </w:rPr>
              <w:t>hospitalization</w:t>
            </w:r>
            <w:r w:rsidR="00F11A18">
              <w:rPr>
                <w:rFonts w:eastAsiaTheme="minorEastAsia" w:hint="eastAsia"/>
                <w:sz w:val="20"/>
                <w:szCs w:val="20"/>
                <w:lang w:eastAsia="zh-CN"/>
              </w:rPr>
              <w:t xml:space="preserve"> </w:t>
            </w:r>
            <w:r w:rsidRPr="00F11A18">
              <w:rPr>
                <w:sz w:val="20"/>
                <w:szCs w:val="20"/>
              </w:rPr>
              <w:t>indicated</w:t>
            </w:r>
          </w:p>
          <w:p w:rsidR="000B2401" w:rsidRPr="00F11A18" w:rsidRDefault="00C41A33" w:rsidP="00B41B23">
            <w:pPr>
              <w:pStyle w:val="TableParagraph"/>
              <w:numPr>
                <w:ilvl w:val="1"/>
                <w:numId w:val="6"/>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4</w:t>
            </w:r>
            <w:r w:rsidRPr="00F11A18">
              <w:rPr>
                <w:sz w:val="20"/>
                <w:szCs w:val="20"/>
              </w:rPr>
              <w:t>:</w:t>
            </w:r>
            <w:r w:rsidR="00B405E1" w:rsidRPr="00F11A18">
              <w:rPr>
                <w:sz w:val="20"/>
                <w:szCs w:val="20"/>
              </w:rPr>
              <w:t xml:space="preserve"> </w:t>
            </w:r>
            <w:r w:rsidRPr="00F11A18">
              <w:rPr>
                <w:sz w:val="20"/>
                <w:szCs w:val="20"/>
              </w:rPr>
              <w:t>&lt;2.5</w:t>
            </w:r>
            <w:r w:rsidR="00B405E1" w:rsidRPr="00F11A18">
              <w:rPr>
                <w:sz w:val="20"/>
                <w:szCs w:val="20"/>
              </w:rPr>
              <w:t xml:space="preserve"> </w:t>
            </w:r>
            <w:r w:rsidRPr="00F11A18">
              <w:rPr>
                <w:sz w:val="20"/>
                <w:szCs w:val="20"/>
              </w:rPr>
              <w:t>mmol/L;</w:t>
            </w:r>
            <w:r w:rsidR="00B405E1" w:rsidRPr="00F11A18">
              <w:rPr>
                <w:sz w:val="20"/>
                <w:szCs w:val="20"/>
              </w:rPr>
              <w:t xml:space="preserve"> </w:t>
            </w:r>
            <w:r w:rsidRPr="00F11A18">
              <w:rPr>
                <w:sz w:val="20"/>
                <w:szCs w:val="20"/>
              </w:rPr>
              <w:t>life-threatening</w:t>
            </w:r>
            <w:r w:rsidR="00F11A18">
              <w:rPr>
                <w:rFonts w:eastAsiaTheme="minorEastAsia" w:hint="eastAsia"/>
                <w:sz w:val="20"/>
                <w:szCs w:val="20"/>
                <w:lang w:eastAsia="zh-CN"/>
              </w:rPr>
              <w:t xml:space="preserve"> </w:t>
            </w:r>
            <w:r w:rsidRPr="00F11A18">
              <w:rPr>
                <w:sz w:val="20"/>
                <w:szCs w:val="20"/>
              </w:rPr>
              <w:t>consequences</w:t>
            </w:r>
          </w:p>
          <w:p w:rsidR="000B2401" w:rsidRPr="00F11A18" w:rsidRDefault="00C41A33" w:rsidP="00B41B23">
            <w:pPr>
              <w:pStyle w:val="TableParagraph"/>
              <w:numPr>
                <w:ilvl w:val="1"/>
                <w:numId w:val="6"/>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5</w:t>
            </w:r>
            <w:r w:rsidR="00B41B23" w:rsidRPr="00F11A18">
              <w:rPr>
                <w:sz w:val="20"/>
                <w:szCs w:val="20"/>
              </w:rPr>
              <w:t>: d</w:t>
            </w:r>
            <w:r w:rsidRPr="00F11A18">
              <w:rPr>
                <w:sz w:val="20"/>
                <w:szCs w:val="20"/>
              </w:rPr>
              <w:t>eath</w:t>
            </w:r>
          </w:p>
          <w:p w:rsidR="000B2401" w:rsidRPr="00F11A18" w:rsidRDefault="00C41A33" w:rsidP="00B41B23">
            <w:pPr>
              <w:pStyle w:val="TableParagraph"/>
              <w:numPr>
                <w:ilvl w:val="0"/>
                <w:numId w:val="6"/>
              </w:numPr>
              <w:snapToGrid w:val="0"/>
              <w:ind w:left="0" w:firstLine="0"/>
              <w:jc w:val="both"/>
              <w:rPr>
                <w:i/>
                <w:sz w:val="20"/>
                <w:szCs w:val="20"/>
              </w:rPr>
            </w:pPr>
            <w:r w:rsidRPr="00F11A18">
              <w:rPr>
                <w:i/>
                <w:sz w:val="20"/>
                <w:szCs w:val="20"/>
              </w:rPr>
              <w:t>Hypomagnesaemia</w:t>
            </w:r>
          </w:p>
          <w:p w:rsidR="000B2401" w:rsidRPr="00F11A18" w:rsidRDefault="00C41A33" w:rsidP="00B41B23">
            <w:pPr>
              <w:pStyle w:val="TableParagraph"/>
              <w:numPr>
                <w:ilvl w:val="1"/>
                <w:numId w:val="6"/>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1</w:t>
            </w:r>
            <w:r w:rsidRPr="00F11A18">
              <w:rPr>
                <w:sz w:val="20"/>
                <w:szCs w:val="20"/>
              </w:rPr>
              <w:t>:</w:t>
            </w:r>
            <w:r w:rsidR="00B405E1" w:rsidRPr="00F11A18">
              <w:rPr>
                <w:sz w:val="20"/>
                <w:szCs w:val="20"/>
              </w:rPr>
              <w:t xml:space="preserve"> </w:t>
            </w:r>
            <w:r w:rsidRPr="00F11A18">
              <w:rPr>
                <w:sz w:val="20"/>
                <w:szCs w:val="20"/>
              </w:rPr>
              <w:t>&lt;LLN</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1.2mg/dL</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w:t>
            </w:r>
            <w:r w:rsidR="00B405E1" w:rsidRPr="00F11A18">
              <w:rPr>
                <w:sz w:val="20"/>
                <w:szCs w:val="20"/>
                <w:u w:val="single"/>
              </w:rPr>
              <w:t xml:space="preserve"> </w:t>
            </w:r>
            <w:r w:rsidRPr="00F11A18">
              <w:rPr>
                <w:sz w:val="20"/>
                <w:szCs w:val="20"/>
                <w:u w:val="single"/>
              </w:rPr>
              <w:t>2</w:t>
            </w:r>
            <w:r w:rsidRPr="00F11A18">
              <w:rPr>
                <w:sz w:val="20"/>
                <w:szCs w:val="20"/>
              </w:rPr>
              <w:t>:</w:t>
            </w:r>
            <w:r w:rsidR="00B405E1" w:rsidRPr="00F11A18">
              <w:rPr>
                <w:sz w:val="20"/>
                <w:szCs w:val="20"/>
              </w:rPr>
              <w:t xml:space="preserve"> </w:t>
            </w:r>
            <w:r w:rsidRPr="00F11A18">
              <w:rPr>
                <w:sz w:val="20"/>
                <w:szCs w:val="20"/>
              </w:rPr>
              <w:t>&lt;1.2</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0.9mg/dL</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w:t>
            </w:r>
            <w:r w:rsidR="00B405E1" w:rsidRPr="00F11A18">
              <w:rPr>
                <w:sz w:val="20"/>
                <w:szCs w:val="20"/>
                <w:u w:val="single"/>
              </w:rPr>
              <w:t xml:space="preserve"> </w:t>
            </w:r>
            <w:r w:rsidRPr="00F11A18">
              <w:rPr>
                <w:sz w:val="20"/>
                <w:szCs w:val="20"/>
                <w:u w:val="single"/>
              </w:rPr>
              <w:t>3</w:t>
            </w:r>
            <w:r w:rsidRPr="00F11A18">
              <w:rPr>
                <w:sz w:val="20"/>
                <w:szCs w:val="20"/>
              </w:rPr>
              <w:t>:</w:t>
            </w:r>
            <w:r w:rsidR="00B405E1" w:rsidRPr="00F11A18">
              <w:rPr>
                <w:sz w:val="20"/>
                <w:szCs w:val="20"/>
              </w:rPr>
              <w:t xml:space="preserve"> </w:t>
            </w:r>
            <w:r w:rsidRPr="00F11A18">
              <w:rPr>
                <w:sz w:val="20"/>
                <w:szCs w:val="20"/>
              </w:rPr>
              <w:t>&lt;0.9</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0.7mg/dL</w:t>
            </w:r>
          </w:p>
          <w:p w:rsidR="000B2401" w:rsidRPr="00F11A18" w:rsidRDefault="00C41A33" w:rsidP="00B41B23">
            <w:pPr>
              <w:pStyle w:val="TableParagraph"/>
              <w:numPr>
                <w:ilvl w:val="1"/>
                <w:numId w:val="6"/>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4</w:t>
            </w:r>
            <w:r w:rsidRPr="00F11A18">
              <w:rPr>
                <w:sz w:val="20"/>
                <w:szCs w:val="20"/>
              </w:rPr>
              <w:t>:</w:t>
            </w:r>
            <w:r w:rsidR="00B405E1" w:rsidRPr="00F11A18">
              <w:rPr>
                <w:sz w:val="20"/>
                <w:szCs w:val="20"/>
              </w:rPr>
              <w:t xml:space="preserve"> </w:t>
            </w:r>
            <w:r w:rsidRPr="00F11A18">
              <w:rPr>
                <w:sz w:val="20"/>
                <w:szCs w:val="20"/>
              </w:rPr>
              <w:t>&lt;0.7</w:t>
            </w:r>
            <w:r w:rsidR="00B405E1" w:rsidRPr="00F11A18">
              <w:rPr>
                <w:sz w:val="20"/>
                <w:szCs w:val="20"/>
              </w:rPr>
              <w:t xml:space="preserve"> </w:t>
            </w:r>
            <w:r w:rsidRPr="00F11A18">
              <w:rPr>
                <w:sz w:val="20"/>
                <w:szCs w:val="20"/>
              </w:rPr>
              <w:t>mg/dL</w:t>
            </w:r>
          </w:p>
          <w:p w:rsidR="000B2401" w:rsidRPr="00F11A18" w:rsidRDefault="00C41A33" w:rsidP="00B41B23">
            <w:pPr>
              <w:pStyle w:val="TableParagraph"/>
              <w:numPr>
                <w:ilvl w:val="1"/>
                <w:numId w:val="6"/>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5</w:t>
            </w:r>
            <w:r w:rsidR="00B41B23" w:rsidRPr="00F11A18">
              <w:rPr>
                <w:sz w:val="20"/>
                <w:szCs w:val="20"/>
              </w:rPr>
              <w:t>: d</w:t>
            </w:r>
            <w:r w:rsidRPr="00F11A18">
              <w:rPr>
                <w:sz w:val="20"/>
                <w:szCs w:val="20"/>
              </w:rPr>
              <w:t>eath</w:t>
            </w:r>
          </w:p>
        </w:tc>
      </w:tr>
      <w:tr w:rsidR="000B2401" w:rsidRPr="00F11A18" w:rsidTr="00B40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9" w:type="pct"/>
            <w:tcBorders>
              <w:left w:val="single" w:sz="4" w:space="0" w:color="000000"/>
            </w:tcBorders>
            <w:vAlign w:val="center"/>
          </w:tcPr>
          <w:p w:rsidR="000B2401" w:rsidRPr="00F11A18" w:rsidRDefault="000B2401" w:rsidP="00B41B23">
            <w:pPr>
              <w:pStyle w:val="TableParagraph"/>
              <w:snapToGrid w:val="0"/>
              <w:ind w:left="0"/>
              <w:jc w:val="both"/>
              <w:rPr>
                <w:sz w:val="20"/>
                <w:szCs w:val="20"/>
              </w:rPr>
            </w:pPr>
          </w:p>
        </w:tc>
        <w:tc>
          <w:tcPr>
            <w:tcW w:w="3491" w:type="pct"/>
            <w:tcBorders>
              <w:right w:val="single" w:sz="4" w:space="0" w:color="000000"/>
            </w:tcBorders>
            <w:vAlign w:val="center"/>
          </w:tcPr>
          <w:p w:rsidR="000B2401" w:rsidRPr="00F11A18" w:rsidRDefault="00C41A33" w:rsidP="00B41B23">
            <w:pPr>
              <w:pStyle w:val="TableParagraph"/>
              <w:numPr>
                <w:ilvl w:val="0"/>
                <w:numId w:val="5"/>
              </w:numPr>
              <w:snapToGrid w:val="0"/>
              <w:ind w:left="0" w:firstLine="0"/>
              <w:jc w:val="both"/>
              <w:rPr>
                <w:i/>
                <w:sz w:val="20"/>
                <w:szCs w:val="20"/>
              </w:rPr>
            </w:pPr>
            <w:r w:rsidRPr="00F11A18">
              <w:rPr>
                <w:i/>
                <w:sz w:val="20"/>
                <w:szCs w:val="20"/>
              </w:rPr>
              <w:t>Hypophosphatemia</w:t>
            </w:r>
          </w:p>
          <w:p w:rsidR="000B2401" w:rsidRPr="00F11A18" w:rsidRDefault="00C41A33" w:rsidP="00B41B23">
            <w:pPr>
              <w:pStyle w:val="TableParagraph"/>
              <w:numPr>
                <w:ilvl w:val="1"/>
                <w:numId w:val="5"/>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1</w:t>
            </w:r>
            <w:r w:rsidRPr="00F11A18">
              <w:rPr>
                <w:sz w:val="20"/>
                <w:szCs w:val="20"/>
              </w:rPr>
              <w:t>:</w:t>
            </w:r>
            <w:r w:rsidR="00B405E1" w:rsidRPr="00F11A18">
              <w:rPr>
                <w:sz w:val="20"/>
                <w:szCs w:val="20"/>
              </w:rPr>
              <w:t xml:space="preserve"> </w:t>
            </w:r>
            <w:r w:rsidRPr="00F11A18">
              <w:rPr>
                <w:sz w:val="20"/>
                <w:szCs w:val="20"/>
              </w:rPr>
              <w:t>&lt;LLN</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2.5mg/dL</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w:t>
            </w:r>
            <w:r w:rsidR="00B405E1" w:rsidRPr="00F11A18">
              <w:rPr>
                <w:sz w:val="20"/>
                <w:szCs w:val="20"/>
                <w:u w:val="single"/>
              </w:rPr>
              <w:t xml:space="preserve"> </w:t>
            </w:r>
            <w:r w:rsidRPr="00F11A18">
              <w:rPr>
                <w:sz w:val="20"/>
                <w:szCs w:val="20"/>
                <w:u w:val="single"/>
              </w:rPr>
              <w:t>2</w:t>
            </w:r>
            <w:r w:rsidRPr="00F11A18">
              <w:rPr>
                <w:sz w:val="20"/>
                <w:szCs w:val="20"/>
              </w:rPr>
              <w:t>:</w:t>
            </w:r>
            <w:r w:rsidR="00B405E1" w:rsidRPr="00F11A18">
              <w:rPr>
                <w:sz w:val="20"/>
                <w:szCs w:val="20"/>
              </w:rPr>
              <w:t xml:space="preserve"> </w:t>
            </w:r>
            <w:r w:rsidRPr="00F11A18">
              <w:rPr>
                <w:sz w:val="20"/>
                <w:szCs w:val="20"/>
              </w:rPr>
              <w:t>&lt;2.5</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2.0mg/dL</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w:t>
            </w:r>
            <w:r w:rsidR="00B405E1" w:rsidRPr="00F11A18">
              <w:rPr>
                <w:sz w:val="20"/>
                <w:szCs w:val="20"/>
                <w:u w:val="single"/>
              </w:rPr>
              <w:t xml:space="preserve"> </w:t>
            </w:r>
            <w:r w:rsidRPr="00F11A18">
              <w:rPr>
                <w:sz w:val="20"/>
                <w:szCs w:val="20"/>
                <w:u w:val="single"/>
              </w:rPr>
              <w:t>3</w:t>
            </w:r>
            <w:r w:rsidRPr="00F11A18">
              <w:rPr>
                <w:sz w:val="20"/>
                <w:szCs w:val="20"/>
              </w:rPr>
              <w:t>:</w:t>
            </w:r>
            <w:r w:rsidR="00B405E1" w:rsidRPr="00F11A18">
              <w:rPr>
                <w:sz w:val="20"/>
                <w:szCs w:val="20"/>
              </w:rPr>
              <w:t xml:space="preserve"> </w:t>
            </w:r>
            <w:r w:rsidRPr="00F11A18">
              <w:rPr>
                <w:sz w:val="20"/>
                <w:szCs w:val="20"/>
              </w:rPr>
              <w:t>&lt;2.0</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1.0mg/dL</w:t>
            </w:r>
          </w:p>
          <w:p w:rsidR="000B2401" w:rsidRPr="00F11A18" w:rsidRDefault="00C41A33" w:rsidP="00B41B23">
            <w:pPr>
              <w:pStyle w:val="TableParagraph"/>
              <w:numPr>
                <w:ilvl w:val="1"/>
                <w:numId w:val="5"/>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4</w:t>
            </w:r>
            <w:r w:rsidRPr="00F11A18">
              <w:rPr>
                <w:sz w:val="20"/>
                <w:szCs w:val="20"/>
              </w:rPr>
              <w:t>:</w:t>
            </w:r>
            <w:r w:rsidR="00B405E1" w:rsidRPr="00F11A18">
              <w:rPr>
                <w:sz w:val="20"/>
                <w:szCs w:val="20"/>
              </w:rPr>
              <w:t xml:space="preserve"> </w:t>
            </w:r>
            <w:r w:rsidRPr="00F11A18">
              <w:rPr>
                <w:sz w:val="20"/>
                <w:szCs w:val="20"/>
              </w:rPr>
              <w:t>&lt;1.0</w:t>
            </w:r>
            <w:r w:rsidR="00B405E1" w:rsidRPr="00F11A18">
              <w:rPr>
                <w:sz w:val="20"/>
                <w:szCs w:val="20"/>
              </w:rPr>
              <w:t xml:space="preserve"> </w:t>
            </w:r>
            <w:r w:rsidRPr="00F11A18">
              <w:rPr>
                <w:sz w:val="20"/>
                <w:szCs w:val="20"/>
              </w:rPr>
              <w:t>mg/dL</w:t>
            </w:r>
          </w:p>
          <w:p w:rsidR="000B2401" w:rsidRPr="00F11A18" w:rsidRDefault="00C41A33" w:rsidP="00B41B23">
            <w:pPr>
              <w:pStyle w:val="TableParagraph"/>
              <w:numPr>
                <w:ilvl w:val="1"/>
                <w:numId w:val="5"/>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5</w:t>
            </w:r>
            <w:r w:rsidR="00B41B23" w:rsidRPr="00F11A18">
              <w:rPr>
                <w:sz w:val="20"/>
                <w:szCs w:val="20"/>
              </w:rPr>
              <w:t>: d</w:t>
            </w:r>
            <w:r w:rsidRPr="00F11A18">
              <w:rPr>
                <w:sz w:val="20"/>
                <w:szCs w:val="20"/>
              </w:rPr>
              <w:t>eath</w:t>
            </w:r>
          </w:p>
        </w:tc>
      </w:tr>
      <w:tr w:rsidR="000B2401" w:rsidRPr="00F11A18" w:rsidTr="00B40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9"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Coagulopathy</w:t>
            </w:r>
          </w:p>
        </w:tc>
        <w:tc>
          <w:tcPr>
            <w:tcW w:w="3491" w:type="pct"/>
            <w:tcBorders>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Considered</w:t>
            </w:r>
            <w:r w:rsidR="00B405E1" w:rsidRPr="00F11A18">
              <w:rPr>
                <w:sz w:val="20"/>
                <w:szCs w:val="20"/>
              </w:rPr>
              <w:t xml:space="preserve"> </w:t>
            </w:r>
            <w:r w:rsidRPr="00F11A18">
              <w:rPr>
                <w:sz w:val="20"/>
                <w:szCs w:val="20"/>
              </w:rPr>
              <w:t>when</w:t>
            </w:r>
            <w:r w:rsidR="00B405E1" w:rsidRPr="00F11A18">
              <w:rPr>
                <w:sz w:val="20"/>
                <w:szCs w:val="20"/>
              </w:rPr>
              <w:t xml:space="preserve"> </w:t>
            </w:r>
            <w:r w:rsidRPr="00F11A18">
              <w:rPr>
                <w:sz w:val="20"/>
                <w:szCs w:val="20"/>
              </w:rPr>
              <w:t>there</w:t>
            </w:r>
            <w:r w:rsidR="00B405E1" w:rsidRPr="00F11A18">
              <w:rPr>
                <w:sz w:val="20"/>
                <w:szCs w:val="20"/>
              </w:rPr>
              <w:t xml:space="preserve"> </w:t>
            </w:r>
            <w:r w:rsidRPr="00F11A18">
              <w:rPr>
                <w:sz w:val="20"/>
                <w:szCs w:val="20"/>
              </w:rPr>
              <w:t>was</w:t>
            </w:r>
            <w:r w:rsidR="00B405E1" w:rsidRPr="00F11A18">
              <w:rPr>
                <w:sz w:val="20"/>
                <w:szCs w:val="20"/>
              </w:rPr>
              <w:t xml:space="preserve"> </w:t>
            </w:r>
            <w:r w:rsidRPr="00F11A18">
              <w:rPr>
                <w:i/>
                <w:sz w:val="20"/>
                <w:szCs w:val="20"/>
              </w:rPr>
              <w:t>INR</w:t>
            </w:r>
            <w:r w:rsidR="00B405E1" w:rsidRPr="00F11A18">
              <w:rPr>
                <w:i/>
                <w:sz w:val="20"/>
                <w:szCs w:val="20"/>
              </w:rPr>
              <w:t xml:space="preserve"> </w:t>
            </w:r>
            <w:r w:rsidRPr="00F11A18">
              <w:rPr>
                <w:i/>
                <w:sz w:val="20"/>
                <w:szCs w:val="20"/>
              </w:rPr>
              <w:t>increased;</w:t>
            </w:r>
            <w:r w:rsidR="00B405E1" w:rsidRPr="00F11A18">
              <w:rPr>
                <w:i/>
                <w:sz w:val="20"/>
                <w:szCs w:val="20"/>
              </w:rPr>
              <w:t xml:space="preserve"> </w:t>
            </w:r>
            <w:r w:rsidRPr="00F11A18">
              <w:rPr>
                <w:sz w:val="20"/>
                <w:szCs w:val="20"/>
              </w:rPr>
              <w:t>a</w:t>
            </w:r>
            <w:r w:rsidR="00B405E1" w:rsidRPr="00F11A18">
              <w:rPr>
                <w:sz w:val="20"/>
                <w:szCs w:val="20"/>
              </w:rPr>
              <w:t xml:space="preserve"> </w:t>
            </w:r>
            <w:r w:rsidRPr="00F11A18">
              <w:rPr>
                <w:sz w:val="20"/>
                <w:szCs w:val="20"/>
              </w:rPr>
              <w:t>finding</w:t>
            </w:r>
            <w:r w:rsidR="00B405E1" w:rsidRPr="00F11A18">
              <w:rPr>
                <w:sz w:val="20"/>
                <w:szCs w:val="20"/>
              </w:rPr>
              <w:t xml:space="preserve"> </w:t>
            </w:r>
            <w:r w:rsidRPr="00F11A18">
              <w:rPr>
                <w:sz w:val="20"/>
                <w:szCs w:val="20"/>
              </w:rPr>
              <w:t>based</w:t>
            </w:r>
            <w:r w:rsidR="00B405E1" w:rsidRPr="00F11A18">
              <w:rPr>
                <w:sz w:val="20"/>
                <w:szCs w:val="20"/>
              </w:rPr>
              <w:t xml:space="preserve"> </w:t>
            </w:r>
            <w:r w:rsidRPr="00F11A18">
              <w:rPr>
                <w:sz w:val="20"/>
                <w:szCs w:val="20"/>
              </w:rPr>
              <w:t>on</w:t>
            </w:r>
            <w:r w:rsidR="00B405E1" w:rsidRPr="00F11A18">
              <w:rPr>
                <w:sz w:val="20"/>
                <w:szCs w:val="20"/>
              </w:rPr>
              <w:t xml:space="preserve"> </w:t>
            </w:r>
            <w:r w:rsidRPr="00F11A18">
              <w:rPr>
                <w:sz w:val="20"/>
                <w:szCs w:val="20"/>
              </w:rPr>
              <w:t>laboratory</w:t>
            </w:r>
            <w:r w:rsidR="00B405E1" w:rsidRPr="00F11A18">
              <w:rPr>
                <w:sz w:val="20"/>
                <w:szCs w:val="20"/>
              </w:rPr>
              <w:t xml:space="preserve"> </w:t>
            </w:r>
            <w:r w:rsidRPr="00F11A18">
              <w:rPr>
                <w:sz w:val="20"/>
                <w:szCs w:val="20"/>
              </w:rPr>
              <w:t>test</w:t>
            </w:r>
            <w:r w:rsidR="00B405E1" w:rsidRPr="00F11A18">
              <w:rPr>
                <w:sz w:val="20"/>
                <w:szCs w:val="20"/>
              </w:rPr>
              <w:t xml:space="preserve"> </w:t>
            </w:r>
            <w:r w:rsidRPr="00F11A18">
              <w:rPr>
                <w:sz w:val="20"/>
                <w:szCs w:val="20"/>
              </w:rPr>
              <w:t>results</w:t>
            </w:r>
            <w:r w:rsidR="00B405E1" w:rsidRPr="00F11A18">
              <w:rPr>
                <w:sz w:val="20"/>
                <w:szCs w:val="20"/>
              </w:rPr>
              <w:t xml:space="preserve"> </w:t>
            </w:r>
            <w:r w:rsidRPr="00F11A18">
              <w:rPr>
                <w:sz w:val="20"/>
                <w:szCs w:val="20"/>
              </w:rPr>
              <w:t>that</w:t>
            </w:r>
            <w:r w:rsidR="00B405E1" w:rsidRPr="00F11A18">
              <w:rPr>
                <w:sz w:val="20"/>
                <w:szCs w:val="20"/>
              </w:rPr>
              <w:t xml:space="preserve"> </w:t>
            </w:r>
            <w:r w:rsidRPr="00F11A18">
              <w:rPr>
                <w:sz w:val="20"/>
                <w:szCs w:val="20"/>
              </w:rPr>
              <w:t>indicate</w:t>
            </w:r>
            <w:r w:rsidR="00B405E1" w:rsidRPr="00F11A18">
              <w:rPr>
                <w:sz w:val="20"/>
                <w:szCs w:val="20"/>
              </w:rPr>
              <w:t xml:space="preserve"> </w:t>
            </w:r>
            <w:r w:rsidRPr="00F11A18">
              <w:rPr>
                <w:sz w:val="20"/>
                <w:szCs w:val="20"/>
              </w:rPr>
              <w:t>an</w:t>
            </w:r>
            <w:r w:rsidR="00B405E1" w:rsidRPr="00F11A18">
              <w:rPr>
                <w:sz w:val="20"/>
                <w:szCs w:val="20"/>
              </w:rPr>
              <w:t xml:space="preserve"> </w:t>
            </w:r>
            <w:r w:rsidRPr="00F11A18">
              <w:rPr>
                <w:sz w:val="20"/>
                <w:szCs w:val="20"/>
              </w:rPr>
              <w:t>increase</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ratio</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patient's</w:t>
            </w:r>
            <w:r w:rsidR="00B405E1" w:rsidRPr="00F11A18">
              <w:rPr>
                <w:sz w:val="20"/>
                <w:szCs w:val="20"/>
              </w:rPr>
              <w:t xml:space="preserve"> </w:t>
            </w:r>
            <w:r w:rsidRPr="00F11A18">
              <w:rPr>
                <w:sz w:val="20"/>
                <w:szCs w:val="20"/>
              </w:rPr>
              <w:t>prothrombin</w:t>
            </w:r>
            <w:r w:rsidR="00B405E1" w:rsidRPr="00F11A18">
              <w:rPr>
                <w:sz w:val="20"/>
                <w:szCs w:val="20"/>
              </w:rPr>
              <w:t xml:space="preserve"> </w:t>
            </w:r>
            <w:r w:rsidRPr="00F11A18">
              <w:rPr>
                <w:sz w:val="20"/>
                <w:szCs w:val="20"/>
              </w:rPr>
              <w:t>time</w:t>
            </w:r>
            <w:r w:rsidR="00B405E1" w:rsidRPr="00F11A18">
              <w:rPr>
                <w:sz w:val="20"/>
                <w:szCs w:val="20"/>
              </w:rPr>
              <w:t xml:space="preserve"> </w:t>
            </w:r>
            <w:r w:rsidRPr="00F11A18">
              <w:rPr>
                <w:sz w:val="20"/>
                <w:szCs w:val="20"/>
              </w:rPr>
              <w:t>to</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control</w:t>
            </w:r>
            <w:r w:rsidR="00B405E1" w:rsidRPr="00F11A18">
              <w:rPr>
                <w:sz w:val="20"/>
                <w:szCs w:val="20"/>
              </w:rPr>
              <w:t xml:space="preserve"> </w:t>
            </w:r>
            <w:r w:rsidRPr="00F11A18">
              <w:rPr>
                <w:sz w:val="20"/>
                <w:szCs w:val="20"/>
              </w:rPr>
              <w:t>sample</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blood;</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w:t>
            </w:r>
            <w:r w:rsidR="00B405E1" w:rsidRPr="00F11A18">
              <w:rPr>
                <w:sz w:val="20"/>
                <w:szCs w:val="20"/>
                <w:u w:val="single"/>
              </w:rPr>
              <w:t xml:space="preserve"> </w:t>
            </w:r>
            <w:r w:rsidRPr="00F11A18">
              <w:rPr>
                <w:sz w:val="20"/>
                <w:szCs w:val="20"/>
                <w:u w:val="single"/>
              </w:rPr>
              <w:t>1</w:t>
            </w:r>
            <w:r w:rsidRPr="00F11A18">
              <w:rPr>
                <w:sz w:val="20"/>
                <w:szCs w:val="20"/>
              </w:rPr>
              <w:t>:</w:t>
            </w:r>
            <w:r w:rsidR="00B405E1" w:rsidRPr="00F11A18">
              <w:rPr>
                <w:sz w:val="20"/>
                <w:szCs w:val="20"/>
              </w:rPr>
              <w:t xml:space="preserve"> </w:t>
            </w:r>
            <w:r w:rsidRPr="00F11A18">
              <w:rPr>
                <w:sz w:val="20"/>
                <w:szCs w:val="20"/>
              </w:rPr>
              <w:t>&gt;1</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1.5</w:t>
            </w:r>
            <w:r w:rsidR="00B405E1" w:rsidRPr="00F11A18">
              <w:rPr>
                <w:sz w:val="20"/>
                <w:szCs w:val="20"/>
              </w:rPr>
              <w:t xml:space="preserve"> </w:t>
            </w:r>
            <w:r w:rsidRPr="00F11A18">
              <w:rPr>
                <w:sz w:val="20"/>
                <w:szCs w:val="20"/>
              </w:rPr>
              <w:t>×ULN</w:t>
            </w:r>
          </w:p>
          <w:p w:rsidR="000B2401" w:rsidRPr="00F11A18" w:rsidRDefault="00C41A33" w:rsidP="00B41B23">
            <w:pPr>
              <w:pStyle w:val="TableParagraph"/>
              <w:snapToGrid w:val="0"/>
              <w:ind w:left="0"/>
              <w:jc w:val="both"/>
              <w:rPr>
                <w:sz w:val="20"/>
                <w:szCs w:val="20"/>
              </w:rPr>
            </w:pPr>
            <w:r w:rsidRPr="00F11A18">
              <w:rPr>
                <w:sz w:val="20"/>
                <w:szCs w:val="20"/>
              </w:rPr>
              <w:t></w:t>
            </w:r>
            <w:r w:rsidR="00B405E1" w:rsidRPr="00F11A18">
              <w:rPr>
                <w:sz w:val="20"/>
                <w:szCs w:val="20"/>
              </w:rPr>
              <w:t xml:space="preserve"> </w:t>
            </w:r>
            <w:r w:rsidRPr="00F11A18">
              <w:rPr>
                <w:sz w:val="20"/>
                <w:szCs w:val="20"/>
                <w:u w:val="single"/>
              </w:rPr>
              <w:t>Grade2</w:t>
            </w:r>
            <w:r w:rsidRPr="00F11A18">
              <w:rPr>
                <w:sz w:val="20"/>
                <w:szCs w:val="20"/>
              </w:rPr>
              <w:t>:</w:t>
            </w:r>
            <w:r w:rsidR="00B405E1" w:rsidRPr="00F11A18">
              <w:rPr>
                <w:sz w:val="20"/>
                <w:szCs w:val="20"/>
              </w:rPr>
              <w:t xml:space="preserve"> </w:t>
            </w:r>
            <w:r w:rsidRPr="00F11A18">
              <w:rPr>
                <w:sz w:val="20"/>
                <w:szCs w:val="20"/>
              </w:rPr>
              <w:t>&gt;1.5</w:t>
            </w:r>
            <w:r w:rsidR="00B405E1" w:rsidRPr="00F11A18">
              <w:rPr>
                <w:sz w:val="20"/>
                <w:szCs w:val="20"/>
              </w:rPr>
              <w:t xml:space="preserve"> </w:t>
            </w:r>
            <w:r w:rsidRPr="00F11A18">
              <w:rPr>
                <w:sz w:val="20"/>
                <w:szCs w:val="20"/>
              </w:rPr>
              <w:t>-</w:t>
            </w:r>
            <w:r w:rsidR="00B405E1" w:rsidRPr="00F11A18">
              <w:rPr>
                <w:sz w:val="20"/>
                <w:szCs w:val="20"/>
              </w:rPr>
              <w:t xml:space="preserve"> </w:t>
            </w:r>
            <w:r w:rsidRPr="00F11A18">
              <w:rPr>
                <w:sz w:val="20"/>
                <w:szCs w:val="20"/>
              </w:rPr>
              <w:t>2.5</w:t>
            </w:r>
            <w:r w:rsidR="00B405E1" w:rsidRPr="00F11A18">
              <w:rPr>
                <w:sz w:val="20"/>
                <w:szCs w:val="20"/>
              </w:rPr>
              <w:t xml:space="preserve"> </w:t>
            </w:r>
            <w:r w:rsidRPr="00F11A18">
              <w:rPr>
                <w:sz w:val="20"/>
                <w:szCs w:val="20"/>
              </w:rPr>
              <w:t>×ULN</w:t>
            </w:r>
          </w:p>
          <w:p w:rsidR="000B2401" w:rsidRPr="00F11A18" w:rsidRDefault="00C41A33" w:rsidP="00B41B23">
            <w:pPr>
              <w:pStyle w:val="TableParagraph"/>
              <w:numPr>
                <w:ilvl w:val="0"/>
                <w:numId w:val="4"/>
              </w:numPr>
              <w:snapToGrid w:val="0"/>
              <w:ind w:left="0" w:firstLine="0"/>
              <w:jc w:val="both"/>
              <w:rPr>
                <w:sz w:val="20"/>
                <w:szCs w:val="20"/>
              </w:rPr>
            </w:pPr>
            <w:r w:rsidRPr="00F11A18">
              <w:rPr>
                <w:sz w:val="20"/>
                <w:szCs w:val="20"/>
                <w:u w:val="single"/>
              </w:rPr>
              <w:t>Grade3</w:t>
            </w:r>
            <w:r w:rsidRPr="00F11A18">
              <w:rPr>
                <w:sz w:val="20"/>
                <w:szCs w:val="20"/>
              </w:rPr>
              <w:t>:</w:t>
            </w:r>
            <w:r w:rsidR="00B405E1" w:rsidRPr="00F11A18">
              <w:rPr>
                <w:sz w:val="20"/>
                <w:szCs w:val="20"/>
              </w:rPr>
              <w:t xml:space="preserve"> </w:t>
            </w:r>
            <w:r w:rsidRPr="00F11A18">
              <w:rPr>
                <w:sz w:val="20"/>
                <w:szCs w:val="20"/>
              </w:rPr>
              <w:t>&gt;2.5</w:t>
            </w:r>
            <w:r w:rsidR="00B405E1" w:rsidRPr="00F11A18">
              <w:rPr>
                <w:sz w:val="20"/>
                <w:szCs w:val="20"/>
              </w:rPr>
              <w:t xml:space="preserve"> </w:t>
            </w:r>
            <w:r w:rsidRPr="00F11A18">
              <w:rPr>
                <w:sz w:val="20"/>
                <w:szCs w:val="20"/>
              </w:rPr>
              <w:t>×ULN</w:t>
            </w:r>
          </w:p>
        </w:tc>
      </w:tr>
      <w:tr w:rsidR="000B2401" w:rsidRPr="00F11A18" w:rsidTr="00B40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9"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Vital</w:t>
            </w:r>
            <w:r w:rsidR="00B405E1" w:rsidRPr="00F11A18">
              <w:rPr>
                <w:b/>
                <w:sz w:val="20"/>
                <w:szCs w:val="20"/>
              </w:rPr>
              <w:t xml:space="preserve"> </w:t>
            </w:r>
            <w:r w:rsidRPr="00F11A18">
              <w:rPr>
                <w:b/>
                <w:sz w:val="20"/>
                <w:szCs w:val="20"/>
              </w:rPr>
              <w:t>instability</w:t>
            </w:r>
          </w:p>
        </w:tc>
        <w:tc>
          <w:tcPr>
            <w:tcW w:w="3491" w:type="pct"/>
            <w:tcBorders>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Considered</w:t>
            </w:r>
            <w:r w:rsidR="00B405E1" w:rsidRPr="00F11A18">
              <w:rPr>
                <w:sz w:val="20"/>
                <w:szCs w:val="20"/>
              </w:rPr>
              <w:t xml:space="preserve"> </w:t>
            </w:r>
            <w:r w:rsidRPr="00F11A18">
              <w:rPr>
                <w:sz w:val="20"/>
                <w:szCs w:val="20"/>
              </w:rPr>
              <w:t>when</w:t>
            </w:r>
            <w:r w:rsidR="00B405E1" w:rsidRPr="00F11A18">
              <w:rPr>
                <w:sz w:val="20"/>
                <w:szCs w:val="20"/>
              </w:rPr>
              <w:t xml:space="preserve"> </w:t>
            </w:r>
            <w:r w:rsidRPr="00F11A18">
              <w:rPr>
                <w:sz w:val="20"/>
                <w:szCs w:val="20"/>
              </w:rPr>
              <w:t>there</w:t>
            </w:r>
            <w:r w:rsidR="00B405E1" w:rsidRPr="00F11A18">
              <w:rPr>
                <w:sz w:val="20"/>
                <w:szCs w:val="20"/>
              </w:rPr>
              <w:t xml:space="preserve"> </w:t>
            </w:r>
            <w:r w:rsidRPr="00F11A18">
              <w:rPr>
                <w:sz w:val="20"/>
                <w:szCs w:val="20"/>
              </w:rPr>
              <w:t>was</w:t>
            </w:r>
          </w:p>
          <w:p w:rsidR="000B2401" w:rsidRPr="00F11A18" w:rsidRDefault="00C41A33" w:rsidP="00B41B23">
            <w:pPr>
              <w:pStyle w:val="TableParagraph"/>
              <w:numPr>
                <w:ilvl w:val="0"/>
                <w:numId w:val="3"/>
              </w:numPr>
              <w:snapToGrid w:val="0"/>
              <w:ind w:left="0" w:firstLine="0"/>
              <w:jc w:val="both"/>
              <w:rPr>
                <w:sz w:val="20"/>
                <w:szCs w:val="20"/>
              </w:rPr>
            </w:pPr>
            <w:r w:rsidRPr="00F11A18">
              <w:rPr>
                <w:i/>
                <w:sz w:val="20"/>
                <w:szCs w:val="20"/>
              </w:rPr>
              <w:t>Hypotension;</w:t>
            </w:r>
            <w:r w:rsidR="00B405E1" w:rsidRPr="00F11A18">
              <w:rPr>
                <w:i/>
                <w:sz w:val="20"/>
                <w:szCs w:val="20"/>
              </w:rPr>
              <w:t xml:space="preserve"> </w:t>
            </w: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blood</w:t>
            </w:r>
            <w:r w:rsidR="00B405E1" w:rsidRPr="00F11A18">
              <w:rPr>
                <w:sz w:val="20"/>
                <w:szCs w:val="20"/>
              </w:rPr>
              <w:t xml:space="preserve"> </w:t>
            </w:r>
            <w:r w:rsidRPr="00F11A18">
              <w:rPr>
                <w:sz w:val="20"/>
                <w:szCs w:val="20"/>
              </w:rPr>
              <w:t>pressure</w:t>
            </w:r>
            <w:r w:rsidR="00B405E1" w:rsidRPr="00F11A18">
              <w:rPr>
                <w:sz w:val="20"/>
                <w:szCs w:val="20"/>
              </w:rPr>
              <w:t xml:space="preserve"> </w:t>
            </w:r>
            <w:r w:rsidRPr="00F11A18">
              <w:rPr>
                <w:sz w:val="20"/>
                <w:szCs w:val="20"/>
              </w:rPr>
              <w:t>that</w:t>
            </w:r>
            <w:r w:rsidR="00B405E1" w:rsidRPr="00F11A18">
              <w:rPr>
                <w:sz w:val="20"/>
                <w:szCs w:val="20"/>
              </w:rPr>
              <w:t xml:space="preserve"> </w:t>
            </w:r>
            <w:r w:rsidRPr="00F11A18">
              <w:rPr>
                <w:sz w:val="20"/>
                <w:szCs w:val="20"/>
              </w:rPr>
              <w:t>is</w:t>
            </w:r>
            <w:r w:rsidR="00B405E1" w:rsidRPr="00F11A18">
              <w:rPr>
                <w:sz w:val="20"/>
                <w:szCs w:val="20"/>
              </w:rPr>
              <w:t xml:space="preserve"> </w:t>
            </w:r>
            <w:r w:rsidRPr="00F11A18">
              <w:rPr>
                <w:sz w:val="20"/>
                <w:szCs w:val="20"/>
              </w:rPr>
              <w:t>below</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normal</w:t>
            </w:r>
            <w:r w:rsidR="00B405E1" w:rsidRPr="00F11A18">
              <w:rPr>
                <w:sz w:val="20"/>
                <w:szCs w:val="20"/>
              </w:rPr>
              <w:t xml:space="preserve"> </w:t>
            </w:r>
            <w:r w:rsidRPr="00F11A18">
              <w:rPr>
                <w:sz w:val="20"/>
                <w:szCs w:val="20"/>
              </w:rPr>
              <w:t>expected</w:t>
            </w:r>
            <w:r w:rsidR="00B405E1" w:rsidRPr="00F11A18">
              <w:rPr>
                <w:sz w:val="20"/>
                <w:szCs w:val="20"/>
              </w:rPr>
              <w:t xml:space="preserve"> </w:t>
            </w:r>
            <w:r w:rsidRPr="00F11A18">
              <w:rPr>
                <w:sz w:val="20"/>
                <w:szCs w:val="20"/>
              </w:rPr>
              <w:t>for</w:t>
            </w:r>
            <w:r w:rsidR="00B405E1" w:rsidRPr="00F11A18">
              <w:rPr>
                <w:sz w:val="20"/>
                <w:szCs w:val="20"/>
              </w:rPr>
              <w:t xml:space="preserve"> </w:t>
            </w:r>
            <w:r w:rsidRPr="00F11A18">
              <w:rPr>
                <w:sz w:val="20"/>
                <w:szCs w:val="20"/>
              </w:rPr>
              <w:t>an</w:t>
            </w:r>
            <w:r w:rsidR="00B405E1" w:rsidRPr="00F11A18">
              <w:rPr>
                <w:sz w:val="20"/>
                <w:szCs w:val="20"/>
              </w:rPr>
              <w:t xml:space="preserve"> </w:t>
            </w:r>
            <w:r w:rsidRPr="00F11A18">
              <w:rPr>
                <w:sz w:val="20"/>
                <w:szCs w:val="20"/>
              </w:rPr>
              <w:t>individual</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given</w:t>
            </w:r>
            <w:r w:rsidR="00F11A18">
              <w:rPr>
                <w:rFonts w:eastAsiaTheme="minorEastAsia" w:hint="eastAsia"/>
                <w:sz w:val="20"/>
                <w:szCs w:val="20"/>
                <w:lang w:eastAsia="zh-CN"/>
              </w:rPr>
              <w:t xml:space="preserve"> </w:t>
            </w:r>
            <w:r w:rsidRPr="00F11A18">
              <w:rPr>
                <w:sz w:val="20"/>
                <w:szCs w:val="20"/>
              </w:rPr>
              <w:t>environment;</w:t>
            </w:r>
          </w:p>
          <w:p w:rsidR="000B2401" w:rsidRPr="00F11A18" w:rsidRDefault="00C41A33" w:rsidP="00B41B23">
            <w:pPr>
              <w:pStyle w:val="TableParagraph"/>
              <w:numPr>
                <w:ilvl w:val="1"/>
                <w:numId w:val="3"/>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1</w:t>
            </w:r>
            <w:r w:rsidRPr="00F11A18">
              <w:rPr>
                <w:sz w:val="20"/>
                <w:szCs w:val="20"/>
              </w:rPr>
              <w:t>:</w:t>
            </w:r>
            <w:r w:rsidR="00B405E1" w:rsidRPr="00F11A18">
              <w:rPr>
                <w:sz w:val="20"/>
                <w:szCs w:val="20"/>
              </w:rPr>
              <w:t xml:space="preserve"> </w:t>
            </w:r>
            <w:r w:rsidRPr="00F11A18">
              <w:rPr>
                <w:sz w:val="20"/>
                <w:szCs w:val="20"/>
              </w:rPr>
              <w:t>asymptomatic,</w:t>
            </w:r>
            <w:r w:rsidR="00B405E1" w:rsidRPr="00F11A18">
              <w:rPr>
                <w:sz w:val="20"/>
                <w:szCs w:val="20"/>
              </w:rPr>
              <w:t xml:space="preserve"> </w:t>
            </w:r>
            <w:r w:rsidRPr="00F11A18">
              <w:rPr>
                <w:sz w:val="20"/>
                <w:szCs w:val="20"/>
              </w:rPr>
              <w:t>intervention</w:t>
            </w:r>
            <w:r w:rsidR="00B405E1" w:rsidRPr="00F11A18">
              <w:rPr>
                <w:sz w:val="20"/>
                <w:szCs w:val="20"/>
              </w:rPr>
              <w:t xml:space="preserve"> </w:t>
            </w:r>
            <w:r w:rsidRPr="00F11A18">
              <w:rPr>
                <w:sz w:val="20"/>
                <w:szCs w:val="20"/>
              </w:rPr>
              <w:t>not</w:t>
            </w:r>
            <w:r w:rsidR="00F11A18">
              <w:rPr>
                <w:rFonts w:eastAsiaTheme="minorEastAsia" w:hint="eastAsia"/>
                <w:sz w:val="20"/>
                <w:szCs w:val="20"/>
                <w:lang w:eastAsia="zh-CN"/>
              </w:rPr>
              <w:t xml:space="preserve"> </w:t>
            </w:r>
            <w:r w:rsidRPr="00F11A18">
              <w:rPr>
                <w:sz w:val="20"/>
                <w:szCs w:val="20"/>
              </w:rPr>
              <w:t>indicated</w:t>
            </w:r>
          </w:p>
          <w:p w:rsidR="000B2401" w:rsidRPr="00F11A18" w:rsidRDefault="00C41A33" w:rsidP="00B41B23">
            <w:pPr>
              <w:pStyle w:val="TableParagraph"/>
              <w:numPr>
                <w:ilvl w:val="1"/>
                <w:numId w:val="3"/>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2</w:t>
            </w:r>
            <w:r w:rsidRPr="00F11A18">
              <w:rPr>
                <w:sz w:val="20"/>
                <w:szCs w:val="20"/>
              </w:rPr>
              <w:t>:</w:t>
            </w:r>
            <w:r w:rsidR="00B405E1" w:rsidRPr="00F11A18">
              <w:rPr>
                <w:sz w:val="20"/>
                <w:szCs w:val="20"/>
              </w:rPr>
              <w:t xml:space="preserve"> </w:t>
            </w:r>
            <w:r w:rsidRPr="00F11A18">
              <w:rPr>
                <w:sz w:val="20"/>
                <w:szCs w:val="20"/>
              </w:rPr>
              <w:t>non-urgent</w:t>
            </w:r>
            <w:r w:rsidR="00B405E1" w:rsidRPr="00F11A18">
              <w:rPr>
                <w:sz w:val="20"/>
                <w:szCs w:val="20"/>
              </w:rPr>
              <w:t xml:space="preserve"> </w:t>
            </w:r>
            <w:r w:rsidRPr="00F11A18">
              <w:rPr>
                <w:sz w:val="20"/>
                <w:szCs w:val="20"/>
              </w:rPr>
              <w:t>medical</w:t>
            </w:r>
            <w:r w:rsidR="00B405E1" w:rsidRPr="00F11A18">
              <w:rPr>
                <w:sz w:val="20"/>
                <w:szCs w:val="20"/>
              </w:rPr>
              <w:t xml:space="preserve"> </w:t>
            </w:r>
            <w:r w:rsidRPr="00F11A18">
              <w:rPr>
                <w:sz w:val="20"/>
                <w:szCs w:val="20"/>
              </w:rPr>
              <w:t>intervention</w:t>
            </w:r>
            <w:r w:rsidR="00F11A18">
              <w:rPr>
                <w:rFonts w:eastAsiaTheme="minorEastAsia" w:hint="eastAsia"/>
                <w:sz w:val="20"/>
                <w:szCs w:val="20"/>
                <w:lang w:eastAsia="zh-CN"/>
              </w:rPr>
              <w:t xml:space="preserve"> </w:t>
            </w:r>
            <w:r w:rsidRPr="00F11A18">
              <w:rPr>
                <w:sz w:val="20"/>
                <w:szCs w:val="20"/>
              </w:rPr>
              <w:t>indicated</w:t>
            </w:r>
          </w:p>
          <w:p w:rsidR="000B2401" w:rsidRPr="00F11A18" w:rsidRDefault="00C41A33" w:rsidP="00B41B23">
            <w:pPr>
              <w:pStyle w:val="TableParagraph"/>
              <w:numPr>
                <w:ilvl w:val="1"/>
                <w:numId w:val="3"/>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3</w:t>
            </w:r>
            <w:r w:rsidR="00B405E1" w:rsidRPr="00F11A18">
              <w:rPr>
                <w:sz w:val="20"/>
                <w:szCs w:val="20"/>
              </w:rPr>
              <w:t xml:space="preserve">: </w:t>
            </w:r>
            <w:r w:rsidRPr="00F11A18">
              <w:rPr>
                <w:sz w:val="20"/>
                <w:szCs w:val="20"/>
              </w:rPr>
              <w:t>medical</w:t>
            </w:r>
            <w:r w:rsidR="00B405E1" w:rsidRPr="00F11A18">
              <w:rPr>
                <w:sz w:val="20"/>
                <w:szCs w:val="20"/>
              </w:rPr>
              <w:t xml:space="preserve"> </w:t>
            </w:r>
            <w:r w:rsidRPr="00F11A18">
              <w:rPr>
                <w:sz w:val="20"/>
                <w:szCs w:val="20"/>
              </w:rPr>
              <w:t>intervention</w:t>
            </w:r>
            <w:r w:rsidR="00B405E1" w:rsidRPr="00F11A18">
              <w:rPr>
                <w:sz w:val="20"/>
                <w:szCs w:val="20"/>
              </w:rPr>
              <w:t xml:space="preserve"> </w:t>
            </w:r>
            <w:r w:rsidRPr="00F11A18">
              <w:rPr>
                <w:sz w:val="20"/>
                <w:szCs w:val="20"/>
              </w:rPr>
              <w:t>or</w:t>
            </w:r>
            <w:r w:rsidR="00B405E1" w:rsidRPr="00F11A18">
              <w:rPr>
                <w:sz w:val="20"/>
                <w:szCs w:val="20"/>
              </w:rPr>
              <w:t xml:space="preserve"> </w:t>
            </w:r>
            <w:r w:rsidRPr="00F11A18">
              <w:rPr>
                <w:sz w:val="20"/>
                <w:szCs w:val="20"/>
              </w:rPr>
              <w:t>hospitalization</w:t>
            </w:r>
            <w:r w:rsidR="00F11A18">
              <w:rPr>
                <w:rFonts w:eastAsiaTheme="minorEastAsia" w:hint="eastAsia"/>
                <w:sz w:val="20"/>
                <w:szCs w:val="20"/>
                <w:lang w:eastAsia="zh-CN"/>
              </w:rPr>
              <w:t xml:space="preserve"> </w:t>
            </w:r>
            <w:r w:rsidRPr="00F11A18">
              <w:rPr>
                <w:sz w:val="20"/>
                <w:szCs w:val="20"/>
              </w:rPr>
              <w:t>indicated</w:t>
            </w:r>
          </w:p>
          <w:p w:rsidR="000B2401" w:rsidRPr="00F11A18" w:rsidRDefault="00C41A33" w:rsidP="00B41B23">
            <w:pPr>
              <w:pStyle w:val="TableParagraph"/>
              <w:numPr>
                <w:ilvl w:val="1"/>
                <w:numId w:val="3"/>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4</w:t>
            </w:r>
            <w:r w:rsidRPr="00F11A18">
              <w:rPr>
                <w:sz w:val="20"/>
                <w:szCs w:val="20"/>
              </w:rPr>
              <w:t>:</w:t>
            </w:r>
            <w:r w:rsidR="00B405E1" w:rsidRPr="00F11A18">
              <w:rPr>
                <w:sz w:val="20"/>
                <w:szCs w:val="20"/>
              </w:rPr>
              <w:t xml:space="preserve"> </w:t>
            </w:r>
            <w:r w:rsidRPr="00F11A18">
              <w:rPr>
                <w:sz w:val="20"/>
                <w:szCs w:val="20"/>
              </w:rPr>
              <w:t>life</w:t>
            </w:r>
            <w:r w:rsidR="00B405E1" w:rsidRPr="00F11A18">
              <w:rPr>
                <w:sz w:val="20"/>
                <w:szCs w:val="20"/>
              </w:rPr>
              <w:t xml:space="preserve"> </w:t>
            </w:r>
            <w:r w:rsidRPr="00F11A18">
              <w:rPr>
                <w:sz w:val="20"/>
                <w:szCs w:val="20"/>
              </w:rPr>
              <w:t>threatening</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urgent</w:t>
            </w:r>
            <w:r w:rsidR="00B405E1" w:rsidRPr="00F11A18">
              <w:rPr>
                <w:sz w:val="20"/>
                <w:szCs w:val="20"/>
              </w:rPr>
              <w:t xml:space="preserve"> </w:t>
            </w:r>
            <w:r w:rsidRPr="00F11A18">
              <w:rPr>
                <w:sz w:val="20"/>
                <w:szCs w:val="20"/>
              </w:rPr>
              <w:t>intervention</w:t>
            </w:r>
            <w:r w:rsidR="00F11A18">
              <w:rPr>
                <w:rFonts w:eastAsiaTheme="minorEastAsia" w:hint="eastAsia"/>
                <w:sz w:val="20"/>
                <w:szCs w:val="20"/>
                <w:lang w:eastAsia="zh-CN"/>
              </w:rPr>
              <w:t xml:space="preserve"> </w:t>
            </w:r>
            <w:r w:rsidRPr="00F11A18">
              <w:rPr>
                <w:sz w:val="20"/>
                <w:szCs w:val="20"/>
              </w:rPr>
              <w:t>indicated</w:t>
            </w:r>
          </w:p>
          <w:p w:rsidR="000B2401" w:rsidRPr="00F11A18" w:rsidRDefault="00C41A33" w:rsidP="00B41B23">
            <w:pPr>
              <w:pStyle w:val="TableParagraph"/>
              <w:numPr>
                <w:ilvl w:val="1"/>
                <w:numId w:val="3"/>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5</w:t>
            </w:r>
            <w:r w:rsidR="00B405E1" w:rsidRPr="00F11A18">
              <w:rPr>
                <w:sz w:val="20"/>
                <w:szCs w:val="20"/>
              </w:rPr>
              <w:t xml:space="preserve">: </w:t>
            </w:r>
            <w:r w:rsidRPr="00F11A18">
              <w:rPr>
                <w:sz w:val="20"/>
                <w:szCs w:val="20"/>
              </w:rPr>
              <w:t>death</w:t>
            </w:r>
            <w:r w:rsidR="00B41B23" w:rsidRPr="00F11A18">
              <w:rPr>
                <w:sz w:val="20"/>
                <w:szCs w:val="20"/>
              </w:rPr>
              <w:t>, o</w:t>
            </w:r>
            <w:r w:rsidRPr="00F11A18">
              <w:rPr>
                <w:sz w:val="20"/>
                <w:szCs w:val="20"/>
              </w:rPr>
              <w:t>r</w:t>
            </w:r>
          </w:p>
          <w:p w:rsidR="000B2401" w:rsidRPr="00F11A18" w:rsidRDefault="00C41A33" w:rsidP="00B41B23">
            <w:pPr>
              <w:pStyle w:val="TableParagraph"/>
              <w:numPr>
                <w:ilvl w:val="0"/>
                <w:numId w:val="3"/>
              </w:numPr>
              <w:snapToGrid w:val="0"/>
              <w:ind w:left="0" w:firstLine="0"/>
              <w:jc w:val="both"/>
              <w:rPr>
                <w:sz w:val="20"/>
                <w:szCs w:val="20"/>
              </w:rPr>
            </w:pPr>
            <w:r w:rsidRPr="00F11A18">
              <w:rPr>
                <w:i/>
                <w:sz w:val="20"/>
                <w:szCs w:val="20"/>
              </w:rPr>
              <w:t>Tachycardia;</w:t>
            </w:r>
            <w:r w:rsidR="00B405E1" w:rsidRPr="00F11A18">
              <w:rPr>
                <w:i/>
                <w:sz w:val="20"/>
                <w:szCs w:val="20"/>
              </w:rPr>
              <w:t xml:space="preserve"> </w:t>
            </w: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dysrhythmia</w:t>
            </w:r>
            <w:r w:rsidR="00B405E1" w:rsidRPr="00F11A18">
              <w:rPr>
                <w:sz w:val="20"/>
                <w:szCs w:val="20"/>
              </w:rPr>
              <w:t xml:space="preserve"> </w:t>
            </w:r>
            <w:r w:rsidRPr="00F11A18">
              <w:rPr>
                <w:sz w:val="20"/>
                <w:szCs w:val="20"/>
              </w:rPr>
              <w:t>with</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heart</w:t>
            </w:r>
            <w:r w:rsidR="00B405E1" w:rsidRPr="00F11A18">
              <w:rPr>
                <w:sz w:val="20"/>
                <w:szCs w:val="20"/>
              </w:rPr>
              <w:t xml:space="preserve"> </w:t>
            </w:r>
            <w:r w:rsidRPr="00F11A18">
              <w:rPr>
                <w:sz w:val="20"/>
                <w:szCs w:val="20"/>
              </w:rPr>
              <w:lastRenderedPageBreak/>
              <w:t>rate</w:t>
            </w:r>
            <w:r w:rsidR="00B405E1" w:rsidRPr="00F11A18">
              <w:rPr>
                <w:sz w:val="20"/>
                <w:szCs w:val="20"/>
              </w:rPr>
              <w:t xml:space="preserve"> </w:t>
            </w:r>
            <w:r w:rsidRPr="00F11A18">
              <w:rPr>
                <w:sz w:val="20"/>
                <w:szCs w:val="20"/>
              </w:rPr>
              <w:t>greater</w:t>
            </w:r>
            <w:r w:rsidR="00B405E1" w:rsidRPr="00F11A18">
              <w:rPr>
                <w:sz w:val="20"/>
                <w:szCs w:val="20"/>
              </w:rPr>
              <w:t xml:space="preserve"> </w:t>
            </w:r>
            <w:r w:rsidRPr="00F11A18">
              <w:rPr>
                <w:sz w:val="20"/>
                <w:szCs w:val="20"/>
              </w:rPr>
              <w:t>than</w:t>
            </w:r>
            <w:r w:rsidR="00B405E1" w:rsidRPr="00F11A18">
              <w:rPr>
                <w:sz w:val="20"/>
                <w:szCs w:val="20"/>
              </w:rPr>
              <w:t xml:space="preserve"> </w:t>
            </w:r>
            <w:r w:rsidRPr="00F11A18">
              <w:rPr>
                <w:sz w:val="20"/>
                <w:szCs w:val="20"/>
              </w:rPr>
              <w:t>100</w:t>
            </w:r>
            <w:r w:rsidR="00B405E1" w:rsidRPr="00F11A18">
              <w:rPr>
                <w:sz w:val="20"/>
                <w:szCs w:val="20"/>
              </w:rPr>
              <w:t xml:space="preserve"> </w:t>
            </w:r>
            <w:r w:rsidRPr="00F11A18">
              <w:rPr>
                <w:sz w:val="20"/>
                <w:szCs w:val="20"/>
              </w:rPr>
              <w:t>beats</w:t>
            </w:r>
            <w:r w:rsidR="00B405E1" w:rsidRPr="00F11A18">
              <w:rPr>
                <w:sz w:val="20"/>
                <w:szCs w:val="20"/>
              </w:rPr>
              <w:t xml:space="preserve"> </w:t>
            </w:r>
            <w:r w:rsidRPr="00F11A18">
              <w:rPr>
                <w:sz w:val="20"/>
                <w:szCs w:val="20"/>
              </w:rPr>
              <w:t>per</w:t>
            </w:r>
            <w:r w:rsidR="00B405E1" w:rsidRPr="00F11A18">
              <w:rPr>
                <w:sz w:val="20"/>
                <w:szCs w:val="20"/>
              </w:rPr>
              <w:t xml:space="preserve"> </w:t>
            </w:r>
            <w:r w:rsidRPr="00F11A18">
              <w:rPr>
                <w:sz w:val="20"/>
                <w:szCs w:val="20"/>
              </w:rPr>
              <w:t>minute</w:t>
            </w:r>
            <w:r w:rsidR="00B405E1" w:rsidRPr="00F11A18">
              <w:rPr>
                <w:sz w:val="20"/>
                <w:szCs w:val="20"/>
              </w:rPr>
              <w:t xml:space="preserve"> </w:t>
            </w:r>
            <w:r w:rsidRPr="00F11A18">
              <w:rPr>
                <w:sz w:val="20"/>
                <w:szCs w:val="20"/>
              </w:rPr>
              <w:t>that</w:t>
            </w:r>
            <w:r w:rsidR="00B405E1" w:rsidRPr="00F11A18">
              <w:rPr>
                <w:sz w:val="20"/>
                <w:szCs w:val="20"/>
              </w:rPr>
              <w:t xml:space="preserve"> </w:t>
            </w:r>
            <w:r w:rsidRPr="00F11A18">
              <w:rPr>
                <w:sz w:val="20"/>
                <w:szCs w:val="20"/>
              </w:rPr>
              <w:t>originates</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sinusnode</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not</w:t>
            </w:r>
            <w:r w:rsidR="00B405E1" w:rsidRPr="00F11A18">
              <w:rPr>
                <w:sz w:val="20"/>
                <w:szCs w:val="20"/>
              </w:rPr>
              <w:t xml:space="preserve"> </w:t>
            </w:r>
            <w:r w:rsidRPr="00F11A18">
              <w:rPr>
                <w:sz w:val="20"/>
                <w:szCs w:val="20"/>
              </w:rPr>
              <w:t>proportionate</w:t>
            </w:r>
            <w:r w:rsidR="00B405E1" w:rsidRPr="00F11A18">
              <w:rPr>
                <w:sz w:val="20"/>
                <w:szCs w:val="20"/>
              </w:rPr>
              <w:t xml:space="preserve"> </w:t>
            </w:r>
            <w:r w:rsidRPr="00F11A18">
              <w:rPr>
                <w:sz w:val="20"/>
                <w:szCs w:val="20"/>
              </w:rPr>
              <w:t>to</w:t>
            </w:r>
            <w:r w:rsidR="00F11A18">
              <w:rPr>
                <w:rFonts w:eastAsiaTheme="minorEastAsia" w:hint="eastAsia"/>
                <w:sz w:val="20"/>
                <w:szCs w:val="20"/>
                <w:lang w:eastAsia="zh-CN"/>
              </w:rPr>
              <w:t xml:space="preserve"> </w:t>
            </w:r>
            <w:r w:rsidRPr="00F11A18">
              <w:rPr>
                <w:sz w:val="20"/>
                <w:szCs w:val="20"/>
              </w:rPr>
              <w:t>fever</w:t>
            </w:r>
          </w:p>
        </w:tc>
      </w:tr>
      <w:tr w:rsidR="000B2401" w:rsidRPr="00F11A18" w:rsidTr="00B40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9" w:type="pct"/>
            <w:tcBorders>
              <w:left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lastRenderedPageBreak/>
              <w:t>Sepsis</w:t>
            </w:r>
          </w:p>
        </w:tc>
        <w:tc>
          <w:tcPr>
            <w:tcW w:w="3491" w:type="pct"/>
            <w:tcBorders>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presence</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pathogenic</w:t>
            </w:r>
            <w:r w:rsidR="00B405E1" w:rsidRPr="00F11A18">
              <w:rPr>
                <w:sz w:val="20"/>
                <w:szCs w:val="20"/>
              </w:rPr>
              <w:t xml:space="preserve"> </w:t>
            </w:r>
            <w:r w:rsidRPr="00F11A18">
              <w:rPr>
                <w:sz w:val="20"/>
                <w:szCs w:val="20"/>
              </w:rPr>
              <w:t>microorganisms</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blood</w:t>
            </w:r>
            <w:r w:rsidR="00B405E1" w:rsidRPr="00F11A18">
              <w:rPr>
                <w:sz w:val="20"/>
                <w:szCs w:val="20"/>
              </w:rPr>
              <w:t xml:space="preserve"> </w:t>
            </w:r>
            <w:r w:rsidRPr="00F11A18">
              <w:rPr>
                <w:sz w:val="20"/>
                <w:szCs w:val="20"/>
              </w:rPr>
              <w:t>stream</w:t>
            </w:r>
            <w:r w:rsidR="00B405E1" w:rsidRPr="00F11A18">
              <w:rPr>
                <w:sz w:val="20"/>
                <w:szCs w:val="20"/>
              </w:rPr>
              <w:t xml:space="preserve"> </w:t>
            </w:r>
            <w:r w:rsidRPr="00F11A18">
              <w:rPr>
                <w:sz w:val="20"/>
                <w:szCs w:val="20"/>
              </w:rPr>
              <w:t>that</w:t>
            </w:r>
            <w:r w:rsidR="00B405E1" w:rsidRPr="00F11A18">
              <w:rPr>
                <w:sz w:val="20"/>
                <w:szCs w:val="20"/>
              </w:rPr>
              <w:t xml:space="preserve"> </w:t>
            </w:r>
            <w:r w:rsidRPr="00F11A18">
              <w:rPr>
                <w:sz w:val="20"/>
                <w:szCs w:val="20"/>
              </w:rPr>
              <w:t>cause</w:t>
            </w:r>
            <w:r w:rsidR="00B405E1" w:rsidRPr="00F11A18">
              <w:rPr>
                <w:sz w:val="20"/>
                <w:szCs w:val="20"/>
              </w:rPr>
              <w:t xml:space="preserve"> </w:t>
            </w:r>
            <w:r w:rsidRPr="00F11A18">
              <w:rPr>
                <w:sz w:val="20"/>
                <w:szCs w:val="20"/>
              </w:rPr>
              <w:t>a</w:t>
            </w:r>
            <w:r w:rsidR="00B405E1" w:rsidRPr="00F11A18">
              <w:rPr>
                <w:sz w:val="20"/>
                <w:szCs w:val="20"/>
              </w:rPr>
              <w:t xml:space="preserve"> </w:t>
            </w:r>
            <w:r w:rsidRPr="00F11A18">
              <w:rPr>
                <w:sz w:val="20"/>
                <w:szCs w:val="20"/>
              </w:rPr>
              <w:t>rapidly</w:t>
            </w:r>
            <w:r w:rsidR="00B405E1" w:rsidRPr="00F11A18">
              <w:rPr>
                <w:sz w:val="20"/>
                <w:szCs w:val="20"/>
              </w:rPr>
              <w:t xml:space="preserve"> </w:t>
            </w:r>
            <w:r w:rsidRPr="00F11A18">
              <w:rPr>
                <w:sz w:val="20"/>
                <w:szCs w:val="20"/>
              </w:rPr>
              <w:t>progressing</w:t>
            </w:r>
            <w:r w:rsidR="00B405E1" w:rsidRPr="00F11A18">
              <w:rPr>
                <w:sz w:val="20"/>
                <w:szCs w:val="20"/>
              </w:rPr>
              <w:t xml:space="preserve"> </w:t>
            </w:r>
            <w:r w:rsidRPr="00F11A18">
              <w:rPr>
                <w:sz w:val="20"/>
                <w:szCs w:val="20"/>
              </w:rPr>
              <w:t>systemic</w:t>
            </w:r>
            <w:r w:rsidR="00B405E1" w:rsidRPr="00F11A18">
              <w:rPr>
                <w:sz w:val="20"/>
                <w:szCs w:val="20"/>
              </w:rPr>
              <w:t xml:space="preserve"> </w:t>
            </w:r>
            <w:r w:rsidRPr="00F11A18">
              <w:rPr>
                <w:sz w:val="20"/>
                <w:szCs w:val="20"/>
              </w:rPr>
              <w:t>reaction</w:t>
            </w:r>
            <w:r w:rsidR="00B405E1" w:rsidRPr="00F11A18">
              <w:rPr>
                <w:sz w:val="20"/>
                <w:szCs w:val="20"/>
              </w:rPr>
              <w:t xml:space="preserve"> </w:t>
            </w:r>
            <w:r w:rsidRPr="00F11A18">
              <w:rPr>
                <w:sz w:val="20"/>
                <w:szCs w:val="20"/>
              </w:rPr>
              <w:t>that</w:t>
            </w:r>
            <w:r w:rsidR="00B405E1" w:rsidRPr="00F11A18">
              <w:rPr>
                <w:sz w:val="20"/>
                <w:szCs w:val="20"/>
              </w:rPr>
              <w:t xml:space="preserve"> </w:t>
            </w:r>
            <w:r w:rsidRPr="00F11A18">
              <w:rPr>
                <w:sz w:val="20"/>
                <w:szCs w:val="20"/>
              </w:rPr>
              <w:t>may</w:t>
            </w:r>
            <w:r w:rsidR="00B405E1" w:rsidRPr="00F11A18">
              <w:rPr>
                <w:sz w:val="20"/>
                <w:szCs w:val="20"/>
              </w:rPr>
              <w:t xml:space="preserve"> </w:t>
            </w:r>
            <w:r w:rsidRPr="00F11A18">
              <w:rPr>
                <w:sz w:val="20"/>
                <w:szCs w:val="20"/>
              </w:rPr>
              <w:t>lead</w:t>
            </w:r>
            <w:r w:rsidR="00B405E1" w:rsidRPr="00F11A18">
              <w:rPr>
                <w:sz w:val="20"/>
                <w:szCs w:val="20"/>
              </w:rPr>
              <w:t xml:space="preserve"> </w:t>
            </w:r>
            <w:r w:rsidRPr="00F11A18">
              <w:rPr>
                <w:sz w:val="20"/>
                <w:szCs w:val="20"/>
              </w:rPr>
              <w:t>to</w:t>
            </w:r>
            <w:r w:rsidR="00F11A18">
              <w:rPr>
                <w:rFonts w:eastAsiaTheme="minorEastAsia" w:hint="eastAsia"/>
                <w:sz w:val="20"/>
                <w:szCs w:val="20"/>
                <w:lang w:eastAsia="zh-CN"/>
              </w:rPr>
              <w:t xml:space="preserve"> </w:t>
            </w:r>
            <w:r w:rsidRPr="00F11A18">
              <w:rPr>
                <w:sz w:val="20"/>
                <w:szCs w:val="20"/>
              </w:rPr>
              <w:t>shock</w:t>
            </w:r>
          </w:p>
        </w:tc>
      </w:tr>
      <w:tr w:rsidR="000B2401" w:rsidRPr="00F11A18" w:rsidTr="00B40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9" w:type="pct"/>
            <w:tcBorders>
              <w:left w:val="single" w:sz="4" w:space="0" w:color="000000"/>
              <w:bottom w:val="single" w:sz="4" w:space="0" w:color="000000"/>
            </w:tcBorders>
            <w:vAlign w:val="center"/>
          </w:tcPr>
          <w:p w:rsidR="000B2401" w:rsidRPr="00F11A18" w:rsidRDefault="00C41A33" w:rsidP="00B41B23">
            <w:pPr>
              <w:pStyle w:val="TableParagraph"/>
              <w:snapToGrid w:val="0"/>
              <w:ind w:left="0"/>
              <w:jc w:val="both"/>
              <w:rPr>
                <w:b/>
                <w:sz w:val="20"/>
                <w:szCs w:val="20"/>
              </w:rPr>
            </w:pPr>
            <w:r w:rsidRPr="00F11A18">
              <w:rPr>
                <w:b/>
                <w:sz w:val="20"/>
                <w:szCs w:val="20"/>
              </w:rPr>
              <w:t>Left</w:t>
            </w:r>
            <w:r w:rsidR="00B405E1" w:rsidRPr="00F11A18">
              <w:rPr>
                <w:b/>
                <w:sz w:val="20"/>
                <w:szCs w:val="20"/>
              </w:rPr>
              <w:t xml:space="preserve"> </w:t>
            </w:r>
            <w:r w:rsidRPr="00F11A18">
              <w:rPr>
                <w:b/>
                <w:sz w:val="20"/>
                <w:szCs w:val="20"/>
              </w:rPr>
              <w:t>ventricular</w:t>
            </w:r>
            <w:r w:rsidR="00F11A18">
              <w:rPr>
                <w:rFonts w:eastAsiaTheme="minorEastAsia" w:hint="eastAsia"/>
                <w:b/>
                <w:sz w:val="20"/>
                <w:szCs w:val="20"/>
                <w:lang w:eastAsia="zh-CN"/>
              </w:rPr>
              <w:t xml:space="preserve"> </w:t>
            </w:r>
            <w:r w:rsidRPr="00F11A18">
              <w:rPr>
                <w:b/>
                <w:sz w:val="20"/>
                <w:szCs w:val="20"/>
              </w:rPr>
              <w:t>systolic</w:t>
            </w:r>
            <w:r w:rsidR="00F11A18">
              <w:rPr>
                <w:rFonts w:eastAsiaTheme="minorEastAsia" w:hint="eastAsia"/>
                <w:b/>
                <w:sz w:val="20"/>
                <w:szCs w:val="20"/>
                <w:lang w:eastAsia="zh-CN"/>
              </w:rPr>
              <w:t xml:space="preserve"> </w:t>
            </w:r>
            <w:r w:rsidRPr="00F11A18">
              <w:rPr>
                <w:b/>
                <w:sz w:val="20"/>
                <w:szCs w:val="20"/>
              </w:rPr>
              <w:t>dysfunction</w:t>
            </w:r>
          </w:p>
        </w:tc>
        <w:tc>
          <w:tcPr>
            <w:tcW w:w="3491" w:type="pct"/>
            <w:tcBorders>
              <w:bottom w:val="single" w:sz="4" w:space="0" w:color="000000"/>
              <w:right w:val="single" w:sz="4" w:space="0" w:color="000000"/>
            </w:tcBorders>
            <w:vAlign w:val="center"/>
          </w:tcPr>
          <w:p w:rsidR="000B2401" w:rsidRPr="00F11A18" w:rsidRDefault="00C41A33" w:rsidP="00B41B23">
            <w:pPr>
              <w:pStyle w:val="TableParagraph"/>
              <w:snapToGrid w:val="0"/>
              <w:ind w:left="0"/>
              <w:jc w:val="both"/>
              <w:rPr>
                <w:sz w:val="20"/>
                <w:szCs w:val="20"/>
              </w:rPr>
            </w:pPr>
            <w:r w:rsidRPr="00F11A18">
              <w:rPr>
                <w:sz w:val="20"/>
                <w:szCs w:val="20"/>
              </w:rPr>
              <w:t>A</w:t>
            </w:r>
            <w:r w:rsidR="00B405E1" w:rsidRPr="00F11A18">
              <w:rPr>
                <w:sz w:val="20"/>
                <w:szCs w:val="20"/>
              </w:rPr>
              <w:t xml:space="preserve"> </w:t>
            </w:r>
            <w:r w:rsidRPr="00F11A18">
              <w:rPr>
                <w:sz w:val="20"/>
                <w:szCs w:val="20"/>
              </w:rPr>
              <w:t>disorder</w:t>
            </w:r>
            <w:r w:rsidR="00B405E1" w:rsidRPr="00F11A18">
              <w:rPr>
                <w:sz w:val="20"/>
                <w:szCs w:val="20"/>
              </w:rPr>
              <w:t xml:space="preserve"> </w:t>
            </w:r>
            <w:r w:rsidRPr="00F11A18">
              <w:rPr>
                <w:sz w:val="20"/>
                <w:szCs w:val="20"/>
              </w:rPr>
              <w:t>characterized</w:t>
            </w:r>
            <w:r w:rsidR="00B405E1" w:rsidRPr="00F11A18">
              <w:rPr>
                <w:sz w:val="20"/>
                <w:szCs w:val="20"/>
              </w:rPr>
              <w:t xml:space="preserve"> </w:t>
            </w:r>
            <w:r w:rsidRPr="00F11A18">
              <w:rPr>
                <w:sz w:val="20"/>
                <w:szCs w:val="20"/>
              </w:rPr>
              <w:t>by</w:t>
            </w:r>
            <w:r w:rsidR="00B405E1" w:rsidRPr="00F11A18">
              <w:rPr>
                <w:sz w:val="20"/>
                <w:szCs w:val="20"/>
              </w:rPr>
              <w:t xml:space="preserve"> </w:t>
            </w:r>
            <w:r w:rsidRPr="00F11A18">
              <w:rPr>
                <w:sz w:val="20"/>
                <w:szCs w:val="20"/>
              </w:rPr>
              <w:t>failure</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the</w:t>
            </w:r>
            <w:r w:rsidR="00B405E1" w:rsidRPr="00F11A18">
              <w:rPr>
                <w:sz w:val="20"/>
                <w:szCs w:val="20"/>
              </w:rPr>
              <w:t xml:space="preserve"> </w:t>
            </w:r>
            <w:r w:rsidRPr="00F11A18">
              <w:rPr>
                <w:sz w:val="20"/>
                <w:szCs w:val="20"/>
              </w:rPr>
              <w:t>left</w:t>
            </w:r>
            <w:r w:rsidR="00B405E1" w:rsidRPr="00F11A18">
              <w:rPr>
                <w:sz w:val="20"/>
                <w:szCs w:val="20"/>
              </w:rPr>
              <w:t xml:space="preserve"> </w:t>
            </w:r>
            <w:r w:rsidRPr="00F11A18">
              <w:rPr>
                <w:sz w:val="20"/>
                <w:szCs w:val="20"/>
              </w:rPr>
              <w:t>ventricle</w:t>
            </w:r>
            <w:r w:rsidR="00B405E1" w:rsidRPr="00F11A18">
              <w:rPr>
                <w:sz w:val="20"/>
                <w:szCs w:val="20"/>
              </w:rPr>
              <w:t xml:space="preserve"> </w:t>
            </w:r>
            <w:r w:rsidRPr="00F11A18">
              <w:rPr>
                <w:sz w:val="20"/>
                <w:szCs w:val="20"/>
              </w:rPr>
              <w:t>to</w:t>
            </w:r>
            <w:r w:rsidR="00B405E1" w:rsidRPr="00F11A18">
              <w:rPr>
                <w:sz w:val="20"/>
                <w:szCs w:val="20"/>
              </w:rPr>
              <w:t xml:space="preserve"> </w:t>
            </w:r>
            <w:r w:rsidRPr="00F11A18">
              <w:rPr>
                <w:sz w:val="20"/>
                <w:szCs w:val="20"/>
              </w:rPr>
              <w:t>produce</w:t>
            </w:r>
            <w:r w:rsidR="00B405E1" w:rsidRPr="00F11A18">
              <w:rPr>
                <w:sz w:val="20"/>
                <w:szCs w:val="20"/>
              </w:rPr>
              <w:t xml:space="preserve"> </w:t>
            </w:r>
            <w:r w:rsidRPr="00F11A18">
              <w:rPr>
                <w:sz w:val="20"/>
                <w:szCs w:val="20"/>
              </w:rPr>
              <w:t>adequate</w:t>
            </w:r>
            <w:r w:rsidR="00B405E1" w:rsidRPr="00F11A18">
              <w:rPr>
                <w:sz w:val="20"/>
                <w:szCs w:val="20"/>
              </w:rPr>
              <w:t xml:space="preserve"> </w:t>
            </w:r>
            <w:r w:rsidRPr="00F11A18">
              <w:rPr>
                <w:sz w:val="20"/>
                <w:szCs w:val="20"/>
              </w:rPr>
              <w:t>output</w:t>
            </w:r>
            <w:r w:rsidR="00B405E1" w:rsidRPr="00F11A18">
              <w:rPr>
                <w:sz w:val="20"/>
                <w:szCs w:val="20"/>
              </w:rPr>
              <w:t xml:space="preserve"> </w:t>
            </w:r>
            <w:r w:rsidRPr="00F11A18">
              <w:rPr>
                <w:sz w:val="20"/>
                <w:szCs w:val="20"/>
              </w:rPr>
              <w:t>despite</w:t>
            </w:r>
            <w:r w:rsidR="00B405E1" w:rsidRPr="00F11A18">
              <w:rPr>
                <w:sz w:val="20"/>
                <w:szCs w:val="20"/>
              </w:rPr>
              <w:t xml:space="preserve"> </w:t>
            </w:r>
            <w:r w:rsidRPr="00F11A18">
              <w:rPr>
                <w:sz w:val="20"/>
                <w:szCs w:val="20"/>
              </w:rPr>
              <w:t>an</w:t>
            </w:r>
            <w:r w:rsidR="00B405E1" w:rsidRPr="00F11A18">
              <w:rPr>
                <w:sz w:val="20"/>
                <w:szCs w:val="20"/>
              </w:rPr>
              <w:t xml:space="preserve"> </w:t>
            </w:r>
            <w:r w:rsidRPr="00F11A18">
              <w:rPr>
                <w:sz w:val="20"/>
                <w:szCs w:val="20"/>
              </w:rPr>
              <w:t>increase</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distending</w:t>
            </w:r>
            <w:r w:rsidR="00B405E1" w:rsidRPr="00F11A18">
              <w:rPr>
                <w:sz w:val="20"/>
                <w:szCs w:val="20"/>
              </w:rPr>
              <w:t xml:space="preserve"> </w:t>
            </w:r>
            <w:r w:rsidRPr="00F11A18">
              <w:rPr>
                <w:sz w:val="20"/>
                <w:szCs w:val="20"/>
              </w:rPr>
              <w:t>pressure</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end-</w:t>
            </w:r>
            <w:r w:rsidR="00B405E1" w:rsidRPr="00F11A18">
              <w:rPr>
                <w:sz w:val="20"/>
                <w:szCs w:val="20"/>
              </w:rPr>
              <w:t xml:space="preserve"> </w:t>
            </w:r>
            <w:r w:rsidRPr="00F11A18">
              <w:rPr>
                <w:sz w:val="20"/>
                <w:szCs w:val="20"/>
              </w:rPr>
              <w:t>diastolic</w:t>
            </w:r>
            <w:r w:rsidR="00B405E1" w:rsidRPr="00F11A18">
              <w:rPr>
                <w:sz w:val="20"/>
                <w:szCs w:val="20"/>
              </w:rPr>
              <w:t xml:space="preserve"> </w:t>
            </w:r>
            <w:r w:rsidRPr="00F11A18">
              <w:rPr>
                <w:sz w:val="20"/>
                <w:szCs w:val="20"/>
              </w:rPr>
              <w:t>volume.</w:t>
            </w:r>
            <w:r w:rsidR="00B405E1" w:rsidRPr="00F11A18">
              <w:rPr>
                <w:sz w:val="20"/>
                <w:szCs w:val="20"/>
              </w:rPr>
              <w:t xml:space="preserve"> </w:t>
            </w:r>
            <w:r w:rsidRPr="00F11A18">
              <w:rPr>
                <w:sz w:val="20"/>
                <w:szCs w:val="20"/>
              </w:rPr>
              <w:t>Clinical</w:t>
            </w:r>
            <w:r w:rsidR="00B405E1" w:rsidRPr="00F11A18">
              <w:rPr>
                <w:sz w:val="20"/>
                <w:szCs w:val="20"/>
              </w:rPr>
              <w:t xml:space="preserve"> </w:t>
            </w:r>
            <w:r w:rsidRPr="00F11A18">
              <w:rPr>
                <w:sz w:val="20"/>
                <w:szCs w:val="20"/>
              </w:rPr>
              <w:t>manifestations</w:t>
            </w:r>
            <w:r w:rsidR="00B405E1" w:rsidRPr="00F11A18">
              <w:rPr>
                <w:sz w:val="20"/>
                <w:szCs w:val="20"/>
              </w:rPr>
              <w:t xml:space="preserve"> </w:t>
            </w:r>
            <w:r w:rsidRPr="00F11A18">
              <w:rPr>
                <w:sz w:val="20"/>
                <w:szCs w:val="20"/>
              </w:rPr>
              <w:t>may</w:t>
            </w:r>
            <w:r w:rsidR="00B405E1" w:rsidRPr="00F11A18">
              <w:rPr>
                <w:sz w:val="20"/>
                <w:szCs w:val="20"/>
              </w:rPr>
              <w:t xml:space="preserve"> </w:t>
            </w:r>
            <w:r w:rsidRPr="00F11A18">
              <w:rPr>
                <w:sz w:val="20"/>
                <w:szCs w:val="20"/>
              </w:rPr>
              <w:t>include</w:t>
            </w:r>
            <w:r w:rsidR="00B405E1" w:rsidRPr="00F11A18">
              <w:rPr>
                <w:sz w:val="20"/>
                <w:szCs w:val="20"/>
              </w:rPr>
              <w:t xml:space="preserve"> </w:t>
            </w:r>
            <w:r w:rsidRPr="00F11A18">
              <w:rPr>
                <w:sz w:val="20"/>
                <w:szCs w:val="20"/>
              </w:rPr>
              <w:t>dyspnea,</w:t>
            </w:r>
            <w:r w:rsidR="00B405E1" w:rsidRPr="00F11A18">
              <w:rPr>
                <w:sz w:val="20"/>
                <w:szCs w:val="20"/>
              </w:rPr>
              <w:t xml:space="preserve"> </w:t>
            </w:r>
            <w:r w:rsidRPr="00F11A18">
              <w:rPr>
                <w:sz w:val="20"/>
                <w:szCs w:val="20"/>
              </w:rPr>
              <w:t>orthopnea,</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other</w:t>
            </w:r>
            <w:r w:rsidR="00B405E1" w:rsidRPr="00F11A18">
              <w:rPr>
                <w:sz w:val="20"/>
                <w:szCs w:val="20"/>
              </w:rPr>
              <w:t xml:space="preserve"> </w:t>
            </w:r>
            <w:r w:rsidRPr="00F11A18">
              <w:rPr>
                <w:sz w:val="20"/>
                <w:szCs w:val="20"/>
              </w:rPr>
              <w:t>signs</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symptoms</w:t>
            </w:r>
            <w:r w:rsidR="00B405E1" w:rsidRPr="00F11A18">
              <w:rPr>
                <w:sz w:val="20"/>
                <w:szCs w:val="20"/>
              </w:rPr>
              <w:t xml:space="preserve"> </w:t>
            </w:r>
            <w:r w:rsidRPr="00F11A18">
              <w:rPr>
                <w:sz w:val="20"/>
                <w:szCs w:val="20"/>
              </w:rPr>
              <w:t>of</w:t>
            </w:r>
            <w:r w:rsidR="00B405E1" w:rsidRPr="00F11A18">
              <w:rPr>
                <w:sz w:val="20"/>
                <w:szCs w:val="20"/>
              </w:rPr>
              <w:t xml:space="preserve"> </w:t>
            </w:r>
            <w:r w:rsidRPr="00F11A18">
              <w:rPr>
                <w:sz w:val="20"/>
                <w:szCs w:val="20"/>
              </w:rPr>
              <w:t>pulmonary</w:t>
            </w:r>
            <w:r w:rsidR="00B405E1" w:rsidRPr="00F11A18">
              <w:rPr>
                <w:sz w:val="20"/>
                <w:szCs w:val="20"/>
              </w:rPr>
              <w:t xml:space="preserve"> </w:t>
            </w:r>
            <w:r w:rsidRPr="00F11A18">
              <w:rPr>
                <w:sz w:val="20"/>
                <w:szCs w:val="20"/>
              </w:rPr>
              <w:t>congestion</w:t>
            </w:r>
            <w:r w:rsidR="00B405E1" w:rsidRPr="00F11A18">
              <w:rPr>
                <w:sz w:val="20"/>
                <w:szCs w:val="20"/>
              </w:rPr>
              <w:t xml:space="preserve"> </w:t>
            </w:r>
            <w:r w:rsidRPr="00F11A18">
              <w:rPr>
                <w:sz w:val="20"/>
                <w:szCs w:val="20"/>
              </w:rPr>
              <w:t>and</w:t>
            </w:r>
            <w:r w:rsidR="00B405E1" w:rsidRPr="00F11A18">
              <w:rPr>
                <w:sz w:val="20"/>
                <w:szCs w:val="20"/>
              </w:rPr>
              <w:t xml:space="preserve"> </w:t>
            </w:r>
            <w:r w:rsidRPr="00F11A18">
              <w:rPr>
                <w:sz w:val="20"/>
                <w:szCs w:val="20"/>
              </w:rPr>
              <w:t>edema;</w:t>
            </w:r>
          </w:p>
          <w:p w:rsidR="000B2401" w:rsidRPr="00F11A18" w:rsidRDefault="00C41A33" w:rsidP="00B41B23">
            <w:pPr>
              <w:pStyle w:val="TableParagraph"/>
              <w:numPr>
                <w:ilvl w:val="0"/>
                <w:numId w:val="1"/>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3</w:t>
            </w:r>
            <w:r w:rsidRPr="00F11A18">
              <w:rPr>
                <w:sz w:val="20"/>
                <w:szCs w:val="20"/>
              </w:rPr>
              <w:t>:</w:t>
            </w:r>
            <w:r w:rsidR="00B405E1" w:rsidRPr="00F11A18">
              <w:rPr>
                <w:sz w:val="20"/>
                <w:szCs w:val="20"/>
              </w:rPr>
              <w:t xml:space="preserve"> </w:t>
            </w:r>
            <w:r w:rsidRPr="00F11A18">
              <w:rPr>
                <w:sz w:val="20"/>
                <w:szCs w:val="20"/>
              </w:rPr>
              <w:t>Symptomatic</w:t>
            </w:r>
            <w:r w:rsidR="00B405E1" w:rsidRPr="00F11A18">
              <w:rPr>
                <w:sz w:val="20"/>
                <w:szCs w:val="20"/>
              </w:rPr>
              <w:t xml:space="preserve"> </w:t>
            </w:r>
            <w:r w:rsidRPr="00F11A18">
              <w:rPr>
                <w:sz w:val="20"/>
                <w:szCs w:val="20"/>
              </w:rPr>
              <w:t>due</w:t>
            </w:r>
            <w:r w:rsidR="00B405E1" w:rsidRPr="00F11A18">
              <w:rPr>
                <w:sz w:val="20"/>
                <w:szCs w:val="20"/>
              </w:rPr>
              <w:t xml:space="preserve"> </w:t>
            </w:r>
            <w:r w:rsidRPr="00F11A18">
              <w:rPr>
                <w:sz w:val="20"/>
                <w:szCs w:val="20"/>
              </w:rPr>
              <w:t>to</w:t>
            </w:r>
            <w:r w:rsidR="00B405E1" w:rsidRPr="00F11A18">
              <w:rPr>
                <w:sz w:val="20"/>
                <w:szCs w:val="20"/>
              </w:rPr>
              <w:t xml:space="preserve"> </w:t>
            </w:r>
            <w:r w:rsidRPr="00F11A18">
              <w:rPr>
                <w:sz w:val="20"/>
                <w:szCs w:val="20"/>
              </w:rPr>
              <w:t>drop</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ejection</w:t>
            </w:r>
            <w:r w:rsidR="00B405E1" w:rsidRPr="00F11A18">
              <w:rPr>
                <w:sz w:val="20"/>
                <w:szCs w:val="20"/>
              </w:rPr>
              <w:t xml:space="preserve"> </w:t>
            </w:r>
            <w:r w:rsidRPr="00F11A18">
              <w:rPr>
                <w:sz w:val="20"/>
                <w:szCs w:val="20"/>
              </w:rPr>
              <w:t>fraction</w:t>
            </w:r>
            <w:r w:rsidR="00B405E1" w:rsidRPr="00F11A18">
              <w:rPr>
                <w:sz w:val="20"/>
                <w:szCs w:val="20"/>
              </w:rPr>
              <w:t xml:space="preserve"> </w:t>
            </w:r>
            <w:r w:rsidRPr="00F11A18">
              <w:rPr>
                <w:sz w:val="20"/>
                <w:szCs w:val="20"/>
              </w:rPr>
              <w:t>responsive</w:t>
            </w:r>
            <w:r w:rsidR="00B405E1" w:rsidRPr="00F11A18">
              <w:rPr>
                <w:sz w:val="20"/>
                <w:szCs w:val="20"/>
              </w:rPr>
              <w:t xml:space="preserve"> </w:t>
            </w:r>
            <w:r w:rsidRPr="00F11A18">
              <w:rPr>
                <w:sz w:val="20"/>
                <w:szCs w:val="20"/>
              </w:rPr>
              <w:t>to</w:t>
            </w:r>
            <w:r w:rsidR="00F11A18">
              <w:rPr>
                <w:rFonts w:eastAsiaTheme="minorEastAsia" w:hint="eastAsia"/>
                <w:sz w:val="20"/>
                <w:szCs w:val="20"/>
                <w:lang w:eastAsia="zh-CN"/>
              </w:rPr>
              <w:t xml:space="preserve"> </w:t>
            </w:r>
            <w:r w:rsidRPr="00F11A18">
              <w:rPr>
                <w:sz w:val="20"/>
                <w:szCs w:val="20"/>
              </w:rPr>
              <w:t>intervention</w:t>
            </w:r>
          </w:p>
          <w:p w:rsidR="000B2401" w:rsidRPr="00F11A18" w:rsidRDefault="00C41A33" w:rsidP="00B41B23">
            <w:pPr>
              <w:pStyle w:val="TableParagraph"/>
              <w:numPr>
                <w:ilvl w:val="0"/>
                <w:numId w:val="1"/>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4</w:t>
            </w:r>
            <w:r w:rsidRPr="00F11A18">
              <w:rPr>
                <w:sz w:val="20"/>
                <w:szCs w:val="20"/>
              </w:rPr>
              <w:t>:</w:t>
            </w:r>
            <w:r w:rsidR="00B405E1" w:rsidRPr="00F11A18">
              <w:rPr>
                <w:sz w:val="20"/>
                <w:szCs w:val="20"/>
              </w:rPr>
              <w:t xml:space="preserve"> </w:t>
            </w:r>
            <w:r w:rsidRPr="00F11A18">
              <w:rPr>
                <w:sz w:val="20"/>
                <w:szCs w:val="20"/>
              </w:rPr>
              <w:t>Refractory</w:t>
            </w:r>
            <w:r w:rsidR="00B405E1" w:rsidRPr="00F11A18">
              <w:rPr>
                <w:sz w:val="20"/>
                <w:szCs w:val="20"/>
              </w:rPr>
              <w:t xml:space="preserve"> </w:t>
            </w:r>
            <w:r w:rsidRPr="00F11A18">
              <w:rPr>
                <w:sz w:val="20"/>
                <w:szCs w:val="20"/>
              </w:rPr>
              <w:t>or</w:t>
            </w:r>
            <w:r w:rsidR="00B405E1" w:rsidRPr="00F11A18">
              <w:rPr>
                <w:sz w:val="20"/>
                <w:szCs w:val="20"/>
              </w:rPr>
              <w:t xml:space="preserve"> </w:t>
            </w:r>
            <w:r w:rsidRPr="00F11A18">
              <w:rPr>
                <w:sz w:val="20"/>
                <w:szCs w:val="20"/>
              </w:rPr>
              <w:t>poorly</w:t>
            </w:r>
            <w:r w:rsidR="00B405E1" w:rsidRPr="00F11A18">
              <w:rPr>
                <w:sz w:val="20"/>
                <w:szCs w:val="20"/>
              </w:rPr>
              <w:t xml:space="preserve"> </w:t>
            </w:r>
            <w:r w:rsidRPr="00F11A18">
              <w:rPr>
                <w:sz w:val="20"/>
                <w:szCs w:val="20"/>
              </w:rPr>
              <w:t>controlled</w:t>
            </w:r>
            <w:r w:rsidR="00B405E1" w:rsidRPr="00F11A18">
              <w:rPr>
                <w:sz w:val="20"/>
                <w:szCs w:val="20"/>
              </w:rPr>
              <w:t xml:space="preserve"> </w:t>
            </w:r>
            <w:r w:rsidRPr="00F11A18">
              <w:rPr>
                <w:sz w:val="20"/>
                <w:szCs w:val="20"/>
              </w:rPr>
              <w:t>heart</w:t>
            </w:r>
            <w:r w:rsidR="00B405E1" w:rsidRPr="00F11A18">
              <w:rPr>
                <w:sz w:val="20"/>
                <w:szCs w:val="20"/>
              </w:rPr>
              <w:t xml:space="preserve"> </w:t>
            </w:r>
            <w:r w:rsidRPr="00F11A18">
              <w:rPr>
                <w:sz w:val="20"/>
                <w:szCs w:val="20"/>
              </w:rPr>
              <w:t>failure</w:t>
            </w:r>
            <w:r w:rsidR="00B405E1" w:rsidRPr="00F11A18">
              <w:rPr>
                <w:sz w:val="20"/>
                <w:szCs w:val="20"/>
              </w:rPr>
              <w:t xml:space="preserve"> </w:t>
            </w:r>
            <w:r w:rsidRPr="00F11A18">
              <w:rPr>
                <w:sz w:val="20"/>
                <w:szCs w:val="20"/>
              </w:rPr>
              <w:t>due</w:t>
            </w:r>
            <w:r w:rsidR="00B405E1" w:rsidRPr="00F11A18">
              <w:rPr>
                <w:sz w:val="20"/>
                <w:szCs w:val="20"/>
              </w:rPr>
              <w:t xml:space="preserve"> </w:t>
            </w:r>
            <w:r w:rsidRPr="00F11A18">
              <w:rPr>
                <w:sz w:val="20"/>
                <w:szCs w:val="20"/>
              </w:rPr>
              <w:t>to</w:t>
            </w:r>
            <w:r w:rsidR="00B405E1" w:rsidRPr="00F11A18">
              <w:rPr>
                <w:sz w:val="20"/>
                <w:szCs w:val="20"/>
              </w:rPr>
              <w:t xml:space="preserve"> </w:t>
            </w:r>
            <w:r w:rsidRPr="00F11A18">
              <w:rPr>
                <w:sz w:val="20"/>
                <w:szCs w:val="20"/>
              </w:rPr>
              <w:t>drop</w:t>
            </w:r>
            <w:r w:rsidR="00B405E1" w:rsidRPr="00F11A18">
              <w:rPr>
                <w:sz w:val="20"/>
                <w:szCs w:val="20"/>
              </w:rPr>
              <w:t xml:space="preserve"> </w:t>
            </w:r>
            <w:r w:rsidRPr="00F11A18">
              <w:rPr>
                <w:sz w:val="20"/>
                <w:szCs w:val="20"/>
              </w:rPr>
              <w:t>in</w:t>
            </w:r>
            <w:r w:rsidR="00B405E1" w:rsidRPr="00F11A18">
              <w:rPr>
                <w:sz w:val="20"/>
                <w:szCs w:val="20"/>
              </w:rPr>
              <w:t xml:space="preserve"> </w:t>
            </w:r>
            <w:r w:rsidRPr="00F11A18">
              <w:rPr>
                <w:sz w:val="20"/>
                <w:szCs w:val="20"/>
              </w:rPr>
              <w:t>ejection</w:t>
            </w:r>
            <w:r w:rsidR="00B405E1" w:rsidRPr="00F11A18">
              <w:rPr>
                <w:sz w:val="20"/>
                <w:szCs w:val="20"/>
              </w:rPr>
              <w:t xml:space="preserve"> </w:t>
            </w:r>
            <w:r w:rsidRPr="00F11A18">
              <w:rPr>
                <w:sz w:val="20"/>
                <w:szCs w:val="20"/>
              </w:rPr>
              <w:t>fraction;</w:t>
            </w:r>
            <w:r w:rsidR="00B405E1" w:rsidRPr="00F11A18">
              <w:rPr>
                <w:sz w:val="20"/>
                <w:szCs w:val="20"/>
              </w:rPr>
              <w:t xml:space="preserve"> </w:t>
            </w:r>
            <w:r w:rsidRPr="00F11A18">
              <w:rPr>
                <w:sz w:val="20"/>
                <w:szCs w:val="20"/>
              </w:rPr>
              <w:t>intervention</w:t>
            </w:r>
            <w:r w:rsidR="00B405E1" w:rsidRPr="00F11A18">
              <w:rPr>
                <w:sz w:val="20"/>
                <w:szCs w:val="20"/>
              </w:rPr>
              <w:t xml:space="preserve"> </w:t>
            </w:r>
            <w:r w:rsidRPr="00F11A18">
              <w:rPr>
                <w:sz w:val="20"/>
                <w:szCs w:val="20"/>
              </w:rPr>
              <w:t>such</w:t>
            </w:r>
            <w:r w:rsidR="00B405E1" w:rsidRPr="00F11A18">
              <w:rPr>
                <w:sz w:val="20"/>
                <w:szCs w:val="20"/>
              </w:rPr>
              <w:t xml:space="preserve"> </w:t>
            </w:r>
            <w:r w:rsidRPr="00F11A18">
              <w:rPr>
                <w:sz w:val="20"/>
                <w:szCs w:val="20"/>
              </w:rPr>
              <w:t>as</w:t>
            </w:r>
            <w:r w:rsidR="00B405E1" w:rsidRPr="00F11A18">
              <w:rPr>
                <w:sz w:val="20"/>
                <w:szCs w:val="20"/>
              </w:rPr>
              <w:t xml:space="preserve"> </w:t>
            </w:r>
            <w:r w:rsidRPr="00F11A18">
              <w:rPr>
                <w:sz w:val="20"/>
                <w:szCs w:val="20"/>
              </w:rPr>
              <w:t>ventricular</w:t>
            </w:r>
            <w:r w:rsidR="00B405E1" w:rsidRPr="00F11A18">
              <w:rPr>
                <w:sz w:val="20"/>
                <w:szCs w:val="20"/>
              </w:rPr>
              <w:t xml:space="preserve"> </w:t>
            </w:r>
            <w:r w:rsidRPr="00F11A18">
              <w:rPr>
                <w:sz w:val="20"/>
                <w:szCs w:val="20"/>
              </w:rPr>
              <w:t>assist</w:t>
            </w:r>
            <w:r w:rsidR="00B405E1" w:rsidRPr="00F11A18">
              <w:rPr>
                <w:sz w:val="20"/>
                <w:szCs w:val="20"/>
              </w:rPr>
              <w:t xml:space="preserve"> </w:t>
            </w:r>
            <w:r w:rsidRPr="00F11A18">
              <w:rPr>
                <w:sz w:val="20"/>
                <w:szCs w:val="20"/>
              </w:rPr>
              <w:t>device,</w:t>
            </w:r>
            <w:r w:rsidR="00B405E1" w:rsidRPr="00F11A18">
              <w:rPr>
                <w:sz w:val="20"/>
                <w:szCs w:val="20"/>
              </w:rPr>
              <w:t xml:space="preserve"> </w:t>
            </w:r>
            <w:r w:rsidRPr="00F11A18">
              <w:rPr>
                <w:sz w:val="20"/>
                <w:szCs w:val="20"/>
              </w:rPr>
              <w:t>intravenous</w:t>
            </w:r>
            <w:r w:rsidR="00B405E1" w:rsidRPr="00F11A18">
              <w:rPr>
                <w:sz w:val="20"/>
                <w:szCs w:val="20"/>
              </w:rPr>
              <w:t xml:space="preserve"> </w:t>
            </w:r>
            <w:r w:rsidRPr="00F11A18">
              <w:rPr>
                <w:sz w:val="20"/>
                <w:szCs w:val="20"/>
              </w:rPr>
              <w:t>vasopressor</w:t>
            </w:r>
            <w:r w:rsidR="00B405E1" w:rsidRPr="00F11A18">
              <w:rPr>
                <w:sz w:val="20"/>
                <w:szCs w:val="20"/>
              </w:rPr>
              <w:t xml:space="preserve"> </w:t>
            </w:r>
            <w:r w:rsidRPr="00F11A18">
              <w:rPr>
                <w:sz w:val="20"/>
                <w:szCs w:val="20"/>
              </w:rPr>
              <w:t>support,</w:t>
            </w:r>
            <w:r w:rsidR="00B405E1" w:rsidRPr="00F11A18">
              <w:rPr>
                <w:sz w:val="20"/>
                <w:szCs w:val="20"/>
              </w:rPr>
              <w:t xml:space="preserve"> </w:t>
            </w:r>
            <w:r w:rsidRPr="00F11A18">
              <w:rPr>
                <w:sz w:val="20"/>
                <w:szCs w:val="20"/>
              </w:rPr>
              <w:t>or</w:t>
            </w:r>
            <w:r w:rsidR="00B405E1" w:rsidRPr="00F11A18">
              <w:rPr>
                <w:sz w:val="20"/>
                <w:szCs w:val="20"/>
              </w:rPr>
              <w:t xml:space="preserve"> </w:t>
            </w:r>
            <w:r w:rsidRPr="00F11A18">
              <w:rPr>
                <w:sz w:val="20"/>
                <w:szCs w:val="20"/>
              </w:rPr>
              <w:t>heart</w:t>
            </w:r>
            <w:r w:rsidR="00B405E1" w:rsidRPr="00F11A18">
              <w:rPr>
                <w:sz w:val="20"/>
                <w:szCs w:val="20"/>
              </w:rPr>
              <w:t xml:space="preserve"> </w:t>
            </w:r>
            <w:r w:rsidR="00F11A18" w:rsidRPr="00F11A18">
              <w:rPr>
                <w:sz w:val="20"/>
                <w:szCs w:val="20"/>
              </w:rPr>
              <w:t>transplant indicated</w:t>
            </w:r>
          </w:p>
          <w:p w:rsidR="000B2401" w:rsidRPr="00F11A18" w:rsidRDefault="00C41A33" w:rsidP="00B41B23">
            <w:pPr>
              <w:pStyle w:val="TableParagraph"/>
              <w:numPr>
                <w:ilvl w:val="0"/>
                <w:numId w:val="1"/>
              </w:numPr>
              <w:snapToGrid w:val="0"/>
              <w:ind w:left="0" w:firstLine="0"/>
              <w:jc w:val="both"/>
              <w:rPr>
                <w:sz w:val="20"/>
                <w:szCs w:val="20"/>
              </w:rPr>
            </w:pPr>
            <w:r w:rsidRPr="00F11A18">
              <w:rPr>
                <w:sz w:val="20"/>
                <w:szCs w:val="20"/>
                <w:u w:val="single"/>
              </w:rPr>
              <w:t>Grade</w:t>
            </w:r>
            <w:r w:rsidR="00B405E1" w:rsidRPr="00F11A18">
              <w:rPr>
                <w:sz w:val="20"/>
                <w:szCs w:val="20"/>
                <w:u w:val="single"/>
              </w:rPr>
              <w:t xml:space="preserve"> </w:t>
            </w:r>
            <w:r w:rsidRPr="00F11A18">
              <w:rPr>
                <w:sz w:val="20"/>
                <w:szCs w:val="20"/>
                <w:u w:val="single"/>
              </w:rPr>
              <w:t>5</w:t>
            </w:r>
            <w:r w:rsidR="00B41B23" w:rsidRPr="00F11A18">
              <w:rPr>
                <w:sz w:val="20"/>
                <w:szCs w:val="20"/>
              </w:rPr>
              <w:t>: d</w:t>
            </w:r>
            <w:r w:rsidRPr="00F11A18">
              <w:rPr>
                <w:sz w:val="20"/>
                <w:szCs w:val="20"/>
              </w:rPr>
              <w:t>eath</w:t>
            </w:r>
          </w:p>
        </w:tc>
      </w:tr>
    </w:tbl>
    <w:p w:rsidR="00C41A33" w:rsidRPr="00F11A18" w:rsidRDefault="00C41A33" w:rsidP="00B41B23">
      <w:pPr>
        <w:snapToGrid w:val="0"/>
        <w:ind w:left="425" w:hanging="425"/>
        <w:jc w:val="both"/>
        <w:rPr>
          <w:b/>
          <w:sz w:val="20"/>
          <w:szCs w:val="20"/>
        </w:rPr>
      </w:pPr>
    </w:p>
    <w:p w:rsidR="00B405E1" w:rsidRPr="00F11A18" w:rsidRDefault="00B41B23" w:rsidP="00B41B23">
      <w:pPr>
        <w:snapToGrid w:val="0"/>
        <w:jc w:val="both"/>
        <w:rPr>
          <w:rFonts w:eastAsiaTheme="minorEastAsia"/>
          <w:sz w:val="20"/>
          <w:szCs w:val="20"/>
          <w:lang w:eastAsia="zh-CN"/>
        </w:rPr>
      </w:pPr>
      <w:r w:rsidRPr="00F11A18">
        <w:rPr>
          <w:rFonts w:eastAsiaTheme="minorEastAsia" w:hint="eastAsia"/>
          <w:sz w:val="20"/>
          <w:szCs w:val="20"/>
          <w:lang w:eastAsia="zh-CN"/>
        </w:rPr>
        <w:t xml:space="preserve"> </w:t>
      </w:r>
      <w:r w:rsidR="009A440F" w:rsidRPr="00F11A18">
        <w:rPr>
          <w:rFonts w:eastAsiaTheme="minorEastAsia" w:hint="eastAsia"/>
          <w:sz w:val="20"/>
          <w:szCs w:val="20"/>
          <w:lang w:eastAsia="zh-CN"/>
        </w:rPr>
        <w:t xml:space="preserve"> </w:t>
      </w:r>
    </w:p>
    <w:p w:rsidR="00B41B23" w:rsidRPr="00F11A18" w:rsidRDefault="00B41B23" w:rsidP="00B41B23">
      <w:pPr>
        <w:snapToGrid w:val="0"/>
        <w:jc w:val="both"/>
        <w:rPr>
          <w:rFonts w:eastAsiaTheme="minorEastAsia"/>
          <w:sz w:val="20"/>
          <w:szCs w:val="20"/>
          <w:lang w:eastAsia="zh-CN"/>
        </w:rPr>
      </w:pPr>
    </w:p>
    <w:p w:rsidR="000B2401" w:rsidRPr="00F11A18" w:rsidRDefault="00B405E1" w:rsidP="00B41B23">
      <w:pPr>
        <w:pStyle w:val="ListParagraph"/>
        <w:snapToGrid w:val="0"/>
        <w:ind w:left="0" w:firstLine="0"/>
        <w:jc w:val="both"/>
        <w:rPr>
          <w:sz w:val="20"/>
          <w:szCs w:val="20"/>
        </w:rPr>
      </w:pPr>
      <w:r w:rsidRPr="00F11A18">
        <w:rPr>
          <w:sz w:val="20"/>
          <w:szCs w:val="20"/>
        </w:rPr>
        <w:t>8/3/2019</w:t>
      </w:r>
    </w:p>
    <w:sectPr w:rsidR="000B2401" w:rsidRPr="00F11A18" w:rsidSect="00B405E1">
      <w:type w:val="continuous"/>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57F" w:rsidRDefault="00A7757F">
      <w:r>
        <w:separator/>
      </w:r>
    </w:p>
  </w:endnote>
  <w:endnote w:type="continuationSeparator" w:id="0">
    <w:p w:rsidR="00A7757F" w:rsidRDefault="00A775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18" w:rsidRPr="0085300C" w:rsidRDefault="00F11A18" w:rsidP="0085300C">
    <w:pPr>
      <w:jc w:val="center"/>
      <w:rPr>
        <w:sz w:val="20"/>
      </w:rPr>
    </w:pPr>
    <w:r w:rsidRPr="0085300C">
      <w:rPr>
        <w:sz w:val="20"/>
      </w:rPr>
      <w:fldChar w:fldCharType="begin"/>
    </w:r>
    <w:r w:rsidRPr="0085300C">
      <w:rPr>
        <w:sz w:val="20"/>
      </w:rPr>
      <w:instrText xml:space="preserve"> page </w:instrText>
    </w:r>
    <w:r w:rsidRPr="0085300C">
      <w:rPr>
        <w:sz w:val="20"/>
      </w:rPr>
      <w:fldChar w:fldCharType="separate"/>
    </w:r>
    <w:r w:rsidR="007457A4">
      <w:rPr>
        <w:noProof/>
        <w:sz w:val="20"/>
      </w:rPr>
      <w:t>77</w:t>
    </w:r>
    <w:r w:rsidRPr="0085300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57F" w:rsidRDefault="00A7757F">
      <w:r>
        <w:separator/>
      </w:r>
    </w:p>
  </w:footnote>
  <w:footnote w:type="continuationSeparator" w:id="0">
    <w:p w:rsidR="00A7757F" w:rsidRDefault="00A77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18" w:rsidRPr="0085300C" w:rsidRDefault="00F11A18" w:rsidP="0085300C">
    <w:pPr>
      <w:pBdr>
        <w:bottom w:val="thinThickMediumGap" w:sz="12" w:space="1" w:color="auto"/>
      </w:pBdr>
      <w:tabs>
        <w:tab w:val="left" w:pos="851"/>
        <w:tab w:val="right" w:pos="8364"/>
      </w:tabs>
      <w:adjustRightInd w:val="0"/>
      <w:snapToGrid w:val="0"/>
      <w:jc w:val="both"/>
      <w:rPr>
        <w:iCs/>
        <w:color w:val="0000FF"/>
        <w:sz w:val="20"/>
      </w:rPr>
    </w:pPr>
    <w:r w:rsidRPr="0085300C">
      <w:rPr>
        <w:rFonts w:hint="eastAsia"/>
        <w:iCs/>
        <w:color w:val="000000"/>
        <w:sz w:val="20"/>
      </w:rPr>
      <w:tab/>
    </w:r>
    <w:r w:rsidRPr="0085300C">
      <w:rPr>
        <w:iCs/>
        <w:color w:val="000000"/>
        <w:sz w:val="20"/>
      </w:rPr>
      <w:t xml:space="preserve">Cancer Biology </w:t>
    </w:r>
    <w:r w:rsidRPr="0085300C">
      <w:rPr>
        <w:iCs/>
        <w:sz w:val="20"/>
      </w:rPr>
      <w:t>201</w:t>
    </w:r>
    <w:r w:rsidRPr="0085300C">
      <w:rPr>
        <w:rFonts w:hint="eastAsia"/>
        <w:iCs/>
        <w:sz w:val="20"/>
      </w:rPr>
      <w:t>9</w:t>
    </w:r>
    <w:r w:rsidRPr="0085300C">
      <w:rPr>
        <w:iCs/>
        <w:sz w:val="20"/>
      </w:rPr>
      <w:t>;</w:t>
    </w:r>
    <w:r w:rsidRPr="0085300C">
      <w:rPr>
        <w:rFonts w:hint="eastAsia"/>
        <w:iCs/>
        <w:sz w:val="20"/>
      </w:rPr>
      <w:t>9</w:t>
    </w:r>
    <w:r w:rsidRPr="0085300C">
      <w:rPr>
        <w:iCs/>
        <w:sz w:val="20"/>
      </w:rPr>
      <w:t>(</w:t>
    </w:r>
    <w:r w:rsidRPr="0085300C">
      <w:rPr>
        <w:rFonts w:hint="eastAsia"/>
        <w:iCs/>
        <w:sz w:val="20"/>
      </w:rPr>
      <w:t>3</w:t>
    </w:r>
    <w:r w:rsidRPr="0085300C">
      <w:rPr>
        <w:iCs/>
        <w:sz w:val="20"/>
      </w:rPr>
      <w:t xml:space="preserve">)  </w:t>
    </w:r>
    <w:r w:rsidRPr="0085300C">
      <w:rPr>
        <w:rFonts w:hint="eastAsia"/>
        <w:iCs/>
        <w:sz w:val="20"/>
      </w:rPr>
      <w:t xml:space="preserve">   </w:t>
    </w:r>
    <w:r w:rsidRPr="0085300C">
      <w:rPr>
        <w:rFonts w:hint="eastAsia"/>
        <w:iCs/>
        <w:sz w:val="20"/>
      </w:rPr>
      <w:tab/>
      <w:t xml:space="preserve">   </w:t>
    </w:r>
    <w:r w:rsidRPr="0085300C">
      <w:rPr>
        <w:iCs/>
        <w:sz w:val="20"/>
      </w:rPr>
      <w:t xml:space="preserve"> </w:t>
    </w:r>
    <w:r w:rsidRPr="0085300C">
      <w:rPr>
        <w:sz w:val="20"/>
      </w:rPr>
      <w:t xml:space="preserve">  </w:t>
    </w:r>
    <w:hyperlink r:id="rId1" w:history="1">
      <w:r w:rsidRPr="0085300C">
        <w:rPr>
          <w:rStyle w:val="Hyperlink"/>
          <w:color w:val="0000FF"/>
          <w:sz w:val="20"/>
        </w:rPr>
        <w:t>http://www.cancerbio.net</w:t>
      </w:r>
    </w:hyperlink>
    <w:r w:rsidRPr="0085300C">
      <w:rPr>
        <w:rFonts w:hint="eastAsia"/>
        <w:sz w:val="20"/>
      </w:rPr>
      <w:t xml:space="preserve">   </w:t>
    </w:r>
    <w:r w:rsidRPr="0085300C">
      <w:rPr>
        <w:rFonts w:hint="eastAsia"/>
        <w:b/>
        <w:i/>
        <w:color w:val="FF0000"/>
        <w:sz w:val="20"/>
        <w:szCs w:val="20"/>
        <w:bdr w:val="single" w:sz="4" w:space="0" w:color="FF0000"/>
      </w:rPr>
      <w:t>CBJ</w:t>
    </w:r>
  </w:p>
  <w:p w:rsidR="00F11A18" w:rsidRPr="0085300C" w:rsidRDefault="00F11A18" w:rsidP="0085300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2709"/>
    <w:multiLevelType w:val="hybridMultilevel"/>
    <w:tmpl w:val="763C62CC"/>
    <w:lvl w:ilvl="0" w:tplc="91063C9A">
      <w:numFmt w:val="bullet"/>
      <w:lvlText w:val=""/>
      <w:lvlJc w:val="left"/>
      <w:pPr>
        <w:ind w:left="833" w:hanging="360"/>
      </w:pPr>
      <w:rPr>
        <w:rFonts w:ascii="Symbol" w:eastAsia="Symbol" w:hAnsi="Symbol" w:cs="Symbol" w:hint="default"/>
        <w:w w:val="100"/>
        <w:sz w:val="24"/>
        <w:szCs w:val="24"/>
        <w:lang w:val="en-US" w:eastAsia="en-US" w:bidi="en-US"/>
      </w:rPr>
    </w:lvl>
    <w:lvl w:ilvl="1" w:tplc="4470DB3E">
      <w:numFmt w:val="bullet"/>
      <w:lvlText w:val="•"/>
      <w:lvlJc w:val="left"/>
      <w:pPr>
        <w:ind w:left="1486" w:hanging="360"/>
      </w:pPr>
      <w:rPr>
        <w:rFonts w:hint="default"/>
        <w:lang w:val="en-US" w:eastAsia="en-US" w:bidi="en-US"/>
      </w:rPr>
    </w:lvl>
    <w:lvl w:ilvl="2" w:tplc="6EF2DAA0">
      <w:numFmt w:val="bullet"/>
      <w:lvlText w:val="•"/>
      <w:lvlJc w:val="left"/>
      <w:pPr>
        <w:ind w:left="2132" w:hanging="360"/>
      </w:pPr>
      <w:rPr>
        <w:rFonts w:hint="default"/>
        <w:lang w:val="en-US" w:eastAsia="en-US" w:bidi="en-US"/>
      </w:rPr>
    </w:lvl>
    <w:lvl w:ilvl="3" w:tplc="DCA8CFC0">
      <w:numFmt w:val="bullet"/>
      <w:lvlText w:val="•"/>
      <w:lvlJc w:val="left"/>
      <w:pPr>
        <w:ind w:left="2779" w:hanging="360"/>
      </w:pPr>
      <w:rPr>
        <w:rFonts w:hint="default"/>
        <w:lang w:val="en-US" w:eastAsia="en-US" w:bidi="en-US"/>
      </w:rPr>
    </w:lvl>
    <w:lvl w:ilvl="4" w:tplc="7D3E4C7E">
      <w:numFmt w:val="bullet"/>
      <w:lvlText w:val="•"/>
      <w:lvlJc w:val="left"/>
      <w:pPr>
        <w:ind w:left="3425" w:hanging="360"/>
      </w:pPr>
      <w:rPr>
        <w:rFonts w:hint="default"/>
        <w:lang w:val="en-US" w:eastAsia="en-US" w:bidi="en-US"/>
      </w:rPr>
    </w:lvl>
    <w:lvl w:ilvl="5" w:tplc="ED8A6DFE">
      <w:numFmt w:val="bullet"/>
      <w:lvlText w:val="•"/>
      <w:lvlJc w:val="left"/>
      <w:pPr>
        <w:ind w:left="4072" w:hanging="360"/>
      </w:pPr>
      <w:rPr>
        <w:rFonts w:hint="default"/>
        <w:lang w:val="en-US" w:eastAsia="en-US" w:bidi="en-US"/>
      </w:rPr>
    </w:lvl>
    <w:lvl w:ilvl="6" w:tplc="3FA4D57A">
      <w:numFmt w:val="bullet"/>
      <w:lvlText w:val="•"/>
      <w:lvlJc w:val="left"/>
      <w:pPr>
        <w:ind w:left="4718" w:hanging="360"/>
      </w:pPr>
      <w:rPr>
        <w:rFonts w:hint="default"/>
        <w:lang w:val="en-US" w:eastAsia="en-US" w:bidi="en-US"/>
      </w:rPr>
    </w:lvl>
    <w:lvl w:ilvl="7" w:tplc="51048BF2">
      <w:numFmt w:val="bullet"/>
      <w:lvlText w:val="•"/>
      <w:lvlJc w:val="left"/>
      <w:pPr>
        <w:ind w:left="5364" w:hanging="360"/>
      </w:pPr>
      <w:rPr>
        <w:rFonts w:hint="default"/>
        <w:lang w:val="en-US" w:eastAsia="en-US" w:bidi="en-US"/>
      </w:rPr>
    </w:lvl>
    <w:lvl w:ilvl="8" w:tplc="4DC875BE">
      <w:numFmt w:val="bullet"/>
      <w:lvlText w:val="•"/>
      <w:lvlJc w:val="left"/>
      <w:pPr>
        <w:ind w:left="6011" w:hanging="360"/>
      </w:pPr>
      <w:rPr>
        <w:rFonts w:hint="default"/>
        <w:lang w:val="en-US" w:eastAsia="en-US" w:bidi="en-US"/>
      </w:rPr>
    </w:lvl>
  </w:abstractNum>
  <w:abstractNum w:abstractNumId="1">
    <w:nsid w:val="11017C94"/>
    <w:multiLevelType w:val="hybridMultilevel"/>
    <w:tmpl w:val="55262E6C"/>
    <w:lvl w:ilvl="0" w:tplc="4032505C">
      <w:start w:val="1"/>
      <w:numFmt w:val="decimal"/>
      <w:lvlText w:val="%1."/>
      <w:lvlJc w:val="left"/>
      <w:pPr>
        <w:ind w:left="1280" w:hanging="361"/>
        <w:jc w:val="left"/>
      </w:pPr>
      <w:rPr>
        <w:rFonts w:ascii="Times New Roman" w:hAnsi="Times New Roman" w:cs="Times New Roman" w:hint="default"/>
        <w:spacing w:val="0"/>
        <w:w w:val="100"/>
        <w:kern w:val="0"/>
        <w:position w:val="0"/>
        <w:sz w:val="20"/>
        <w:szCs w:val="20"/>
        <w:lang w:val="en-US" w:eastAsia="en-US" w:bidi="en-US"/>
      </w:rPr>
    </w:lvl>
    <w:lvl w:ilvl="1" w:tplc="E182F184">
      <w:numFmt w:val="bullet"/>
      <w:lvlText w:val="•"/>
      <w:lvlJc w:val="left"/>
      <w:pPr>
        <w:ind w:left="2262" w:hanging="361"/>
      </w:pPr>
      <w:rPr>
        <w:rFonts w:hint="default"/>
        <w:lang w:val="en-US" w:eastAsia="en-US" w:bidi="en-US"/>
      </w:rPr>
    </w:lvl>
    <w:lvl w:ilvl="2" w:tplc="05362E34">
      <w:numFmt w:val="bullet"/>
      <w:lvlText w:val="•"/>
      <w:lvlJc w:val="left"/>
      <w:pPr>
        <w:ind w:left="3244" w:hanging="361"/>
      </w:pPr>
      <w:rPr>
        <w:rFonts w:hint="default"/>
        <w:lang w:val="en-US" w:eastAsia="en-US" w:bidi="en-US"/>
      </w:rPr>
    </w:lvl>
    <w:lvl w:ilvl="3" w:tplc="D1FE999C">
      <w:numFmt w:val="bullet"/>
      <w:lvlText w:val="•"/>
      <w:lvlJc w:val="left"/>
      <w:pPr>
        <w:ind w:left="4226" w:hanging="361"/>
      </w:pPr>
      <w:rPr>
        <w:rFonts w:hint="default"/>
        <w:lang w:val="en-US" w:eastAsia="en-US" w:bidi="en-US"/>
      </w:rPr>
    </w:lvl>
    <w:lvl w:ilvl="4" w:tplc="8AC05596">
      <w:numFmt w:val="bullet"/>
      <w:lvlText w:val="•"/>
      <w:lvlJc w:val="left"/>
      <w:pPr>
        <w:ind w:left="5208" w:hanging="361"/>
      </w:pPr>
      <w:rPr>
        <w:rFonts w:hint="default"/>
        <w:lang w:val="en-US" w:eastAsia="en-US" w:bidi="en-US"/>
      </w:rPr>
    </w:lvl>
    <w:lvl w:ilvl="5" w:tplc="EC6A5694">
      <w:numFmt w:val="bullet"/>
      <w:lvlText w:val="•"/>
      <w:lvlJc w:val="left"/>
      <w:pPr>
        <w:ind w:left="6190" w:hanging="361"/>
      </w:pPr>
      <w:rPr>
        <w:rFonts w:hint="default"/>
        <w:lang w:val="en-US" w:eastAsia="en-US" w:bidi="en-US"/>
      </w:rPr>
    </w:lvl>
    <w:lvl w:ilvl="6" w:tplc="C7BABEEC">
      <w:numFmt w:val="bullet"/>
      <w:lvlText w:val="•"/>
      <w:lvlJc w:val="left"/>
      <w:pPr>
        <w:ind w:left="7172" w:hanging="361"/>
      </w:pPr>
      <w:rPr>
        <w:rFonts w:hint="default"/>
        <w:lang w:val="en-US" w:eastAsia="en-US" w:bidi="en-US"/>
      </w:rPr>
    </w:lvl>
    <w:lvl w:ilvl="7" w:tplc="FF0ACFEC">
      <w:numFmt w:val="bullet"/>
      <w:lvlText w:val="•"/>
      <w:lvlJc w:val="left"/>
      <w:pPr>
        <w:ind w:left="8154" w:hanging="361"/>
      </w:pPr>
      <w:rPr>
        <w:rFonts w:hint="default"/>
        <w:lang w:val="en-US" w:eastAsia="en-US" w:bidi="en-US"/>
      </w:rPr>
    </w:lvl>
    <w:lvl w:ilvl="8" w:tplc="1E2A79AE">
      <w:numFmt w:val="bullet"/>
      <w:lvlText w:val="•"/>
      <w:lvlJc w:val="left"/>
      <w:pPr>
        <w:ind w:left="9136" w:hanging="361"/>
      </w:pPr>
      <w:rPr>
        <w:rFonts w:hint="default"/>
        <w:lang w:val="en-US" w:eastAsia="en-US" w:bidi="en-US"/>
      </w:rPr>
    </w:lvl>
  </w:abstractNum>
  <w:abstractNum w:abstractNumId="2">
    <w:nsid w:val="1CA065F2"/>
    <w:multiLevelType w:val="hybridMultilevel"/>
    <w:tmpl w:val="7B90A9F0"/>
    <w:lvl w:ilvl="0" w:tplc="F7B6C140">
      <w:numFmt w:val="bullet"/>
      <w:lvlText w:val=""/>
      <w:lvlJc w:val="left"/>
      <w:pPr>
        <w:ind w:left="833" w:hanging="360"/>
      </w:pPr>
      <w:rPr>
        <w:rFonts w:ascii="Symbol" w:eastAsia="Symbol" w:hAnsi="Symbol" w:cs="Symbol" w:hint="default"/>
        <w:w w:val="100"/>
        <w:sz w:val="24"/>
        <w:szCs w:val="24"/>
        <w:lang w:val="en-US" w:eastAsia="en-US" w:bidi="en-US"/>
      </w:rPr>
    </w:lvl>
    <w:lvl w:ilvl="1" w:tplc="54B88364">
      <w:numFmt w:val="bullet"/>
      <w:lvlText w:val="•"/>
      <w:lvlJc w:val="left"/>
      <w:pPr>
        <w:ind w:left="1486" w:hanging="360"/>
      </w:pPr>
      <w:rPr>
        <w:rFonts w:hint="default"/>
        <w:lang w:val="en-US" w:eastAsia="en-US" w:bidi="en-US"/>
      </w:rPr>
    </w:lvl>
    <w:lvl w:ilvl="2" w:tplc="399205F8">
      <w:numFmt w:val="bullet"/>
      <w:lvlText w:val="•"/>
      <w:lvlJc w:val="left"/>
      <w:pPr>
        <w:ind w:left="2132" w:hanging="360"/>
      </w:pPr>
      <w:rPr>
        <w:rFonts w:hint="default"/>
        <w:lang w:val="en-US" w:eastAsia="en-US" w:bidi="en-US"/>
      </w:rPr>
    </w:lvl>
    <w:lvl w:ilvl="3" w:tplc="61289F04">
      <w:numFmt w:val="bullet"/>
      <w:lvlText w:val="•"/>
      <w:lvlJc w:val="left"/>
      <w:pPr>
        <w:ind w:left="2779" w:hanging="360"/>
      </w:pPr>
      <w:rPr>
        <w:rFonts w:hint="default"/>
        <w:lang w:val="en-US" w:eastAsia="en-US" w:bidi="en-US"/>
      </w:rPr>
    </w:lvl>
    <w:lvl w:ilvl="4" w:tplc="C8C47AC8">
      <w:numFmt w:val="bullet"/>
      <w:lvlText w:val="•"/>
      <w:lvlJc w:val="left"/>
      <w:pPr>
        <w:ind w:left="3425" w:hanging="360"/>
      </w:pPr>
      <w:rPr>
        <w:rFonts w:hint="default"/>
        <w:lang w:val="en-US" w:eastAsia="en-US" w:bidi="en-US"/>
      </w:rPr>
    </w:lvl>
    <w:lvl w:ilvl="5" w:tplc="C7967B1E">
      <w:numFmt w:val="bullet"/>
      <w:lvlText w:val="•"/>
      <w:lvlJc w:val="left"/>
      <w:pPr>
        <w:ind w:left="4072" w:hanging="360"/>
      </w:pPr>
      <w:rPr>
        <w:rFonts w:hint="default"/>
        <w:lang w:val="en-US" w:eastAsia="en-US" w:bidi="en-US"/>
      </w:rPr>
    </w:lvl>
    <w:lvl w:ilvl="6" w:tplc="B060C074">
      <w:numFmt w:val="bullet"/>
      <w:lvlText w:val="•"/>
      <w:lvlJc w:val="left"/>
      <w:pPr>
        <w:ind w:left="4718" w:hanging="360"/>
      </w:pPr>
      <w:rPr>
        <w:rFonts w:hint="default"/>
        <w:lang w:val="en-US" w:eastAsia="en-US" w:bidi="en-US"/>
      </w:rPr>
    </w:lvl>
    <w:lvl w:ilvl="7" w:tplc="9E06BBD6">
      <w:numFmt w:val="bullet"/>
      <w:lvlText w:val="•"/>
      <w:lvlJc w:val="left"/>
      <w:pPr>
        <w:ind w:left="5364" w:hanging="360"/>
      </w:pPr>
      <w:rPr>
        <w:rFonts w:hint="default"/>
        <w:lang w:val="en-US" w:eastAsia="en-US" w:bidi="en-US"/>
      </w:rPr>
    </w:lvl>
    <w:lvl w:ilvl="8" w:tplc="9EA2128E">
      <w:numFmt w:val="bullet"/>
      <w:lvlText w:val="•"/>
      <w:lvlJc w:val="left"/>
      <w:pPr>
        <w:ind w:left="6011" w:hanging="360"/>
      </w:pPr>
      <w:rPr>
        <w:rFonts w:hint="default"/>
        <w:lang w:val="en-US" w:eastAsia="en-US" w:bidi="en-US"/>
      </w:rPr>
    </w:lvl>
  </w:abstractNum>
  <w:abstractNum w:abstractNumId="3">
    <w:nsid w:val="24A7507A"/>
    <w:multiLevelType w:val="hybridMultilevel"/>
    <w:tmpl w:val="468CBCDA"/>
    <w:lvl w:ilvl="0" w:tplc="AE8CA41E">
      <w:numFmt w:val="bullet"/>
      <w:lvlText w:val=""/>
      <w:lvlJc w:val="left"/>
      <w:pPr>
        <w:ind w:left="833" w:hanging="360"/>
      </w:pPr>
      <w:rPr>
        <w:rFonts w:ascii="Symbol" w:eastAsia="Symbol" w:hAnsi="Symbol" w:cs="Symbol" w:hint="default"/>
        <w:w w:val="100"/>
        <w:sz w:val="24"/>
        <w:szCs w:val="24"/>
        <w:lang w:val="en-US" w:eastAsia="en-US" w:bidi="en-US"/>
      </w:rPr>
    </w:lvl>
    <w:lvl w:ilvl="1" w:tplc="823226A4">
      <w:numFmt w:val="bullet"/>
      <w:lvlText w:val="•"/>
      <w:lvlJc w:val="left"/>
      <w:pPr>
        <w:ind w:left="1486" w:hanging="360"/>
      </w:pPr>
      <w:rPr>
        <w:rFonts w:hint="default"/>
        <w:lang w:val="en-US" w:eastAsia="en-US" w:bidi="en-US"/>
      </w:rPr>
    </w:lvl>
    <w:lvl w:ilvl="2" w:tplc="BACE09F0">
      <w:numFmt w:val="bullet"/>
      <w:lvlText w:val="•"/>
      <w:lvlJc w:val="left"/>
      <w:pPr>
        <w:ind w:left="2133" w:hanging="360"/>
      </w:pPr>
      <w:rPr>
        <w:rFonts w:hint="default"/>
        <w:lang w:val="en-US" w:eastAsia="en-US" w:bidi="en-US"/>
      </w:rPr>
    </w:lvl>
    <w:lvl w:ilvl="3" w:tplc="808AD5BC">
      <w:numFmt w:val="bullet"/>
      <w:lvlText w:val="•"/>
      <w:lvlJc w:val="left"/>
      <w:pPr>
        <w:ind w:left="2779" w:hanging="360"/>
      </w:pPr>
      <w:rPr>
        <w:rFonts w:hint="default"/>
        <w:lang w:val="en-US" w:eastAsia="en-US" w:bidi="en-US"/>
      </w:rPr>
    </w:lvl>
    <w:lvl w:ilvl="4" w:tplc="341A2B16">
      <w:numFmt w:val="bullet"/>
      <w:lvlText w:val="•"/>
      <w:lvlJc w:val="left"/>
      <w:pPr>
        <w:ind w:left="3426" w:hanging="360"/>
      </w:pPr>
      <w:rPr>
        <w:rFonts w:hint="default"/>
        <w:lang w:val="en-US" w:eastAsia="en-US" w:bidi="en-US"/>
      </w:rPr>
    </w:lvl>
    <w:lvl w:ilvl="5" w:tplc="5E76454E">
      <w:numFmt w:val="bullet"/>
      <w:lvlText w:val="•"/>
      <w:lvlJc w:val="left"/>
      <w:pPr>
        <w:ind w:left="4072" w:hanging="360"/>
      </w:pPr>
      <w:rPr>
        <w:rFonts w:hint="default"/>
        <w:lang w:val="en-US" w:eastAsia="en-US" w:bidi="en-US"/>
      </w:rPr>
    </w:lvl>
    <w:lvl w:ilvl="6" w:tplc="2F9E23EA">
      <w:numFmt w:val="bullet"/>
      <w:lvlText w:val="•"/>
      <w:lvlJc w:val="left"/>
      <w:pPr>
        <w:ind w:left="4719" w:hanging="360"/>
      </w:pPr>
      <w:rPr>
        <w:rFonts w:hint="default"/>
        <w:lang w:val="en-US" w:eastAsia="en-US" w:bidi="en-US"/>
      </w:rPr>
    </w:lvl>
    <w:lvl w:ilvl="7" w:tplc="3E140540">
      <w:numFmt w:val="bullet"/>
      <w:lvlText w:val="•"/>
      <w:lvlJc w:val="left"/>
      <w:pPr>
        <w:ind w:left="5365" w:hanging="360"/>
      </w:pPr>
      <w:rPr>
        <w:rFonts w:hint="default"/>
        <w:lang w:val="en-US" w:eastAsia="en-US" w:bidi="en-US"/>
      </w:rPr>
    </w:lvl>
    <w:lvl w:ilvl="8" w:tplc="A8069042">
      <w:numFmt w:val="bullet"/>
      <w:lvlText w:val="•"/>
      <w:lvlJc w:val="left"/>
      <w:pPr>
        <w:ind w:left="6012" w:hanging="360"/>
      </w:pPr>
      <w:rPr>
        <w:rFonts w:hint="default"/>
        <w:lang w:val="en-US" w:eastAsia="en-US" w:bidi="en-US"/>
      </w:rPr>
    </w:lvl>
  </w:abstractNum>
  <w:abstractNum w:abstractNumId="4">
    <w:nsid w:val="2CDB0676"/>
    <w:multiLevelType w:val="hybridMultilevel"/>
    <w:tmpl w:val="FCDE7ADA"/>
    <w:lvl w:ilvl="0" w:tplc="798EC0A4">
      <w:numFmt w:val="bullet"/>
      <w:lvlText w:val=""/>
      <w:lvlJc w:val="left"/>
      <w:pPr>
        <w:ind w:left="473" w:hanging="360"/>
      </w:pPr>
      <w:rPr>
        <w:rFonts w:ascii="Symbol" w:eastAsia="Symbol" w:hAnsi="Symbol" w:cs="Symbol" w:hint="default"/>
        <w:w w:val="100"/>
        <w:sz w:val="24"/>
        <w:szCs w:val="24"/>
        <w:lang w:val="en-US" w:eastAsia="en-US" w:bidi="en-US"/>
      </w:rPr>
    </w:lvl>
    <w:lvl w:ilvl="1" w:tplc="FB78BC80">
      <w:numFmt w:val="bullet"/>
      <w:lvlText w:val=""/>
      <w:lvlJc w:val="left"/>
      <w:pPr>
        <w:ind w:left="833" w:hanging="360"/>
      </w:pPr>
      <w:rPr>
        <w:rFonts w:ascii="Symbol" w:eastAsia="Symbol" w:hAnsi="Symbol" w:cs="Symbol" w:hint="default"/>
        <w:w w:val="100"/>
        <w:sz w:val="24"/>
        <w:szCs w:val="24"/>
        <w:lang w:val="en-US" w:eastAsia="en-US" w:bidi="en-US"/>
      </w:rPr>
    </w:lvl>
    <w:lvl w:ilvl="2" w:tplc="312A6EF2">
      <w:numFmt w:val="bullet"/>
      <w:lvlText w:val="•"/>
      <w:lvlJc w:val="left"/>
      <w:pPr>
        <w:ind w:left="1558" w:hanging="360"/>
      </w:pPr>
      <w:rPr>
        <w:rFonts w:hint="default"/>
        <w:lang w:val="en-US" w:eastAsia="en-US" w:bidi="en-US"/>
      </w:rPr>
    </w:lvl>
    <w:lvl w:ilvl="3" w:tplc="B51EED6E">
      <w:numFmt w:val="bullet"/>
      <w:lvlText w:val="•"/>
      <w:lvlJc w:val="left"/>
      <w:pPr>
        <w:ind w:left="2276" w:hanging="360"/>
      </w:pPr>
      <w:rPr>
        <w:rFonts w:hint="default"/>
        <w:lang w:val="en-US" w:eastAsia="en-US" w:bidi="en-US"/>
      </w:rPr>
    </w:lvl>
    <w:lvl w:ilvl="4" w:tplc="2AC64DCA">
      <w:numFmt w:val="bullet"/>
      <w:lvlText w:val="•"/>
      <w:lvlJc w:val="left"/>
      <w:pPr>
        <w:ind w:left="2994" w:hanging="360"/>
      </w:pPr>
      <w:rPr>
        <w:rFonts w:hint="default"/>
        <w:lang w:val="en-US" w:eastAsia="en-US" w:bidi="en-US"/>
      </w:rPr>
    </w:lvl>
    <w:lvl w:ilvl="5" w:tplc="C1963B8E">
      <w:numFmt w:val="bullet"/>
      <w:lvlText w:val="•"/>
      <w:lvlJc w:val="left"/>
      <w:pPr>
        <w:ind w:left="3712" w:hanging="360"/>
      </w:pPr>
      <w:rPr>
        <w:rFonts w:hint="default"/>
        <w:lang w:val="en-US" w:eastAsia="en-US" w:bidi="en-US"/>
      </w:rPr>
    </w:lvl>
    <w:lvl w:ilvl="6" w:tplc="32FE8ED8">
      <w:numFmt w:val="bullet"/>
      <w:lvlText w:val="•"/>
      <w:lvlJc w:val="left"/>
      <w:pPr>
        <w:ind w:left="4431" w:hanging="360"/>
      </w:pPr>
      <w:rPr>
        <w:rFonts w:hint="default"/>
        <w:lang w:val="en-US" w:eastAsia="en-US" w:bidi="en-US"/>
      </w:rPr>
    </w:lvl>
    <w:lvl w:ilvl="7" w:tplc="7CB2328E">
      <w:numFmt w:val="bullet"/>
      <w:lvlText w:val="•"/>
      <w:lvlJc w:val="left"/>
      <w:pPr>
        <w:ind w:left="5149" w:hanging="360"/>
      </w:pPr>
      <w:rPr>
        <w:rFonts w:hint="default"/>
        <w:lang w:val="en-US" w:eastAsia="en-US" w:bidi="en-US"/>
      </w:rPr>
    </w:lvl>
    <w:lvl w:ilvl="8" w:tplc="D1E2709C">
      <w:numFmt w:val="bullet"/>
      <w:lvlText w:val="•"/>
      <w:lvlJc w:val="left"/>
      <w:pPr>
        <w:ind w:left="5867" w:hanging="360"/>
      </w:pPr>
      <w:rPr>
        <w:rFonts w:hint="default"/>
        <w:lang w:val="en-US" w:eastAsia="en-US" w:bidi="en-US"/>
      </w:rPr>
    </w:lvl>
  </w:abstractNum>
  <w:abstractNum w:abstractNumId="5">
    <w:nsid w:val="334B13F4"/>
    <w:multiLevelType w:val="hybridMultilevel"/>
    <w:tmpl w:val="712AF72A"/>
    <w:lvl w:ilvl="0" w:tplc="90CA20BE">
      <w:numFmt w:val="bullet"/>
      <w:lvlText w:val=""/>
      <w:lvlJc w:val="left"/>
      <w:pPr>
        <w:ind w:left="473" w:hanging="360"/>
      </w:pPr>
      <w:rPr>
        <w:rFonts w:ascii="Symbol" w:eastAsia="Symbol" w:hAnsi="Symbol" w:cs="Symbol" w:hint="default"/>
        <w:w w:val="100"/>
        <w:sz w:val="24"/>
        <w:szCs w:val="24"/>
        <w:lang w:val="en-US" w:eastAsia="en-US" w:bidi="en-US"/>
      </w:rPr>
    </w:lvl>
    <w:lvl w:ilvl="1" w:tplc="7E3661B6">
      <w:numFmt w:val="bullet"/>
      <w:lvlText w:val=""/>
      <w:lvlJc w:val="left"/>
      <w:pPr>
        <w:ind w:left="833" w:hanging="360"/>
      </w:pPr>
      <w:rPr>
        <w:rFonts w:ascii="Symbol" w:eastAsia="Symbol" w:hAnsi="Symbol" w:cs="Symbol" w:hint="default"/>
        <w:w w:val="100"/>
        <w:sz w:val="24"/>
        <w:szCs w:val="24"/>
        <w:lang w:val="en-US" w:eastAsia="en-US" w:bidi="en-US"/>
      </w:rPr>
    </w:lvl>
    <w:lvl w:ilvl="2" w:tplc="122CA4D6">
      <w:numFmt w:val="bullet"/>
      <w:lvlText w:val="•"/>
      <w:lvlJc w:val="left"/>
      <w:pPr>
        <w:ind w:left="1558" w:hanging="360"/>
      </w:pPr>
      <w:rPr>
        <w:rFonts w:hint="default"/>
        <w:lang w:val="en-US" w:eastAsia="en-US" w:bidi="en-US"/>
      </w:rPr>
    </w:lvl>
    <w:lvl w:ilvl="3" w:tplc="41C476BC">
      <w:numFmt w:val="bullet"/>
      <w:lvlText w:val="•"/>
      <w:lvlJc w:val="left"/>
      <w:pPr>
        <w:ind w:left="2276" w:hanging="360"/>
      </w:pPr>
      <w:rPr>
        <w:rFonts w:hint="default"/>
        <w:lang w:val="en-US" w:eastAsia="en-US" w:bidi="en-US"/>
      </w:rPr>
    </w:lvl>
    <w:lvl w:ilvl="4" w:tplc="95D22B50">
      <w:numFmt w:val="bullet"/>
      <w:lvlText w:val="•"/>
      <w:lvlJc w:val="left"/>
      <w:pPr>
        <w:ind w:left="2994" w:hanging="360"/>
      </w:pPr>
      <w:rPr>
        <w:rFonts w:hint="default"/>
        <w:lang w:val="en-US" w:eastAsia="en-US" w:bidi="en-US"/>
      </w:rPr>
    </w:lvl>
    <w:lvl w:ilvl="5" w:tplc="030C4F56">
      <w:numFmt w:val="bullet"/>
      <w:lvlText w:val="•"/>
      <w:lvlJc w:val="left"/>
      <w:pPr>
        <w:ind w:left="3712" w:hanging="360"/>
      </w:pPr>
      <w:rPr>
        <w:rFonts w:hint="default"/>
        <w:lang w:val="en-US" w:eastAsia="en-US" w:bidi="en-US"/>
      </w:rPr>
    </w:lvl>
    <w:lvl w:ilvl="6" w:tplc="03D20A86">
      <w:numFmt w:val="bullet"/>
      <w:lvlText w:val="•"/>
      <w:lvlJc w:val="left"/>
      <w:pPr>
        <w:ind w:left="4431" w:hanging="360"/>
      </w:pPr>
      <w:rPr>
        <w:rFonts w:hint="default"/>
        <w:lang w:val="en-US" w:eastAsia="en-US" w:bidi="en-US"/>
      </w:rPr>
    </w:lvl>
    <w:lvl w:ilvl="7" w:tplc="0E24DE9E">
      <w:numFmt w:val="bullet"/>
      <w:lvlText w:val="•"/>
      <w:lvlJc w:val="left"/>
      <w:pPr>
        <w:ind w:left="5149" w:hanging="360"/>
      </w:pPr>
      <w:rPr>
        <w:rFonts w:hint="default"/>
        <w:lang w:val="en-US" w:eastAsia="en-US" w:bidi="en-US"/>
      </w:rPr>
    </w:lvl>
    <w:lvl w:ilvl="8" w:tplc="DF44ACC2">
      <w:numFmt w:val="bullet"/>
      <w:lvlText w:val="•"/>
      <w:lvlJc w:val="left"/>
      <w:pPr>
        <w:ind w:left="5867" w:hanging="360"/>
      </w:pPr>
      <w:rPr>
        <w:rFonts w:hint="default"/>
        <w:lang w:val="en-US" w:eastAsia="en-US" w:bidi="en-US"/>
      </w:rPr>
    </w:lvl>
  </w:abstractNum>
  <w:abstractNum w:abstractNumId="6">
    <w:nsid w:val="371B4686"/>
    <w:multiLevelType w:val="hybridMultilevel"/>
    <w:tmpl w:val="99B4F854"/>
    <w:lvl w:ilvl="0" w:tplc="45AE8674">
      <w:numFmt w:val="bullet"/>
      <w:lvlText w:val=""/>
      <w:lvlJc w:val="left"/>
      <w:pPr>
        <w:ind w:left="473" w:hanging="360"/>
      </w:pPr>
      <w:rPr>
        <w:rFonts w:ascii="Symbol" w:eastAsia="Symbol" w:hAnsi="Symbol" w:cs="Symbol" w:hint="default"/>
        <w:w w:val="100"/>
        <w:sz w:val="24"/>
        <w:szCs w:val="24"/>
        <w:lang w:val="en-US" w:eastAsia="en-US" w:bidi="en-US"/>
      </w:rPr>
    </w:lvl>
    <w:lvl w:ilvl="1" w:tplc="9AF4323C">
      <w:numFmt w:val="bullet"/>
      <w:lvlText w:val="•"/>
      <w:lvlJc w:val="left"/>
      <w:pPr>
        <w:ind w:left="1162" w:hanging="360"/>
      </w:pPr>
      <w:rPr>
        <w:rFonts w:hint="default"/>
        <w:lang w:val="en-US" w:eastAsia="en-US" w:bidi="en-US"/>
      </w:rPr>
    </w:lvl>
    <w:lvl w:ilvl="2" w:tplc="73F60D5C">
      <w:numFmt w:val="bullet"/>
      <w:lvlText w:val="•"/>
      <w:lvlJc w:val="left"/>
      <w:pPr>
        <w:ind w:left="1844" w:hanging="360"/>
      </w:pPr>
      <w:rPr>
        <w:rFonts w:hint="default"/>
        <w:lang w:val="en-US" w:eastAsia="en-US" w:bidi="en-US"/>
      </w:rPr>
    </w:lvl>
    <w:lvl w:ilvl="3" w:tplc="D5D847A2">
      <w:numFmt w:val="bullet"/>
      <w:lvlText w:val="•"/>
      <w:lvlJc w:val="left"/>
      <w:pPr>
        <w:ind w:left="2527" w:hanging="360"/>
      </w:pPr>
      <w:rPr>
        <w:rFonts w:hint="default"/>
        <w:lang w:val="en-US" w:eastAsia="en-US" w:bidi="en-US"/>
      </w:rPr>
    </w:lvl>
    <w:lvl w:ilvl="4" w:tplc="933CEC94">
      <w:numFmt w:val="bullet"/>
      <w:lvlText w:val="•"/>
      <w:lvlJc w:val="left"/>
      <w:pPr>
        <w:ind w:left="3209" w:hanging="360"/>
      </w:pPr>
      <w:rPr>
        <w:rFonts w:hint="default"/>
        <w:lang w:val="en-US" w:eastAsia="en-US" w:bidi="en-US"/>
      </w:rPr>
    </w:lvl>
    <w:lvl w:ilvl="5" w:tplc="996C31C0">
      <w:numFmt w:val="bullet"/>
      <w:lvlText w:val="•"/>
      <w:lvlJc w:val="left"/>
      <w:pPr>
        <w:ind w:left="3892" w:hanging="360"/>
      </w:pPr>
      <w:rPr>
        <w:rFonts w:hint="default"/>
        <w:lang w:val="en-US" w:eastAsia="en-US" w:bidi="en-US"/>
      </w:rPr>
    </w:lvl>
    <w:lvl w:ilvl="6" w:tplc="0A7A3F3E">
      <w:numFmt w:val="bullet"/>
      <w:lvlText w:val="•"/>
      <w:lvlJc w:val="left"/>
      <w:pPr>
        <w:ind w:left="4574" w:hanging="360"/>
      </w:pPr>
      <w:rPr>
        <w:rFonts w:hint="default"/>
        <w:lang w:val="en-US" w:eastAsia="en-US" w:bidi="en-US"/>
      </w:rPr>
    </w:lvl>
    <w:lvl w:ilvl="7" w:tplc="AB42A84C">
      <w:numFmt w:val="bullet"/>
      <w:lvlText w:val="•"/>
      <w:lvlJc w:val="left"/>
      <w:pPr>
        <w:ind w:left="5256" w:hanging="360"/>
      </w:pPr>
      <w:rPr>
        <w:rFonts w:hint="default"/>
        <w:lang w:val="en-US" w:eastAsia="en-US" w:bidi="en-US"/>
      </w:rPr>
    </w:lvl>
    <w:lvl w:ilvl="8" w:tplc="1B4A5DD8">
      <w:numFmt w:val="bullet"/>
      <w:lvlText w:val="•"/>
      <w:lvlJc w:val="left"/>
      <w:pPr>
        <w:ind w:left="5939" w:hanging="360"/>
      </w:pPr>
      <w:rPr>
        <w:rFonts w:hint="default"/>
        <w:lang w:val="en-US" w:eastAsia="en-US" w:bidi="en-US"/>
      </w:rPr>
    </w:lvl>
  </w:abstractNum>
  <w:abstractNum w:abstractNumId="7">
    <w:nsid w:val="3C721134"/>
    <w:multiLevelType w:val="hybridMultilevel"/>
    <w:tmpl w:val="3DF66D56"/>
    <w:lvl w:ilvl="0" w:tplc="FEBE61F2">
      <w:numFmt w:val="bullet"/>
      <w:lvlText w:val=""/>
      <w:lvlJc w:val="left"/>
      <w:pPr>
        <w:ind w:left="833" w:hanging="360"/>
      </w:pPr>
      <w:rPr>
        <w:rFonts w:ascii="Symbol" w:eastAsia="Symbol" w:hAnsi="Symbol" w:cs="Symbol" w:hint="default"/>
        <w:w w:val="100"/>
        <w:sz w:val="24"/>
        <w:szCs w:val="24"/>
        <w:lang w:val="en-US" w:eastAsia="en-US" w:bidi="en-US"/>
      </w:rPr>
    </w:lvl>
    <w:lvl w:ilvl="1" w:tplc="D636508E">
      <w:numFmt w:val="bullet"/>
      <w:lvlText w:val="•"/>
      <w:lvlJc w:val="left"/>
      <w:pPr>
        <w:ind w:left="1486" w:hanging="360"/>
      </w:pPr>
      <w:rPr>
        <w:rFonts w:hint="default"/>
        <w:lang w:val="en-US" w:eastAsia="en-US" w:bidi="en-US"/>
      </w:rPr>
    </w:lvl>
    <w:lvl w:ilvl="2" w:tplc="C0B43066">
      <w:numFmt w:val="bullet"/>
      <w:lvlText w:val="•"/>
      <w:lvlJc w:val="left"/>
      <w:pPr>
        <w:ind w:left="2132" w:hanging="360"/>
      </w:pPr>
      <w:rPr>
        <w:rFonts w:hint="default"/>
        <w:lang w:val="en-US" w:eastAsia="en-US" w:bidi="en-US"/>
      </w:rPr>
    </w:lvl>
    <w:lvl w:ilvl="3" w:tplc="0E182F72">
      <w:numFmt w:val="bullet"/>
      <w:lvlText w:val="•"/>
      <w:lvlJc w:val="left"/>
      <w:pPr>
        <w:ind w:left="2779" w:hanging="360"/>
      </w:pPr>
      <w:rPr>
        <w:rFonts w:hint="default"/>
        <w:lang w:val="en-US" w:eastAsia="en-US" w:bidi="en-US"/>
      </w:rPr>
    </w:lvl>
    <w:lvl w:ilvl="4" w:tplc="977CF2C8">
      <w:numFmt w:val="bullet"/>
      <w:lvlText w:val="•"/>
      <w:lvlJc w:val="left"/>
      <w:pPr>
        <w:ind w:left="3425" w:hanging="360"/>
      </w:pPr>
      <w:rPr>
        <w:rFonts w:hint="default"/>
        <w:lang w:val="en-US" w:eastAsia="en-US" w:bidi="en-US"/>
      </w:rPr>
    </w:lvl>
    <w:lvl w:ilvl="5" w:tplc="868ADD6C">
      <w:numFmt w:val="bullet"/>
      <w:lvlText w:val="•"/>
      <w:lvlJc w:val="left"/>
      <w:pPr>
        <w:ind w:left="4072" w:hanging="360"/>
      </w:pPr>
      <w:rPr>
        <w:rFonts w:hint="default"/>
        <w:lang w:val="en-US" w:eastAsia="en-US" w:bidi="en-US"/>
      </w:rPr>
    </w:lvl>
    <w:lvl w:ilvl="6" w:tplc="204C78A4">
      <w:numFmt w:val="bullet"/>
      <w:lvlText w:val="•"/>
      <w:lvlJc w:val="left"/>
      <w:pPr>
        <w:ind w:left="4718" w:hanging="360"/>
      </w:pPr>
      <w:rPr>
        <w:rFonts w:hint="default"/>
        <w:lang w:val="en-US" w:eastAsia="en-US" w:bidi="en-US"/>
      </w:rPr>
    </w:lvl>
    <w:lvl w:ilvl="7" w:tplc="8662FEB4">
      <w:numFmt w:val="bullet"/>
      <w:lvlText w:val="•"/>
      <w:lvlJc w:val="left"/>
      <w:pPr>
        <w:ind w:left="5364" w:hanging="360"/>
      </w:pPr>
      <w:rPr>
        <w:rFonts w:hint="default"/>
        <w:lang w:val="en-US" w:eastAsia="en-US" w:bidi="en-US"/>
      </w:rPr>
    </w:lvl>
    <w:lvl w:ilvl="8" w:tplc="F098BC24">
      <w:numFmt w:val="bullet"/>
      <w:lvlText w:val="•"/>
      <w:lvlJc w:val="left"/>
      <w:pPr>
        <w:ind w:left="6011" w:hanging="360"/>
      </w:pPr>
      <w:rPr>
        <w:rFonts w:hint="default"/>
        <w:lang w:val="en-US" w:eastAsia="en-US" w:bidi="en-US"/>
      </w:rPr>
    </w:lvl>
  </w:abstractNum>
  <w:abstractNum w:abstractNumId="8">
    <w:nsid w:val="452D2013"/>
    <w:multiLevelType w:val="hybridMultilevel"/>
    <w:tmpl w:val="71D0ABEE"/>
    <w:lvl w:ilvl="0" w:tplc="34CCDED6">
      <w:numFmt w:val="bullet"/>
      <w:lvlText w:val=""/>
      <w:lvlJc w:val="left"/>
      <w:pPr>
        <w:ind w:left="473" w:hanging="360"/>
      </w:pPr>
      <w:rPr>
        <w:rFonts w:ascii="Symbol" w:eastAsia="Symbol" w:hAnsi="Symbol" w:cs="Symbol" w:hint="default"/>
        <w:w w:val="100"/>
        <w:sz w:val="24"/>
        <w:szCs w:val="24"/>
        <w:lang w:val="en-US" w:eastAsia="en-US" w:bidi="en-US"/>
      </w:rPr>
    </w:lvl>
    <w:lvl w:ilvl="1" w:tplc="6DB88B1A">
      <w:numFmt w:val="bullet"/>
      <w:lvlText w:val=""/>
      <w:lvlJc w:val="left"/>
      <w:pPr>
        <w:ind w:left="833" w:hanging="360"/>
      </w:pPr>
      <w:rPr>
        <w:rFonts w:ascii="Symbol" w:eastAsia="Symbol" w:hAnsi="Symbol" w:cs="Symbol" w:hint="default"/>
        <w:w w:val="100"/>
        <w:sz w:val="24"/>
        <w:szCs w:val="24"/>
        <w:lang w:val="en-US" w:eastAsia="en-US" w:bidi="en-US"/>
      </w:rPr>
    </w:lvl>
    <w:lvl w:ilvl="2" w:tplc="0B5E7406">
      <w:numFmt w:val="bullet"/>
      <w:lvlText w:val="•"/>
      <w:lvlJc w:val="left"/>
      <w:pPr>
        <w:ind w:left="1558" w:hanging="360"/>
      </w:pPr>
      <w:rPr>
        <w:rFonts w:hint="default"/>
        <w:lang w:val="en-US" w:eastAsia="en-US" w:bidi="en-US"/>
      </w:rPr>
    </w:lvl>
    <w:lvl w:ilvl="3" w:tplc="9E0A7E3E">
      <w:numFmt w:val="bullet"/>
      <w:lvlText w:val="•"/>
      <w:lvlJc w:val="left"/>
      <w:pPr>
        <w:ind w:left="2276" w:hanging="360"/>
      </w:pPr>
      <w:rPr>
        <w:rFonts w:hint="default"/>
        <w:lang w:val="en-US" w:eastAsia="en-US" w:bidi="en-US"/>
      </w:rPr>
    </w:lvl>
    <w:lvl w:ilvl="4" w:tplc="9B2A2784">
      <w:numFmt w:val="bullet"/>
      <w:lvlText w:val="•"/>
      <w:lvlJc w:val="left"/>
      <w:pPr>
        <w:ind w:left="2995" w:hanging="360"/>
      </w:pPr>
      <w:rPr>
        <w:rFonts w:hint="default"/>
        <w:lang w:val="en-US" w:eastAsia="en-US" w:bidi="en-US"/>
      </w:rPr>
    </w:lvl>
    <w:lvl w:ilvl="5" w:tplc="65087E7E">
      <w:numFmt w:val="bullet"/>
      <w:lvlText w:val="•"/>
      <w:lvlJc w:val="left"/>
      <w:pPr>
        <w:ind w:left="3713" w:hanging="360"/>
      </w:pPr>
      <w:rPr>
        <w:rFonts w:hint="default"/>
        <w:lang w:val="en-US" w:eastAsia="en-US" w:bidi="en-US"/>
      </w:rPr>
    </w:lvl>
    <w:lvl w:ilvl="6" w:tplc="1848E23A">
      <w:numFmt w:val="bullet"/>
      <w:lvlText w:val="•"/>
      <w:lvlJc w:val="left"/>
      <w:pPr>
        <w:ind w:left="4431" w:hanging="360"/>
      </w:pPr>
      <w:rPr>
        <w:rFonts w:hint="default"/>
        <w:lang w:val="en-US" w:eastAsia="en-US" w:bidi="en-US"/>
      </w:rPr>
    </w:lvl>
    <w:lvl w:ilvl="7" w:tplc="87A09E4A">
      <w:numFmt w:val="bullet"/>
      <w:lvlText w:val="•"/>
      <w:lvlJc w:val="left"/>
      <w:pPr>
        <w:ind w:left="5150" w:hanging="360"/>
      </w:pPr>
      <w:rPr>
        <w:rFonts w:hint="default"/>
        <w:lang w:val="en-US" w:eastAsia="en-US" w:bidi="en-US"/>
      </w:rPr>
    </w:lvl>
    <w:lvl w:ilvl="8" w:tplc="1CD815CA">
      <w:numFmt w:val="bullet"/>
      <w:lvlText w:val="•"/>
      <w:lvlJc w:val="left"/>
      <w:pPr>
        <w:ind w:left="5868" w:hanging="360"/>
      </w:pPr>
      <w:rPr>
        <w:rFonts w:hint="default"/>
        <w:lang w:val="en-US" w:eastAsia="en-US" w:bidi="en-US"/>
      </w:rPr>
    </w:lvl>
  </w:abstractNum>
  <w:abstractNum w:abstractNumId="9">
    <w:nsid w:val="48290263"/>
    <w:multiLevelType w:val="hybridMultilevel"/>
    <w:tmpl w:val="71DEDC14"/>
    <w:lvl w:ilvl="0" w:tplc="9404D528">
      <w:numFmt w:val="bullet"/>
      <w:lvlText w:val=""/>
      <w:lvlJc w:val="left"/>
      <w:pPr>
        <w:ind w:left="833" w:hanging="360"/>
      </w:pPr>
      <w:rPr>
        <w:rFonts w:ascii="Symbol" w:eastAsia="Symbol" w:hAnsi="Symbol" w:cs="Symbol" w:hint="default"/>
        <w:w w:val="100"/>
        <w:sz w:val="24"/>
        <w:szCs w:val="24"/>
        <w:lang w:val="en-US" w:eastAsia="en-US" w:bidi="en-US"/>
      </w:rPr>
    </w:lvl>
    <w:lvl w:ilvl="1" w:tplc="E4B4822E">
      <w:numFmt w:val="bullet"/>
      <w:lvlText w:val="•"/>
      <w:lvlJc w:val="left"/>
      <w:pPr>
        <w:ind w:left="1486" w:hanging="360"/>
      </w:pPr>
      <w:rPr>
        <w:rFonts w:hint="default"/>
        <w:lang w:val="en-US" w:eastAsia="en-US" w:bidi="en-US"/>
      </w:rPr>
    </w:lvl>
    <w:lvl w:ilvl="2" w:tplc="820684C4">
      <w:numFmt w:val="bullet"/>
      <w:lvlText w:val="•"/>
      <w:lvlJc w:val="left"/>
      <w:pPr>
        <w:ind w:left="2133" w:hanging="360"/>
      </w:pPr>
      <w:rPr>
        <w:rFonts w:hint="default"/>
        <w:lang w:val="en-US" w:eastAsia="en-US" w:bidi="en-US"/>
      </w:rPr>
    </w:lvl>
    <w:lvl w:ilvl="3" w:tplc="FB021254">
      <w:numFmt w:val="bullet"/>
      <w:lvlText w:val="•"/>
      <w:lvlJc w:val="left"/>
      <w:pPr>
        <w:ind w:left="2779" w:hanging="360"/>
      </w:pPr>
      <w:rPr>
        <w:rFonts w:hint="default"/>
        <w:lang w:val="en-US" w:eastAsia="en-US" w:bidi="en-US"/>
      </w:rPr>
    </w:lvl>
    <w:lvl w:ilvl="4" w:tplc="6E1A6ED4">
      <w:numFmt w:val="bullet"/>
      <w:lvlText w:val="•"/>
      <w:lvlJc w:val="left"/>
      <w:pPr>
        <w:ind w:left="3426" w:hanging="360"/>
      </w:pPr>
      <w:rPr>
        <w:rFonts w:hint="default"/>
        <w:lang w:val="en-US" w:eastAsia="en-US" w:bidi="en-US"/>
      </w:rPr>
    </w:lvl>
    <w:lvl w:ilvl="5" w:tplc="24B69F08">
      <w:numFmt w:val="bullet"/>
      <w:lvlText w:val="•"/>
      <w:lvlJc w:val="left"/>
      <w:pPr>
        <w:ind w:left="4072" w:hanging="360"/>
      </w:pPr>
      <w:rPr>
        <w:rFonts w:hint="default"/>
        <w:lang w:val="en-US" w:eastAsia="en-US" w:bidi="en-US"/>
      </w:rPr>
    </w:lvl>
    <w:lvl w:ilvl="6" w:tplc="7D0E1286">
      <w:numFmt w:val="bullet"/>
      <w:lvlText w:val="•"/>
      <w:lvlJc w:val="left"/>
      <w:pPr>
        <w:ind w:left="4719" w:hanging="360"/>
      </w:pPr>
      <w:rPr>
        <w:rFonts w:hint="default"/>
        <w:lang w:val="en-US" w:eastAsia="en-US" w:bidi="en-US"/>
      </w:rPr>
    </w:lvl>
    <w:lvl w:ilvl="7" w:tplc="DCDA3694">
      <w:numFmt w:val="bullet"/>
      <w:lvlText w:val="•"/>
      <w:lvlJc w:val="left"/>
      <w:pPr>
        <w:ind w:left="5365" w:hanging="360"/>
      </w:pPr>
      <w:rPr>
        <w:rFonts w:hint="default"/>
        <w:lang w:val="en-US" w:eastAsia="en-US" w:bidi="en-US"/>
      </w:rPr>
    </w:lvl>
    <w:lvl w:ilvl="8" w:tplc="51C09CDC">
      <w:numFmt w:val="bullet"/>
      <w:lvlText w:val="•"/>
      <w:lvlJc w:val="left"/>
      <w:pPr>
        <w:ind w:left="6012" w:hanging="360"/>
      </w:pPr>
      <w:rPr>
        <w:rFonts w:hint="default"/>
        <w:lang w:val="en-US" w:eastAsia="en-US" w:bidi="en-US"/>
      </w:rPr>
    </w:lvl>
  </w:abstractNum>
  <w:abstractNum w:abstractNumId="10">
    <w:nsid w:val="52D44BDD"/>
    <w:multiLevelType w:val="hybridMultilevel"/>
    <w:tmpl w:val="5C3866E0"/>
    <w:lvl w:ilvl="0" w:tplc="19EA6E60">
      <w:numFmt w:val="bullet"/>
      <w:lvlText w:val=""/>
      <w:lvlJc w:val="left"/>
      <w:pPr>
        <w:ind w:left="473" w:hanging="360"/>
      </w:pPr>
      <w:rPr>
        <w:rFonts w:ascii="Symbol" w:eastAsia="Symbol" w:hAnsi="Symbol" w:cs="Symbol" w:hint="default"/>
        <w:w w:val="100"/>
        <w:sz w:val="24"/>
        <w:szCs w:val="24"/>
        <w:lang w:val="en-US" w:eastAsia="en-US" w:bidi="en-US"/>
      </w:rPr>
    </w:lvl>
    <w:lvl w:ilvl="1" w:tplc="C7348CE2">
      <w:numFmt w:val="bullet"/>
      <w:lvlText w:val=""/>
      <w:lvlJc w:val="left"/>
      <w:pPr>
        <w:ind w:left="833" w:hanging="360"/>
      </w:pPr>
      <w:rPr>
        <w:rFonts w:ascii="Symbol" w:eastAsia="Symbol" w:hAnsi="Symbol" w:cs="Symbol" w:hint="default"/>
        <w:w w:val="100"/>
        <w:sz w:val="24"/>
        <w:szCs w:val="24"/>
        <w:lang w:val="en-US" w:eastAsia="en-US" w:bidi="en-US"/>
      </w:rPr>
    </w:lvl>
    <w:lvl w:ilvl="2" w:tplc="498E57E4">
      <w:numFmt w:val="bullet"/>
      <w:lvlText w:val="•"/>
      <w:lvlJc w:val="left"/>
      <w:pPr>
        <w:ind w:left="1558" w:hanging="360"/>
      </w:pPr>
      <w:rPr>
        <w:rFonts w:hint="default"/>
        <w:lang w:val="en-US" w:eastAsia="en-US" w:bidi="en-US"/>
      </w:rPr>
    </w:lvl>
    <w:lvl w:ilvl="3" w:tplc="5AE0D178">
      <w:numFmt w:val="bullet"/>
      <w:lvlText w:val="•"/>
      <w:lvlJc w:val="left"/>
      <w:pPr>
        <w:ind w:left="2276" w:hanging="360"/>
      </w:pPr>
      <w:rPr>
        <w:rFonts w:hint="default"/>
        <w:lang w:val="en-US" w:eastAsia="en-US" w:bidi="en-US"/>
      </w:rPr>
    </w:lvl>
    <w:lvl w:ilvl="4" w:tplc="740687DC">
      <w:numFmt w:val="bullet"/>
      <w:lvlText w:val="•"/>
      <w:lvlJc w:val="left"/>
      <w:pPr>
        <w:ind w:left="2995" w:hanging="360"/>
      </w:pPr>
      <w:rPr>
        <w:rFonts w:hint="default"/>
        <w:lang w:val="en-US" w:eastAsia="en-US" w:bidi="en-US"/>
      </w:rPr>
    </w:lvl>
    <w:lvl w:ilvl="5" w:tplc="80804928">
      <w:numFmt w:val="bullet"/>
      <w:lvlText w:val="•"/>
      <w:lvlJc w:val="left"/>
      <w:pPr>
        <w:ind w:left="3713" w:hanging="360"/>
      </w:pPr>
      <w:rPr>
        <w:rFonts w:hint="default"/>
        <w:lang w:val="en-US" w:eastAsia="en-US" w:bidi="en-US"/>
      </w:rPr>
    </w:lvl>
    <w:lvl w:ilvl="6" w:tplc="17325046">
      <w:numFmt w:val="bullet"/>
      <w:lvlText w:val="•"/>
      <w:lvlJc w:val="left"/>
      <w:pPr>
        <w:ind w:left="4431" w:hanging="360"/>
      </w:pPr>
      <w:rPr>
        <w:rFonts w:hint="default"/>
        <w:lang w:val="en-US" w:eastAsia="en-US" w:bidi="en-US"/>
      </w:rPr>
    </w:lvl>
    <w:lvl w:ilvl="7" w:tplc="E0B88E86">
      <w:numFmt w:val="bullet"/>
      <w:lvlText w:val="•"/>
      <w:lvlJc w:val="left"/>
      <w:pPr>
        <w:ind w:left="5150" w:hanging="360"/>
      </w:pPr>
      <w:rPr>
        <w:rFonts w:hint="default"/>
        <w:lang w:val="en-US" w:eastAsia="en-US" w:bidi="en-US"/>
      </w:rPr>
    </w:lvl>
    <w:lvl w:ilvl="8" w:tplc="54908764">
      <w:numFmt w:val="bullet"/>
      <w:lvlText w:val="•"/>
      <w:lvlJc w:val="left"/>
      <w:pPr>
        <w:ind w:left="5868" w:hanging="360"/>
      </w:pPr>
      <w:rPr>
        <w:rFonts w:hint="default"/>
        <w:lang w:val="en-US" w:eastAsia="en-US" w:bidi="en-US"/>
      </w:rPr>
    </w:lvl>
  </w:abstractNum>
  <w:abstractNum w:abstractNumId="11">
    <w:nsid w:val="57B76115"/>
    <w:multiLevelType w:val="hybridMultilevel"/>
    <w:tmpl w:val="6A30106A"/>
    <w:lvl w:ilvl="0" w:tplc="F3A2289C">
      <w:numFmt w:val="bullet"/>
      <w:lvlText w:val=""/>
      <w:lvlJc w:val="left"/>
      <w:pPr>
        <w:ind w:left="833" w:hanging="360"/>
      </w:pPr>
      <w:rPr>
        <w:rFonts w:ascii="Symbol" w:eastAsia="Symbol" w:hAnsi="Symbol" w:cs="Symbol" w:hint="default"/>
        <w:w w:val="100"/>
        <w:sz w:val="24"/>
        <w:szCs w:val="24"/>
        <w:lang w:val="en-US" w:eastAsia="en-US" w:bidi="en-US"/>
      </w:rPr>
    </w:lvl>
    <w:lvl w:ilvl="1" w:tplc="72B4F97C">
      <w:numFmt w:val="bullet"/>
      <w:lvlText w:val="•"/>
      <w:lvlJc w:val="left"/>
      <w:pPr>
        <w:ind w:left="1486" w:hanging="360"/>
      </w:pPr>
      <w:rPr>
        <w:rFonts w:hint="default"/>
        <w:lang w:val="en-US" w:eastAsia="en-US" w:bidi="en-US"/>
      </w:rPr>
    </w:lvl>
    <w:lvl w:ilvl="2" w:tplc="CCF8F074">
      <w:numFmt w:val="bullet"/>
      <w:lvlText w:val="•"/>
      <w:lvlJc w:val="left"/>
      <w:pPr>
        <w:ind w:left="2132" w:hanging="360"/>
      </w:pPr>
      <w:rPr>
        <w:rFonts w:hint="default"/>
        <w:lang w:val="en-US" w:eastAsia="en-US" w:bidi="en-US"/>
      </w:rPr>
    </w:lvl>
    <w:lvl w:ilvl="3" w:tplc="361E8166">
      <w:numFmt w:val="bullet"/>
      <w:lvlText w:val="•"/>
      <w:lvlJc w:val="left"/>
      <w:pPr>
        <w:ind w:left="2779" w:hanging="360"/>
      </w:pPr>
      <w:rPr>
        <w:rFonts w:hint="default"/>
        <w:lang w:val="en-US" w:eastAsia="en-US" w:bidi="en-US"/>
      </w:rPr>
    </w:lvl>
    <w:lvl w:ilvl="4" w:tplc="9942FFC8">
      <w:numFmt w:val="bullet"/>
      <w:lvlText w:val="•"/>
      <w:lvlJc w:val="left"/>
      <w:pPr>
        <w:ind w:left="3425" w:hanging="360"/>
      </w:pPr>
      <w:rPr>
        <w:rFonts w:hint="default"/>
        <w:lang w:val="en-US" w:eastAsia="en-US" w:bidi="en-US"/>
      </w:rPr>
    </w:lvl>
    <w:lvl w:ilvl="5" w:tplc="64825458">
      <w:numFmt w:val="bullet"/>
      <w:lvlText w:val="•"/>
      <w:lvlJc w:val="left"/>
      <w:pPr>
        <w:ind w:left="4072" w:hanging="360"/>
      </w:pPr>
      <w:rPr>
        <w:rFonts w:hint="default"/>
        <w:lang w:val="en-US" w:eastAsia="en-US" w:bidi="en-US"/>
      </w:rPr>
    </w:lvl>
    <w:lvl w:ilvl="6" w:tplc="19320968">
      <w:numFmt w:val="bullet"/>
      <w:lvlText w:val="•"/>
      <w:lvlJc w:val="left"/>
      <w:pPr>
        <w:ind w:left="4718" w:hanging="360"/>
      </w:pPr>
      <w:rPr>
        <w:rFonts w:hint="default"/>
        <w:lang w:val="en-US" w:eastAsia="en-US" w:bidi="en-US"/>
      </w:rPr>
    </w:lvl>
    <w:lvl w:ilvl="7" w:tplc="3E3C008E">
      <w:numFmt w:val="bullet"/>
      <w:lvlText w:val="•"/>
      <w:lvlJc w:val="left"/>
      <w:pPr>
        <w:ind w:left="5364" w:hanging="360"/>
      </w:pPr>
      <w:rPr>
        <w:rFonts w:hint="default"/>
        <w:lang w:val="en-US" w:eastAsia="en-US" w:bidi="en-US"/>
      </w:rPr>
    </w:lvl>
    <w:lvl w:ilvl="8" w:tplc="CA0E23BE">
      <w:numFmt w:val="bullet"/>
      <w:lvlText w:val="•"/>
      <w:lvlJc w:val="left"/>
      <w:pPr>
        <w:ind w:left="6011" w:hanging="360"/>
      </w:pPr>
      <w:rPr>
        <w:rFonts w:hint="default"/>
        <w:lang w:val="en-US" w:eastAsia="en-US" w:bidi="en-US"/>
      </w:rPr>
    </w:lvl>
  </w:abstractNum>
  <w:num w:numId="1">
    <w:abstractNumId w:val="7"/>
  </w:num>
  <w:num w:numId="2">
    <w:abstractNumId w:val="1"/>
  </w:num>
  <w:num w:numId="3">
    <w:abstractNumId w:val="5"/>
  </w:num>
  <w:num w:numId="4">
    <w:abstractNumId w:val="2"/>
  </w:num>
  <w:num w:numId="5">
    <w:abstractNumId w:val="4"/>
  </w:num>
  <w:num w:numId="6">
    <w:abstractNumId w:val="8"/>
  </w:num>
  <w:num w:numId="7">
    <w:abstractNumId w:val="3"/>
  </w:num>
  <w:num w:numId="8">
    <w:abstractNumId w:val="10"/>
  </w:num>
  <w:num w:numId="9">
    <w:abstractNumId w:val="9"/>
  </w:num>
  <w:num w:numId="10">
    <w:abstractNumId w:val="0"/>
  </w:num>
  <w:num w:numId="11">
    <w:abstractNumId w:val="6"/>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lTrailSpace/>
    <w:useFELayout/>
  </w:compat>
  <w:rsids>
    <w:rsidRoot w:val="000B2401"/>
    <w:rsid w:val="00022E7C"/>
    <w:rsid w:val="000B2401"/>
    <w:rsid w:val="000F782C"/>
    <w:rsid w:val="001149F8"/>
    <w:rsid w:val="00127F72"/>
    <w:rsid w:val="003A4CE5"/>
    <w:rsid w:val="004A7395"/>
    <w:rsid w:val="005B6859"/>
    <w:rsid w:val="005C7E69"/>
    <w:rsid w:val="00733FF5"/>
    <w:rsid w:val="007457A4"/>
    <w:rsid w:val="00786303"/>
    <w:rsid w:val="007B73A3"/>
    <w:rsid w:val="0084142A"/>
    <w:rsid w:val="0085300C"/>
    <w:rsid w:val="008F1418"/>
    <w:rsid w:val="009044BA"/>
    <w:rsid w:val="009A440F"/>
    <w:rsid w:val="00A7757F"/>
    <w:rsid w:val="00AD0B91"/>
    <w:rsid w:val="00B2367D"/>
    <w:rsid w:val="00B405E1"/>
    <w:rsid w:val="00B41B23"/>
    <w:rsid w:val="00B81866"/>
    <w:rsid w:val="00C41A33"/>
    <w:rsid w:val="00C64926"/>
    <w:rsid w:val="00CD639A"/>
    <w:rsid w:val="00D83916"/>
    <w:rsid w:val="00DA641A"/>
    <w:rsid w:val="00DB4664"/>
    <w:rsid w:val="00EB24D8"/>
    <w:rsid w:val="00F1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44BA"/>
    <w:rPr>
      <w:rFonts w:ascii="Times New Roman" w:eastAsia="Times New Roman" w:hAnsi="Times New Roman" w:cs="Times New Roman"/>
      <w:lang w:bidi="en-US"/>
    </w:rPr>
  </w:style>
  <w:style w:type="paragraph" w:styleId="Heading1">
    <w:name w:val="heading 1"/>
    <w:basedOn w:val="Normal"/>
    <w:uiPriority w:val="1"/>
    <w:qFormat/>
    <w:rsid w:val="009044BA"/>
    <w:pPr>
      <w:ind w:left="1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044BA"/>
    <w:pPr>
      <w:ind w:left="1280"/>
    </w:pPr>
    <w:rPr>
      <w:sz w:val="24"/>
      <w:szCs w:val="24"/>
    </w:rPr>
  </w:style>
  <w:style w:type="paragraph" w:styleId="ListParagraph">
    <w:name w:val="List Paragraph"/>
    <w:basedOn w:val="Normal"/>
    <w:uiPriority w:val="1"/>
    <w:qFormat/>
    <w:rsid w:val="009044BA"/>
    <w:pPr>
      <w:ind w:left="1280" w:hanging="360"/>
    </w:pPr>
  </w:style>
  <w:style w:type="paragraph" w:customStyle="1" w:styleId="TableParagraph">
    <w:name w:val="Table Paragraph"/>
    <w:basedOn w:val="Normal"/>
    <w:uiPriority w:val="1"/>
    <w:qFormat/>
    <w:rsid w:val="009044BA"/>
    <w:pPr>
      <w:ind w:left="107"/>
    </w:pPr>
  </w:style>
  <w:style w:type="paragraph" w:styleId="BalloonText">
    <w:name w:val="Balloon Text"/>
    <w:basedOn w:val="Normal"/>
    <w:link w:val="BalloonTextChar"/>
    <w:uiPriority w:val="99"/>
    <w:semiHidden/>
    <w:unhideWhenUsed/>
    <w:rsid w:val="00C41A33"/>
    <w:rPr>
      <w:rFonts w:ascii="Tahoma" w:hAnsi="Tahoma" w:cs="Tahoma"/>
      <w:sz w:val="16"/>
      <w:szCs w:val="16"/>
    </w:rPr>
  </w:style>
  <w:style w:type="character" w:customStyle="1" w:styleId="BalloonTextChar">
    <w:name w:val="Balloon Text Char"/>
    <w:basedOn w:val="DefaultParagraphFont"/>
    <w:link w:val="BalloonText"/>
    <w:uiPriority w:val="99"/>
    <w:semiHidden/>
    <w:rsid w:val="00C41A33"/>
    <w:rPr>
      <w:rFonts w:ascii="Tahoma" w:eastAsia="Times New Roman" w:hAnsi="Tahoma" w:cs="Tahoma"/>
      <w:sz w:val="16"/>
      <w:szCs w:val="16"/>
      <w:lang w:bidi="en-US"/>
    </w:rPr>
  </w:style>
  <w:style w:type="paragraph" w:styleId="Header">
    <w:name w:val="header"/>
    <w:basedOn w:val="Normal"/>
    <w:link w:val="HeaderChar"/>
    <w:uiPriority w:val="99"/>
    <w:unhideWhenUsed/>
    <w:rsid w:val="00DA641A"/>
    <w:pPr>
      <w:tabs>
        <w:tab w:val="center" w:pos="4153"/>
        <w:tab w:val="right" w:pos="8306"/>
      </w:tabs>
    </w:pPr>
  </w:style>
  <w:style w:type="character" w:customStyle="1" w:styleId="HeaderChar">
    <w:name w:val="Header Char"/>
    <w:basedOn w:val="DefaultParagraphFont"/>
    <w:link w:val="Header"/>
    <w:uiPriority w:val="99"/>
    <w:rsid w:val="00DA641A"/>
    <w:rPr>
      <w:rFonts w:ascii="Times New Roman" w:eastAsia="Times New Roman" w:hAnsi="Times New Roman" w:cs="Times New Roman"/>
      <w:lang w:bidi="en-US"/>
    </w:rPr>
  </w:style>
  <w:style w:type="paragraph" w:styleId="Footer">
    <w:name w:val="footer"/>
    <w:basedOn w:val="Normal"/>
    <w:link w:val="FooterChar"/>
    <w:uiPriority w:val="99"/>
    <w:unhideWhenUsed/>
    <w:rsid w:val="00DA641A"/>
    <w:pPr>
      <w:tabs>
        <w:tab w:val="center" w:pos="4153"/>
        <w:tab w:val="right" w:pos="8306"/>
      </w:tabs>
    </w:pPr>
  </w:style>
  <w:style w:type="character" w:customStyle="1" w:styleId="FooterChar">
    <w:name w:val="Footer Char"/>
    <w:basedOn w:val="DefaultParagraphFont"/>
    <w:link w:val="Footer"/>
    <w:uiPriority w:val="99"/>
    <w:rsid w:val="00DA641A"/>
    <w:rPr>
      <w:rFonts w:ascii="Times New Roman" w:eastAsia="Times New Roman" w:hAnsi="Times New Roman" w:cs="Times New Roman"/>
      <w:lang w:bidi="en-US"/>
    </w:rPr>
  </w:style>
  <w:style w:type="table" w:styleId="TableGrid">
    <w:name w:val="Table Grid"/>
    <w:basedOn w:val="TableNormal"/>
    <w:uiPriority w:val="59"/>
    <w:rsid w:val="00DA6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41B23"/>
    <w:rPr>
      <w:color w:val="000000"/>
      <w:u w:val="single"/>
    </w:rPr>
  </w:style>
  <w:style w:type="paragraph" w:styleId="NoSpacing">
    <w:name w:val="No Spacing"/>
    <w:basedOn w:val="Normal"/>
    <w:link w:val="NoSpacingChar"/>
    <w:qFormat/>
    <w:rsid w:val="00B41B23"/>
    <w:pPr>
      <w:widowControl/>
      <w:autoSpaceDE/>
      <w:autoSpaceDN/>
      <w:spacing w:before="100" w:beforeAutospacing="1" w:after="100" w:afterAutospacing="1"/>
    </w:pPr>
    <w:rPr>
      <w:rFonts w:eastAsia="宋体"/>
      <w:sz w:val="24"/>
      <w:szCs w:val="24"/>
      <w:lang w:eastAsia="zh-CN" w:bidi="ar-SA"/>
    </w:rPr>
  </w:style>
  <w:style w:type="character" w:customStyle="1" w:styleId="NoSpacingChar">
    <w:name w:val="No Spacing Char"/>
    <w:basedOn w:val="DefaultParagraphFont"/>
    <w:link w:val="NoSpacing"/>
    <w:locked/>
    <w:rsid w:val="00B41B23"/>
    <w:rPr>
      <w:rFonts w:ascii="Times New Roman" w:eastAsia="宋体" w:hAnsi="Times New Roman" w:cs="Times New Roman"/>
      <w:sz w:val="24"/>
      <w:szCs w:val="24"/>
      <w:lang w:eastAsia="zh-CN"/>
    </w:rPr>
  </w:style>
  <w:style w:type="character" w:customStyle="1" w:styleId="msonormal0">
    <w:name w:val="msonormal0"/>
    <w:basedOn w:val="DefaultParagraphFont"/>
    <w:rsid w:val="00B41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0"/>
    </w:pPr>
    <w:rPr>
      <w:sz w:val="24"/>
      <w:szCs w:val="24"/>
    </w:rPr>
  </w:style>
  <w:style w:type="paragraph" w:styleId="ListParagraph">
    <w:name w:val="List Paragraph"/>
    <w:basedOn w:val="Normal"/>
    <w:uiPriority w:val="1"/>
    <w:qFormat/>
    <w:pPr>
      <w:ind w:left="12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41A33"/>
    <w:rPr>
      <w:rFonts w:ascii="Tahoma" w:hAnsi="Tahoma" w:cs="Tahoma"/>
      <w:sz w:val="16"/>
      <w:szCs w:val="16"/>
    </w:rPr>
  </w:style>
  <w:style w:type="character" w:customStyle="1" w:styleId="BalloonTextChar">
    <w:name w:val="Balloon Text Char"/>
    <w:basedOn w:val="DefaultParagraphFont"/>
    <w:link w:val="BalloonText"/>
    <w:uiPriority w:val="99"/>
    <w:semiHidden/>
    <w:rsid w:val="00C41A33"/>
    <w:rPr>
      <w:rFonts w:ascii="Tahoma" w:eastAsia="Times New Roman" w:hAnsi="Tahoma" w:cs="Tahoma"/>
      <w:sz w:val="16"/>
      <w:szCs w:val="16"/>
      <w:lang w:bidi="en-US"/>
    </w:rPr>
  </w:style>
  <w:style w:type="paragraph" w:styleId="Header">
    <w:name w:val="header"/>
    <w:basedOn w:val="Normal"/>
    <w:link w:val="HeaderChar"/>
    <w:uiPriority w:val="99"/>
    <w:unhideWhenUsed/>
    <w:rsid w:val="00DA641A"/>
    <w:pPr>
      <w:tabs>
        <w:tab w:val="center" w:pos="4153"/>
        <w:tab w:val="right" w:pos="8306"/>
      </w:tabs>
    </w:pPr>
  </w:style>
  <w:style w:type="character" w:customStyle="1" w:styleId="HeaderChar">
    <w:name w:val="Header Char"/>
    <w:basedOn w:val="DefaultParagraphFont"/>
    <w:link w:val="Header"/>
    <w:uiPriority w:val="99"/>
    <w:rsid w:val="00DA641A"/>
    <w:rPr>
      <w:rFonts w:ascii="Times New Roman" w:eastAsia="Times New Roman" w:hAnsi="Times New Roman" w:cs="Times New Roman"/>
      <w:lang w:bidi="en-US"/>
    </w:rPr>
  </w:style>
  <w:style w:type="paragraph" w:styleId="Footer">
    <w:name w:val="footer"/>
    <w:basedOn w:val="Normal"/>
    <w:link w:val="FooterChar"/>
    <w:uiPriority w:val="99"/>
    <w:unhideWhenUsed/>
    <w:rsid w:val="00DA641A"/>
    <w:pPr>
      <w:tabs>
        <w:tab w:val="center" w:pos="4153"/>
        <w:tab w:val="right" w:pos="8306"/>
      </w:tabs>
    </w:pPr>
  </w:style>
  <w:style w:type="character" w:customStyle="1" w:styleId="FooterChar">
    <w:name w:val="Footer Char"/>
    <w:basedOn w:val="DefaultParagraphFont"/>
    <w:link w:val="Footer"/>
    <w:uiPriority w:val="99"/>
    <w:rsid w:val="00DA641A"/>
    <w:rPr>
      <w:rFonts w:ascii="Times New Roman" w:eastAsia="Times New Roman" w:hAnsi="Times New Roman" w:cs="Times New Roman"/>
      <w:lang w:bidi="en-US"/>
    </w:rPr>
  </w:style>
  <w:style w:type="table" w:styleId="TableGrid">
    <w:name w:val="Table Grid"/>
    <w:basedOn w:val="TableNormal"/>
    <w:uiPriority w:val="59"/>
    <w:rsid w:val="00DA6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mr.abdalla@nci.cu.edu.e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x.doi.org/10.7537/marscbj090319.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bio.net"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dr_samah_nci@yahoo.com" TargetMode="External"/><Relationship Id="rId13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aiiyoussef2010@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B830-F5C5-4828-9B6A-090958C2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5213</Words>
  <Characters>29719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2019-08-05T14:35:00Z</dcterms:created>
  <dcterms:modified xsi:type="dcterms:W3CDTF">2019-08-06T06:11:00Z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Word 2010</vt:lpwstr>
  </property>
  <property fmtid="{D5CDD505-2E9C-101B-9397-08002B2CF9AE}" pid="4" name="LastSaved">
    <vt:filetime>2019-08-03T00:00:00Z</vt:filetime>
  </property>
</Properties>
</file>