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1B93" w:rsidRDefault="00AB1B93" w:rsidP="00AB1B93">
      <w:pPr>
        <w:pStyle w:val="Heading1"/>
        <w:spacing w:line="240" w:lineRule="auto"/>
        <w:ind w:left="0" w:right="-46"/>
        <w:jc w:val="center"/>
      </w:pPr>
      <w:r>
        <w:t>Dosimetric planning study of hypofractionated radiotherapy with a concomitant boost after breast conserving surgery</w:t>
      </w:r>
    </w:p>
    <w:p w:rsidR="00AB1B93" w:rsidRDefault="00AB1B93" w:rsidP="00AB1B93">
      <w:pPr>
        <w:pStyle w:val="BodyText"/>
        <w:ind w:left="0" w:right="-46"/>
        <w:jc w:val="center"/>
        <w:rPr>
          <w:b/>
          <w:sz w:val="19"/>
        </w:rPr>
      </w:pPr>
    </w:p>
    <w:p w:rsidR="00AB1B93" w:rsidRPr="00E55685" w:rsidRDefault="00AB1B93" w:rsidP="00AB1B93">
      <w:pPr>
        <w:pStyle w:val="BodyText"/>
        <w:ind w:left="0" w:right="-46"/>
        <w:jc w:val="center"/>
        <w:rPr>
          <w:vertAlign w:val="superscript"/>
        </w:rPr>
      </w:pPr>
      <w:r>
        <w:rPr>
          <w:color w:val="141314"/>
        </w:rPr>
        <w:t>Sara Hassan Shams El Din</w:t>
      </w:r>
      <w:r>
        <w:rPr>
          <w:color w:val="141314"/>
          <w:vertAlign w:val="superscript"/>
        </w:rPr>
        <w:t>1</w:t>
      </w:r>
      <w:r>
        <w:rPr>
          <w:color w:val="141314"/>
        </w:rPr>
        <w:t>, Mohamed Hassan</w:t>
      </w:r>
      <w:r>
        <w:rPr>
          <w:color w:val="141314"/>
          <w:vertAlign w:val="superscript"/>
        </w:rPr>
        <w:t>1</w:t>
      </w:r>
      <w:r>
        <w:rPr>
          <w:color w:val="141314"/>
        </w:rPr>
        <w:t>, Farouk Hagag</w:t>
      </w:r>
      <w:r>
        <w:rPr>
          <w:color w:val="141314"/>
          <w:vertAlign w:val="superscript"/>
        </w:rPr>
        <w:t>1</w:t>
      </w:r>
      <w:r>
        <w:rPr>
          <w:color w:val="141314"/>
        </w:rPr>
        <w:t>, Rania Moussa</w:t>
      </w:r>
      <w:r>
        <w:rPr>
          <w:color w:val="141314"/>
          <w:vertAlign w:val="superscript"/>
        </w:rPr>
        <w:t>2</w:t>
      </w:r>
      <w:r w:rsidRPr="008603AA">
        <w:rPr>
          <w:color w:val="141314"/>
        </w:rPr>
        <w:t>,</w:t>
      </w:r>
      <w:r>
        <w:rPr>
          <w:color w:val="141314"/>
        </w:rPr>
        <w:t xml:space="preserve"> Shaimaa Lasheen</w:t>
      </w:r>
      <w:r>
        <w:rPr>
          <w:color w:val="141314"/>
          <w:vertAlign w:val="superscript"/>
        </w:rPr>
        <w:t>1</w:t>
      </w:r>
    </w:p>
    <w:p w:rsidR="00AB1B93" w:rsidRDefault="00AB1B93" w:rsidP="00AB1B93">
      <w:pPr>
        <w:pStyle w:val="BodyText"/>
        <w:ind w:left="0" w:right="-46"/>
        <w:jc w:val="center"/>
      </w:pPr>
    </w:p>
    <w:p w:rsidR="00AB1B93" w:rsidRDefault="00AB1B93" w:rsidP="00AB1B93">
      <w:pPr>
        <w:pStyle w:val="BodyText"/>
        <w:ind w:left="0" w:right="-46"/>
        <w:jc w:val="center"/>
      </w:pPr>
      <w:r>
        <w:rPr>
          <w:color w:val="141314"/>
          <w:vertAlign w:val="superscript"/>
        </w:rPr>
        <w:t>1</w:t>
      </w:r>
      <w:r w:rsidRPr="00903154">
        <w:rPr>
          <w:color w:val="141314"/>
        </w:rPr>
        <w:t xml:space="preserve"> </w:t>
      </w:r>
      <w:r>
        <w:rPr>
          <w:color w:val="141314"/>
        </w:rPr>
        <w:t>Department of clinical oncology, Faculty of Medicine- Cairo University, Cairo, Egypt.</w:t>
      </w:r>
    </w:p>
    <w:p w:rsidR="00AB1B93" w:rsidRDefault="00AB1B93" w:rsidP="005A7767">
      <w:pPr>
        <w:pStyle w:val="BodyText"/>
        <w:ind w:left="0" w:right="-46"/>
        <w:jc w:val="center"/>
      </w:pPr>
      <w:r>
        <w:rPr>
          <w:color w:val="141314"/>
          <w:vertAlign w:val="superscript"/>
        </w:rPr>
        <w:t>2</w:t>
      </w:r>
      <w:r w:rsidDel="00903154">
        <w:rPr>
          <w:color w:val="141314"/>
        </w:rPr>
        <w:t xml:space="preserve"> </w:t>
      </w:r>
      <w:bookmarkStart w:id="0" w:name="_GoBack"/>
      <w:bookmarkEnd w:id="0"/>
      <w:r>
        <w:rPr>
          <w:color w:val="141314"/>
        </w:rPr>
        <w:t xml:space="preserve"> Department of medical physics, Faculty of Medicine- Cairo University, Cairo, Egypt.</w:t>
      </w:r>
    </w:p>
    <w:p w:rsidR="00AB1B93" w:rsidRDefault="00794482" w:rsidP="00AB1B93">
      <w:pPr>
        <w:pStyle w:val="BodyText"/>
        <w:ind w:left="0" w:right="-46"/>
        <w:jc w:val="center"/>
      </w:pPr>
      <w:hyperlink r:id="rId9">
        <w:r w:rsidR="00AB1B93">
          <w:rPr>
            <w:color w:val="0000FF"/>
          </w:rPr>
          <w:t>Sara.hassan.shams85@gmail.com</w:t>
        </w:r>
      </w:hyperlink>
    </w:p>
    <w:p w:rsidR="00AB1B93" w:rsidRDefault="00AB1B93" w:rsidP="00AB1B93">
      <w:pPr>
        <w:pStyle w:val="BodyText"/>
        <w:ind w:left="0" w:right="-46"/>
        <w:rPr>
          <w:sz w:val="19"/>
        </w:rPr>
      </w:pPr>
    </w:p>
    <w:p w:rsidR="00AB1B93" w:rsidRDefault="00AB1B93" w:rsidP="00AB1B93">
      <w:pPr>
        <w:pStyle w:val="BodyText"/>
        <w:ind w:left="0" w:right="-46"/>
      </w:pPr>
      <w:r>
        <w:rPr>
          <w:b/>
          <w:color w:val="141314"/>
        </w:rPr>
        <w:t>Abstract</w:t>
      </w:r>
      <w:r>
        <w:rPr>
          <w:b/>
        </w:rPr>
        <w:t xml:space="preserve">: Background: </w:t>
      </w:r>
      <w:r>
        <w:t>Whole breast irradiation followed by a tumor bed boost is the standard of care after breast conserving surgery (BCS). This entails a protracted radiotherapy course over 6-7 weeks with a consequent increase in work load and cost of radiotherapy, as well as reduced patient compliance.</w:t>
      </w:r>
      <w:r>
        <w:rPr>
          <w:spacing w:val="-5"/>
        </w:rPr>
        <w:t xml:space="preserve"> </w:t>
      </w:r>
      <w:r>
        <w:rPr>
          <w:b/>
        </w:rPr>
        <w:t xml:space="preserve">Patients and Methods: </w:t>
      </w:r>
      <w:r>
        <w:rPr>
          <w:color w:val="141314"/>
          <w:spacing w:val="-3"/>
        </w:rPr>
        <w:t xml:space="preserve">This </w:t>
      </w:r>
      <w:r>
        <w:rPr>
          <w:color w:val="141314"/>
        </w:rPr>
        <w:t xml:space="preserve">dosimetric study was conducted at </w:t>
      </w:r>
      <w:r>
        <w:rPr>
          <w:color w:val="141314"/>
          <w:spacing w:val="-3"/>
        </w:rPr>
        <w:t xml:space="preserve">Kasr </w:t>
      </w:r>
      <w:r>
        <w:rPr>
          <w:color w:val="141314"/>
        </w:rPr>
        <w:t xml:space="preserve">El-aini Center </w:t>
      </w:r>
      <w:r>
        <w:rPr>
          <w:color w:val="141314"/>
          <w:spacing w:val="-3"/>
        </w:rPr>
        <w:t xml:space="preserve">of </w:t>
      </w:r>
      <w:r>
        <w:rPr>
          <w:color w:val="141314"/>
        </w:rPr>
        <w:t>Clinical Oncology and Nuclear Medicine (NEMROCK) to elicit the feasibility of applying an accelerated hypofractionated course of whole breast irradiation with a concurrent tumor bed boost</w:t>
      </w:r>
      <w:r>
        <w:t xml:space="preserve">. </w:t>
      </w:r>
      <w:r>
        <w:rPr>
          <w:color w:val="141314"/>
        </w:rPr>
        <w:t xml:space="preserve"> Radiotherapy planning using 3DCRT was done for breast cancer patients eligible for post-operative radiation following BCS, aiming to deliver </w:t>
      </w:r>
      <w:r>
        <w:t xml:space="preserve">a hypofractionated radiation schedule of 40 Gy in 15 fractions (2.67 Gy per fraction) </w:t>
      </w:r>
      <w:r>
        <w:rPr>
          <w:spacing w:val="-4"/>
        </w:rPr>
        <w:t xml:space="preserve">over </w:t>
      </w:r>
      <w:r>
        <w:t xml:space="preserve">3 </w:t>
      </w:r>
      <w:r>
        <w:rPr>
          <w:spacing w:val="-3"/>
        </w:rPr>
        <w:t xml:space="preserve">weeks </w:t>
      </w:r>
      <w:r>
        <w:t xml:space="preserve">to the whole breast with a concomitant tumor bed </w:t>
      </w:r>
      <w:r>
        <w:rPr>
          <w:spacing w:val="-4"/>
        </w:rPr>
        <w:t xml:space="preserve">boost of </w:t>
      </w:r>
      <w:r>
        <w:t xml:space="preserve">8.0 Gy in 15 fractions(0.5 Gy per fraction) </w:t>
      </w:r>
      <w:r>
        <w:rPr>
          <w:spacing w:val="-4"/>
        </w:rPr>
        <w:t xml:space="preserve">over </w:t>
      </w:r>
      <w:r>
        <w:t xml:space="preserve">3 weeks. Dosimetric parameters </w:t>
      </w:r>
      <w:r>
        <w:rPr>
          <w:spacing w:val="-4"/>
        </w:rPr>
        <w:t xml:space="preserve">for </w:t>
      </w:r>
      <w:r>
        <w:t xml:space="preserve">the coverage </w:t>
      </w:r>
      <w:r>
        <w:rPr>
          <w:spacing w:val="-3"/>
        </w:rPr>
        <w:t xml:space="preserve">of </w:t>
      </w:r>
      <w:r>
        <w:t xml:space="preserve">the breast CTV were evaluated using </w:t>
      </w:r>
      <w:r>
        <w:rPr>
          <w:spacing w:val="-3"/>
        </w:rPr>
        <w:t xml:space="preserve">V38, V36 </w:t>
      </w:r>
      <w:r>
        <w:t xml:space="preserve">Gy and the homogeneity using the Dmax and the Dmin. </w:t>
      </w:r>
      <w:r>
        <w:rPr>
          <w:spacing w:val="-3"/>
        </w:rPr>
        <w:t xml:space="preserve">For </w:t>
      </w:r>
      <w:r>
        <w:t xml:space="preserve">the coverage </w:t>
      </w:r>
      <w:r>
        <w:rPr>
          <w:spacing w:val="-3"/>
        </w:rPr>
        <w:t xml:space="preserve">of </w:t>
      </w:r>
      <w:r>
        <w:t xml:space="preserve">the </w:t>
      </w:r>
      <w:r>
        <w:rPr>
          <w:spacing w:val="-4"/>
        </w:rPr>
        <w:t xml:space="preserve">boost </w:t>
      </w:r>
      <w:r>
        <w:t xml:space="preserve">PTV V45.6 Gy and V43Gy were used as well as Dmax and Dmin for dose homogeneity. As </w:t>
      </w:r>
      <w:r>
        <w:rPr>
          <w:spacing w:val="-4"/>
        </w:rPr>
        <w:t xml:space="preserve">for the </w:t>
      </w:r>
      <w:r>
        <w:t>organs at risk (OAR), doses to the ipsilateral lung, heart and contralateral breast were evaluated aiming to meet the pre-specified constraints.</w:t>
      </w:r>
      <w:r>
        <w:rPr>
          <w:spacing w:val="-5"/>
        </w:rPr>
        <w:t xml:space="preserve"> </w:t>
      </w:r>
      <w:r>
        <w:rPr>
          <w:b/>
        </w:rPr>
        <w:t xml:space="preserve">Results: </w:t>
      </w:r>
      <w:r>
        <w:t xml:space="preserve"> A total </w:t>
      </w:r>
      <w:r>
        <w:rPr>
          <w:spacing w:val="-3"/>
        </w:rPr>
        <w:t xml:space="preserve">of </w:t>
      </w:r>
      <w:r>
        <w:t xml:space="preserve">63 plans were performed.  The dosimetric parameters </w:t>
      </w:r>
      <w:r>
        <w:rPr>
          <w:spacing w:val="-4"/>
        </w:rPr>
        <w:t xml:space="preserve">for </w:t>
      </w:r>
      <w:r>
        <w:t xml:space="preserve">the coverage </w:t>
      </w:r>
      <w:r>
        <w:rPr>
          <w:spacing w:val="-3"/>
        </w:rPr>
        <w:t xml:space="preserve">of </w:t>
      </w:r>
      <w:r>
        <w:t xml:space="preserve">target volumes and dose constrain </w:t>
      </w:r>
      <w:r>
        <w:rPr>
          <w:spacing w:val="-4"/>
        </w:rPr>
        <w:t xml:space="preserve">for </w:t>
      </w:r>
      <w:r>
        <w:t xml:space="preserve">OAR were in compliance with our protocol. </w:t>
      </w:r>
      <w:r>
        <w:rPr>
          <w:b/>
          <w:spacing w:val="-3"/>
        </w:rPr>
        <w:t xml:space="preserve">Conclusions: </w:t>
      </w:r>
      <w:r>
        <w:t xml:space="preserve">Hypofractionated radiotherapy in three </w:t>
      </w:r>
      <w:r>
        <w:rPr>
          <w:spacing w:val="-3"/>
        </w:rPr>
        <w:t xml:space="preserve">weeks </w:t>
      </w:r>
      <w:r>
        <w:t xml:space="preserve">to the whole breast with a concomitant boost in patients undergoing breast conserving surgery (BCS) is feasible from a dosimetric point of view, with acceptable coverage and doses to OAR parameters. </w:t>
      </w:r>
    </w:p>
    <w:p w:rsidR="00AB1B93" w:rsidRDefault="00AB1B93" w:rsidP="00AB1B93">
      <w:pPr>
        <w:ind w:right="-46"/>
        <w:jc w:val="both"/>
        <w:rPr>
          <w:sz w:val="20"/>
        </w:rPr>
      </w:pPr>
      <w:r>
        <w:rPr>
          <w:b/>
          <w:sz w:val="20"/>
        </w:rPr>
        <w:t>[</w:t>
      </w:r>
      <w:r>
        <w:rPr>
          <w:color w:val="141314"/>
          <w:sz w:val="20"/>
        </w:rPr>
        <w:t xml:space="preserve">Sara Hassan Shams El Din, Mohamed Hassan, Farouk Hagag, Rania Moussa Shaimaa Lasheen. </w:t>
      </w:r>
      <w:r>
        <w:rPr>
          <w:b/>
          <w:sz w:val="20"/>
        </w:rPr>
        <w:t xml:space="preserve">Dosimetric planning study for 3D hypofractionated radiotherapy in early breast cancer patients. </w:t>
      </w:r>
      <w:r>
        <w:rPr>
          <w:i/>
          <w:sz w:val="20"/>
        </w:rPr>
        <w:t xml:space="preserve">Cancer Biology </w:t>
      </w:r>
      <w:r>
        <w:rPr>
          <w:sz w:val="20"/>
        </w:rPr>
        <w:t xml:space="preserve">2020;10(1):17-22]. ISSN: 2150-1041 (print); ISSN: 2150-105X (online). </w:t>
      </w:r>
      <w:hyperlink r:id="rId10">
        <w:r>
          <w:rPr>
            <w:color w:val="0000FF"/>
            <w:sz w:val="20"/>
            <w:u w:val="single" w:color="0000FF"/>
          </w:rPr>
          <w:t>http://www.cancerbio.net</w:t>
        </w:r>
        <w:r>
          <w:rPr>
            <w:sz w:val="20"/>
          </w:rPr>
          <w:t>.</w:t>
        </w:r>
      </w:hyperlink>
      <w:r>
        <w:rPr>
          <w:sz w:val="20"/>
        </w:rPr>
        <w:t xml:space="preserve"> 2. doi:</w:t>
      </w:r>
      <w:r>
        <w:rPr>
          <w:color w:val="0000FF"/>
          <w:sz w:val="20"/>
          <w:u w:val="single" w:color="0000FF"/>
        </w:rPr>
        <w:t>10.7537/marscbj100120.02</w:t>
      </w:r>
      <w:r>
        <w:rPr>
          <w:sz w:val="20"/>
        </w:rPr>
        <w:t>.</w:t>
      </w:r>
    </w:p>
    <w:p w:rsidR="00AB1B93" w:rsidRDefault="00AB1B93" w:rsidP="00AB1B93">
      <w:pPr>
        <w:pStyle w:val="BodyText"/>
        <w:ind w:left="0" w:right="-46"/>
      </w:pPr>
    </w:p>
    <w:p w:rsidR="00D56C35" w:rsidRDefault="00AB1B93" w:rsidP="00AB1B93">
      <w:pPr>
        <w:ind w:left="1134" w:right="-46" w:hanging="1134"/>
        <w:jc w:val="both"/>
        <w:rPr>
          <w:lang w:bidi="ar-EG"/>
        </w:rPr>
      </w:pPr>
      <w:r>
        <w:rPr>
          <w:b/>
        </w:rPr>
        <w:t>Key words</w:t>
      </w:r>
      <w:r>
        <w:t>: Dosimetric planning - Hypofractionation - Concomitant boost - Breast conserving therapy - Tumor bed</w:t>
      </w:r>
    </w:p>
    <w:p w:rsidR="00AB1B93" w:rsidRDefault="00AB1B93" w:rsidP="00AB1B93">
      <w:pPr>
        <w:ind w:right="-46"/>
        <w:jc w:val="both"/>
        <w:rPr>
          <w:lang w:bidi="ar-EG"/>
        </w:rPr>
      </w:pPr>
    </w:p>
    <w:p w:rsidR="00AB1B93" w:rsidRDefault="00AB1B93" w:rsidP="00AB1B93">
      <w:pPr>
        <w:pStyle w:val="Heading1"/>
        <w:numPr>
          <w:ilvl w:val="0"/>
          <w:numId w:val="1"/>
        </w:numPr>
        <w:tabs>
          <w:tab w:val="left" w:pos="0"/>
        </w:tabs>
        <w:spacing w:line="240" w:lineRule="auto"/>
        <w:ind w:left="0" w:right="-46"/>
        <w:jc w:val="both"/>
        <w:sectPr w:rsidR="00AB1B93" w:rsidSect="00AB1B93">
          <w:headerReference w:type="default" r:id="rId11"/>
          <w:footerReference w:type="default" r:id="rId12"/>
          <w:pgSz w:w="11906" w:h="16838"/>
          <w:pgMar w:top="1440" w:right="1440" w:bottom="1440" w:left="1440" w:header="709" w:footer="709" w:gutter="0"/>
          <w:pgNumType w:start="17"/>
          <w:cols w:space="708"/>
          <w:bidi/>
          <w:rtlGutter/>
          <w:docGrid w:linePitch="360"/>
        </w:sectPr>
      </w:pPr>
    </w:p>
    <w:p w:rsidR="00AB1B93" w:rsidRDefault="00AB1B93" w:rsidP="00AB1B93">
      <w:pPr>
        <w:pStyle w:val="Heading1"/>
        <w:numPr>
          <w:ilvl w:val="0"/>
          <w:numId w:val="1"/>
        </w:numPr>
        <w:tabs>
          <w:tab w:val="left" w:pos="426"/>
        </w:tabs>
        <w:spacing w:line="240" w:lineRule="auto"/>
        <w:ind w:left="426" w:right="-46" w:hanging="426"/>
        <w:jc w:val="both"/>
      </w:pPr>
      <w:r>
        <w:lastRenderedPageBreak/>
        <w:t>Introduction</w:t>
      </w:r>
    </w:p>
    <w:p w:rsidR="00AB1B93" w:rsidRDefault="00AB1B93" w:rsidP="00AB1B93">
      <w:pPr>
        <w:pStyle w:val="BodyText"/>
        <w:ind w:left="0" w:right="-46" w:firstLine="427"/>
        <w:rPr>
          <w:b/>
        </w:rPr>
      </w:pPr>
      <w:r>
        <w:t xml:space="preserve">Breast conserving surgery (BCS) followed by postoperative radiotherapy (breast conserving therapy, BCT) </w:t>
      </w:r>
      <w:r>
        <w:rPr>
          <w:spacing w:val="-3"/>
        </w:rPr>
        <w:t>has</w:t>
      </w:r>
      <w:r>
        <w:t xml:space="preserve"> been proved as</w:t>
      </w:r>
      <w:r>
        <w:rPr>
          <w:spacing w:val="-3"/>
        </w:rPr>
        <w:t xml:space="preserve"> </w:t>
      </w:r>
      <w:r>
        <w:t xml:space="preserve">an alternative treatment to modified radical mastectomy </w:t>
      </w:r>
      <w:r>
        <w:rPr>
          <w:spacing w:val="-4"/>
        </w:rPr>
        <w:t xml:space="preserve">for </w:t>
      </w:r>
      <w:r>
        <w:rPr>
          <w:spacing w:val="-3"/>
        </w:rPr>
        <w:t xml:space="preserve">women </w:t>
      </w:r>
      <w:r>
        <w:t xml:space="preserve">with early breast cancer as proved by several randomized controlled trials... Breast conserving surgery followed by post-operative radiotherapy resulted in significantly lower local recurrence rates compared to breast conserving surgery alone. Long term follow-up showed equivalent overall survival rates among patients who received breast conserving therapy compared to those who underwent radical mastectomy. Moreover, studies have shown an enhanced quality of life among women undergoing breast conserving therapy. Consequently, breast-conserving therapy has </w:t>
      </w:r>
      <w:r>
        <w:rPr>
          <w:spacing w:val="-3"/>
        </w:rPr>
        <w:t xml:space="preserve">become </w:t>
      </w:r>
      <w:r>
        <w:t xml:space="preserve">the recommended option </w:t>
      </w:r>
      <w:r>
        <w:rPr>
          <w:spacing w:val="-4"/>
        </w:rPr>
        <w:t xml:space="preserve">for </w:t>
      </w:r>
      <w:r>
        <w:rPr>
          <w:spacing w:val="-3"/>
        </w:rPr>
        <w:t xml:space="preserve">women </w:t>
      </w:r>
      <w:r>
        <w:t>with early breast cancer</w:t>
      </w:r>
      <w:r>
        <w:rPr>
          <w:spacing w:val="1"/>
        </w:rPr>
        <w:t xml:space="preserve"> </w:t>
      </w:r>
      <w:r>
        <w:t>(2, 3, and 4)</w:t>
      </w:r>
      <w:r>
        <w:rPr>
          <w:b/>
        </w:rPr>
        <w:t>.</w:t>
      </w:r>
    </w:p>
    <w:p w:rsidR="00AB1B93" w:rsidRDefault="00AB1B93" w:rsidP="00AB1B93">
      <w:pPr>
        <w:pStyle w:val="BodyText"/>
        <w:ind w:left="0" w:right="-46" w:firstLine="427"/>
        <w:rPr>
          <w:spacing w:val="-3"/>
        </w:rPr>
      </w:pPr>
      <w:r>
        <w:rPr>
          <w:spacing w:val="-3"/>
        </w:rPr>
        <w:t xml:space="preserve">A major drawback of breast conserving therapy is the need to deliver a protracted post-operative radiotherapy course to the whole breast over 6-7 weeks. This results in a consequent increase in radiotherapy work load, cost and delays, as well as decrease in patient compliance. As a result, there has been great interest in delivering hypofractionated </w:t>
      </w:r>
      <w:r>
        <w:rPr>
          <w:spacing w:val="-3"/>
        </w:rPr>
        <w:lastRenderedPageBreak/>
        <w:t>radiotherapy schedules in an effort to optimize resources.</w:t>
      </w:r>
    </w:p>
    <w:p w:rsidR="00AB1B93" w:rsidRDefault="00AB1B93" w:rsidP="00AB1B93">
      <w:pPr>
        <w:pStyle w:val="BodyText"/>
        <w:ind w:left="0" w:right="-46" w:firstLine="427"/>
        <w:rPr>
          <w:spacing w:val="-3"/>
        </w:rPr>
      </w:pPr>
      <w:r>
        <w:rPr>
          <w:spacing w:val="-3"/>
        </w:rPr>
        <w:t xml:space="preserve">Biologically, optimum fractionation is a schedule that provides maximum tumor control with minimum damage to normal tissues. That depends on the rate of proliferation of targeted tumor cells in relation to that of normal tissues at risk. This is where the linear –quadratic model comes in hand to predict the differential response of acute and late reacting tissues to different doses of radiation </w:t>
      </w:r>
      <w:r>
        <w:t>(11).</w:t>
      </w:r>
      <w:r>
        <w:rPr>
          <w:spacing w:val="-3"/>
        </w:rPr>
        <w:t xml:space="preserve"> </w:t>
      </w:r>
    </w:p>
    <w:p w:rsidR="00AB1B93" w:rsidRDefault="00AB1B93" w:rsidP="00AB1B93">
      <w:pPr>
        <w:pStyle w:val="BodyText"/>
        <w:ind w:left="0" w:right="-46" w:firstLine="427"/>
      </w:pPr>
      <w:r>
        <w:rPr>
          <w:spacing w:val="-3"/>
        </w:rPr>
        <w:t xml:space="preserve">Initial theoretical evidence suggested that a small increase in the dose per fraction- while decreasing total dose delivered- with subsequent reduction in overall treatment time, would be as effective as a conventional radiotherapy scheme. From a radiobiological point of view, the hypothesis behind hypofractionation suggests a preferential benefit from delivering a higher dose per fraction to tumors with a low </w:t>
      </w:r>
      <w:r>
        <w:t>(α\β) ratio, such as breast cancer (5).</w:t>
      </w:r>
    </w:p>
    <w:p w:rsidR="00AB1B93" w:rsidRDefault="00AB1B93" w:rsidP="00AB1B93">
      <w:pPr>
        <w:pStyle w:val="BodyText"/>
        <w:ind w:left="0" w:right="-46" w:firstLine="427"/>
      </w:pPr>
      <w:r>
        <w:t xml:space="preserve">Theoretical evidence was then supported by clinical evidence, where several prospective randomized clinical trials comparing the delivery of a hpofractionated dose schedule-radiobiologically equivalent to conventional schedule- to standard whole breast irradiation at a dose of 50 Gy in 25 </w:t>
      </w:r>
      <w:r>
        <w:lastRenderedPageBreak/>
        <w:t>fractions over 5 weeks. With long term follow-up, these studies consistently proved equivalent local control and cosmetic outcome between the two schedules with acceptable toxicity ( 6,7,8,9,10).</w:t>
      </w:r>
    </w:p>
    <w:p w:rsidR="00AB1B93" w:rsidRDefault="00AB1B93" w:rsidP="00AB1B93">
      <w:pPr>
        <w:ind w:right="-46" w:firstLine="427"/>
        <w:jc w:val="both"/>
        <w:rPr>
          <w:lang w:bidi="ar-EG"/>
        </w:rPr>
      </w:pPr>
      <w:r>
        <w:t>An important draw-back of all these studies is the issue of delivering a boost dose of radiation to the tumor bed. While some studies delivered the hypofractionated schedule omitting the tumor bed boost, others allowed the delivery of the tumor bed boost sequentially protracting the delivered hypofractionated scheme another week. The aim of our study is to test the possibility of delivering the tumor bed boost concomitantly with hypofractionated whole breast radiotherapy without significant toxicity from a dosimetric point of view.</w:t>
      </w:r>
    </w:p>
    <w:p w:rsidR="00AB1B93" w:rsidRDefault="00AB1B93" w:rsidP="00AB1B93">
      <w:pPr>
        <w:ind w:right="-46" w:firstLine="427"/>
        <w:jc w:val="both"/>
        <w:rPr>
          <w:lang w:bidi="ar-EG"/>
        </w:rPr>
      </w:pPr>
    </w:p>
    <w:p w:rsidR="00AB1B93" w:rsidRDefault="00AB1B93" w:rsidP="00AB1B93">
      <w:pPr>
        <w:pStyle w:val="Heading1"/>
        <w:numPr>
          <w:ilvl w:val="0"/>
          <w:numId w:val="1"/>
        </w:numPr>
        <w:tabs>
          <w:tab w:val="left" w:pos="387"/>
        </w:tabs>
        <w:spacing w:line="240" w:lineRule="auto"/>
        <w:ind w:hanging="386"/>
        <w:jc w:val="both"/>
      </w:pPr>
      <w:r>
        <w:t>Patients and</w:t>
      </w:r>
      <w:r>
        <w:rPr>
          <w:spacing w:val="-12"/>
        </w:rPr>
        <w:t xml:space="preserve"> </w:t>
      </w:r>
      <w:r>
        <w:t>Methods</w:t>
      </w:r>
    </w:p>
    <w:p w:rsidR="00AB1B93" w:rsidRDefault="00AB1B93" w:rsidP="00AB1B93">
      <w:pPr>
        <w:pStyle w:val="BodyText"/>
        <w:ind w:left="0" w:right="42" w:firstLine="427"/>
      </w:pPr>
      <w:r>
        <w:t xml:space="preserve">This study was conducted at Kasr Al-Aini Center of Clinical Oncology &amp; Nuclear Medicine (NEMROCK). A total of 63 patients scheduled to receive post-operative radiotherapy following breast conserving surgery for node-negative disease were included. </w:t>
      </w:r>
    </w:p>
    <w:p w:rsidR="00AB1B93" w:rsidRDefault="00AB1B93" w:rsidP="00AB1B93">
      <w:pPr>
        <w:pStyle w:val="BodyText"/>
        <w:ind w:left="0" w:right="42" w:firstLine="427"/>
      </w:pPr>
      <w:r>
        <w:t>The aim of this study was to evaluate the feasibility of delivering accelerated hypofractionated whole breast irradiation with a concomitant boost to the tumor bed, from a dosimetric point of view.</w:t>
      </w:r>
    </w:p>
    <w:p w:rsidR="00AB1B93" w:rsidRDefault="00AB1B93" w:rsidP="00AB1B93">
      <w:pPr>
        <w:pStyle w:val="BodyText"/>
        <w:ind w:left="0" w:right="39" w:firstLine="427"/>
      </w:pPr>
      <w:r>
        <w:t>Patients were positioned supine on breast boards. Radio-opaque markers (guide-wire) were placed on external landmarks at the acquisition of the CT scan to facilitate contouring of target volumes. A CT scan image thickness of ≤ 0.5 cm was done. External skin localizing marks i.e., permanent tattoos, were used for daily localization and set-up accuracy.</w:t>
      </w:r>
    </w:p>
    <w:p w:rsidR="00AB1B93" w:rsidRDefault="00AB1B93" w:rsidP="00AB1B93">
      <w:pPr>
        <w:pStyle w:val="BodyText"/>
        <w:ind w:left="0" w:right="38" w:firstLine="427"/>
      </w:pPr>
      <w:r>
        <w:t>Targets volumes and Organs at Risk (OAR) contouring were done following the consensus guidelines from The RTOG Breast Cancer Atlas for Radiation Therapy Planning (12).</w:t>
      </w:r>
    </w:p>
    <w:p w:rsidR="00AB1B93" w:rsidRDefault="00AB1B93" w:rsidP="00AB1B93">
      <w:pPr>
        <w:pStyle w:val="BodyText"/>
        <w:ind w:left="0" w:right="38" w:firstLine="427"/>
      </w:pPr>
      <w:r w:rsidRPr="00E55685">
        <w:rPr>
          <w:b/>
          <w:bCs/>
          <w:i/>
          <w:iCs/>
        </w:rPr>
        <w:t>Treatment radiotherapy planning</w:t>
      </w:r>
      <w:r>
        <w:t xml:space="preserve"> was done using 3DCRT to the whole breast and an additional plan for tumor bed boost was also made, and a final summation of both plans was done for evaluation of dosimetric parameters. For each patient, two plan sets were generated, one employing a conventionally fractionated dose of 50 Gy in 25 fractions to the whole breast followed by a sequential boost of 10 Gy in 5 fractions over a total treatment time of 6 weeks, while the other was set at an accelerated hypofractionated scheme of 40 Gy in 15 fractions (2.67 Gy per fraction) to the whole breast with a concomitantly delivered tumor bed boost of 8 Gy in 15 fractions (0.5 Gy per fraction) over a total treatment time of 3 weeks. The dose of the experimental arm was calculated employing the Linear-quadratic model to achieve a biologically equivalent dose (BED) (11) to the conventional fractionation arm. For this calculation, we assumed an α/β ratio of 4 Gy for tumor response, 10 Gy for acute responding normal tissues, and 3 Gy for late-responding tissues.</w:t>
      </w:r>
    </w:p>
    <w:p w:rsidR="00AB1B93" w:rsidRDefault="00AB1B93" w:rsidP="00AB1B93">
      <w:pPr>
        <w:pStyle w:val="BodyText"/>
        <w:ind w:left="0" w:right="39" w:firstLine="427"/>
      </w:pPr>
      <w:r w:rsidRPr="00E55685">
        <w:rPr>
          <w:b/>
          <w:bCs/>
          <w:i/>
          <w:iCs/>
          <w:spacing w:val="-3"/>
        </w:rPr>
        <w:t xml:space="preserve">Dose </w:t>
      </w:r>
      <w:r w:rsidRPr="00E55685">
        <w:rPr>
          <w:b/>
          <w:bCs/>
          <w:i/>
          <w:iCs/>
        </w:rPr>
        <w:t xml:space="preserve">coverage </w:t>
      </w:r>
      <w:r w:rsidRPr="00E55685">
        <w:rPr>
          <w:b/>
          <w:bCs/>
          <w:i/>
          <w:iCs/>
          <w:spacing w:val="-3"/>
        </w:rPr>
        <w:t xml:space="preserve">of </w:t>
      </w:r>
      <w:r w:rsidRPr="00E55685">
        <w:rPr>
          <w:b/>
          <w:bCs/>
          <w:i/>
          <w:iCs/>
        </w:rPr>
        <w:t>the target volumes</w:t>
      </w:r>
      <w:r>
        <w:t xml:space="preserve">; </w:t>
      </w:r>
      <w:r w:rsidRPr="00E55685">
        <w:rPr>
          <w:i/>
          <w:iCs/>
        </w:rPr>
        <w:t>Breast CTV V36</w:t>
      </w:r>
      <w:r>
        <w:t xml:space="preserve"> defined as the volume that received 36 Gy which represent 90% </w:t>
      </w:r>
      <w:r>
        <w:rPr>
          <w:spacing w:val="-3"/>
        </w:rPr>
        <w:t xml:space="preserve">of </w:t>
      </w:r>
      <w:r>
        <w:t xml:space="preserve">the prescribed dose for the whole breast CTV was used for the hypofractionation arm. This </w:t>
      </w:r>
      <w:r>
        <w:rPr>
          <w:spacing w:val="-3"/>
        </w:rPr>
        <w:t xml:space="preserve">was </w:t>
      </w:r>
      <w:r>
        <w:t xml:space="preserve">biologically equivalent to V45 Gy in the Standard fractionation arm. Also no more than 35% </w:t>
      </w:r>
      <w:r>
        <w:rPr>
          <w:spacing w:val="-3"/>
        </w:rPr>
        <w:t xml:space="preserve">of </w:t>
      </w:r>
      <w:r>
        <w:t xml:space="preserve">the breast CTV </w:t>
      </w:r>
      <w:r>
        <w:rPr>
          <w:spacing w:val="-3"/>
        </w:rPr>
        <w:t xml:space="preserve">exceeded </w:t>
      </w:r>
      <w:r>
        <w:t xml:space="preserve">100% </w:t>
      </w:r>
      <w:r>
        <w:rPr>
          <w:spacing w:val="-3"/>
        </w:rPr>
        <w:t xml:space="preserve">of </w:t>
      </w:r>
      <w:r>
        <w:t xml:space="preserve">the </w:t>
      </w:r>
      <w:r>
        <w:rPr>
          <w:spacing w:val="-3"/>
        </w:rPr>
        <w:t xml:space="preserve">boost </w:t>
      </w:r>
      <w:r>
        <w:t xml:space="preserve">prescribed dose </w:t>
      </w:r>
      <w:r>
        <w:rPr>
          <w:spacing w:val="-3"/>
        </w:rPr>
        <w:t xml:space="preserve">of </w:t>
      </w:r>
      <w:r>
        <w:t xml:space="preserve">48 </w:t>
      </w:r>
      <w:r>
        <w:rPr>
          <w:spacing w:val="-5"/>
        </w:rPr>
        <w:t xml:space="preserve">Gy. </w:t>
      </w:r>
      <w:r>
        <w:t>Also, no more than 50% of</w:t>
      </w:r>
      <w:r>
        <w:rPr>
          <w:spacing w:val="-3"/>
        </w:rPr>
        <w:t xml:space="preserve"> the</w:t>
      </w:r>
      <w:r>
        <w:t xml:space="preserve"> volume of</w:t>
      </w:r>
      <w:r>
        <w:rPr>
          <w:spacing w:val="-3"/>
        </w:rPr>
        <w:t xml:space="preserve"> breast</w:t>
      </w:r>
      <w:r>
        <w:t xml:space="preserve"> CTV exceeded</w:t>
      </w:r>
      <w:r>
        <w:rPr>
          <w:spacing w:val="20"/>
        </w:rPr>
        <w:t xml:space="preserve"> </w:t>
      </w:r>
      <w:r>
        <w:t xml:space="preserve">≥44.8 Gy of the boost prescribed </w:t>
      </w:r>
      <w:r>
        <w:rPr>
          <w:spacing w:val="-3"/>
        </w:rPr>
        <w:t xml:space="preserve">dose. </w:t>
      </w:r>
      <w:r>
        <w:t xml:space="preserve">These parameters were used to reduce dose heterogeneity. </w:t>
      </w:r>
      <w:r w:rsidRPr="00E55685">
        <w:rPr>
          <w:bCs/>
          <w:i/>
          <w:iCs/>
        </w:rPr>
        <w:t>Lumpectomy PTV V43.2</w:t>
      </w:r>
      <w:r>
        <w:t xml:space="preserve"> defined as the volume that received 43.2 Gy- which represent 90% </w:t>
      </w:r>
      <w:r>
        <w:rPr>
          <w:spacing w:val="-3"/>
        </w:rPr>
        <w:t xml:space="preserve">of </w:t>
      </w:r>
      <w:r>
        <w:t xml:space="preserve">the prescribed dose </w:t>
      </w:r>
      <w:r>
        <w:rPr>
          <w:spacing w:val="-4"/>
        </w:rPr>
        <w:t xml:space="preserve">for </w:t>
      </w:r>
      <w:r>
        <w:t xml:space="preserve">the </w:t>
      </w:r>
      <w:r>
        <w:rPr>
          <w:spacing w:val="-3"/>
        </w:rPr>
        <w:t xml:space="preserve">boost </w:t>
      </w:r>
      <w:r>
        <w:t xml:space="preserve">PTV- was used for the hypofractionation arm. </w:t>
      </w:r>
    </w:p>
    <w:p w:rsidR="00AB1B93" w:rsidRDefault="00AB1B93" w:rsidP="00AB1B93">
      <w:pPr>
        <w:pStyle w:val="BodyText"/>
        <w:ind w:left="0" w:right="39" w:firstLine="427"/>
      </w:pPr>
      <w:r w:rsidRPr="00E55685">
        <w:rPr>
          <w:b/>
          <w:i/>
          <w:iCs/>
        </w:rPr>
        <w:t>Dosimetric constrain regarding (OAR);</w:t>
      </w:r>
      <w:r>
        <w:rPr>
          <w:b/>
        </w:rPr>
        <w:t xml:space="preserve"> </w:t>
      </w:r>
      <w:r w:rsidRPr="00E55685">
        <w:rPr>
          <w:bCs/>
          <w:i/>
          <w:iCs/>
        </w:rPr>
        <w:t>Ipsilateral lung</w:t>
      </w:r>
      <w:r>
        <w:t xml:space="preserve">: V16 defined as the volume </w:t>
      </w:r>
      <w:r>
        <w:rPr>
          <w:spacing w:val="-3"/>
        </w:rPr>
        <w:t xml:space="preserve">of </w:t>
      </w:r>
      <w:r>
        <w:t xml:space="preserve">the ipsilateral lung receiving 16 Gy </w:t>
      </w:r>
      <w:r>
        <w:rPr>
          <w:spacing w:val="-3"/>
        </w:rPr>
        <w:t xml:space="preserve">was </w:t>
      </w:r>
      <w:r>
        <w:t xml:space="preserve">used, and </w:t>
      </w:r>
      <w:r>
        <w:rPr>
          <w:spacing w:val="-3"/>
        </w:rPr>
        <w:t xml:space="preserve">was </w:t>
      </w:r>
      <w:r>
        <w:t xml:space="preserve">considered acceptable if it didn’t </w:t>
      </w:r>
      <w:r>
        <w:rPr>
          <w:spacing w:val="-3"/>
        </w:rPr>
        <w:t xml:space="preserve">exceed </w:t>
      </w:r>
      <w:r>
        <w:t xml:space="preserve">20% of the ipsilateral lung volume. </w:t>
      </w:r>
      <w:r w:rsidRPr="00E55685">
        <w:rPr>
          <w:bCs/>
          <w:i/>
          <w:iCs/>
        </w:rPr>
        <w:t>Contralateral lung:</w:t>
      </w:r>
      <w:r>
        <w:t xml:space="preserve"> V4 defined as the volume </w:t>
      </w:r>
      <w:r>
        <w:rPr>
          <w:spacing w:val="-3"/>
        </w:rPr>
        <w:t xml:space="preserve">of </w:t>
      </w:r>
      <w:r>
        <w:t xml:space="preserve">the contralateral lung receiving 4 </w:t>
      </w:r>
      <w:r>
        <w:rPr>
          <w:spacing w:val="-5"/>
        </w:rPr>
        <w:t xml:space="preserve">Gy, </w:t>
      </w:r>
      <w:r>
        <w:t xml:space="preserve">and considered acceptable if it did not </w:t>
      </w:r>
      <w:r>
        <w:rPr>
          <w:spacing w:val="-3"/>
        </w:rPr>
        <w:t xml:space="preserve">exceed </w:t>
      </w:r>
      <w:r>
        <w:t xml:space="preserve">15% </w:t>
      </w:r>
      <w:r>
        <w:rPr>
          <w:spacing w:val="-3"/>
        </w:rPr>
        <w:t xml:space="preserve">of </w:t>
      </w:r>
      <w:r>
        <w:t xml:space="preserve">the contralateral lung volume. </w:t>
      </w:r>
      <w:r w:rsidRPr="00E55685">
        <w:rPr>
          <w:bCs/>
          <w:i/>
          <w:iCs/>
        </w:rPr>
        <w:t>Heart:</w:t>
      </w:r>
      <w:r>
        <w:t xml:space="preserve"> V20 defined as the volume </w:t>
      </w:r>
      <w:r>
        <w:rPr>
          <w:spacing w:val="-3"/>
        </w:rPr>
        <w:t xml:space="preserve">of </w:t>
      </w:r>
      <w:r>
        <w:t xml:space="preserve">the heart receiving 20 </w:t>
      </w:r>
      <w:r>
        <w:rPr>
          <w:spacing w:val="-5"/>
        </w:rPr>
        <w:t xml:space="preserve">Gy, </w:t>
      </w:r>
      <w:r>
        <w:t>and considered acceptable</w:t>
      </w:r>
      <w:r>
        <w:rPr>
          <w:spacing w:val="16"/>
        </w:rPr>
        <w:t xml:space="preserve"> </w:t>
      </w:r>
      <w:r>
        <w:t xml:space="preserve">only if it did not exceed 5% of the heart volume. </w:t>
      </w:r>
      <w:r w:rsidRPr="00E55685">
        <w:rPr>
          <w:bCs/>
          <w:i/>
          <w:iCs/>
        </w:rPr>
        <w:t>Contralateral breast:</w:t>
      </w:r>
      <w:r>
        <w:rPr>
          <w:b/>
        </w:rPr>
        <w:t xml:space="preserve"> </w:t>
      </w:r>
      <w:r>
        <w:t>The maximum dose to contralateral breast was considered acceptable if it did not exceed 240 cGy.</w:t>
      </w:r>
    </w:p>
    <w:p w:rsidR="00AB1B93" w:rsidRDefault="00AB1B93" w:rsidP="00AB1B93">
      <w:pPr>
        <w:pStyle w:val="BodyText"/>
        <w:ind w:left="0" w:right="168" w:firstLine="427"/>
      </w:pPr>
      <w:r w:rsidRPr="00E55685">
        <w:rPr>
          <w:b/>
          <w:bCs/>
          <w:i/>
          <w:iCs/>
        </w:rPr>
        <w:t>Plan acceptance</w:t>
      </w:r>
      <w:r>
        <w:t xml:space="preserve"> was done by reviewing whole breast plan and boost plan separately, and then a plan summation was evaluated. </w:t>
      </w:r>
    </w:p>
    <w:p w:rsidR="00AB1B93" w:rsidRDefault="00AB1B93" w:rsidP="00AB1B93">
      <w:pPr>
        <w:pStyle w:val="BodyText"/>
        <w:ind w:left="0" w:right="168" w:firstLine="427"/>
      </w:pPr>
      <w:r>
        <w:t>Beam-eye view was revised for each plan to ensure proper coverage of the CTV with maximum sparing of the risk organs.</w:t>
      </w:r>
    </w:p>
    <w:p w:rsidR="00AB1B93" w:rsidRDefault="00AB1B93" w:rsidP="00AB1B93">
      <w:pPr>
        <w:pStyle w:val="BodyText"/>
        <w:ind w:left="0" w:right="168" w:firstLine="427"/>
      </w:pPr>
      <w:r>
        <w:t>Isodose lines on axial CT cuts were revised to evaluate dose homogeneity and adequate CTV coverage.</w:t>
      </w:r>
    </w:p>
    <w:p w:rsidR="00AB1B93" w:rsidRDefault="00AB1B93" w:rsidP="00AB1B93">
      <w:pPr>
        <w:pStyle w:val="BodyText"/>
        <w:ind w:left="0" w:right="168" w:firstLine="427"/>
      </w:pPr>
      <w:r>
        <w:t>Finally dose volume histograms were reviewed for each plan and the aforementioned parameters for target coverage as well as doses to OAR were compared and recorded for each plan evaluated.</w:t>
      </w:r>
    </w:p>
    <w:p w:rsidR="00AB1B93" w:rsidRDefault="00AB1B93" w:rsidP="00AB1B93">
      <w:pPr>
        <w:pStyle w:val="BodyText"/>
        <w:ind w:left="0" w:right="169" w:firstLine="427"/>
      </w:pPr>
      <w:r>
        <w:t xml:space="preserve">Ethical considerations: The research protocol </w:t>
      </w:r>
      <w:r>
        <w:rPr>
          <w:spacing w:val="-3"/>
        </w:rPr>
        <w:t xml:space="preserve">was </w:t>
      </w:r>
      <w:r>
        <w:t xml:space="preserve">presented and accepted by the research ethics committee and the scientific research committee </w:t>
      </w:r>
      <w:r>
        <w:rPr>
          <w:spacing w:val="-3"/>
        </w:rPr>
        <w:t xml:space="preserve">of </w:t>
      </w:r>
      <w:r>
        <w:t xml:space="preserve">the department </w:t>
      </w:r>
      <w:r>
        <w:rPr>
          <w:spacing w:val="-3"/>
        </w:rPr>
        <w:t xml:space="preserve">of </w:t>
      </w:r>
      <w:r>
        <w:t xml:space="preserve">clinical </w:t>
      </w:r>
      <w:r>
        <w:rPr>
          <w:spacing w:val="-3"/>
        </w:rPr>
        <w:t xml:space="preserve">oncology, </w:t>
      </w:r>
      <w:r>
        <w:t>Faculty of Medicine, Cairo</w:t>
      </w:r>
      <w:r>
        <w:rPr>
          <w:spacing w:val="-2"/>
        </w:rPr>
        <w:t xml:space="preserve"> </w:t>
      </w:r>
      <w:r>
        <w:rPr>
          <w:spacing w:val="-3"/>
        </w:rPr>
        <w:t>University.</w:t>
      </w:r>
    </w:p>
    <w:p w:rsidR="00AB1B93" w:rsidRDefault="00AB1B93" w:rsidP="00AB1B93">
      <w:pPr>
        <w:pStyle w:val="BodyText"/>
        <w:ind w:left="0" w:right="168" w:firstLine="427"/>
      </w:pPr>
      <w:r>
        <w:t>Statistical analysis: All data were evaluated statistically by the statistical package for the social sciences (SPSS) version 16.</w:t>
      </w:r>
    </w:p>
    <w:p w:rsidR="00AB1B93" w:rsidRDefault="00AB1B93" w:rsidP="00AB1B93">
      <w:pPr>
        <w:pStyle w:val="BodyText"/>
        <w:ind w:left="0" w:right="168" w:firstLine="427"/>
      </w:pPr>
    </w:p>
    <w:p w:rsidR="00AB1B93" w:rsidRDefault="00AB1B93" w:rsidP="00AB1B93">
      <w:pPr>
        <w:pStyle w:val="BodyText"/>
        <w:ind w:left="0"/>
      </w:pPr>
    </w:p>
    <w:p w:rsidR="00AB1B93" w:rsidRDefault="00AB1B93" w:rsidP="00AB1B93">
      <w:pPr>
        <w:pStyle w:val="Heading1"/>
        <w:numPr>
          <w:ilvl w:val="0"/>
          <w:numId w:val="1"/>
        </w:numPr>
        <w:tabs>
          <w:tab w:val="left" w:pos="387"/>
        </w:tabs>
        <w:spacing w:line="240" w:lineRule="auto"/>
        <w:jc w:val="both"/>
      </w:pPr>
      <w:r>
        <w:rPr>
          <w:spacing w:val="-3"/>
        </w:rPr>
        <w:t>Result</w:t>
      </w:r>
    </w:p>
    <w:p w:rsidR="00AB1B93" w:rsidRDefault="00AB1B93" w:rsidP="00AB1B93">
      <w:pPr>
        <w:ind w:left="180"/>
        <w:jc w:val="both"/>
        <w:rPr>
          <w:b/>
          <w:sz w:val="20"/>
        </w:rPr>
      </w:pPr>
      <w:r>
        <w:rPr>
          <w:b/>
          <w:sz w:val="20"/>
        </w:rPr>
        <w:t>Results of dosimetric data:</w:t>
      </w:r>
    </w:p>
    <w:p w:rsidR="00AB1B93" w:rsidRDefault="00AB1B93" w:rsidP="00AB1B93">
      <w:pPr>
        <w:pStyle w:val="ListParagraph"/>
        <w:numPr>
          <w:ilvl w:val="0"/>
          <w:numId w:val="2"/>
        </w:numPr>
        <w:tabs>
          <w:tab w:val="left" w:pos="900"/>
          <w:tab w:val="left" w:pos="901"/>
        </w:tabs>
        <w:ind w:right="0"/>
        <w:jc w:val="both"/>
        <w:rPr>
          <w:b/>
          <w:sz w:val="20"/>
        </w:rPr>
      </w:pPr>
      <w:r>
        <w:rPr>
          <w:b/>
          <w:sz w:val="20"/>
        </w:rPr>
        <w:t xml:space="preserve">Dosimetric </w:t>
      </w:r>
      <w:r>
        <w:rPr>
          <w:b/>
          <w:spacing w:val="-3"/>
          <w:sz w:val="20"/>
        </w:rPr>
        <w:t xml:space="preserve">data on </w:t>
      </w:r>
      <w:r>
        <w:rPr>
          <w:b/>
          <w:sz w:val="20"/>
        </w:rPr>
        <w:t>target</w:t>
      </w:r>
      <w:r>
        <w:rPr>
          <w:b/>
          <w:spacing w:val="13"/>
          <w:sz w:val="20"/>
        </w:rPr>
        <w:t xml:space="preserve"> </w:t>
      </w:r>
      <w:r>
        <w:rPr>
          <w:b/>
          <w:sz w:val="20"/>
        </w:rPr>
        <w:t>coverage:</w:t>
      </w:r>
    </w:p>
    <w:p w:rsidR="00AB1B93" w:rsidRDefault="00AB1B93" w:rsidP="00AB1B93">
      <w:pPr>
        <w:pStyle w:val="BodyText"/>
        <w:ind w:left="0" w:right="170" w:firstLine="427"/>
      </w:pPr>
      <w:r>
        <w:t xml:space="preserve">The coverage </w:t>
      </w:r>
      <w:r>
        <w:rPr>
          <w:spacing w:val="-3"/>
        </w:rPr>
        <w:t xml:space="preserve">of </w:t>
      </w:r>
      <w:r>
        <w:t xml:space="preserve">the CTV (the whole breast) </w:t>
      </w:r>
      <w:r>
        <w:rPr>
          <w:spacing w:val="-3"/>
        </w:rPr>
        <w:t xml:space="preserve">was </w:t>
      </w:r>
      <w:r>
        <w:t xml:space="preserve">assessed using the </w:t>
      </w:r>
      <w:r>
        <w:rPr>
          <w:spacing w:val="-3"/>
        </w:rPr>
        <w:t xml:space="preserve">V38, </w:t>
      </w:r>
      <w:r>
        <w:t xml:space="preserve">and </w:t>
      </w:r>
      <w:r>
        <w:rPr>
          <w:spacing w:val="-3"/>
        </w:rPr>
        <w:t xml:space="preserve">V36 </w:t>
      </w:r>
      <w:r>
        <w:rPr>
          <w:spacing w:val="-5"/>
        </w:rPr>
        <w:t xml:space="preserve">Gy.  </w:t>
      </w:r>
      <w:r>
        <w:t xml:space="preserve">The homogeneity within the target </w:t>
      </w:r>
      <w:r>
        <w:rPr>
          <w:spacing w:val="-3"/>
        </w:rPr>
        <w:t xml:space="preserve">was </w:t>
      </w:r>
      <w:r>
        <w:t xml:space="preserve">evaluated by 2 parameters; the Dmax and the </w:t>
      </w:r>
      <w:r>
        <w:rPr>
          <w:spacing w:val="-3"/>
        </w:rPr>
        <w:t xml:space="preserve">Dmin </w:t>
      </w:r>
      <w:r>
        <w:t xml:space="preserve">as </w:t>
      </w:r>
      <w:r>
        <w:rPr>
          <w:spacing w:val="-3"/>
        </w:rPr>
        <w:t>shown in</w:t>
      </w:r>
      <w:r>
        <w:t xml:space="preserve"> T</w:t>
      </w:r>
      <w:r>
        <w:rPr>
          <w:b/>
        </w:rPr>
        <w:t>able</w:t>
      </w:r>
      <w:r>
        <w:rPr>
          <w:b/>
          <w:spacing w:val="-1"/>
        </w:rPr>
        <w:t xml:space="preserve"> </w:t>
      </w:r>
      <w:r>
        <w:rPr>
          <w:spacing w:val="-3"/>
        </w:rPr>
        <w:t>1.</w:t>
      </w:r>
    </w:p>
    <w:p w:rsidR="00AB1B93" w:rsidRDefault="00AB1B93" w:rsidP="00AB1B93">
      <w:pPr>
        <w:ind w:right="-46" w:firstLine="427"/>
        <w:jc w:val="both"/>
        <w:rPr>
          <w:lang w:bidi="ar-EG"/>
        </w:rPr>
      </w:pPr>
      <w:r>
        <w:t xml:space="preserve">The Dmax (maximum </w:t>
      </w:r>
      <w:r>
        <w:rPr>
          <w:spacing w:val="-3"/>
        </w:rPr>
        <w:t xml:space="preserve">dose) was </w:t>
      </w:r>
      <w:r>
        <w:t xml:space="preserve">defined as the dose received by 2% of the target, while the Dmin (minimum </w:t>
      </w:r>
      <w:r>
        <w:rPr>
          <w:spacing w:val="-3"/>
        </w:rPr>
        <w:t xml:space="preserve">dose) was </w:t>
      </w:r>
      <w:r>
        <w:t xml:space="preserve">defined as the dose received by 98% </w:t>
      </w:r>
      <w:r>
        <w:rPr>
          <w:spacing w:val="-3"/>
        </w:rPr>
        <w:t xml:space="preserve">of </w:t>
      </w:r>
      <w:r>
        <w:t xml:space="preserve">the target. This is keeping with the ICRU report 83 recommendations </w:t>
      </w:r>
      <w:r>
        <w:rPr>
          <w:b/>
          <w:i/>
        </w:rPr>
        <w:t>(Grégoire and Mackie, 2011)</w:t>
      </w:r>
      <w:r>
        <w:t>.</w:t>
      </w:r>
    </w:p>
    <w:p w:rsidR="00AB1B93" w:rsidRDefault="00AB1B93" w:rsidP="00AB1B93">
      <w:pPr>
        <w:pStyle w:val="Heading1"/>
        <w:numPr>
          <w:ilvl w:val="0"/>
          <w:numId w:val="2"/>
        </w:numPr>
        <w:tabs>
          <w:tab w:val="left" w:pos="435"/>
        </w:tabs>
        <w:spacing w:line="240" w:lineRule="auto"/>
        <w:ind w:left="0" w:firstLine="0"/>
        <w:jc w:val="both"/>
      </w:pPr>
      <w:r>
        <w:t xml:space="preserve">Dosimetric data </w:t>
      </w:r>
      <w:r>
        <w:rPr>
          <w:spacing w:val="-3"/>
        </w:rPr>
        <w:t xml:space="preserve">on </w:t>
      </w:r>
      <w:r>
        <w:t xml:space="preserve">coverage </w:t>
      </w:r>
      <w:r>
        <w:rPr>
          <w:spacing w:val="-3"/>
        </w:rPr>
        <w:t xml:space="preserve">of </w:t>
      </w:r>
      <w:r>
        <w:t>the Boost</w:t>
      </w:r>
      <w:r>
        <w:rPr>
          <w:spacing w:val="-2"/>
        </w:rPr>
        <w:t xml:space="preserve"> </w:t>
      </w:r>
      <w:r>
        <w:t>PTV:</w:t>
      </w:r>
    </w:p>
    <w:p w:rsidR="00AB1B93" w:rsidRDefault="00AB1B93" w:rsidP="00AB1B93">
      <w:pPr>
        <w:pStyle w:val="BodyText"/>
        <w:ind w:left="0" w:right="78" w:firstLine="427"/>
        <w:rPr>
          <w:b/>
        </w:rPr>
      </w:pPr>
      <w:r>
        <w:t xml:space="preserve">The coverage </w:t>
      </w:r>
      <w:r>
        <w:rPr>
          <w:spacing w:val="-3"/>
        </w:rPr>
        <w:t xml:space="preserve">of </w:t>
      </w:r>
      <w:r>
        <w:t xml:space="preserve">the </w:t>
      </w:r>
      <w:r>
        <w:rPr>
          <w:spacing w:val="-3"/>
        </w:rPr>
        <w:t xml:space="preserve">boost </w:t>
      </w:r>
      <w:r>
        <w:t xml:space="preserve">PTV </w:t>
      </w:r>
      <w:r>
        <w:rPr>
          <w:spacing w:val="-3"/>
        </w:rPr>
        <w:t xml:space="preserve">was </w:t>
      </w:r>
      <w:r>
        <w:t xml:space="preserve">assessed using the V45.6 and the V43.2 </w:t>
      </w:r>
      <w:r>
        <w:rPr>
          <w:spacing w:val="-5"/>
        </w:rPr>
        <w:t xml:space="preserve">Gy. </w:t>
      </w:r>
      <w:r>
        <w:t xml:space="preserve">The homogeneity within the target </w:t>
      </w:r>
      <w:r>
        <w:rPr>
          <w:spacing w:val="-3"/>
        </w:rPr>
        <w:t xml:space="preserve">was </w:t>
      </w:r>
      <w:r>
        <w:t xml:space="preserve">evaluated </w:t>
      </w:r>
      <w:r>
        <w:rPr>
          <w:spacing w:val="-3"/>
        </w:rPr>
        <w:t xml:space="preserve">by </w:t>
      </w:r>
      <w:r>
        <w:t xml:space="preserve">2 parameters; the Dmax and the </w:t>
      </w:r>
      <w:r>
        <w:rPr>
          <w:spacing w:val="-3"/>
        </w:rPr>
        <w:t xml:space="preserve">Dmin </w:t>
      </w:r>
      <w:r>
        <w:t xml:space="preserve">as </w:t>
      </w:r>
      <w:r>
        <w:rPr>
          <w:spacing w:val="-3"/>
        </w:rPr>
        <w:t xml:space="preserve">shown </w:t>
      </w:r>
      <w:r>
        <w:t xml:space="preserve">in </w:t>
      </w:r>
      <w:r>
        <w:rPr>
          <w:b/>
        </w:rPr>
        <w:t>Table</w:t>
      </w:r>
      <w:r>
        <w:rPr>
          <w:b/>
          <w:spacing w:val="18"/>
        </w:rPr>
        <w:t xml:space="preserve"> </w:t>
      </w:r>
      <w:r>
        <w:rPr>
          <w:b/>
          <w:spacing w:val="-3"/>
        </w:rPr>
        <w:t>2.</w:t>
      </w:r>
    </w:p>
    <w:p w:rsidR="00AB1B93" w:rsidRDefault="00AB1B93" w:rsidP="00AB1B93">
      <w:pPr>
        <w:pStyle w:val="BodyText"/>
        <w:ind w:left="0" w:right="38" w:firstLine="427"/>
      </w:pPr>
      <w:r>
        <w:t>No boost PTV volume exceeded V52.8 (that represents 110% of the boost prescribed dose of 48 Gy).</w:t>
      </w:r>
    </w:p>
    <w:p w:rsidR="00AB1B93" w:rsidRDefault="00AB1B93" w:rsidP="00AB1B93">
      <w:pPr>
        <w:pStyle w:val="Heading1"/>
        <w:numPr>
          <w:ilvl w:val="0"/>
          <w:numId w:val="2"/>
        </w:numPr>
        <w:tabs>
          <w:tab w:val="left" w:pos="444"/>
        </w:tabs>
        <w:spacing w:line="240" w:lineRule="auto"/>
        <w:ind w:left="0" w:firstLine="0"/>
        <w:jc w:val="both"/>
      </w:pPr>
      <w:r>
        <w:t xml:space="preserve">Dosimetric data </w:t>
      </w:r>
      <w:r>
        <w:rPr>
          <w:spacing w:val="-3"/>
        </w:rPr>
        <w:t xml:space="preserve">on </w:t>
      </w:r>
      <w:r>
        <w:t>OAR (organs at</w:t>
      </w:r>
      <w:r>
        <w:rPr>
          <w:spacing w:val="-2"/>
        </w:rPr>
        <w:t xml:space="preserve"> </w:t>
      </w:r>
      <w:r>
        <w:t>risk):</w:t>
      </w:r>
    </w:p>
    <w:p w:rsidR="00AB1B93" w:rsidRDefault="00AB1B93" w:rsidP="00AB1B93">
      <w:pPr>
        <w:pStyle w:val="BodyText"/>
        <w:ind w:left="0" w:right="80" w:firstLine="427"/>
      </w:pPr>
      <w:r>
        <w:t>The doses received by organs at risk were evaluated by using the following parameters:</w:t>
      </w:r>
    </w:p>
    <w:p w:rsidR="00AB1B93" w:rsidRDefault="00AB1B93" w:rsidP="00AB1B93">
      <w:pPr>
        <w:pStyle w:val="ListParagraph"/>
        <w:numPr>
          <w:ilvl w:val="1"/>
          <w:numId w:val="2"/>
        </w:numPr>
        <w:tabs>
          <w:tab w:val="left" w:pos="0"/>
        </w:tabs>
        <w:ind w:left="0" w:right="80" w:firstLine="427"/>
        <w:rPr>
          <w:sz w:val="20"/>
        </w:rPr>
      </w:pPr>
      <w:r>
        <w:rPr>
          <w:b/>
          <w:sz w:val="20"/>
        </w:rPr>
        <w:t xml:space="preserve">The </w:t>
      </w:r>
      <w:r>
        <w:rPr>
          <w:b/>
          <w:spacing w:val="-3"/>
          <w:sz w:val="20"/>
        </w:rPr>
        <w:t xml:space="preserve">dose </w:t>
      </w:r>
      <w:r>
        <w:rPr>
          <w:b/>
          <w:sz w:val="20"/>
        </w:rPr>
        <w:t>to the heart</w:t>
      </w:r>
      <w:r>
        <w:rPr>
          <w:sz w:val="20"/>
        </w:rPr>
        <w:t xml:space="preserve">: </w:t>
      </w:r>
      <w:r>
        <w:rPr>
          <w:spacing w:val="-3"/>
          <w:sz w:val="20"/>
        </w:rPr>
        <w:t xml:space="preserve">was </w:t>
      </w:r>
      <w:r>
        <w:rPr>
          <w:sz w:val="20"/>
        </w:rPr>
        <w:t xml:space="preserve">evaluated by the V20 </w:t>
      </w:r>
      <w:r>
        <w:rPr>
          <w:spacing w:val="-5"/>
          <w:sz w:val="20"/>
        </w:rPr>
        <w:t xml:space="preserve">Gy, </w:t>
      </w:r>
      <w:r>
        <w:rPr>
          <w:sz w:val="20"/>
        </w:rPr>
        <w:t xml:space="preserve">V25 </w:t>
      </w:r>
      <w:r>
        <w:rPr>
          <w:spacing w:val="-5"/>
          <w:sz w:val="20"/>
        </w:rPr>
        <w:t xml:space="preserve">Gy, </w:t>
      </w:r>
      <w:r>
        <w:rPr>
          <w:sz w:val="20"/>
        </w:rPr>
        <w:t>D35% and</w:t>
      </w:r>
      <w:r>
        <w:rPr>
          <w:spacing w:val="18"/>
          <w:sz w:val="20"/>
        </w:rPr>
        <w:t xml:space="preserve"> </w:t>
      </w:r>
      <w:r>
        <w:rPr>
          <w:spacing w:val="-3"/>
          <w:sz w:val="20"/>
        </w:rPr>
        <w:t>MHD.</w:t>
      </w:r>
    </w:p>
    <w:p w:rsidR="00AB1B93" w:rsidRDefault="00AB1B93" w:rsidP="00AB1B93">
      <w:pPr>
        <w:tabs>
          <w:tab w:val="left" w:pos="900"/>
        </w:tabs>
        <w:ind w:right="170"/>
        <w:jc w:val="both"/>
      </w:pPr>
      <w:r w:rsidRPr="00CA1417">
        <w:rPr>
          <w:b/>
          <w:sz w:val="20"/>
        </w:rPr>
        <w:t xml:space="preserve">The </w:t>
      </w:r>
      <w:r w:rsidRPr="00CA1417">
        <w:rPr>
          <w:b/>
          <w:spacing w:val="-3"/>
          <w:sz w:val="20"/>
        </w:rPr>
        <w:t xml:space="preserve">dose </w:t>
      </w:r>
      <w:r w:rsidRPr="00CA1417">
        <w:rPr>
          <w:b/>
          <w:sz w:val="20"/>
        </w:rPr>
        <w:t>to the ipsilateral lung</w:t>
      </w:r>
      <w:r>
        <w:rPr>
          <w:sz w:val="20"/>
        </w:rPr>
        <w:t xml:space="preserve">: </w:t>
      </w:r>
      <w:r w:rsidRPr="00CA1417">
        <w:rPr>
          <w:spacing w:val="-3"/>
          <w:sz w:val="20"/>
        </w:rPr>
        <w:t xml:space="preserve">was </w:t>
      </w:r>
      <w:r>
        <w:rPr>
          <w:sz w:val="20"/>
        </w:rPr>
        <w:t xml:space="preserve">evaluated by the V20 Gy (considered acceptable below 20%), V16Gy (no more than 20% </w:t>
      </w:r>
      <w:r w:rsidRPr="00CA1417">
        <w:rPr>
          <w:spacing w:val="-3"/>
          <w:sz w:val="20"/>
        </w:rPr>
        <w:t xml:space="preserve">of </w:t>
      </w:r>
      <w:r>
        <w:rPr>
          <w:sz w:val="20"/>
        </w:rPr>
        <w:t xml:space="preserve">the ipsilateral lung </w:t>
      </w:r>
      <w:r w:rsidRPr="00CA1417">
        <w:rPr>
          <w:spacing w:val="-3"/>
          <w:sz w:val="20"/>
        </w:rPr>
        <w:t xml:space="preserve">exceeded </w:t>
      </w:r>
      <w:r>
        <w:rPr>
          <w:sz w:val="20"/>
        </w:rPr>
        <w:t xml:space="preserve">16 Gy). As </w:t>
      </w:r>
      <w:r w:rsidRPr="00CA1417">
        <w:rPr>
          <w:spacing w:val="-4"/>
          <w:sz w:val="20"/>
        </w:rPr>
        <w:t>for</w:t>
      </w:r>
      <w:r>
        <w:t xml:space="preserve"> the contralateral lung, no more than 15% of the contralateral lung exceeded 4 Gy.</w:t>
      </w:r>
    </w:p>
    <w:p w:rsidR="00AB1B93" w:rsidRDefault="00AB1B93" w:rsidP="00AB1B93">
      <w:pPr>
        <w:ind w:right="-46" w:firstLine="427"/>
        <w:jc w:val="both"/>
        <w:rPr>
          <w:lang w:bidi="ar-EG"/>
        </w:rPr>
      </w:pPr>
      <w:r>
        <w:rPr>
          <w:b/>
          <w:sz w:val="20"/>
        </w:rPr>
        <w:t xml:space="preserve">The </w:t>
      </w:r>
      <w:r>
        <w:rPr>
          <w:b/>
          <w:spacing w:val="-3"/>
          <w:sz w:val="20"/>
        </w:rPr>
        <w:t xml:space="preserve">dose </w:t>
      </w:r>
      <w:r>
        <w:rPr>
          <w:b/>
          <w:sz w:val="20"/>
        </w:rPr>
        <w:t>to the contralateral breast</w:t>
      </w:r>
      <w:r>
        <w:rPr>
          <w:sz w:val="20"/>
        </w:rPr>
        <w:t xml:space="preserve">: </w:t>
      </w:r>
      <w:r>
        <w:rPr>
          <w:spacing w:val="-3"/>
          <w:sz w:val="20"/>
        </w:rPr>
        <w:t xml:space="preserve">was </w:t>
      </w:r>
      <w:r>
        <w:rPr>
          <w:sz w:val="20"/>
        </w:rPr>
        <w:t xml:space="preserve">evaluated </w:t>
      </w:r>
      <w:r>
        <w:rPr>
          <w:spacing w:val="-3"/>
          <w:sz w:val="20"/>
        </w:rPr>
        <w:t xml:space="preserve">by </w:t>
      </w:r>
      <w:r>
        <w:rPr>
          <w:sz w:val="20"/>
        </w:rPr>
        <w:t xml:space="preserve">V2.4Gy and </w:t>
      </w:r>
      <w:r>
        <w:rPr>
          <w:spacing w:val="-3"/>
          <w:sz w:val="20"/>
        </w:rPr>
        <w:t xml:space="preserve">by </w:t>
      </w:r>
      <w:r>
        <w:rPr>
          <w:sz w:val="20"/>
        </w:rPr>
        <w:t xml:space="preserve">the Dmax as </w:t>
      </w:r>
      <w:r>
        <w:rPr>
          <w:spacing w:val="-3"/>
          <w:sz w:val="20"/>
        </w:rPr>
        <w:t xml:space="preserve">shown </w:t>
      </w:r>
      <w:r>
        <w:rPr>
          <w:sz w:val="20"/>
        </w:rPr>
        <w:t xml:space="preserve">in </w:t>
      </w:r>
      <w:r>
        <w:rPr>
          <w:b/>
          <w:sz w:val="20"/>
        </w:rPr>
        <w:t>Table</w:t>
      </w:r>
      <w:r>
        <w:rPr>
          <w:b/>
          <w:spacing w:val="-1"/>
          <w:sz w:val="20"/>
        </w:rPr>
        <w:t xml:space="preserve"> </w:t>
      </w:r>
      <w:r>
        <w:rPr>
          <w:b/>
          <w:sz w:val="20"/>
        </w:rPr>
        <w:t>3.</w:t>
      </w:r>
    </w:p>
    <w:p w:rsidR="00AB1B93" w:rsidRDefault="00AB1B93" w:rsidP="00AB1B93">
      <w:pPr>
        <w:pStyle w:val="Heading1"/>
        <w:spacing w:after="6" w:line="240" w:lineRule="auto"/>
        <w:ind w:left="184" w:right="184"/>
        <w:sectPr w:rsidR="00AB1B93" w:rsidSect="00AB1B93">
          <w:type w:val="continuous"/>
          <w:pgSz w:w="11906" w:h="16838"/>
          <w:pgMar w:top="1440" w:right="1440" w:bottom="1440" w:left="1440" w:header="709" w:footer="709" w:gutter="0"/>
          <w:cols w:num="2" w:space="709"/>
          <w:rtlGutter/>
          <w:docGrid w:linePitch="360"/>
        </w:sectPr>
      </w:pPr>
    </w:p>
    <w:p w:rsidR="00AB1B93" w:rsidRDefault="00AB1B93" w:rsidP="00AB1B93">
      <w:pPr>
        <w:pStyle w:val="Heading1"/>
        <w:spacing w:after="6" w:line="240" w:lineRule="auto"/>
        <w:ind w:left="184" w:right="184"/>
      </w:pPr>
    </w:p>
    <w:p w:rsidR="00AB1B93" w:rsidRDefault="00AB1B93" w:rsidP="00AB1B93">
      <w:pPr>
        <w:pStyle w:val="Heading1"/>
        <w:spacing w:after="6" w:line="240" w:lineRule="auto"/>
        <w:ind w:left="184" w:right="184"/>
      </w:pPr>
      <w:r>
        <w:t>Table 1: Dosimetric data on coverage of the CTV-WB</w:t>
      </w:r>
    </w:p>
    <w:tbl>
      <w:tblPr>
        <w:tblW w:w="9337"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29"/>
        <w:gridCol w:w="3808"/>
      </w:tblGrid>
      <w:tr w:rsidR="00AB1B93" w:rsidTr="00AB1B93">
        <w:trPr>
          <w:trHeight w:val="294"/>
        </w:trPr>
        <w:tc>
          <w:tcPr>
            <w:tcW w:w="5529" w:type="dxa"/>
          </w:tcPr>
          <w:p w:rsidR="00AB1B93" w:rsidRDefault="00AB1B93" w:rsidP="005736E4">
            <w:pPr>
              <w:pStyle w:val="TableParagraph"/>
              <w:spacing w:line="210" w:lineRule="exact"/>
              <w:rPr>
                <w:b/>
                <w:sz w:val="20"/>
              </w:rPr>
            </w:pPr>
            <w:r>
              <w:rPr>
                <w:b/>
                <w:sz w:val="20"/>
              </w:rPr>
              <w:t>Parameter</w:t>
            </w:r>
          </w:p>
        </w:tc>
        <w:tc>
          <w:tcPr>
            <w:tcW w:w="3808" w:type="dxa"/>
          </w:tcPr>
          <w:p w:rsidR="00AB1B93" w:rsidRDefault="00AB1B93" w:rsidP="005736E4">
            <w:pPr>
              <w:pStyle w:val="TableParagraph"/>
              <w:spacing w:line="210" w:lineRule="exact"/>
              <w:rPr>
                <w:b/>
                <w:sz w:val="20"/>
              </w:rPr>
            </w:pPr>
            <w:r>
              <w:rPr>
                <w:b/>
                <w:sz w:val="20"/>
              </w:rPr>
              <w:t>Value</w:t>
            </w:r>
          </w:p>
        </w:tc>
      </w:tr>
      <w:tr w:rsidR="00AB1B93" w:rsidTr="00AB1B93">
        <w:trPr>
          <w:trHeight w:val="588"/>
        </w:trPr>
        <w:tc>
          <w:tcPr>
            <w:tcW w:w="5529" w:type="dxa"/>
          </w:tcPr>
          <w:p w:rsidR="00AB1B93" w:rsidRDefault="00AB1B93" w:rsidP="005736E4">
            <w:pPr>
              <w:pStyle w:val="TableParagraph"/>
              <w:rPr>
                <w:b/>
                <w:sz w:val="20"/>
              </w:rPr>
            </w:pPr>
            <w:r>
              <w:rPr>
                <w:sz w:val="20"/>
              </w:rPr>
              <w:t xml:space="preserve">V38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sz w:val="20"/>
              </w:rPr>
            </w:pPr>
            <w:r>
              <w:rPr>
                <w:sz w:val="20"/>
              </w:rPr>
              <w:t>95.89+/-1.7</w:t>
            </w:r>
          </w:p>
          <w:p w:rsidR="00AB1B93" w:rsidRDefault="00AB1B93" w:rsidP="005736E4">
            <w:pPr>
              <w:pStyle w:val="TableParagraph"/>
              <w:spacing w:line="219" w:lineRule="exact"/>
              <w:rPr>
                <w:sz w:val="20"/>
              </w:rPr>
            </w:pPr>
            <w:r>
              <w:rPr>
                <w:sz w:val="20"/>
              </w:rPr>
              <w:t>90-100</w:t>
            </w:r>
          </w:p>
        </w:tc>
      </w:tr>
      <w:tr w:rsidR="00AB1B93" w:rsidTr="00AB1B93">
        <w:trPr>
          <w:trHeight w:val="588"/>
        </w:trPr>
        <w:tc>
          <w:tcPr>
            <w:tcW w:w="5529" w:type="dxa"/>
          </w:tcPr>
          <w:p w:rsidR="00AB1B93" w:rsidRDefault="00AB1B93" w:rsidP="005736E4">
            <w:pPr>
              <w:pStyle w:val="TableParagraph"/>
              <w:rPr>
                <w:b/>
                <w:sz w:val="20"/>
              </w:rPr>
            </w:pPr>
            <w:r>
              <w:rPr>
                <w:sz w:val="20"/>
              </w:rPr>
              <w:t xml:space="preserve">V36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i/>
                <w:sz w:val="20"/>
              </w:rPr>
            </w:pPr>
            <w:r>
              <w:rPr>
                <w:sz w:val="20"/>
              </w:rPr>
              <w:t xml:space="preserve">99.0 </w:t>
            </w:r>
            <w:r>
              <w:rPr>
                <w:i/>
                <w:sz w:val="20"/>
              </w:rPr>
              <w:t>+/- 0.8</w:t>
            </w:r>
          </w:p>
          <w:p w:rsidR="00AB1B93" w:rsidRDefault="00AB1B93" w:rsidP="005736E4">
            <w:pPr>
              <w:pStyle w:val="TableParagraph"/>
              <w:spacing w:line="219" w:lineRule="exact"/>
              <w:rPr>
                <w:i/>
                <w:sz w:val="20"/>
              </w:rPr>
            </w:pPr>
            <w:r>
              <w:rPr>
                <w:i/>
                <w:sz w:val="20"/>
              </w:rPr>
              <w:t>96-100</w:t>
            </w:r>
          </w:p>
        </w:tc>
      </w:tr>
      <w:tr w:rsidR="00AB1B93" w:rsidTr="00AB1B93">
        <w:trPr>
          <w:trHeight w:val="588"/>
        </w:trPr>
        <w:tc>
          <w:tcPr>
            <w:tcW w:w="5529" w:type="dxa"/>
          </w:tcPr>
          <w:p w:rsidR="00AB1B93" w:rsidRDefault="00AB1B93" w:rsidP="005736E4">
            <w:pPr>
              <w:pStyle w:val="TableParagraph"/>
              <w:rPr>
                <w:b/>
                <w:sz w:val="20"/>
              </w:rPr>
            </w:pPr>
            <w:r>
              <w:rPr>
                <w:sz w:val="20"/>
              </w:rPr>
              <w:t xml:space="preserve">V48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i/>
                <w:sz w:val="20"/>
              </w:rPr>
            </w:pPr>
            <w:r>
              <w:rPr>
                <w:sz w:val="20"/>
              </w:rPr>
              <w:t xml:space="preserve">5.2 </w:t>
            </w:r>
            <w:r>
              <w:rPr>
                <w:i/>
                <w:sz w:val="20"/>
              </w:rPr>
              <w:t>+/- 3.8</w:t>
            </w:r>
          </w:p>
          <w:p w:rsidR="00AB1B93" w:rsidRDefault="00AB1B93" w:rsidP="005736E4">
            <w:pPr>
              <w:pStyle w:val="TableParagraph"/>
              <w:spacing w:line="219" w:lineRule="exact"/>
              <w:rPr>
                <w:i/>
                <w:sz w:val="20"/>
              </w:rPr>
            </w:pPr>
            <w:r>
              <w:rPr>
                <w:i/>
                <w:sz w:val="20"/>
              </w:rPr>
              <w:t>0-16</w:t>
            </w:r>
          </w:p>
        </w:tc>
      </w:tr>
      <w:tr w:rsidR="00AB1B93" w:rsidTr="00AB1B93">
        <w:trPr>
          <w:trHeight w:val="588"/>
        </w:trPr>
        <w:tc>
          <w:tcPr>
            <w:tcW w:w="5529" w:type="dxa"/>
          </w:tcPr>
          <w:p w:rsidR="00AB1B93" w:rsidRDefault="00AB1B93" w:rsidP="005736E4">
            <w:pPr>
              <w:pStyle w:val="TableParagraph"/>
              <w:rPr>
                <w:b/>
                <w:sz w:val="20"/>
              </w:rPr>
            </w:pPr>
            <w:r>
              <w:rPr>
                <w:sz w:val="20"/>
              </w:rPr>
              <w:t xml:space="preserve">V44.8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sz w:val="20"/>
              </w:rPr>
            </w:pPr>
            <w:r>
              <w:rPr>
                <w:sz w:val="20"/>
              </w:rPr>
              <w:t>16.8</w:t>
            </w:r>
            <w:r>
              <w:rPr>
                <w:b/>
                <w:i/>
                <w:sz w:val="20"/>
              </w:rPr>
              <w:t xml:space="preserve">+/- </w:t>
            </w:r>
            <w:r>
              <w:rPr>
                <w:sz w:val="20"/>
              </w:rPr>
              <w:t>7.4</w:t>
            </w:r>
          </w:p>
          <w:p w:rsidR="00AB1B93" w:rsidRDefault="00AB1B93" w:rsidP="005736E4">
            <w:pPr>
              <w:pStyle w:val="TableParagraph"/>
              <w:spacing w:line="219" w:lineRule="exact"/>
              <w:rPr>
                <w:sz w:val="20"/>
              </w:rPr>
            </w:pPr>
            <w:r>
              <w:rPr>
                <w:sz w:val="20"/>
              </w:rPr>
              <w:t>0-34</w:t>
            </w:r>
          </w:p>
        </w:tc>
      </w:tr>
      <w:tr w:rsidR="00AB1B93" w:rsidTr="00AB1B93">
        <w:trPr>
          <w:trHeight w:val="588"/>
        </w:trPr>
        <w:tc>
          <w:tcPr>
            <w:tcW w:w="5529" w:type="dxa"/>
          </w:tcPr>
          <w:p w:rsidR="00AB1B93" w:rsidRDefault="00AB1B93" w:rsidP="005736E4">
            <w:pPr>
              <w:pStyle w:val="TableParagraph"/>
              <w:rPr>
                <w:b/>
                <w:sz w:val="20"/>
              </w:rPr>
            </w:pPr>
            <w:r>
              <w:rPr>
                <w:sz w:val="20"/>
              </w:rPr>
              <w:t xml:space="preserve">D max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i/>
                <w:sz w:val="20"/>
              </w:rPr>
            </w:pPr>
            <w:r>
              <w:rPr>
                <w:sz w:val="20"/>
              </w:rPr>
              <w:t xml:space="preserve">48.5 </w:t>
            </w:r>
            <w:r>
              <w:rPr>
                <w:i/>
                <w:sz w:val="20"/>
              </w:rPr>
              <w:t>+/-1.17</w:t>
            </w:r>
          </w:p>
          <w:p w:rsidR="00AB1B93" w:rsidRDefault="00AB1B93" w:rsidP="005736E4">
            <w:pPr>
              <w:pStyle w:val="TableParagraph"/>
              <w:spacing w:line="219" w:lineRule="exact"/>
              <w:rPr>
                <w:i/>
                <w:sz w:val="20"/>
              </w:rPr>
            </w:pPr>
            <w:r>
              <w:rPr>
                <w:i/>
                <w:sz w:val="20"/>
              </w:rPr>
              <w:t>50-43</w:t>
            </w:r>
          </w:p>
        </w:tc>
      </w:tr>
      <w:tr w:rsidR="00AB1B93" w:rsidTr="00AB1B93">
        <w:trPr>
          <w:trHeight w:val="588"/>
        </w:trPr>
        <w:tc>
          <w:tcPr>
            <w:tcW w:w="5529" w:type="dxa"/>
          </w:tcPr>
          <w:p w:rsidR="00AB1B93" w:rsidRDefault="00AB1B93" w:rsidP="005736E4">
            <w:pPr>
              <w:pStyle w:val="TableParagraph"/>
              <w:rPr>
                <w:b/>
                <w:sz w:val="20"/>
              </w:rPr>
            </w:pPr>
            <w:r>
              <w:rPr>
                <w:sz w:val="20"/>
              </w:rPr>
              <w:t xml:space="preserve">D min </w:t>
            </w:r>
            <w:r>
              <w:rPr>
                <w:b/>
                <w:sz w:val="20"/>
              </w:rPr>
              <w:t>(mean +/-SD)</w:t>
            </w:r>
          </w:p>
          <w:p w:rsidR="00AB1B93" w:rsidRDefault="00AB1B93" w:rsidP="005736E4">
            <w:pPr>
              <w:pStyle w:val="TableParagraph"/>
              <w:spacing w:line="219" w:lineRule="exact"/>
              <w:rPr>
                <w:sz w:val="20"/>
              </w:rPr>
            </w:pPr>
            <w:r>
              <w:rPr>
                <w:sz w:val="20"/>
              </w:rPr>
              <w:t>Range</w:t>
            </w:r>
          </w:p>
        </w:tc>
        <w:tc>
          <w:tcPr>
            <w:tcW w:w="3808" w:type="dxa"/>
          </w:tcPr>
          <w:p w:rsidR="00AB1B93" w:rsidRDefault="00AB1B93" w:rsidP="005736E4">
            <w:pPr>
              <w:pStyle w:val="TableParagraph"/>
              <w:rPr>
                <w:i/>
                <w:sz w:val="20"/>
              </w:rPr>
            </w:pPr>
            <w:r>
              <w:rPr>
                <w:sz w:val="20"/>
              </w:rPr>
              <w:t xml:space="preserve">37.26 </w:t>
            </w:r>
            <w:r>
              <w:rPr>
                <w:i/>
                <w:sz w:val="20"/>
              </w:rPr>
              <w:t>+/- 1.15</w:t>
            </w:r>
          </w:p>
          <w:p w:rsidR="00AB1B93" w:rsidRDefault="00AB1B93" w:rsidP="005736E4">
            <w:pPr>
              <w:pStyle w:val="TableParagraph"/>
              <w:spacing w:line="219" w:lineRule="exact"/>
              <w:rPr>
                <w:i/>
                <w:sz w:val="20"/>
              </w:rPr>
            </w:pPr>
            <w:r>
              <w:rPr>
                <w:i/>
                <w:sz w:val="20"/>
              </w:rPr>
              <w:t>36-45</w:t>
            </w:r>
          </w:p>
        </w:tc>
      </w:tr>
    </w:tbl>
    <w:p w:rsidR="00AB1B93" w:rsidRDefault="00AB1B93" w:rsidP="00AB1B93">
      <w:pPr>
        <w:ind w:left="180" w:right="206"/>
        <w:rPr>
          <w:i/>
          <w:sz w:val="20"/>
        </w:rPr>
      </w:pPr>
      <w:r>
        <w:rPr>
          <w:b/>
          <w:i/>
          <w:sz w:val="20"/>
        </w:rPr>
        <w:t xml:space="preserve">CTV: </w:t>
      </w:r>
      <w:r>
        <w:rPr>
          <w:i/>
          <w:sz w:val="20"/>
        </w:rPr>
        <w:t xml:space="preserve">Clinical target volume, </w:t>
      </w:r>
      <w:r>
        <w:rPr>
          <w:b/>
          <w:i/>
          <w:sz w:val="20"/>
        </w:rPr>
        <w:t>V38</w:t>
      </w:r>
      <w:r>
        <w:rPr>
          <w:i/>
          <w:sz w:val="20"/>
        </w:rPr>
        <w:t xml:space="preserve">: Volume that received </w:t>
      </w:r>
      <w:r>
        <w:rPr>
          <w:i/>
          <w:spacing w:val="-3"/>
          <w:sz w:val="20"/>
        </w:rPr>
        <w:t xml:space="preserve">38 </w:t>
      </w:r>
      <w:r>
        <w:rPr>
          <w:i/>
          <w:sz w:val="20"/>
        </w:rPr>
        <w:t xml:space="preserve">Gy, </w:t>
      </w:r>
      <w:r>
        <w:rPr>
          <w:b/>
          <w:i/>
          <w:sz w:val="20"/>
        </w:rPr>
        <w:t>V36</w:t>
      </w:r>
      <w:r>
        <w:rPr>
          <w:i/>
          <w:sz w:val="20"/>
        </w:rPr>
        <w:t xml:space="preserve">: Volume that received 36 Gy, </w:t>
      </w:r>
      <w:r>
        <w:rPr>
          <w:b/>
          <w:i/>
          <w:sz w:val="20"/>
        </w:rPr>
        <w:t>V48</w:t>
      </w:r>
      <w:r>
        <w:rPr>
          <w:i/>
          <w:sz w:val="20"/>
        </w:rPr>
        <w:t xml:space="preserve">: Volume that received </w:t>
      </w:r>
      <w:r>
        <w:rPr>
          <w:i/>
          <w:spacing w:val="-3"/>
          <w:sz w:val="20"/>
        </w:rPr>
        <w:t xml:space="preserve">48 </w:t>
      </w:r>
      <w:r>
        <w:rPr>
          <w:i/>
          <w:spacing w:val="-4"/>
          <w:sz w:val="20"/>
        </w:rPr>
        <w:t xml:space="preserve">Gy </w:t>
      </w:r>
      <w:r>
        <w:rPr>
          <w:b/>
          <w:i/>
          <w:sz w:val="20"/>
        </w:rPr>
        <w:t>V44.8</w:t>
      </w:r>
      <w:r>
        <w:rPr>
          <w:i/>
          <w:sz w:val="20"/>
        </w:rPr>
        <w:t xml:space="preserve">: Volume that received 44.8. </w:t>
      </w:r>
      <w:r>
        <w:rPr>
          <w:i/>
          <w:spacing w:val="-4"/>
          <w:sz w:val="20"/>
        </w:rPr>
        <w:t xml:space="preserve">Gy </w:t>
      </w:r>
      <w:r>
        <w:rPr>
          <w:b/>
          <w:i/>
          <w:sz w:val="20"/>
        </w:rPr>
        <w:t>Dmax</w:t>
      </w:r>
      <w:r>
        <w:rPr>
          <w:i/>
          <w:sz w:val="20"/>
        </w:rPr>
        <w:t xml:space="preserve">: maximum dose, </w:t>
      </w:r>
      <w:r>
        <w:rPr>
          <w:b/>
          <w:i/>
          <w:sz w:val="20"/>
        </w:rPr>
        <w:t>Dmin</w:t>
      </w:r>
      <w:r>
        <w:rPr>
          <w:i/>
          <w:sz w:val="20"/>
        </w:rPr>
        <w:t>: minimum</w:t>
      </w:r>
      <w:r>
        <w:rPr>
          <w:i/>
          <w:spacing w:val="19"/>
          <w:sz w:val="20"/>
        </w:rPr>
        <w:t xml:space="preserve"> </w:t>
      </w:r>
      <w:r>
        <w:rPr>
          <w:i/>
          <w:sz w:val="20"/>
        </w:rPr>
        <w:t>dose</w:t>
      </w:r>
    </w:p>
    <w:p w:rsidR="00AB1B93" w:rsidRDefault="00AB1B93" w:rsidP="00AB1B93">
      <w:pPr>
        <w:pStyle w:val="BodyText"/>
        <w:ind w:left="0"/>
        <w:jc w:val="left"/>
        <w:rPr>
          <w:i/>
          <w:sz w:val="22"/>
        </w:rPr>
      </w:pPr>
    </w:p>
    <w:p w:rsidR="00AB1B93" w:rsidRDefault="00AB1B93" w:rsidP="00AB1B93">
      <w:pPr>
        <w:pStyle w:val="Heading1"/>
        <w:spacing w:after="5" w:line="240" w:lineRule="auto"/>
        <w:ind w:left="184" w:right="186"/>
        <w:jc w:val="center"/>
      </w:pPr>
      <w:r>
        <w:t>Table 2: Dosimetric data on coverage of the Boost PTV:</w:t>
      </w:r>
    </w:p>
    <w:tbl>
      <w:tblPr>
        <w:tblW w:w="9060"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5"/>
        <w:gridCol w:w="3695"/>
      </w:tblGrid>
      <w:tr w:rsidR="00AB1B93" w:rsidTr="00AB1B93">
        <w:trPr>
          <w:trHeight w:val="367"/>
        </w:trPr>
        <w:tc>
          <w:tcPr>
            <w:tcW w:w="5365" w:type="dxa"/>
          </w:tcPr>
          <w:p w:rsidR="00AB1B93" w:rsidRDefault="00AB1B93" w:rsidP="005736E4">
            <w:pPr>
              <w:pStyle w:val="TableParagraph"/>
              <w:spacing w:line="210" w:lineRule="exact"/>
              <w:rPr>
                <w:b/>
                <w:sz w:val="20"/>
              </w:rPr>
            </w:pPr>
            <w:r>
              <w:rPr>
                <w:b/>
                <w:sz w:val="20"/>
              </w:rPr>
              <w:t>Parameter</w:t>
            </w:r>
          </w:p>
        </w:tc>
        <w:tc>
          <w:tcPr>
            <w:tcW w:w="3695" w:type="dxa"/>
          </w:tcPr>
          <w:p w:rsidR="00AB1B93" w:rsidRDefault="00AB1B93" w:rsidP="005736E4">
            <w:pPr>
              <w:pStyle w:val="TableParagraph"/>
              <w:spacing w:line="210" w:lineRule="exact"/>
              <w:rPr>
                <w:b/>
                <w:sz w:val="20"/>
              </w:rPr>
            </w:pPr>
            <w:r>
              <w:rPr>
                <w:b/>
                <w:sz w:val="20"/>
              </w:rPr>
              <w:t>Value</w:t>
            </w:r>
          </w:p>
        </w:tc>
      </w:tr>
      <w:tr w:rsidR="00AB1B93" w:rsidTr="00AB1B93">
        <w:trPr>
          <w:trHeight w:val="735"/>
        </w:trPr>
        <w:tc>
          <w:tcPr>
            <w:tcW w:w="5365" w:type="dxa"/>
          </w:tcPr>
          <w:p w:rsidR="00AB1B93" w:rsidRDefault="00AB1B93" w:rsidP="005736E4">
            <w:pPr>
              <w:pStyle w:val="TableParagraph"/>
              <w:rPr>
                <w:b/>
                <w:sz w:val="20"/>
              </w:rPr>
            </w:pPr>
            <w:r>
              <w:rPr>
                <w:sz w:val="20"/>
              </w:rPr>
              <w:t xml:space="preserve">V45.6 </w:t>
            </w:r>
            <w:r>
              <w:rPr>
                <w:b/>
                <w:sz w:val="20"/>
              </w:rPr>
              <w:t>(mean +/-SD)</w:t>
            </w:r>
          </w:p>
          <w:p w:rsidR="00AB1B93" w:rsidRDefault="00AB1B93" w:rsidP="005736E4">
            <w:pPr>
              <w:pStyle w:val="TableParagraph"/>
              <w:spacing w:line="219" w:lineRule="exact"/>
              <w:rPr>
                <w:sz w:val="20"/>
              </w:rPr>
            </w:pPr>
            <w:r>
              <w:rPr>
                <w:sz w:val="20"/>
              </w:rPr>
              <w:t>-Range</w:t>
            </w:r>
          </w:p>
        </w:tc>
        <w:tc>
          <w:tcPr>
            <w:tcW w:w="3695" w:type="dxa"/>
          </w:tcPr>
          <w:p w:rsidR="00AB1B93" w:rsidRDefault="00AB1B93" w:rsidP="005736E4">
            <w:pPr>
              <w:pStyle w:val="TableParagraph"/>
              <w:rPr>
                <w:sz w:val="20"/>
              </w:rPr>
            </w:pPr>
            <w:r>
              <w:rPr>
                <w:sz w:val="20"/>
              </w:rPr>
              <w:t>97.28+/-3.5</w:t>
            </w:r>
          </w:p>
          <w:p w:rsidR="00AB1B93" w:rsidRDefault="00AB1B93" w:rsidP="005736E4">
            <w:pPr>
              <w:pStyle w:val="TableParagraph"/>
              <w:spacing w:line="219" w:lineRule="exact"/>
              <w:rPr>
                <w:sz w:val="20"/>
              </w:rPr>
            </w:pPr>
            <w:r>
              <w:rPr>
                <w:sz w:val="20"/>
              </w:rPr>
              <w:t>90-100</w:t>
            </w:r>
          </w:p>
        </w:tc>
      </w:tr>
      <w:tr w:rsidR="00AB1B93" w:rsidTr="00AB1B93">
        <w:trPr>
          <w:trHeight w:val="735"/>
        </w:trPr>
        <w:tc>
          <w:tcPr>
            <w:tcW w:w="5365" w:type="dxa"/>
          </w:tcPr>
          <w:p w:rsidR="00AB1B93" w:rsidRDefault="00AB1B93" w:rsidP="005736E4">
            <w:pPr>
              <w:pStyle w:val="TableParagraph"/>
              <w:rPr>
                <w:b/>
                <w:sz w:val="20"/>
              </w:rPr>
            </w:pPr>
            <w:r>
              <w:rPr>
                <w:sz w:val="20"/>
              </w:rPr>
              <w:t>V 43.2</w:t>
            </w:r>
            <w:r>
              <w:rPr>
                <w:b/>
                <w:sz w:val="20"/>
              </w:rPr>
              <w:t>(mean +/-SD)</w:t>
            </w:r>
          </w:p>
          <w:p w:rsidR="00AB1B93" w:rsidRDefault="00AB1B93" w:rsidP="005736E4">
            <w:pPr>
              <w:pStyle w:val="TableParagraph"/>
              <w:spacing w:line="219" w:lineRule="exact"/>
              <w:rPr>
                <w:sz w:val="20"/>
              </w:rPr>
            </w:pPr>
            <w:r>
              <w:rPr>
                <w:sz w:val="20"/>
              </w:rPr>
              <w:t>-Range</w:t>
            </w:r>
          </w:p>
        </w:tc>
        <w:tc>
          <w:tcPr>
            <w:tcW w:w="3695" w:type="dxa"/>
          </w:tcPr>
          <w:p w:rsidR="00AB1B93" w:rsidRDefault="00AB1B93" w:rsidP="005736E4">
            <w:pPr>
              <w:pStyle w:val="TableParagraph"/>
              <w:rPr>
                <w:i/>
                <w:sz w:val="20"/>
              </w:rPr>
            </w:pPr>
            <w:r>
              <w:rPr>
                <w:sz w:val="20"/>
              </w:rPr>
              <w:t xml:space="preserve">99.29 </w:t>
            </w:r>
            <w:r>
              <w:rPr>
                <w:i/>
                <w:sz w:val="20"/>
              </w:rPr>
              <w:t>+/- 1.55</w:t>
            </w:r>
          </w:p>
          <w:p w:rsidR="00AB1B93" w:rsidRDefault="00AB1B93" w:rsidP="005736E4">
            <w:pPr>
              <w:pStyle w:val="TableParagraph"/>
              <w:spacing w:line="219" w:lineRule="exact"/>
              <w:rPr>
                <w:i/>
                <w:sz w:val="20"/>
              </w:rPr>
            </w:pPr>
            <w:r>
              <w:rPr>
                <w:i/>
                <w:sz w:val="20"/>
              </w:rPr>
              <w:t>93-100</w:t>
            </w:r>
          </w:p>
        </w:tc>
      </w:tr>
      <w:tr w:rsidR="00AB1B93" w:rsidTr="00AB1B93">
        <w:trPr>
          <w:trHeight w:val="735"/>
        </w:trPr>
        <w:tc>
          <w:tcPr>
            <w:tcW w:w="5365" w:type="dxa"/>
          </w:tcPr>
          <w:p w:rsidR="00AB1B93" w:rsidRDefault="00AB1B93" w:rsidP="005736E4">
            <w:pPr>
              <w:pStyle w:val="TableParagraph"/>
              <w:rPr>
                <w:b/>
                <w:sz w:val="20"/>
              </w:rPr>
            </w:pPr>
            <w:r>
              <w:rPr>
                <w:sz w:val="20"/>
              </w:rPr>
              <w:t xml:space="preserve">D max </w:t>
            </w:r>
            <w:r>
              <w:rPr>
                <w:b/>
                <w:sz w:val="20"/>
              </w:rPr>
              <w:t>(mean +/-SD)</w:t>
            </w:r>
          </w:p>
          <w:p w:rsidR="00AB1B93" w:rsidRDefault="00AB1B93" w:rsidP="005736E4">
            <w:pPr>
              <w:pStyle w:val="TableParagraph"/>
              <w:spacing w:line="219" w:lineRule="exact"/>
              <w:rPr>
                <w:sz w:val="20"/>
              </w:rPr>
            </w:pPr>
            <w:r>
              <w:rPr>
                <w:sz w:val="20"/>
              </w:rPr>
              <w:t>Range</w:t>
            </w:r>
          </w:p>
        </w:tc>
        <w:tc>
          <w:tcPr>
            <w:tcW w:w="3695" w:type="dxa"/>
          </w:tcPr>
          <w:p w:rsidR="00AB1B93" w:rsidRDefault="00AB1B93" w:rsidP="005736E4">
            <w:pPr>
              <w:pStyle w:val="TableParagraph"/>
              <w:rPr>
                <w:i/>
                <w:sz w:val="20"/>
              </w:rPr>
            </w:pPr>
            <w:r>
              <w:rPr>
                <w:sz w:val="20"/>
              </w:rPr>
              <w:t xml:space="preserve">49.53 </w:t>
            </w:r>
            <w:r>
              <w:rPr>
                <w:i/>
                <w:sz w:val="20"/>
              </w:rPr>
              <w:t>+/-1.02</w:t>
            </w:r>
          </w:p>
          <w:p w:rsidR="00AB1B93" w:rsidRDefault="00AB1B93" w:rsidP="005736E4">
            <w:pPr>
              <w:pStyle w:val="TableParagraph"/>
              <w:spacing w:line="219" w:lineRule="exact"/>
              <w:rPr>
                <w:i/>
                <w:sz w:val="20"/>
              </w:rPr>
            </w:pPr>
            <w:r>
              <w:rPr>
                <w:i/>
                <w:sz w:val="20"/>
              </w:rPr>
              <w:t>47-51</w:t>
            </w:r>
          </w:p>
        </w:tc>
      </w:tr>
      <w:tr w:rsidR="00AB1B93" w:rsidTr="00AB1B93">
        <w:trPr>
          <w:trHeight w:val="735"/>
        </w:trPr>
        <w:tc>
          <w:tcPr>
            <w:tcW w:w="5365" w:type="dxa"/>
          </w:tcPr>
          <w:p w:rsidR="00AB1B93" w:rsidRDefault="00AB1B93" w:rsidP="005736E4">
            <w:pPr>
              <w:pStyle w:val="TableParagraph"/>
              <w:rPr>
                <w:b/>
                <w:sz w:val="20"/>
              </w:rPr>
            </w:pPr>
            <w:r>
              <w:rPr>
                <w:sz w:val="20"/>
              </w:rPr>
              <w:t xml:space="preserve">D min </w:t>
            </w:r>
            <w:r>
              <w:rPr>
                <w:b/>
                <w:sz w:val="20"/>
              </w:rPr>
              <w:t>(mean +/-SD)</w:t>
            </w:r>
          </w:p>
          <w:p w:rsidR="00AB1B93" w:rsidRDefault="00AB1B93" w:rsidP="005736E4">
            <w:pPr>
              <w:pStyle w:val="TableParagraph"/>
              <w:spacing w:line="219" w:lineRule="exact"/>
              <w:rPr>
                <w:sz w:val="20"/>
              </w:rPr>
            </w:pPr>
            <w:r>
              <w:rPr>
                <w:sz w:val="20"/>
              </w:rPr>
              <w:t>Range</w:t>
            </w:r>
          </w:p>
        </w:tc>
        <w:tc>
          <w:tcPr>
            <w:tcW w:w="3695" w:type="dxa"/>
          </w:tcPr>
          <w:p w:rsidR="00AB1B93" w:rsidRDefault="00AB1B93" w:rsidP="005736E4">
            <w:pPr>
              <w:pStyle w:val="TableParagraph"/>
              <w:rPr>
                <w:i/>
                <w:sz w:val="20"/>
              </w:rPr>
            </w:pPr>
            <w:r>
              <w:rPr>
                <w:sz w:val="20"/>
              </w:rPr>
              <w:t xml:space="preserve">45.51 </w:t>
            </w:r>
            <w:r>
              <w:rPr>
                <w:i/>
                <w:sz w:val="20"/>
              </w:rPr>
              <w:t>+/- 1.77</w:t>
            </w:r>
          </w:p>
          <w:p w:rsidR="00AB1B93" w:rsidRDefault="00AB1B93" w:rsidP="005736E4">
            <w:pPr>
              <w:pStyle w:val="TableParagraph"/>
              <w:spacing w:line="219" w:lineRule="exact"/>
              <w:rPr>
                <w:i/>
                <w:sz w:val="20"/>
              </w:rPr>
            </w:pPr>
            <w:r>
              <w:rPr>
                <w:i/>
                <w:sz w:val="20"/>
              </w:rPr>
              <w:t>40-48</w:t>
            </w:r>
          </w:p>
        </w:tc>
      </w:tr>
    </w:tbl>
    <w:p w:rsidR="00AB1B93" w:rsidRDefault="00AB1B93" w:rsidP="00AB1B93">
      <w:pPr>
        <w:ind w:left="180" w:right="206"/>
        <w:rPr>
          <w:i/>
          <w:sz w:val="20"/>
        </w:rPr>
      </w:pPr>
      <w:r>
        <w:rPr>
          <w:b/>
          <w:i/>
          <w:sz w:val="20"/>
        </w:rPr>
        <w:t xml:space="preserve">PTV: </w:t>
      </w:r>
      <w:r>
        <w:rPr>
          <w:i/>
          <w:sz w:val="20"/>
        </w:rPr>
        <w:t xml:space="preserve">planning target volume, </w:t>
      </w:r>
      <w:r>
        <w:rPr>
          <w:b/>
          <w:i/>
          <w:sz w:val="20"/>
        </w:rPr>
        <w:t>V45.6</w:t>
      </w:r>
      <w:r>
        <w:rPr>
          <w:i/>
          <w:sz w:val="20"/>
        </w:rPr>
        <w:t xml:space="preserve">: Volume that received 45.6 Gy, </w:t>
      </w:r>
      <w:r>
        <w:rPr>
          <w:b/>
          <w:i/>
          <w:sz w:val="20"/>
        </w:rPr>
        <w:t>V43.2</w:t>
      </w:r>
      <w:r>
        <w:rPr>
          <w:i/>
          <w:sz w:val="20"/>
        </w:rPr>
        <w:t xml:space="preserve">: Volume that received 43.2 Gy, </w:t>
      </w:r>
      <w:r>
        <w:rPr>
          <w:b/>
          <w:i/>
          <w:sz w:val="20"/>
        </w:rPr>
        <w:t>Dmax</w:t>
      </w:r>
      <w:r>
        <w:rPr>
          <w:i/>
          <w:sz w:val="20"/>
        </w:rPr>
        <w:t xml:space="preserve">: maximum dose, </w:t>
      </w:r>
      <w:r>
        <w:rPr>
          <w:b/>
          <w:i/>
          <w:sz w:val="20"/>
        </w:rPr>
        <w:t>Dmin</w:t>
      </w:r>
      <w:r>
        <w:rPr>
          <w:i/>
          <w:sz w:val="20"/>
        </w:rPr>
        <w:t>: minimum dose.</w:t>
      </w:r>
    </w:p>
    <w:p w:rsidR="00AB1B93" w:rsidRDefault="00AB1B93" w:rsidP="00AB1B93">
      <w:pPr>
        <w:spacing w:before="93" w:after="5"/>
        <w:ind w:left="184" w:right="178"/>
        <w:jc w:val="center"/>
        <w:rPr>
          <w:b/>
          <w:i/>
          <w:sz w:val="20"/>
        </w:rPr>
      </w:pPr>
      <w:r>
        <w:rPr>
          <w:b/>
          <w:sz w:val="20"/>
        </w:rPr>
        <w:t xml:space="preserve">Table 3: </w:t>
      </w:r>
      <w:r>
        <w:rPr>
          <w:b/>
          <w:i/>
          <w:sz w:val="20"/>
        </w:rPr>
        <w:t>Dosimetric data on OAR (organs at risk):</w:t>
      </w: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34"/>
        <w:gridCol w:w="3940"/>
      </w:tblGrid>
      <w:tr w:rsidR="00AB1B93" w:rsidTr="005736E4">
        <w:trPr>
          <w:trHeight w:val="230"/>
        </w:trPr>
        <w:tc>
          <w:tcPr>
            <w:tcW w:w="5534" w:type="dxa"/>
          </w:tcPr>
          <w:p w:rsidR="00AB1B93" w:rsidRDefault="00AB1B93" w:rsidP="005736E4">
            <w:pPr>
              <w:pStyle w:val="TableParagraph"/>
              <w:spacing w:line="210" w:lineRule="exact"/>
              <w:rPr>
                <w:b/>
                <w:sz w:val="20"/>
              </w:rPr>
            </w:pPr>
            <w:r>
              <w:rPr>
                <w:b/>
                <w:sz w:val="20"/>
              </w:rPr>
              <w:t>Ipsilateral Lung</w:t>
            </w:r>
          </w:p>
        </w:tc>
        <w:tc>
          <w:tcPr>
            <w:tcW w:w="3940" w:type="dxa"/>
          </w:tcPr>
          <w:p w:rsidR="00AB1B93" w:rsidRDefault="00AB1B93" w:rsidP="005736E4">
            <w:pPr>
              <w:pStyle w:val="TableParagraph"/>
              <w:spacing w:line="240" w:lineRule="auto"/>
              <w:ind w:left="0"/>
              <w:rPr>
                <w:sz w:val="16"/>
              </w:rPr>
            </w:pPr>
          </w:p>
        </w:tc>
      </w:tr>
      <w:tr w:rsidR="00AB1B93" w:rsidTr="005736E4">
        <w:trPr>
          <w:trHeight w:val="460"/>
        </w:trPr>
        <w:tc>
          <w:tcPr>
            <w:tcW w:w="5534" w:type="dxa"/>
          </w:tcPr>
          <w:p w:rsidR="00AB1B93" w:rsidRDefault="00AB1B93" w:rsidP="005736E4">
            <w:pPr>
              <w:pStyle w:val="TableParagraph"/>
              <w:rPr>
                <w:b/>
                <w:sz w:val="20"/>
              </w:rPr>
            </w:pPr>
            <w:r>
              <w:rPr>
                <w:sz w:val="20"/>
              </w:rPr>
              <w:t xml:space="preserve">V20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12.4</w:t>
            </w:r>
            <w:r>
              <w:rPr>
                <w:i/>
                <w:sz w:val="20"/>
              </w:rPr>
              <w:t>+/-3.84</w:t>
            </w:r>
          </w:p>
          <w:p w:rsidR="00AB1B93" w:rsidRDefault="00AB1B93" w:rsidP="005736E4">
            <w:pPr>
              <w:pStyle w:val="TableParagraph"/>
              <w:spacing w:line="219" w:lineRule="exact"/>
              <w:rPr>
                <w:i/>
                <w:sz w:val="20"/>
              </w:rPr>
            </w:pPr>
            <w:r>
              <w:rPr>
                <w:i/>
                <w:sz w:val="20"/>
              </w:rPr>
              <w:t>2-20</w:t>
            </w:r>
          </w:p>
        </w:tc>
      </w:tr>
      <w:tr w:rsidR="00AB1B93" w:rsidTr="005736E4">
        <w:trPr>
          <w:trHeight w:val="460"/>
        </w:trPr>
        <w:tc>
          <w:tcPr>
            <w:tcW w:w="5534" w:type="dxa"/>
          </w:tcPr>
          <w:p w:rsidR="00AB1B93" w:rsidRDefault="00AB1B93" w:rsidP="005736E4">
            <w:pPr>
              <w:pStyle w:val="TableParagraph"/>
              <w:rPr>
                <w:b/>
                <w:sz w:val="20"/>
              </w:rPr>
            </w:pPr>
            <w:r>
              <w:rPr>
                <w:sz w:val="20"/>
              </w:rPr>
              <w:t xml:space="preserve">V16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13.87</w:t>
            </w:r>
            <w:r>
              <w:rPr>
                <w:i/>
                <w:sz w:val="20"/>
              </w:rPr>
              <w:t>+/-4.16</w:t>
            </w:r>
          </w:p>
          <w:p w:rsidR="00AB1B93" w:rsidRDefault="00AB1B93" w:rsidP="005736E4">
            <w:pPr>
              <w:pStyle w:val="TableParagraph"/>
              <w:spacing w:line="219" w:lineRule="exact"/>
              <w:rPr>
                <w:i/>
                <w:sz w:val="20"/>
              </w:rPr>
            </w:pPr>
            <w:r>
              <w:rPr>
                <w:i/>
                <w:sz w:val="20"/>
              </w:rPr>
              <w:t>2-20</w:t>
            </w:r>
          </w:p>
        </w:tc>
      </w:tr>
      <w:tr w:rsidR="00AB1B93" w:rsidTr="005736E4">
        <w:trPr>
          <w:trHeight w:val="460"/>
        </w:trPr>
        <w:tc>
          <w:tcPr>
            <w:tcW w:w="5534" w:type="dxa"/>
          </w:tcPr>
          <w:p w:rsidR="00AB1B93" w:rsidRDefault="00AB1B93" w:rsidP="005736E4">
            <w:pPr>
              <w:pStyle w:val="TableParagraph"/>
              <w:rPr>
                <w:b/>
                <w:sz w:val="20"/>
              </w:rPr>
            </w:pPr>
            <w:r>
              <w:rPr>
                <w:sz w:val="20"/>
              </w:rPr>
              <w:t xml:space="preserve">D50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1.97</w:t>
            </w:r>
            <w:r>
              <w:rPr>
                <w:i/>
                <w:sz w:val="20"/>
              </w:rPr>
              <w:t>+/-0.5</w:t>
            </w:r>
          </w:p>
          <w:p w:rsidR="00AB1B93" w:rsidRDefault="00AB1B93" w:rsidP="005736E4">
            <w:pPr>
              <w:pStyle w:val="TableParagraph"/>
              <w:spacing w:line="219" w:lineRule="exact"/>
              <w:rPr>
                <w:i/>
                <w:sz w:val="20"/>
              </w:rPr>
            </w:pPr>
            <w:r>
              <w:rPr>
                <w:i/>
                <w:sz w:val="20"/>
              </w:rPr>
              <w:t>0.9-3.3</w:t>
            </w:r>
          </w:p>
        </w:tc>
      </w:tr>
      <w:tr w:rsidR="00AB1B93" w:rsidTr="005736E4">
        <w:trPr>
          <w:trHeight w:val="455"/>
        </w:trPr>
        <w:tc>
          <w:tcPr>
            <w:tcW w:w="5534" w:type="dxa"/>
          </w:tcPr>
          <w:p w:rsidR="00AB1B93" w:rsidRDefault="00AB1B93" w:rsidP="005736E4">
            <w:pPr>
              <w:pStyle w:val="TableParagraph"/>
              <w:rPr>
                <w:b/>
                <w:sz w:val="20"/>
              </w:rPr>
            </w:pPr>
            <w:r>
              <w:rPr>
                <w:sz w:val="20"/>
              </w:rPr>
              <w:t xml:space="preserve">D35 </w:t>
            </w:r>
            <w:r>
              <w:rPr>
                <w:b/>
                <w:sz w:val="20"/>
              </w:rPr>
              <w:t>(mean +/-SD)</w:t>
            </w:r>
          </w:p>
          <w:p w:rsidR="00AB1B93" w:rsidRDefault="00AB1B93" w:rsidP="005736E4">
            <w:pPr>
              <w:pStyle w:val="TableParagraph"/>
              <w:spacing w:line="215" w:lineRule="exact"/>
              <w:rPr>
                <w:sz w:val="20"/>
              </w:rPr>
            </w:pPr>
            <w:r>
              <w:rPr>
                <w:sz w:val="20"/>
              </w:rPr>
              <w:t>Range</w:t>
            </w:r>
          </w:p>
        </w:tc>
        <w:tc>
          <w:tcPr>
            <w:tcW w:w="3940" w:type="dxa"/>
          </w:tcPr>
          <w:p w:rsidR="00AB1B93" w:rsidRDefault="00AB1B93" w:rsidP="005736E4">
            <w:pPr>
              <w:pStyle w:val="TableParagraph"/>
              <w:rPr>
                <w:i/>
                <w:sz w:val="20"/>
              </w:rPr>
            </w:pPr>
            <w:r>
              <w:rPr>
                <w:sz w:val="20"/>
              </w:rPr>
              <w:t>3.3</w:t>
            </w:r>
            <w:r>
              <w:rPr>
                <w:i/>
                <w:sz w:val="20"/>
              </w:rPr>
              <w:t>+/-0.7</w:t>
            </w:r>
          </w:p>
          <w:p w:rsidR="00AB1B93" w:rsidRDefault="00AB1B93" w:rsidP="005736E4">
            <w:pPr>
              <w:pStyle w:val="TableParagraph"/>
              <w:spacing w:line="215" w:lineRule="exact"/>
              <w:rPr>
                <w:i/>
                <w:sz w:val="20"/>
              </w:rPr>
            </w:pPr>
            <w:r>
              <w:rPr>
                <w:i/>
                <w:sz w:val="20"/>
              </w:rPr>
              <w:t>1.5-4.5</w:t>
            </w:r>
          </w:p>
        </w:tc>
      </w:tr>
      <w:tr w:rsidR="00AB1B93" w:rsidTr="005736E4">
        <w:trPr>
          <w:trHeight w:val="460"/>
        </w:trPr>
        <w:tc>
          <w:tcPr>
            <w:tcW w:w="5534" w:type="dxa"/>
          </w:tcPr>
          <w:p w:rsidR="00AB1B93" w:rsidRDefault="00AB1B93" w:rsidP="005736E4">
            <w:pPr>
              <w:pStyle w:val="TableParagraph"/>
              <w:spacing w:line="223" w:lineRule="exact"/>
              <w:rPr>
                <w:b/>
                <w:sz w:val="20"/>
              </w:rPr>
            </w:pPr>
            <w:r>
              <w:rPr>
                <w:sz w:val="20"/>
              </w:rPr>
              <w:t xml:space="preserve">V4CLL </w:t>
            </w:r>
            <w:r>
              <w:rPr>
                <w:b/>
                <w:sz w:val="20"/>
              </w:rPr>
              <w:t>(mean +/-SD)</w:t>
            </w:r>
          </w:p>
          <w:p w:rsidR="00AB1B93" w:rsidRDefault="00AB1B93" w:rsidP="005736E4">
            <w:pPr>
              <w:pStyle w:val="TableParagraph"/>
              <w:spacing w:line="217" w:lineRule="exact"/>
              <w:rPr>
                <w:sz w:val="20"/>
              </w:rPr>
            </w:pPr>
            <w:r>
              <w:rPr>
                <w:sz w:val="20"/>
              </w:rPr>
              <w:t>-Range</w:t>
            </w:r>
          </w:p>
        </w:tc>
        <w:tc>
          <w:tcPr>
            <w:tcW w:w="3940" w:type="dxa"/>
          </w:tcPr>
          <w:p w:rsidR="00AB1B93" w:rsidRDefault="00AB1B93" w:rsidP="005736E4">
            <w:pPr>
              <w:pStyle w:val="TableParagraph"/>
              <w:spacing w:line="223" w:lineRule="exact"/>
              <w:rPr>
                <w:i/>
                <w:sz w:val="20"/>
              </w:rPr>
            </w:pPr>
            <w:r>
              <w:rPr>
                <w:sz w:val="20"/>
              </w:rPr>
              <w:t xml:space="preserve">0.003 </w:t>
            </w:r>
            <w:r>
              <w:rPr>
                <w:i/>
                <w:sz w:val="20"/>
              </w:rPr>
              <w:t>+/- 0.025</w:t>
            </w:r>
          </w:p>
          <w:p w:rsidR="00AB1B93" w:rsidRDefault="00AB1B93" w:rsidP="005736E4">
            <w:pPr>
              <w:pStyle w:val="TableParagraph"/>
              <w:spacing w:line="217" w:lineRule="exact"/>
              <w:rPr>
                <w:i/>
                <w:sz w:val="20"/>
              </w:rPr>
            </w:pPr>
            <w:r>
              <w:rPr>
                <w:i/>
                <w:sz w:val="20"/>
              </w:rPr>
              <w:t>0-0.2</w:t>
            </w:r>
          </w:p>
        </w:tc>
      </w:tr>
      <w:tr w:rsidR="00AB1B93" w:rsidTr="005736E4">
        <w:trPr>
          <w:trHeight w:val="230"/>
        </w:trPr>
        <w:tc>
          <w:tcPr>
            <w:tcW w:w="5534" w:type="dxa"/>
          </w:tcPr>
          <w:p w:rsidR="00AB1B93" w:rsidRDefault="00AB1B93" w:rsidP="005736E4">
            <w:pPr>
              <w:pStyle w:val="TableParagraph"/>
              <w:spacing w:line="210" w:lineRule="exact"/>
              <w:rPr>
                <w:b/>
                <w:sz w:val="20"/>
              </w:rPr>
            </w:pPr>
            <w:r>
              <w:rPr>
                <w:b/>
                <w:sz w:val="20"/>
              </w:rPr>
              <w:t>Heart</w:t>
            </w:r>
          </w:p>
        </w:tc>
        <w:tc>
          <w:tcPr>
            <w:tcW w:w="3940" w:type="dxa"/>
          </w:tcPr>
          <w:p w:rsidR="00AB1B93" w:rsidRDefault="00AB1B93" w:rsidP="005736E4">
            <w:pPr>
              <w:pStyle w:val="TableParagraph"/>
              <w:spacing w:line="240" w:lineRule="auto"/>
              <w:ind w:left="0"/>
              <w:rPr>
                <w:sz w:val="16"/>
              </w:rPr>
            </w:pPr>
          </w:p>
        </w:tc>
      </w:tr>
      <w:tr w:rsidR="00AB1B93" w:rsidTr="005736E4">
        <w:trPr>
          <w:trHeight w:val="460"/>
        </w:trPr>
        <w:tc>
          <w:tcPr>
            <w:tcW w:w="5534" w:type="dxa"/>
          </w:tcPr>
          <w:p w:rsidR="00AB1B93" w:rsidRDefault="00AB1B93" w:rsidP="005736E4">
            <w:pPr>
              <w:pStyle w:val="TableParagraph"/>
              <w:rPr>
                <w:b/>
                <w:sz w:val="20"/>
              </w:rPr>
            </w:pPr>
            <w:r>
              <w:rPr>
                <w:sz w:val="20"/>
              </w:rPr>
              <w:t xml:space="preserve">V20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 xml:space="preserve">1.79 </w:t>
            </w:r>
            <w:r>
              <w:rPr>
                <w:i/>
                <w:sz w:val="20"/>
              </w:rPr>
              <w:t>+/- 2.47</w:t>
            </w:r>
          </w:p>
          <w:p w:rsidR="00AB1B93" w:rsidRDefault="00AB1B93" w:rsidP="005736E4">
            <w:pPr>
              <w:pStyle w:val="TableParagraph"/>
              <w:spacing w:line="219" w:lineRule="exact"/>
              <w:rPr>
                <w:i/>
                <w:sz w:val="20"/>
              </w:rPr>
            </w:pPr>
            <w:r>
              <w:rPr>
                <w:i/>
                <w:sz w:val="20"/>
              </w:rPr>
              <w:t>0-10</w:t>
            </w:r>
          </w:p>
        </w:tc>
      </w:tr>
      <w:tr w:rsidR="00AB1B93" w:rsidTr="005736E4">
        <w:trPr>
          <w:trHeight w:val="460"/>
        </w:trPr>
        <w:tc>
          <w:tcPr>
            <w:tcW w:w="5534" w:type="dxa"/>
          </w:tcPr>
          <w:p w:rsidR="00AB1B93" w:rsidRDefault="00AB1B93" w:rsidP="005736E4">
            <w:pPr>
              <w:pStyle w:val="TableParagraph"/>
              <w:rPr>
                <w:b/>
                <w:sz w:val="20"/>
              </w:rPr>
            </w:pPr>
            <w:r>
              <w:rPr>
                <w:sz w:val="20"/>
              </w:rPr>
              <w:t xml:space="preserve">V25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 xml:space="preserve">1.52 </w:t>
            </w:r>
            <w:r>
              <w:rPr>
                <w:i/>
                <w:sz w:val="20"/>
              </w:rPr>
              <w:t>+/- 2.21</w:t>
            </w:r>
          </w:p>
          <w:p w:rsidR="00AB1B93" w:rsidRDefault="00AB1B93" w:rsidP="005736E4">
            <w:pPr>
              <w:pStyle w:val="TableParagraph"/>
              <w:spacing w:line="219" w:lineRule="exact"/>
              <w:rPr>
                <w:i/>
                <w:sz w:val="20"/>
              </w:rPr>
            </w:pPr>
            <w:r>
              <w:rPr>
                <w:i/>
                <w:sz w:val="20"/>
              </w:rPr>
              <w:t>0-9.5</w:t>
            </w:r>
          </w:p>
        </w:tc>
      </w:tr>
      <w:tr w:rsidR="00AB1B93" w:rsidTr="005736E4">
        <w:trPr>
          <w:trHeight w:val="460"/>
        </w:trPr>
        <w:tc>
          <w:tcPr>
            <w:tcW w:w="5534" w:type="dxa"/>
          </w:tcPr>
          <w:p w:rsidR="00AB1B93" w:rsidRDefault="00AB1B93" w:rsidP="005736E4">
            <w:pPr>
              <w:pStyle w:val="TableParagraph"/>
              <w:rPr>
                <w:b/>
                <w:sz w:val="20"/>
              </w:rPr>
            </w:pPr>
            <w:r>
              <w:rPr>
                <w:sz w:val="20"/>
              </w:rPr>
              <w:t xml:space="preserve">D35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 xml:space="preserve">1.19 </w:t>
            </w:r>
            <w:r>
              <w:rPr>
                <w:i/>
                <w:sz w:val="20"/>
              </w:rPr>
              <w:t>+/- 0.7</w:t>
            </w:r>
          </w:p>
          <w:p w:rsidR="00AB1B93" w:rsidRDefault="00AB1B93" w:rsidP="005736E4">
            <w:pPr>
              <w:pStyle w:val="TableParagraph"/>
              <w:spacing w:line="219" w:lineRule="exact"/>
              <w:rPr>
                <w:i/>
                <w:sz w:val="20"/>
              </w:rPr>
            </w:pPr>
            <w:r>
              <w:rPr>
                <w:i/>
                <w:sz w:val="20"/>
              </w:rPr>
              <w:t>0.3-3.7</w:t>
            </w:r>
          </w:p>
        </w:tc>
      </w:tr>
      <w:tr w:rsidR="00AB1B93" w:rsidTr="005736E4">
        <w:trPr>
          <w:trHeight w:val="460"/>
        </w:trPr>
        <w:tc>
          <w:tcPr>
            <w:tcW w:w="5534" w:type="dxa"/>
          </w:tcPr>
          <w:p w:rsidR="00AB1B93" w:rsidRDefault="00AB1B93" w:rsidP="005736E4">
            <w:pPr>
              <w:pStyle w:val="TableParagraph"/>
              <w:rPr>
                <w:b/>
                <w:sz w:val="20"/>
              </w:rPr>
            </w:pPr>
            <w:r>
              <w:rPr>
                <w:sz w:val="20"/>
              </w:rPr>
              <w:t xml:space="preserve">MHD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1.7</w:t>
            </w:r>
            <w:r>
              <w:rPr>
                <w:i/>
                <w:sz w:val="20"/>
              </w:rPr>
              <w:t>+/-1.2</w:t>
            </w:r>
          </w:p>
          <w:p w:rsidR="00AB1B93" w:rsidRDefault="00AB1B93" w:rsidP="005736E4">
            <w:pPr>
              <w:pStyle w:val="TableParagraph"/>
              <w:spacing w:line="219" w:lineRule="exact"/>
              <w:rPr>
                <w:sz w:val="20"/>
              </w:rPr>
            </w:pPr>
            <w:r>
              <w:rPr>
                <w:sz w:val="20"/>
              </w:rPr>
              <w:t>0.3-4</w:t>
            </w:r>
          </w:p>
        </w:tc>
      </w:tr>
      <w:tr w:rsidR="00AB1B93" w:rsidTr="005736E4">
        <w:trPr>
          <w:trHeight w:val="230"/>
        </w:trPr>
        <w:tc>
          <w:tcPr>
            <w:tcW w:w="5534" w:type="dxa"/>
          </w:tcPr>
          <w:p w:rsidR="00AB1B93" w:rsidRDefault="00AB1B93" w:rsidP="005736E4">
            <w:pPr>
              <w:pStyle w:val="TableParagraph"/>
              <w:spacing w:line="210" w:lineRule="exact"/>
              <w:rPr>
                <w:b/>
                <w:sz w:val="20"/>
              </w:rPr>
            </w:pPr>
            <w:r>
              <w:rPr>
                <w:b/>
                <w:sz w:val="20"/>
              </w:rPr>
              <w:t>Contra lateral breast</w:t>
            </w:r>
          </w:p>
        </w:tc>
        <w:tc>
          <w:tcPr>
            <w:tcW w:w="3940" w:type="dxa"/>
          </w:tcPr>
          <w:p w:rsidR="00AB1B93" w:rsidRDefault="00AB1B93" w:rsidP="005736E4">
            <w:pPr>
              <w:pStyle w:val="TableParagraph"/>
              <w:spacing w:line="240" w:lineRule="auto"/>
              <w:ind w:left="0"/>
              <w:rPr>
                <w:sz w:val="16"/>
              </w:rPr>
            </w:pPr>
          </w:p>
        </w:tc>
      </w:tr>
      <w:tr w:rsidR="00AB1B93" w:rsidTr="005736E4">
        <w:trPr>
          <w:trHeight w:val="460"/>
        </w:trPr>
        <w:tc>
          <w:tcPr>
            <w:tcW w:w="5534" w:type="dxa"/>
          </w:tcPr>
          <w:p w:rsidR="00AB1B93" w:rsidRDefault="00AB1B93" w:rsidP="005736E4">
            <w:pPr>
              <w:pStyle w:val="TableParagraph"/>
              <w:rPr>
                <w:b/>
                <w:sz w:val="20"/>
              </w:rPr>
            </w:pPr>
            <w:r>
              <w:rPr>
                <w:sz w:val="20"/>
              </w:rPr>
              <w:t xml:space="preserve">V2.4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i/>
                <w:sz w:val="20"/>
              </w:rPr>
              <w:t>0.96+/- 1.1 1</w:t>
            </w:r>
          </w:p>
          <w:p w:rsidR="00AB1B93" w:rsidRDefault="00AB1B93" w:rsidP="005736E4">
            <w:pPr>
              <w:pStyle w:val="TableParagraph"/>
              <w:spacing w:line="219" w:lineRule="exact"/>
              <w:rPr>
                <w:sz w:val="20"/>
              </w:rPr>
            </w:pPr>
            <w:r>
              <w:rPr>
                <w:sz w:val="20"/>
              </w:rPr>
              <w:t>0-4.8</w:t>
            </w:r>
          </w:p>
        </w:tc>
      </w:tr>
      <w:tr w:rsidR="00AB1B93" w:rsidTr="005736E4">
        <w:trPr>
          <w:trHeight w:val="460"/>
        </w:trPr>
        <w:tc>
          <w:tcPr>
            <w:tcW w:w="5534" w:type="dxa"/>
          </w:tcPr>
          <w:p w:rsidR="00AB1B93" w:rsidRDefault="00AB1B93" w:rsidP="005736E4">
            <w:pPr>
              <w:pStyle w:val="TableParagraph"/>
              <w:rPr>
                <w:b/>
                <w:sz w:val="20"/>
              </w:rPr>
            </w:pPr>
            <w:r>
              <w:rPr>
                <w:sz w:val="20"/>
              </w:rPr>
              <w:t xml:space="preserve">Dmax </w:t>
            </w:r>
            <w:r>
              <w:rPr>
                <w:b/>
                <w:sz w:val="20"/>
              </w:rPr>
              <w:t>(mean +/-SD)</w:t>
            </w:r>
          </w:p>
          <w:p w:rsidR="00AB1B93" w:rsidRDefault="00AB1B93" w:rsidP="005736E4">
            <w:pPr>
              <w:pStyle w:val="TableParagraph"/>
              <w:spacing w:line="219" w:lineRule="exact"/>
              <w:rPr>
                <w:sz w:val="20"/>
              </w:rPr>
            </w:pPr>
            <w:r>
              <w:rPr>
                <w:sz w:val="20"/>
              </w:rPr>
              <w:t>-Range</w:t>
            </w:r>
          </w:p>
        </w:tc>
        <w:tc>
          <w:tcPr>
            <w:tcW w:w="3940" w:type="dxa"/>
          </w:tcPr>
          <w:p w:rsidR="00AB1B93" w:rsidRDefault="00AB1B93" w:rsidP="005736E4">
            <w:pPr>
              <w:pStyle w:val="TableParagraph"/>
              <w:rPr>
                <w:i/>
                <w:sz w:val="20"/>
              </w:rPr>
            </w:pPr>
            <w:r>
              <w:rPr>
                <w:sz w:val="20"/>
              </w:rPr>
              <w:t xml:space="preserve">1.78 </w:t>
            </w:r>
            <w:r>
              <w:rPr>
                <w:i/>
                <w:sz w:val="20"/>
              </w:rPr>
              <w:t>+/-0.69</w:t>
            </w:r>
          </w:p>
          <w:p w:rsidR="00AB1B93" w:rsidRDefault="00AB1B93" w:rsidP="005736E4">
            <w:pPr>
              <w:pStyle w:val="TableParagraph"/>
              <w:spacing w:line="219" w:lineRule="exact"/>
              <w:rPr>
                <w:i/>
                <w:sz w:val="20"/>
              </w:rPr>
            </w:pPr>
            <w:r>
              <w:rPr>
                <w:i/>
                <w:sz w:val="20"/>
              </w:rPr>
              <w:t>0.6-3.5</w:t>
            </w:r>
          </w:p>
        </w:tc>
      </w:tr>
    </w:tbl>
    <w:p w:rsidR="00AB1B93" w:rsidRDefault="00AB1B93" w:rsidP="00AB1B93">
      <w:pPr>
        <w:ind w:left="180" w:right="206"/>
        <w:rPr>
          <w:i/>
          <w:sz w:val="20"/>
        </w:rPr>
      </w:pPr>
      <w:r>
        <w:rPr>
          <w:b/>
          <w:i/>
          <w:sz w:val="20"/>
        </w:rPr>
        <w:t>CL</w:t>
      </w:r>
      <w:r>
        <w:rPr>
          <w:i/>
          <w:sz w:val="20"/>
        </w:rPr>
        <w:t xml:space="preserve">L: Contra-lateral lung, </w:t>
      </w:r>
      <w:r>
        <w:rPr>
          <w:b/>
          <w:i/>
          <w:sz w:val="20"/>
        </w:rPr>
        <w:t>SD</w:t>
      </w:r>
      <w:r>
        <w:rPr>
          <w:i/>
          <w:sz w:val="20"/>
        </w:rPr>
        <w:t xml:space="preserve">: Standard deviation, </w:t>
      </w:r>
      <w:r>
        <w:rPr>
          <w:b/>
          <w:sz w:val="20"/>
        </w:rPr>
        <w:t xml:space="preserve">V20: </w:t>
      </w:r>
      <w:r>
        <w:rPr>
          <w:i/>
          <w:sz w:val="20"/>
        </w:rPr>
        <w:t>Volume that received 20Gy</w:t>
      </w:r>
      <w:r>
        <w:rPr>
          <w:sz w:val="20"/>
        </w:rPr>
        <w:t xml:space="preserve">, </w:t>
      </w:r>
      <w:r>
        <w:rPr>
          <w:b/>
          <w:sz w:val="20"/>
        </w:rPr>
        <w:t xml:space="preserve">V16: </w:t>
      </w:r>
      <w:r>
        <w:rPr>
          <w:i/>
          <w:sz w:val="20"/>
        </w:rPr>
        <w:t xml:space="preserve">Volume that received 16Gy, </w:t>
      </w:r>
      <w:r>
        <w:rPr>
          <w:b/>
          <w:sz w:val="20"/>
        </w:rPr>
        <w:t xml:space="preserve">V4: </w:t>
      </w:r>
      <w:r>
        <w:rPr>
          <w:i/>
          <w:sz w:val="20"/>
        </w:rPr>
        <w:t>Volume that received 4Gy</w:t>
      </w:r>
      <w:r>
        <w:rPr>
          <w:sz w:val="20"/>
        </w:rPr>
        <w:t xml:space="preserve">, </w:t>
      </w:r>
      <w:r>
        <w:rPr>
          <w:b/>
          <w:sz w:val="20"/>
        </w:rPr>
        <w:t xml:space="preserve">D50: </w:t>
      </w:r>
      <w:r>
        <w:rPr>
          <w:sz w:val="20"/>
        </w:rPr>
        <w:t xml:space="preserve">dose that reach 50% of volume, </w:t>
      </w:r>
      <w:r>
        <w:rPr>
          <w:b/>
          <w:sz w:val="20"/>
        </w:rPr>
        <w:t xml:space="preserve">D35: </w:t>
      </w:r>
      <w:r>
        <w:rPr>
          <w:sz w:val="20"/>
        </w:rPr>
        <w:t xml:space="preserve">dose that reach 35% of volume, </w:t>
      </w:r>
      <w:r>
        <w:rPr>
          <w:b/>
          <w:sz w:val="20"/>
        </w:rPr>
        <w:t>V25</w:t>
      </w:r>
      <w:r>
        <w:rPr>
          <w:b/>
          <w:i/>
          <w:sz w:val="20"/>
        </w:rPr>
        <w:t xml:space="preserve">: </w:t>
      </w:r>
      <w:r>
        <w:rPr>
          <w:i/>
          <w:sz w:val="20"/>
        </w:rPr>
        <w:t xml:space="preserve">Volume that received 25Gy, </w:t>
      </w:r>
      <w:r>
        <w:rPr>
          <w:b/>
          <w:i/>
          <w:sz w:val="20"/>
        </w:rPr>
        <w:t>MHD</w:t>
      </w:r>
      <w:r>
        <w:rPr>
          <w:i/>
          <w:sz w:val="20"/>
        </w:rPr>
        <w:t xml:space="preserve">: mean heart dose, </w:t>
      </w:r>
      <w:r>
        <w:rPr>
          <w:b/>
          <w:sz w:val="20"/>
        </w:rPr>
        <w:t>V2.4</w:t>
      </w:r>
      <w:r>
        <w:rPr>
          <w:i/>
          <w:sz w:val="20"/>
        </w:rPr>
        <w:t xml:space="preserve">: Volume that received 2.4Gy, </w:t>
      </w:r>
      <w:r>
        <w:rPr>
          <w:b/>
          <w:i/>
          <w:sz w:val="20"/>
        </w:rPr>
        <w:t>Dmax</w:t>
      </w:r>
      <w:r>
        <w:rPr>
          <w:i/>
          <w:sz w:val="20"/>
        </w:rPr>
        <w:t>: maximum dose.</w:t>
      </w:r>
    </w:p>
    <w:p w:rsidR="00AB1B93" w:rsidRDefault="00AB1B93" w:rsidP="00AB1B93">
      <w:pPr>
        <w:ind w:left="180" w:right="206"/>
        <w:rPr>
          <w:i/>
          <w:sz w:val="20"/>
        </w:rPr>
      </w:pPr>
    </w:p>
    <w:p w:rsidR="00AB1B93" w:rsidRDefault="00AB1B93" w:rsidP="00AB1B93">
      <w:pPr>
        <w:pStyle w:val="Heading1"/>
        <w:numPr>
          <w:ilvl w:val="0"/>
          <w:numId w:val="1"/>
        </w:numPr>
        <w:tabs>
          <w:tab w:val="left" w:pos="387"/>
        </w:tabs>
        <w:spacing w:before="1"/>
        <w:jc w:val="both"/>
        <w:rPr>
          <w:spacing w:val="-3"/>
        </w:rPr>
        <w:sectPr w:rsidR="00AB1B93" w:rsidSect="00AB1B93">
          <w:type w:val="continuous"/>
          <w:pgSz w:w="11906" w:h="16838"/>
          <w:pgMar w:top="1440" w:right="1440" w:bottom="1440" w:left="1440" w:header="709" w:footer="709" w:gutter="0"/>
          <w:cols w:space="708"/>
          <w:bidi/>
          <w:rtlGutter/>
          <w:docGrid w:linePitch="360"/>
        </w:sectPr>
      </w:pPr>
    </w:p>
    <w:p w:rsidR="00AB1B93" w:rsidRDefault="00AB1B93" w:rsidP="00AB1B93">
      <w:pPr>
        <w:pStyle w:val="Heading1"/>
        <w:numPr>
          <w:ilvl w:val="0"/>
          <w:numId w:val="1"/>
        </w:numPr>
        <w:tabs>
          <w:tab w:val="left" w:pos="387"/>
        </w:tabs>
        <w:spacing w:before="1"/>
        <w:jc w:val="both"/>
      </w:pPr>
      <w:r>
        <w:rPr>
          <w:spacing w:val="-3"/>
        </w:rPr>
        <w:t>Discussion</w:t>
      </w:r>
    </w:p>
    <w:p w:rsidR="00AB1B93" w:rsidRPr="00AB1B93" w:rsidRDefault="00AB1B93" w:rsidP="00AB1B93">
      <w:pPr>
        <w:pStyle w:val="BodyText"/>
        <w:spacing w:before="83"/>
        <w:ind w:right="42"/>
      </w:pPr>
      <w:r>
        <w:t xml:space="preserve">In </w:t>
      </w:r>
      <w:r>
        <w:rPr>
          <w:spacing w:val="-4"/>
        </w:rPr>
        <w:t xml:space="preserve">the current </w:t>
      </w:r>
      <w:r>
        <w:t xml:space="preserve">study, the dosimetric data </w:t>
      </w:r>
      <w:r>
        <w:rPr>
          <w:spacing w:val="-4"/>
        </w:rPr>
        <w:t xml:space="preserve">for </w:t>
      </w:r>
      <w:r>
        <w:t xml:space="preserve">target coverage </w:t>
      </w:r>
      <w:r>
        <w:rPr>
          <w:spacing w:val="-4"/>
        </w:rPr>
        <w:t xml:space="preserve">for </w:t>
      </w:r>
      <w:r>
        <w:t xml:space="preserve">the mean breast volume that received ≥ 95% </w:t>
      </w:r>
      <w:r>
        <w:rPr>
          <w:spacing w:val="-3"/>
        </w:rPr>
        <w:t xml:space="preserve">of </w:t>
      </w:r>
      <w:r>
        <w:t xml:space="preserve">the prescription dose were 96%. The mean breast volume that received ≥ 90% </w:t>
      </w:r>
      <w:r>
        <w:rPr>
          <w:spacing w:val="-3"/>
        </w:rPr>
        <w:t xml:space="preserve">of </w:t>
      </w:r>
      <w:r>
        <w:t xml:space="preserve">the prescription dose was 99%. The parameters </w:t>
      </w:r>
      <w:r>
        <w:rPr>
          <w:spacing w:val="-4"/>
        </w:rPr>
        <w:t xml:space="preserve">for </w:t>
      </w:r>
      <w:r>
        <w:t>dose</w:t>
      </w:r>
      <w:r>
        <w:rPr>
          <w:spacing w:val="10"/>
        </w:rPr>
        <w:t xml:space="preserve"> </w:t>
      </w:r>
      <w:r>
        <w:t>homogeneity i.e. the mean Dmax and Dmin were 48Gy and 37 Gy respectively. These data are similar to those reported in</w:t>
      </w:r>
      <w:r>
        <w:rPr>
          <w:spacing w:val="25"/>
        </w:rPr>
        <w:t xml:space="preserve"> </w:t>
      </w:r>
      <w:r>
        <w:rPr>
          <w:b/>
        </w:rPr>
        <w:t>Valero</w:t>
      </w:r>
      <w:r>
        <w:rPr>
          <w:b/>
          <w:spacing w:val="25"/>
        </w:rPr>
        <w:t xml:space="preserve"> </w:t>
      </w:r>
      <w:r>
        <w:rPr>
          <w:b/>
        </w:rPr>
        <w:t>Albarrán</w:t>
      </w:r>
      <w:r>
        <w:rPr>
          <w:b/>
          <w:spacing w:val="25"/>
        </w:rPr>
        <w:t xml:space="preserve"> </w:t>
      </w:r>
      <w:r>
        <w:rPr>
          <w:b/>
        </w:rPr>
        <w:t>et</w:t>
      </w:r>
      <w:r>
        <w:rPr>
          <w:b/>
          <w:spacing w:val="27"/>
        </w:rPr>
        <w:t xml:space="preserve"> </w:t>
      </w:r>
      <w:r>
        <w:rPr>
          <w:b/>
          <w:spacing w:val="-3"/>
        </w:rPr>
        <w:t>al</w:t>
      </w:r>
      <w:r>
        <w:rPr>
          <w:b/>
          <w:spacing w:val="22"/>
        </w:rPr>
        <w:t xml:space="preserve"> </w:t>
      </w:r>
      <w:r>
        <w:t>study</w:t>
      </w:r>
      <w:r>
        <w:rPr>
          <w:spacing w:val="16"/>
        </w:rPr>
        <w:t xml:space="preserve"> </w:t>
      </w:r>
      <w:r>
        <w:t>in</w:t>
      </w:r>
      <w:r>
        <w:rPr>
          <w:spacing w:val="25"/>
        </w:rPr>
        <w:t xml:space="preserve"> </w:t>
      </w:r>
      <w:r>
        <w:t>which</w:t>
      </w:r>
      <w:r>
        <w:rPr>
          <w:spacing w:val="19"/>
        </w:rPr>
        <w:t xml:space="preserve"> </w:t>
      </w:r>
      <w:r>
        <w:t>all</w:t>
      </w:r>
      <w:r>
        <w:rPr>
          <w:spacing w:val="21"/>
        </w:rPr>
        <w:t xml:space="preserve"> </w:t>
      </w:r>
      <w:r>
        <w:t xml:space="preserve">patients received </w:t>
      </w:r>
      <w:r>
        <w:rPr>
          <w:spacing w:val="-3"/>
        </w:rPr>
        <w:t xml:space="preserve">RT </w:t>
      </w:r>
      <w:r>
        <w:t xml:space="preserve">to the whole breast with concomitant boost irradiation </w:t>
      </w:r>
      <w:r>
        <w:rPr>
          <w:spacing w:val="-3"/>
        </w:rPr>
        <w:t xml:space="preserve">of </w:t>
      </w:r>
      <w:r>
        <w:t xml:space="preserve">the tumor </w:t>
      </w:r>
      <w:r>
        <w:rPr>
          <w:spacing w:val="-3"/>
        </w:rPr>
        <w:t xml:space="preserve">bed. </w:t>
      </w:r>
      <w:r>
        <w:t xml:space="preserve">Prescription dose were 40.5 </w:t>
      </w:r>
      <w:r w:rsidRPr="00AB1B93">
        <w:t xml:space="preserve">Gy and 48 Gy respectively, delivered in 15 fractions (2.7 Gy and 3.2 Gy per fraction). This study reported the mean value </w:t>
      </w:r>
      <w:r w:rsidRPr="00AB1B93">
        <w:rPr>
          <w:spacing w:val="-4"/>
        </w:rPr>
        <w:t xml:space="preserve">for </w:t>
      </w:r>
      <w:r w:rsidRPr="00AB1B93">
        <w:t xml:space="preserve">breast volume that received ≥ 95% of the prescription dose </w:t>
      </w:r>
      <w:r w:rsidRPr="00AB1B93">
        <w:rPr>
          <w:spacing w:val="-3"/>
        </w:rPr>
        <w:t xml:space="preserve">to be  </w:t>
      </w:r>
      <w:r w:rsidRPr="00AB1B93">
        <w:t xml:space="preserve">98.3%, while the mean maximum dose to the breast </w:t>
      </w:r>
      <w:r w:rsidRPr="00AB1B93">
        <w:rPr>
          <w:spacing w:val="-3"/>
        </w:rPr>
        <w:t xml:space="preserve">was </w:t>
      </w:r>
      <w:r w:rsidRPr="00AB1B93">
        <w:t xml:space="preserve">52.8 </w:t>
      </w:r>
      <w:r w:rsidRPr="00AB1B93">
        <w:rPr>
          <w:spacing w:val="-5"/>
        </w:rPr>
        <w:t xml:space="preserve">Gy. </w:t>
      </w:r>
      <w:r w:rsidRPr="00AB1B93">
        <w:rPr>
          <w:spacing w:val="-3"/>
        </w:rPr>
        <w:t xml:space="preserve">In another study conducted by </w:t>
      </w:r>
      <w:r w:rsidRPr="00AB1B93">
        <w:rPr>
          <w:b/>
        </w:rPr>
        <w:t xml:space="preserve">Chadha, et al </w:t>
      </w:r>
      <w:r w:rsidRPr="00AB1B93">
        <w:t xml:space="preserve">in which the </w:t>
      </w:r>
      <w:r w:rsidRPr="00AB1B93">
        <w:rPr>
          <w:spacing w:val="-3"/>
        </w:rPr>
        <w:t xml:space="preserve">RT </w:t>
      </w:r>
      <w:r w:rsidRPr="00AB1B93">
        <w:t xml:space="preserve">dose to the WB </w:t>
      </w:r>
      <w:r w:rsidRPr="00AB1B93">
        <w:rPr>
          <w:spacing w:val="-3"/>
        </w:rPr>
        <w:t xml:space="preserve">was </w:t>
      </w:r>
      <w:r w:rsidRPr="00AB1B93">
        <w:t xml:space="preserve">40.5 Gy in 2.7 </w:t>
      </w:r>
      <w:r w:rsidRPr="00AB1B93">
        <w:rPr>
          <w:spacing w:val="-5"/>
        </w:rPr>
        <w:t xml:space="preserve">Gy/ </w:t>
      </w:r>
      <w:r w:rsidRPr="00AB1B93">
        <w:t xml:space="preserve">fraction </w:t>
      </w:r>
      <w:r w:rsidRPr="00AB1B93">
        <w:rPr>
          <w:spacing w:val="-4"/>
        </w:rPr>
        <w:t>over</w:t>
      </w:r>
      <w:r w:rsidRPr="00AB1B93">
        <w:rPr>
          <w:spacing w:val="7"/>
        </w:rPr>
        <w:t xml:space="preserve"> </w:t>
      </w:r>
      <w:r w:rsidRPr="00AB1B93">
        <w:t xml:space="preserve">15 fractions and the dose concomitantly delivered to the lumpectomy site </w:t>
      </w:r>
      <w:r w:rsidRPr="00AB1B93">
        <w:rPr>
          <w:spacing w:val="-3"/>
        </w:rPr>
        <w:t xml:space="preserve">was </w:t>
      </w:r>
      <w:r w:rsidRPr="00AB1B93">
        <w:t xml:space="preserve">45 Gy in 3 </w:t>
      </w:r>
      <w:r w:rsidRPr="00AB1B93">
        <w:rPr>
          <w:spacing w:val="-5"/>
        </w:rPr>
        <w:t xml:space="preserve">Gy/ </w:t>
      </w:r>
      <w:r w:rsidRPr="00AB1B93">
        <w:t xml:space="preserve">fraction </w:t>
      </w:r>
      <w:r w:rsidRPr="00AB1B93">
        <w:rPr>
          <w:spacing w:val="-4"/>
        </w:rPr>
        <w:t xml:space="preserve">over </w:t>
      </w:r>
      <w:r w:rsidRPr="00AB1B93">
        <w:t xml:space="preserve">15 fraction, they reported the mean breast volume that received ≥ 95% </w:t>
      </w:r>
      <w:r w:rsidRPr="00AB1B93">
        <w:rPr>
          <w:spacing w:val="-3"/>
        </w:rPr>
        <w:t xml:space="preserve">of </w:t>
      </w:r>
      <w:r w:rsidRPr="00AB1B93">
        <w:t xml:space="preserve">the prescription dose </w:t>
      </w:r>
      <w:r w:rsidRPr="00AB1B93">
        <w:rPr>
          <w:spacing w:val="-3"/>
        </w:rPr>
        <w:t xml:space="preserve">to be </w:t>
      </w:r>
      <w:r w:rsidRPr="00AB1B93">
        <w:t>99.4%</w:t>
      </w:r>
      <w:r w:rsidRPr="00AB1B93">
        <w:rPr>
          <w:spacing w:val="5"/>
        </w:rPr>
        <w:t xml:space="preserve"> </w:t>
      </w:r>
      <w:r w:rsidRPr="00AB1B93">
        <w:t>(14, 15).</w:t>
      </w:r>
    </w:p>
    <w:p w:rsidR="00AB1B93" w:rsidRDefault="00AB1B93" w:rsidP="00AB1B93">
      <w:pPr>
        <w:pStyle w:val="BodyText"/>
        <w:spacing w:before="2"/>
        <w:ind w:right="42" w:firstLine="427"/>
        <w:rPr>
          <w:b/>
        </w:rPr>
      </w:pPr>
      <w:r w:rsidRPr="00AB1B93">
        <w:t xml:space="preserve">As </w:t>
      </w:r>
      <w:r w:rsidRPr="00AB1B93">
        <w:rPr>
          <w:spacing w:val="-4"/>
        </w:rPr>
        <w:t xml:space="preserve">for </w:t>
      </w:r>
      <w:r w:rsidRPr="00AB1B93">
        <w:t>the Boost-PTV, The mean boost volume in our study that received ≥ 95</w:t>
      </w:r>
      <w:r>
        <w:t xml:space="preserve">% </w:t>
      </w:r>
      <w:r>
        <w:rPr>
          <w:spacing w:val="-3"/>
        </w:rPr>
        <w:t xml:space="preserve">of </w:t>
      </w:r>
      <w:r>
        <w:t xml:space="preserve">the prescription dose </w:t>
      </w:r>
      <w:r>
        <w:rPr>
          <w:spacing w:val="-3"/>
        </w:rPr>
        <w:t xml:space="preserve">was </w:t>
      </w:r>
      <w:r>
        <w:t xml:space="preserve">97% and the mean </w:t>
      </w:r>
      <w:r>
        <w:rPr>
          <w:spacing w:val="-3"/>
        </w:rPr>
        <w:t xml:space="preserve">boost </w:t>
      </w:r>
      <w:r>
        <w:t xml:space="preserve">volume that received ≥ 90% </w:t>
      </w:r>
      <w:r>
        <w:rPr>
          <w:spacing w:val="-3"/>
        </w:rPr>
        <w:t xml:space="preserve">of </w:t>
      </w:r>
      <w:r>
        <w:t xml:space="preserve">the prescription dose </w:t>
      </w:r>
      <w:r>
        <w:rPr>
          <w:spacing w:val="-3"/>
        </w:rPr>
        <w:t xml:space="preserve">was </w:t>
      </w:r>
      <w:r>
        <w:t xml:space="preserve">99 %. The parameters </w:t>
      </w:r>
      <w:r>
        <w:rPr>
          <w:spacing w:val="-4"/>
        </w:rPr>
        <w:t xml:space="preserve">for </w:t>
      </w:r>
      <w:r>
        <w:t xml:space="preserve">dose homogeneity i.e. the mean values </w:t>
      </w:r>
      <w:r>
        <w:rPr>
          <w:spacing w:val="-4"/>
        </w:rPr>
        <w:t xml:space="preserve">for </w:t>
      </w:r>
      <w:r>
        <w:t xml:space="preserve">Dmax and Dmin were 49 Gy and 45 Gy respectively. Data are not far from those reported by </w:t>
      </w:r>
      <w:r>
        <w:rPr>
          <w:b/>
        </w:rPr>
        <w:t xml:space="preserve">Chadha, et al; </w:t>
      </w:r>
      <w:r>
        <w:t xml:space="preserve">where the mean boost volume that received ≥ 95% </w:t>
      </w:r>
      <w:r>
        <w:rPr>
          <w:spacing w:val="-3"/>
        </w:rPr>
        <w:t xml:space="preserve">of </w:t>
      </w:r>
      <w:r>
        <w:t xml:space="preserve">the prescription dose </w:t>
      </w:r>
      <w:r>
        <w:rPr>
          <w:spacing w:val="-3"/>
        </w:rPr>
        <w:t xml:space="preserve">was </w:t>
      </w:r>
      <w:r>
        <w:t>99.7%</w:t>
      </w:r>
      <w:r>
        <w:rPr>
          <w:spacing w:val="5"/>
        </w:rPr>
        <w:t xml:space="preserve"> </w:t>
      </w:r>
      <w:r>
        <w:rPr>
          <w:b/>
          <w:i/>
        </w:rPr>
        <w:t>(15)</w:t>
      </w:r>
      <w:r>
        <w:rPr>
          <w:b/>
        </w:rPr>
        <w:t>.</w:t>
      </w:r>
    </w:p>
    <w:p w:rsidR="00AB1B93" w:rsidRDefault="00AB1B93" w:rsidP="00AB1B93">
      <w:pPr>
        <w:pStyle w:val="BodyText"/>
        <w:ind w:right="38" w:firstLine="427"/>
      </w:pPr>
      <w:r>
        <w:rPr>
          <w:spacing w:val="-3"/>
        </w:rPr>
        <w:t xml:space="preserve">For </w:t>
      </w:r>
      <w:r>
        <w:t xml:space="preserve">dose homogeneity within the breast CTV, the mean value </w:t>
      </w:r>
      <w:r>
        <w:rPr>
          <w:spacing w:val="-4"/>
        </w:rPr>
        <w:t xml:space="preserve">for </w:t>
      </w:r>
      <w:r>
        <w:t xml:space="preserve">V48 i.e. the total prescribed dose </w:t>
      </w:r>
      <w:r>
        <w:rPr>
          <w:spacing w:val="3"/>
        </w:rPr>
        <w:t xml:space="preserve">to </w:t>
      </w:r>
      <w:r>
        <w:t xml:space="preserve">the tumor </w:t>
      </w:r>
      <w:r>
        <w:rPr>
          <w:spacing w:val="-3"/>
        </w:rPr>
        <w:t xml:space="preserve">bed, was </w:t>
      </w:r>
      <w:r>
        <w:t xml:space="preserve">5.2%. This </w:t>
      </w:r>
      <w:r>
        <w:rPr>
          <w:spacing w:val="-3"/>
        </w:rPr>
        <w:t xml:space="preserve">was </w:t>
      </w:r>
      <w:r>
        <w:t xml:space="preserve">compatible with dose constrain in </w:t>
      </w:r>
      <w:r>
        <w:rPr>
          <w:spacing w:val="-4"/>
        </w:rPr>
        <w:t xml:space="preserve">our </w:t>
      </w:r>
      <w:r>
        <w:rPr>
          <w:spacing w:val="-3"/>
        </w:rPr>
        <w:t xml:space="preserve">protocol </w:t>
      </w:r>
      <w:r>
        <w:t xml:space="preserve">no more than 35% </w:t>
      </w:r>
      <w:r>
        <w:rPr>
          <w:spacing w:val="-3"/>
        </w:rPr>
        <w:t xml:space="preserve">of </w:t>
      </w:r>
      <w:r>
        <w:t xml:space="preserve">the breast CTV </w:t>
      </w:r>
      <w:r>
        <w:rPr>
          <w:spacing w:val="-3"/>
        </w:rPr>
        <w:t xml:space="preserve">exceeded </w:t>
      </w:r>
      <w:r>
        <w:t xml:space="preserve">48 </w:t>
      </w:r>
      <w:r>
        <w:rPr>
          <w:spacing w:val="-5"/>
        </w:rPr>
        <w:t xml:space="preserve">Gy.  </w:t>
      </w:r>
      <w:r>
        <w:t xml:space="preserve">Also there were no isolated hot spots accepted outside the regions </w:t>
      </w:r>
      <w:r>
        <w:rPr>
          <w:spacing w:val="-3"/>
        </w:rPr>
        <w:t xml:space="preserve">of </w:t>
      </w:r>
      <w:r>
        <w:t>the lumpectomy</w:t>
      </w:r>
      <w:r>
        <w:rPr>
          <w:spacing w:val="-11"/>
        </w:rPr>
        <w:t xml:space="preserve"> </w:t>
      </w:r>
      <w:r>
        <w:t>PTV.</w:t>
      </w:r>
    </w:p>
    <w:p w:rsidR="00AB1B93" w:rsidRDefault="00AB1B93" w:rsidP="00AB1B93">
      <w:pPr>
        <w:pStyle w:val="BodyText"/>
        <w:ind w:right="41" w:firstLine="427"/>
      </w:pPr>
      <w:r>
        <w:t xml:space="preserve">The dosimetric data on the doses received by the risk structures: for the heart we used V20 which is biologically equivalent to V25 used by the QUANTEC as a constrain dose in the standard fractionation. The mean heart V20 was 1.4%. </w:t>
      </w:r>
      <w:r>
        <w:rPr>
          <w:b/>
        </w:rPr>
        <w:t xml:space="preserve">Albarrán et al </w:t>
      </w:r>
      <w:r>
        <w:t>used the mean heart V16 which is biologically equivalent to V20 in the standard fractionation, and reported a mean heart V16 of 2.13%.</w:t>
      </w:r>
    </w:p>
    <w:p w:rsidR="00AB1B93" w:rsidRDefault="00AB1B93" w:rsidP="00AB1B93">
      <w:pPr>
        <w:pStyle w:val="BodyText"/>
        <w:ind w:right="42" w:firstLine="427"/>
      </w:pPr>
      <w:r>
        <w:t xml:space="preserve">And in </w:t>
      </w:r>
      <w:r>
        <w:rPr>
          <w:spacing w:val="-4"/>
        </w:rPr>
        <w:t xml:space="preserve">our </w:t>
      </w:r>
      <w:r>
        <w:t xml:space="preserve">study for the mean value </w:t>
      </w:r>
      <w:r>
        <w:rPr>
          <w:spacing w:val="-4"/>
        </w:rPr>
        <w:t xml:space="preserve">for </w:t>
      </w:r>
      <w:r>
        <w:t xml:space="preserve">ipsilateral lung, V16- which is biologically equivalent to V20 in the standard fractionation- was used and found to be </w:t>
      </w:r>
      <w:r>
        <w:rPr>
          <w:spacing w:val="-3"/>
        </w:rPr>
        <w:t>13.8</w:t>
      </w:r>
      <w:r>
        <w:t xml:space="preserve">%. </w:t>
      </w:r>
      <w:r>
        <w:rPr>
          <w:spacing w:val="-3"/>
        </w:rPr>
        <w:t xml:space="preserve">In </w:t>
      </w:r>
      <w:r>
        <w:rPr>
          <w:b/>
        </w:rPr>
        <w:t xml:space="preserve">Albarrán et </w:t>
      </w:r>
      <w:r>
        <w:rPr>
          <w:b/>
          <w:spacing w:val="-3"/>
        </w:rPr>
        <w:t xml:space="preserve">al study </w:t>
      </w:r>
      <w:r>
        <w:t xml:space="preserve">the reported mean value </w:t>
      </w:r>
      <w:r>
        <w:rPr>
          <w:spacing w:val="-4"/>
        </w:rPr>
        <w:t xml:space="preserve">for </w:t>
      </w:r>
      <w:r>
        <w:t xml:space="preserve">ipsilateral lung V16 </w:t>
      </w:r>
      <w:r>
        <w:rPr>
          <w:spacing w:val="-3"/>
        </w:rPr>
        <w:t>was</w:t>
      </w:r>
      <w:r>
        <w:rPr>
          <w:spacing w:val="-6"/>
        </w:rPr>
        <w:t xml:space="preserve"> </w:t>
      </w:r>
      <w:r>
        <w:t>12.1 %( 14).</w:t>
      </w:r>
    </w:p>
    <w:p w:rsidR="00AB1B93" w:rsidRDefault="00AB1B93" w:rsidP="00AB1B93">
      <w:pPr>
        <w:pStyle w:val="BodyText"/>
        <w:ind w:left="0"/>
        <w:jc w:val="left"/>
        <w:rPr>
          <w:b/>
          <w:i/>
        </w:rPr>
      </w:pPr>
    </w:p>
    <w:p w:rsidR="00AB1B93" w:rsidRDefault="00AB1B93" w:rsidP="00AB1B93">
      <w:pPr>
        <w:pStyle w:val="Heading1"/>
      </w:pPr>
      <w:r>
        <w:t>Conclusion and Recommendation</w:t>
      </w:r>
    </w:p>
    <w:p w:rsidR="00AB1B93" w:rsidRDefault="00AB1B93" w:rsidP="00AB1B93">
      <w:pPr>
        <w:pStyle w:val="BodyText"/>
        <w:ind w:right="41" w:firstLine="427"/>
      </w:pPr>
      <w:r>
        <w:t xml:space="preserve">The delivery of  hypofractionated whole breast irradiation </w:t>
      </w:r>
      <w:r>
        <w:rPr>
          <w:spacing w:val="-4"/>
        </w:rPr>
        <w:t>at a total dose of</w:t>
      </w:r>
      <w:r>
        <w:rPr>
          <w:spacing w:val="-3"/>
        </w:rPr>
        <w:t xml:space="preserve"> </w:t>
      </w:r>
      <w:r>
        <w:t xml:space="preserve">40 Gy (2.67 Gy per fraction) with a Concurrent </w:t>
      </w:r>
      <w:r>
        <w:rPr>
          <w:spacing w:val="-4"/>
        </w:rPr>
        <w:t xml:space="preserve">boost of </w:t>
      </w:r>
      <w:r>
        <w:t>8.0 Gy (0.5 Gy per fraction) given in 15 fractions over 3 weeks is feasible from a dosimetric point of view with acceptable target volumes coverage and risk structures dose constrain. Clinical trials to further test this radiation therapy schedule is encouraged in an aim to</w:t>
      </w:r>
      <w:r>
        <w:rPr>
          <w:spacing w:val="-3"/>
        </w:rPr>
        <w:t xml:space="preserve"> </w:t>
      </w:r>
      <w:r>
        <w:t xml:space="preserve">shorten the duration </w:t>
      </w:r>
      <w:r>
        <w:rPr>
          <w:spacing w:val="-3"/>
        </w:rPr>
        <w:t xml:space="preserve">of the </w:t>
      </w:r>
      <w:r>
        <w:t>treatment course.</w:t>
      </w:r>
    </w:p>
    <w:p w:rsidR="00AB1B93" w:rsidRDefault="00AB1B93" w:rsidP="00AB1B93">
      <w:pPr>
        <w:pStyle w:val="BodyText"/>
        <w:ind w:right="41"/>
      </w:pPr>
    </w:p>
    <w:p w:rsidR="00AB1B93" w:rsidRPr="00A63B43" w:rsidRDefault="00AB1B93" w:rsidP="00AB1B93">
      <w:pPr>
        <w:tabs>
          <w:tab w:val="left" w:pos="709"/>
        </w:tabs>
        <w:snapToGrid w:val="0"/>
        <w:jc w:val="both"/>
        <w:rPr>
          <w:b/>
          <w:color w:val="000000" w:themeColor="text1"/>
          <w:sz w:val="20"/>
          <w:szCs w:val="20"/>
        </w:rPr>
      </w:pPr>
      <w:r w:rsidRPr="00A63B43">
        <w:rPr>
          <w:b/>
          <w:color w:val="000000" w:themeColor="text1"/>
          <w:sz w:val="20"/>
          <w:szCs w:val="20"/>
        </w:rPr>
        <w:t xml:space="preserve">References </w:t>
      </w:r>
    </w:p>
    <w:p w:rsidR="00AB1B93" w:rsidRPr="00A63B43" w:rsidRDefault="00AB1B93" w:rsidP="00AB1B93">
      <w:pPr>
        <w:widowControl/>
        <w:numPr>
          <w:ilvl w:val="0"/>
          <w:numId w:val="5"/>
        </w:numPr>
        <w:shd w:val="clear" w:color="auto" w:fill="FFFFFF"/>
        <w:autoSpaceDE/>
        <w:autoSpaceDN/>
        <w:snapToGrid w:val="0"/>
        <w:ind w:left="425" w:hanging="425"/>
        <w:jc w:val="both"/>
        <w:rPr>
          <w:bCs/>
          <w:color w:val="000000" w:themeColor="text1"/>
          <w:sz w:val="20"/>
          <w:szCs w:val="20"/>
        </w:rPr>
      </w:pPr>
      <w:r w:rsidRPr="00A63B43">
        <w:rPr>
          <w:bCs/>
          <w:color w:val="000000" w:themeColor="text1"/>
          <w:sz w:val="20"/>
          <w:szCs w:val="20"/>
        </w:rPr>
        <w:t xml:space="preserve">National Comprehensive Cancer Network: </w:t>
      </w:r>
      <w:r w:rsidRPr="00A63B43">
        <w:rPr>
          <w:bCs/>
          <w:i/>
          <w:color w:val="000000" w:themeColor="text1"/>
          <w:sz w:val="20"/>
          <w:szCs w:val="20"/>
          <w:highlight w:val="white"/>
        </w:rPr>
        <w:t>NCCN</w:t>
      </w:r>
      <w:r w:rsidRPr="00A63B43">
        <w:rPr>
          <w:bCs/>
          <w:color w:val="000000" w:themeColor="text1"/>
          <w:sz w:val="20"/>
          <w:szCs w:val="20"/>
          <w:highlight w:val="white"/>
        </w:rPr>
        <w:t xml:space="preserve"> Clinical Practice Guidelines in Oncology </w:t>
      </w:r>
      <w:r w:rsidRPr="00A63B43">
        <w:rPr>
          <w:bCs/>
          <w:color w:val="000000" w:themeColor="text1"/>
          <w:sz w:val="20"/>
          <w:szCs w:val="20"/>
        </w:rPr>
        <w:t>2010.</w:t>
      </w:r>
    </w:p>
    <w:p w:rsidR="00AB1B93" w:rsidRPr="00A63B43" w:rsidRDefault="00AB1B93" w:rsidP="00AB1B93">
      <w:pPr>
        <w:widowControl/>
        <w:numPr>
          <w:ilvl w:val="0"/>
          <w:numId w:val="5"/>
        </w:numPr>
        <w:tabs>
          <w:tab w:val="left" w:pos="540"/>
        </w:tabs>
        <w:autoSpaceDE/>
        <w:autoSpaceDN/>
        <w:snapToGrid w:val="0"/>
        <w:ind w:left="425" w:hanging="425"/>
        <w:jc w:val="both"/>
        <w:rPr>
          <w:bCs/>
          <w:color w:val="000000" w:themeColor="text1"/>
          <w:sz w:val="20"/>
          <w:szCs w:val="20"/>
        </w:rPr>
      </w:pPr>
      <w:r w:rsidRPr="00A63B43">
        <w:rPr>
          <w:bCs/>
          <w:color w:val="000000" w:themeColor="text1"/>
          <w:sz w:val="20"/>
          <w:szCs w:val="20"/>
        </w:rPr>
        <w:t>Clark RM, Whelan T, Levine M, et al. Randomized clinical trial of breast irradiation following lumpectomy and axillary dissection for node-negative breast cancer: an update. Ontario Clinical Oncology Group. J Natl Cancer Inst 1996 Nov 20;88(22):1659-1664.</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 xml:space="preserve">Fisher B, Anderson S, Bryant J, et al. Twenty-year follow-up of a randomized trial comparing total mastectomy, lumpectomy, and lumpectomy plus irradiation for the treatment of invasive breast cancer. </w:t>
      </w:r>
      <w:r w:rsidRPr="00A63B43">
        <w:rPr>
          <w:bCs/>
          <w:i/>
          <w:color w:val="000000" w:themeColor="text1"/>
          <w:sz w:val="20"/>
          <w:szCs w:val="20"/>
        </w:rPr>
        <w:t xml:space="preserve">N Engl J Med. </w:t>
      </w:r>
      <w:r w:rsidRPr="00A63B43">
        <w:rPr>
          <w:bCs/>
          <w:color w:val="000000" w:themeColor="text1"/>
          <w:sz w:val="20"/>
          <w:szCs w:val="20"/>
        </w:rPr>
        <w:t>2002; 347:1233-1241.</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 xml:space="preserve">Veronesi U, Cascinelli N, Mariani L, et al. Twenty-year follow-up of a randomized study comparing breast-conserving surgery with radical mastectomy for early breast cancer. </w:t>
      </w:r>
      <w:r w:rsidRPr="00A63B43">
        <w:rPr>
          <w:bCs/>
          <w:i/>
          <w:color w:val="000000" w:themeColor="text1"/>
          <w:sz w:val="20"/>
          <w:szCs w:val="20"/>
        </w:rPr>
        <w:t xml:space="preserve">N Engl J Med. </w:t>
      </w:r>
      <w:r w:rsidRPr="00A63B43">
        <w:rPr>
          <w:bCs/>
          <w:color w:val="000000" w:themeColor="text1"/>
          <w:sz w:val="20"/>
          <w:szCs w:val="20"/>
        </w:rPr>
        <w:t>2002; 347:1227- 1232.</w:t>
      </w:r>
      <w:r w:rsidRPr="00A63B43">
        <w:rPr>
          <w:rFonts w:eastAsia="ScalaLancetPro"/>
          <w:bCs/>
          <w:color w:val="000000" w:themeColor="text1"/>
          <w:sz w:val="20"/>
          <w:szCs w:val="20"/>
        </w:rPr>
        <w:t xml:space="preserve"> </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Yarnold J, Ashton A, Bliss J, et al. Fractionation sensitivity and dose response of late adverse effects in the breast after radiotherapy for early breast cancer: long-term results of a randomized trial</w:t>
      </w:r>
      <w:r w:rsidRPr="00A63B43">
        <w:rPr>
          <w:bCs/>
          <w:i/>
          <w:color w:val="000000" w:themeColor="text1"/>
          <w:sz w:val="20"/>
          <w:szCs w:val="20"/>
        </w:rPr>
        <w:t xml:space="preserve">. Radiother Oncol </w:t>
      </w:r>
      <w:r w:rsidRPr="00A63B43">
        <w:rPr>
          <w:bCs/>
          <w:color w:val="000000" w:themeColor="text1"/>
          <w:sz w:val="20"/>
          <w:szCs w:val="20"/>
        </w:rPr>
        <w:t>2005;75:9–17.</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Whelan T, Pignol JP, Levine MN, et al. Longterm results of hypofractionated radiation therapy for breast cancer. N Engl J Med 2010;362:513-20.</w:t>
      </w:r>
    </w:p>
    <w:p w:rsidR="00AB1B93" w:rsidRPr="00A63B43" w:rsidRDefault="00AB1B93" w:rsidP="00AB1B93">
      <w:pPr>
        <w:widowControl/>
        <w:numPr>
          <w:ilvl w:val="0"/>
          <w:numId w:val="5"/>
        </w:numPr>
        <w:shd w:val="clear" w:color="auto" w:fill="FFFFFF"/>
        <w:autoSpaceDE/>
        <w:autoSpaceDN/>
        <w:snapToGrid w:val="0"/>
        <w:ind w:left="425" w:hanging="425"/>
        <w:jc w:val="both"/>
        <w:rPr>
          <w:rFonts w:eastAsia="inherit"/>
          <w:bCs/>
          <w:color w:val="000000" w:themeColor="text1"/>
          <w:sz w:val="20"/>
          <w:szCs w:val="20"/>
        </w:rPr>
      </w:pPr>
      <w:r w:rsidRPr="00A63B43">
        <w:rPr>
          <w:bCs/>
          <w:color w:val="000000" w:themeColor="text1"/>
          <w:sz w:val="20"/>
          <w:szCs w:val="20"/>
        </w:rPr>
        <w:t>Yarnold J, Haviland J, Bentzen SM, et al. Estimation of an overall treatment time factor for local relapse after adjuvant radiotherapy for early breast cancer by the UK START Trialists’ Group. Eur J Cancer 2013;49(2):S2405.</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 xml:space="preserve">Owen JR, Ashton A, Bliss JM, et al. Effect of radiotherapy fraction size on tumour control in patient with early-stage breast cancer after local tumour excision: long-term results of a randomised trial. </w:t>
      </w:r>
      <w:r w:rsidRPr="00A63B43">
        <w:rPr>
          <w:bCs/>
          <w:i/>
          <w:color w:val="000000" w:themeColor="text1"/>
          <w:sz w:val="20"/>
          <w:szCs w:val="20"/>
        </w:rPr>
        <w:t xml:space="preserve">Lancet Oncol </w:t>
      </w:r>
      <w:r w:rsidRPr="00A63B43">
        <w:rPr>
          <w:bCs/>
          <w:color w:val="000000" w:themeColor="text1"/>
          <w:sz w:val="20"/>
          <w:szCs w:val="20"/>
        </w:rPr>
        <w:t>2006;7:467–71.</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START Trialists’ Group, Bentzen SM, Agrawal RK, Aird EG, et al. The UK Standardisation of Breast Radiotherapy (START) Trial A of radiotherapy hypofractionation for treatment of early breast cancer: a randomized trial. Lancet Oncol 2008;9:331-41.</w:t>
      </w:r>
    </w:p>
    <w:p w:rsidR="00AB1B93" w:rsidRPr="00A63B43" w:rsidRDefault="00AB1B93" w:rsidP="00AB1B93">
      <w:pPr>
        <w:widowControl/>
        <w:numPr>
          <w:ilvl w:val="0"/>
          <w:numId w:val="5"/>
        </w:numPr>
        <w:autoSpaceDE/>
        <w:autoSpaceDN/>
        <w:snapToGrid w:val="0"/>
        <w:ind w:left="425" w:hanging="425"/>
        <w:jc w:val="both"/>
        <w:rPr>
          <w:bCs/>
          <w:color w:val="000000" w:themeColor="text1"/>
          <w:sz w:val="20"/>
          <w:szCs w:val="20"/>
        </w:rPr>
      </w:pPr>
      <w:r w:rsidRPr="00A63B43">
        <w:rPr>
          <w:bCs/>
          <w:color w:val="000000" w:themeColor="text1"/>
          <w:sz w:val="20"/>
          <w:szCs w:val="20"/>
        </w:rPr>
        <w:t>START Trialists’ Group, Bentzen SM, Agrawal RK, Aird EG, et al. The UK Standardisation of Breast Radiotherapy (START) Trial B of radiotherapy hypofractionation for treatment of early breast cancer: a randomized trial. Lancet 2008;371:1098-107.</w:t>
      </w:r>
    </w:p>
    <w:p w:rsidR="00AB1B93" w:rsidRPr="00A63B43" w:rsidRDefault="00AB1B93" w:rsidP="00AB1B93">
      <w:pPr>
        <w:widowControl/>
        <w:numPr>
          <w:ilvl w:val="0"/>
          <w:numId w:val="5"/>
        </w:numPr>
        <w:pBdr>
          <w:top w:val="nil"/>
          <w:left w:val="nil"/>
          <w:bottom w:val="nil"/>
          <w:right w:val="nil"/>
          <w:between w:val="nil"/>
        </w:pBdr>
        <w:autoSpaceDE/>
        <w:autoSpaceDN/>
        <w:snapToGrid w:val="0"/>
        <w:ind w:left="425" w:hanging="425"/>
        <w:jc w:val="both"/>
        <w:rPr>
          <w:bCs/>
          <w:color w:val="000000" w:themeColor="text1"/>
          <w:sz w:val="20"/>
          <w:szCs w:val="20"/>
        </w:rPr>
      </w:pPr>
      <w:r w:rsidRPr="00A63B43">
        <w:rPr>
          <w:bCs/>
          <w:color w:val="000000" w:themeColor="text1"/>
          <w:sz w:val="20"/>
          <w:szCs w:val="20"/>
        </w:rPr>
        <w:t>linear quadratic model S.M. Bentzen, M. Baumann. The linear-quadratic model in clinical practice G.G. Steel (Ed.), Basic Clinical Radiobiology (third ed.), Arnold, London (2002), pp. 134-146</w:t>
      </w:r>
      <w:r w:rsidRPr="00A63B43">
        <w:rPr>
          <w:rFonts w:hint="eastAsia"/>
          <w:bCs/>
          <w:color w:val="000000" w:themeColor="text1"/>
          <w:sz w:val="20"/>
          <w:szCs w:val="20"/>
          <w:lang w:eastAsia="zh-CN"/>
        </w:rPr>
        <w:t>.</w:t>
      </w:r>
    </w:p>
    <w:p w:rsidR="00AB1B93" w:rsidRPr="00A63B43" w:rsidRDefault="00AB1B93" w:rsidP="00AB1B93">
      <w:pPr>
        <w:widowControl/>
        <w:numPr>
          <w:ilvl w:val="0"/>
          <w:numId w:val="5"/>
        </w:numPr>
        <w:pBdr>
          <w:top w:val="nil"/>
          <w:left w:val="nil"/>
          <w:bottom w:val="nil"/>
          <w:right w:val="nil"/>
          <w:between w:val="nil"/>
        </w:pBdr>
        <w:autoSpaceDE/>
        <w:autoSpaceDN/>
        <w:snapToGrid w:val="0"/>
        <w:ind w:left="425" w:hanging="425"/>
        <w:jc w:val="both"/>
        <w:rPr>
          <w:bCs/>
          <w:color w:val="000000" w:themeColor="text1"/>
          <w:sz w:val="20"/>
          <w:szCs w:val="20"/>
        </w:rPr>
      </w:pPr>
      <w:r w:rsidRPr="00A63B43">
        <w:rPr>
          <w:bCs/>
          <w:color w:val="000000" w:themeColor="text1"/>
          <w:sz w:val="20"/>
          <w:szCs w:val="20"/>
        </w:rPr>
        <w:t>Breast Cancer Atlas for Radiation Therapy Planning.</w:t>
      </w:r>
    </w:p>
    <w:p w:rsidR="00AB1B93" w:rsidRPr="00A63B43" w:rsidRDefault="00AB1B93" w:rsidP="00AB1B93">
      <w:pPr>
        <w:widowControl/>
        <w:numPr>
          <w:ilvl w:val="0"/>
          <w:numId w:val="5"/>
        </w:numPr>
        <w:pBdr>
          <w:top w:val="nil"/>
          <w:left w:val="nil"/>
          <w:bottom w:val="nil"/>
          <w:right w:val="nil"/>
          <w:between w:val="nil"/>
        </w:pBdr>
        <w:autoSpaceDE/>
        <w:autoSpaceDN/>
        <w:snapToGrid w:val="0"/>
        <w:ind w:left="425" w:hanging="425"/>
        <w:jc w:val="both"/>
        <w:rPr>
          <w:bCs/>
          <w:color w:val="000000" w:themeColor="text1"/>
          <w:sz w:val="20"/>
          <w:szCs w:val="20"/>
        </w:rPr>
      </w:pPr>
      <w:r w:rsidRPr="00A63B43">
        <w:rPr>
          <w:bCs/>
          <w:color w:val="000000" w:themeColor="text1"/>
          <w:sz w:val="20"/>
          <w:szCs w:val="20"/>
        </w:rPr>
        <w:t>The Common Terminology Criteria for Adverse Events, version 3.0, using the RTOG⁄EORTC toxicity. J.D. Cox, J. Stetz, T.F. Int. J. Radiat. Oncol. Biol. Phys., 31 (1995), pp. 1341-1346.</w:t>
      </w:r>
    </w:p>
    <w:p w:rsidR="00AB1B93" w:rsidRPr="00A63B43" w:rsidRDefault="00AB1B93" w:rsidP="00AB1B93">
      <w:pPr>
        <w:widowControl/>
        <w:numPr>
          <w:ilvl w:val="0"/>
          <w:numId w:val="5"/>
        </w:numPr>
        <w:pBdr>
          <w:top w:val="nil"/>
          <w:left w:val="nil"/>
          <w:bottom w:val="nil"/>
          <w:right w:val="nil"/>
          <w:between w:val="nil"/>
        </w:pBdr>
        <w:autoSpaceDE/>
        <w:autoSpaceDN/>
        <w:snapToGrid w:val="0"/>
        <w:ind w:left="425" w:hanging="425"/>
        <w:jc w:val="both"/>
        <w:rPr>
          <w:bCs/>
          <w:color w:val="000000" w:themeColor="text1"/>
          <w:sz w:val="20"/>
          <w:szCs w:val="20"/>
        </w:rPr>
      </w:pPr>
      <w:r w:rsidRPr="00A63B43">
        <w:rPr>
          <w:bCs/>
          <w:color w:val="000000" w:themeColor="text1"/>
          <w:sz w:val="20"/>
          <w:szCs w:val="20"/>
        </w:rPr>
        <w:t>Valero Albarrán Ciervide Jurio1 et al. Hypofractionated radiotherapy and concomitant boost in breast cancer patients using 3-D conformal radiotherapy. ESTRO ( 33), 2014.</w:t>
      </w:r>
    </w:p>
    <w:p w:rsidR="00AB1B93" w:rsidRDefault="00AB1B93" w:rsidP="00AB1B93">
      <w:pPr>
        <w:widowControl/>
        <w:numPr>
          <w:ilvl w:val="0"/>
          <w:numId w:val="5"/>
        </w:numPr>
        <w:autoSpaceDE/>
        <w:autoSpaceDN/>
        <w:snapToGrid w:val="0"/>
        <w:ind w:left="425" w:right="41" w:hanging="425"/>
        <w:jc w:val="both"/>
        <w:sectPr w:rsidR="00AB1B93" w:rsidSect="00AB1B93">
          <w:type w:val="continuous"/>
          <w:pgSz w:w="11906" w:h="16838"/>
          <w:pgMar w:top="1440" w:right="1440" w:bottom="1440" w:left="1440" w:header="709" w:footer="709" w:gutter="0"/>
          <w:cols w:num="2" w:space="709"/>
          <w:rtlGutter/>
          <w:docGrid w:linePitch="360"/>
        </w:sectPr>
      </w:pPr>
      <w:r w:rsidRPr="00AB1B93">
        <w:rPr>
          <w:bCs/>
          <w:color w:val="000000" w:themeColor="text1"/>
          <w:sz w:val="20"/>
          <w:szCs w:val="20"/>
        </w:rPr>
        <w:t>Chadha M, Woode R, Sillanpaa J, et al. Earlystage breast cancer treated with 3-week accelerated whole-breast radiation therapy and concomitant boost. Int J Radiat Oncol Biol Phys 2013;86:40-47.</w:t>
      </w:r>
      <w:r w:rsidRPr="00AB1B93">
        <w:rPr>
          <w:rFonts w:hint="eastAsia"/>
          <w:bCs/>
          <w:color w:val="000000" w:themeColor="text1"/>
          <w:sz w:val="20"/>
          <w:szCs w:val="20"/>
          <w:lang w:eastAsia="zh-CN"/>
        </w:rPr>
        <w:t xml:space="preserve"> </w:t>
      </w:r>
      <w:r w:rsidRPr="00AB1B93">
        <w:rPr>
          <w:bCs/>
          <w:color w:val="000000" w:themeColor="text1"/>
          <w:sz w:val="20"/>
          <w:szCs w:val="20"/>
        </w:rPr>
        <w:t>http://dx.doi.org/10.1016/j.ijrobp.2012.11.010</w:t>
      </w:r>
    </w:p>
    <w:p w:rsidR="00AB1B93" w:rsidRDefault="00AB1B93" w:rsidP="00AB1B93">
      <w:pPr>
        <w:pStyle w:val="BodyText"/>
        <w:ind w:right="41"/>
      </w:pPr>
    </w:p>
    <w:sectPr w:rsidR="00AB1B93" w:rsidSect="00AB1B93">
      <w:type w:val="continuous"/>
      <w:pgSz w:w="11906" w:h="16838"/>
      <w:pgMar w:top="1440" w:right="1440" w:bottom="1440" w:left="144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82" w:rsidRDefault="00794482" w:rsidP="00AB1B93">
      <w:r>
        <w:separator/>
      </w:r>
    </w:p>
  </w:endnote>
  <w:endnote w:type="continuationSeparator" w:id="0">
    <w:p w:rsidR="00794482" w:rsidRDefault="00794482" w:rsidP="00AB1B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calaLancetPro">
    <w:altName w:val="Times New Roman"/>
    <w:charset w:val="00"/>
    <w:family w:val="auto"/>
    <w:pitch w:val="default"/>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71337192"/>
      <w:docPartObj>
        <w:docPartGallery w:val="Page Numbers (Bottom of Page)"/>
        <w:docPartUnique/>
      </w:docPartObj>
    </w:sdtPr>
    <w:sdtEndPr/>
    <w:sdtContent>
      <w:p w:rsidR="00AB1B93" w:rsidRPr="00AB1B93" w:rsidRDefault="00AB1B93">
        <w:pPr>
          <w:pStyle w:val="Footer"/>
          <w:jc w:val="center"/>
          <w:rPr>
            <w:sz w:val="20"/>
            <w:szCs w:val="20"/>
          </w:rPr>
        </w:pPr>
        <w:r w:rsidRPr="00AB1B93">
          <w:rPr>
            <w:sz w:val="20"/>
            <w:szCs w:val="20"/>
          </w:rPr>
          <w:fldChar w:fldCharType="begin"/>
        </w:r>
        <w:r w:rsidRPr="00AB1B93">
          <w:rPr>
            <w:sz w:val="20"/>
            <w:szCs w:val="20"/>
          </w:rPr>
          <w:instrText xml:space="preserve"> PAGE   \* MERGEFORMAT </w:instrText>
        </w:r>
        <w:r w:rsidRPr="00AB1B93">
          <w:rPr>
            <w:sz w:val="20"/>
            <w:szCs w:val="20"/>
          </w:rPr>
          <w:fldChar w:fldCharType="separate"/>
        </w:r>
        <w:r w:rsidR="00794482">
          <w:rPr>
            <w:noProof/>
            <w:sz w:val="20"/>
            <w:szCs w:val="20"/>
          </w:rPr>
          <w:t>17</w:t>
        </w:r>
        <w:r w:rsidRPr="00AB1B93">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82" w:rsidRDefault="00794482" w:rsidP="00AB1B93">
      <w:r>
        <w:separator/>
      </w:r>
    </w:p>
  </w:footnote>
  <w:footnote w:type="continuationSeparator" w:id="0">
    <w:p w:rsidR="00794482" w:rsidRDefault="00794482" w:rsidP="00AB1B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B93" w:rsidRPr="00AB1B93" w:rsidRDefault="00AB1B93" w:rsidP="00AB1B93">
    <w:pPr>
      <w:widowControl/>
      <w:pBdr>
        <w:bottom w:val="thinThickMediumGap" w:sz="12" w:space="1" w:color="auto"/>
      </w:pBdr>
      <w:tabs>
        <w:tab w:val="left" w:pos="851"/>
        <w:tab w:val="right" w:pos="8364"/>
      </w:tabs>
      <w:autoSpaceDE/>
      <w:autoSpaceDN/>
      <w:adjustRightInd w:val="0"/>
      <w:snapToGrid w:val="0"/>
      <w:jc w:val="both"/>
      <w:rPr>
        <w:rFonts w:eastAsia="SimSun"/>
        <w:iCs/>
        <w:color w:val="0000FF"/>
        <w:sz w:val="20"/>
        <w:lang w:bidi="ar-SA"/>
      </w:rPr>
    </w:pPr>
    <w:r w:rsidRPr="00AB1B93">
      <w:rPr>
        <w:rFonts w:eastAsia="SimSun" w:hint="eastAsia"/>
        <w:iCs/>
        <w:color w:val="000000"/>
        <w:sz w:val="20"/>
        <w:lang w:bidi="ar-SA"/>
      </w:rPr>
      <w:tab/>
    </w:r>
    <w:r w:rsidRPr="00AB1B93">
      <w:rPr>
        <w:rFonts w:eastAsia="SimSun"/>
        <w:iCs/>
        <w:color w:val="000000"/>
        <w:sz w:val="20"/>
        <w:lang w:bidi="ar-SA"/>
      </w:rPr>
      <w:t xml:space="preserve">Cancer Biology </w:t>
    </w:r>
    <w:r w:rsidRPr="00AB1B93">
      <w:rPr>
        <w:rFonts w:eastAsia="SimSun"/>
        <w:iCs/>
        <w:sz w:val="20"/>
        <w:lang w:bidi="ar-SA"/>
      </w:rPr>
      <w:t>20</w:t>
    </w:r>
    <w:r w:rsidRPr="00AB1B93">
      <w:rPr>
        <w:rFonts w:eastAsia="SimSun" w:hint="eastAsia"/>
        <w:iCs/>
        <w:sz w:val="20"/>
        <w:lang w:bidi="ar-SA"/>
      </w:rPr>
      <w:t>20</w:t>
    </w:r>
    <w:r w:rsidRPr="00AB1B93">
      <w:rPr>
        <w:rFonts w:eastAsia="SimSun"/>
        <w:iCs/>
        <w:sz w:val="20"/>
        <w:lang w:bidi="ar-SA"/>
      </w:rPr>
      <w:t>;</w:t>
    </w:r>
    <w:r w:rsidRPr="00AB1B93">
      <w:rPr>
        <w:rFonts w:eastAsia="SimSun" w:hint="eastAsia"/>
        <w:iCs/>
        <w:sz w:val="20"/>
        <w:lang w:bidi="ar-SA"/>
      </w:rPr>
      <w:t>10</w:t>
    </w:r>
    <w:r w:rsidRPr="00AB1B93">
      <w:rPr>
        <w:rFonts w:eastAsia="SimSun"/>
        <w:iCs/>
        <w:sz w:val="20"/>
        <w:lang w:bidi="ar-SA"/>
      </w:rPr>
      <w:t>(</w:t>
    </w:r>
    <w:r w:rsidRPr="00AB1B93">
      <w:rPr>
        <w:rFonts w:eastAsia="SimSun" w:hint="eastAsia"/>
        <w:iCs/>
        <w:sz w:val="20"/>
        <w:lang w:bidi="ar-SA"/>
      </w:rPr>
      <w:t>1</w:t>
    </w:r>
    <w:r w:rsidRPr="00AB1B93">
      <w:rPr>
        <w:rFonts w:eastAsia="SimSun"/>
        <w:iCs/>
        <w:sz w:val="20"/>
        <w:lang w:bidi="ar-SA"/>
      </w:rPr>
      <w:t xml:space="preserve">)  </w:t>
    </w:r>
    <w:r w:rsidRPr="00AB1B93">
      <w:rPr>
        <w:rFonts w:eastAsia="SimSun" w:hint="eastAsia"/>
        <w:iCs/>
        <w:sz w:val="20"/>
        <w:lang w:bidi="ar-SA"/>
      </w:rPr>
      <w:t xml:space="preserve">   </w:t>
    </w:r>
    <w:r w:rsidRPr="00AB1B93">
      <w:rPr>
        <w:rFonts w:eastAsia="SimSun" w:hint="eastAsia"/>
        <w:iCs/>
        <w:sz w:val="20"/>
        <w:lang w:bidi="ar-SA"/>
      </w:rPr>
      <w:tab/>
      <w:t xml:space="preserve">   </w:t>
    </w:r>
    <w:r w:rsidRPr="00AB1B93">
      <w:rPr>
        <w:rFonts w:eastAsia="SimSun"/>
        <w:iCs/>
        <w:sz w:val="20"/>
        <w:lang w:bidi="ar-SA"/>
      </w:rPr>
      <w:t xml:space="preserve"> </w:t>
    </w:r>
    <w:r w:rsidRPr="00AB1B93">
      <w:rPr>
        <w:rFonts w:eastAsia="SimSun"/>
        <w:sz w:val="20"/>
        <w:lang w:bidi="ar-SA"/>
      </w:rPr>
      <w:t xml:space="preserve">  </w:t>
    </w:r>
    <w:hyperlink r:id="rId1" w:history="1">
      <w:r w:rsidRPr="00AB1B93">
        <w:rPr>
          <w:rFonts w:eastAsia="SimSun"/>
          <w:color w:val="0000FF"/>
          <w:sz w:val="20"/>
          <w:u w:val="single"/>
          <w:lang w:bidi="ar-SA"/>
        </w:rPr>
        <w:t>http://www.cancerbio.net</w:t>
      </w:r>
    </w:hyperlink>
    <w:r w:rsidRPr="00AB1B93">
      <w:rPr>
        <w:rFonts w:eastAsia="SimSun" w:hint="eastAsia"/>
        <w:sz w:val="20"/>
        <w:lang w:bidi="ar-SA"/>
      </w:rPr>
      <w:t xml:space="preserve">   </w:t>
    </w:r>
    <w:r w:rsidRPr="00AB1B93">
      <w:rPr>
        <w:rFonts w:eastAsia="SimSun" w:hint="eastAsia"/>
        <w:b/>
        <w:i/>
        <w:color w:val="FF0000"/>
        <w:sz w:val="20"/>
        <w:szCs w:val="20"/>
        <w:bdr w:val="single" w:sz="4" w:space="0" w:color="FF0000"/>
        <w:lang w:bidi="ar-SA"/>
      </w:rPr>
      <w:t>CBJ</w:t>
    </w:r>
  </w:p>
  <w:p w:rsidR="00AB1B93" w:rsidRDefault="00AB1B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F0743D"/>
    <w:multiLevelType w:val="hybridMultilevel"/>
    <w:tmpl w:val="4ED0F488"/>
    <w:lvl w:ilvl="0" w:tplc="96FA6A42">
      <w:start w:val="1"/>
      <w:numFmt w:val="upperLetter"/>
      <w:lvlText w:val="%1)"/>
      <w:lvlJc w:val="left"/>
      <w:pPr>
        <w:ind w:left="721" w:hanging="721"/>
        <w:jc w:val="left"/>
      </w:pPr>
      <w:rPr>
        <w:rFonts w:ascii="Times New Roman" w:eastAsia="Times New Roman" w:hAnsi="Times New Roman" w:cs="Times New Roman" w:hint="default"/>
        <w:b/>
        <w:bCs/>
        <w:spacing w:val="-1"/>
        <w:w w:val="100"/>
        <w:sz w:val="20"/>
        <w:szCs w:val="20"/>
        <w:lang w:val="en-US" w:eastAsia="en-US" w:bidi="en-US"/>
      </w:rPr>
    </w:lvl>
    <w:lvl w:ilvl="1" w:tplc="0472EF26">
      <w:numFmt w:val="bullet"/>
      <w:lvlText w:val="●"/>
      <w:lvlJc w:val="left"/>
      <w:pPr>
        <w:ind w:left="180" w:hanging="293"/>
      </w:pPr>
      <w:rPr>
        <w:rFonts w:ascii="Times New Roman" w:eastAsia="Times New Roman" w:hAnsi="Times New Roman" w:cs="Times New Roman" w:hint="default"/>
        <w:w w:val="100"/>
        <w:sz w:val="20"/>
        <w:szCs w:val="20"/>
        <w:lang w:val="en-US" w:eastAsia="en-US" w:bidi="en-US"/>
      </w:rPr>
    </w:lvl>
    <w:lvl w:ilvl="2" w:tplc="35426BBA">
      <w:numFmt w:val="bullet"/>
      <w:lvlText w:val="•"/>
      <w:lvlJc w:val="left"/>
      <w:pPr>
        <w:ind w:left="768" w:hanging="293"/>
      </w:pPr>
      <w:rPr>
        <w:rFonts w:hint="default"/>
        <w:lang w:val="en-US" w:eastAsia="en-US" w:bidi="en-US"/>
      </w:rPr>
    </w:lvl>
    <w:lvl w:ilvl="3" w:tplc="390282F8">
      <w:numFmt w:val="bullet"/>
      <w:lvlText w:val="•"/>
      <w:lvlJc w:val="left"/>
      <w:pPr>
        <w:ind w:left="636" w:hanging="293"/>
      </w:pPr>
      <w:rPr>
        <w:rFonts w:hint="default"/>
        <w:lang w:val="en-US" w:eastAsia="en-US" w:bidi="en-US"/>
      </w:rPr>
    </w:lvl>
    <w:lvl w:ilvl="4" w:tplc="FB580C52">
      <w:numFmt w:val="bullet"/>
      <w:lvlText w:val="•"/>
      <w:lvlJc w:val="left"/>
      <w:pPr>
        <w:ind w:left="504" w:hanging="293"/>
      </w:pPr>
      <w:rPr>
        <w:rFonts w:hint="default"/>
        <w:lang w:val="en-US" w:eastAsia="en-US" w:bidi="en-US"/>
      </w:rPr>
    </w:lvl>
    <w:lvl w:ilvl="5" w:tplc="065A0C2C">
      <w:numFmt w:val="bullet"/>
      <w:lvlText w:val="•"/>
      <w:lvlJc w:val="left"/>
      <w:pPr>
        <w:ind w:left="372" w:hanging="293"/>
      </w:pPr>
      <w:rPr>
        <w:rFonts w:hint="default"/>
        <w:lang w:val="en-US" w:eastAsia="en-US" w:bidi="en-US"/>
      </w:rPr>
    </w:lvl>
    <w:lvl w:ilvl="6" w:tplc="6B7CF9FA">
      <w:numFmt w:val="bullet"/>
      <w:lvlText w:val="•"/>
      <w:lvlJc w:val="left"/>
      <w:pPr>
        <w:ind w:left="240" w:hanging="293"/>
      </w:pPr>
      <w:rPr>
        <w:rFonts w:hint="default"/>
        <w:lang w:val="en-US" w:eastAsia="en-US" w:bidi="en-US"/>
      </w:rPr>
    </w:lvl>
    <w:lvl w:ilvl="7" w:tplc="897E12D4">
      <w:numFmt w:val="bullet"/>
      <w:lvlText w:val="•"/>
      <w:lvlJc w:val="left"/>
      <w:pPr>
        <w:ind w:left="109" w:hanging="293"/>
      </w:pPr>
      <w:rPr>
        <w:rFonts w:hint="default"/>
        <w:lang w:val="en-US" w:eastAsia="en-US" w:bidi="en-US"/>
      </w:rPr>
    </w:lvl>
    <w:lvl w:ilvl="8" w:tplc="D23256E4">
      <w:numFmt w:val="bullet"/>
      <w:lvlText w:val="•"/>
      <w:lvlJc w:val="left"/>
      <w:pPr>
        <w:ind w:left="-23" w:hanging="293"/>
      </w:pPr>
      <w:rPr>
        <w:rFonts w:hint="default"/>
        <w:lang w:val="en-US" w:eastAsia="en-US" w:bidi="en-US"/>
      </w:rPr>
    </w:lvl>
  </w:abstractNum>
  <w:abstractNum w:abstractNumId="1">
    <w:nsid w:val="41982E06"/>
    <w:multiLevelType w:val="hybridMultilevel"/>
    <w:tmpl w:val="D1B6E1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9F168A"/>
    <w:multiLevelType w:val="hybridMultilevel"/>
    <w:tmpl w:val="A8F4313A"/>
    <w:lvl w:ilvl="0" w:tplc="E112F88C">
      <w:start w:val="1"/>
      <w:numFmt w:val="decimal"/>
      <w:lvlText w:val="%1."/>
      <w:lvlJc w:val="left"/>
      <w:pPr>
        <w:ind w:left="607" w:hanging="428"/>
        <w:jc w:val="left"/>
      </w:pPr>
      <w:rPr>
        <w:rFonts w:ascii="Times New Roman" w:eastAsia="Times New Roman" w:hAnsi="Times New Roman" w:cs="Times New Roman" w:hint="default"/>
        <w:w w:val="100"/>
        <w:sz w:val="20"/>
        <w:szCs w:val="20"/>
        <w:lang w:val="en-US" w:eastAsia="en-US" w:bidi="en-US"/>
      </w:rPr>
    </w:lvl>
    <w:lvl w:ilvl="1" w:tplc="DEC24374">
      <w:numFmt w:val="bullet"/>
      <w:lvlText w:val="•"/>
      <w:lvlJc w:val="left"/>
      <w:pPr>
        <w:ind w:left="1003" w:hanging="428"/>
      </w:pPr>
      <w:rPr>
        <w:rFonts w:hint="default"/>
        <w:lang w:val="en-US" w:eastAsia="en-US" w:bidi="en-US"/>
      </w:rPr>
    </w:lvl>
    <w:lvl w:ilvl="2" w:tplc="1346A164">
      <w:numFmt w:val="bullet"/>
      <w:lvlText w:val="•"/>
      <w:lvlJc w:val="left"/>
      <w:pPr>
        <w:ind w:left="1406" w:hanging="428"/>
      </w:pPr>
      <w:rPr>
        <w:rFonts w:hint="default"/>
        <w:lang w:val="en-US" w:eastAsia="en-US" w:bidi="en-US"/>
      </w:rPr>
    </w:lvl>
    <w:lvl w:ilvl="3" w:tplc="090A37F6">
      <w:numFmt w:val="bullet"/>
      <w:lvlText w:val="•"/>
      <w:lvlJc w:val="left"/>
      <w:pPr>
        <w:ind w:left="1810" w:hanging="428"/>
      </w:pPr>
      <w:rPr>
        <w:rFonts w:hint="default"/>
        <w:lang w:val="en-US" w:eastAsia="en-US" w:bidi="en-US"/>
      </w:rPr>
    </w:lvl>
    <w:lvl w:ilvl="4" w:tplc="4D5074F4">
      <w:numFmt w:val="bullet"/>
      <w:lvlText w:val="•"/>
      <w:lvlJc w:val="left"/>
      <w:pPr>
        <w:ind w:left="2213" w:hanging="428"/>
      </w:pPr>
      <w:rPr>
        <w:rFonts w:hint="default"/>
        <w:lang w:val="en-US" w:eastAsia="en-US" w:bidi="en-US"/>
      </w:rPr>
    </w:lvl>
    <w:lvl w:ilvl="5" w:tplc="1666AF96">
      <w:numFmt w:val="bullet"/>
      <w:lvlText w:val="•"/>
      <w:lvlJc w:val="left"/>
      <w:pPr>
        <w:ind w:left="2617" w:hanging="428"/>
      </w:pPr>
      <w:rPr>
        <w:rFonts w:hint="default"/>
        <w:lang w:val="en-US" w:eastAsia="en-US" w:bidi="en-US"/>
      </w:rPr>
    </w:lvl>
    <w:lvl w:ilvl="6" w:tplc="8612CBC6">
      <w:numFmt w:val="bullet"/>
      <w:lvlText w:val="•"/>
      <w:lvlJc w:val="left"/>
      <w:pPr>
        <w:ind w:left="3020" w:hanging="428"/>
      </w:pPr>
      <w:rPr>
        <w:rFonts w:hint="default"/>
        <w:lang w:val="en-US" w:eastAsia="en-US" w:bidi="en-US"/>
      </w:rPr>
    </w:lvl>
    <w:lvl w:ilvl="7" w:tplc="E7DEBDFC">
      <w:numFmt w:val="bullet"/>
      <w:lvlText w:val="•"/>
      <w:lvlJc w:val="left"/>
      <w:pPr>
        <w:ind w:left="3424" w:hanging="428"/>
      </w:pPr>
      <w:rPr>
        <w:rFonts w:hint="default"/>
        <w:lang w:val="en-US" w:eastAsia="en-US" w:bidi="en-US"/>
      </w:rPr>
    </w:lvl>
    <w:lvl w:ilvl="8" w:tplc="DE5C05B0">
      <w:numFmt w:val="bullet"/>
      <w:lvlText w:val="•"/>
      <w:lvlJc w:val="left"/>
      <w:pPr>
        <w:ind w:left="3827" w:hanging="428"/>
      </w:pPr>
      <w:rPr>
        <w:rFonts w:hint="default"/>
        <w:lang w:val="en-US" w:eastAsia="en-US" w:bidi="en-US"/>
      </w:rPr>
    </w:lvl>
  </w:abstractNum>
  <w:abstractNum w:abstractNumId="3">
    <w:nsid w:val="657E6E4C"/>
    <w:multiLevelType w:val="hybridMultilevel"/>
    <w:tmpl w:val="45589CA8"/>
    <w:lvl w:ilvl="0" w:tplc="7A12A964">
      <w:start w:val="1"/>
      <w:numFmt w:val="decimal"/>
      <w:lvlText w:val="%1."/>
      <w:lvlJc w:val="left"/>
      <w:pPr>
        <w:ind w:left="207" w:hanging="207"/>
        <w:jc w:val="left"/>
      </w:pPr>
      <w:rPr>
        <w:rFonts w:ascii="Times New Roman" w:eastAsia="Times New Roman" w:hAnsi="Times New Roman" w:cs="Times New Roman" w:hint="default"/>
        <w:b/>
        <w:bCs/>
        <w:w w:val="100"/>
        <w:sz w:val="20"/>
        <w:szCs w:val="20"/>
        <w:lang w:val="en-US" w:eastAsia="en-US" w:bidi="en-US"/>
      </w:rPr>
    </w:lvl>
    <w:lvl w:ilvl="1" w:tplc="FCE20960">
      <w:numFmt w:val="bullet"/>
      <w:lvlText w:val="•"/>
      <w:lvlJc w:val="left"/>
      <w:pPr>
        <w:ind w:left="626" w:hanging="207"/>
      </w:pPr>
      <w:rPr>
        <w:rFonts w:hint="default"/>
        <w:lang w:val="en-US" w:eastAsia="en-US" w:bidi="en-US"/>
      </w:rPr>
    </w:lvl>
    <w:lvl w:ilvl="2" w:tplc="1EF02A86">
      <w:numFmt w:val="bullet"/>
      <w:lvlText w:val="•"/>
      <w:lvlJc w:val="left"/>
      <w:pPr>
        <w:ind w:left="1051" w:hanging="207"/>
      </w:pPr>
      <w:rPr>
        <w:rFonts w:hint="default"/>
        <w:lang w:val="en-US" w:eastAsia="en-US" w:bidi="en-US"/>
      </w:rPr>
    </w:lvl>
    <w:lvl w:ilvl="3" w:tplc="AE768412">
      <w:numFmt w:val="bullet"/>
      <w:lvlText w:val="•"/>
      <w:lvlJc w:val="left"/>
      <w:pPr>
        <w:ind w:left="1476" w:hanging="207"/>
      </w:pPr>
      <w:rPr>
        <w:rFonts w:hint="default"/>
        <w:lang w:val="en-US" w:eastAsia="en-US" w:bidi="en-US"/>
      </w:rPr>
    </w:lvl>
    <w:lvl w:ilvl="4" w:tplc="3B34C034">
      <w:numFmt w:val="bullet"/>
      <w:lvlText w:val="•"/>
      <w:lvlJc w:val="left"/>
      <w:pPr>
        <w:ind w:left="1902" w:hanging="207"/>
      </w:pPr>
      <w:rPr>
        <w:rFonts w:hint="default"/>
        <w:lang w:val="en-US" w:eastAsia="en-US" w:bidi="en-US"/>
      </w:rPr>
    </w:lvl>
    <w:lvl w:ilvl="5" w:tplc="030E894E">
      <w:numFmt w:val="bullet"/>
      <w:lvlText w:val="•"/>
      <w:lvlJc w:val="left"/>
      <w:pPr>
        <w:ind w:left="2327" w:hanging="207"/>
      </w:pPr>
      <w:rPr>
        <w:rFonts w:hint="default"/>
        <w:lang w:val="en-US" w:eastAsia="en-US" w:bidi="en-US"/>
      </w:rPr>
    </w:lvl>
    <w:lvl w:ilvl="6" w:tplc="FC7A6F5E">
      <w:numFmt w:val="bullet"/>
      <w:lvlText w:val="•"/>
      <w:lvlJc w:val="left"/>
      <w:pPr>
        <w:ind w:left="2752" w:hanging="207"/>
      </w:pPr>
      <w:rPr>
        <w:rFonts w:hint="default"/>
        <w:lang w:val="en-US" w:eastAsia="en-US" w:bidi="en-US"/>
      </w:rPr>
    </w:lvl>
    <w:lvl w:ilvl="7" w:tplc="D02498B6">
      <w:numFmt w:val="bullet"/>
      <w:lvlText w:val="•"/>
      <w:lvlJc w:val="left"/>
      <w:pPr>
        <w:ind w:left="3177" w:hanging="207"/>
      </w:pPr>
      <w:rPr>
        <w:rFonts w:hint="default"/>
        <w:lang w:val="en-US" w:eastAsia="en-US" w:bidi="en-US"/>
      </w:rPr>
    </w:lvl>
    <w:lvl w:ilvl="8" w:tplc="F6F8208A">
      <w:numFmt w:val="bullet"/>
      <w:lvlText w:val="•"/>
      <w:lvlJc w:val="left"/>
      <w:pPr>
        <w:ind w:left="3603" w:hanging="207"/>
      </w:pPr>
      <w:rPr>
        <w:rFonts w:hint="default"/>
        <w:lang w:val="en-US" w:eastAsia="en-US" w:bidi="en-US"/>
      </w:rPr>
    </w:lvl>
  </w:abstractNum>
  <w:abstractNum w:abstractNumId="4">
    <w:nsid w:val="7BA66D06"/>
    <w:multiLevelType w:val="multilevel"/>
    <w:tmpl w:val="A6C0825E"/>
    <w:lvl w:ilvl="0">
      <w:start w:val="1"/>
      <w:numFmt w:val="decimal"/>
      <w:lvlText w:val="%1."/>
      <w:lvlJc w:val="left"/>
      <w:pPr>
        <w:ind w:left="720" w:hanging="360"/>
      </w:pPr>
      <w:rPr>
        <w:b w:val="0"/>
        <w:bCs w:val="0"/>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B93"/>
    <w:rsid w:val="001D6207"/>
    <w:rsid w:val="00204C84"/>
    <w:rsid w:val="005A7767"/>
    <w:rsid w:val="005E619D"/>
    <w:rsid w:val="00794482"/>
    <w:rsid w:val="00AB1B93"/>
    <w:rsid w:val="00CE601C"/>
    <w:rsid w:val="00D56C35"/>
    <w:rsid w:val="00FF51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B9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B1B93"/>
    <w:pPr>
      <w:spacing w:line="228" w:lineRule="exact"/>
      <w:ind w:left="18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B93"/>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AB1B93"/>
    <w:pPr>
      <w:ind w:left="180"/>
      <w:jc w:val="both"/>
    </w:pPr>
    <w:rPr>
      <w:sz w:val="20"/>
      <w:szCs w:val="20"/>
    </w:rPr>
  </w:style>
  <w:style w:type="character" w:customStyle="1" w:styleId="BodyTextChar">
    <w:name w:val="Body Text Char"/>
    <w:basedOn w:val="DefaultParagraphFont"/>
    <w:link w:val="BodyText"/>
    <w:uiPriority w:val="1"/>
    <w:rsid w:val="00AB1B93"/>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AB1B93"/>
    <w:pPr>
      <w:ind w:left="607" w:right="168" w:hanging="428"/>
      <w:jc w:val="both"/>
    </w:pPr>
  </w:style>
  <w:style w:type="paragraph" w:customStyle="1" w:styleId="TableParagraph">
    <w:name w:val="Table Paragraph"/>
    <w:basedOn w:val="Normal"/>
    <w:uiPriority w:val="1"/>
    <w:qFormat/>
    <w:rsid w:val="00AB1B93"/>
    <w:pPr>
      <w:spacing w:line="221" w:lineRule="exact"/>
      <w:ind w:left="57"/>
    </w:pPr>
  </w:style>
  <w:style w:type="paragraph" w:styleId="BalloonText">
    <w:name w:val="Balloon Text"/>
    <w:basedOn w:val="Normal"/>
    <w:link w:val="BalloonTextChar"/>
    <w:uiPriority w:val="99"/>
    <w:semiHidden/>
    <w:unhideWhenUsed/>
    <w:rsid w:val="00AB1B93"/>
    <w:rPr>
      <w:rFonts w:ascii="Tahoma" w:hAnsi="Tahoma" w:cs="Tahoma"/>
      <w:sz w:val="16"/>
      <w:szCs w:val="16"/>
    </w:rPr>
  </w:style>
  <w:style w:type="character" w:customStyle="1" w:styleId="BalloonTextChar">
    <w:name w:val="Balloon Text Char"/>
    <w:basedOn w:val="DefaultParagraphFont"/>
    <w:link w:val="BalloonText"/>
    <w:uiPriority w:val="99"/>
    <w:semiHidden/>
    <w:rsid w:val="00AB1B93"/>
    <w:rPr>
      <w:rFonts w:ascii="Tahoma" w:eastAsia="Times New Roman" w:hAnsi="Tahoma" w:cs="Tahoma"/>
      <w:sz w:val="16"/>
      <w:szCs w:val="16"/>
      <w:lang w:bidi="en-US"/>
    </w:rPr>
  </w:style>
  <w:style w:type="paragraph" w:styleId="Header">
    <w:name w:val="header"/>
    <w:basedOn w:val="Normal"/>
    <w:link w:val="HeaderChar"/>
    <w:uiPriority w:val="99"/>
    <w:unhideWhenUsed/>
    <w:rsid w:val="00AB1B93"/>
    <w:pPr>
      <w:tabs>
        <w:tab w:val="center" w:pos="4153"/>
        <w:tab w:val="right" w:pos="8306"/>
      </w:tabs>
    </w:pPr>
  </w:style>
  <w:style w:type="character" w:customStyle="1" w:styleId="HeaderChar">
    <w:name w:val="Header Char"/>
    <w:basedOn w:val="DefaultParagraphFont"/>
    <w:link w:val="Header"/>
    <w:uiPriority w:val="99"/>
    <w:rsid w:val="00AB1B93"/>
    <w:rPr>
      <w:rFonts w:ascii="Times New Roman" w:eastAsia="Times New Roman" w:hAnsi="Times New Roman" w:cs="Times New Roman"/>
      <w:lang w:bidi="en-US"/>
    </w:rPr>
  </w:style>
  <w:style w:type="paragraph" w:styleId="Footer">
    <w:name w:val="footer"/>
    <w:basedOn w:val="Normal"/>
    <w:link w:val="FooterChar"/>
    <w:uiPriority w:val="99"/>
    <w:unhideWhenUsed/>
    <w:rsid w:val="00AB1B93"/>
    <w:pPr>
      <w:tabs>
        <w:tab w:val="center" w:pos="4153"/>
        <w:tab w:val="right" w:pos="8306"/>
      </w:tabs>
    </w:pPr>
  </w:style>
  <w:style w:type="character" w:customStyle="1" w:styleId="FooterChar">
    <w:name w:val="Footer Char"/>
    <w:basedOn w:val="DefaultParagraphFont"/>
    <w:link w:val="Footer"/>
    <w:uiPriority w:val="99"/>
    <w:rsid w:val="00AB1B93"/>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B1B93"/>
    <w:pPr>
      <w:widowControl w:val="0"/>
      <w:autoSpaceDE w:val="0"/>
      <w:autoSpaceDN w:val="0"/>
      <w:spacing w:after="0" w:line="240" w:lineRule="auto"/>
    </w:pPr>
    <w:rPr>
      <w:rFonts w:ascii="Times New Roman" w:eastAsia="Times New Roman" w:hAnsi="Times New Roman" w:cs="Times New Roman"/>
      <w:lang w:bidi="en-US"/>
    </w:rPr>
  </w:style>
  <w:style w:type="paragraph" w:styleId="Heading1">
    <w:name w:val="heading 1"/>
    <w:basedOn w:val="Normal"/>
    <w:link w:val="Heading1Char"/>
    <w:uiPriority w:val="1"/>
    <w:qFormat/>
    <w:rsid w:val="00AB1B93"/>
    <w:pPr>
      <w:spacing w:line="228" w:lineRule="exact"/>
      <w:ind w:left="180"/>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B1B93"/>
    <w:rPr>
      <w:rFonts w:ascii="Times New Roman" w:eastAsia="Times New Roman" w:hAnsi="Times New Roman" w:cs="Times New Roman"/>
      <w:b/>
      <w:bCs/>
      <w:sz w:val="20"/>
      <w:szCs w:val="20"/>
      <w:lang w:bidi="en-US"/>
    </w:rPr>
  </w:style>
  <w:style w:type="paragraph" w:styleId="BodyText">
    <w:name w:val="Body Text"/>
    <w:basedOn w:val="Normal"/>
    <w:link w:val="BodyTextChar"/>
    <w:uiPriority w:val="1"/>
    <w:qFormat/>
    <w:rsid w:val="00AB1B93"/>
    <w:pPr>
      <w:ind w:left="180"/>
      <w:jc w:val="both"/>
    </w:pPr>
    <w:rPr>
      <w:sz w:val="20"/>
      <w:szCs w:val="20"/>
    </w:rPr>
  </w:style>
  <w:style w:type="character" w:customStyle="1" w:styleId="BodyTextChar">
    <w:name w:val="Body Text Char"/>
    <w:basedOn w:val="DefaultParagraphFont"/>
    <w:link w:val="BodyText"/>
    <w:uiPriority w:val="1"/>
    <w:rsid w:val="00AB1B93"/>
    <w:rPr>
      <w:rFonts w:ascii="Times New Roman" w:eastAsia="Times New Roman" w:hAnsi="Times New Roman" w:cs="Times New Roman"/>
      <w:sz w:val="20"/>
      <w:szCs w:val="20"/>
      <w:lang w:bidi="en-US"/>
    </w:rPr>
  </w:style>
  <w:style w:type="paragraph" w:styleId="ListParagraph">
    <w:name w:val="List Paragraph"/>
    <w:basedOn w:val="Normal"/>
    <w:uiPriority w:val="1"/>
    <w:qFormat/>
    <w:rsid w:val="00AB1B93"/>
    <w:pPr>
      <w:ind w:left="607" w:right="168" w:hanging="428"/>
      <w:jc w:val="both"/>
    </w:pPr>
  </w:style>
  <w:style w:type="paragraph" w:customStyle="1" w:styleId="TableParagraph">
    <w:name w:val="Table Paragraph"/>
    <w:basedOn w:val="Normal"/>
    <w:uiPriority w:val="1"/>
    <w:qFormat/>
    <w:rsid w:val="00AB1B93"/>
    <w:pPr>
      <w:spacing w:line="221" w:lineRule="exact"/>
      <w:ind w:left="57"/>
    </w:pPr>
  </w:style>
  <w:style w:type="paragraph" w:styleId="BalloonText">
    <w:name w:val="Balloon Text"/>
    <w:basedOn w:val="Normal"/>
    <w:link w:val="BalloonTextChar"/>
    <w:uiPriority w:val="99"/>
    <w:semiHidden/>
    <w:unhideWhenUsed/>
    <w:rsid w:val="00AB1B93"/>
    <w:rPr>
      <w:rFonts w:ascii="Tahoma" w:hAnsi="Tahoma" w:cs="Tahoma"/>
      <w:sz w:val="16"/>
      <w:szCs w:val="16"/>
    </w:rPr>
  </w:style>
  <w:style w:type="character" w:customStyle="1" w:styleId="BalloonTextChar">
    <w:name w:val="Balloon Text Char"/>
    <w:basedOn w:val="DefaultParagraphFont"/>
    <w:link w:val="BalloonText"/>
    <w:uiPriority w:val="99"/>
    <w:semiHidden/>
    <w:rsid w:val="00AB1B93"/>
    <w:rPr>
      <w:rFonts w:ascii="Tahoma" w:eastAsia="Times New Roman" w:hAnsi="Tahoma" w:cs="Tahoma"/>
      <w:sz w:val="16"/>
      <w:szCs w:val="16"/>
      <w:lang w:bidi="en-US"/>
    </w:rPr>
  </w:style>
  <w:style w:type="paragraph" w:styleId="Header">
    <w:name w:val="header"/>
    <w:basedOn w:val="Normal"/>
    <w:link w:val="HeaderChar"/>
    <w:uiPriority w:val="99"/>
    <w:unhideWhenUsed/>
    <w:rsid w:val="00AB1B93"/>
    <w:pPr>
      <w:tabs>
        <w:tab w:val="center" w:pos="4153"/>
        <w:tab w:val="right" w:pos="8306"/>
      </w:tabs>
    </w:pPr>
  </w:style>
  <w:style w:type="character" w:customStyle="1" w:styleId="HeaderChar">
    <w:name w:val="Header Char"/>
    <w:basedOn w:val="DefaultParagraphFont"/>
    <w:link w:val="Header"/>
    <w:uiPriority w:val="99"/>
    <w:rsid w:val="00AB1B93"/>
    <w:rPr>
      <w:rFonts w:ascii="Times New Roman" w:eastAsia="Times New Roman" w:hAnsi="Times New Roman" w:cs="Times New Roman"/>
      <w:lang w:bidi="en-US"/>
    </w:rPr>
  </w:style>
  <w:style w:type="paragraph" w:styleId="Footer">
    <w:name w:val="footer"/>
    <w:basedOn w:val="Normal"/>
    <w:link w:val="FooterChar"/>
    <w:uiPriority w:val="99"/>
    <w:unhideWhenUsed/>
    <w:rsid w:val="00AB1B93"/>
    <w:pPr>
      <w:tabs>
        <w:tab w:val="center" w:pos="4153"/>
        <w:tab w:val="right" w:pos="8306"/>
      </w:tabs>
    </w:pPr>
  </w:style>
  <w:style w:type="character" w:customStyle="1" w:styleId="FooterChar">
    <w:name w:val="Footer Char"/>
    <w:basedOn w:val="DefaultParagraphFont"/>
    <w:link w:val="Footer"/>
    <w:uiPriority w:val="99"/>
    <w:rsid w:val="00AB1B93"/>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847380">
      <w:bodyDiv w:val="1"/>
      <w:marLeft w:val="0"/>
      <w:marRight w:val="0"/>
      <w:marTop w:val="0"/>
      <w:marBottom w:val="0"/>
      <w:divBdr>
        <w:top w:val="none" w:sz="0" w:space="0" w:color="auto"/>
        <w:left w:val="none" w:sz="0" w:space="0" w:color="auto"/>
        <w:bottom w:val="none" w:sz="0" w:space="0" w:color="auto"/>
        <w:right w:val="none" w:sz="0" w:space="0" w:color="auto"/>
      </w:divBdr>
    </w:div>
    <w:div w:id="342249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cancerbio.net/" TargetMode="External"/><Relationship Id="rId4" Type="http://schemas.microsoft.com/office/2007/relationships/stylesWithEffects" Target="stylesWithEffects.xml"/><Relationship Id="rId9" Type="http://schemas.openxmlformats.org/officeDocument/2006/relationships/hyperlink" Target="mailto:Sara.hassan.shams85@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F1919-B9B7-4BA1-8084-010F0EA34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2892</Words>
  <Characters>16486</Characters>
  <Application>Microsoft Office Word</Application>
  <DocSecurity>0</DocSecurity>
  <Lines>137</Lines>
  <Paragraphs>38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Dosimetric planning study of hypofractionated radiotherapy with a concomitant bo</vt:lpstr>
      <vt:lpstr/>
      <vt:lpstr>Introduction</vt:lpstr>
      <vt:lpstr>Patients and Methods</vt:lpstr>
      <vt:lpstr>Result</vt:lpstr>
      <vt:lpstr>Dosimetric data on coverage of the Boost PTV:</vt:lpstr>
      <vt:lpstr>Dosimetric data on OAR (organs at risk):</vt:lpstr>
      <vt:lpstr/>
      <vt:lpstr/>
      <vt:lpstr>Table 1: Dosimetric data on coverage of the CTV-WB</vt:lpstr>
      <vt:lpstr>Table 2: Dosimetric data on coverage of the Boost PTV:</vt:lpstr>
      <vt:lpstr/>
      <vt:lpstr>Discussion</vt:lpstr>
      <vt:lpstr>Conclusion and Recommendation</vt:lpstr>
    </vt:vector>
  </TitlesOfParts>
  <Company/>
  <LinksUpToDate>false</LinksUpToDate>
  <CharactersWithSpaces>19340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hp1</cp:lastModifiedBy>
  <cp:revision>4</cp:revision>
  <cp:lastPrinted>2020-04-11T10:35:00Z</cp:lastPrinted>
  <dcterms:created xsi:type="dcterms:W3CDTF">2020-04-11T10:35:00Z</dcterms:created>
  <dcterms:modified xsi:type="dcterms:W3CDTF">2020-04-11T10:35:00Z</dcterms:modified>
</cp:coreProperties>
</file>