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8" w:rsidRPr="00A63B43" w:rsidRDefault="000D54C9" w:rsidP="00173C9C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63B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Dosimetric planning study for 3D hypofractionated radiotherapy </w:t>
      </w:r>
      <w:r w:rsidR="00933E35" w:rsidRPr="00A63B43">
        <w:rPr>
          <w:rFonts w:ascii="Times New Roman" w:hAnsi="Times New Roman" w:cs="Times New Roman"/>
          <w:b/>
          <w:color w:val="000000"/>
          <w:sz w:val="20"/>
          <w:szCs w:val="20"/>
        </w:rPr>
        <w:t>in early</w:t>
      </w:r>
      <w:r w:rsidRPr="00A63B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breast cancer patients</w:t>
      </w:r>
    </w:p>
    <w:p w:rsidR="00556568" w:rsidRPr="00A63B43" w:rsidRDefault="00556568" w:rsidP="00173C9C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56568" w:rsidRPr="00A63B43" w:rsidRDefault="000D54C9" w:rsidP="00173C9C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141314"/>
          <w:sz w:val="20"/>
          <w:szCs w:val="20"/>
          <w:lang w:eastAsia="zh-CN"/>
        </w:rPr>
      </w:pPr>
      <w:r w:rsidRPr="00A63B43">
        <w:rPr>
          <w:rFonts w:ascii="Times New Roman" w:hAnsi="Times New Roman" w:cs="Times New Roman"/>
          <w:color w:val="141314"/>
          <w:sz w:val="20"/>
          <w:szCs w:val="20"/>
        </w:rPr>
        <w:t>Sara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Hassan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Shams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El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Din</w:t>
      </w: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1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Shaimaa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Lasheen</w:t>
      </w: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1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Mohamed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Hassan</w:t>
      </w: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1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Farouk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Hagag</w:t>
      </w: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1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Rania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Moussa</w:t>
      </w: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2</w:t>
      </w:r>
      <w:r w:rsidR="00173C9C" w:rsidRPr="00A63B43">
        <w:rPr>
          <w:rFonts w:ascii="Times New Roman" w:hAnsi="Times New Roman" w:cs="Times New Roman" w:hint="eastAsia"/>
          <w:color w:val="141314"/>
          <w:sz w:val="20"/>
          <w:szCs w:val="20"/>
          <w:vertAlign w:val="superscript"/>
          <w:lang w:eastAsia="zh-CN"/>
        </w:rPr>
        <w:t>.</w:t>
      </w:r>
    </w:p>
    <w:p w:rsidR="00556568" w:rsidRPr="00A63B43" w:rsidRDefault="00556568" w:rsidP="00173C9C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141314"/>
          <w:sz w:val="20"/>
          <w:szCs w:val="20"/>
        </w:rPr>
      </w:pPr>
    </w:p>
    <w:p w:rsidR="00933E35" w:rsidRPr="00A63B43" w:rsidRDefault="000D54C9" w:rsidP="00173C9C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141314"/>
          <w:sz w:val="20"/>
          <w:szCs w:val="20"/>
        </w:rPr>
      </w:pP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1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NEMROCK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Center-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Kaser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Al-AINI-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Faculty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Medicine-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Cairo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University,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Department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clinical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oncology,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Cairo,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Egypt.</w:t>
      </w:r>
    </w:p>
    <w:p w:rsidR="007225F1" w:rsidRPr="00A63B43" w:rsidRDefault="000D54C9" w:rsidP="00173C9C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141314"/>
          <w:sz w:val="20"/>
          <w:szCs w:val="20"/>
        </w:rPr>
      </w:pPr>
      <w:r w:rsidRPr="00A63B43">
        <w:rPr>
          <w:rFonts w:ascii="Times New Roman" w:hAnsi="Times New Roman" w:cs="Times New Roman"/>
          <w:color w:val="141314"/>
          <w:sz w:val="20"/>
          <w:szCs w:val="20"/>
          <w:vertAlign w:val="superscript"/>
        </w:rPr>
        <w:t>2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NEMROCK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Center-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Kaser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Al-AINI-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Faculty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Medicine-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Cairo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University,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Department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medical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physics,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Cairo,</w:t>
      </w:r>
      <w:r w:rsidR="00556568" w:rsidRPr="00A63B43">
        <w:rPr>
          <w:rFonts w:ascii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Egypt.</w:t>
      </w:r>
    </w:p>
    <w:p w:rsidR="00556568" w:rsidRPr="00A63B43" w:rsidRDefault="00435F66" w:rsidP="00173C9C">
      <w:pPr>
        <w:snapToGrid w:val="0"/>
        <w:spacing w:after="0" w:line="240" w:lineRule="auto"/>
        <w:jc w:val="center"/>
        <w:rPr>
          <w:rFonts w:ascii="Times New Roman" w:eastAsia="Tahoma" w:hAnsi="Times New Roman" w:cs="Times New Roman"/>
          <w:color w:val="141314"/>
          <w:sz w:val="20"/>
          <w:szCs w:val="20"/>
        </w:rPr>
      </w:pPr>
      <w:hyperlink r:id="rId7" w:history="1">
        <w:r w:rsidR="00FA72A8" w:rsidRPr="00A63B43">
          <w:rPr>
            <w:rStyle w:val="Hyperlink"/>
            <w:rFonts w:ascii="Times New Roman" w:eastAsia="Tahoma" w:hAnsi="Times New Roman" w:cs="Times New Roman"/>
            <w:sz w:val="20"/>
            <w:szCs w:val="20"/>
            <w:u w:val="none"/>
          </w:rPr>
          <w:t>Sara.hassan.shams85@gmail.com</w:t>
        </w:r>
      </w:hyperlink>
    </w:p>
    <w:p w:rsidR="00556568" w:rsidRPr="00A63B43" w:rsidRDefault="00556568" w:rsidP="00173C9C">
      <w:pPr>
        <w:snapToGrid w:val="0"/>
        <w:spacing w:after="0" w:line="240" w:lineRule="auto"/>
        <w:jc w:val="center"/>
        <w:rPr>
          <w:rFonts w:ascii="Times New Roman" w:eastAsia="Tahoma" w:hAnsi="Times New Roman" w:cs="Times New Roman"/>
          <w:color w:val="141314"/>
          <w:sz w:val="20"/>
          <w:szCs w:val="20"/>
        </w:rPr>
      </w:pPr>
    </w:p>
    <w:p w:rsidR="007225F1" w:rsidRPr="00A63B43" w:rsidRDefault="000D54C9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3B43">
        <w:rPr>
          <w:rFonts w:ascii="Times New Roman" w:eastAsia="Tahoma" w:hAnsi="Times New Roman" w:cs="Times New Roman"/>
          <w:b/>
          <w:color w:val="141314"/>
          <w:sz w:val="20"/>
          <w:szCs w:val="20"/>
        </w:rPr>
        <w:t>Abstract</w:t>
      </w:r>
      <w:r w:rsidR="00933E35" w:rsidRPr="00A63B4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Background: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Breast-conserving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alternatives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mastectomy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eligible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stage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invasive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cancer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drawback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conventional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RT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6-7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weeks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length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involves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1.8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-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2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daily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fractions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46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-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50.4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followed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sequential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bed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10-18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Methods: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Our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prospective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phase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II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conducted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Kasr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El-aini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Center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Oncology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Nuclear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Medicine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(NEMROCK)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stage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who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underwent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BCS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recruited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planned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3D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conformal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technique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receive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radiation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schedule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40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Gy/2.67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fraction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3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weeks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Concurrent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8.0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Gy/0.5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fraction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3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weeks.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V38,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V36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Dmin.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PTV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V45.6Gy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V43Gy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Dmin.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regard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constrain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organ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(OAR),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20%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exceeds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16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5%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exceeds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Gy.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Results: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uring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period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from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>June</w:t>
      </w:r>
      <w:r w:rsidR="00556568" w:rsidRPr="00A63B43">
        <w:rPr>
          <w:rFonts w:ascii="Times New Roman" w:eastAsia="Times New Roman" w:hAnsi="Times New Roman" w:cs="Times New Roman"/>
          <w:color w:val="141314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2014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January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2017,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63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included.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volumes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constrain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OAR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compliance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protocol.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sz w:val="20"/>
          <w:szCs w:val="20"/>
        </w:rPr>
        <w:t>Conclusions:</w:t>
      </w:r>
      <w:r w:rsidR="00556568" w:rsidRPr="00A63B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weeks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concomitant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undergoing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(BCS),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allows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feasible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outcomes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terms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sz w:val="20"/>
          <w:szCs w:val="20"/>
        </w:rPr>
        <w:t>parameters.</w:t>
      </w:r>
      <w:r w:rsidR="00556568" w:rsidRPr="00A63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73C9C" w:rsidRPr="00A63B43" w:rsidRDefault="00173C9C" w:rsidP="00173C9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63B43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A63B43">
        <w:rPr>
          <w:rFonts w:ascii="Times New Roman" w:hAnsi="Times New Roman" w:cs="Times New Roman"/>
          <w:color w:val="141314"/>
          <w:sz w:val="20"/>
          <w:szCs w:val="20"/>
        </w:rPr>
        <w:t>Sara Hassan Shams El Din, Shaimaa Lasheen, Mohamed Hassan, Farouk Hagag, Rania Moussa</w:t>
      </w:r>
      <w:r w:rsidRPr="00A63B43">
        <w:rPr>
          <w:rFonts w:ascii="Times New Roman" w:hAnsi="Times New Roman" w:cs="Times New Roman" w:hint="eastAsia"/>
          <w:color w:val="141314"/>
          <w:sz w:val="20"/>
          <w:szCs w:val="20"/>
          <w:lang w:eastAsia="zh-CN"/>
        </w:rPr>
        <w:t>.</w:t>
      </w:r>
      <w:r w:rsidRPr="00A63B43">
        <w:rPr>
          <w:rFonts w:ascii="Times New Roman" w:hAnsi="Times New Roman" w:cs="Times New Roman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/>
          <w:color w:val="000000"/>
          <w:sz w:val="20"/>
          <w:szCs w:val="20"/>
        </w:rPr>
        <w:t>Dosimetric planning study for 3D hypofractionated radiotherapy in early breast cancer patients</w:t>
      </w:r>
      <w:r w:rsidRPr="00A63B4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A63B43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A63B43">
        <w:rPr>
          <w:rFonts w:ascii="Times New Roman" w:hAnsi="Times New Roman" w:cs="Times New Roman"/>
          <w:sz w:val="20"/>
          <w:szCs w:val="20"/>
        </w:rPr>
        <w:t xml:space="preserve"> 20</w:t>
      </w:r>
      <w:r w:rsidRPr="00A63B43">
        <w:rPr>
          <w:rFonts w:ascii="Times New Roman" w:hAnsi="Times New Roman" w:cs="Times New Roman" w:hint="eastAsia"/>
          <w:sz w:val="20"/>
          <w:szCs w:val="20"/>
        </w:rPr>
        <w:t>20</w:t>
      </w:r>
      <w:r w:rsidRPr="00A63B43">
        <w:rPr>
          <w:rFonts w:ascii="Times New Roman" w:hAnsi="Times New Roman" w:cs="Times New Roman"/>
          <w:sz w:val="20"/>
          <w:szCs w:val="20"/>
        </w:rPr>
        <w:t>;</w:t>
      </w:r>
      <w:r w:rsidRPr="00A63B43">
        <w:rPr>
          <w:rFonts w:ascii="Times New Roman" w:hAnsi="Times New Roman" w:cs="Times New Roman" w:hint="eastAsia"/>
          <w:sz w:val="20"/>
          <w:szCs w:val="20"/>
        </w:rPr>
        <w:t>10</w:t>
      </w:r>
      <w:r w:rsidRPr="00A63B43">
        <w:rPr>
          <w:rFonts w:ascii="Times New Roman" w:hAnsi="Times New Roman" w:cs="Times New Roman"/>
          <w:sz w:val="20"/>
          <w:szCs w:val="20"/>
        </w:rPr>
        <w:t>(</w:t>
      </w:r>
      <w:r w:rsidRPr="00A63B43">
        <w:rPr>
          <w:rFonts w:ascii="Times New Roman" w:hAnsi="Times New Roman" w:cs="Times New Roman" w:hint="eastAsia"/>
          <w:sz w:val="20"/>
          <w:szCs w:val="20"/>
        </w:rPr>
        <w:t>1</w:t>
      </w:r>
      <w:r w:rsidRPr="00A63B43">
        <w:rPr>
          <w:rFonts w:ascii="Times New Roman" w:hAnsi="Times New Roman" w:cs="Times New Roman"/>
          <w:sz w:val="20"/>
          <w:szCs w:val="20"/>
        </w:rPr>
        <w:t>):</w:t>
      </w:r>
      <w:r w:rsidR="00492BF5" w:rsidRPr="00A63B43">
        <w:rPr>
          <w:rFonts w:ascii="Times New Roman" w:hAnsi="Times New Roman" w:cs="Times New Roman"/>
          <w:noProof/>
          <w:color w:val="000000"/>
          <w:sz w:val="20"/>
          <w:szCs w:val="20"/>
        </w:rPr>
        <w:t>1</w:t>
      </w:r>
      <w:r w:rsidR="00A63B43" w:rsidRPr="00A63B43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7</w:t>
      </w:r>
      <w:r w:rsidR="00492BF5" w:rsidRPr="00A63B43">
        <w:rPr>
          <w:rFonts w:ascii="Times New Roman" w:hAnsi="Times New Roman" w:cs="Times New Roman"/>
          <w:noProof/>
          <w:color w:val="000000"/>
          <w:sz w:val="20"/>
          <w:szCs w:val="20"/>
        </w:rPr>
        <w:t>-2</w:t>
      </w:r>
      <w:r w:rsidR="00A63B43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2</w:t>
      </w:r>
      <w:r w:rsidRPr="00A63B43">
        <w:rPr>
          <w:rFonts w:ascii="Times New Roman" w:hAnsi="Times New Roman" w:cs="Times New Roman"/>
          <w:sz w:val="20"/>
          <w:szCs w:val="20"/>
        </w:rPr>
        <w:t xml:space="preserve">]. </w:t>
      </w:r>
      <w:r w:rsidRPr="00A63B43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A63B43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A63B43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A63B43">
        <w:rPr>
          <w:rFonts w:ascii="Times New Roman" w:hAnsi="Times New Roman" w:cs="Times New Roman"/>
          <w:sz w:val="20"/>
          <w:szCs w:val="20"/>
        </w:rPr>
        <w:t>.</w:t>
      </w:r>
      <w:r w:rsidRPr="00A63B4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63B43"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 w:rsidRPr="00A63B43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A63B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A63B4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A63B4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cbj100120.</w:t>
        </w:r>
        <w:r w:rsidRPr="00A63B4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A63B4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2</w:t>
        </w:r>
      </w:hyperlink>
      <w:r w:rsidRPr="00A63B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1722B" w:rsidRPr="00A63B43" w:rsidRDefault="0041722B" w:rsidP="00173C9C">
      <w:pPr>
        <w:tabs>
          <w:tab w:val="left" w:pos="90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25F1" w:rsidRPr="00A63B43" w:rsidRDefault="000D54C9" w:rsidP="00173C9C">
      <w:pPr>
        <w:tabs>
          <w:tab w:val="left" w:pos="90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Key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words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planning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Concomitant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bed.</w:t>
      </w:r>
    </w:p>
    <w:p w:rsidR="00933E35" w:rsidRDefault="00933E35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173C9C" w:rsidRPr="00A63B43" w:rsidRDefault="00173C9C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sectPr w:rsidR="00173C9C" w:rsidRPr="00A63B43" w:rsidSect="00A63B43">
          <w:headerReference w:type="default" r:id="rId10"/>
          <w:footerReference w:type="default" r:id="rId11"/>
          <w:type w:val="continuous"/>
          <w:pgSz w:w="12242" w:h="15842" w:code="119"/>
          <w:pgMar w:top="1440" w:right="1440" w:bottom="1440" w:left="1440" w:header="720" w:footer="720" w:gutter="0"/>
          <w:pgNumType w:start="17"/>
          <w:cols w:space="720"/>
          <w:bidi/>
          <w:docGrid w:linePitch="299"/>
        </w:sectPr>
      </w:pPr>
    </w:p>
    <w:p w:rsidR="007225F1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lastRenderedPageBreak/>
        <w:t>1.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Introduction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Over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years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ago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large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controlled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trials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(BCS)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postoperative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therapy,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BCT)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could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alternative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women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cancer.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Women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significant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decrease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recurrences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rates,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compared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alone.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Moreover,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(BCT)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overall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survival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rates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compared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mastectomy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long-term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follow-up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Other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studies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have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quality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life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enhanced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women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undergo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breast-conserving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Consequently,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breast-conserving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become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recommended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women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(2,3,4)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556568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problems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have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resulted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many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centers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developing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optimize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resources.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Thus,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theoretical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evidence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small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increase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together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decrease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total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administered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will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effective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traditional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scheme.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agreement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hypothesis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regarding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potential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benefit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low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(α\β)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ratio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(5).</w:t>
      </w:r>
    </w:p>
    <w:p w:rsidR="00556568" w:rsidRPr="00A63B43" w:rsidRDefault="00556568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rospective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randomized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clinical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trials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have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promising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results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schedules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WBI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each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studies,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goal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deliver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biologically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equivalent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fractionation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50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5-10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year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follow-up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studies,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been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similarity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local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control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cosmetic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outcomes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between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arm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6,7,8,9,10).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556568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ptimum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fractionation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providing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maximum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control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minimum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normal-tissue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complications.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depends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critically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proliferative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state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cells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relative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normal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tissue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risk.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where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basic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biology,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particularly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understanding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cell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proliferation,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clinical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radiation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oncology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join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hands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linear-quadratic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concept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most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commonly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radiobiologic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model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predict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differential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response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acute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late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reacting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tissues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(11).</w:t>
      </w:r>
    </w:p>
    <w:p w:rsidR="00933E35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</w:pPr>
    </w:p>
    <w:p w:rsidR="007225F1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2.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Patients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Methods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conducted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Kasr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Al-Aini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Center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Oncology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&amp;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Nuclear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(NEMROCK)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during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period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between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June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2014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January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2017.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total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63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recruited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according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inclusion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&amp;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exclusion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criteria.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positioned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supine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boards.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Radio-opaque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markers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(guide-wire)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placed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external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landmarks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acquisition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facilitate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contouring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thickness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≤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0.5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done.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External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localizing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marks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permanent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tattoos,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daily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localization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set-up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accuracy.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Organs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Risk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(OAR)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Contouring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delineated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consensus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guidelines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from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RTOG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Atlas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Radiation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Planning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(12)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Radiobiological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equivalent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comparing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conventionally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sequential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schedule,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consisting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fractions,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concomitant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accelerated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whole-breast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employed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total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Gy/2.67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Concurrent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Gy/0.5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given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fractions),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conversion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biologically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effective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(BED)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performed,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according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>
        <w:r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linear</w:t>
        </w:r>
        <w:r w:rsidR="00556568"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</w:t>
        </w:r>
        <w:r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quadratic</w:t>
        </w:r>
        <w:r w:rsidR="00556568"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</w:t>
        </w:r>
        <w:r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model</w:t>
        </w:r>
      </w:hyperlink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(11).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calculation,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assumed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">
        <w:r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α/β</w:t>
        </w:r>
        <w:r w:rsidR="00556568"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</w:t>
        </w:r>
        <w:r w:rsidRPr="00A63B4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ratio</w:t>
        </w:r>
      </w:hyperlink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response,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acute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responding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normal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tissues,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late-responding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tissues.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Planning;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volumes;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V36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represent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prescribed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biologically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equivalent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V45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prescribed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Also,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44.8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prescribed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parameters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reduce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heterogeneity.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Lumpectomy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V43.2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43.2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represent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prescribed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PTV.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constrain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regarding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(OAR);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lung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considered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didn’t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V4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considered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considered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if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maximum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considered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cGy.</w:t>
      </w:r>
    </w:p>
    <w:p w:rsidR="00556568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acceptance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done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reviewing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separately,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summation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Finally,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isocenter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normalization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point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identical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(when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possible).</w:t>
      </w:r>
    </w:p>
    <w:p w:rsidR="007225F1" w:rsidRPr="00A63B43" w:rsidRDefault="00556568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eam-eye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view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revised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each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ensure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proper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maximum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sparing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risk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organs.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Isodose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lines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axial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cuts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revised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adequate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coverage.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isocenter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portal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verified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comparing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simulator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images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corresponding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gjdgxs" w:colFirst="0" w:colLast="0"/>
      <w:bookmarkEnd w:id="0"/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obtained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from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planning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computed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tomography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(CT)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scan.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verification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Electronic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portal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imaging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device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(EPID)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done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once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weekly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verify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setup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reproducibility.</w:t>
      </w:r>
    </w:p>
    <w:p w:rsidR="007225F1" w:rsidRPr="00A63B43" w:rsidRDefault="000D54C9" w:rsidP="00173C9C">
      <w:pPr>
        <w:tabs>
          <w:tab w:val="left" w:pos="108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Follow-up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Cosmetic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weekly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basis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during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acute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toxicity.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toxicity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scored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starting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from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months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after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maximal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detected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toxicity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scored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according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RTOG/EORTC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Common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Terminology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Criteria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Morbidity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Scoring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Schema,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version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(13).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Ethical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considerations: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research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protocol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presented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research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ethics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committee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scientific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research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committee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department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oncology,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Medicine,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Cairo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University.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Statistical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analysis: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statistically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statistical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package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social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sciences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(SPSS)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version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16.</w:t>
      </w:r>
    </w:p>
    <w:p w:rsidR="00933E35" w:rsidRPr="00A63B43" w:rsidRDefault="00933E35" w:rsidP="00173C9C">
      <w:pPr>
        <w:tabs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7225F1" w:rsidRPr="00A63B43" w:rsidRDefault="00933E35" w:rsidP="00173C9C">
      <w:pPr>
        <w:tabs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3.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Result</w:t>
      </w:r>
    </w:p>
    <w:p w:rsidR="007225F1" w:rsidRPr="00A63B43" w:rsidRDefault="000D54C9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Results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data: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coverage: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assessed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V38,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 V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parameters;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" w:name="30j0zll" w:colFirst="0" w:colLast="0"/>
      <w:bookmarkEnd w:id="1"/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2" w:name="1fob9te" w:colFirst="0" w:colLast="0"/>
      <w:bookmarkEnd w:id="2"/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T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(maximum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(minimum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defined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98%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keeping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3" w:name="3znysh7" w:colFirst="0" w:colLast="0"/>
      <w:bookmarkEnd w:id="3"/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ICRU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report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recommendations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(Grégoire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Mackie,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2011)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63B43" w:rsidRDefault="00A63B43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Default="00A63B43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Default="00A63B43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7225F1" w:rsidRPr="00A63B43" w:rsidRDefault="000D54C9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B</w:t>
      </w:r>
      <w:r w:rsidR="00173C9C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 D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PTV:</w:t>
      </w:r>
    </w:p>
    <w:p w:rsidR="00556568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assessed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 V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45.6,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V43.2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parameters;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  <w:t>T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</w:t>
      </w:r>
    </w:p>
    <w:p w:rsidR="007225F1" w:rsidRPr="00A63B43" w:rsidRDefault="00556568" w:rsidP="00173C9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i/>
          <w:color w:val="000000" w:themeColor="text1"/>
          <w:sz w:val="20"/>
          <w:szCs w:val="20"/>
          <w:lang w:eastAsia="zh-CN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PTV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V52.8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(that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represent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110%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prescribed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Gy)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</w:p>
    <w:p w:rsidR="007225F1" w:rsidRPr="00A63B43" w:rsidRDefault="000D54C9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</w:t>
      </w:r>
      <w:r w:rsidR="00173C9C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 D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OAR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(organs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risk):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organs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risk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following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parameters: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heart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4" w:name="2et92p0" w:colFirst="0" w:colLast="0"/>
      <w:bookmarkEnd w:id="4"/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D35%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5" w:name="tyjcwt" w:colFirst="0" w:colLast="0"/>
      <w:bookmarkEnd w:id="5"/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MHD</w:t>
      </w:r>
      <w:r w:rsidR="00173C9C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.</w:t>
      </w:r>
    </w:p>
    <w:p w:rsidR="007225F1" w:rsidRPr="00A63B43" w:rsidRDefault="000D54C9" w:rsidP="00173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lung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(considered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below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20%),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V16Gy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Gy)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A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contralateral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Gy.</w:t>
      </w:r>
    </w:p>
    <w:p w:rsidR="007225F1" w:rsidRPr="00A63B43" w:rsidRDefault="000D54C9" w:rsidP="00173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contralateral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breast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evaluated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V2.4Gy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  <w:t>T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3.</w:t>
      </w:r>
    </w:p>
    <w:p w:rsidR="00A63B43" w:rsidRPr="00A63B43" w:rsidRDefault="00A63B43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7225F1" w:rsidRPr="00A63B43" w:rsidRDefault="000D54C9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radiotherapy: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duration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between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days)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171+/-83.6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days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range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(25-348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days)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4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duration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days)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22+/-2.1</w:t>
      </w:r>
      <w:r w:rsidR="00A63B43" w:rsidRPr="00A63B4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days.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also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(delay)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completion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irradiation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range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(0-7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days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1.4+/-2.1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shown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3B43" w:rsidRPr="00A63B43"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  <w:t>T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</w:t>
      </w:r>
    </w:p>
    <w:p w:rsidR="00173C9C" w:rsidRPr="00A63B43" w:rsidRDefault="00173C9C" w:rsidP="00173C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sectPr w:rsidR="00173C9C" w:rsidRPr="00A63B43" w:rsidSect="00836F20">
          <w:type w:val="continuous"/>
          <w:pgSz w:w="12242" w:h="15842" w:code="119"/>
          <w:pgMar w:top="1440" w:right="1440" w:bottom="1440" w:left="1440" w:header="720" w:footer="720" w:gutter="0"/>
          <w:cols w:num="2" w:space="550"/>
          <w:docGrid w:linePitch="299"/>
        </w:sectPr>
      </w:pPr>
    </w:p>
    <w:p w:rsidR="00933E35" w:rsidRPr="00A63B43" w:rsidRDefault="00933E35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933E35" w:rsidRPr="00A63B43" w:rsidRDefault="00933E35" w:rsidP="00173C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</w:t>
      </w:r>
      <w:r w:rsidR="00173C9C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 D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CTV-WB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/>
      </w:tblPr>
      <w:tblGrid>
        <w:gridCol w:w="5610"/>
        <w:gridCol w:w="3866"/>
      </w:tblGrid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V38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95.89+/-1.7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90-100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V36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99.0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0.8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96-100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V48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3.8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0-16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V44.8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16.8</w:t>
            </w:r>
            <w:r w:rsidRPr="00A63B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0-34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max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48.5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+/-1.17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50-43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37.26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1.15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36-45</w:t>
            </w:r>
          </w:p>
        </w:tc>
      </w:tr>
    </w:tbl>
    <w:p w:rsidR="00933E35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CTV: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V38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38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V36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36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V48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48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V44.8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44.8.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Dmax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maximum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dose,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Dmin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minimum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dose</w:t>
      </w:r>
    </w:p>
    <w:p w:rsidR="00556568" w:rsidRPr="00A63B43" w:rsidRDefault="00556568" w:rsidP="00173C9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933E35" w:rsidRPr="00A63B43" w:rsidRDefault="00933E35" w:rsidP="00173C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="00173C9C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 D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osimetric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ptv: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/>
      </w:tblPr>
      <w:tblGrid>
        <w:gridCol w:w="5610"/>
        <w:gridCol w:w="3866"/>
      </w:tblGrid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V45.6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97.28+/-3.5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90-100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43.2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99.29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1.55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93-100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max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49.53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+/-1.02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47-51</w:t>
            </w:r>
          </w:p>
        </w:tc>
      </w:tr>
      <w:tr w:rsidR="00933E35" w:rsidRPr="00A63B43" w:rsidTr="00556568">
        <w:trPr>
          <w:jc w:val="center"/>
        </w:trPr>
        <w:tc>
          <w:tcPr>
            <w:tcW w:w="296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2040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45.51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1.77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40-48</w:t>
            </w:r>
          </w:p>
        </w:tc>
      </w:tr>
    </w:tbl>
    <w:p w:rsidR="00933E35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PTV: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planning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V45.6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45.6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V43.2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43.2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Dmax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maximum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dose,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Dmin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minimum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dose.</w:t>
      </w:r>
    </w:p>
    <w:p w:rsidR="00933E35" w:rsidRPr="00A63B43" w:rsidRDefault="00933E35" w:rsidP="00173C9C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933E35" w:rsidRPr="00A63B43" w:rsidRDefault="00933E35" w:rsidP="00173C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Table</w:t>
      </w:r>
      <w:r w:rsidR="00A63B43" w:rsidRPr="00A63B43"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="00173C9C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173C9C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osimetric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OAR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(organs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at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risk):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/>
      </w:tblPr>
      <w:tblGrid>
        <w:gridCol w:w="5536"/>
        <w:gridCol w:w="3940"/>
      </w:tblGrid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Ipsilateral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Lung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V20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12.4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+/-3.84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2-20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V16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13.87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+/-4.16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2-20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D50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1.97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+/-0.5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0.9-3.3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556568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D35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556568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933E35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+/-0.7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1.5-4.5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V4CLL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0.025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0-0.2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Heart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V20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1.79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2.47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0-10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V25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1.52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2.21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0-9.5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D35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1.19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0.7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0.3-3.7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MHD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+/-1.2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0.3-4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Contra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lateral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breast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V2.4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0.96+/-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1.1</w:t>
            </w:r>
            <w:r w:rsidR="00556568"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0-4.8</w:t>
            </w:r>
          </w:p>
        </w:tc>
      </w:tr>
      <w:tr w:rsidR="00933E35" w:rsidRPr="00A63B43" w:rsidTr="00556568">
        <w:trPr>
          <w:jc w:val="center"/>
        </w:trPr>
        <w:tc>
          <w:tcPr>
            <w:tcW w:w="2921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Dmax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(mean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+/-SD)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-Range</w:t>
            </w:r>
          </w:p>
        </w:tc>
        <w:tc>
          <w:tcPr>
            <w:tcW w:w="2079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1.78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+/-0.69</w:t>
            </w:r>
          </w:p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0.6-3.5</w:t>
            </w:r>
          </w:p>
        </w:tc>
      </w:tr>
    </w:tbl>
    <w:p w:rsidR="00933E35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CL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L: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Contra-lateral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lung,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SD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deviation</w:t>
      </w:r>
      <w:r w:rsidR="00173C9C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="00173C9C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20: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20Gy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V16: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16Gy,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V4: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4Gy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D50: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reach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D35: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reach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volume,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V25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25Gy,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MHD</w:t>
      </w:r>
      <w:r w:rsidR="00173C9C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 m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ean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dose,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V2.4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2.4Gy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,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Dmax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maximum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dose.</w:t>
      </w:r>
    </w:p>
    <w:p w:rsidR="00933E35" w:rsidRPr="00A63B43" w:rsidRDefault="00933E35" w:rsidP="00173C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63B43" w:rsidRDefault="00A63B43" w:rsidP="00173C9C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933E35" w:rsidRPr="00A63B43" w:rsidRDefault="00933E35" w:rsidP="00173C9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Table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4: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radiotherapy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/>
      </w:tblPr>
      <w:tblGrid>
        <w:gridCol w:w="7401"/>
        <w:gridCol w:w="2075"/>
      </w:tblGrid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Surgery-radiotherapy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interval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(in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days):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mean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+/-SD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171+/-83.6</w:t>
            </w: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Radiotherapy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duration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(in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days):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mean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+/-SD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22+/-2.1</w:t>
            </w: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21-28</w:t>
            </w: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Radiotherapy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lag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(in</w:t>
            </w:r>
            <w:r w:rsidR="00556568"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days):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mean</w:t>
            </w:r>
            <w:r w:rsidR="00556568"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+/-SD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1.4+/-2.1</w:t>
            </w:r>
          </w:p>
        </w:tc>
      </w:tr>
      <w:tr w:rsidR="00933E35" w:rsidRPr="00A63B43" w:rsidTr="00556568">
        <w:trPr>
          <w:jc w:val="center"/>
        </w:trPr>
        <w:tc>
          <w:tcPr>
            <w:tcW w:w="390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Range</w:t>
            </w:r>
          </w:p>
        </w:tc>
        <w:tc>
          <w:tcPr>
            <w:tcW w:w="1095" w:type="pct"/>
            <w:vAlign w:val="center"/>
          </w:tcPr>
          <w:p w:rsidR="00933E35" w:rsidRPr="00A63B43" w:rsidRDefault="00933E35" w:rsidP="00173C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0-7</w:t>
            </w:r>
          </w:p>
        </w:tc>
      </w:tr>
    </w:tbl>
    <w:p w:rsidR="00933E35" w:rsidRPr="00A63B43" w:rsidRDefault="00933E35" w:rsidP="00173C9C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SD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deviation</w:t>
      </w:r>
    </w:p>
    <w:p w:rsidR="00933E35" w:rsidRDefault="00933E35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A63B43" w:rsidRPr="00A63B43" w:rsidRDefault="00A63B43" w:rsidP="00173C9C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color w:val="000000" w:themeColor="text1"/>
          <w:sz w:val="20"/>
          <w:szCs w:val="20"/>
          <w:lang w:eastAsia="zh-CN"/>
        </w:rPr>
      </w:pPr>
    </w:p>
    <w:p w:rsidR="00173C9C" w:rsidRPr="00A63B43" w:rsidRDefault="00173C9C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sectPr w:rsidR="00173C9C" w:rsidRPr="00A63B43" w:rsidSect="00836F20">
          <w:type w:val="continuous"/>
          <w:pgSz w:w="12242" w:h="15842" w:code="119"/>
          <w:pgMar w:top="1440" w:right="1440" w:bottom="1440" w:left="1440" w:header="720" w:footer="720" w:gutter="0"/>
          <w:cols w:space="720"/>
          <w:bidi/>
          <w:docGrid w:linePitch="299"/>
        </w:sectPr>
      </w:pPr>
    </w:p>
    <w:p w:rsidR="007225F1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lastRenderedPageBreak/>
        <w:t>4.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D54C9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Discussion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our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96%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99%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parameters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i.e.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Dmin,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37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respectively.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similar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reported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Valero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Albarrán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concomitant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irradiation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bed.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40.5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respectively,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delivered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(2.7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fraction)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reported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98.3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rebuchetMS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maximum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52.8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Chadha,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WB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40.5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2.7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Gy/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fraction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over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15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lastRenderedPageBreak/>
        <w:t>fraction,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concomitantly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lumpectomy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site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45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3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Gy/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fraction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over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15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fraction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using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concomitant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boost.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They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reported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99.4%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(14,15).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Boost-PTV,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97%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90%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99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parameters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i.e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values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Dmax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Dmin,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49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respectively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similar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reported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Chadha,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;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≥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prescription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99.7%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(15)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173C9C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homogeneity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V48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i.e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total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prescribed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tumor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5.2%.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compatible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constrain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our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protocol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CTV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exceeded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Gy,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also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isolated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spots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found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outside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regions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lumpectomy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V.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dosimetric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data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risk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structures: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biologically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equivalent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V25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QUANTEC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constrain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fractionation.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1.4%.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Valero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Albarrán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biologically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equivalent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heart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2.13%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our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which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biologically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equivalent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V20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fractionation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13.8%.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Valero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Albarrán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ipsilateral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V16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12.1%(14).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regard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mean+/-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1.4+/-2.1.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disruptions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our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patients’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attributed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machine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breaks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holidays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(e.g.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feast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holiday),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disrupted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due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toxicity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necessitating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holding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.</w:t>
      </w:r>
    </w:p>
    <w:p w:rsidR="00933E35" w:rsidRPr="00A63B43" w:rsidRDefault="00933E35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</w:pPr>
    </w:p>
    <w:p w:rsidR="007225F1" w:rsidRPr="00A63B43" w:rsidRDefault="000D54C9" w:rsidP="00173C9C">
      <w:pPr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Conclusion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ahoma" w:hAnsi="Times New Roman" w:cs="Times New Roman"/>
          <w:b/>
          <w:color w:val="000000" w:themeColor="text1"/>
          <w:sz w:val="20"/>
          <w:szCs w:val="20"/>
        </w:rPr>
        <w:t>Recommendation</w:t>
      </w:r>
    </w:p>
    <w:p w:rsidR="00173C9C" w:rsidRPr="00A63B43" w:rsidRDefault="000D54C9" w:rsidP="00173C9C">
      <w:pPr>
        <w:tabs>
          <w:tab w:val="left" w:pos="709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planning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total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40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Gy/2.67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per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fraction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whole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Concurrent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8.0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Gy/0.5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Gy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per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fraction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given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556568"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color w:val="000000" w:themeColor="text1"/>
          <w:sz w:val="20"/>
          <w:szCs w:val="20"/>
        </w:rPr>
        <w:t>fractions)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feasible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acceptable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target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volumes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risk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structures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constrain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advantage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shorting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length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course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compliance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patien</w:t>
      </w:r>
      <w:r w:rsidR="00173C9C"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t.</w:t>
      </w:r>
    </w:p>
    <w:p w:rsidR="00933E35" w:rsidRPr="00A63B43" w:rsidRDefault="00933E35" w:rsidP="00173C9C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7225F1" w:rsidRPr="00A63B43" w:rsidRDefault="00933E35" w:rsidP="00173C9C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References</w:t>
      </w:r>
      <w:r w:rsidR="00556568" w:rsidRPr="00A63B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numPr>
          <w:ilvl w:val="0"/>
          <w:numId w:val="3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National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Comprehensive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Network: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highlight w:val="white"/>
        </w:rPr>
        <w:t>NCCN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>Clinical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>Practice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>Guidelines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>in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>Oncology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highlight w:val="white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2010.</w:t>
      </w:r>
    </w:p>
    <w:p w:rsidR="00173C9C" w:rsidRPr="00A63B43" w:rsidRDefault="000D54C9" w:rsidP="00173C9C">
      <w:pPr>
        <w:numPr>
          <w:ilvl w:val="0"/>
          <w:numId w:val="3"/>
        </w:numPr>
        <w:tabs>
          <w:tab w:val="left" w:pos="540"/>
        </w:tabs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Clark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RM,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Whelan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Levine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irradiation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>following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lumpectomy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axillary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dissection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node-negative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cancer: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update.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Ontario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Oncology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Group.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Natl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1996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Nov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20;88(22):1659-166</w:t>
      </w:r>
      <w:r w:rsidR="00173C9C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4.</w:t>
      </w:r>
    </w:p>
    <w:p w:rsidR="007225F1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Fisher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Anderson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Bryant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Twenty-year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follow-up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comparing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total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mastectomy,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lumpectomy,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lumpectomy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plus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irradiation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invasive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N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Engl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J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Med.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2002;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347:1233-1241.</w:t>
      </w:r>
    </w:p>
    <w:p w:rsidR="007225F1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Veronesi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U,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Cascinelli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Mariani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Twenty-year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follow-up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study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comparing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breast-conserving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surgery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radical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mastectomy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N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Engl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J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Med.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2002;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347:1227-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1232.</w:t>
      </w:r>
      <w:r w:rsidR="00556568" w:rsidRPr="00A63B43">
        <w:rPr>
          <w:rFonts w:ascii="Times New Roman" w:eastAsia="ScalaLancetPro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7225F1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Yarnold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Ashton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Bliss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Fractionation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sensitivity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dose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response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late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adverse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effects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after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cancer: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long-term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results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.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Radiother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Oncol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2005;75:9–17.</w:t>
      </w:r>
    </w:p>
    <w:p w:rsidR="00173C9C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Whelan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Pignol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JP,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Levine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MN,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Longterm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results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2010;362:513-2</w:t>
      </w:r>
      <w:r w:rsidR="00173C9C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0.</w:t>
      </w:r>
    </w:p>
    <w:p w:rsidR="007225F1" w:rsidRPr="00A63B43" w:rsidRDefault="000D54C9" w:rsidP="00173C9C">
      <w:pPr>
        <w:numPr>
          <w:ilvl w:val="0"/>
          <w:numId w:val="3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eastAsia="inherit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Yarnold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Haviland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Bentzen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SM,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Estimation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overall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time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factor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local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relapse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after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adjuvant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UK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START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Trialists’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Group.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Eur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2013;49(2):S2405.</w:t>
      </w:r>
    </w:p>
    <w:p w:rsidR="007225F1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Owen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JR,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Ashton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Bliss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JM,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Effect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fraction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size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tumour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control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patient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early-stage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after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local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tumour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excision: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long-term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results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randomised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Lancet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Oncol</w:t>
      </w:r>
      <w:r w:rsidR="00556568" w:rsidRPr="00A63B4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2006;7:467–71.</w:t>
      </w:r>
    </w:p>
    <w:p w:rsidR="007225F1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START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Trialists’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Group,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Bentzen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SM,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Agrawal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RK,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Aird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EG,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UK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Standardisation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(START)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hypofractionation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cancer: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trial.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Lancet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Oncol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2008;9:331-41.</w:t>
      </w:r>
    </w:p>
    <w:p w:rsidR="00173C9C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START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Trialists’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Group,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Bentzen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SM,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Agrawal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RK,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Aird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EG,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UK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Standardisation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(START)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Trial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hypofractionation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early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cancer: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randomized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trial.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Lancet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2008;371:1098-10</w:t>
      </w:r>
      <w:r w:rsidR="00173C9C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7.</w:t>
      </w:r>
    </w:p>
    <w:p w:rsidR="00173C9C" w:rsidRPr="00A63B43" w:rsidRDefault="000D54C9" w:rsidP="00173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linear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quadratic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model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S.M.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Bentzen,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Baumann</w:t>
      </w:r>
      <w:r w:rsidR="00173C9C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T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he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linear-quadratic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model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practice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G.G.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Steel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(Ed.),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Basic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Clinical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Radiobiology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(third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ed.),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Arnold,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London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(2002),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pp.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134-146</w:t>
      </w:r>
      <w:r w:rsidR="00173C9C" w:rsidRPr="00A63B43">
        <w:rPr>
          <w:rFonts w:ascii="Times New Roman" w:hAnsi="Times New Roman" w:cs="Times New Roman" w:hint="eastAsia"/>
          <w:bCs/>
          <w:color w:val="000000" w:themeColor="text1"/>
          <w:sz w:val="20"/>
          <w:szCs w:val="20"/>
          <w:lang w:eastAsia="zh-CN"/>
        </w:rPr>
        <w:t>.</w:t>
      </w:r>
    </w:p>
    <w:p w:rsidR="00173C9C" w:rsidRPr="00A63B43" w:rsidRDefault="000D54C9" w:rsidP="00173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Atlas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Radiation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Plannin</w:t>
      </w:r>
      <w:r w:rsidR="00173C9C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g.</w:t>
      </w:r>
    </w:p>
    <w:p w:rsidR="007225F1" w:rsidRPr="00A63B43" w:rsidRDefault="000D54C9" w:rsidP="00173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Common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Terminology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Criteria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Adverse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Events,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version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3.0,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using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RTOG⁄EORTC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toxicity.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J.D.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Cox,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Stetz,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T.F.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Int.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Radiat.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Oncol.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Biol.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Phys.,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31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(1995),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pp.</w:t>
      </w:r>
      <w:r w:rsidR="00556568"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1341-1346.</w:t>
      </w:r>
    </w:p>
    <w:p w:rsidR="00173C9C" w:rsidRPr="00A63B43" w:rsidRDefault="000D54C9" w:rsidP="00173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Valero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Albarrán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Ciervide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Jurio1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Hypofractionated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concomitant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boost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using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3-D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conformal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radiotherapy.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ESTR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O (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33),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201</w:t>
      </w:r>
      <w:r w:rsidR="00173C9C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4.</w:t>
      </w:r>
    </w:p>
    <w:p w:rsidR="007225F1" w:rsidRPr="00A63B43" w:rsidRDefault="000D54C9" w:rsidP="00173C9C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>Chadha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Woode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Sillanpaa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J,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al.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Earlystage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cancer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3-week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accelerated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whole-breast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radiation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therapy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concomitant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boost.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Radiat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Oncol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Biol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Phys</w:t>
      </w:r>
      <w:r w:rsidR="00556568"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2013;86:40-47.</w:t>
      </w:r>
      <w:r w:rsidR="00A63B43" w:rsidRPr="00A63B43">
        <w:rPr>
          <w:rFonts w:ascii="Times New Roman" w:hAnsi="Times New Roman" w:cs="Times New Roman" w:hint="eastAsia"/>
          <w:bCs/>
          <w:color w:val="000000" w:themeColor="text1"/>
          <w:sz w:val="20"/>
          <w:szCs w:val="20"/>
          <w:lang w:eastAsia="zh-CN"/>
        </w:rPr>
        <w:t xml:space="preserve"> </w:t>
      </w:r>
      <w:r w:rsidRPr="00A63B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http://dx.doi.org/10.1016/j.ijrobp.2012.11.010.</w:t>
      </w:r>
    </w:p>
    <w:p w:rsidR="00173C9C" w:rsidRPr="00A63B43" w:rsidRDefault="00173C9C" w:rsidP="00173C9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sectPr w:rsidR="00173C9C" w:rsidRPr="00A63B43" w:rsidSect="00836F20">
          <w:type w:val="continuous"/>
          <w:pgSz w:w="12242" w:h="15842" w:code="119"/>
          <w:pgMar w:top="1440" w:right="1440" w:bottom="1440" w:left="1440" w:header="720" w:footer="720" w:gutter="0"/>
          <w:cols w:num="2" w:space="550"/>
          <w:docGrid w:linePitch="299"/>
        </w:sectPr>
      </w:pPr>
    </w:p>
    <w:p w:rsidR="00FA72A8" w:rsidRPr="00A63B43" w:rsidRDefault="00FA72A8" w:rsidP="00173C9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FA72A8" w:rsidRPr="00A63B43" w:rsidRDefault="00FA72A8" w:rsidP="00173C9C">
      <w:pPr>
        <w:pStyle w:val="ListParagraph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568" w:rsidRPr="00A63B43" w:rsidRDefault="00556568" w:rsidP="00173C9C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225F1" w:rsidRPr="00A63B43" w:rsidRDefault="00556568" w:rsidP="00173C9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63B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12/25/2019</w:t>
      </w:r>
    </w:p>
    <w:sectPr w:rsidR="007225F1" w:rsidRPr="00A63B43" w:rsidSect="00836F20">
      <w:type w:val="continuous"/>
      <w:pgSz w:w="12242" w:h="15842" w:code="119"/>
      <w:pgMar w:top="1440" w:right="1440" w:bottom="1440" w:left="144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7D" w:rsidRDefault="00C97C7D" w:rsidP="0041722B">
      <w:pPr>
        <w:spacing w:after="0" w:line="240" w:lineRule="auto"/>
      </w:pPr>
      <w:r>
        <w:separator/>
      </w:r>
    </w:p>
  </w:endnote>
  <w:endnote w:type="continuationSeparator" w:id="0">
    <w:p w:rsidR="00C97C7D" w:rsidRDefault="00C97C7D" w:rsidP="0041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Trebuchet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alaLancet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9C" w:rsidRPr="00836F20" w:rsidRDefault="00435F66" w:rsidP="00836F2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36F20">
      <w:rPr>
        <w:rFonts w:ascii="Times New Roman" w:hAnsi="Times New Roman" w:cs="Times New Roman"/>
        <w:sz w:val="20"/>
      </w:rPr>
      <w:fldChar w:fldCharType="begin"/>
    </w:r>
    <w:r w:rsidR="00836F20" w:rsidRPr="00836F20">
      <w:rPr>
        <w:rFonts w:ascii="Times New Roman" w:hAnsi="Times New Roman" w:cs="Times New Roman"/>
        <w:sz w:val="20"/>
      </w:rPr>
      <w:instrText xml:space="preserve"> page </w:instrText>
    </w:r>
    <w:r w:rsidRPr="00836F20">
      <w:rPr>
        <w:rFonts w:ascii="Times New Roman" w:hAnsi="Times New Roman" w:cs="Times New Roman"/>
        <w:sz w:val="20"/>
      </w:rPr>
      <w:fldChar w:fldCharType="separate"/>
    </w:r>
    <w:r w:rsidR="00A63B43">
      <w:rPr>
        <w:rFonts w:ascii="Times New Roman" w:hAnsi="Times New Roman" w:cs="Times New Roman"/>
        <w:noProof/>
        <w:sz w:val="20"/>
      </w:rPr>
      <w:t>17</w:t>
    </w:r>
    <w:r w:rsidRPr="00836F20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7D" w:rsidRDefault="00C97C7D" w:rsidP="0041722B">
      <w:pPr>
        <w:spacing w:after="0" w:line="240" w:lineRule="auto"/>
      </w:pPr>
      <w:r>
        <w:separator/>
      </w:r>
    </w:p>
  </w:footnote>
  <w:footnote w:type="continuationSeparator" w:id="0">
    <w:p w:rsidR="00C97C7D" w:rsidRDefault="00C97C7D" w:rsidP="0041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20" w:rsidRPr="00836F20" w:rsidRDefault="00836F20" w:rsidP="00836F2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836F20">
      <w:rPr>
        <w:rFonts w:ascii="Times New Roman" w:hAnsi="Times New Roman" w:cs="Times New Roman" w:hint="eastAsia"/>
        <w:iCs/>
        <w:color w:val="000000"/>
        <w:sz w:val="20"/>
      </w:rPr>
      <w:tab/>
    </w:r>
    <w:r w:rsidRPr="00836F20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836F20">
      <w:rPr>
        <w:rFonts w:ascii="Times New Roman" w:hAnsi="Times New Roman" w:cs="Times New Roman"/>
        <w:iCs/>
        <w:sz w:val="20"/>
      </w:rPr>
      <w:t>20</w:t>
    </w:r>
    <w:r w:rsidRPr="00836F20">
      <w:rPr>
        <w:rFonts w:ascii="Times New Roman" w:hAnsi="Times New Roman" w:cs="Times New Roman" w:hint="eastAsia"/>
        <w:iCs/>
        <w:sz w:val="20"/>
      </w:rPr>
      <w:t>20</w:t>
    </w:r>
    <w:r w:rsidRPr="00836F20">
      <w:rPr>
        <w:rFonts w:ascii="Times New Roman" w:hAnsi="Times New Roman" w:cs="Times New Roman"/>
        <w:iCs/>
        <w:sz w:val="20"/>
      </w:rPr>
      <w:t>;</w:t>
    </w:r>
    <w:r w:rsidRPr="00836F20">
      <w:rPr>
        <w:rFonts w:ascii="Times New Roman" w:hAnsi="Times New Roman" w:cs="Times New Roman" w:hint="eastAsia"/>
        <w:iCs/>
        <w:sz w:val="20"/>
      </w:rPr>
      <w:t>10</w:t>
    </w:r>
    <w:r w:rsidRPr="00836F20">
      <w:rPr>
        <w:rFonts w:ascii="Times New Roman" w:hAnsi="Times New Roman" w:cs="Times New Roman"/>
        <w:iCs/>
        <w:sz w:val="20"/>
      </w:rPr>
      <w:t>(</w:t>
    </w:r>
    <w:r w:rsidRPr="00836F20">
      <w:rPr>
        <w:rFonts w:ascii="Times New Roman" w:hAnsi="Times New Roman" w:cs="Times New Roman" w:hint="eastAsia"/>
        <w:iCs/>
        <w:sz w:val="20"/>
      </w:rPr>
      <w:t>1</w:t>
    </w:r>
    <w:r w:rsidRPr="00836F20">
      <w:rPr>
        <w:rFonts w:ascii="Times New Roman" w:hAnsi="Times New Roman" w:cs="Times New Roman"/>
        <w:iCs/>
        <w:sz w:val="20"/>
      </w:rPr>
      <w:t xml:space="preserve">)  </w:t>
    </w:r>
    <w:r w:rsidRPr="00836F20">
      <w:rPr>
        <w:rFonts w:ascii="Times New Roman" w:hAnsi="Times New Roman" w:cs="Times New Roman" w:hint="eastAsia"/>
        <w:iCs/>
        <w:sz w:val="20"/>
      </w:rPr>
      <w:t xml:space="preserve">   </w:t>
    </w:r>
    <w:r w:rsidRPr="00836F20">
      <w:rPr>
        <w:rFonts w:ascii="Times New Roman" w:hAnsi="Times New Roman" w:cs="Times New Roman" w:hint="eastAsia"/>
        <w:iCs/>
        <w:sz w:val="20"/>
      </w:rPr>
      <w:tab/>
      <w:t xml:space="preserve">   </w:t>
    </w:r>
    <w:r w:rsidRPr="00836F20">
      <w:rPr>
        <w:rFonts w:ascii="Times New Roman" w:hAnsi="Times New Roman" w:cs="Times New Roman"/>
        <w:iCs/>
        <w:sz w:val="20"/>
      </w:rPr>
      <w:t xml:space="preserve"> </w:t>
    </w:r>
    <w:r w:rsidRPr="00836F20">
      <w:rPr>
        <w:rFonts w:ascii="Times New Roman" w:hAnsi="Times New Roman" w:cs="Times New Roman"/>
        <w:sz w:val="20"/>
      </w:rPr>
      <w:t xml:space="preserve">  </w:t>
    </w:r>
    <w:hyperlink r:id="rId1" w:history="1">
      <w:r w:rsidRPr="00836F20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  <w:r w:rsidRPr="00836F20">
      <w:rPr>
        <w:rFonts w:ascii="Times New Roman" w:hAnsi="Times New Roman" w:cs="Times New Roman" w:hint="eastAsia"/>
        <w:sz w:val="20"/>
      </w:rPr>
      <w:t xml:space="preserve">   </w:t>
    </w:r>
    <w:r w:rsidRPr="00836F20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836F20" w:rsidRPr="00836F20" w:rsidRDefault="00836F20" w:rsidP="00836F2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1C8"/>
    <w:multiLevelType w:val="multilevel"/>
    <w:tmpl w:val="97F8A052"/>
    <w:lvl w:ilvl="0">
      <w:start w:val="1"/>
      <w:numFmt w:val="upp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1B5B"/>
    <w:multiLevelType w:val="multilevel"/>
    <w:tmpl w:val="75688B22"/>
    <w:lvl w:ilvl="0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40"/>
        <w:szCs w:val="4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819A5"/>
    <w:multiLevelType w:val="multilevel"/>
    <w:tmpl w:val="0CA8D38E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BA66D06"/>
    <w:multiLevelType w:val="multilevel"/>
    <w:tmpl w:val="A6C0825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5F1"/>
    <w:rsid w:val="000111C8"/>
    <w:rsid w:val="000D54C9"/>
    <w:rsid w:val="00173C9C"/>
    <w:rsid w:val="00273465"/>
    <w:rsid w:val="00366417"/>
    <w:rsid w:val="0041722B"/>
    <w:rsid w:val="00435F66"/>
    <w:rsid w:val="00492BF5"/>
    <w:rsid w:val="00556568"/>
    <w:rsid w:val="00583ED1"/>
    <w:rsid w:val="00624FAC"/>
    <w:rsid w:val="006D52CD"/>
    <w:rsid w:val="007225F1"/>
    <w:rsid w:val="007462C2"/>
    <w:rsid w:val="007A6BD6"/>
    <w:rsid w:val="00836F20"/>
    <w:rsid w:val="00933E35"/>
    <w:rsid w:val="00A63B43"/>
    <w:rsid w:val="00B7121E"/>
    <w:rsid w:val="00C97C7D"/>
    <w:rsid w:val="00DD30FF"/>
    <w:rsid w:val="00DD52A1"/>
    <w:rsid w:val="00E12827"/>
    <w:rsid w:val="00EE0EB2"/>
    <w:rsid w:val="00FA72A8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07"/>
    <w:rPr>
      <w:rFonts w:cs="Arial"/>
    </w:rPr>
  </w:style>
  <w:style w:type="paragraph" w:styleId="Heading1">
    <w:name w:val="heading 1"/>
    <w:basedOn w:val="Normal"/>
    <w:link w:val="Heading1Char"/>
    <w:uiPriority w:val="9"/>
    <w:qFormat/>
    <w:rsid w:val="00FB3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0"/>
    <w:next w:val="normal0"/>
    <w:rsid w:val="00722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7225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225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22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25F1"/>
  </w:style>
  <w:style w:type="paragraph" w:styleId="Title">
    <w:name w:val="Title"/>
    <w:basedOn w:val="normal0"/>
    <w:next w:val="normal0"/>
    <w:rsid w:val="007225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B3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31E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3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31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3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63C8"/>
  </w:style>
  <w:style w:type="character" w:styleId="Emphasis">
    <w:name w:val="Emphasis"/>
    <w:basedOn w:val="DefaultParagraphFont"/>
    <w:uiPriority w:val="20"/>
    <w:qFormat/>
    <w:rsid w:val="004D63C8"/>
    <w:rPr>
      <w:i/>
      <w:iCs/>
    </w:rPr>
  </w:style>
  <w:style w:type="character" w:customStyle="1" w:styleId="titlehead">
    <w:name w:val="titlehead"/>
    <w:basedOn w:val="DefaultParagraphFont"/>
    <w:rsid w:val="00ED50AC"/>
  </w:style>
  <w:style w:type="paragraph" w:styleId="Subtitle">
    <w:name w:val="Subtitle"/>
    <w:basedOn w:val="Normal"/>
    <w:next w:val="Normal"/>
    <w:rsid w:val="007225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17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22B"/>
    <w:rPr>
      <w:rFonts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17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22B"/>
    <w:rPr>
      <w:rFonts w:cs="Arial"/>
    </w:rPr>
  </w:style>
  <w:style w:type="paragraph" w:styleId="NoSpacing">
    <w:name w:val="No Spacing"/>
    <w:basedOn w:val="Normal"/>
    <w:link w:val="NoSpacingChar"/>
    <w:qFormat/>
    <w:rsid w:val="00173C9C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173C9C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173C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hyperlink" Target="https://www.sciencedirect.com/topics/medicine-and-dentistry/alpha-beta-rat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hassan.shams85@gmail.com" TargetMode="External"/><Relationship Id="rId12" Type="http://schemas.openxmlformats.org/officeDocument/2006/relationships/hyperlink" Target="https://www.sciencedirect.com/topics/medicine-and-dentistry/linear-quadratic-mod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100120.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2911</Words>
  <Characters>16598</Characters>
  <Application>Microsoft Office Word</Application>
  <DocSecurity>0</DocSecurity>
  <Lines>138</Lines>
  <Paragraphs>38</Paragraphs>
  <ScaleCrop>false</ScaleCrop>
  <Company>Sky123.Org</Company>
  <LinksUpToDate>false</LinksUpToDate>
  <CharactersWithSpaces>19471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2019-12-26T09:46:00Z</cp:lastPrinted>
  <dcterms:created xsi:type="dcterms:W3CDTF">2019-12-27T15:16:00Z</dcterms:created>
  <dcterms:modified xsi:type="dcterms:W3CDTF">2019-12-28T02:45:00Z</dcterms:modified>
</cp:coreProperties>
</file>