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A3" w:rsidRPr="00904033" w:rsidRDefault="00FD5EA3" w:rsidP="00FD5EA3">
      <w:pPr>
        <w:autoSpaceDE w:val="0"/>
        <w:autoSpaceDN w:val="0"/>
        <w:bidi w:val="0"/>
        <w:adjustRightInd w:val="0"/>
        <w:snapToGrid w:val="0"/>
        <w:jc w:val="center"/>
        <w:rPr>
          <w:b/>
          <w:bCs/>
          <w:sz w:val="20"/>
          <w:szCs w:val="20"/>
          <w:lang w:eastAsia="zh-CN"/>
        </w:rPr>
      </w:pPr>
    </w:p>
    <w:p w:rsidR="00330828" w:rsidRPr="00904033" w:rsidRDefault="00FA2415" w:rsidP="00FD5EA3">
      <w:pPr>
        <w:autoSpaceDE w:val="0"/>
        <w:autoSpaceDN w:val="0"/>
        <w:bidi w:val="0"/>
        <w:adjustRightInd w:val="0"/>
        <w:snapToGrid w:val="0"/>
        <w:jc w:val="center"/>
        <w:rPr>
          <w:b/>
          <w:bCs/>
          <w:sz w:val="20"/>
          <w:szCs w:val="20"/>
        </w:rPr>
      </w:pPr>
      <w:r w:rsidRPr="00904033">
        <w:rPr>
          <w:b/>
          <w:bCs/>
          <w:sz w:val="20"/>
          <w:szCs w:val="20"/>
        </w:rPr>
        <w:t>Evaluation of the Predi</w:t>
      </w:r>
      <w:r w:rsidR="00697EB2" w:rsidRPr="00904033">
        <w:rPr>
          <w:b/>
          <w:bCs/>
          <w:sz w:val="20"/>
          <w:szCs w:val="20"/>
        </w:rPr>
        <w:t>ctive and Prognostic Role of BCL</w:t>
      </w:r>
      <w:r w:rsidRPr="00904033">
        <w:rPr>
          <w:b/>
          <w:bCs/>
          <w:sz w:val="20"/>
          <w:szCs w:val="20"/>
        </w:rPr>
        <w:t>2 in Non-Metastatic Locally Advanced Triple-Negative Breast Cancer Patients: A Clinicopathologic and Immunohistochemical Study</w:t>
      </w:r>
    </w:p>
    <w:p w:rsidR="00330828" w:rsidRPr="00904033" w:rsidRDefault="00330828" w:rsidP="00FD5EA3">
      <w:pPr>
        <w:autoSpaceDE w:val="0"/>
        <w:autoSpaceDN w:val="0"/>
        <w:bidi w:val="0"/>
        <w:adjustRightInd w:val="0"/>
        <w:snapToGrid w:val="0"/>
        <w:jc w:val="center"/>
        <w:rPr>
          <w:b/>
          <w:bCs/>
          <w:sz w:val="20"/>
          <w:szCs w:val="20"/>
        </w:rPr>
      </w:pPr>
    </w:p>
    <w:p w:rsidR="00330828" w:rsidRPr="00904033" w:rsidRDefault="00F862FE" w:rsidP="00FD5EA3">
      <w:pPr>
        <w:autoSpaceDE w:val="0"/>
        <w:autoSpaceDN w:val="0"/>
        <w:bidi w:val="0"/>
        <w:adjustRightInd w:val="0"/>
        <w:snapToGrid w:val="0"/>
        <w:jc w:val="center"/>
        <w:rPr>
          <w:sz w:val="20"/>
          <w:szCs w:val="20"/>
          <w:vertAlign w:val="superscript"/>
          <w:lang w:eastAsia="zh-CN"/>
        </w:rPr>
      </w:pPr>
      <w:r w:rsidRPr="00904033">
        <w:rPr>
          <w:sz w:val="20"/>
          <w:szCs w:val="20"/>
        </w:rPr>
        <w:t>Asmaa E</w:t>
      </w:r>
      <w:r w:rsidR="008B3DD4" w:rsidRPr="00904033">
        <w:rPr>
          <w:sz w:val="20"/>
          <w:szCs w:val="20"/>
          <w:vertAlign w:val="superscript"/>
        </w:rPr>
        <w:t>1</w:t>
      </w:r>
      <w:r w:rsidRPr="00904033">
        <w:rPr>
          <w:sz w:val="20"/>
          <w:szCs w:val="20"/>
        </w:rPr>
        <w:t>,</w:t>
      </w:r>
      <w:r w:rsidR="00A73471" w:rsidRPr="00904033">
        <w:rPr>
          <w:sz w:val="20"/>
          <w:szCs w:val="20"/>
        </w:rPr>
        <w:t xml:space="preserve"> Hanan S</w:t>
      </w:r>
      <w:r w:rsidR="008B3DD4" w:rsidRPr="00904033">
        <w:rPr>
          <w:sz w:val="20"/>
          <w:szCs w:val="20"/>
          <w:vertAlign w:val="superscript"/>
        </w:rPr>
        <w:t>1</w:t>
      </w:r>
      <w:r w:rsidR="00A61DF7" w:rsidRPr="00904033">
        <w:rPr>
          <w:sz w:val="20"/>
          <w:szCs w:val="20"/>
        </w:rPr>
        <w:t>, Dareen</w:t>
      </w:r>
      <w:r w:rsidRPr="00904033">
        <w:rPr>
          <w:sz w:val="20"/>
          <w:szCs w:val="20"/>
        </w:rPr>
        <w:t xml:space="preserve"> </w:t>
      </w:r>
      <w:r w:rsidR="008B3DD4" w:rsidRPr="00904033">
        <w:rPr>
          <w:sz w:val="20"/>
          <w:szCs w:val="20"/>
        </w:rPr>
        <w:t>M</w:t>
      </w:r>
      <w:r w:rsidR="008B3DD4" w:rsidRPr="00904033">
        <w:rPr>
          <w:sz w:val="20"/>
          <w:szCs w:val="20"/>
          <w:vertAlign w:val="superscript"/>
        </w:rPr>
        <w:t>2</w:t>
      </w:r>
    </w:p>
    <w:p w:rsidR="00330828" w:rsidRPr="00904033" w:rsidRDefault="00330828" w:rsidP="00FD5EA3">
      <w:pPr>
        <w:autoSpaceDE w:val="0"/>
        <w:autoSpaceDN w:val="0"/>
        <w:bidi w:val="0"/>
        <w:adjustRightInd w:val="0"/>
        <w:snapToGrid w:val="0"/>
        <w:jc w:val="center"/>
        <w:rPr>
          <w:sz w:val="20"/>
          <w:szCs w:val="20"/>
          <w:vertAlign w:val="superscript"/>
          <w:lang w:eastAsia="zh-CN"/>
        </w:rPr>
      </w:pPr>
    </w:p>
    <w:p w:rsidR="008B3DD4" w:rsidRPr="00904033" w:rsidRDefault="00F862FE" w:rsidP="00FD5EA3">
      <w:pPr>
        <w:autoSpaceDE w:val="0"/>
        <w:autoSpaceDN w:val="0"/>
        <w:bidi w:val="0"/>
        <w:adjustRightInd w:val="0"/>
        <w:snapToGrid w:val="0"/>
        <w:jc w:val="center"/>
        <w:rPr>
          <w:sz w:val="20"/>
          <w:szCs w:val="20"/>
        </w:rPr>
      </w:pPr>
      <w:r w:rsidRPr="00904033">
        <w:rPr>
          <w:rFonts w:eastAsia="Times New Roman+FPEF"/>
          <w:sz w:val="20"/>
          <w:szCs w:val="20"/>
          <w:vertAlign w:val="superscript"/>
        </w:rPr>
        <w:t>1</w:t>
      </w:r>
      <w:r w:rsidR="00C76334" w:rsidRPr="00904033">
        <w:rPr>
          <w:sz w:val="20"/>
          <w:szCs w:val="20"/>
        </w:rPr>
        <w:t xml:space="preserve"> Department of O</w:t>
      </w:r>
      <w:r w:rsidRPr="00904033">
        <w:rPr>
          <w:sz w:val="20"/>
          <w:szCs w:val="20"/>
        </w:rPr>
        <w:t>ncology,</w:t>
      </w:r>
      <w:r w:rsidRPr="00904033">
        <w:rPr>
          <w:rFonts w:eastAsia="Times New Roman+FPEF"/>
          <w:sz w:val="20"/>
          <w:szCs w:val="20"/>
        </w:rPr>
        <w:t xml:space="preserve"> </w:t>
      </w:r>
      <w:r w:rsidR="008B3DD4" w:rsidRPr="00904033">
        <w:rPr>
          <w:sz w:val="20"/>
          <w:szCs w:val="20"/>
        </w:rPr>
        <w:t>Faculty of Medicine, Tanta University, Egypt</w:t>
      </w:r>
    </w:p>
    <w:p w:rsidR="00330828" w:rsidRPr="00904033" w:rsidRDefault="00F862FE" w:rsidP="00FD5EA3">
      <w:pPr>
        <w:autoSpaceDE w:val="0"/>
        <w:autoSpaceDN w:val="0"/>
        <w:bidi w:val="0"/>
        <w:adjustRightInd w:val="0"/>
        <w:snapToGrid w:val="0"/>
        <w:jc w:val="center"/>
        <w:rPr>
          <w:sz w:val="20"/>
          <w:szCs w:val="20"/>
        </w:rPr>
      </w:pPr>
      <w:r w:rsidRPr="00904033">
        <w:rPr>
          <w:rFonts w:eastAsia="Times New Roman+FPEF"/>
          <w:sz w:val="20"/>
          <w:szCs w:val="20"/>
          <w:vertAlign w:val="superscript"/>
        </w:rPr>
        <w:t>2</w:t>
      </w:r>
      <w:r w:rsidRPr="00904033">
        <w:rPr>
          <w:sz w:val="20"/>
          <w:szCs w:val="20"/>
        </w:rPr>
        <w:t xml:space="preserve"> Department </w:t>
      </w:r>
      <w:r w:rsidR="00A94988" w:rsidRPr="00904033">
        <w:rPr>
          <w:sz w:val="20"/>
          <w:szCs w:val="20"/>
        </w:rPr>
        <w:t>of Pathology</w:t>
      </w:r>
      <w:r w:rsidR="00C76334" w:rsidRPr="00904033">
        <w:rPr>
          <w:sz w:val="20"/>
          <w:szCs w:val="20"/>
        </w:rPr>
        <w:t>,</w:t>
      </w:r>
      <w:r w:rsidR="008B3DD4" w:rsidRPr="00904033">
        <w:rPr>
          <w:sz w:val="20"/>
          <w:szCs w:val="20"/>
        </w:rPr>
        <w:t xml:space="preserve"> Faculty of Medicine, Tanta</w:t>
      </w:r>
      <w:r w:rsidR="00C76334" w:rsidRPr="00904033">
        <w:rPr>
          <w:sz w:val="20"/>
          <w:szCs w:val="20"/>
        </w:rPr>
        <w:t xml:space="preserve"> </w:t>
      </w:r>
      <w:r w:rsidR="00BE1297" w:rsidRPr="00904033">
        <w:rPr>
          <w:sz w:val="20"/>
          <w:szCs w:val="20"/>
        </w:rPr>
        <w:t>University,</w:t>
      </w:r>
      <w:r w:rsidRPr="00904033">
        <w:rPr>
          <w:sz w:val="20"/>
          <w:szCs w:val="20"/>
        </w:rPr>
        <w:t xml:space="preserve"> Egypt</w:t>
      </w:r>
    </w:p>
    <w:p w:rsidR="00330828" w:rsidRPr="00904033" w:rsidRDefault="00330828" w:rsidP="00FD5EA3">
      <w:pPr>
        <w:autoSpaceDE w:val="0"/>
        <w:autoSpaceDN w:val="0"/>
        <w:bidi w:val="0"/>
        <w:adjustRightInd w:val="0"/>
        <w:snapToGrid w:val="0"/>
        <w:jc w:val="center"/>
        <w:rPr>
          <w:sz w:val="20"/>
          <w:szCs w:val="20"/>
        </w:rPr>
      </w:pPr>
    </w:p>
    <w:p w:rsidR="008B3DD4" w:rsidRPr="00904033" w:rsidRDefault="00FA2415" w:rsidP="00FD5EA3">
      <w:pPr>
        <w:autoSpaceDE w:val="0"/>
        <w:autoSpaceDN w:val="0"/>
        <w:bidi w:val="0"/>
        <w:adjustRightInd w:val="0"/>
        <w:snapToGrid w:val="0"/>
        <w:jc w:val="both"/>
        <w:rPr>
          <w:b/>
          <w:bCs/>
          <w:sz w:val="20"/>
          <w:szCs w:val="20"/>
        </w:rPr>
      </w:pPr>
      <w:r w:rsidRPr="00904033">
        <w:rPr>
          <w:b/>
          <w:bCs/>
          <w:sz w:val="20"/>
          <w:szCs w:val="20"/>
        </w:rPr>
        <w:t>Abstract:</w:t>
      </w:r>
      <w:r w:rsidR="008B3DD4" w:rsidRPr="00904033">
        <w:rPr>
          <w:b/>
          <w:bCs/>
          <w:sz w:val="20"/>
          <w:szCs w:val="20"/>
        </w:rPr>
        <w:t xml:space="preserve"> </w:t>
      </w:r>
      <w:r w:rsidRPr="00904033">
        <w:rPr>
          <w:b/>
          <w:bCs/>
          <w:sz w:val="20"/>
          <w:szCs w:val="20"/>
        </w:rPr>
        <w:t>Background</w:t>
      </w:r>
      <w:r w:rsidRPr="00904033">
        <w:rPr>
          <w:color w:val="000000"/>
          <w:sz w:val="20"/>
          <w:szCs w:val="20"/>
        </w:rPr>
        <w:t>:</w:t>
      </w:r>
      <w:r w:rsidR="00AE7B45" w:rsidRPr="00904033">
        <w:rPr>
          <w:sz w:val="20"/>
          <w:szCs w:val="20"/>
        </w:rPr>
        <w:t xml:space="preserve"> Breast cancer is</w:t>
      </w:r>
      <w:r w:rsidRPr="00904033">
        <w:rPr>
          <w:sz w:val="20"/>
          <w:szCs w:val="20"/>
        </w:rPr>
        <w:t xml:space="preserve"> the second most common </w:t>
      </w:r>
      <w:r w:rsidR="009B4560" w:rsidRPr="00904033">
        <w:rPr>
          <w:sz w:val="20"/>
          <w:szCs w:val="20"/>
        </w:rPr>
        <w:t xml:space="preserve">leading </w:t>
      </w:r>
      <w:r w:rsidRPr="00904033">
        <w:rPr>
          <w:sz w:val="20"/>
          <w:szCs w:val="20"/>
        </w:rPr>
        <w:t>cause of cancer death in females. So</w:t>
      </w:r>
      <w:r w:rsidR="00D87CD1" w:rsidRPr="00904033">
        <w:rPr>
          <w:sz w:val="20"/>
          <w:szCs w:val="20"/>
        </w:rPr>
        <w:t>, continuous</w:t>
      </w:r>
      <w:r w:rsidR="009B4560" w:rsidRPr="00904033">
        <w:rPr>
          <w:sz w:val="20"/>
          <w:szCs w:val="20"/>
        </w:rPr>
        <w:t xml:space="preserve"> </w:t>
      </w:r>
      <w:r w:rsidR="00D87CD1" w:rsidRPr="00904033">
        <w:rPr>
          <w:sz w:val="20"/>
          <w:szCs w:val="20"/>
        </w:rPr>
        <w:t>researches for</w:t>
      </w:r>
      <w:r w:rsidRPr="00904033">
        <w:rPr>
          <w:sz w:val="20"/>
          <w:szCs w:val="20"/>
        </w:rPr>
        <w:t xml:space="preserve"> new prognostic markers which will aid in therapy</w:t>
      </w:r>
      <w:r w:rsidR="009B4560" w:rsidRPr="00904033">
        <w:rPr>
          <w:sz w:val="20"/>
          <w:szCs w:val="20"/>
        </w:rPr>
        <w:t xml:space="preserve"> </w:t>
      </w:r>
      <w:r w:rsidR="00AE7B45" w:rsidRPr="00904033">
        <w:rPr>
          <w:sz w:val="20"/>
          <w:szCs w:val="20"/>
        </w:rPr>
        <w:t>are</w:t>
      </w:r>
      <w:r w:rsidR="009B4560" w:rsidRPr="00904033">
        <w:rPr>
          <w:sz w:val="20"/>
          <w:szCs w:val="20"/>
        </w:rPr>
        <w:t xml:space="preserve"> </w:t>
      </w:r>
      <w:r w:rsidR="00D87CD1" w:rsidRPr="00904033">
        <w:rPr>
          <w:sz w:val="20"/>
          <w:szCs w:val="20"/>
        </w:rPr>
        <w:t xml:space="preserve">mandatory. </w:t>
      </w:r>
      <w:r w:rsidR="00AE7B45" w:rsidRPr="00904033">
        <w:rPr>
          <w:sz w:val="20"/>
          <w:szCs w:val="20"/>
        </w:rPr>
        <w:t>BC</w:t>
      </w:r>
      <w:r w:rsidRPr="00904033">
        <w:rPr>
          <w:sz w:val="20"/>
          <w:szCs w:val="20"/>
        </w:rPr>
        <w:t xml:space="preserve">l2 </w:t>
      </w:r>
      <w:r w:rsidR="00D87CD1" w:rsidRPr="00904033">
        <w:rPr>
          <w:color w:val="000000"/>
          <w:sz w:val="20"/>
          <w:szCs w:val="20"/>
        </w:rPr>
        <w:t>has been</w:t>
      </w:r>
      <w:r w:rsidRPr="00904033">
        <w:rPr>
          <w:color w:val="000000"/>
          <w:sz w:val="20"/>
          <w:szCs w:val="20"/>
        </w:rPr>
        <w:t xml:space="preserve"> associated with estrogen receptor positivity and </w:t>
      </w:r>
      <w:r w:rsidR="00D87CD1" w:rsidRPr="00904033">
        <w:rPr>
          <w:color w:val="000000"/>
          <w:sz w:val="20"/>
          <w:szCs w:val="20"/>
        </w:rPr>
        <w:t>good prognosis</w:t>
      </w:r>
      <w:r w:rsidRPr="00904033">
        <w:rPr>
          <w:color w:val="000000"/>
          <w:sz w:val="20"/>
          <w:szCs w:val="20"/>
        </w:rPr>
        <w:t xml:space="preserve"> in</w:t>
      </w:r>
      <w:r w:rsidR="00904033">
        <w:rPr>
          <w:rFonts w:hint="eastAsia"/>
          <w:color w:val="000000"/>
          <w:sz w:val="20"/>
          <w:szCs w:val="20"/>
          <w:lang w:eastAsia="zh-CN"/>
        </w:rPr>
        <w:t xml:space="preserve"> </w:t>
      </w:r>
      <w:r w:rsidRPr="00904033">
        <w:rPr>
          <w:rStyle w:val="highlight"/>
          <w:color w:val="000000"/>
          <w:sz w:val="20"/>
          <w:szCs w:val="20"/>
        </w:rPr>
        <w:t>breast</w:t>
      </w:r>
      <w:r w:rsidR="00904033">
        <w:rPr>
          <w:rStyle w:val="highlight"/>
          <w:rFonts w:hint="eastAsia"/>
          <w:color w:val="000000"/>
          <w:sz w:val="20"/>
          <w:szCs w:val="20"/>
          <w:lang w:eastAsia="zh-CN"/>
        </w:rPr>
        <w:t xml:space="preserve"> </w:t>
      </w:r>
      <w:r w:rsidRPr="00904033">
        <w:rPr>
          <w:rStyle w:val="highlight"/>
          <w:color w:val="000000"/>
          <w:sz w:val="20"/>
          <w:szCs w:val="20"/>
        </w:rPr>
        <w:t>cancer</w:t>
      </w:r>
      <w:r w:rsidRPr="00904033">
        <w:rPr>
          <w:color w:val="000000"/>
          <w:sz w:val="20"/>
          <w:szCs w:val="20"/>
        </w:rPr>
        <w:t>.</w:t>
      </w:r>
      <w:r w:rsidRPr="00904033">
        <w:rPr>
          <w:rStyle w:val="apple-converted-space"/>
          <w:color w:val="000000"/>
          <w:sz w:val="20"/>
          <w:szCs w:val="20"/>
        </w:rPr>
        <w:t> </w:t>
      </w:r>
      <w:r w:rsidR="009B4560" w:rsidRPr="00904033">
        <w:rPr>
          <w:sz w:val="20"/>
          <w:szCs w:val="20"/>
        </w:rPr>
        <w:t>However c</w:t>
      </w:r>
      <w:r w:rsidRPr="00904033">
        <w:rPr>
          <w:sz w:val="20"/>
          <w:szCs w:val="20"/>
        </w:rPr>
        <w:t>ontradictory</w:t>
      </w:r>
      <w:r w:rsidR="009B4560" w:rsidRPr="00904033">
        <w:rPr>
          <w:sz w:val="20"/>
          <w:szCs w:val="20"/>
        </w:rPr>
        <w:t xml:space="preserve"> data have been reported in several studies </w:t>
      </w:r>
      <w:r w:rsidRPr="00904033">
        <w:rPr>
          <w:sz w:val="20"/>
          <w:szCs w:val="20"/>
        </w:rPr>
        <w:t xml:space="preserve">concerning the role and the prognostic impact of this marker in triple-negative breast cancers (TNBCs). The aim of this work </w:t>
      </w:r>
      <w:r w:rsidR="00AE7B45" w:rsidRPr="00904033">
        <w:rPr>
          <w:sz w:val="20"/>
          <w:szCs w:val="20"/>
        </w:rPr>
        <w:t>is to study the expression of BC</w:t>
      </w:r>
      <w:r w:rsidRPr="00904033">
        <w:rPr>
          <w:sz w:val="20"/>
          <w:szCs w:val="20"/>
        </w:rPr>
        <w:t>l2 in locally advanced non-metastatic TNBCs and to correlate these data with clinicopathologic findings and patient disease free survival (DFS) to assess its prognostic signif</w:t>
      </w:r>
      <w:r w:rsidR="008149CF" w:rsidRPr="00904033">
        <w:rPr>
          <w:sz w:val="20"/>
          <w:szCs w:val="20"/>
        </w:rPr>
        <w:t>icance.</w:t>
      </w:r>
      <w:r w:rsidR="008B3DD4" w:rsidRPr="00904033">
        <w:rPr>
          <w:b/>
          <w:bCs/>
          <w:sz w:val="20"/>
          <w:szCs w:val="20"/>
        </w:rPr>
        <w:t xml:space="preserve"> </w:t>
      </w:r>
      <w:r w:rsidRPr="00904033">
        <w:rPr>
          <w:b/>
          <w:bCs/>
          <w:sz w:val="20"/>
          <w:szCs w:val="20"/>
        </w:rPr>
        <w:t>Patients</w:t>
      </w:r>
      <w:r w:rsidR="00330828" w:rsidRPr="00904033">
        <w:rPr>
          <w:b/>
          <w:bCs/>
          <w:sz w:val="20"/>
          <w:szCs w:val="20"/>
        </w:rPr>
        <w:t xml:space="preserve"> &amp; </w:t>
      </w:r>
      <w:r w:rsidRPr="00904033">
        <w:rPr>
          <w:b/>
          <w:bCs/>
          <w:sz w:val="20"/>
          <w:szCs w:val="20"/>
        </w:rPr>
        <w:t>Methods:</w:t>
      </w:r>
      <w:r w:rsidRPr="00904033">
        <w:rPr>
          <w:sz w:val="20"/>
          <w:szCs w:val="20"/>
        </w:rPr>
        <w:t xml:space="preserve"> Paraffin blocks obtained from 61 female patients with non-metastatic locally advanced invasive TNBCs were</w:t>
      </w:r>
      <w:r w:rsidR="00AE7B45" w:rsidRPr="00904033">
        <w:rPr>
          <w:sz w:val="20"/>
          <w:szCs w:val="20"/>
        </w:rPr>
        <w:t xml:space="preserve"> analyzed for BC</w:t>
      </w:r>
      <w:r w:rsidRPr="00904033">
        <w:rPr>
          <w:sz w:val="20"/>
          <w:szCs w:val="20"/>
        </w:rPr>
        <w:t>l2 immunohistochemical expression. All patients treated by neoadjuvant c</w:t>
      </w:r>
      <w:r w:rsidR="003D6647" w:rsidRPr="00904033">
        <w:rPr>
          <w:sz w:val="20"/>
          <w:szCs w:val="20"/>
        </w:rPr>
        <w:t>hemotherapy (NAC)</w:t>
      </w:r>
      <w:r w:rsidR="00731A43" w:rsidRPr="00904033">
        <w:rPr>
          <w:sz w:val="20"/>
          <w:szCs w:val="20"/>
        </w:rPr>
        <w:t>, with a sequential regimen containing anthracycline and taxanes -based regimen</w:t>
      </w:r>
      <w:r w:rsidR="003D6647" w:rsidRPr="00904033">
        <w:rPr>
          <w:sz w:val="20"/>
          <w:szCs w:val="20"/>
        </w:rPr>
        <w:t xml:space="preserve"> </w:t>
      </w:r>
      <w:r w:rsidRPr="00904033">
        <w:rPr>
          <w:sz w:val="20"/>
          <w:szCs w:val="20"/>
        </w:rPr>
        <w:t>at Clinical Oncology Department, Faculty of Medicine, Tanta University Hospital during the period between January 2009 and December 2014.</w:t>
      </w:r>
      <w:r w:rsidR="008B3DD4" w:rsidRPr="00904033">
        <w:rPr>
          <w:b/>
          <w:bCs/>
          <w:sz w:val="20"/>
          <w:szCs w:val="20"/>
        </w:rPr>
        <w:t xml:space="preserve"> </w:t>
      </w:r>
      <w:r w:rsidRPr="00904033">
        <w:rPr>
          <w:b/>
          <w:bCs/>
          <w:sz w:val="20"/>
          <w:szCs w:val="20"/>
        </w:rPr>
        <w:t>Results:</w:t>
      </w:r>
      <w:r w:rsidR="00330828" w:rsidRPr="00904033">
        <w:rPr>
          <w:b/>
          <w:bCs/>
          <w:sz w:val="20"/>
          <w:szCs w:val="20"/>
        </w:rPr>
        <w:t xml:space="preserve"> </w:t>
      </w:r>
      <w:r w:rsidR="006D62CF" w:rsidRPr="00904033">
        <w:rPr>
          <w:sz w:val="20"/>
          <w:szCs w:val="20"/>
        </w:rPr>
        <w:t xml:space="preserve">this study included 61 female patients with </w:t>
      </w:r>
      <w:r w:rsidR="00C238B9" w:rsidRPr="00904033">
        <w:rPr>
          <w:sz w:val="20"/>
          <w:szCs w:val="20"/>
        </w:rPr>
        <w:t>non metastatic</w:t>
      </w:r>
      <w:r w:rsidR="006D62CF" w:rsidRPr="00904033">
        <w:rPr>
          <w:sz w:val="20"/>
          <w:szCs w:val="20"/>
        </w:rPr>
        <w:t xml:space="preserve"> locally </w:t>
      </w:r>
      <w:r w:rsidR="006A5F15" w:rsidRPr="00904033">
        <w:rPr>
          <w:sz w:val="20"/>
          <w:szCs w:val="20"/>
        </w:rPr>
        <w:t>advanced TNBC</w:t>
      </w:r>
      <w:r w:rsidR="00C238B9" w:rsidRPr="00904033">
        <w:rPr>
          <w:sz w:val="20"/>
          <w:szCs w:val="20"/>
        </w:rPr>
        <w:t>.</w:t>
      </w:r>
      <w:r w:rsidR="00330828" w:rsidRPr="00904033">
        <w:rPr>
          <w:sz w:val="20"/>
          <w:szCs w:val="20"/>
        </w:rPr>
        <w:t xml:space="preserve"> </w:t>
      </w:r>
      <w:r w:rsidRPr="00904033">
        <w:rPr>
          <w:sz w:val="20"/>
          <w:szCs w:val="20"/>
        </w:rPr>
        <w:t>BCL2 was inversely correlated with response to neoadjuvant chemotherapy (P</w:t>
      </w:r>
      <w:r w:rsidR="00D04442" w:rsidRPr="00904033">
        <w:rPr>
          <w:sz w:val="20"/>
          <w:szCs w:val="20"/>
        </w:rPr>
        <w:t xml:space="preserve"> value</w:t>
      </w:r>
      <w:r w:rsidRPr="00904033">
        <w:rPr>
          <w:sz w:val="20"/>
          <w:szCs w:val="20"/>
        </w:rPr>
        <w:t xml:space="preserve"> = 0.005). Tumor grade showing a border line significant correlation with it, with a higher frequency of grade II</w:t>
      </w:r>
      <w:r w:rsidR="00D04442" w:rsidRPr="00904033">
        <w:rPr>
          <w:sz w:val="20"/>
          <w:szCs w:val="20"/>
        </w:rPr>
        <w:t>I cancers being BCL2 negative (P value</w:t>
      </w:r>
      <w:r w:rsidRPr="00904033">
        <w:rPr>
          <w:sz w:val="20"/>
          <w:szCs w:val="20"/>
        </w:rPr>
        <w:t>= 0.0598). There was no statistical significance between BC</w:t>
      </w:r>
      <w:r w:rsidR="00D04442" w:rsidRPr="00904033">
        <w:rPr>
          <w:sz w:val="20"/>
          <w:szCs w:val="20"/>
        </w:rPr>
        <w:t>L2 positivity and tumor size, (P value= 0.807), nodal status (P value= 0.948), age (P value</w:t>
      </w:r>
      <w:r w:rsidRPr="00904033">
        <w:rPr>
          <w:sz w:val="20"/>
          <w:szCs w:val="20"/>
        </w:rPr>
        <w:t>= 0.933), as wel</w:t>
      </w:r>
      <w:r w:rsidR="00D04442" w:rsidRPr="00904033">
        <w:rPr>
          <w:sz w:val="20"/>
          <w:szCs w:val="20"/>
        </w:rPr>
        <w:t>l as lympho-vascular invasion (P value</w:t>
      </w:r>
      <w:r w:rsidRPr="00904033">
        <w:rPr>
          <w:sz w:val="20"/>
          <w:szCs w:val="20"/>
        </w:rPr>
        <w:t>= 0.705). The 1 year, 2 year, and 3 year DFS for patients whose tumors are positive for BCL2 without residual disease after neoadjuvant chemotherapy was 92 %, 81% and 70% compared to 91%, 80% and 65% for the women with BCL2 negative tumors, respectively. (P</w:t>
      </w:r>
      <w:r w:rsidR="00D04442" w:rsidRPr="00904033">
        <w:rPr>
          <w:sz w:val="20"/>
          <w:szCs w:val="20"/>
        </w:rPr>
        <w:t xml:space="preserve"> value</w:t>
      </w:r>
      <w:r w:rsidRPr="00904033">
        <w:rPr>
          <w:sz w:val="20"/>
          <w:szCs w:val="20"/>
        </w:rPr>
        <w:t xml:space="preserve"> = 0.799). The 1 year, 2 year, and 3 year DFS for patients whose tumors are positive for BCL2 with residual disease after neoadjuvant chemotherapy was 95 %, 79% and 70% compared to 85%, 53% and 40% for the women with BCL</w:t>
      </w:r>
      <w:r w:rsidR="00D04442" w:rsidRPr="00904033">
        <w:rPr>
          <w:sz w:val="20"/>
          <w:szCs w:val="20"/>
        </w:rPr>
        <w:t>2 negative tumors, respectively</w:t>
      </w:r>
      <w:r w:rsidRPr="00904033">
        <w:rPr>
          <w:sz w:val="20"/>
          <w:szCs w:val="20"/>
        </w:rPr>
        <w:t xml:space="preserve"> (P </w:t>
      </w:r>
      <w:r w:rsidR="00D04442" w:rsidRPr="00904033">
        <w:rPr>
          <w:sz w:val="20"/>
          <w:szCs w:val="20"/>
        </w:rPr>
        <w:t>value</w:t>
      </w:r>
      <w:r w:rsidRPr="00904033">
        <w:rPr>
          <w:sz w:val="20"/>
          <w:szCs w:val="20"/>
        </w:rPr>
        <w:t>= 012).</w:t>
      </w:r>
      <w:r w:rsidRPr="00904033">
        <w:rPr>
          <w:b/>
          <w:bCs/>
          <w:sz w:val="20"/>
          <w:szCs w:val="20"/>
        </w:rPr>
        <w:t xml:space="preserve"> Conclusion:</w:t>
      </w:r>
      <w:r w:rsidRPr="00904033">
        <w:rPr>
          <w:sz w:val="20"/>
          <w:szCs w:val="20"/>
        </w:rPr>
        <w:t xml:space="preserve"> </w:t>
      </w:r>
      <w:r w:rsidR="004F7D95" w:rsidRPr="00904033">
        <w:rPr>
          <w:sz w:val="20"/>
          <w:szCs w:val="20"/>
        </w:rPr>
        <w:t xml:space="preserve">In TNBC </w:t>
      </w:r>
      <w:r w:rsidR="00620504" w:rsidRPr="00904033">
        <w:rPr>
          <w:sz w:val="20"/>
          <w:szCs w:val="20"/>
        </w:rPr>
        <w:t>patients,</w:t>
      </w:r>
      <w:r w:rsidR="004F7D95" w:rsidRPr="00904033">
        <w:rPr>
          <w:sz w:val="20"/>
          <w:szCs w:val="20"/>
        </w:rPr>
        <w:t xml:space="preserve"> a</w:t>
      </w:r>
      <w:r w:rsidR="00D87CD1" w:rsidRPr="00904033">
        <w:rPr>
          <w:sz w:val="20"/>
          <w:szCs w:val="20"/>
        </w:rPr>
        <w:t>dding BC</w:t>
      </w:r>
      <w:r w:rsidRPr="00904033">
        <w:rPr>
          <w:sz w:val="20"/>
          <w:szCs w:val="20"/>
        </w:rPr>
        <w:t>l2 to the panel of markers used in current clinical practice could provide prognosti</w:t>
      </w:r>
      <w:r w:rsidR="00D87CD1" w:rsidRPr="00904033">
        <w:rPr>
          <w:sz w:val="20"/>
          <w:szCs w:val="20"/>
        </w:rPr>
        <w:t>c and predictive information. BC</w:t>
      </w:r>
      <w:r w:rsidRPr="00904033">
        <w:rPr>
          <w:sz w:val="20"/>
          <w:szCs w:val="20"/>
        </w:rPr>
        <w:t xml:space="preserve">l2 appears to be potentially useful marker of good prognosis in patients with non-metastatic locally advanced TNBCs who had residual </w:t>
      </w:r>
      <w:r w:rsidR="00620504" w:rsidRPr="00904033">
        <w:rPr>
          <w:sz w:val="20"/>
          <w:szCs w:val="20"/>
        </w:rPr>
        <w:t>disease,</w:t>
      </w:r>
      <w:r w:rsidRPr="00904033">
        <w:rPr>
          <w:sz w:val="20"/>
          <w:szCs w:val="20"/>
        </w:rPr>
        <w:t xml:space="preserve"> with a sequential regimen containing anthracycline and taxanes -based </w:t>
      </w:r>
      <w:r w:rsidR="00620504" w:rsidRPr="00904033">
        <w:rPr>
          <w:sz w:val="20"/>
          <w:szCs w:val="20"/>
        </w:rPr>
        <w:t>regimen.</w:t>
      </w:r>
    </w:p>
    <w:p w:rsidR="00FD5EA3" w:rsidRPr="00904033" w:rsidRDefault="00FD5EA3" w:rsidP="00FD5EA3">
      <w:pPr>
        <w:autoSpaceDE w:val="0"/>
        <w:autoSpaceDN w:val="0"/>
        <w:bidi w:val="0"/>
        <w:adjustRightInd w:val="0"/>
        <w:snapToGrid w:val="0"/>
        <w:jc w:val="both"/>
        <w:rPr>
          <w:b/>
          <w:bCs/>
          <w:sz w:val="20"/>
          <w:szCs w:val="20"/>
        </w:rPr>
      </w:pPr>
      <w:r w:rsidRPr="00904033">
        <w:rPr>
          <w:b/>
          <w:sz w:val="20"/>
          <w:szCs w:val="20"/>
          <w:lang w:val="en-GB"/>
        </w:rPr>
        <w:t>[</w:t>
      </w:r>
      <w:r w:rsidRPr="00904033">
        <w:rPr>
          <w:sz w:val="20"/>
          <w:szCs w:val="20"/>
        </w:rPr>
        <w:t xml:space="preserve">Asmaa E, Hanan S, Dareen M. </w:t>
      </w:r>
      <w:r w:rsidRPr="00904033">
        <w:rPr>
          <w:b/>
          <w:bCs/>
          <w:sz w:val="20"/>
          <w:szCs w:val="20"/>
        </w:rPr>
        <w:t>Evaluation of the Predictive and Prognostic Role of BCL2 in Non-Metastatic Locally Advanced Triple-Negative Breast Cancer Patients: A Clinicopathologic and Immunohistochemical Study</w:t>
      </w:r>
      <w:r w:rsidRPr="00904033">
        <w:rPr>
          <w:rFonts w:eastAsia="Times New Roman"/>
          <w:b/>
          <w:bCs/>
          <w:sz w:val="20"/>
          <w:szCs w:val="20"/>
          <w:lang w:bidi="fa-IR"/>
        </w:rPr>
        <w:t>.</w:t>
      </w:r>
      <w:r w:rsidRPr="00904033">
        <w:rPr>
          <w:i/>
          <w:sz w:val="20"/>
          <w:szCs w:val="20"/>
        </w:rPr>
        <w:t xml:space="preserve"> Cancer Biology</w:t>
      </w:r>
      <w:r w:rsidRPr="00904033">
        <w:rPr>
          <w:sz w:val="20"/>
          <w:szCs w:val="20"/>
        </w:rPr>
        <w:t xml:space="preserve"> 2020;10(1):</w:t>
      </w:r>
      <w:r w:rsidR="00EF3B37" w:rsidRPr="00904033">
        <w:rPr>
          <w:noProof/>
          <w:color w:val="000000"/>
          <w:sz w:val="20"/>
          <w:szCs w:val="20"/>
        </w:rPr>
        <w:t>61-68</w:t>
      </w:r>
      <w:r w:rsidRPr="00904033">
        <w:rPr>
          <w:sz w:val="20"/>
          <w:szCs w:val="20"/>
        </w:rPr>
        <w:t xml:space="preserve">]. </w:t>
      </w:r>
      <w:r w:rsidRPr="00904033">
        <w:rPr>
          <w:rStyle w:val="msonormal0"/>
          <w:rFonts w:eastAsia="宋"/>
          <w:sz w:val="20"/>
          <w:szCs w:val="20"/>
        </w:rPr>
        <w:t>ISSN: 2150-1041 (print); ISSN: 2150-105X (online)</w:t>
      </w:r>
      <w:r w:rsidRPr="00904033">
        <w:rPr>
          <w:sz w:val="20"/>
          <w:szCs w:val="20"/>
        </w:rPr>
        <w:t xml:space="preserve">. </w:t>
      </w:r>
      <w:hyperlink r:id="rId8" w:history="1">
        <w:r w:rsidRPr="00904033">
          <w:rPr>
            <w:rStyle w:val="Hyperlink"/>
            <w:sz w:val="20"/>
            <w:szCs w:val="20"/>
          </w:rPr>
          <w:t>http://www.cancerbio.net</w:t>
        </w:r>
      </w:hyperlink>
      <w:r w:rsidRPr="00904033">
        <w:rPr>
          <w:sz w:val="20"/>
          <w:szCs w:val="20"/>
        </w:rPr>
        <w:t xml:space="preserve">. </w:t>
      </w:r>
      <w:r w:rsidRPr="00904033">
        <w:rPr>
          <w:sz w:val="20"/>
          <w:szCs w:val="20"/>
          <w:lang w:eastAsia="zh-CN"/>
        </w:rPr>
        <w:t>8</w:t>
      </w:r>
      <w:r w:rsidRPr="00904033">
        <w:rPr>
          <w:sz w:val="20"/>
          <w:szCs w:val="20"/>
        </w:rPr>
        <w:t xml:space="preserve">. </w:t>
      </w:r>
      <w:r w:rsidRPr="00904033">
        <w:rPr>
          <w:color w:val="000000"/>
          <w:sz w:val="20"/>
          <w:szCs w:val="20"/>
          <w:shd w:val="clear" w:color="auto" w:fill="FFFFFF"/>
        </w:rPr>
        <w:t>doi:</w:t>
      </w:r>
      <w:hyperlink r:id="rId9" w:history="1">
        <w:r w:rsidRPr="00904033">
          <w:rPr>
            <w:rStyle w:val="Hyperlink"/>
            <w:sz w:val="20"/>
            <w:szCs w:val="20"/>
            <w:shd w:val="clear" w:color="auto" w:fill="FFFFFF"/>
          </w:rPr>
          <w:t>10.7537/marscbj100120.0</w:t>
        </w:r>
        <w:r w:rsidRPr="00904033">
          <w:rPr>
            <w:rStyle w:val="Hyperlink"/>
            <w:sz w:val="20"/>
            <w:szCs w:val="20"/>
            <w:shd w:val="clear" w:color="auto" w:fill="FFFFFF"/>
            <w:lang w:eastAsia="zh-CN"/>
          </w:rPr>
          <w:t>8</w:t>
        </w:r>
      </w:hyperlink>
      <w:r w:rsidRPr="00904033">
        <w:rPr>
          <w:color w:val="000000"/>
          <w:sz w:val="20"/>
          <w:szCs w:val="20"/>
          <w:shd w:val="clear" w:color="auto" w:fill="FFFFFF"/>
        </w:rPr>
        <w:t>.</w:t>
      </w:r>
    </w:p>
    <w:p w:rsidR="001E491F" w:rsidRPr="00904033" w:rsidRDefault="001E491F" w:rsidP="00FD5EA3">
      <w:pPr>
        <w:autoSpaceDE w:val="0"/>
        <w:autoSpaceDN w:val="0"/>
        <w:bidi w:val="0"/>
        <w:adjustRightInd w:val="0"/>
        <w:snapToGrid w:val="0"/>
        <w:jc w:val="both"/>
        <w:rPr>
          <w:b/>
          <w:bCs/>
          <w:sz w:val="20"/>
          <w:szCs w:val="20"/>
        </w:rPr>
      </w:pPr>
    </w:p>
    <w:p w:rsidR="00E64119" w:rsidRPr="00904033" w:rsidRDefault="00FA2415" w:rsidP="00FD5EA3">
      <w:pPr>
        <w:autoSpaceDE w:val="0"/>
        <w:autoSpaceDN w:val="0"/>
        <w:bidi w:val="0"/>
        <w:adjustRightInd w:val="0"/>
        <w:snapToGrid w:val="0"/>
        <w:jc w:val="both"/>
        <w:rPr>
          <w:sz w:val="20"/>
          <w:szCs w:val="20"/>
        </w:rPr>
      </w:pPr>
      <w:r w:rsidRPr="00904033">
        <w:rPr>
          <w:b/>
          <w:bCs/>
          <w:sz w:val="20"/>
          <w:szCs w:val="20"/>
        </w:rPr>
        <w:t>Key words:</w:t>
      </w:r>
      <w:r w:rsidRPr="00904033">
        <w:rPr>
          <w:sz w:val="20"/>
          <w:szCs w:val="20"/>
        </w:rPr>
        <w:t xml:space="preserve"> </w:t>
      </w:r>
      <w:r w:rsidR="00D87CD1" w:rsidRPr="00904033">
        <w:rPr>
          <w:sz w:val="20"/>
          <w:szCs w:val="20"/>
        </w:rPr>
        <w:t>BC</w:t>
      </w:r>
      <w:r w:rsidRPr="00904033">
        <w:rPr>
          <w:sz w:val="20"/>
          <w:szCs w:val="20"/>
        </w:rPr>
        <w:t>l2, Triple-negative breast cancer</w:t>
      </w:r>
      <w:r w:rsidR="00A606A1" w:rsidRPr="00904033">
        <w:rPr>
          <w:sz w:val="20"/>
          <w:szCs w:val="20"/>
        </w:rPr>
        <w:t>, Clinicopathologic study,</w:t>
      </w:r>
      <w:r w:rsidRPr="00904033">
        <w:rPr>
          <w:sz w:val="20"/>
          <w:szCs w:val="20"/>
        </w:rPr>
        <w:t xml:space="preserve"> Immunohistochemical Study.</w:t>
      </w:r>
    </w:p>
    <w:p w:rsidR="00E64119" w:rsidRPr="00904033" w:rsidRDefault="00E64119" w:rsidP="00FD5EA3">
      <w:pPr>
        <w:autoSpaceDE w:val="0"/>
        <w:autoSpaceDN w:val="0"/>
        <w:bidi w:val="0"/>
        <w:adjustRightInd w:val="0"/>
        <w:snapToGrid w:val="0"/>
        <w:ind w:firstLine="425"/>
        <w:jc w:val="both"/>
        <w:rPr>
          <w:sz w:val="20"/>
          <w:szCs w:val="20"/>
        </w:rPr>
      </w:pPr>
    </w:p>
    <w:p w:rsidR="00FD5EA3" w:rsidRPr="00904033" w:rsidRDefault="00FD5EA3" w:rsidP="00FD5EA3">
      <w:pPr>
        <w:autoSpaceDE w:val="0"/>
        <w:autoSpaceDN w:val="0"/>
        <w:bidi w:val="0"/>
        <w:adjustRightInd w:val="0"/>
        <w:snapToGrid w:val="0"/>
        <w:jc w:val="both"/>
        <w:rPr>
          <w:rFonts w:eastAsia="Calibri"/>
          <w:b/>
          <w:bCs/>
          <w:sz w:val="20"/>
          <w:szCs w:val="20"/>
        </w:rPr>
        <w:sectPr w:rsidR="00FD5EA3" w:rsidRPr="00904033" w:rsidSect="00EF3B37">
          <w:headerReference w:type="default" r:id="rId10"/>
          <w:footerReference w:type="default" r:id="rId11"/>
          <w:type w:val="continuous"/>
          <w:pgSz w:w="12240" w:h="15840"/>
          <w:pgMar w:top="1440" w:right="1440" w:bottom="1440" w:left="1440" w:header="720" w:footer="720" w:gutter="0"/>
          <w:pgNumType w:start="61"/>
          <w:cols w:space="720"/>
          <w:bidi/>
          <w:rtlGutter/>
          <w:docGrid w:linePitch="360"/>
        </w:sectPr>
      </w:pPr>
    </w:p>
    <w:p w:rsidR="00330828" w:rsidRPr="00904033" w:rsidRDefault="008B3DD4" w:rsidP="00FD5EA3">
      <w:pPr>
        <w:autoSpaceDE w:val="0"/>
        <w:autoSpaceDN w:val="0"/>
        <w:bidi w:val="0"/>
        <w:adjustRightInd w:val="0"/>
        <w:snapToGrid w:val="0"/>
        <w:jc w:val="both"/>
        <w:rPr>
          <w:sz w:val="20"/>
          <w:szCs w:val="20"/>
        </w:rPr>
      </w:pPr>
      <w:r w:rsidRPr="00904033">
        <w:rPr>
          <w:rFonts w:eastAsia="Calibri"/>
          <w:b/>
          <w:bCs/>
          <w:sz w:val="20"/>
          <w:szCs w:val="20"/>
        </w:rPr>
        <w:lastRenderedPageBreak/>
        <w:t xml:space="preserve">1. </w:t>
      </w:r>
      <w:r w:rsidR="00FA2415" w:rsidRPr="00904033">
        <w:rPr>
          <w:rFonts w:eastAsia="Calibri"/>
          <w:b/>
          <w:bCs/>
          <w:sz w:val="20"/>
          <w:szCs w:val="20"/>
        </w:rPr>
        <w:t>Introduction:</w:t>
      </w:r>
    </w:p>
    <w:p w:rsidR="00D1156D" w:rsidRPr="00904033" w:rsidRDefault="00330828" w:rsidP="00FD5EA3">
      <w:pPr>
        <w:bidi w:val="0"/>
        <w:snapToGrid w:val="0"/>
        <w:ind w:firstLine="425"/>
        <w:jc w:val="both"/>
        <w:rPr>
          <w:sz w:val="20"/>
          <w:szCs w:val="20"/>
          <w:lang w:bidi="ar-EG"/>
        </w:rPr>
      </w:pPr>
      <w:r w:rsidRPr="00904033">
        <w:rPr>
          <w:sz w:val="20"/>
          <w:szCs w:val="20"/>
          <w:lang w:bidi="ar-EG"/>
        </w:rPr>
        <w:t>B</w:t>
      </w:r>
      <w:r w:rsidR="007C4358" w:rsidRPr="00904033">
        <w:rPr>
          <w:sz w:val="20"/>
          <w:szCs w:val="20"/>
          <w:lang w:bidi="ar-EG"/>
        </w:rPr>
        <w:t xml:space="preserve">reast cancer is </w:t>
      </w:r>
      <w:r w:rsidR="00E64119" w:rsidRPr="00904033">
        <w:rPr>
          <w:sz w:val="20"/>
          <w:szCs w:val="20"/>
          <w:lang w:bidi="ar-EG"/>
        </w:rPr>
        <w:t xml:space="preserve">considered as </w:t>
      </w:r>
      <w:r w:rsidR="004E0E6D" w:rsidRPr="00904033">
        <w:rPr>
          <w:sz w:val="20"/>
          <w:szCs w:val="20"/>
          <w:lang w:bidi="ar-EG"/>
        </w:rPr>
        <w:t>the most</w:t>
      </w:r>
      <w:r w:rsidR="007C4358" w:rsidRPr="00904033">
        <w:rPr>
          <w:sz w:val="20"/>
          <w:szCs w:val="20"/>
          <w:lang w:bidi="ar-EG"/>
        </w:rPr>
        <w:t xml:space="preserve"> </w:t>
      </w:r>
      <w:r w:rsidR="00E64119" w:rsidRPr="00904033">
        <w:rPr>
          <w:sz w:val="20"/>
          <w:szCs w:val="20"/>
          <w:lang w:bidi="ar-EG"/>
        </w:rPr>
        <w:t>common</w:t>
      </w:r>
      <w:r w:rsidR="007C4358" w:rsidRPr="00904033">
        <w:rPr>
          <w:sz w:val="20"/>
          <w:szCs w:val="20"/>
          <w:lang w:bidi="ar-EG"/>
        </w:rPr>
        <w:t xml:space="preserve"> cancer in women and</w:t>
      </w:r>
      <w:r w:rsidR="006360E7" w:rsidRPr="00904033">
        <w:rPr>
          <w:sz w:val="20"/>
          <w:szCs w:val="20"/>
          <w:lang w:bidi="ar-EG"/>
        </w:rPr>
        <w:t xml:space="preserve"> it</w:t>
      </w:r>
      <w:r w:rsidR="007C4358" w:rsidRPr="00904033">
        <w:rPr>
          <w:sz w:val="20"/>
          <w:szCs w:val="20"/>
          <w:lang w:bidi="ar-EG"/>
        </w:rPr>
        <w:t xml:space="preserve"> is the second leading cause of d</w:t>
      </w:r>
      <w:r w:rsidR="006360E7" w:rsidRPr="00904033">
        <w:rPr>
          <w:sz w:val="20"/>
          <w:szCs w:val="20"/>
          <w:lang w:bidi="ar-EG"/>
        </w:rPr>
        <w:t>eath</w:t>
      </w:r>
      <w:r w:rsidR="007C4358" w:rsidRPr="00904033">
        <w:rPr>
          <w:sz w:val="20"/>
          <w:szCs w:val="20"/>
          <w:lang w:bidi="ar-EG"/>
        </w:rPr>
        <w:t xml:space="preserve"> </w:t>
      </w:r>
      <w:r w:rsidR="007C4358" w:rsidRPr="00904033">
        <w:rPr>
          <w:rFonts w:eastAsia="Calibri"/>
          <w:color w:val="000000"/>
          <w:sz w:val="20"/>
          <w:szCs w:val="20"/>
        </w:rPr>
        <w:t>(1</w:t>
      </w:r>
      <w:r w:rsidR="00F36A07" w:rsidRPr="00904033">
        <w:rPr>
          <w:rFonts w:eastAsia="Calibri"/>
          <w:color w:val="000000"/>
          <w:sz w:val="20"/>
          <w:szCs w:val="20"/>
        </w:rPr>
        <w:t xml:space="preserve">). </w:t>
      </w:r>
      <w:r w:rsidR="007C4358" w:rsidRPr="00904033">
        <w:rPr>
          <w:sz w:val="20"/>
          <w:szCs w:val="20"/>
          <w:lang w:bidi="ar-EG"/>
        </w:rPr>
        <w:t>Breast</w:t>
      </w:r>
      <w:r w:rsidR="007C4358" w:rsidRPr="00904033">
        <w:rPr>
          <w:b/>
          <w:bCs/>
          <w:i/>
          <w:iCs/>
          <w:sz w:val="20"/>
          <w:szCs w:val="20"/>
        </w:rPr>
        <w:t xml:space="preserve"> </w:t>
      </w:r>
      <w:r w:rsidR="007C4358" w:rsidRPr="00904033">
        <w:rPr>
          <w:sz w:val="20"/>
          <w:szCs w:val="20"/>
          <w:lang w:bidi="ar-EG"/>
        </w:rPr>
        <w:t xml:space="preserve">cancers </w:t>
      </w:r>
      <w:r w:rsidR="00E64119" w:rsidRPr="00904033">
        <w:rPr>
          <w:sz w:val="20"/>
          <w:szCs w:val="20"/>
          <w:lang w:bidi="ar-EG"/>
        </w:rPr>
        <w:t xml:space="preserve">could </w:t>
      </w:r>
      <w:r w:rsidR="004E0E6D" w:rsidRPr="00904033">
        <w:rPr>
          <w:sz w:val="20"/>
          <w:szCs w:val="20"/>
          <w:lang w:bidi="ar-EG"/>
        </w:rPr>
        <w:t>be classified</w:t>
      </w:r>
      <w:r w:rsidR="00D1156D" w:rsidRPr="00904033">
        <w:rPr>
          <w:sz w:val="20"/>
          <w:szCs w:val="20"/>
          <w:lang w:bidi="ar-EG"/>
        </w:rPr>
        <w:t xml:space="preserve"> into seven molecular </w:t>
      </w:r>
      <w:r w:rsidR="007C4358" w:rsidRPr="00904033">
        <w:rPr>
          <w:sz w:val="20"/>
          <w:szCs w:val="20"/>
          <w:lang w:bidi="ar-EG"/>
        </w:rPr>
        <w:t>subtypes: luminal A, luminal B, HER2 overexpres</w:t>
      </w:r>
      <w:r w:rsidR="00D1156D" w:rsidRPr="00904033">
        <w:rPr>
          <w:sz w:val="20"/>
          <w:szCs w:val="20"/>
          <w:lang w:bidi="ar-EG"/>
        </w:rPr>
        <w:t>sing, basal-like (BL1 and BL2)</w:t>
      </w:r>
      <w:r w:rsidR="008B3DD4" w:rsidRPr="00904033">
        <w:rPr>
          <w:sz w:val="20"/>
          <w:szCs w:val="20"/>
          <w:lang w:bidi="ar-EG"/>
        </w:rPr>
        <w:t xml:space="preserve"> </w:t>
      </w:r>
      <w:r w:rsidR="007C4358" w:rsidRPr="00904033">
        <w:rPr>
          <w:sz w:val="20"/>
          <w:szCs w:val="20"/>
          <w:lang w:bidi="ar-EG"/>
        </w:rPr>
        <w:t>immunomodulatory (IM), mesenchymal (M), mesenchymal stem-like (MSL</w:t>
      </w:r>
      <w:r w:rsidR="004E0E6D" w:rsidRPr="00904033">
        <w:rPr>
          <w:sz w:val="20"/>
          <w:szCs w:val="20"/>
          <w:lang w:bidi="ar-EG"/>
        </w:rPr>
        <w:t>) and</w:t>
      </w:r>
      <w:r w:rsidR="007C4358" w:rsidRPr="00904033">
        <w:rPr>
          <w:sz w:val="20"/>
          <w:szCs w:val="20"/>
          <w:lang w:bidi="ar-EG"/>
        </w:rPr>
        <w:t xml:space="preserve"> normal breast-like </w:t>
      </w:r>
      <w:r w:rsidR="008B3DD4" w:rsidRPr="00904033">
        <w:rPr>
          <w:sz w:val="20"/>
          <w:szCs w:val="20"/>
          <w:lang w:bidi="ar-EG"/>
        </w:rPr>
        <w:t xml:space="preserve">tumors. </w:t>
      </w:r>
      <w:r w:rsidR="004E0E6D" w:rsidRPr="00904033">
        <w:rPr>
          <w:sz w:val="20"/>
          <w:szCs w:val="20"/>
          <w:lang w:bidi="ar-EG"/>
        </w:rPr>
        <w:t>Most of</w:t>
      </w:r>
      <w:r w:rsidR="007C4358" w:rsidRPr="00904033">
        <w:rPr>
          <w:sz w:val="20"/>
          <w:szCs w:val="20"/>
          <w:lang w:bidi="ar-EG"/>
        </w:rPr>
        <w:t xml:space="preserve"> the </w:t>
      </w:r>
      <w:r w:rsidR="00E64119" w:rsidRPr="00904033">
        <w:rPr>
          <w:sz w:val="20"/>
          <w:szCs w:val="20"/>
          <w:lang w:bidi="ar-EG"/>
        </w:rPr>
        <w:t>triple negative breast cancer fall into</w:t>
      </w:r>
      <w:r w:rsidR="007C4358" w:rsidRPr="00904033">
        <w:rPr>
          <w:sz w:val="20"/>
          <w:szCs w:val="20"/>
          <w:lang w:bidi="ar-EG"/>
        </w:rPr>
        <w:t xml:space="preserve"> basal-like </w:t>
      </w:r>
      <w:r w:rsidR="00E64119" w:rsidRPr="00904033">
        <w:rPr>
          <w:sz w:val="20"/>
          <w:szCs w:val="20"/>
          <w:lang w:bidi="ar-EG"/>
        </w:rPr>
        <w:t xml:space="preserve">subtype group </w:t>
      </w:r>
      <w:r w:rsidR="007C4358" w:rsidRPr="00904033">
        <w:rPr>
          <w:rFonts w:eastAsia="Calibri"/>
          <w:color w:val="000000"/>
          <w:sz w:val="20"/>
          <w:szCs w:val="20"/>
        </w:rPr>
        <w:t xml:space="preserve">(2) </w:t>
      </w:r>
      <w:r w:rsidR="007C4358" w:rsidRPr="00904033">
        <w:rPr>
          <w:sz w:val="20"/>
          <w:szCs w:val="20"/>
          <w:lang w:bidi="ar-EG"/>
        </w:rPr>
        <w:t xml:space="preserve">Triple Negative Breast Cancer (TNBC) </w:t>
      </w:r>
      <w:r w:rsidR="00E64119" w:rsidRPr="00904033">
        <w:rPr>
          <w:sz w:val="20"/>
          <w:szCs w:val="20"/>
          <w:lang w:bidi="ar-EG"/>
        </w:rPr>
        <w:t>could be defined as</w:t>
      </w:r>
      <w:r w:rsidRPr="00904033">
        <w:rPr>
          <w:sz w:val="20"/>
          <w:szCs w:val="20"/>
          <w:lang w:bidi="ar-EG"/>
        </w:rPr>
        <w:t xml:space="preserve"> </w:t>
      </w:r>
      <w:r w:rsidR="007C4358" w:rsidRPr="00904033">
        <w:rPr>
          <w:sz w:val="20"/>
          <w:szCs w:val="20"/>
          <w:lang w:bidi="ar-EG"/>
        </w:rPr>
        <w:t>a subtype</w:t>
      </w:r>
      <w:r w:rsidRPr="00904033">
        <w:rPr>
          <w:sz w:val="20"/>
          <w:szCs w:val="20"/>
          <w:lang w:bidi="ar-EG"/>
        </w:rPr>
        <w:t xml:space="preserve"> </w:t>
      </w:r>
      <w:r w:rsidR="007C4358" w:rsidRPr="00904033">
        <w:rPr>
          <w:sz w:val="20"/>
          <w:szCs w:val="20"/>
          <w:lang w:bidi="ar-EG"/>
        </w:rPr>
        <w:t>of</w:t>
      </w:r>
      <w:r w:rsidRPr="00904033">
        <w:rPr>
          <w:sz w:val="20"/>
          <w:szCs w:val="20"/>
          <w:lang w:bidi="ar-EG"/>
        </w:rPr>
        <w:t xml:space="preserve"> </w:t>
      </w:r>
      <w:r w:rsidR="007C4358" w:rsidRPr="00904033">
        <w:rPr>
          <w:sz w:val="20"/>
          <w:szCs w:val="20"/>
          <w:lang w:bidi="ar-EG"/>
        </w:rPr>
        <w:t>breast cancer that</w:t>
      </w:r>
      <w:r w:rsidR="004E0E6D" w:rsidRPr="00904033">
        <w:rPr>
          <w:sz w:val="20"/>
          <w:szCs w:val="20"/>
          <w:lang w:bidi="ar-EG"/>
        </w:rPr>
        <w:t xml:space="preserve"> </w:t>
      </w:r>
      <w:r w:rsidR="007C4358" w:rsidRPr="00904033">
        <w:rPr>
          <w:sz w:val="20"/>
          <w:szCs w:val="20"/>
          <w:lang w:bidi="ar-EG"/>
        </w:rPr>
        <w:t xml:space="preserve">lacks </w:t>
      </w:r>
      <w:r w:rsidR="00E64119" w:rsidRPr="00904033">
        <w:rPr>
          <w:sz w:val="20"/>
          <w:szCs w:val="20"/>
          <w:lang w:bidi="ar-EG"/>
        </w:rPr>
        <w:t>the</w:t>
      </w:r>
      <w:r w:rsidRPr="00904033">
        <w:rPr>
          <w:sz w:val="20"/>
          <w:szCs w:val="20"/>
          <w:lang w:bidi="ar-EG"/>
        </w:rPr>
        <w:t xml:space="preserve"> </w:t>
      </w:r>
      <w:r w:rsidR="007C4358" w:rsidRPr="00904033">
        <w:rPr>
          <w:sz w:val="20"/>
          <w:szCs w:val="20"/>
          <w:lang w:bidi="ar-EG"/>
        </w:rPr>
        <w:t xml:space="preserve">expression of estrogens receptor (ER), progesterone receptor (PR) and human epidermal growth factor receptor 2 (HER2) </w:t>
      </w:r>
      <w:r w:rsidR="007C4358" w:rsidRPr="00904033">
        <w:rPr>
          <w:rFonts w:eastAsia="Calibri"/>
          <w:color w:val="000000"/>
          <w:sz w:val="20"/>
          <w:szCs w:val="20"/>
        </w:rPr>
        <w:t>(3</w:t>
      </w:r>
      <w:r w:rsidR="007544C8" w:rsidRPr="00904033">
        <w:rPr>
          <w:rFonts w:eastAsia="Calibri"/>
          <w:color w:val="000000"/>
          <w:sz w:val="20"/>
          <w:szCs w:val="20"/>
        </w:rPr>
        <w:t>)</w:t>
      </w:r>
      <w:r w:rsidR="007544C8" w:rsidRPr="00904033">
        <w:rPr>
          <w:sz w:val="20"/>
          <w:szCs w:val="20"/>
          <w:lang w:bidi="ar-EG"/>
        </w:rPr>
        <w:t>.</w:t>
      </w:r>
    </w:p>
    <w:p w:rsidR="007C4358" w:rsidRPr="00904033" w:rsidRDefault="007C4358" w:rsidP="00FD5EA3">
      <w:pPr>
        <w:bidi w:val="0"/>
        <w:snapToGrid w:val="0"/>
        <w:ind w:firstLine="425"/>
        <w:jc w:val="both"/>
        <w:rPr>
          <w:sz w:val="20"/>
          <w:szCs w:val="20"/>
          <w:lang w:bidi="ar-EG"/>
        </w:rPr>
      </w:pPr>
      <w:r w:rsidRPr="00904033">
        <w:rPr>
          <w:rFonts w:eastAsia="Calibri"/>
          <w:color w:val="000000"/>
          <w:sz w:val="20"/>
          <w:szCs w:val="20"/>
        </w:rPr>
        <w:lastRenderedPageBreak/>
        <w:t>Triple Negative Breast Cancer (TNBC)</w:t>
      </w:r>
      <w:r w:rsidR="00E64119" w:rsidRPr="00904033">
        <w:rPr>
          <w:rFonts w:eastAsia="Calibri"/>
          <w:color w:val="000000"/>
          <w:sz w:val="20"/>
          <w:szCs w:val="20"/>
        </w:rPr>
        <w:t xml:space="preserve"> </w:t>
      </w:r>
      <w:r w:rsidR="006360E7" w:rsidRPr="00904033">
        <w:rPr>
          <w:rFonts w:eastAsia="Calibri"/>
          <w:color w:val="000000"/>
          <w:sz w:val="20"/>
          <w:szCs w:val="20"/>
        </w:rPr>
        <w:t>is very</w:t>
      </w:r>
      <w:r w:rsidRPr="00904033">
        <w:rPr>
          <w:rFonts w:eastAsia="Calibri"/>
          <w:color w:val="000000"/>
          <w:sz w:val="20"/>
          <w:szCs w:val="20"/>
        </w:rPr>
        <w:t xml:space="preserve"> </w:t>
      </w:r>
      <w:r w:rsidR="008B3DD4" w:rsidRPr="00904033">
        <w:rPr>
          <w:rFonts w:eastAsia="Calibri"/>
          <w:color w:val="000000"/>
          <w:sz w:val="20"/>
          <w:szCs w:val="20"/>
        </w:rPr>
        <w:t>aggressive,</w:t>
      </w:r>
      <w:r w:rsidR="00E64119" w:rsidRPr="00904033">
        <w:rPr>
          <w:rFonts w:eastAsia="Calibri"/>
          <w:color w:val="000000"/>
          <w:sz w:val="20"/>
          <w:szCs w:val="20"/>
        </w:rPr>
        <w:t xml:space="preserve"> </w:t>
      </w:r>
      <w:r w:rsidR="008B3DD4" w:rsidRPr="00904033">
        <w:rPr>
          <w:rFonts w:eastAsia="Calibri"/>
          <w:color w:val="000000"/>
          <w:sz w:val="20"/>
          <w:szCs w:val="20"/>
        </w:rPr>
        <w:t>it occurs</w:t>
      </w:r>
      <w:r w:rsidR="00E64119" w:rsidRPr="00904033">
        <w:rPr>
          <w:rFonts w:eastAsia="Calibri"/>
          <w:color w:val="000000"/>
          <w:sz w:val="20"/>
          <w:szCs w:val="20"/>
        </w:rPr>
        <w:t xml:space="preserve"> in </w:t>
      </w:r>
      <w:r w:rsidRPr="00904033">
        <w:rPr>
          <w:rFonts w:eastAsia="Calibri"/>
          <w:color w:val="000000"/>
          <w:sz w:val="20"/>
          <w:szCs w:val="20"/>
        </w:rPr>
        <w:t xml:space="preserve">a younger age, </w:t>
      </w:r>
      <w:r w:rsidR="006360E7" w:rsidRPr="00904033">
        <w:rPr>
          <w:rFonts w:eastAsia="Calibri"/>
          <w:color w:val="000000"/>
          <w:sz w:val="20"/>
          <w:szCs w:val="20"/>
        </w:rPr>
        <w:t>high</w:t>
      </w:r>
      <w:r w:rsidR="00E64119" w:rsidRPr="00904033">
        <w:rPr>
          <w:rFonts w:eastAsia="Calibri"/>
          <w:color w:val="000000"/>
          <w:sz w:val="20"/>
          <w:szCs w:val="20"/>
        </w:rPr>
        <w:t xml:space="preserve"> tumor siz</w:t>
      </w:r>
      <w:r w:rsidR="006360E7" w:rsidRPr="00904033">
        <w:rPr>
          <w:rFonts w:eastAsia="Calibri"/>
          <w:color w:val="000000"/>
          <w:sz w:val="20"/>
          <w:szCs w:val="20"/>
        </w:rPr>
        <w:t>e</w:t>
      </w:r>
      <w:r w:rsidR="008B3DD4" w:rsidRPr="00904033">
        <w:rPr>
          <w:rFonts w:eastAsia="Calibri"/>
          <w:color w:val="000000"/>
          <w:sz w:val="20"/>
          <w:szCs w:val="20"/>
        </w:rPr>
        <w:t>, higher</w:t>
      </w:r>
      <w:r w:rsidRPr="00904033">
        <w:rPr>
          <w:rFonts w:eastAsia="Calibri"/>
          <w:color w:val="000000"/>
          <w:sz w:val="20"/>
          <w:szCs w:val="20"/>
        </w:rPr>
        <w:t xml:space="preserve"> </w:t>
      </w:r>
      <w:r w:rsidR="0014234F" w:rsidRPr="00904033">
        <w:rPr>
          <w:rFonts w:eastAsia="Calibri"/>
          <w:color w:val="000000"/>
          <w:sz w:val="20"/>
          <w:szCs w:val="20"/>
        </w:rPr>
        <w:t>grade and a</w:t>
      </w:r>
      <w:r w:rsidRPr="00904033">
        <w:rPr>
          <w:rFonts w:eastAsia="Calibri"/>
          <w:color w:val="000000"/>
          <w:sz w:val="20"/>
          <w:szCs w:val="20"/>
        </w:rPr>
        <w:t xml:space="preserve"> higher rate of </w:t>
      </w:r>
      <w:r w:rsidR="00E64119" w:rsidRPr="00904033">
        <w:rPr>
          <w:rFonts w:eastAsia="Calibri"/>
          <w:color w:val="000000"/>
          <w:sz w:val="20"/>
          <w:szCs w:val="20"/>
        </w:rPr>
        <w:t xml:space="preserve">nodal </w:t>
      </w:r>
      <w:r w:rsidR="0014234F" w:rsidRPr="00904033">
        <w:rPr>
          <w:rFonts w:eastAsia="Calibri"/>
          <w:color w:val="000000"/>
          <w:sz w:val="20"/>
          <w:szCs w:val="20"/>
        </w:rPr>
        <w:t>metastasis (</w:t>
      </w:r>
      <w:r w:rsidRPr="00904033">
        <w:rPr>
          <w:rFonts w:eastAsia="Calibri"/>
          <w:color w:val="000000"/>
          <w:sz w:val="20"/>
          <w:szCs w:val="20"/>
        </w:rPr>
        <w:t>4</w:t>
      </w:r>
      <w:r w:rsidR="0014234F" w:rsidRPr="00904033">
        <w:rPr>
          <w:rFonts w:eastAsia="Calibri"/>
          <w:color w:val="000000"/>
          <w:sz w:val="20"/>
          <w:szCs w:val="20"/>
        </w:rPr>
        <w:t>),</w:t>
      </w:r>
      <w:r w:rsidR="00E64119" w:rsidRPr="00904033">
        <w:rPr>
          <w:rFonts w:eastAsia="Calibri"/>
          <w:color w:val="000000"/>
          <w:sz w:val="20"/>
          <w:szCs w:val="20"/>
        </w:rPr>
        <w:t xml:space="preserve"> besides it has </w:t>
      </w:r>
      <w:r w:rsidRPr="00904033">
        <w:rPr>
          <w:rFonts w:eastAsia="Calibri"/>
          <w:color w:val="000000"/>
          <w:sz w:val="20"/>
          <w:szCs w:val="20"/>
        </w:rPr>
        <w:t xml:space="preserve">an early peak of recurrence </w:t>
      </w:r>
      <w:r w:rsidR="00E64119" w:rsidRPr="00904033">
        <w:rPr>
          <w:rFonts w:eastAsia="Calibri"/>
          <w:color w:val="000000"/>
          <w:sz w:val="20"/>
          <w:szCs w:val="20"/>
        </w:rPr>
        <w:t xml:space="preserve">especially </w:t>
      </w:r>
      <w:r w:rsidRPr="00904033">
        <w:rPr>
          <w:rFonts w:eastAsia="Calibri"/>
          <w:color w:val="000000"/>
          <w:sz w:val="20"/>
          <w:szCs w:val="20"/>
        </w:rPr>
        <w:t xml:space="preserve">between the first and third year after diagnosis, </w:t>
      </w:r>
      <w:r w:rsidR="00E64119" w:rsidRPr="00904033">
        <w:rPr>
          <w:rFonts w:eastAsia="Calibri"/>
          <w:color w:val="000000"/>
          <w:sz w:val="20"/>
          <w:szCs w:val="20"/>
        </w:rPr>
        <w:t>its metastasis is very</w:t>
      </w:r>
      <w:r w:rsidRPr="00904033">
        <w:rPr>
          <w:rFonts w:eastAsia="Calibri"/>
          <w:color w:val="000000"/>
          <w:sz w:val="20"/>
          <w:szCs w:val="20"/>
        </w:rPr>
        <w:t xml:space="preserve"> </w:t>
      </w:r>
      <w:r w:rsidR="008B3DD4" w:rsidRPr="00904033">
        <w:rPr>
          <w:rFonts w:eastAsia="Calibri"/>
          <w:color w:val="000000"/>
          <w:sz w:val="20"/>
          <w:szCs w:val="20"/>
        </w:rPr>
        <w:t>aggressive and</w:t>
      </w:r>
      <w:r w:rsidR="0014234F" w:rsidRPr="00904033">
        <w:rPr>
          <w:rFonts w:eastAsia="Calibri"/>
          <w:color w:val="000000"/>
          <w:sz w:val="20"/>
          <w:szCs w:val="20"/>
        </w:rPr>
        <w:t xml:space="preserve"> likely</w:t>
      </w:r>
      <w:r w:rsidRPr="00904033">
        <w:rPr>
          <w:rFonts w:eastAsia="Calibri"/>
          <w:color w:val="000000"/>
          <w:sz w:val="20"/>
          <w:szCs w:val="20"/>
        </w:rPr>
        <w:t xml:space="preserve"> to occur in viscera particularly in the lung and brain (5).</w:t>
      </w:r>
      <w:r w:rsidR="0014234F" w:rsidRPr="00904033">
        <w:rPr>
          <w:rFonts w:eastAsia="Calibri"/>
          <w:color w:val="000000"/>
          <w:sz w:val="20"/>
          <w:szCs w:val="20"/>
          <w:lang w:bidi="ar-EG"/>
        </w:rPr>
        <w:t xml:space="preserve"> </w:t>
      </w:r>
      <w:r w:rsidR="00706340" w:rsidRPr="00904033">
        <w:rPr>
          <w:rFonts w:eastAsia="Calibri"/>
          <w:color w:val="000000"/>
          <w:sz w:val="20"/>
          <w:szCs w:val="20"/>
        </w:rPr>
        <w:t xml:space="preserve">Due to inability of these </w:t>
      </w:r>
      <w:r w:rsidR="0014234F" w:rsidRPr="00904033">
        <w:rPr>
          <w:rFonts w:eastAsia="Calibri"/>
          <w:color w:val="000000"/>
          <w:sz w:val="20"/>
          <w:szCs w:val="20"/>
        </w:rPr>
        <w:t>tumors</w:t>
      </w:r>
      <w:r w:rsidR="00706340" w:rsidRPr="00904033">
        <w:rPr>
          <w:rFonts w:eastAsia="Calibri"/>
          <w:color w:val="000000"/>
          <w:sz w:val="20"/>
          <w:szCs w:val="20"/>
        </w:rPr>
        <w:t xml:space="preserve"> to respond to targeted therapeutic </w:t>
      </w:r>
      <w:r w:rsidR="0014234F" w:rsidRPr="00904033">
        <w:rPr>
          <w:rFonts w:eastAsia="Calibri"/>
          <w:color w:val="000000"/>
          <w:sz w:val="20"/>
          <w:szCs w:val="20"/>
        </w:rPr>
        <w:t>agents, management</w:t>
      </w:r>
      <w:r w:rsidRPr="00904033">
        <w:rPr>
          <w:rFonts w:eastAsia="Calibri"/>
          <w:color w:val="000000"/>
          <w:sz w:val="20"/>
          <w:szCs w:val="20"/>
        </w:rPr>
        <w:t xml:space="preserve"> of </w:t>
      </w:r>
      <w:r w:rsidR="00706340" w:rsidRPr="00904033">
        <w:rPr>
          <w:rFonts w:eastAsia="Calibri"/>
          <w:color w:val="000000"/>
          <w:sz w:val="20"/>
          <w:szCs w:val="20"/>
        </w:rPr>
        <w:t xml:space="preserve">this </w:t>
      </w:r>
      <w:r w:rsidR="0014234F" w:rsidRPr="00904033">
        <w:rPr>
          <w:rFonts w:eastAsia="Calibri"/>
          <w:color w:val="000000"/>
          <w:sz w:val="20"/>
          <w:szCs w:val="20"/>
        </w:rPr>
        <w:t>tumor remains</w:t>
      </w:r>
      <w:r w:rsidR="00706340" w:rsidRPr="00904033">
        <w:rPr>
          <w:rFonts w:eastAsia="Calibri"/>
          <w:color w:val="000000"/>
          <w:sz w:val="20"/>
          <w:szCs w:val="20"/>
        </w:rPr>
        <w:t xml:space="preserve"> a great challenge</w:t>
      </w:r>
      <w:r w:rsidR="007B3F23" w:rsidRPr="00904033">
        <w:rPr>
          <w:rFonts w:eastAsia="Calibri"/>
          <w:color w:val="000000"/>
          <w:sz w:val="20"/>
          <w:szCs w:val="20"/>
        </w:rPr>
        <w:t xml:space="preserve"> (6-8)</w:t>
      </w:r>
      <w:r w:rsidRPr="00904033">
        <w:rPr>
          <w:rFonts w:eastAsia="Calibri"/>
          <w:color w:val="000000"/>
          <w:sz w:val="20"/>
          <w:szCs w:val="20"/>
        </w:rPr>
        <w:t>.</w:t>
      </w:r>
      <w:r w:rsidR="00706340" w:rsidRPr="00904033">
        <w:rPr>
          <w:rFonts w:eastAsia="Calibri"/>
          <w:color w:val="000000"/>
          <w:sz w:val="20"/>
          <w:szCs w:val="20"/>
        </w:rPr>
        <w:t xml:space="preserve"> </w:t>
      </w:r>
    </w:p>
    <w:p w:rsidR="00EF3B37" w:rsidRPr="00904033" w:rsidRDefault="00EF3B37" w:rsidP="00FD5EA3">
      <w:pPr>
        <w:autoSpaceDE w:val="0"/>
        <w:autoSpaceDN w:val="0"/>
        <w:bidi w:val="0"/>
        <w:adjustRightInd w:val="0"/>
        <w:snapToGrid w:val="0"/>
        <w:ind w:firstLine="425"/>
        <w:jc w:val="both"/>
        <w:rPr>
          <w:sz w:val="20"/>
          <w:szCs w:val="20"/>
          <w:lang w:bidi="ar-EG"/>
        </w:rPr>
        <w:sectPr w:rsidR="00EF3B37" w:rsidRPr="00904033" w:rsidSect="00FD5EA3">
          <w:type w:val="continuous"/>
          <w:pgSz w:w="12240" w:h="15840"/>
          <w:pgMar w:top="1440" w:right="1440" w:bottom="1440" w:left="1440" w:header="720" w:footer="720" w:gutter="0"/>
          <w:cols w:num="2" w:space="600"/>
          <w:rtlGutter/>
          <w:docGrid w:linePitch="360"/>
        </w:sectPr>
      </w:pPr>
    </w:p>
    <w:p w:rsidR="007C4358" w:rsidRPr="00904033" w:rsidRDefault="00BF79CD" w:rsidP="00EF3B37">
      <w:pPr>
        <w:autoSpaceDE w:val="0"/>
        <w:autoSpaceDN w:val="0"/>
        <w:bidi w:val="0"/>
        <w:adjustRightInd w:val="0"/>
        <w:snapToGrid w:val="0"/>
        <w:ind w:firstLine="425"/>
        <w:jc w:val="both"/>
        <w:rPr>
          <w:sz w:val="20"/>
          <w:szCs w:val="20"/>
          <w:lang w:bidi="ar-EG"/>
        </w:rPr>
      </w:pPr>
      <w:r w:rsidRPr="00904033">
        <w:rPr>
          <w:sz w:val="20"/>
          <w:szCs w:val="20"/>
          <w:lang w:bidi="ar-EG"/>
        </w:rPr>
        <w:lastRenderedPageBreak/>
        <w:t xml:space="preserve">Locally advanced breast </w:t>
      </w:r>
      <w:r w:rsidR="00E9386C" w:rsidRPr="00904033">
        <w:rPr>
          <w:sz w:val="20"/>
          <w:szCs w:val="20"/>
          <w:lang w:bidi="ar-EG"/>
        </w:rPr>
        <w:t>cancer is</w:t>
      </w:r>
      <w:r w:rsidR="00670223" w:rsidRPr="00904033">
        <w:rPr>
          <w:sz w:val="20"/>
          <w:szCs w:val="20"/>
          <w:lang w:bidi="ar-EG"/>
        </w:rPr>
        <w:t xml:space="preserve"> a group </w:t>
      </w:r>
      <w:r w:rsidR="00E9386C" w:rsidRPr="00904033">
        <w:rPr>
          <w:sz w:val="20"/>
          <w:szCs w:val="20"/>
          <w:lang w:bidi="ar-EG"/>
        </w:rPr>
        <w:t>of breast</w:t>
      </w:r>
      <w:r w:rsidRPr="00904033">
        <w:rPr>
          <w:sz w:val="20"/>
          <w:szCs w:val="20"/>
          <w:lang w:bidi="ar-EG"/>
        </w:rPr>
        <w:t xml:space="preserve"> </w:t>
      </w:r>
      <w:r w:rsidR="00670223" w:rsidRPr="00904033">
        <w:rPr>
          <w:sz w:val="20"/>
          <w:szCs w:val="20"/>
          <w:lang w:bidi="ar-EG"/>
        </w:rPr>
        <w:t xml:space="preserve">tumors </w:t>
      </w:r>
      <w:r w:rsidRPr="00904033">
        <w:rPr>
          <w:sz w:val="20"/>
          <w:szCs w:val="20"/>
          <w:lang w:bidi="ar-EG"/>
        </w:rPr>
        <w:t xml:space="preserve">that </w:t>
      </w:r>
      <w:r w:rsidR="008B3DD4" w:rsidRPr="00904033">
        <w:rPr>
          <w:sz w:val="20"/>
          <w:szCs w:val="20"/>
          <w:lang w:bidi="ar-EG"/>
        </w:rPr>
        <w:t>have different clinical</w:t>
      </w:r>
      <w:r w:rsidR="00670223" w:rsidRPr="00904033">
        <w:rPr>
          <w:sz w:val="20"/>
          <w:szCs w:val="20"/>
          <w:lang w:bidi="ar-EG"/>
        </w:rPr>
        <w:t xml:space="preserve"> presentations and </w:t>
      </w:r>
      <w:r w:rsidR="00706340" w:rsidRPr="00904033">
        <w:rPr>
          <w:sz w:val="20"/>
          <w:szCs w:val="20"/>
          <w:lang w:bidi="ar-EG"/>
        </w:rPr>
        <w:t xml:space="preserve">different </w:t>
      </w:r>
      <w:r w:rsidR="00670223" w:rsidRPr="00904033">
        <w:rPr>
          <w:sz w:val="20"/>
          <w:szCs w:val="20"/>
          <w:lang w:bidi="ar-EG"/>
        </w:rPr>
        <w:t xml:space="preserve">biological </w:t>
      </w:r>
      <w:r w:rsidR="008B3DD4" w:rsidRPr="00904033">
        <w:rPr>
          <w:sz w:val="20"/>
          <w:szCs w:val="20"/>
          <w:lang w:bidi="ar-EG"/>
        </w:rPr>
        <w:t>behavior,</w:t>
      </w:r>
      <w:r w:rsidR="00706340" w:rsidRPr="00904033">
        <w:rPr>
          <w:sz w:val="20"/>
          <w:szCs w:val="20"/>
          <w:lang w:bidi="ar-EG"/>
        </w:rPr>
        <w:t xml:space="preserve"> it </w:t>
      </w:r>
      <w:r w:rsidR="008B3DD4" w:rsidRPr="00904033">
        <w:rPr>
          <w:sz w:val="20"/>
          <w:szCs w:val="20"/>
          <w:lang w:bidi="ar-EG"/>
        </w:rPr>
        <w:t>is characterized</w:t>
      </w:r>
      <w:r w:rsidRPr="00904033">
        <w:rPr>
          <w:sz w:val="20"/>
          <w:szCs w:val="20"/>
          <w:lang w:bidi="ar-EG"/>
        </w:rPr>
        <w:t xml:space="preserve"> </w:t>
      </w:r>
      <w:r w:rsidR="008B3DD4" w:rsidRPr="00904033">
        <w:rPr>
          <w:sz w:val="20"/>
          <w:szCs w:val="20"/>
          <w:lang w:bidi="ar-EG"/>
        </w:rPr>
        <w:t>by large</w:t>
      </w:r>
      <w:r w:rsidR="00670223" w:rsidRPr="00904033">
        <w:rPr>
          <w:sz w:val="20"/>
          <w:szCs w:val="20"/>
          <w:lang w:bidi="ar-EG"/>
        </w:rPr>
        <w:t xml:space="preserve"> primary tumor</w:t>
      </w:r>
      <w:r w:rsidR="00706340" w:rsidRPr="00904033">
        <w:rPr>
          <w:sz w:val="20"/>
          <w:szCs w:val="20"/>
          <w:lang w:bidi="ar-EG"/>
        </w:rPr>
        <w:t xml:space="preserve"> size </w:t>
      </w:r>
      <w:r w:rsidR="008B3DD4" w:rsidRPr="00904033">
        <w:rPr>
          <w:sz w:val="20"/>
          <w:szCs w:val="20"/>
          <w:lang w:bidi="ar-EG"/>
        </w:rPr>
        <w:t>and or</w:t>
      </w:r>
      <w:r w:rsidR="00670223" w:rsidRPr="00904033">
        <w:rPr>
          <w:sz w:val="20"/>
          <w:szCs w:val="20"/>
          <w:lang w:bidi="ar-EG"/>
        </w:rPr>
        <w:t xml:space="preserve"> extensive </w:t>
      </w:r>
      <w:r w:rsidRPr="00904033">
        <w:rPr>
          <w:sz w:val="20"/>
          <w:szCs w:val="20"/>
          <w:lang w:bidi="ar-EG"/>
        </w:rPr>
        <w:t xml:space="preserve">regional </w:t>
      </w:r>
      <w:r w:rsidR="00670223" w:rsidRPr="00904033">
        <w:rPr>
          <w:sz w:val="20"/>
          <w:szCs w:val="20"/>
          <w:lang w:bidi="ar-EG"/>
        </w:rPr>
        <w:t xml:space="preserve">lymph node </w:t>
      </w:r>
      <w:r w:rsidR="00706340" w:rsidRPr="00904033">
        <w:rPr>
          <w:sz w:val="20"/>
          <w:szCs w:val="20"/>
          <w:lang w:bidi="ar-EG"/>
        </w:rPr>
        <w:t>metastasis with</w:t>
      </w:r>
      <w:r w:rsidR="00670223" w:rsidRPr="00904033">
        <w:rPr>
          <w:sz w:val="20"/>
          <w:szCs w:val="20"/>
          <w:lang w:bidi="ar-EG"/>
        </w:rPr>
        <w:t xml:space="preserve"> absence of any evidence of distant </w:t>
      </w:r>
      <w:r w:rsidR="008B3DD4" w:rsidRPr="00904033">
        <w:rPr>
          <w:sz w:val="20"/>
          <w:szCs w:val="20"/>
          <w:lang w:bidi="ar-EG"/>
        </w:rPr>
        <w:t>metastases (</w:t>
      </w:r>
      <w:r w:rsidR="007B3F23" w:rsidRPr="00904033">
        <w:rPr>
          <w:sz w:val="20"/>
          <w:szCs w:val="20"/>
          <w:lang w:bidi="ar-EG"/>
        </w:rPr>
        <w:t>9)</w:t>
      </w:r>
      <w:r w:rsidR="00670223" w:rsidRPr="00904033">
        <w:rPr>
          <w:sz w:val="20"/>
          <w:szCs w:val="20"/>
          <w:lang w:bidi="ar-EG"/>
        </w:rPr>
        <w:t>.</w:t>
      </w:r>
    </w:p>
    <w:p w:rsidR="00784B85" w:rsidRPr="00904033" w:rsidRDefault="007C4358" w:rsidP="00FD5EA3">
      <w:pPr>
        <w:autoSpaceDE w:val="0"/>
        <w:autoSpaceDN w:val="0"/>
        <w:bidi w:val="0"/>
        <w:adjustRightInd w:val="0"/>
        <w:snapToGrid w:val="0"/>
        <w:ind w:firstLine="425"/>
        <w:jc w:val="both"/>
        <w:rPr>
          <w:rFonts w:eastAsia="Calibri"/>
          <w:sz w:val="20"/>
          <w:szCs w:val="20"/>
        </w:rPr>
      </w:pPr>
      <w:r w:rsidRPr="00904033">
        <w:rPr>
          <w:rFonts w:eastAsia="Calibri"/>
          <w:color w:val="000000"/>
          <w:sz w:val="20"/>
          <w:szCs w:val="20"/>
        </w:rPr>
        <w:t xml:space="preserve">Recent studies </w:t>
      </w:r>
      <w:r w:rsidR="00706340" w:rsidRPr="00904033">
        <w:rPr>
          <w:rFonts w:eastAsia="Calibri"/>
          <w:color w:val="000000"/>
          <w:sz w:val="20"/>
          <w:szCs w:val="20"/>
        </w:rPr>
        <w:t>proved there are</w:t>
      </w:r>
      <w:r w:rsidR="00330828" w:rsidRPr="00904033">
        <w:rPr>
          <w:rFonts w:eastAsia="Calibri"/>
          <w:color w:val="000000"/>
          <w:sz w:val="20"/>
          <w:szCs w:val="20"/>
        </w:rPr>
        <w:t xml:space="preserve"> </w:t>
      </w:r>
      <w:r w:rsidR="00706340" w:rsidRPr="00904033">
        <w:rPr>
          <w:rFonts w:eastAsia="Calibri"/>
          <w:color w:val="000000"/>
          <w:sz w:val="20"/>
          <w:szCs w:val="20"/>
        </w:rPr>
        <w:t xml:space="preserve">promising prognostic and predictive marker in human cancers </w:t>
      </w:r>
      <w:r w:rsidR="00DC5E8F" w:rsidRPr="00904033">
        <w:rPr>
          <w:rFonts w:eastAsia="Calibri"/>
          <w:color w:val="000000"/>
          <w:sz w:val="20"/>
          <w:szCs w:val="20"/>
        </w:rPr>
        <w:t xml:space="preserve">breast cancer outcome </w:t>
      </w:r>
      <w:r w:rsidR="0014234F" w:rsidRPr="00904033">
        <w:rPr>
          <w:rFonts w:eastAsia="Calibri"/>
          <w:color w:val="000000"/>
          <w:sz w:val="20"/>
          <w:szCs w:val="20"/>
        </w:rPr>
        <w:t>for</w:t>
      </w:r>
      <w:r w:rsidR="003B025F" w:rsidRPr="00904033">
        <w:rPr>
          <w:rFonts w:eastAsia="Calibri"/>
          <w:color w:val="000000"/>
          <w:sz w:val="20"/>
          <w:szCs w:val="20"/>
        </w:rPr>
        <w:t xml:space="preserve"> BC</w:t>
      </w:r>
      <w:r w:rsidR="0014234F" w:rsidRPr="00904033">
        <w:rPr>
          <w:rFonts w:eastAsia="Calibri"/>
          <w:color w:val="000000"/>
          <w:sz w:val="20"/>
          <w:szCs w:val="20"/>
        </w:rPr>
        <w:t>l2</w:t>
      </w:r>
      <w:r w:rsidR="007B3F23" w:rsidRPr="00904033">
        <w:rPr>
          <w:rFonts w:eastAsia="Calibri"/>
          <w:color w:val="000000"/>
          <w:sz w:val="20"/>
          <w:szCs w:val="20"/>
        </w:rPr>
        <w:t xml:space="preserve"> protein and gene </w:t>
      </w:r>
      <w:r w:rsidR="00F36A07" w:rsidRPr="00904033">
        <w:rPr>
          <w:rFonts w:eastAsia="Calibri"/>
          <w:color w:val="000000"/>
          <w:sz w:val="20"/>
          <w:szCs w:val="20"/>
        </w:rPr>
        <w:t>expression (</w:t>
      </w:r>
      <w:r w:rsidR="007B3F23" w:rsidRPr="00904033">
        <w:rPr>
          <w:rFonts w:eastAsia="Calibri"/>
          <w:color w:val="000000"/>
          <w:sz w:val="20"/>
          <w:szCs w:val="20"/>
        </w:rPr>
        <w:t>10-14</w:t>
      </w:r>
      <w:r w:rsidR="00F36A07" w:rsidRPr="00904033">
        <w:rPr>
          <w:rFonts w:eastAsia="Calibri"/>
          <w:color w:val="000000"/>
          <w:sz w:val="20"/>
          <w:szCs w:val="20"/>
        </w:rPr>
        <w:t xml:space="preserve">). </w:t>
      </w:r>
      <w:r w:rsidR="007B3F23" w:rsidRPr="00904033">
        <w:rPr>
          <w:rFonts w:eastAsia="Calibri"/>
          <w:color w:val="000000"/>
          <w:sz w:val="20"/>
          <w:szCs w:val="20"/>
        </w:rPr>
        <w:t>I</w:t>
      </w:r>
      <w:r w:rsidR="00706340" w:rsidRPr="00904033">
        <w:rPr>
          <w:rFonts w:eastAsia="Calibri"/>
          <w:color w:val="000000"/>
          <w:sz w:val="20"/>
          <w:szCs w:val="20"/>
        </w:rPr>
        <w:t xml:space="preserve">t was found that </w:t>
      </w:r>
      <w:r w:rsidR="00DC5E8F" w:rsidRPr="00904033">
        <w:rPr>
          <w:rFonts w:eastAsia="Calibri"/>
          <w:color w:val="000000"/>
          <w:sz w:val="20"/>
          <w:szCs w:val="20"/>
        </w:rPr>
        <w:t xml:space="preserve">high Bcl2 </w:t>
      </w:r>
      <w:r w:rsidR="00320357" w:rsidRPr="00904033">
        <w:rPr>
          <w:rFonts w:eastAsia="Calibri"/>
          <w:color w:val="000000"/>
          <w:sz w:val="20"/>
          <w:szCs w:val="20"/>
        </w:rPr>
        <w:t>expression is</w:t>
      </w:r>
      <w:r w:rsidR="00706340" w:rsidRPr="00904033">
        <w:rPr>
          <w:rFonts w:eastAsia="Calibri"/>
          <w:color w:val="000000"/>
          <w:sz w:val="20"/>
          <w:szCs w:val="20"/>
        </w:rPr>
        <w:t xml:space="preserve"> associated with</w:t>
      </w:r>
      <w:r w:rsidR="00DC5E8F" w:rsidRPr="00904033">
        <w:rPr>
          <w:rFonts w:eastAsia="Calibri"/>
          <w:color w:val="000000"/>
          <w:sz w:val="20"/>
          <w:szCs w:val="20"/>
        </w:rPr>
        <w:t xml:space="preserve"> better breast cancer outcome.</w:t>
      </w:r>
      <w:r w:rsidR="00330828" w:rsidRPr="00904033">
        <w:rPr>
          <w:rFonts w:eastAsia="Calibri"/>
          <w:color w:val="000000"/>
          <w:sz w:val="20"/>
          <w:szCs w:val="20"/>
        </w:rPr>
        <w:t xml:space="preserve"> </w:t>
      </w:r>
      <w:r w:rsidR="00320357" w:rsidRPr="00904033">
        <w:rPr>
          <w:rFonts w:eastAsia="Calibri"/>
          <w:color w:val="000000"/>
          <w:sz w:val="20"/>
          <w:szCs w:val="20"/>
        </w:rPr>
        <w:t>There are f</w:t>
      </w:r>
      <w:r w:rsidRPr="00904033">
        <w:rPr>
          <w:rFonts w:eastAsia="Calibri"/>
          <w:color w:val="000000"/>
          <w:sz w:val="20"/>
          <w:szCs w:val="20"/>
        </w:rPr>
        <w:t xml:space="preserve">ew studies </w:t>
      </w:r>
      <w:r w:rsidR="00320357" w:rsidRPr="00904033">
        <w:rPr>
          <w:rFonts w:eastAsia="Calibri"/>
          <w:color w:val="000000"/>
          <w:sz w:val="20"/>
          <w:szCs w:val="20"/>
        </w:rPr>
        <w:t>that</w:t>
      </w:r>
      <w:r w:rsidRPr="00904033">
        <w:rPr>
          <w:rFonts w:eastAsia="Calibri"/>
          <w:color w:val="000000"/>
          <w:sz w:val="20"/>
          <w:szCs w:val="20"/>
        </w:rPr>
        <w:t xml:space="preserve"> </w:t>
      </w:r>
      <w:r w:rsidR="00706340" w:rsidRPr="00904033">
        <w:rPr>
          <w:rFonts w:eastAsia="Calibri"/>
          <w:color w:val="000000"/>
          <w:sz w:val="20"/>
          <w:szCs w:val="20"/>
        </w:rPr>
        <w:t xml:space="preserve">searched </w:t>
      </w:r>
      <w:r w:rsidR="00C05181" w:rsidRPr="00904033">
        <w:rPr>
          <w:rFonts w:eastAsia="Calibri"/>
          <w:color w:val="000000"/>
          <w:sz w:val="20"/>
          <w:szCs w:val="20"/>
        </w:rPr>
        <w:t>for the</w:t>
      </w:r>
      <w:r w:rsidRPr="00904033">
        <w:rPr>
          <w:rFonts w:eastAsia="Calibri"/>
          <w:color w:val="000000"/>
          <w:sz w:val="20"/>
          <w:szCs w:val="20"/>
        </w:rPr>
        <w:t xml:space="preserve"> </w:t>
      </w:r>
      <w:r w:rsidR="00320357" w:rsidRPr="00904033">
        <w:rPr>
          <w:rFonts w:eastAsia="Calibri"/>
          <w:color w:val="000000"/>
          <w:sz w:val="20"/>
          <w:szCs w:val="20"/>
        </w:rPr>
        <w:t>correlation</w:t>
      </w:r>
      <w:r w:rsidRPr="00904033">
        <w:rPr>
          <w:rFonts w:eastAsia="Calibri"/>
          <w:color w:val="000000"/>
          <w:sz w:val="20"/>
          <w:szCs w:val="20"/>
        </w:rPr>
        <w:t xml:space="preserve"> between </w:t>
      </w:r>
      <w:r w:rsidR="00706340" w:rsidRPr="00904033">
        <w:rPr>
          <w:rFonts w:eastAsia="Calibri"/>
          <w:color w:val="000000"/>
          <w:sz w:val="20"/>
          <w:szCs w:val="20"/>
        </w:rPr>
        <w:t xml:space="preserve">response to chemotherapeutic agents in breast cancer patients </w:t>
      </w:r>
      <w:r w:rsidR="0014234F" w:rsidRPr="00904033">
        <w:rPr>
          <w:rFonts w:eastAsia="Calibri"/>
          <w:color w:val="000000"/>
          <w:sz w:val="20"/>
          <w:szCs w:val="20"/>
        </w:rPr>
        <w:t>and Bcl2</w:t>
      </w:r>
      <w:r w:rsidR="007B3F23" w:rsidRPr="00904033">
        <w:rPr>
          <w:rFonts w:eastAsia="Calibri"/>
          <w:color w:val="000000"/>
          <w:sz w:val="20"/>
          <w:szCs w:val="20"/>
        </w:rPr>
        <w:t xml:space="preserve"> status (15)</w:t>
      </w:r>
      <w:r w:rsidRPr="00904033">
        <w:rPr>
          <w:rFonts w:eastAsia="Calibri"/>
          <w:color w:val="000000"/>
          <w:sz w:val="20"/>
          <w:szCs w:val="20"/>
        </w:rPr>
        <w:t>.</w:t>
      </w:r>
      <w:r w:rsidRPr="00904033">
        <w:rPr>
          <w:rFonts w:eastAsia="Calibri"/>
          <w:sz w:val="20"/>
          <w:szCs w:val="20"/>
        </w:rPr>
        <w:t xml:space="preserve"> </w:t>
      </w:r>
    </w:p>
    <w:p w:rsidR="007C4358" w:rsidRPr="00904033" w:rsidRDefault="007C4358" w:rsidP="00FD5EA3">
      <w:pPr>
        <w:autoSpaceDE w:val="0"/>
        <w:autoSpaceDN w:val="0"/>
        <w:bidi w:val="0"/>
        <w:adjustRightInd w:val="0"/>
        <w:snapToGrid w:val="0"/>
        <w:ind w:firstLine="425"/>
        <w:jc w:val="both"/>
        <w:rPr>
          <w:sz w:val="20"/>
          <w:szCs w:val="20"/>
          <w:lang w:eastAsia="zh-CN"/>
        </w:rPr>
      </w:pPr>
      <w:r w:rsidRPr="00904033">
        <w:rPr>
          <w:rFonts w:eastAsia="Calibri"/>
          <w:sz w:val="20"/>
          <w:szCs w:val="20"/>
        </w:rPr>
        <w:t xml:space="preserve">In this study, we </w:t>
      </w:r>
      <w:r w:rsidR="00784B85" w:rsidRPr="00904033">
        <w:rPr>
          <w:rFonts w:eastAsia="Calibri"/>
          <w:sz w:val="20"/>
          <w:szCs w:val="20"/>
        </w:rPr>
        <w:t>investigate the</w:t>
      </w:r>
      <w:r w:rsidRPr="00904033">
        <w:rPr>
          <w:rFonts w:eastAsia="Calibri"/>
          <w:sz w:val="20"/>
          <w:szCs w:val="20"/>
        </w:rPr>
        <w:t xml:space="preserve"> </w:t>
      </w:r>
      <w:r w:rsidR="00784B85" w:rsidRPr="00904033">
        <w:rPr>
          <w:rFonts w:eastAsia="Calibri"/>
          <w:sz w:val="20"/>
          <w:szCs w:val="20"/>
        </w:rPr>
        <w:t>expression of</w:t>
      </w:r>
      <w:r w:rsidR="00D1156D" w:rsidRPr="00904033">
        <w:rPr>
          <w:rFonts w:eastAsia="Calibri"/>
          <w:sz w:val="20"/>
          <w:szCs w:val="20"/>
        </w:rPr>
        <w:t xml:space="preserve"> BC</w:t>
      </w:r>
      <w:r w:rsidRPr="00904033">
        <w:rPr>
          <w:rFonts w:eastAsia="Calibri"/>
          <w:sz w:val="20"/>
          <w:szCs w:val="20"/>
        </w:rPr>
        <w:t>l2</w:t>
      </w:r>
      <w:r w:rsidR="00784B85" w:rsidRPr="00904033">
        <w:rPr>
          <w:rFonts w:eastAsia="Calibri"/>
          <w:sz w:val="20"/>
          <w:szCs w:val="20"/>
        </w:rPr>
        <w:t xml:space="preserve"> by immunohistochemistry in locally advanced triple negative breast</w:t>
      </w:r>
      <w:r w:rsidR="00784B85" w:rsidRPr="00904033">
        <w:rPr>
          <w:rFonts w:eastAsia="Calibri"/>
          <w:color w:val="000000"/>
          <w:sz w:val="20"/>
          <w:szCs w:val="20"/>
        </w:rPr>
        <w:t xml:space="preserve"> cancer</w:t>
      </w:r>
      <w:r w:rsidR="00784B85" w:rsidRPr="00904033">
        <w:rPr>
          <w:rFonts w:eastAsia="Calibri"/>
          <w:sz w:val="20"/>
          <w:szCs w:val="20"/>
        </w:rPr>
        <w:t xml:space="preserve"> and try to give an insight to its prognostic and predictive </w:t>
      </w:r>
      <w:r w:rsidR="00C05181" w:rsidRPr="00904033">
        <w:rPr>
          <w:rFonts w:eastAsia="Calibri"/>
          <w:sz w:val="20"/>
          <w:szCs w:val="20"/>
        </w:rPr>
        <w:t>value.</w:t>
      </w:r>
    </w:p>
    <w:p w:rsidR="00FD5EA3" w:rsidRPr="00904033" w:rsidRDefault="00FD5EA3" w:rsidP="00FD5EA3">
      <w:pPr>
        <w:autoSpaceDE w:val="0"/>
        <w:autoSpaceDN w:val="0"/>
        <w:bidi w:val="0"/>
        <w:adjustRightInd w:val="0"/>
        <w:snapToGrid w:val="0"/>
        <w:ind w:firstLine="425"/>
        <w:jc w:val="both"/>
        <w:rPr>
          <w:rFonts w:eastAsiaTheme="minorEastAsia"/>
          <w:sz w:val="20"/>
          <w:szCs w:val="20"/>
          <w:lang w:eastAsia="zh-CN"/>
        </w:rPr>
      </w:pPr>
    </w:p>
    <w:p w:rsidR="0034171B" w:rsidRPr="00904033" w:rsidRDefault="008B3DD4" w:rsidP="00FD5EA3">
      <w:pPr>
        <w:tabs>
          <w:tab w:val="left" w:pos="7481"/>
        </w:tabs>
        <w:bidi w:val="0"/>
        <w:snapToGrid w:val="0"/>
        <w:jc w:val="both"/>
        <w:rPr>
          <w:sz w:val="20"/>
          <w:szCs w:val="20"/>
          <w:lang w:bidi="ar-EG"/>
        </w:rPr>
      </w:pPr>
      <w:r w:rsidRPr="00904033">
        <w:rPr>
          <w:b/>
          <w:bCs/>
          <w:sz w:val="20"/>
          <w:szCs w:val="20"/>
        </w:rPr>
        <w:t>2. Patients and Methods</w:t>
      </w:r>
    </w:p>
    <w:p w:rsidR="008B3DD4" w:rsidRPr="00904033" w:rsidRDefault="0034171B" w:rsidP="00FD5EA3">
      <w:pPr>
        <w:pStyle w:val="NormalWeb"/>
        <w:snapToGrid w:val="0"/>
        <w:spacing w:before="0" w:beforeAutospacing="0" w:after="0" w:afterAutospacing="0"/>
        <w:jc w:val="both"/>
        <w:rPr>
          <w:sz w:val="20"/>
          <w:szCs w:val="20"/>
        </w:rPr>
      </w:pPr>
      <w:r w:rsidRPr="00904033">
        <w:rPr>
          <w:rStyle w:val="Strong"/>
          <w:sz w:val="20"/>
          <w:szCs w:val="20"/>
        </w:rPr>
        <w:t>Patient Characteristics</w:t>
      </w:r>
      <w:r w:rsidR="00330828" w:rsidRPr="00904033">
        <w:rPr>
          <w:sz w:val="20"/>
          <w:szCs w:val="20"/>
        </w:rPr>
        <w:t xml:space="preserve"> </w:t>
      </w:r>
      <w:r w:rsidR="00330828" w:rsidRPr="00904033">
        <w:rPr>
          <w:b/>
          <w:bCs/>
          <w:sz w:val="20"/>
          <w:szCs w:val="20"/>
        </w:rPr>
        <w:t xml:space="preserve">&amp; </w:t>
      </w:r>
      <w:r w:rsidRPr="00904033">
        <w:rPr>
          <w:b/>
          <w:bCs/>
          <w:sz w:val="20"/>
          <w:szCs w:val="20"/>
        </w:rPr>
        <w:t>inclusion criteria:</w:t>
      </w:r>
      <w:r w:rsidRPr="00904033">
        <w:rPr>
          <w:sz w:val="20"/>
          <w:szCs w:val="20"/>
        </w:rPr>
        <w:t xml:space="preserve"> </w:t>
      </w:r>
    </w:p>
    <w:p w:rsidR="00330828" w:rsidRPr="00904033" w:rsidRDefault="008B3DD4" w:rsidP="00FD5EA3">
      <w:pPr>
        <w:pStyle w:val="NormalWeb"/>
        <w:snapToGrid w:val="0"/>
        <w:spacing w:before="0" w:beforeAutospacing="0" w:after="0" w:afterAutospacing="0"/>
        <w:ind w:firstLine="425"/>
        <w:jc w:val="both"/>
        <w:rPr>
          <w:sz w:val="20"/>
          <w:szCs w:val="20"/>
        </w:rPr>
      </w:pPr>
      <w:r w:rsidRPr="00904033">
        <w:rPr>
          <w:sz w:val="20"/>
          <w:szCs w:val="20"/>
        </w:rPr>
        <w:t>W</w:t>
      </w:r>
      <w:r w:rsidR="00133371" w:rsidRPr="00904033">
        <w:rPr>
          <w:sz w:val="20"/>
          <w:szCs w:val="20"/>
        </w:rPr>
        <w:t xml:space="preserve">e </w:t>
      </w:r>
      <w:r w:rsidR="00AC4B4A" w:rsidRPr="00904033">
        <w:rPr>
          <w:sz w:val="20"/>
          <w:szCs w:val="20"/>
        </w:rPr>
        <w:t>included 61</w:t>
      </w:r>
      <w:r w:rsidR="0034171B" w:rsidRPr="00904033">
        <w:rPr>
          <w:sz w:val="20"/>
          <w:szCs w:val="20"/>
        </w:rPr>
        <w:t xml:space="preserve"> </w:t>
      </w:r>
      <w:r w:rsidR="00AC4B4A" w:rsidRPr="00904033">
        <w:rPr>
          <w:sz w:val="20"/>
          <w:szCs w:val="20"/>
        </w:rPr>
        <w:t>patients in</w:t>
      </w:r>
      <w:r w:rsidR="003B025F" w:rsidRPr="00904033">
        <w:rPr>
          <w:sz w:val="20"/>
          <w:szCs w:val="20"/>
        </w:rPr>
        <w:t xml:space="preserve"> this </w:t>
      </w:r>
      <w:r w:rsidR="00AC4B4A" w:rsidRPr="00904033">
        <w:rPr>
          <w:sz w:val="20"/>
          <w:szCs w:val="20"/>
        </w:rPr>
        <w:t>study, all characterized with</w:t>
      </w:r>
      <w:r w:rsidR="0034171B" w:rsidRPr="00904033">
        <w:rPr>
          <w:sz w:val="20"/>
          <w:szCs w:val="20"/>
        </w:rPr>
        <w:t xml:space="preserve"> </w:t>
      </w:r>
      <w:r w:rsidR="00BB73F1" w:rsidRPr="00904033">
        <w:rPr>
          <w:sz w:val="20"/>
          <w:szCs w:val="20"/>
        </w:rPr>
        <w:t>non-distant</w:t>
      </w:r>
      <w:r w:rsidR="002D4D64" w:rsidRPr="00904033">
        <w:rPr>
          <w:sz w:val="20"/>
          <w:szCs w:val="20"/>
        </w:rPr>
        <w:t xml:space="preserve"> </w:t>
      </w:r>
      <w:r w:rsidR="0034171B" w:rsidRPr="00904033">
        <w:rPr>
          <w:sz w:val="20"/>
          <w:szCs w:val="20"/>
        </w:rPr>
        <w:t xml:space="preserve">metastatic </w:t>
      </w:r>
      <w:r w:rsidR="00832F82" w:rsidRPr="00904033">
        <w:rPr>
          <w:sz w:val="20"/>
          <w:szCs w:val="20"/>
          <w:lang w:bidi="ar-EG"/>
        </w:rPr>
        <w:t xml:space="preserve">pathologically proven </w:t>
      </w:r>
      <w:r w:rsidR="00AC4B4A" w:rsidRPr="00904033">
        <w:rPr>
          <w:sz w:val="20"/>
          <w:szCs w:val="20"/>
        </w:rPr>
        <w:t>ER, PR,</w:t>
      </w:r>
      <w:r w:rsidR="00832F82" w:rsidRPr="00904033">
        <w:rPr>
          <w:sz w:val="20"/>
          <w:szCs w:val="20"/>
        </w:rPr>
        <w:t xml:space="preserve"> HER2- negative (triple receptor negative) </w:t>
      </w:r>
      <w:r w:rsidR="00285C2A" w:rsidRPr="00904033">
        <w:rPr>
          <w:sz w:val="20"/>
          <w:szCs w:val="20"/>
        </w:rPr>
        <w:t xml:space="preserve">locally advanced </w:t>
      </w:r>
      <w:r w:rsidR="00832F82" w:rsidRPr="00904033">
        <w:rPr>
          <w:sz w:val="20"/>
          <w:szCs w:val="20"/>
        </w:rPr>
        <w:t>invasive</w:t>
      </w:r>
      <w:r w:rsidR="00BB73F1" w:rsidRPr="00904033">
        <w:rPr>
          <w:sz w:val="20"/>
          <w:szCs w:val="20"/>
        </w:rPr>
        <w:t xml:space="preserve"> ductal</w:t>
      </w:r>
      <w:r w:rsidR="00832F82" w:rsidRPr="00904033">
        <w:rPr>
          <w:sz w:val="20"/>
          <w:szCs w:val="20"/>
        </w:rPr>
        <w:t xml:space="preserve"> breast cancer</w:t>
      </w:r>
      <w:r w:rsidR="00832F82" w:rsidRPr="00904033">
        <w:rPr>
          <w:sz w:val="20"/>
          <w:szCs w:val="20"/>
          <w:lang w:bidi="ar-EG"/>
        </w:rPr>
        <w:t xml:space="preserve">, </w:t>
      </w:r>
      <w:r w:rsidR="00832F82" w:rsidRPr="00904033">
        <w:rPr>
          <w:sz w:val="20"/>
          <w:szCs w:val="20"/>
        </w:rPr>
        <w:t xml:space="preserve">in Clinical Oncology Department, Tanta University Hospital were enrolled. Patients </w:t>
      </w:r>
      <w:r w:rsidR="00BB73F1" w:rsidRPr="00904033">
        <w:rPr>
          <w:sz w:val="20"/>
          <w:szCs w:val="20"/>
        </w:rPr>
        <w:t xml:space="preserve">were </w:t>
      </w:r>
      <w:r w:rsidR="0034171B" w:rsidRPr="00904033">
        <w:rPr>
          <w:sz w:val="20"/>
          <w:szCs w:val="20"/>
        </w:rPr>
        <w:t xml:space="preserve">treated </w:t>
      </w:r>
      <w:r w:rsidR="009D6E3E" w:rsidRPr="00904033">
        <w:rPr>
          <w:sz w:val="20"/>
          <w:szCs w:val="20"/>
        </w:rPr>
        <w:t xml:space="preserve">by neoadjuvant </w:t>
      </w:r>
      <w:r w:rsidR="0034171B" w:rsidRPr="00904033">
        <w:rPr>
          <w:sz w:val="20"/>
          <w:szCs w:val="20"/>
        </w:rPr>
        <w:t>chemotherapy (</w:t>
      </w:r>
      <w:r w:rsidR="009D6E3E" w:rsidRPr="00904033">
        <w:rPr>
          <w:sz w:val="20"/>
          <w:szCs w:val="20"/>
        </w:rPr>
        <w:t>NAC</w:t>
      </w:r>
      <w:r w:rsidR="0034171B" w:rsidRPr="00904033">
        <w:rPr>
          <w:sz w:val="20"/>
          <w:szCs w:val="20"/>
        </w:rPr>
        <w:t xml:space="preserve">), with </w:t>
      </w:r>
      <w:r w:rsidR="009240C1" w:rsidRPr="00904033">
        <w:rPr>
          <w:sz w:val="20"/>
          <w:szCs w:val="20"/>
        </w:rPr>
        <w:t xml:space="preserve">a sequential regimen containing anthracycline and taxanes </w:t>
      </w:r>
      <w:r w:rsidR="0034171B" w:rsidRPr="00904033">
        <w:rPr>
          <w:sz w:val="20"/>
          <w:szCs w:val="20"/>
        </w:rPr>
        <w:t xml:space="preserve">-based regimen at Clinical Oncology Department, Faculty of Medicine, </w:t>
      </w:r>
      <w:r w:rsidR="0014234F" w:rsidRPr="00904033">
        <w:rPr>
          <w:sz w:val="20"/>
          <w:szCs w:val="20"/>
        </w:rPr>
        <w:t>and Tanta</w:t>
      </w:r>
      <w:r w:rsidR="0034171B" w:rsidRPr="00904033">
        <w:rPr>
          <w:sz w:val="20"/>
          <w:szCs w:val="20"/>
        </w:rPr>
        <w:t xml:space="preserve"> University Hospital during the period between January 200</w:t>
      </w:r>
      <w:r w:rsidR="009D6E3E" w:rsidRPr="00904033">
        <w:rPr>
          <w:sz w:val="20"/>
          <w:szCs w:val="20"/>
        </w:rPr>
        <w:t xml:space="preserve">9 </w:t>
      </w:r>
      <w:r w:rsidR="0034171B" w:rsidRPr="00904033">
        <w:rPr>
          <w:sz w:val="20"/>
          <w:szCs w:val="20"/>
        </w:rPr>
        <w:t>and December 20</w:t>
      </w:r>
      <w:r w:rsidR="009D6E3E" w:rsidRPr="00904033">
        <w:rPr>
          <w:sz w:val="20"/>
          <w:szCs w:val="20"/>
        </w:rPr>
        <w:t>14</w:t>
      </w:r>
      <w:r w:rsidR="0034171B" w:rsidRPr="00904033">
        <w:rPr>
          <w:sz w:val="20"/>
          <w:szCs w:val="20"/>
        </w:rPr>
        <w:t>.</w:t>
      </w:r>
      <w:r w:rsidR="00330828" w:rsidRPr="00904033">
        <w:rPr>
          <w:sz w:val="20"/>
          <w:szCs w:val="20"/>
        </w:rPr>
        <w:t xml:space="preserve"> </w:t>
      </w:r>
      <w:r w:rsidR="00AC4B4A" w:rsidRPr="00904033">
        <w:rPr>
          <w:sz w:val="20"/>
          <w:szCs w:val="20"/>
        </w:rPr>
        <w:t>The</w:t>
      </w:r>
      <w:r w:rsidR="00832F82" w:rsidRPr="00904033">
        <w:rPr>
          <w:sz w:val="20"/>
          <w:szCs w:val="20"/>
        </w:rPr>
        <w:t xml:space="preserve"> </w:t>
      </w:r>
      <w:r w:rsidR="00AC4B4A" w:rsidRPr="00904033">
        <w:rPr>
          <w:sz w:val="20"/>
          <w:szCs w:val="20"/>
        </w:rPr>
        <w:t>f</w:t>
      </w:r>
      <w:r w:rsidR="00832F82" w:rsidRPr="00904033">
        <w:rPr>
          <w:sz w:val="20"/>
          <w:szCs w:val="20"/>
        </w:rPr>
        <w:t>ollow</w:t>
      </w:r>
      <w:r w:rsidR="007E35E3" w:rsidRPr="00904033">
        <w:rPr>
          <w:sz w:val="20"/>
          <w:szCs w:val="20"/>
        </w:rPr>
        <w:t xml:space="preserve"> </w:t>
      </w:r>
      <w:r w:rsidR="00832F82" w:rsidRPr="00904033">
        <w:rPr>
          <w:sz w:val="20"/>
          <w:szCs w:val="20"/>
        </w:rPr>
        <w:t>up</w:t>
      </w:r>
      <w:r w:rsidR="007E35E3" w:rsidRPr="00904033">
        <w:rPr>
          <w:sz w:val="20"/>
          <w:szCs w:val="20"/>
        </w:rPr>
        <w:t xml:space="preserve"> of patients until</w:t>
      </w:r>
      <w:r w:rsidR="00832F82" w:rsidRPr="00904033">
        <w:rPr>
          <w:sz w:val="20"/>
          <w:szCs w:val="20"/>
        </w:rPr>
        <w:t xml:space="preserve"> </w:t>
      </w:r>
      <w:r w:rsidR="007A0EBB" w:rsidRPr="00904033">
        <w:rPr>
          <w:sz w:val="20"/>
          <w:szCs w:val="20"/>
        </w:rPr>
        <w:t>May 2017</w:t>
      </w:r>
      <w:r w:rsidR="00832F82" w:rsidRPr="00904033">
        <w:rPr>
          <w:sz w:val="20"/>
          <w:szCs w:val="20"/>
        </w:rPr>
        <w:t>.</w:t>
      </w:r>
    </w:p>
    <w:p w:rsidR="0034171B" w:rsidRPr="00904033" w:rsidRDefault="00330828" w:rsidP="00FD5EA3">
      <w:pPr>
        <w:pStyle w:val="NormalWeb"/>
        <w:snapToGrid w:val="0"/>
        <w:spacing w:before="0" w:beforeAutospacing="0" w:after="0" w:afterAutospacing="0"/>
        <w:ind w:firstLine="425"/>
        <w:jc w:val="both"/>
        <w:rPr>
          <w:sz w:val="20"/>
          <w:szCs w:val="20"/>
        </w:rPr>
      </w:pPr>
      <w:r w:rsidRPr="00904033">
        <w:rPr>
          <w:sz w:val="20"/>
          <w:szCs w:val="20"/>
        </w:rPr>
        <w:t>P</w:t>
      </w:r>
      <w:r w:rsidR="0034171B" w:rsidRPr="00904033">
        <w:rPr>
          <w:sz w:val="20"/>
          <w:szCs w:val="20"/>
        </w:rPr>
        <w:t xml:space="preserve">atients have </w:t>
      </w:r>
      <w:r w:rsidR="00BB73F1" w:rsidRPr="00904033">
        <w:rPr>
          <w:sz w:val="20"/>
          <w:szCs w:val="20"/>
        </w:rPr>
        <w:t>age between 18-70 years</w:t>
      </w:r>
      <w:r w:rsidRPr="00904033">
        <w:rPr>
          <w:sz w:val="20"/>
          <w:szCs w:val="20"/>
        </w:rPr>
        <w:t>,</w:t>
      </w:r>
      <w:r w:rsidR="0034171B" w:rsidRPr="00904033">
        <w:rPr>
          <w:sz w:val="20"/>
          <w:szCs w:val="20"/>
        </w:rPr>
        <w:t xml:space="preserve"> Karnofsky performance status </w:t>
      </w:r>
      <w:r w:rsidR="00BF4945" w:rsidRPr="00904033">
        <w:rPr>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t;=" style="width:6.25pt;height:7.5pt;visibility:visible;mso-wrap-style:square">
            <v:imagedata r:id="rId12" o:title="&gt;="/>
          </v:shape>
        </w:pict>
      </w:r>
      <w:r w:rsidR="0034171B" w:rsidRPr="00904033">
        <w:rPr>
          <w:sz w:val="20"/>
          <w:szCs w:val="20"/>
        </w:rPr>
        <w:t>70</w:t>
      </w:r>
      <w:r w:rsidR="0097098F" w:rsidRPr="00904033">
        <w:rPr>
          <w:rFonts w:hint="eastAsia"/>
          <w:sz w:val="20"/>
          <w:szCs w:val="20"/>
          <w:lang w:eastAsia="zh-CN"/>
        </w:rPr>
        <w:t>,</w:t>
      </w:r>
      <w:r w:rsidR="00832F82" w:rsidRPr="00904033">
        <w:rPr>
          <w:sz w:val="20"/>
          <w:szCs w:val="20"/>
        </w:rPr>
        <w:t xml:space="preserve"> </w:t>
      </w:r>
      <w:r w:rsidR="0034171B" w:rsidRPr="00904033">
        <w:rPr>
          <w:sz w:val="20"/>
          <w:szCs w:val="20"/>
        </w:rPr>
        <w:t>adequate bone marrow reserve (</w:t>
      </w:r>
      <w:r w:rsidR="00BB73F1" w:rsidRPr="00904033">
        <w:rPr>
          <w:sz w:val="20"/>
          <w:szCs w:val="20"/>
        </w:rPr>
        <w:t xml:space="preserve">hemoglobin </w:t>
      </w:r>
      <w:r w:rsidR="00BF4945" w:rsidRPr="00904033">
        <w:rPr>
          <w:noProof/>
          <w:sz w:val="20"/>
          <w:szCs w:val="20"/>
          <w:lang w:eastAsia="zh-CN"/>
        </w:rPr>
        <w:pict>
          <v:shape id="_x0000_i1026" type="#_x0000_t75" alt="&gt;=" style="width:6.25pt;height:7.5pt;visibility:visible;mso-wrap-style:square">
            <v:imagedata r:id="rId12" o:title="&gt;="/>
          </v:shape>
        </w:pict>
      </w:r>
      <w:r w:rsidR="00BB73F1" w:rsidRPr="00904033">
        <w:rPr>
          <w:sz w:val="20"/>
          <w:szCs w:val="20"/>
        </w:rPr>
        <w:t>10 gm/dL</w:t>
      </w:r>
      <w:r w:rsidR="0097098F" w:rsidRPr="00904033">
        <w:rPr>
          <w:sz w:val="20"/>
          <w:szCs w:val="20"/>
        </w:rPr>
        <w:t>, W</w:t>
      </w:r>
      <w:r w:rsidR="0034171B" w:rsidRPr="00904033">
        <w:rPr>
          <w:sz w:val="20"/>
          <w:szCs w:val="20"/>
        </w:rPr>
        <w:t xml:space="preserve">BC count </w:t>
      </w:r>
      <w:r w:rsidR="00BF4945" w:rsidRPr="00904033">
        <w:rPr>
          <w:noProof/>
          <w:sz w:val="20"/>
          <w:szCs w:val="20"/>
          <w:lang w:eastAsia="zh-CN"/>
        </w:rPr>
        <w:pict>
          <v:shape id="_x0000_i1027" type="#_x0000_t75" alt="&gt;=" style="width:6.25pt;height:7.5pt;visibility:visible;mso-wrap-style:square">
            <v:imagedata r:id="rId12" o:title="&gt;="/>
          </v:shape>
        </w:pict>
      </w:r>
      <w:r w:rsidR="0034171B" w:rsidRPr="00904033">
        <w:rPr>
          <w:sz w:val="20"/>
          <w:szCs w:val="20"/>
        </w:rPr>
        <w:t>3.5 x 10</w:t>
      </w:r>
      <w:r w:rsidR="0034171B" w:rsidRPr="00904033">
        <w:rPr>
          <w:sz w:val="20"/>
          <w:szCs w:val="20"/>
          <w:vertAlign w:val="superscript"/>
        </w:rPr>
        <w:t>9</w:t>
      </w:r>
      <w:r w:rsidR="0034171B" w:rsidRPr="00904033">
        <w:rPr>
          <w:sz w:val="20"/>
          <w:szCs w:val="20"/>
        </w:rPr>
        <w:t xml:space="preserve">/L, </w:t>
      </w:r>
      <w:r w:rsidR="00BB73F1" w:rsidRPr="00904033">
        <w:rPr>
          <w:sz w:val="20"/>
          <w:szCs w:val="20"/>
        </w:rPr>
        <w:t xml:space="preserve">and </w:t>
      </w:r>
      <w:r w:rsidR="0034171B" w:rsidRPr="00904033">
        <w:rPr>
          <w:sz w:val="20"/>
          <w:szCs w:val="20"/>
        </w:rPr>
        <w:t xml:space="preserve">platelets </w:t>
      </w:r>
      <w:r w:rsidR="00BF4945" w:rsidRPr="00904033">
        <w:rPr>
          <w:noProof/>
          <w:sz w:val="20"/>
          <w:szCs w:val="20"/>
          <w:lang w:eastAsia="zh-CN"/>
        </w:rPr>
        <w:pict>
          <v:shape id="_x0000_i1028" type="#_x0000_t75" alt="&gt;=" style="width:6.25pt;height:7.5pt;visibility:visible;mso-wrap-style:square">
            <v:imagedata r:id="rId12" o:title="&gt;="/>
          </v:shape>
        </w:pict>
      </w:r>
      <w:r w:rsidR="0034171B" w:rsidRPr="00904033">
        <w:rPr>
          <w:sz w:val="20"/>
          <w:szCs w:val="20"/>
        </w:rPr>
        <w:t>100 x 10</w:t>
      </w:r>
      <w:r w:rsidR="0034171B" w:rsidRPr="00904033">
        <w:rPr>
          <w:sz w:val="20"/>
          <w:szCs w:val="20"/>
          <w:vertAlign w:val="superscript"/>
        </w:rPr>
        <w:t>9</w:t>
      </w:r>
      <w:r w:rsidR="0034171B" w:rsidRPr="00904033">
        <w:rPr>
          <w:sz w:val="20"/>
          <w:szCs w:val="20"/>
        </w:rPr>
        <w:t xml:space="preserve">/L,) and good renal function (creatinine clearance </w:t>
      </w:r>
      <w:r w:rsidR="00BF4945" w:rsidRPr="00904033">
        <w:rPr>
          <w:noProof/>
          <w:sz w:val="20"/>
          <w:szCs w:val="20"/>
          <w:lang w:eastAsia="zh-CN"/>
        </w:rPr>
        <w:pict>
          <v:shape id="_x0000_i1029" type="#_x0000_t75" alt="&gt;=" style="width:6.25pt;height:7.5pt;visibility:visible;mso-wrap-style:square">
            <v:imagedata r:id="rId12" o:title="&gt;="/>
          </v:shape>
        </w:pict>
      </w:r>
      <w:r w:rsidR="00832F82" w:rsidRPr="00904033">
        <w:rPr>
          <w:sz w:val="20"/>
          <w:szCs w:val="20"/>
        </w:rPr>
        <w:t>60 mL/min)</w:t>
      </w:r>
      <w:r w:rsidR="00C97EF4" w:rsidRPr="00904033">
        <w:rPr>
          <w:b/>
          <w:bCs/>
          <w:sz w:val="20"/>
          <w:szCs w:val="20"/>
          <w:vertAlign w:val="superscript"/>
        </w:rPr>
        <w:t xml:space="preserve"> </w:t>
      </w:r>
      <w:r w:rsidR="00C97EF4" w:rsidRPr="00904033">
        <w:rPr>
          <w:sz w:val="20"/>
          <w:szCs w:val="20"/>
        </w:rPr>
        <w:t>(16)</w:t>
      </w:r>
      <w:r w:rsidRPr="00904033">
        <w:rPr>
          <w:sz w:val="20"/>
          <w:szCs w:val="20"/>
        </w:rPr>
        <w:t>.</w:t>
      </w:r>
    </w:p>
    <w:p w:rsidR="0034171B" w:rsidRPr="00904033" w:rsidRDefault="00BB4565" w:rsidP="00FD5EA3">
      <w:pPr>
        <w:bidi w:val="0"/>
        <w:snapToGrid w:val="0"/>
        <w:ind w:firstLine="425"/>
        <w:jc w:val="both"/>
        <w:rPr>
          <w:sz w:val="20"/>
          <w:szCs w:val="20"/>
        </w:rPr>
      </w:pPr>
      <w:r w:rsidRPr="00904033">
        <w:rPr>
          <w:sz w:val="20"/>
          <w:szCs w:val="20"/>
        </w:rPr>
        <w:t>Patients</w:t>
      </w:r>
      <w:r w:rsidRPr="00904033">
        <w:rPr>
          <w:sz w:val="20"/>
          <w:szCs w:val="20"/>
          <w:vertAlign w:val="superscript"/>
        </w:rPr>
        <w:t xml:space="preserve"> </w:t>
      </w:r>
      <w:r w:rsidRPr="00904033">
        <w:rPr>
          <w:sz w:val="20"/>
          <w:szCs w:val="20"/>
        </w:rPr>
        <w:t xml:space="preserve">were </w:t>
      </w:r>
      <w:r w:rsidR="00CD37D5" w:rsidRPr="00904033">
        <w:rPr>
          <w:sz w:val="20"/>
          <w:szCs w:val="20"/>
        </w:rPr>
        <w:t>excluded if</w:t>
      </w:r>
      <w:r w:rsidRPr="00904033">
        <w:rPr>
          <w:sz w:val="20"/>
          <w:szCs w:val="20"/>
        </w:rPr>
        <w:t xml:space="preserve"> they had </w:t>
      </w:r>
      <w:r w:rsidR="002A160C" w:rsidRPr="00904033">
        <w:rPr>
          <w:sz w:val="20"/>
          <w:szCs w:val="20"/>
        </w:rPr>
        <w:t xml:space="preserve">distant </w:t>
      </w:r>
      <w:r w:rsidR="0014234F" w:rsidRPr="00904033">
        <w:rPr>
          <w:sz w:val="20"/>
          <w:szCs w:val="20"/>
        </w:rPr>
        <w:t>metastases,</w:t>
      </w:r>
      <w:r w:rsidRPr="00904033">
        <w:rPr>
          <w:sz w:val="20"/>
          <w:szCs w:val="20"/>
        </w:rPr>
        <w:t xml:space="preserve"> </w:t>
      </w:r>
      <w:r w:rsidR="002A160C" w:rsidRPr="00904033">
        <w:rPr>
          <w:sz w:val="20"/>
          <w:szCs w:val="20"/>
          <w:lang w:bidi="ar-EG"/>
        </w:rPr>
        <w:t>altered mental status,</w:t>
      </w:r>
      <w:r w:rsidR="002B559A" w:rsidRPr="00904033">
        <w:rPr>
          <w:sz w:val="20"/>
          <w:szCs w:val="20"/>
          <w:lang w:bidi="ar-EG"/>
        </w:rPr>
        <w:t xml:space="preserve"> dementia</w:t>
      </w:r>
      <w:r w:rsidRPr="00904033">
        <w:rPr>
          <w:sz w:val="20"/>
          <w:szCs w:val="20"/>
          <w:lang w:bidi="ar-EG"/>
        </w:rPr>
        <w:t>, or any p</w:t>
      </w:r>
      <w:r w:rsidR="002A160C" w:rsidRPr="00904033">
        <w:rPr>
          <w:sz w:val="20"/>
          <w:szCs w:val="20"/>
          <w:lang w:bidi="ar-EG"/>
        </w:rPr>
        <w:t xml:space="preserve">sychiatric condition that </w:t>
      </w:r>
      <w:r w:rsidR="002B559A" w:rsidRPr="00904033">
        <w:rPr>
          <w:sz w:val="20"/>
          <w:szCs w:val="20"/>
          <w:lang w:bidi="ar-EG"/>
        </w:rPr>
        <w:t>affect understanding</w:t>
      </w:r>
      <w:r w:rsidRPr="00904033">
        <w:rPr>
          <w:sz w:val="20"/>
          <w:szCs w:val="20"/>
          <w:lang w:bidi="ar-EG"/>
        </w:rPr>
        <w:t xml:space="preserve"> </w:t>
      </w:r>
      <w:r w:rsidR="002A160C" w:rsidRPr="00904033">
        <w:rPr>
          <w:sz w:val="20"/>
          <w:szCs w:val="20"/>
          <w:lang w:bidi="ar-EG"/>
        </w:rPr>
        <w:t xml:space="preserve">and </w:t>
      </w:r>
      <w:r w:rsidR="002B559A" w:rsidRPr="00904033">
        <w:rPr>
          <w:sz w:val="20"/>
          <w:szCs w:val="20"/>
          <w:lang w:bidi="ar-EG"/>
        </w:rPr>
        <w:t>impede informed</w:t>
      </w:r>
      <w:r w:rsidRPr="00904033">
        <w:rPr>
          <w:sz w:val="20"/>
          <w:szCs w:val="20"/>
          <w:lang w:bidi="ar-EG"/>
        </w:rPr>
        <w:t xml:space="preserve"> consent</w:t>
      </w:r>
      <w:r w:rsidRPr="00904033">
        <w:rPr>
          <w:sz w:val="20"/>
          <w:szCs w:val="20"/>
        </w:rPr>
        <w:t xml:space="preserve">. </w:t>
      </w:r>
      <w:r w:rsidR="00CF0539" w:rsidRPr="00904033">
        <w:rPr>
          <w:sz w:val="20"/>
          <w:szCs w:val="20"/>
        </w:rPr>
        <w:t>Also patients</w:t>
      </w:r>
      <w:r w:rsidR="0034171B" w:rsidRPr="00904033">
        <w:rPr>
          <w:sz w:val="20"/>
          <w:szCs w:val="20"/>
        </w:rPr>
        <w:t xml:space="preserve"> </w:t>
      </w:r>
      <w:r w:rsidR="00CD37D5" w:rsidRPr="00904033">
        <w:rPr>
          <w:sz w:val="20"/>
          <w:szCs w:val="20"/>
        </w:rPr>
        <w:t>with</w:t>
      </w:r>
      <w:r w:rsidRPr="00904033">
        <w:rPr>
          <w:sz w:val="20"/>
          <w:szCs w:val="20"/>
        </w:rPr>
        <w:t xml:space="preserve"> sec</w:t>
      </w:r>
      <w:r w:rsidR="00F64931" w:rsidRPr="00904033">
        <w:rPr>
          <w:sz w:val="20"/>
          <w:szCs w:val="20"/>
        </w:rPr>
        <w:t xml:space="preserve">ondary malignancy </w:t>
      </w:r>
      <w:r w:rsidR="00CF0539" w:rsidRPr="00904033">
        <w:rPr>
          <w:sz w:val="20"/>
          <w:szCs w:val="20"/>
        </w:rPr>
        <w:t>or systemic</w:t>
      </w:r>
      <w:r w:rsidR="0034171B" w:rsidRPr="00904033">
        <w:rPr>
          <w:sz w:val="20"/>
          <w:szCs w:val="20"/>
        </w:rPr>
        <w:t xml:space="preserve"> disease (e.g. </w:t>
      </w:r>
      <w:r w:rsidR="002A160C" w:rsidRPr="00904033">
        <w:rPr>
          <w:sz w:val="20"/>
          <w:szCs w:val="20"/>
        </w:rPr>
        <w:t xml:space="preserve">uncontrolled active </w:t>
      </w:r>
      <w:r w:rsidR="00CF0539" w:rsidRPr="00904033">
        <w:rPr>
          <w:sz w:val="20"/>
          <w:szCs w:val="20"/>
        </w:rPr>
        <w:t>infection, immune</w:t>
      </w:r>
      <w:r w:rsidR="00F64931" w:rsidRPr="00904033">
        <w:rPr>
          <w:sz w:val="20"/>
          <w:szCs w:val="20"/>
        </w:rPr>
        <w:t xml:space="preserve">-compromised </w:t>
      </w:r>
      <w:r w:rsidR="00CD37D5" w:rsidRPr="00904033">
        <w:rPr>
          <w:sz w:val="20"/>
          <w:szCs w:val="20"/>
        </w:rPr>
        <w:t>disease</w:t>
      </w:r>
      <w:r w:rsidR="00F64931" w:rsidRPr="00904033">
        <w:rPr>
          <w:sz w:val="20"/>
          <w:szCs w:val="20"/>
        </w:rPr>
        <w:t xml:space="preserve">, </w:t>
      </w:r>
      <w:r w:rsidR="002A160C" w:rsidRPr="00904033">
        <w:rPr>
          <w:sz w:val="20"/>
          <w:szCs w:val="20"/>
        </w:rPr>
        <w:t xml:space="preserve">congestive heart </w:t>
      </w:r>
      <w:r w:rsidR="00CF0539" w:rsidRPr="00904033">
        <w:rPr>
          <w:sz w:val="20"/>
          <w:szCs w:val="20"/>
        </w:rPr>
        <w:t>failure, significant</w:t>
      </w:r>
      <w:r w:rsidR="002A160C" w:rsidRPr="00904033">
        <w:rPr>
          <w:sz w:val="20"/>
          <w:szCs w:val="20"/>
        </w:rPr>
        <w:t xml:space="preserve"> cardiac arrhythmia)</w:t>
      </w:r>
      <w:r w:rsidR="00CD37D5" w:rsidRPr="00904033">
        <w:rPr>
          <w:sz w:val="20"/>
          <w:szCs w:val="20"/>
        </w:rPr>
        <w:t xml:space="preserve"> were </w:t>
      </w:r>
      <w:r w:rsidR="00CF0539" w:rsidRPr="00904033">
        <w:rPr>
          <w:sz w:val="20"/>
          <w:szCs w:val="20"/>
        </w:rPr>
        <w:t>excluded</w:t>
      </w:r>
      <w:r w:rsidR="0034171B" w:rsidRPr="00904033">
        <w:rPr>
          <w:sz w:val="20"/>
          <w:szCs w:val="20"/>
        </w:rPr>
        <w:t xml:space="preserve">. </w:t>
      </w:r>
    </w:p>
    <w:p w:rsidR="009F047D" w:rsidRPr="00904033" w:rsidRDefault="00391ACB" w:rsidP="00FD5EA3">
      <w:pPr>
        <w:pStyle w:val="NormalWeb"/>
        <w:tabs>
          <w:tab w:val="right" w:pos="1080"/>
        </w:tabs>
        <w:snapToGrid w:val="0"/>
        <w:spacing w:before="0" w:beforeAutospacing="0" w:after="0" w:afterAutospacing="0"/>
        <w:ind w:firstLine="425"/>
        <w:jc w:val="both"/>
        <w:rPr>
          <w:b/>
          <w:bCs/>
          <w:sz w:val="20"/>
          <w:szCs w:val="20"/>
        </w:rPr>
      </w:pPr>
      <w:r w:rsidRPr="00904033">
        <w:rPr>
          <w:sz w:val="20"/>
          <w:szCs w:val="20"/>
        </w:rPr>
        <w:tab/>
      </w:r>
      <w:r w:rsidR="0068571B" w:rsidRPr="00904033">
        <w:rPr>
          <w:sz w:val="20"/>
          <w:szCs w:val="20"/>
        </w:rPr>
        <w:t xml:space="preserve">Protocol </w:t>
      </w:r>
      <w:r w:rsidR="002B559A" w:rsidRPr="00904033">
        <w:rPr>
          <w:sz w:val="20"/>
          <w:szCs w:val="20"/>
        </w:rPr>
        <w:t>was approved</w:t>
      </w:r>
      <w:r w:rsidR="0068571B" w:rsidRPr="00904033">
        <w:rPr>
          <w:sz w:val="20"/>
          <w:szCs w:val="20"/>
        </w:rPr>
        <w:t xml:space="preserve"> by t</w:t>
      </w:r>
      <w:r w:rsidR="009F047D" w:rsidRPr="00904033">
        <w:rPr>
          <w:sz w:val="20"/>
          <w:szCs w:val="20"/>
        </w:rPr>
        <w:t xml:space="preserve">he Ethics Committee in Faculty of Medicine, Tanta University, and </w:t>
      </w:r>
      <w:r w:rsidR="0068571B" w:rsidRPr="00904033">
        <w:rPr>
          <w:sz w:val="20"/>
          <w:szCs w:val="20"/>
        </w:rPr>
        <w:t xml:space="preserve">before </w:t>
      </w:r>
      <w:r w:rsidR="00976B34" w:rsidRPr="00904033">
        <w:rPr>
          <w:sz w:val="20"/>
          <w:szCs w:val="20"/>
        </w:rPr>
        <w:t>the beginning of</w:t>
      </w:r>
      <w:r w:rsidR="0068571B" w:rsidRPr="00904033">
        <w:rPr>
          <w:sz w:val="20"/>
          <w:szCs w:val="20"/>
        </w:rPr>
        <w:t xml:space="preserve"> any </w:t>
      </w:r>
      <w:r w:rsidR="002B559A" w:rsidRPr="00904033">
        <w:rPr>
          <w:sz w:val="20"/>
          <w:szCs w:val="20"/>
        </w:rPr>
        <w:t>treatment,</w:t>
      </w:r>
      <w:r w:rsidR="0068571B" w:rsidRPr="00904033">
        <w:rPr>
          <w:sz w:val="20"/>
          <w:szCs w:val="20"/>
        </w:rPr>
        <w:t xml:space="preserve"> </w:t>
      </w:r>
      <w:r w:rsidR="009F047D" w:rsidRPr="00904033">
        <w:rPr>
          <w:sz w:val="20"/>
          <w:szCs w:val="20"/>
        </w:rPr>
        <w:t>all patients signed an informed consent.</w:t>
      </w:r>
    </w:p>
    <w:p w:rsidR="0034171B" w:rsidRPr="00904033" w:rsidRDefault="0034171B" w:rsidP="00FD5EA3">
      <w:pPr>
        <w:autoSpaceDE w:val="0"/>
        <w:autoSpaceDN w:val="0"/>
        <w:bidi w:val="0"/>
        <w:adjustRightInd w:val="0"/>
        <w:snapToGrid w:val="0"/>
        <w:jc w:val="both"/>
        <w:rPr>
          <w:b/>
          <w:bCs/>
          <w:sz w:val="20"/>
          <w:szCs w:val="20"/>
        </w:rPr>
      </w:pPr>
      <w:r w:rsidRPr="00904033">
        <w:rPr>
          <w:b/>
          <w:bCs/>
          <w:sz w:val="20"/>
          <w:szCs w:val="20"/>
        </w:rPr>
        <w:t>Treatment Protocol:</w:t>
      </w:r>
    </w:p>
    <w:p w:rsidR="008B3DD4" w:rsidRPr="00904033" w:rsidRDefault="0034171B" w:rsidP="00FD5EA3">
      <w:pPr>
        <w:autoSpaceDE w:val="0"/>
        <w:autoSpaceDN w:val="0"/>
        <w:bidi w:val="0"/>
        <w:adjustRightInd w:val="0"/>
        <w:snapToGrid w:val="0"/>
        <w:jc w:val="both"/>
        <w:rPr>
          <w:sz w:val="20"/>
          <w:szCs w:val="20"/>
        </w:rPr>
      </w:pPr>
      <w:r w:rsidRPr="00904033">
        <w:rPr>
          <w:b/>
          <w:bCs/>
          <w:sz w:val="20"/>
          <w:szCs w:val="20"/>
        </w:rPr>
        <w:t>Chemotherapy:</w:t>
      </w:r>
    </w:p>
    <w:p w:rsidR="0034171B" w:rsidRPr="00904033" w:rsidRDefault="008B3DD4" w:rsidP="00FD5EA3">
      <w:pPr>
        <w:autoSpaceDE w:val="0"/>
        <w:autoSpaceDN w:val="0"/>
        <w:bidi w:val="0"/>
        <w:adjustRightInd w:val="0"/>
        <w:snapToGrid w:val="0"/>
        <w:ind w:firstLine="425"/>
        <w:jc w:val="both"/>
        <w:rPr>
          <w:sz w:val="20"/>
          <w:szCs w:val="20"/>
        </w:rPr>
      </w:pPr>
      <w:r w:rsidRPr="00904033">
        <w:rPr>
          <w:sz w:val="20"/>
          <w:szCs w:val="20"/>
        </w:rPr>
        <w:t>N</w:t>
      </w:r>
      <w:r w:rsidR="00C419FC" w:rsidRPr="00904033">
        <w:rPr>
          <w:sz w:val="20"/>
          <w:szCs w:val="20"/>
        </w:rPr>
        <w:t xml:space="preserve">eoadjuvant chemotherapy </w:t>
      </w:r>
      <w:r w:rsidR="0014234F" w:rsidRPr="00904033">
        <w:rPr>
          <w:sz w:val="20"/>
          <w:szCs w:val="20"/>
        </w:rPr>
        <w:t>was</w:t>
      </w:r>
      <w:r w:rsidR="00C419FC" w:rsidRPr="00904033">
        <w:rPr>
          <w:sz w:val="20"/>
          <w:szCs w:val="20"/>
        </w:rPr>
        <w:t xml:space="preserve"> given to a</w:t>
      </w:r>
      <w:r w:rsidR="009D6E3E" w:rsidRPr="00904033">
        <w:rPr>
          <w:sz w:val="20"/>
          <w:szCs w:val="20"/>
        </w:rPr>
        <w:t>ll</w:t>
      </w:r>
      <w:r w:rsidR="0034171B" w:rsidRPr="00904033">
        <w:rPr>
          <w:sz w:val="20"/>
          <w:szCs w:val="20"/>
        </w:rPr>
        <w:t xml:space="preserve"> </w:t>
      </w:r>
      <w:r w:rsidR="00C419FC" w:rsidRPr="00904033">
        <w:rPr>
          <w:sz w:val="20"/>
          <w:szCs w:val="20"/>
        </w:rPr>
        <w:t xml:space="preserve">included </w:t>
      </w:r>
      <w:r w:rsidR="0034171B" w:rsidRPr="00904033">
        <w:rPr>
          <w:sz w:val="20"/>
          <w:szCs w:val="20"/>
        </w:rPr>
        <w:t>patients</w:t>
      </w:r>
      <w:r w:rsidR="00C419FC" w:rsidRPr="00904033">
        <w:rPr>
          <w:sz w:val="20"/>
          <w:szCs w:val="20"/>
        </w:rPr>
        <w:t xml:space="preserve"> in this study </w:t>
      </w:r>
      <w:r w:rsidR="009D6E3E" w:rsidRPr="00904033">
        <w:rPr>
          <w:sz w:val="20"/>
          <w:szCs w:val="20"/>
        </w:rPr>
        <w:t>before surgery</w:t>
      </w:r>
      <w:r w:rsidR="0034171B" w:rsidRPr="00904033">
        <w:rPr>
          <w:sz w:val="20"/>
          <w:szCs w:val="20"/>
        </w:rPr>
        <w:t xml:space="preserve">. </w:t>
      </w:r>
      <w:r w:rsidR="00C419FC" w:rsidRPr="00904033">
        <w:rPr>
          <w:sz w:val="20"/>
          <w:szCs w:val="20"/>
        </w:rPr>
        <w:t>The regimen of c</w:t>
      </w:r>
      <w:r w:rsidR="0034171B" w:rsidRPr="00904033">
        <w:rPr>
          <w:sz w:val="20"/>
          <w:szCs w:val="20"/>
        </w:rPr>
        <w:t xml:space="preserve">hemotherapy was applied in </w:t>
      </w:r>
      <w:r w:rsidR="009D6E3E" w:rsidRPr="00904033">
        <w:rPr>
          <w:sz w:val="20"/>
          <w:szCs w:val="20"/>
        </w:rPr>
        <w:t xml:space="preserve">a sequential </w:t>
      </w:r>
      <w:r w:rsidR="00C419FC" w:rsidRPr="00904033">
        <w:rPr>
          <w:sz w:val="20"/>
          <w:szCs w:val="20"/>
        </w:rPr>
        <w:lastRenderedPageBreak/>
        <w:t xml:space="preserve">pattern </w:t>
      </w:r>
      <w:r w:rsidR="009D6E3E" w:rsidRPr="00904033">
        <w:rPr>
          <w:sz w:val="20"/>
          <w:szCs w:val="20"/>
        </w:rPr>
        <w:t>containing anthracycline</w:t>
      </w:r>
      <w:r w:rsidR="00030E78" w:rsidRPr="00904033">
        <w:rPr>
          <w:sz w:val="20"/>
          <w:szCs w:val="20"/>
        </w:rPr>
        <w:t xml:space="preserve"> [FEC 100 regimen which consisted of </w:t>
      </w:r>
      <w:r w:rsidR="00985DB4" w:rsidRPr="00904033">
        <w:rPr>
          <w:sz w:val="20"/>
          <w:szCs w:val="20"/>
        </w:rPr>
        <w:t>(500 mg/m</w:t>
      </w:r>
      <w:r w:rsidR="00985DB4" w:rsidRPr="00904033">
        <w:rPr>
          <w:sz w:val="20"/>
          <w:szCs w:val="20"/>
          <w:vertAlign w:val="superscript"/>
        </w:rPr>
        <w:t>2</w:t>
      </w:r>
      <w:r w:rsidR="00985DB4" w:rsidRPr="00904033">
        <w:rPr>
          <w:sz w:val="20"/>
          <w:szCs w:val="20"/>
        </w:rPr>
        <w:t xml:space="preserve">, day 1) </w:t>
      </w:r>
      <w:r w:rsidR="00030E78" w:rsidRPr="00904033">
        <w:rPr>
          <w:sz w:val="20"/>
          <w:szCs w:val="20"/>
        </w:rPr>
        <w:t>cyclophosphamide,</w:t>
      </w:r>
      <w:r w:rsidR="00985DB4" w:rsidRPr="00904033">
        <w:rPr>
          <w:sz w:val="20"/>
          <w:szCs w:val="20"/>
        </w:rPr>
        <w:t xml:space="preserve"> (100 mg/m</w:t>
      </w:r>
      <w:r w:rsidR="00985DB4" w:rsidRPr="00904033">
        <w:rPr>
          <w:sz w:val="20"/>
          <w:szCs w:val="20"/>
          <w:vertAlign w:val="superscript"/>
        </w:rPr>
        <w:t>2</w:t>
      </w:r>
      <w:r w:rsidR="00985DB4" w:rsidRPr="00904033">
        <w:rPr>
          <w:sz w:val="20"/>
          <w:szCs w:val="20"/>
        </w:rPr>
        <w:t>, day 1</w:t>
      </w:r>
      <w:r w:rsidR="0014234F" w:rsidRPr="00904033">
        <w:rPr>
          <w:sz w:val="20"/>
          <w:szCs w:val="20"/>
        </w:rPr>
        <w:t>) epirubicin</w:t>
      </w:r>
      <w:r w:rsidR="00030E78" w:rsidRPr="00904033">
        <w:rPr>
          <w:sz w:val="20"/>
          <w:szCs w:val="20"/>
        </w:rPr>
        <w:t xml:space="preserve"> and</w:t>
      </w:r>
      <w:r w:rsidR="00985DB4" w:rsidRPr="00904033">
        <w:rPr>
          <w:sz w:val="20"/>
          <w:szCs w:val="20"/>
        </w:rPr>
        <w:t xml:space="preserve"> (500 mg/m</w:t>
      </w:r>
      <w:r w:rsidR="00985DB4" w:rsidRPr="00904033">
        <w:rPr>
          <w:sz w:val="20"/>
          <w:szCs w:val="20"/>
          <w:vertAlign w:val="superscript"/>
        </w:rPr>
        <w:t>2</w:t>
      </w:r>
      <w:r w:rsidR="00985DB4" w:rsidRPr="00904033">
        <w:rPr>
          <w:sz w:val="20"/>
          <w:szCs w:val="20"/>
        </w:rPr>
        <w:t>, days 1)</w:t>
      </w:r>
      <w:r w:rsidR="00030E78" w:rsidRPr="00904033">
        <w:rPr>
          <w:sz w:val="20"/>
          <w:szCs w:val="20"/>
        </w:rPr>
        <w:t xml:space="preserve"> fluorouracil</w:t>
      </w:r>
      <w:r w:rsidR="00985DB4" w:rsidRPr="00904033">
        <w:rPr>
          <w:sz w:val="20"/>
          <w:szCs w:val="20"/>
        </w:rPr>
        <w:t xml:space="preserve">, intravenously and this </w:t>
      </w:r>
      <w:r w:rsidR="00030E78" w:rsidRPr="00904033">
        <w:rPr>
          <w:sz w:val="20"/>
          <w:szCs w:val="20"/>
        </w:rPr>
        <w:t>cycle was repeated every 3 weeks for 4 courses] and taxanes [</w:t>
      </w:r>
      <w:r w:rsidR="00985DB4" w:rsidRPr="00904033">
        <w:rPr>
          <w:sz w:val="20"/>
          <w:szCs w:val="20"/>
        </w:rPr>
        <w:t xml:space="preserve">12 </w:t>
      </w:r>
      <w:r w:rsidR="00F36A07" w:rsidRPr="00904033">
        <w:rPr>
          <w:sz w:val="20"/>
          <w:szCs w:val="20"/>
        </w:rPr>
        <w:t>courses of</w:t>
      </w:r>
      <w:r w:rsidR="00985DB4" w:rsidRPr="00904033">
        <w:rPr>
          <w:sz w:val="20"/>
          <w:szCs w:val="20"/>
        </w:rPr>
        <w:t xml:space="preserve"> 80 mg/m2/</w:t>
      </w:r>
      <w:r w:rsidR="00F36A07" w:rsidRPr="00904033">
        <w:rPr>
          <w:sz w:val="20"/>
          <w:szCs w:val="20"/>
        </w:rPr>
        <w:t>qw</w:t>
      </w:r>
      <w:r w:rsidR="00B10DEB" w:rsidRPr="00904033">
        <w:rPr>
          <w:sz w:val="20"/>
          <w:szCs w:val="20"/>
        </w:rPr>
        <w:t xml:space="preserve"> (weekly)</w:t>
      </w:r>
      <w:r w:rsidR="00F36A07" w:rsidRPr="00904033">
        <w:rPr>
          <w:sz w:val="20"/>
          <w:szCs w:val="20"/>
        </w:rPr>
        <w:t xml:space="preserve"> paclitaxel</w:t>
      </w:r>
      <w:r w:rsidR="00030E78" w:rsidRPr="00904033">
        <w:rPr>
          <w:sz w:val="20"/>
          <w:szCs w:val="20"/>
        </w:rPr>
        <w:t xml:space="preserve"> or docetaxel 75 mg/m2/ q3w, </w:t>
      </w:r>
      <w:r w:rsidR="009F047D" w:rsidRPr="00904033">
        <w:rPr>
          <w:sz w:val="20"/>
          <w:szCs w:val="20"/>
        </w:rPr>
        <w:t>for 4 courses]</w:t>
      </w:r>
      <w:r w:rsidR="0034171B" w:rsidRPr="00904033">
        <w:rPr>
          <w:sz w:val="20"/>
          <w:szCs w:val="20"/>
        </w:rPr>
        <w:t xml:space="preserve">. Supportive care </w:t>
      </w:r>
      <w:r w:rsidR="00985DB4" w:rsidRPr="00904033">
        <w:rPr>
          <w:sz w:val="20"/>
          <w:szCs w:val="20"/>
        </w:rPr>
        <w:t>as</w:t>
      </w:r>
      <w:r w:rsidR="0034171B" w:rsidRPr="00904033">
        <w:rPr>
          <w:sz w:val="20"/>
          <w:szCs w:val="20"/>
        </w:rPr>
        <w:t xml:space="preserve"> </w:t>
      </w:r>
      <w:r w:rsidR="00985DB4" w:rsidRPr="00904033">
        <w:rPr>
          <w:sz w:val="20"/>
          <w:szCs w:val="20"/>
        </w:rPr>
        <w:t xml:space="preserve">growth </w:t>
      </w:r>
      <w:r w:rsidR="00F36A07" w:rsidRPr="00904033">
        <w:rPr>
          <w:sz w:val="20"/>
          <w:szCs w:val="20"/>
        </w:rPr>
        <w:t>factors, blood</w:t>
      </w:r>
      <w:r w:rsidR="0034171B" w:rsidRPr="00904033">
        <w:rPr>
          <w:sz w:val="20"/>
          <w:szCs w:val="20"/>
        </w:rPr>
        <w:t xml:space="preserve"> transfusions</w:t>
      </w:r>
      <w:r w:rsidR="00F36A07" w:rsidRPr="00904033">
        <w:rPr>
          <w:sz w:val="20"/>
          <w:szCs w:val="20"/>
        </w:rPr>
        <w:t xml:space="preserve">, </w:t>
      </w:r>
      <w:r w:rsidR="00C92A2D" w:rsidRPr="00904033">
        <w:rPr>
          <w:sz w:val="20"/>
          <w:szCs w:val="20"/>
        </w:rPr>
        <w:t>administration of</w:t>
      </w:r>
      <w:r w:rsidR="0034171B" w:rsidRPr="00904033">
        <w:rPr>
          <w:sz w:val="20"/>
          <w:szCs w:val="20"/>
        </w:rPr>
        <w:t xml:space="preserve"> antiemetics and analgesics</w:t>
      </w:r>
      <w:r w:rsidR="00985DB4" w:rsidRPr="00904033">
        <w:rPr>
          <w:sz w:val="20"/>
          <w:szCs w:val="20"/>
        </w:rPr>
        <w:t xml:space="preserve"> were </w:t>
      </w:r>
      <w:r w:rsidR="00F36A07" w:rsidRPr="00904033">
        <w:rPr>
          <w:sz w:val="20"/>
          <w:szCs w:val="20"/>
        </w:rPr>
        <w:t>included</w:t>
      </w:r>
      <w:r w:rsidR="0034171B" w:rsidRPr="00904033">
        <w:rPr>
          <w:sz w:val="20"/>
          <w:szCs w:val="20"/>
        </w:rPr>
        <w:t xml:space="preserve">. </w:t>
      </w:r>
    </w:p>
    <w:p w:rsidR="008B3DD4" w:rsidRPr="00904033" w:rsidRDefault="009F047D" w:rsidP="00FD5EA3">
      <w:pPr>
        <w:autoSpaceDE w:val="0"/>
        <w:autoSpaceDN w:val="0"/>
        <w:bidi w:val="0"/>
        <w:adjustRightInd w:val="0"/>
        <w:snapToGrid w:val="0"/>
        <w:jc w:val="both"/>
        <w:rPr>
          <w:b/>
          <w:bCs/>
          <w:sz w:val="20"/>
          <w:szCs w:val="20"/>
        </w:rPr>
      </w:pPr>
      <w:r w:rsidRPr="00904033">
        <w:rPr>
          <w:b/>
          <w:bCs/>
          <w:sz w:val="20"/>
          <w:szCs w:val="20"/>
        </w:rPr>
        <w:t xml:space="preserve">Surgery: </w:t>
      </w:r>
    </w:p>
    <w:p w:rsidR="009F047D" w:rsidRPr="00904033" w:rsidRDefault="00083473" w:rsidP="00FD5EA3">
      <w:pPr>
        <w:autoSpaceDE w:val="0"/>
        <w:autoSpaceDN w:val="0"/>
        <w:bidi w:val="0"/>
        <w:adjustRightInd w:val="0"/>
        <w:snapToGrid w:val="0"/>
        <w:ind w:firstLine="425"/>
        <w:jc w:val="both"/>
        <w:rPr>
          <w:sz w:val="20"/>
          <w:szCs w:val="20"/>
        </w:rPr>
      </w:pPr>
      <w:r w:rsidRPr="00904033">
        <w:rPr>
          <w:sz w:val="20"/>
          <w:szCs w:val="20"/>
        </w:rPr>
        <w:t>Forty-three of our</w:t>
      </w:r>
      <w:r w:rsidR="009F047D" w:rsidRPr="00904033">
        <w:rPr>
          <w:sz w:val="20"/>
          <w:szCs w:val="20"/>
        </w:rPr>
        <w:t xml:space="preserve"> patients (70.5%) were </w:t>
      </w:r>
      <w:r w:rsidR="00C814E6" w:rsidRPr="00904033">
        <w:rPr>
          <w:sz w:val="20"/>
          <w:szCs w:val="20"/>
        </w:rPr>
        <w:t xml:space="preserve">submitted </w:t>
      </w:r>
      <w:r w:rsidRPr="00904033">
        <w:rPr>
          <w:sz w:val="20"/>
          <w:szCs w:val="20"/>
        </w:rPr>
        <w:t>to conservative</w:t>
      </w:r>
      <w:r w:rsidR="009F047D" w:rsidRPr="00904033">
        <w:rPr>
          <w:sz w:val="20"/>
          <w:szCs w:val="20"/>
        </w:rPr>
        <w:t xml:space="preserve"> breast surgery. </w:t>
      </w:r>
      <w:r w:rsidRPr="00904033">
        <w:rPr>
          <w:sz w:val="20"/>
          <w:szCs w:val="20"/>
        </w:rPr>
        <w:t>While 18</w:t>
      </w:r>
      <w:r w:rsidR="009F047D" w:rsidRPr="00904033">
        <w:rPr>
          <w:sz w:val="20"/>
          <w:szCs w:val="20"/>
        </w:rPr>
        <w:t xml:space="preserve"> patients (29.5%)</w:t>
      </w:r>
      <w:r w:rsidRPr="00904033">
        <w:rPr>
          <w:sz w:val="20"/>
          <w:szCs w:val="20"/>
        </w:rPr>
        <w:t xml:space="preserve"> underwent modified radical mastectomy. all</w:t>
      </w:r>
      <w:r w:rsidR="008A02E6" w:rsidRPr="00904033">
        <w:rPr>
          <w:sz w:val="20"/>
          <w:szCs w:val="20"/>
        </w:rPr>
        <w:t xml:space="preserve"> </w:t>
      </w:r>
      <w:r w:rsidR="009D46F0" w:rsidRPr="00904033">
        <w:rPr>
          <w:sz w:val="20"/>
          <w:szCs w:val="20"/>
        </w:rPr>
        <w:t>specimens</w:t>
      </w:r>
      <w:r w:rsidR="008A02E6" w:rsidRPr="00904033">
        <w:rPr>
          <w:sz w:val="20"/>
          <w:szCs w:val="20"/>
        </w:rPr>
        <w:t xml:space="preserve"> </w:t>
      </w:r>
      <w:r w:rsidR="00F36A07" w:rsidRPr="00904033">
        <w:rPr>
          <w:sz w:val="20"/>
          <w:szCs w:val="20"/>
        </w:rPr>
        <w:t>were histologically</w:t>
      </w:r>
      <w:r w:rsidR="008A02E6" w:rsidRPr="00904033">
        <w:rPr>
          <w:sz w:val="20"/>
          <w:szCs w:val="20"/>
        </w:rPr>
        <w:t xml:space="preserve"> </w:t>
      </w:r>
      <w:r w:rsidR="00F36A07" w:rsidRPr="00904033">
        <w:rPr>
          <w:sz w:val="20"/>
          <w:szCs w:val="20"/>
        </w:rPr>
        <w:t>evaluated to</w:t>
      </w:r>
      <w:r w:rsidR="008A02E6" w:rsidRPr="00904033">
        <w:rPr>
          <w:sz w:val="20"/>
          <w:szCs w:val="20"/>
        </w:rPr>
        <w:t xml:space="preserve"> </w:t>
      </w:r>
      <w:r w:rsidR="00C97EF4" w:rsidRPr="00904033">
        <w:rPr>
          <w:sz w:val="20"/>
          <w:szCs w:val="20"/>
        </w:rPr>
        <w:t>assess</w:t>
      </w:r>
      <w:r w:rsidR="008A02E6" w:rsidRPr="00904033">
        <w:rPr>
          <w:sz w:val="20"/>
          <w:szCs w:val="20"/>
        </w:rPr>
        <w:t xml:space="preserve"> </w:t>
      </w:r>
      <w:r w:rsidR="00E1196C" w:rsidRPr="00904033">
        <w:rPr>
          <w:sz w:val="20"/>
          <w:szCs w:val="20"/>
        </w:rPr>
        <w:t xml:space="preserve">the pathological response for </w:t>
      </w:r>
      <w:r w:rsidR="00F36A07" w:rsidRPr="00904033">
        <w:rPr>
          <w:sz w:val="20"/>
          <w:szCs w:val="20"/>
        </w:rPr>
        <w:t>NAC of</w:t>
      </w:r>
      <w:r w:rsidR="00E1196C" w:rsidRPr="00904033">
        <w:rPr>
          <w:sz w:val="20"/>
          <w:szCs w:val="20"/>
        </w:rPr>
        <w:t xml:space="preserve"> s</w:t>
      </w:r>
      <w:r w:rsidR="00826294" w:rsidRPr="00904033">
        <w:rPr>
          <w:sz w:val="20"/>
          <w:szCs w:val="20"/>
        </w:rPr>
        <w:t xml:space="preserve">urgical </w:t>
      </w:r>
      <w:r w:rsidRPr="00904033">
        <w:rPr>
          <w:sz w:val="20"/>
          <w:szCs w:val="20"/>
        </w:rPr>
        <w:t>specimens.</w:t>
      </w:r>
      <w:r w:rsidR="00826294" w:rsidRPr="00904033">
        <w:rPr>
          <w:sz w:val="20"/>
          <w:szCs w:val="20"/>
        </w:rPr>
        <w:t xml:space="preserve"> </w:t>
      </w:r>
      <w:r w:rsidR="00F36A07" w:rsidRPr="00904033">
        <w:rPr>
          <w:sz w:val="20"/>
          <w:szCs w:val="20"/>
        </w:rPr>
        <w:t>When</w:t>
      </w:r>
      <w:r w:rsidR="008A02E6" w:rsidRPr="00904033">
        <w:rPr>
          <w:sz w:val="20"/>
          <w:szCs w:val="20"/>
        </w:rPr>
        <w:t xml:space="preserve"> no residual invasive tumor cells, </w:t>
      </w:r>
      <w:r w:rsidR="00E1196C" w:rsidRPr="00904033">
        <w:rPr>
          <w:sz w:val="20"/>
          <w:szCs w:val="20"/>
        </w:rPr>
        <w:t xml:space="preserve">pathological complete response (pCR) were </w:t>
      </w:r>
      <w:r w:rsidR="00F36A07" w:rsidRPr="00904033">
        <w:rPr>
          <w:sz w:val="20"/>
          <w:szCs w:val="20"/>
        </w:rPr>
        <w:t>reported.</w:t>
      </w:r>
    </w:p>
    <w:p w:rsidR="008B3DD4" w:rsidRPr="00904033" w:rsidRDefault="0034171B" w:rsidP="00FD5EA3">
      <w:pPr>
        <w:pStyle w:val="Heading3"/>
        <w:keepNext w:val="0"/>
        <w:snapToGrid w:val="0"/>
        <w:jc w:val="both"/>
        <w:rPr>
          <w:sz w:val="20"/>
          <w:szCs w:val="20"/>
        </w:rPr>
      </w:pPr>
      <w:r w:rsidRPr="00904033">
        <w:rPr>
          <w:sz w:val="20"/>
          <w:szCs w:val="20"/>
        </w:rPr>
        <w:t xml:space="preserve">Radiotherapy: </w:t>
      </w:r>
    </w:p>
    <w:p w:rsidR="0034171B" w:rsidRPr="00904033" w:rsidRDefault="006269AF" w:rsidP="00FD5EA3">
      <w:pPr>
        <w:pStyle w:val="Heading3"/>
        <w:keepNext w:val="0"/>
        <w:snapToGrid w:val="0"/>
        <w:ind w:firstLine="425"/>
        <w:jc w:val="both"/>
        <w:rPr>
          <w:b w:val="0"/>
          <w:bCs w:val="0"/>
          <w:sz w:val="20"/>
          <w:szCs w:val="20"/>
        </w:rPr>
      </w:pPr>
      <w:r w:rsidRPr="00904033">
        <w:rPr>
          <w:b w:val="0"/>
          <w:bCs w:val="0"/>
          <w:sz w:val="20"/>
          <w:szCs w:val="20"/>
        </w:rPr>
        <w:t>Fifty-three</w:t>
      </w:r>
      <w:r w:rsidR="00662001" w:rsidRPr="00904033">
        <w:rPr>
          <w:b w:val="0"/>
          <w:bCs w:val="0"/>
          <w:sz w:val="20"/>
          <w:szCs w:val="20"/>
        </w:rPr>
        <w:t xml:space="preserve"> of </w:t>
      </w:r>
      <w:r w:rsidRPr="00904033">
        <w:rPr>
          <w:b w:val="0"/>
          <w:bCs w:val="0"/>
          <w:sz w:val="20"/>
          <w:szCs w:val="20"/>
        </w:rPr>
        <w:t>our patients</w:t>
      </w:r>
      <w:r w:rsidR="0034171B" w:rsidRPr="00904033">
        <w:rPr>
          <w:b w:val="0"/>
          <w:bCs w:val="0"/>
          <w:sz w:val="20"/>
          <w:szCs w:val="20"/>
        </w:rPr>
        <w:t xml:space="preserve"> (87%) </w:t>
      </w:r>
      <w:r w:rsidRPr="00904033">
        <w:rPr>
          <w:b w:val="0"/>
          <w:bCs w:val="0"/>
          <w:sz w:val="20"/>
          <w:szCs w:val="20"/>
        </w:rPr>
        <w:t>received radiotherapy</w:t>
      </w:r>
      <w:r w:rsidR="00330828" w:rsidRPr="00904033">
        <w:rPr>
          <w:b w:val="0"/>
          <w:bCs w:val="0"/>
          <w:sz w:val="20"/>
          <w:szCs w:val="20"/>
        </w:rPr>
        <w:t xml:space="preserve"> </w:t>
      </w:r>
      <w:r w:rsidR="00146D23" w:rsidRPr="00904033">
        <w:rPr>
          <w:b w:val="0"/>
          <w:bCs w:val="0"/>
          <w:sz w:val="20"/>
          <w:szCs w:val="20"/>
        </w:rPr>
        <w:t xml:space="preserve">using linear </w:t>
      </w:r>
      <w:r w:rsidRPr="00904033">
        <w:rPr>
          <w:b w:val="0"/>
          <w:bCs w:val="0"/>
          <w:sz w:val="20"/>
          <w:szCs w:val="20"/>
        </w:rPr>
        <w:t>accelerator machine</w:t>
      </w:r>
      <w:r w:rsidR="0034171B" w:rsidRPr="00904033">
        <w:rPr>
          <w:b w:val="0"/>
          <w:bCs w:val="0"/>
          <w:sz w:val="20"/>
          <w:szCs w:val="20"/>
        </w:rPr>
        <w:t xml:space="preserve">. </w:t>
      </w:r>
      <w:r w:rsidR="008A02E6" w:rsidRPr="00904033">
        <w:rPr>
          <w:b w:val="0"/>
          <w:bCs w:val="0"/>
          <w:sz w:val="20"/>
          <w:szCs w:val="20"/>
        </w:rPr>
        <w:t xml:space="preserve">radiotherapy was delivered to the whole breast </w:t>
      </w:r>
      <w:r w:rsidR="00E1196C" w:rsidRPr="00904033">
        <w:rPr>
          <w:b w:val="0"/>
          <w:bCs w:val="0"/>
          <w:sz w:val="20"/>
          <w:szCs w:val="20"/>
        </w:rPr>
        <w:t xml:space="preserve">In patients with conservative breast </w:t>
      </w:r>
      <w:r w:rsidRPr="00904033">
        <w:rPr>
          <w:b w:val="0"/>
          <w:bCs w:val="0"/>
          <w:sz w:val="20"/>
          <w:szCs w:val="20"/>
        </w:rPr>
        <w:t>surgery, while patients</w:t>
      </w:r>
      <w:r w:rsidR="00E1196C" w:rsidRPr="00904033">
        <w:rPr>
          <w:b w:val="0"/>
          <w:bCs w:val="0"/>
          <w:sz w:val="20"/>
          <w:szCs w:val="20"/>
        </w:rPr>
        <w:t xml:space="preserve"> underwent modified radical </w:t>
      </w:r>
      <w:r w:rsidRPr="00904033">
        <w:rPr>
          <w:b w:val="0"/>
          <w:bCs w:val="0"/>
          <w:sz w:val="20"/>
          <w:szCs w:val="20"/>
        </w:rPr>
        <w:t>mastectomy radiotherapy</w:t>
      </w:r>
      <w:r w:rsidR="00E1196C" w:rsidRPr="00904033">
        <w:rPr>
          <w:b w:val="0"/>
          <w:bCs w:val="0"/>
          <w:sz w:val="20"/>
          <w:szCs w:val="20"/>
        </w:rPr>
        <w:t xml:space="preserve"> was delivered </w:t>
      </w:r>
      <w:r w:rsidR="0034171B" w:rsidRPr="00904033">
        <w:rPr>
          <w:b w:val="0"/>
          <w:bCs w:val="0"/>
          <w:sz w:val="20"/>
          <w:szCs w:val="20"/>
        </w:rPr>
        <w:t xml:space="preserve">to the chest </w:t>
      </w:r>
      <w:r w:rsidRPr="00904033">
        <w:rPr>
          <w:b w:val="0"/>
          <w:bCs w:val="0"/>
          <w:sz w:val="20"/>
          <w:szCs w:val="20"/>
        </w:rPr>
        <w:t>wall.</w:t>
      </w:r>
      <w:r w:rsidR="0034171B" w:rsidRPr="00904033">
        <w:rPr>
          <w:b w:val="0"/>
          <w:bCs w:val="0"/>
          <w:sz w:val="20"/>
          <w:szCs w:val="20"/>
        </w:rPr>
        <w:t xml:space="preserve"> </w:t>
      </w:r>
      <w:r w:rsidR="00662001" w:rsidRPr="00904033">
        <w:rPr>
          <w:b w:val="0"/>
          <w:bCs w:val="0"/>
          <w:sz w:val="20"/>
          <w:szCs w:val="20"/>
        </w:rPr>
        <w:t>Patients</w:t>
      </w:r>
      <w:r w:rsidR="008A02E6" w:rsidRPr="00904033">
        <w:rPr>
          <w:b w:val="0"/>
          <w:bCs w:val="0"/>
          <w:sz w:val="20"/>
          <w:szCs w:val="20"/>
        </w:rPr>
        <w:t xml:space="preserve"> </w:t>
      </w:r>
      <w:r w:rsidRPr="00904033">
        <w:rPr>
          <w:b w:val="0"/>
          <w:bCs w:val="0"/>
          <w:sz w:val="20"/>
          <w:szCs w:val="20"/>
        </w:rPr>
        <w:t>received a total</w:t>
      </w:r>
      <w:r w:rsidR="0034171B" w:rsidRPr="00904033">
        <w:rPr>
          <w:b w:val="0"/>
          <w:bCs w:val="0"/>
          <w:sz w:val="20"/>
          <w:szCs w:val="20"/>
        </w:rPr>
        <w:t xml:space="preserve"> dose of 50 Gy given in 25 fractions </w:t>
      </w:r>
      <w:r w:rsidRPr="00904033">
        <w:rPr>
          <w:b w:val="0"/>
          <w:bCs w:val="0"/>
          <w:sz w:val="20"/>
          <w:szCs w:val="20"/>
        </w:rPr>
        <w:t>over 5</w:t>
      </w:r>
      <w:r w:rsidR="0034171B" w:rsidRPr="00904033">
        <w:rPr>
          <w:b w:val="0"/>
          <w:bCs w:val="0"/>
          <w:sz w:val="20"/>
          <w:szCs w:val="20"/>
        </w:rPr>
        <w:t xml:space="preserve"> weeks (</w:t>
      </w:r>
      <w:r w:rsidR="00662001" w:rsidRPr="00904033">
        <w:rPr>
          <w:b w:val="0"/>
          <w:bCs w:val="0"/>
          <w:sz w:val="20"/>
          <w:szCs w:val="20"/>
        </w:rPr>
        <w:t>1.8</w:t>
      </w:r>
      <w:r w:rsidR="002F16E4" w:rsidRPr="00904033">
        <w:rPr>
          <w:b w:val="0"/>
          <w:bCs w:val="0"/>
          <w:sz w:val="20"/>
          <w:szCs w:val="20"/>
        </w:rPr>
        <w:t xml:space="preserve"> to </w:t>
      </w:r>
      <w:r w:rsidR="00662001" w:rsidRPr="00904033">
        <w:rPr>
          <w:b w:val="0"/>
          <w:bCs w:val="0"/>
          <w:sz w:val="20"/>
          <w:szCs w:val="20"/>
        </w:rPr>
        <w:t>0.2 Gy per fraction</w:t>
      </w:r>
      <w:r w:rsidR="0014234F" w:rsidRPr="00904033">
        <w:rPr>
          <w:b w:val="0"/>
          <w:bCs w:val="0"/>
          <w:sz w:val="20"/>
          <w:szCs w:val="20"/>
        </w:rPr>
        <w:t>). In</w:t>
      </w:r>
      <w:r w:rsidR="008A02E6" w:rsidRPr="00904033">
        <w:rPr>
          <w:b w:val="0"/>
          <w:bCs w:val="0"/>
          <w:sz w:val="20"/>
          <w:szCs w:val="20"/>
        </w:rPr>
        <w:t xml:space="preserve"> patients submitted to conservative breast surgery, </w:t>
      </w:r>
      <w:r w:rsidR="0034171B" w:rsidRPr="00904033">
        <w:rPr>
          <w:b w:val="0"/>
          <w:bCs w:val="0"/>
          <w:sz w:val="20"/>
          <w:szCs w:val="20"/>
        </w:rPr>
        <w:t xml:space="preserve">A boost of 10 Gy in 5 fractions over 1 week was applied to the </w:t>
      </w:r>
      <w:r w:rsidR="00E1196C" w:rsidRPr="00904033">
        <w:rPr>
          <w:b w:val="0"/>
          <w:bCs w:val="0"/>
          <w:sz w:val="20"/>
          <w:szCs w:val="20"/>
        </w:rPr>
        <w:t xml:space="preserve">bed of </w:t>
      </w:r>
      <w:r w:rsidR="0014234F" w:rsidRPr="00904033">
        <w:rPr>
          <w:b w:val="0"/>
          <w:bCs w:val="0"/>
          <w:sz w:val="20"/>
          <w:szCs w:val="20"/>
        </w:rPr>
        <w:t>tumor. Through</w:t>
      </w:r>
      <w:r w:rsidR="00BC6615" w:rsidRPr="00904033">
        <w:rPr>
          <w:b w:val="0"/>
          <w:bCs w:val="0"/>
          <w:sz w:val="20"/>
          <w:szCs w:val="20"/>
        </w:rPr>
        <w:t xml:space="preserve"> two tangential fields </w:t>
      </w:r>
      <w:r w:rsidR="0014234F" w:rsidRPr="00904033">
        <w:rPr>
          <w:b w:val="0"/>
          <w:bCs w:val="0"/>
          <w:sz w:val="20"/>
          <w:szCs w:val="20"/>
        </w:rPr>
        <w:t>the</w:t>
      </w:r>
      <w:r w:rsidR="0034171B" w:rsidRPr="00904033">
        <w:rPr>
          <w:b w:val="0"/>
          <w:bCs w:val="0"/>
          <w:sz w:val="20"/>
          <w:szCs w:val="20"/>
        </w:rPr>
        <w:t xml:space="preserve"> </w:t>
      </w:r>
      <w:r w:rsidR="00E1196C" w:rsidRPr="00904033">
        <w:rPr>
          <w:b w:val="0"/>
          <w:bCs w:val="0"/>
          <w:sz w:val="20"/>
          <w:szCs w:val="20"/>
        </w:rPr>
        <w:t xml:space="preserve">internal mammary lymph nodes and </w:t>
      </w:r>
      <w:r w:rsidR="0034171B" w:rsidRPr="00904033">
        <w:rPr>
          <w:b w:val="0"/>
          <w:bCs w:val="0"/>
          <w:sz w:val="20"/>
          <w:szCs w:val="20"/>
        </w:rPr>
        <w:t xml:space="preserve">chest wall were irradiated. </w:t>
      </w:r>
      <w:r w:rsidR="00E1196C" w:rsidRPr="00904033">
        <w:rPr>
          <w:b w:val="0"/>
          <w:bCs w:val="0"/>
          <w:sz w:val="20"/>
          <w:szCs w:val="20"/>
        </w:rPr>
        <w:t xml:space="preserve">Axillary and </w:t>
      </w:r>
      <w:r w:rsidR="0034171B" w:rsidRPr="00904033">
        <w:rPr>
          <w:b w:val="0"/>
          <w:bCs w:val="0"/>
          <w:sz w:val="20"/>
          <w:szCs w:val="20"/>
        </w:rPr>
        <w:t xml:space="preserve">Supraclavicular </w:t>
      </w:r>
      <w:r w:rsidR="00E1196C" w:rsidRPr="00904033">
        <w:rPr>
          <w:b w:val="0"/>
          <w:bCs w:val="0"/>
          <w:sz w:val="20"/>
          <w:szCs w:val="20"/>
        </w:rPr>
        <w:t xml:space="preserve">nodes </w:t>
      </w:r>
      <w:r w:rsidR="0034171B" w:rsidRPr="00904033">
        <w:rPr>
          <w:b w:val="0"/>
          <w:bCs w:val="0"/>
          <w:sz w:val="20"/>
          <w:szCs w:val="20"/>
        </w:rPr>
        <w:t xml:space="preserve">were treated with an anterior </w:t>
      </w:r>
      <w:r w:rsidRPr="00904033">
        <w:rPr>
          <w:b w:val="0"/>
          <w:bCs w:val="0"/>
          <w:sz w:val="20"/>
          <w:szCs w:val="20"/>
        </w:rPr>
        <w:t>field.</w:t>
      </w:r>
      <w:r w:rsidR="0034171B" w:rsidRPr="00904033">
        <w:rPr>
          <w:b w:val="0"/>
          <w:bCs w:val="0"/>
          <w:sz w:val="20"/>
          <w:szCs w:val="20"/>
        </w:rPr>
        <w:t xml:space="preserve"> </w:t>
      </w:r>
    </w:p>
    <w:p w:rsidR="00210CCE" w:rsidRPr="00904033" w:rsidRDefault="00210CCE" w:rsidP="00FD5EA3">
      <w:pPr>
        <w:autoSpaceDE w:val="0"/>
        <w:autoSpaceDN w:val="0"/>
        <w:bidi w:val="0"/>
        <w:adjustRightInd w:val="0"/>
        <w:snapToGrid w:val="0"/>
        <w:jc w:val="both"/>
        <w:rPr>
          <w:b/>
          <w:bCs/>
          <w:sz w:val="20"/>
          <w:szCs w:val="20"/>
        </w:rPr>
      </w:pPr>
      <w:r w:rsidRPr="00904033">
        <w:rPr>
          <w:b/>
          <w:bCs/>
          <w:sz w:val="20"/>
          <w:szCs w:val="20"/>
        </w:rPr>
        <w:t>Patient and Treatment Evaluation</w:t>
      </w:r>
    </w:p>
    <w:p w:rsidR="00210CCE" w:rsidRPr="00904033" w:rsidRDefault="00210CCE" w:rsidP="00FD5EA3">
      <w:pPr>
        <w:autoSpaceDE w:val="0"/>
        <w:autoSpaceDN w:val="0"/>
        <w:bidi w:val="0"/>
        <w:adjustRightInd w:val="0"/>
        <w:snapToGrid w:val="0"/>
        <w:jc w:val="both"/>
        <w:rPr>
          <w:b/>
          <w:bCs/>
          <w:sz w:val="20"/>
          <w:szCs w:val="20"/>
        </w:rPr>
      </w:pPr>
      <w:r w:rsidRPr="00904033">
        <w:rPr>
          <w:b/>
          <w:bCs/>
          <w:sz w:val="20"/>
          <w:szCs w:val="20"/>
        </w:rPr>
        <w:t>Assessment of Clinical Benefit</w:t>
      </w:r>
    </w:p>
    <w:p w:rsidR="00210CCE" w:rsidRPr="00904033" w:rsidRDefault="0014234F" w:rsidP="00FD5EA3">
      <w:pPr>
        <w:pStyle w:val="NormalWeb"/>
        <w:snapToGrid w:val="0"/>
        <w:spacing w:before="0" w:beforeAutospacing="0" w:after="0" w:afterAutospacing="0"/>
        <w:ind w:firstLine="425"/>
        <w:jc w:val="both"/>
        <w:rPr>
          <w:sz w:val="20"/>
          <w:szCs w:val="20"/>
        </w:rPr>
      </w:pPr>
      <w:r w:rsidRPr="00904033">
        <w:rPr>
          <w:sz w:val="20"/>
          <w:szCs w:val="20"/>
        </w:rPr>
        <w:t>Assessment</w:t>
      </w:r>
      <w:r w:rsidR="005B26B2" w:rsidRPr="00904033">
        <w:rPr>
          <w:sz w:val="20"/>
          <w:szCs w:val="20"/>
        </w:rPr>
        <w:t xml:space="preserve"> of tumor response was done,</w:t>
      </w:r>
      <w:r w:rsidR="00C97EF4" w:rsidRPr="00904033">
        <w:rPr>
          <w:sz w:val="20"/>
          <w:szCs w:val="20"/>
        </w:rPr>
        <w:t xml:space="preserve"> </w:t>
      </w:r>
      <w:r w:rsidR="005B26B2" w:rsidRPr="00904033">
        <w:rPr>
          <w:sz w:val="20"/>
          <w:szCs w:val="20"/>
        </w:rPr>
        <w:t>a</w:t>
      </w:r>
      <w:r w:rsidR="00CD6C64" w:rsidRPr="00904033">
        <w:rPr>
          <w:sz w:val="20"/>
          <w:szCs w:val="20"/>
        </w:rPr>
        <w:t xml:space="preserve">fter every three cycles of </w:t>
      </w:r>
      <w:r w:rsidR="00637025" w:rsidRPr="00904033">
        <w:rPr>
          <w:sz w:val="20"/>
          <w:szCs w:val="20"/>
        </w:rPr>
        <w:t>treatment.</w:t>
      </w:r>
      <w:r w:rsidR="00210CCE" w:rsidRPr="00904033">
        <w:rPr>
          <w:sz w:val="20"/>
          <w:szCs w:val="20"/>
        </w:rPr>
        <w:t xml:space="preserve"> </w:t>
      </w:r>
      <w:r w:rsidR="00A03D50" w:rsidRPr="00904033">
        <w:rPr>
          <w:sz w:val="20"/>
          <w:szCs w:val="20"/>
        </w:rPr>
        <w:t xml:space="preserve">Monitoring </w:t>
      </w:r>
      <w:r w:rsidR="00092A18" w:rsidRPr="00904033">
        <w:rPr>
          <w:sz w:val="20"/>
          <w:szCs w:val="20"/>
        </w:rPr>
        <w:t xml:space="preserve">was done Pre- and on-treatment </w:t>
      </w:r>
      <w:r w:rsidR="00A03D50" w:rsidRPr="00904033">
        <w:rPr>
          <w:sz w:val="20"/>
          <w:szCs w:val="20"/>
        </w:rPr>
        <w:t xml:space="preserve">of medical history, physical </w:t>
      </w:r>
      <w:r w:rsidRPr="00904033">
        <w:rPr>
          <w:sz w:val="20"/>
          <w:szCs w:val="20"/>
        </w:rPr>
        <w:t>examination,</w:t>
      </w:r>
      <w:r w:rsidR="00A03D50" w:rsidRPr="00904033">
        <w:rPr>
          <w:sz w:val="20"/>
          <w:szCs w:val="20"/>
        </w:rPr>
        <w:t xml:space="preserve"> local breast examination, bilateral mammography, CT-scan of the chest, abdomen and </w:t>
      </w:r>
      <w:r w:rsidR="00F36A07" w:rsidRPr="00904033">
        <w:rPr>
          <w:sz w:val="20"/>
          <w:szCs w:val="20"/>
        </w:rPr>
        <w:t>pelvis. According</w:t>
      </w:r>
      <w:r w:rsidR="00092A18" w:rsidRPr="00904033">
        <w:rPr>
          <w:sz w:val="20"/>
          <w:szCs w:val="20"/>
        </w:rPr>
        <w:t xml:space="preserve"> to the</w:t>
      </w:r>
      <w:r w:rsidR="00C97EF4" w:rsidRPr="00904033">
        <w:rPr>
          <w:sz w:val="20"/>
          <w:szCs w:val="20"/>
        </w:rPr>
        <w:t xml:space="preserve"> </w:t>
      </w:r>
      <w:r w:rsidR="00092A18" w:rsidRPr="00904033">
        <w:rPr>
          <w:sz w:val="20"/>
          <w:szCs w:val="20"/>
        </w:rPr>
        <w:t xml:space="preserve">standard definitions of </w:t>
      </w:r>
      <w:r w:rsidR="00F36A07" w:rsidRPr="00904033">
        <w:rPr>
          <w:sz w:val="20"/>
          <w:szCs w:val="20"/>
        </w:rPr>
        <w:t>RECIST, criteria</w:t>
      </w:r>
      <w:r w:rsidR="00210CCE" w:rsidRPr="00904033">
        <w:rPr>
          <w:sz w:val="20"/>
          <w:szCs w:val="20"/>
        </w:rPr>
        <w:t xml:space="preserve"> of complete response, partial response, stable disease and progressive disease were </w:t>
      </w:r>
      <w:r w:rsidR="00092A18" w:rsidRPr="00904033">
        <w:rPr>
          <w:sz w:val="20"/>
          <w:szCs w:val="20"/>
        </w:rPr>
        <w:t>done</w:t>
      </w:r>
      <w:r w:rsidR="00210CCE" w:rsidRPr="00904033">
        <w:rPr>
          <w:sz w:val="20"/>
          <w:szCs w:val="20"/>
        </w:rPr>
        <w:t xml:space="preserve">. </w:t>
      </w:r>
    </w:p>
    <w:p w:rsidR="007C0CE7" w:rsidRPr="00904033" w:rsidRDefault="00210CCE" w:rsidP="00FD5EA3">
      <w:pPr>
        <w:pStyle w:val="NormalWeb"/>
        <w:snapToGrid w:val="0"/>
        <w:spacing w:before="0" w:beforeAutospacing="0" w:after="0" w:afterAutospacing="0"/>
        <w:jc w:val="both"/>
        <w:rPr>
          <w:b/>
          <w:bCs/>
          <w:sz w:val="20"/>
          <w:szCs w:val="20"/>
        </w:rPr>
      </w:pPr>
      <w:r w:rsidRPr="00904033">
        <w:rPr>
          <w:b/>
          <w:bCs/>
          <w:sz w:val="20"/>
          <w:szCs w:val="20"/>
        </w:rPr>
        <w:t>Toxicity</w:t>
      </w:r>
      <w:bookmarkStart w:id="0" w:name="_Hlk34619822"/>
    </w:p>
    <w:bookmarkEnd w:id="0"/>
    <w:p w:rsidR="00210CCE" w:rsidRPr="00904033" w:rsidRDefault="00F36A07" w:rsidP="00FD5EA3">
      <w:pPr>
        <w:pStyle w:val="NormalWeb"/>
        <w:snapToGrid w:val="0"/>
        <w:spacing w:before="0" w:beforeAutospacing="0" w:after="0" w:afterAutospacing="0"/>
        <w:ind w:firstLine="425"/>
        <w:jc w:val="both"/>
        <w:rPr>
          <w:b/>
          <w:bCs/>
          <w:sz w:val="20"/>
          <w:szCs w:val="20"/>
        </w:rPr>
      </w:pPr>
      <w:r w:rsidRPr="00904033">
        <w:rPr>
          <w:sz w:val="20"/>
          <w:szCs w:val="20"/>
        </w:rPr>
        <w:t>Toxicity</w:t>
      </w:r>
      <w:r w:rsidR="00210CCE" w:rsidRPr="00904033">
        <w:rPr>
          <w:sz w:val="20"/>
          <w:szCs w:val="20"/>
        </w:rPr>
        <w:t xml:space="preserve"> grading was based </w:t>
      </w:r>
      <w:r w:rsidR="007C3035" w:rsidRPr="00904033">
        <w:rPr>
          <w:sz w:val="20"/>
          <w:szCs w:val="20"/>
        </w:rPr>
        <w:t>on common</w:t>
      </w:r>
      <w:r w:rsidR="00637025" w:rsidRPr="00904033">
        <w:rPr>
          <w:sz w:val="20"/>
          <w:szCs w:val="20"/>
        </w:rPr>
        <w:t xml:space="preserve"> terminology criteria for adverse events,</w:t>
      </w:r>
      <w:r w:rsidR="00330828" w:rsidRPr="00904033">
        <w:rPr>
          <w:sz w:val="20"/>
          <w:szCs w:val="20"/>
        </w:rPr>
        <w:t xml:space="preserve"> </w:t>
      </w:r>
      <w:r w:rsidR="00210CCE" w:rsidRPr="00904033">
        <w:rPr>
          <w:sz w:val="20"/>
          <w:szCs w:val="20"/>
        </w:rPr>
        <w:t>(NCI-CTC, version 3.0</w:t>
      </w:r>
      <w:r w:rsidR="00C97EF4" w:rsidRPr="00904033">
        <w:rPr>
          <w:color w:val="FF0000"/>
          <w:sz w:val="20"/>
          <w:szCs w:val="20"/>
        </w:rPr>
        <w:t xml:space="preserve"> </w:t>
      </w:r>
      <w:r w:rsidR="00C97EF4" w:rsidRPr="00904033">
        <w:rPr>
          <w:color w:val="000000"/>
          <w:sz w:val="20"/>
          <w:szCs w:val="20"/>
        </w:rPr>
        <w:t>(17).</w:t>
      </w:r>
    </w:p>
    <w:p w:rsidR="00206B2F" w:rsidRPr="00904033" w:rsidRDefault="00206B2F" w:rsidP="00FD5EA3">
      <w:pPr>
        <w:autoSpaceDE w:val="0"/>
        <w:autoSpaceDN w:val="0"/>
        <w:bidi w:val="0"/>
        <w:adjustRightInd w:val="0"/>
        <w:snapToGrid w:val="0"/>
        <w:jc w:val="both"/>
        <w:rPr>
          <w:b/>
          <w:bCs/>
          <w:sz w:val="20"/>
          <w:szCs w:val="20"/>
        </w:rPr>
      </w:pPr>
      <w:r w:rsidRPr="00904033">
        <w:rPr>
          <w:b/>
          <w:bCs/>
          <w:sz w:val="20"/>
          <w:szCs w:val="20"/>
        </w:rPr>
        <w:t>Paraffin blocks collection</w:t>
      </w:r>
    </w:p>
    <w:p w:rsidR="00C97EF4" w:rsidRPr="00904033" w:rsidRDefault="00481440" w:rsidP="00FD5EA3">
      <w:pPr>
        <w:pStyle w:val="NormalWeb"/>
        <w:snapToGrid w:val="0"/>
        <w:spacing w:before="0" w:beforeAutospacing="0" w:after="0" w:afterAutospacing="0"/>
        <w:ind w:firstLine="425"/>
        <w:jc w:val="both"/>
        <w:rPr>
          <w:sz w:val="20"/>
          <w:szCs w:val="20"/>
        </w:rPr>
      </w:pPr>
      <w:r w:rsidRPr="00904033">
        <w:rPr>
          <w:sz w:val="20"/>
          <w:szCs w:val="20"/>
        </w:rPr>
        <w:t xml:space="preserve">From the archives of the department </w:t>
      </w:r>
      <w:r w:rsidR="007C3035" w:rsidRPr="00904033">
        <w:rPr>
          <w:sz w:val="20"/>
          <w:szCs w:val="20"/>
        </w:rPr>
        <w:t>of pathology</w:t>
      </w:r>
      <w:r w:rsidRPr="00904033">
        <w:rPr>
          <w:sz w:val="20"/>
          <w:szCs w:val="20"/>
        </w:rPr>
        <w:t xml:space="preserve">, Faculty of Medicine, Tanta </w:t>
      </w:r>
      <w:r w:rsidR="007C3035" w:rsidRPr="00904033">
        <w:rPr>
          <w:sz w:val="20"/>
          <w:szCs w:val="20"/>
        </w:rPr>
        <w:t>University,</w:t>
      </w:r>
      <w:r w:rsidRPr="00904033">
        <w:rPr>
          <w:sz w:val="20"/>
          <w:szCs w:val="20"/>
        </w:rPr>
        <w:t xml:space="preserve"> </w:t>
      </w:r>
      <w:r w:rsidR="000677A4" w:rsidRPr="00904033">
        <w:rPr>
          <w:sz w:val="20"/>
          <w:szCs w:val="20"/>
        </w:rPr>
        <w:t xml:space="preserve">Paraffin blocks of the eligible patients were retrieved </w:t>
      </w:r>
      <w:r w:rsidR="007C3035" w:rsidRPr="00904033">
        <w:rPr>
          <w:sz w:val="20"/>
          <w:szCs w:val="20"/>
        </w:rPr>
        <w:t>and H</w:t>
      </w:r>
      <w:r w:rsidR="00330828" w:rsidRPr="00904033">
        <w:rPr>
          <w:sz w:val="20"/>
          <w:szCs w:val="20"/>
        </w:rPr>
        <w:t xml:space="preserve"> &amp; </w:t>
      </w:r>
      <w:r w:rsidR="000677A4" w:rsidRPr="00904033">
        <w:rPr>
          <w:sz w:val="20"/>
          <w:szCs w:val="20"/>
        </w:rPr>
        <w:t xml:space="preserve">E sections were </w:t>
      </w:r>
      <w:r w:rsidR="007C3035" w:rsidRPr="00904033">
        <w:rPr>
          <w:sz w:val="20"/>
          <w:szCs w:val="20"/>
        </w:rPr>
        <w:t>prepared for</w:t>
      </w:r>
      <w:r w:rsidR="000677A4" w:rsidRPr="00904033">
        <w:rPr>
          <w:sz w:val="20"/>
          <w:szCs w:val="20"/>
        </w:rPr>
        <w:t xml:space="preserve"> review and confirmation of </w:t>
      </w:r>
      <w:r w:rsidR="00D40ED0" w:rsidRPr="00904033">
        <w:rPr>
          <w:sz w:val="20"/>
          <w:szCs w:val="20"/>
        </w:rPr>
        <w:t>histo</w:t>
      </w:r>
      <w:r w:rsidR="000677A4" w:rsidRPr="00904033">
        <w:rPr>
          <w:sz w:val="20"/>
          <w:szCs w:val="20"/>
        </w:rPr>
        <w:t xml:space="preserve">pathological types, hormonal </w:t>
      </w:r>
      <w:r w:rsidR="007C3035" w:rsidRPr="00904033">
        <w:rPr>
          <w:sz w:val="20"/>
          <w:szCs w:val="20"/>
        </w:rPr>
        <w:t>status,</w:t>
      </w:r>
      <w:r w:rsidR="000677A4" w:rsidRPr="00904033">
        <w:rPr>
          <w:sz w:val="20"/>
          <w:szCs w:val="20"/>
        </w:rPr>
        <w:t xml:space="preserve"> HER2 </w:t>
      </w:r>
      <w:r w:rsidR="007C3035" w:rsidRPr="00904033">
        <w:rPr>
          <w:sz w:val="20"/>
          <w:szCs w:val="20"/>
        </w:rPr>
        <w:t>expression,</w:t>
      </w:r>
      <w:r w:rsidR="000677A4" w:rsidRPr="00904033">
        <w:rPr>
          <w:sz w:val="20"/>
          <w:szCs w:val="20"/>
        </w:rPr>
        <w:t xml:space="preserve"> </w:t>
      </w:r>
      <w:r w:rsidR="007C3035" w:rsidRPr="00904033">
        <w:rPr>
          <w:sz w:val="20"/>
          <w:szCs w:val="20"/>
        </w:rPr>
        <w:t>a</w:t>
      </w:r>
      <w:r w:rsidR="00D40ED0" w:rsidRPr="00904033">
        <w:rPr>
          <w:sz w:val="20"/>
          <w:szCs w:val="20"/>
        </w:rPr>
        <w:t xml:space="preserve">ccording to the WHO </w:t>
      </w:r>
      <w:r w:rsidR="00D40ED0" w:rsidRPr="00904033">
        <w:rPr>
          <w:sz w:val="20"/>
          <w:szCs w:val="20"/>
        </w:rPr>
        <w:lastRenderedPageBreak/>
        <w:t>classification of breast and female genital system</w:t>
      </w:r>
      <w:r w:rsidR="007C3035" w:rsidRPr="00904033">
        <w:rPr>
          <w:sz w:val="20"/>
          <w:szCs w:val="20"/>
        </w:rPr>
        <w:t>.</w:t>
      </w:r>
      <w:r w:rsidR="00D40ED0" w:rsidRPr="00904033">
        <w:rPr>
          <w:sz w:val="20"/>
          <w:szCs w:val="20"/>
        </w:rPr>
        <w:t xml:space="preserve"> </w:t>
      </w:r>
      <w:r w:rsidR="007C3035" w:rsidRPr="00904033">
        <w:rPr>
          <w:sz w:val="20"/>
          <w:szCs w:val="20"/>
        </w:rPr>
        <w:t>T</w:t>
      </w:r>
      <w:r w:rsidR="00D40ED0" w:rsidRPr="00904033">
        <w:rPr>
          <w:sz w:val="20"/>
          <w:szCs w:val="20"/>
        </w:rPr>
        <w:t xml:space="preserve">he tumors were classified, and </w:t>
      </w:r>
      <w:r w:rsidR="007C3035" w:rsidRPr="00904033">
        <w:rPr>
          <w:sz w:val="20"/>
          <w:szCs w:val="20"/>
        </w:rPr>
        <w:t>graded according</w:t>
      </w:r>
      <w:r w:rsidR="000677A4" w:rsidRPr="00904033">
        <w:rPr>
          <w:sz w:val="20"/>
          <w:szCs w:val="20"/>
        </w:rPr>
        <w:t xml:space="preserve"> to modified Scarff-</w:t>
      </w:r>
      <w:r w:rsidR="00C97EF4" w:rsidRPr="00904033">
        <w:rPr>
          <w:sz w:val="20"/>
          <w:szCs w:val="20"/>
        </w:rPr>
        <w:t>Bloom-Ri</w:t>
      </w:r>
      <w:r w:rsidR="00B7013D" w:rsidRPr="00904033">
        <w:rPr>
          <w:sz w:val="20"/>
          <w:szCs w:val="20"/>
        </w:rPr>
        <w:t>chardson grading system</w:t>
      </w:r>
      <w:r w:rsidR="00D40ED0" w:rsidRPr="00904033">
        <w:rPr>
          <w:sz w:val="20"/>
          <w:szCs w:val="20"/>
        </w:rPr>
        <w:t xml:space="preserve"> as well as staging was </w:t>
      </w:r>
      <w:r w:rsidR="007C3035" w:rsidRPr="00904033">
        <w:rPr>
          <w:sz w:val="20"/>
          <w:szCs w:val="20"/>
        </w:rPr>
        <w:t>done according</w:t>
      </w:r>
      <w:r w:rsidR="000677A4" w:rsidRPr="00904033">
        <w:rPr>
          <w:sz w:val="20"/>
          <w:szCs w:val="20"/>
        </w:rPr>
        <w:t xml:space="preserve"> to the seventh edition of the Amer</w:t>
      </w:r>
      <w:r w:rsidR="00C97EF4" w:rsidRPr="00904033">
        <w:rPr>
          <w:sz w:val="20"/>
          <w:szCs w:val="20"/>
        </w:rPr>
        <w:t>ican Joint Committee on Cancer (18</w:t>
      </w:r>
      <w:r w:rsidR="00F36A07" w:rsidRPr="00904033">
        <w:rPr>
          <w:sz w:val="20"/>
          <w:szCs w:val="20"/>
        </w:rPr>
        <w:t>).</w:t>
      </w:r>
    </w:p>
    <w:p w:rsidR="000677A4" w:rsidRPr="00904033" w:rsidRDefault="00C97EF4" w:rsidP="00FD5EA3">
      <w:pPr>
        <w:autoSpaceDE w:val="0"/>
        <w:autoSpaceDN w:val="0"/>
        <w:bidi w:val="0"/>
        <w:adjustRightInd w:val="0"/>
        <w:snapToGrid w:val="0"/>
        <w:ind w:firstLine="425"/>
        <w:jc w:val="both"/>
        <w:rPr>
          <w:sz w:val="20"/>
          <w:szCs w:val="20"/>
        </w:rPr>
      </w:pPr>
      <w:r w:rsidRPr="00904033">
        <w:rPr>
          <w:sz w:val="20"/>
          <w:szCs w:val="20"/>
        </w:rPr>
        <w:t>I</w:t>
      </w:r>
      <w:r w:rsidR="00625D70" w:rsidRPr="00904033">
        <w:rPr>
          <w:sz w:val="20"/>
          <w:szCs w:val="20"/>
        </w:rPr>
        <w:t>nvestigational research i</w:t>
      </w:r>
      <w:r w:rsidR="000677A4" w:rsidRPr="00904033">
        <w:rPr>
          <w:sz w:val="20"/>
          <w:szCs w:val="20"/>
        </w:rPr>
        <w:t>nformed consents for the using the patient's paraffin blocks were fully obtained from all patients included in th</w:t>
      </w:r>
      <w:r w:rsidR="007C3035" w:rsidRPr="00904033">
        <w:rPr>
          <w:sz w:val="20"/>
          <w:szCs w:val="20"/>
        </w:rPr>
        <w:t>is</w:t>
      </w:r>
      <w:r w:rsidR="000677A4" w:rsidRPr="00904033">
        <w:rPr>
          <w:sz w:val="20"/>
          <w:szCs w:val="20"/>
        </w:rPr>
        <w:t xml:space="preserve"> study.</w:t>
      </w:r>
    </w:p>
    <w:p w:rsidR="00206B2F" w:rsidRPr="00904033" w:rsidRDefault="000677A4" w:rsidP="00FD5EA3">
      <w:pPr>
        <w:autoSpaceDE w:val="0"/>
        <w:autoSpaceDN w:val="0"/>
        <w:bidi w:val="0"/>
        <w:adjustRightInd w:val="0"/>
        <w:snapToGrid w:val="0"/>
        <w:jc w:val="both"/>
        <w:rPr>
          <w:sz w:val="20"/>
          <w:szCs w:val="20"/>
        </w:rPr>
      </w:pPr>
      <w:r w:rsidRPr="00904033">
        <w:rPr>
          <w:b/>
          <w:bCs/>
          <w:sz w:val="20"/>
          <w:szCs w:val="20"/>
        </w:rPr>
        <w:t>Immunohistochemistry</w:t>
      </w:r>
    </w:p>
    <w:p w:rsidR="000677A4" w:rsidRPr="00904033" w:rsidRDefault="00970EE3" w:rsidP="00FD5EA3">
      <w:pPr>
        <w:autoSpaceDE w:val="0"/>
        <w:autoSpaceDN w:val="0"/>
        <w:bidi w:val="0"/>
        <w:adjustRightInd w:val="0"/>
        <w:snapToGrid w:val="0"/>
        <w:ind w:firstLine="425"/>
        <w:jc w:val="both"/>
        <w:rPr>
          <w:sz w:val="20"/>
          <w:szCs w:val="20"/>
        </w:rPr>
      </w:pPr>
      <w:r w:rsidRPr="00904033">
        <w:rPr>
          <w:sz w:val="20"/>
          <w:szCs w:val="20"/>
        </w:rPr>
        <w:t>Tissue sections of f</w:t>
      </w:r>
      <w:r w:rsidR="000677A4" w:rsidRPr="00904033">
        <w:rPr>
          <w:sz w:val="20"/>
          <w:szCs w:val="20"/>
        </w:rPr>
        <w:t xml:space="preserve">our micrometers </w:t>
      </w:r>
      <w:r w:rsidRPr="00904033">
        <w:rPr>
          <w:sz w:val="20"/>
          <w:szCs w:val="20"/>
        </w:rPr>
        <w:t>size</w:t>
      </w:r>
      <w:r w:rsidR="000677A4" w:rsidRPr="00904033">
        <w:rPr>
          <w:sz w:val="20"/>
          <w:szCs w:val="20"/>
        </w:rPr>
        <w:t xml:space="preserve"> were attached on positive charged slides then</w:t>
      </w:r>
      <w:r w:rsidRPr="00904033">
        <w:rPr>
          <w:sz w:val="20"/>
          <w:szCs w:val="20"/>
        </w:rPr>
        <w:t xml:space="preserve"> tissue </w:t>
      </w:r>
      <w:r w:rsidR="008D0CC7" w:rsidRPr="00904033">
        <w:rPr>
          <w:sz w:val="20"/>
          <w:szCs w:val="20"/>
        </w:rPr>
        <w:t>was deparaffininzed</w:t>
      </w:r>
      <w:r w:rsidR="000677A4" w:rsidRPr="00904033">
        <w:rPr>
          <w:sz w:val="20"/>
          <w:szCs w:val="20"/>
        </w:rPr>
        <w:t xml:space="preserve"> in xylene</w:t>
      </w:r>
      <w:r w:rsidRPr="00904033">
        <w:rPr>
          <w:sz w:val="20"/>
          <w:szCs w:val="20"/>
        </w:rPr>
        <w:t xml:space="preserve"> and then</w:t>
      </w:r>
      <w:r w:rsidR="000677A4" w:rsidRPr="00904033">
        <w:rPr>
          <w:sz w:val="20"/>
          <w:szCs w:val="20"/>
        </w:rPr>
        <w:t xml:space="preserve"> rehydrated in descending alcohol </w:t>
      </w:r>
      <w:r w:rsidRPr="00904033">
        <w:rPr>
          <w:sz w:val="20"/>
          <w:szCs w:val="20"/>
        </w:rPr>
        <w:t>concentration, followed by</w:t>
      </w:r>
      <w:r w:rsidR="000677A4" w:rsidRPr="00904033">
        <w:rPr>
          <w:sz w:val="20"/>
          <w:szCs w:val="20"/>
        </w:rPr>
        <w:t xml:space="preserve"> antigen retrieval by </w:t>
      </w:r>
      <w:r w:rsidRPr="00904033">
        <w:rPr>
          <w:sz w:val="20"/>
          <w:szCs w:val="20"/>
        </w:rPr>
        <w:t xml:space="preserve">20 minutes </w:t>
      </w:r>
      <w:r w:rsidR="000677A4" w:rsidRPr="00904033">
        <w:rPr>
          <w:sz w:val="20"/>
          <w:szCs w:val="20"/>
        </w:rPr>
        <w:t>microwave incubation in 6.1 PH citrate buffer and</w:t>
      </w:r>
      <w:r w:rsidRPr="00904033">
        <w:rPr>
          <w:sz w:val="20"/>
          <w:szCs w:val="20"/>
        </w:rPr>
        <w:t xml:space="preserve"> </w:t>
      </w:r>
      <w:r w:rsidR="008D0CC7" w:rsidRPr="00904033">
        <w:rPr>
          <w:sz w:val="20"/>
          <w:szCs w:val="20"/>
        </w:rPr>
        <w:t>using H2O2</w:t>
      </w:r>
      <w:r w:rsidRPr="00904033">
        <w:rPr>
          <w:sz w:val="20"/>
          <w:szCs w:val="20"/>
        </w:rPr>
        <w:t xml:space="preserve"> </w:t>
      </w:r>
      <w:r w:rsidR="008D0CC7" w:rsidRPr="00904033">
        <w:rPr>
          <w:sz w:val="20"/>
          <w:szCs w:val="20"/>
        </w:rPr>
        <w:t>for blocking</w:t>
      </w:r>
      <w:r w:rsidR="000677A4" w:rsidRPr="00904033">
        <w:rPr>
          <w:sz w:val="20"/>
          <w:szCs w:val="20"/>
        </w:rPr>
        <w:t xml:space="preserve"> endogenous </w:t>
      </w:r>
      <w:r w:rsidR="008D0CC7" w:rsidRPr="00904033">
        <w:rPr>
          <w:sz w:val="20"/>
          <w:szCs w:val="20"/>
        </w:rPr>
        <w:t xml:space="preserve">peroxidase. </w:t>
      </w:r>
      <w:r w:rsidR="000677A4" w:rsidRPr="00904033">
        <w:rPr>
          <w:sz w:val="20"/>
          <w:szCs w:val="20"/>
        </w:rPr>
        <w:t xml:space="preserve">After that, </w:t>
      </w:r>
      <w:r w:rsidRPr="00904033">
        <w:rPr>
          <w:sz w:val="20"/>
          <w:szCs w:val="20"/>
        </w:rPr>
        <w:t>incubation</w:t>
      </w:r>
      <w:r w:rsidR="00330828" w:rsidRPr="00904033">
        <w:rPr>
          <w:sz w:val="20"/>
          <w:szCs w:val="20"/>
        </w:rPr>
        <w:t xml:space="preserve"> </w:t>
      </w:r>
      <w:r w:rsidR="000677A4" w:rsidRPr="00904033">
        <w:rPr>
          <w:sz w:val="20"/>
          <w:szCs w:val="20"/>
        </w:rPr>
        <w:t>in blocking solution for 5 min</w:t>
      </w:r>
      <w:r w:rsidRPr="00904033">
        <w:rPr>
          <w:sz w:val="20"/>
          <w:szCs w:val="20"/>
        </w:rPr>
        <w:t xml:space="preserve"> was done followed by </w:t>
      </w:r>
      <w:r w:rsidR="008D0CC7" w:rsidRPr="00904033">
        <w:rPr>
          <w:sz w:val="20"/>
          <w:szCs w:val="20"/>
        </w:rPr>
        <w:t>incubation with</w:t>
      </w:r>
      <w:r w:rsidR="000677A4" w:rsidRPr="00904033">
        <w:rPr>
          <w:sz w:val="20"/>
          <w:szCs w:val="20"/>
        </w:rPr>
        <w:t xml:space="preserve"> primary antibody </w:t>
      </w:r>
      <w:r w:rsidR="008D0CC7" w:rsidRPr="00904033">
        <w:rPr>
          <w:sz w:val="20"/>
          <w:szCs w:val="20"/>
        </w:rPr>
        <w:t>of BCL2</w:t>
      </w:r>
      <w:r w:rsidR="000677A4" w:rsidRPr="00904033">
        <w:rPr>
          <w:sz w:val="20"/>
          <w:szCs w:val="20"/>
        </w:rPr>
        <w:t xml:space="preserve"> (124, 1:50; Dako, Carpinteria, USA). Slides were then washed for 5 min with PBS visualization obtained by streptavidin biotin ABC detection kit (Catalog # TA-015-HP, Lab-Vision Corporation</w:t>
      </w:r>
      <w:r w:rsidR="008D0CC7" w:rsidRPr="00904033">
        <w:rPr>
          <w:sz w:val="20"/>
          <w:szCs w:val="20"/>
        </w:rPr>
        <w:t xml:space="preserve"> </w:t>
      </w:r>
      <w:r w:rsidR="000677A4" w:rsidRPr="00904033">
        <w:rPr>
          <w:sz w:val="20"/>
          <w:szCs w:val="20"/>
        </w:rPr>
        <w:t>Fremont, USA) and counterstaining with haematoxylin.</w:t>
      </w:r>
      <w:r w:rsidR="005877D3" w:rsidRPr="00904033">
        <w:rPr>
          <w:sz w:val="20"/>
          <w:szCs w:val="20"/>
        </w:rPr>
        <w:t xml:space="preserve"> </w:t>
      </w:r>
      <w:r w:rsidR="002B229A" w:rsidRPr="00904033">
        <w:rPr>
          <w:sz w:val="20"/>
          <w:szCs w:val="20"/>
        </w:rPr>
        <w:t>C</w:t>
      </w:r>
      <w:r w:rsidR="000677A4" w:rsidRPr="00904033">
        <w:rPr>
          <w:sz w:val="20"/>
          <w:szCs w:val="20"/>
        </w:rPr>
        <w:t>ytoplasmic</w:t>
      </w:r>
      <w:r w:rsidR="002B229A" w:rsidRPr="00904033">
        <w:rPr>
          <w:sz w:val="20"/>
          <w:szCs w:val="20"/>
        </w:rPr>
        <w:t xml:space="preserve"> and or membranous</w:t>
      </w:r>
      <w:r w:rsidR="0070176D" w:rsidRPr="00904033">
        <w:rPr>
          <w:sz w:val="20"/>
          <w:szCs w:val="20"/>
        </w:rPr>
        <w:t xml:space="preserve"> brownish</w:t>
      </w:r>
      <w:r w:rsidR="000677A4" w:rsidRPr="00904033">
        <w:rPr>
          <w:sz w:val="20"/>
          <w:szCs w:val="20"/>
        </w:rPr>
        <w:t xml:space="preserve"> staining</w:t>
      </w:r>
      <w:r w:rsidR="0070176D" w:rsidRPr="00904033">
        <w:rPr>
          <w:sz w:val="20"/>
          <w:szCs w:val="20"/>
        </w:rPr>
        <w:t xml:space="preserve"> of more than 25% of the tumor </w:t>
      </w:r>
      <w:r w:rsidR="008D0CC7" w:rsidRPr="00904033">
        <w:rPr>
          <w:sz w:val="20"/>
          <w:szCs w:val="20"/>
        </w:rPr>
        <w:t>cells was</w:t>
      </w:r>
      <w:r w:rsidR="000677A4" w:rsidRPr="00904033">
        <w:rPr>
          <w:sz w:val="20"/>
          <w:szCs w:val="20"/>
        </w:rPr>
        <w:t xml:space="preserve"> </w:t>
      </w:r>
      <w:r w:rsidR="0070176D" w:rsidRPr="00904033">
        <w:rPr>
          <w:sz w:val="20"/>
          <w:szCs w:val="20"/>
        </w:rPr>
        <w:t>reported</w:t>
      </w:r>
      <w:r w:rsidR="008D0CC7" w:rsidRPr="00904033">
        <w:rPr>
          <w:sz w:val="20"/>
          <w:szCs w:val="20"/>
        </w:rPr>
        <w:t xml:space="preserve"> as positive for BCL</w:t>
      </w:r>
      <w:r w:rsidR="000677A4" w:rsidRPr="00904033">
        <w:rPr>
          <w:sz w:val="20"/>
          <w:szCs w:val="20"/>
        </w:rPr>
        <w:t>2</w:t>
      </w:r>
      <w:r w:rsidR="0070176D" w:rsidRPr="00904033">
        <w:rPr>
          <w:sz w:val="20"/>
          <w:szCs w:val="20"/>
        </w:rPr>
        <w:t xml:space="preserve"> </w:t>
      </w:r>
      <w:r w:rsidR="005877D3" w:rsidRPr="00904033">
        <w:rPr>
          <w:sz w:val="20"/>
          <w:szCs w:val="20"/>
        </w:rPr>
        <w:t>staining,</w:t>
      </w:r>
      <w:r w:rsidR="000677A4" w:rsidRPr="00904033">
        <w:rPr>
          <w:sz w:val="20"/>
          <w:szCs w:val="20"/>
        </w:rPr>
        <w:t xml:space="preserve"> regardless of the </w:t>
      </w:r>
      <w:r w:rsidR="00C97EF4" w:rsidRPr="00904033">
        <w:rPr>
          <w:sz w:val="20"/>
          <w:szCs w:val="20"/>
        </w:rPr>
        <w:t>intensity of the stained cells (19).</w:t>
      </w:r>
    </w:p>
    <w:p w:rsidR="00330828" w:rsidRPr="00904033" w:rsidRDefault="00106B13" w:rsidP="00FD5EA3">
      <w:pPr>
        <w:bidi w:val="0"/>
        <w:snapToGrid w:val="0"/>
        <w:jc w:val="both"/>
        <w:rPr>
          <w:b/>
          <w:bCs/>
          <w:sz w:val="20"/>
          <w:szCs w:val="20"/>
        </w:rPr>
      </w:pPr>
      <w:r w:rsidRPr="00904033">
        <w:rPr>
          <w:b/>
          <w:bCs/>
          <w:sz w:val="20"/>
          <w:szCs w:val="20"/>
        </w:rPr>
        <w:t>Statistical analysis</w:t>
      </w:r>
    </w:p>
    <w:p w:rsidR="00887D21" w:rsidRPr="00904033" w:rsidRDefault="00330828" w:rsidP="00FD5EA3">
      <w:pPr>
        <w:bidi w:val="0"/>
        <w:snapToGrid w:val="0"/>
        <w:ind w:firstLine="425"/>
        <w:jc w:val="both"/>
        <w:rPr>
          <w:sz w:val="20"/>
          <w:szCs w:val="20"/>
        </w:rPr>
      </w:pPr>
      <w:r w:rsidRPr="00904033">
        <w:rPr>
          <w:sz w:val="20"/>
          <w:szCs w:val="20"/>
        </w:rPr>
        <w:lastRenderedPageBreak/>
        <w:t>F</w:t>
      </w:r>
      <w:r w:rsidR="00672B86" w:rsidRPr="00904033">
        <w:rPr>
          <w:sz w:val="20"/>
          <w:szCs w:val="20"/>
        </w:rPr>
        <w:t>ollow</w:t>
      </w:r>
      <w:r w:rsidR="009D5CEF" w:rsidRPr="00904033">
        <w:rPr>
          <w:sz w:val="20"/>
          <w:szCs w:val="20"/>
        </w:rPr>
        <w:t xml:space="preserve"> up of the p</w:t>
      </w:r>
      <w:r w:rsidR="0034171B" w:rsidRPr="00904033">
        <w:rPr>
          <w:sz w:val="20"/>
          <w:szCs w:val="20"/>
        </w:rPr>
        <w:t>atient</w:t>
      </w:r>
      <w:r w:rsidR="009D46F0" w:rsidRPr="00904033">
        <w:rPr>
          <w:sz w:val="20"/>
          <w:szCs w:val="20"/>
        </w:rPr>
        <w:t>s was</w:t>
      </w:r>
      <w:r w:rsidR="009D5CEF" w:rsidRPr="00904033">
        <w:rPr>
          <w:sz w:val="20"/>
          <w:szCs w:val="20"/>
        </w:rPr>
        <w:t xml:space="preserve"> </w:t>
      </w:r>
      <w:r w:rsidR="00672B86" w:rsidRPr="00904033">
        <w:rPr>
          <w:sz w:val="20"/>
          <w:szCs w:val="20"/>
        </w:rPr>
        <w:t>done until</w:t>
      </w:r>
      <w:r w:rsidR="007A0EBB" w:rsidRPr="00904033">
        <w:rPr>
          <w:sz w:val="20"/>
          <w:szCs w:val="20"/>
        </w:rPr>
        <w:t xml:space="preserve"> </w:t>
      </w:r>
      <w:r w:rsidR="00672B86" w:rsidRPr="00904033">
        <w:rPr>
          <w:sz w:val="20"/>
          <w:szCs w:val="20"/>
        </w:rPr>
        <w:t>June 2017</w:t>
      </w:r>
      <w:r w:rsidR="0034171B" w:rsidRPr="00904033">
        <w:rPr>
          <w:sz w:val="20"/>
          <w:szCs w:val="20"/>
        </w:rPr>
        <w:t xml:space="preserve">. </w:t>
      </w:r>
      <w:r w:rsidR="00672B86" w:rsidRPr="00904033">
        <w:rPr>
          <w:sz w:val="20"/>
          <w:szCs w:val="20"/>
        </w:rPr>
        <w:t>The</w:t>
      </w:r>
      <w:r w:rsidR="009D5CEF" w:rsidRPr="00904033">
        <w:rPr>
          <w:sz w:val="20"/>
          <w:szCs w:val="20"/>
        </w:rPr>
        <w:t xml:space="preserve"> maximal follow-up for the entire group a</w:t>
      </w:r>
      <w:r w:rsidR="0034171B" w:rsidRPr="00904033">
        <w:rPr>
          <w:sz w:val="20"/>
          <w:szCs w:val="20"/>
        </w:rPr>
        <w:t xml:space="preserve">t the time of </w:t>
      </w:r>
      <w:r w:rsidR="00672B86" w:rsidRPr="00904033">
        <w:rPr>
          <w:sz w:val="20"/>
          <w:szCs w:val="20"/>
        </w:rPr>
        <w:t>analysis</w:t>
      </w:r>
      <w:r w:rsidR="0034171B" w:rsidRPr="00904033">
        <w:rPr>
          <w:sz w:val="20"/>
          <w:szCs w:val="20"/>
        </w:rPr>
        <w:t xml:space="preserve"> </w:t>
      </w:r>
      <w:r w:rsidR="005D7B6E" w:rsidRPr="00904033">
        <w:rPr>
          <w:sz w:val="20"/>
          <w:szCs w:val="20"/>
        </w:rPr>
        <w:t xml:space="preserve">was </w:t>
      </w:r>
      <w:r w:rsidR="00672B86" w:rsidRPr="00904033">
        <w:rPr>
          <w:sz w:val="20"/>
          <w:szCs w:val="20"/>
        </w:rPr>
        <w:t>120 months</w:t>
      </w:r>
      <w:r w:rsidR="0081621C" w:rsidRPr="00904033">
        <w:rPr>
          <w:sz w:val="20"/>
          <w:szCs w:val="20"/>
        </w:rPr>
        <w:t xml:space="preserve"> </w:t>
      </w:r>
      <w:r w:rsidR="005D7B6E" w:rsidRPr="00904033">
        <w:rPr>
          <w:sz w:val="20"/>
          <w:szCs w:val="20"/>
        </w:rPr>
        <w:t>with a mean of 48.5 months</w:t>
      </w:r>
      <w:r w:rsidR="0081621C" w:rsidRPr="00904033">
        <w:rPr>
          <w:sz w:val="20"/>
          <w:szCs w:val="20"/>
        </w:rPr>
        <w:t>.</w:t>
      </w:r>
      <w:r w:rsidR="0034171B" w:rsidRPr="00904033">
        <w:rPr>
          <w:sz w:val="20"/>
          <w:szCs w:val="20"/>
        </w:rPr>
        <w:t xml:space="preserve"> </w:t>
      </w:r>
      <w:r w:rsidR="009D5CEF" w:rsidRPr="00904033">
        <w:rPr>
          <w:sz w:val="20"/>
          <w:szCs w:val="20"/>
        </w:rPr>
        <w:t xml:space="preserve">Using the method of Kaplan and </w:t>
      </w:r>
      <w:r w:rsidR="009D46F0" w:rsidRPr="00904033">
        <w:rPr>
          <w:sz w:val="20"/>
          <w:szCs w:val="20"/>
        </w:rPr>
        <w:t>Meier,</w:t>
      </w:r>
      <w:r w:rsidR="009D5CEF" w:rsidRPr="00904033">
        <w:rPr>
          <w:sz w:val="20"/>
          <w:szCs w:val="20"/>
        </w:rPr>
        <w:t xml:space="preserve"> </w:t>
      </w:r>
      <w:r w:rsidR="0034171B" w:rsidRPr="00904033">
        <w:rPr>
          <w:sz w:val="20"/>
          <w:szCs w:val="20"/>
        </w:rPr>
        <w:t>Overall-survival (OS) rates were calculated from the time of initial treatment to the time of the last follow-up visit or death</w:t>
      </w:r>
      <w:r w:rsidR="00C97EF4" w:rsidRPr="00904033">
        <w:rPr>
          <w:sz w:val="20"/>
          <w:szCs w:val="20"/>
        </w:rPr>
        <w:t xml:space="preserve"> (20).</w:t>
      </w:r>
      <w:r w:rsidR="0034171B" w:rsidRPr="00904033">
        <w:rPr>
          <w:sz w:val="20"/>
          <w:szCs w:val="20"/>
        </w:rPr>
        <w:t xml:space="preserve"> SPSS Statistical package (version 12.0) was used for data analysis. Mean and standard deviation were estimates of quantitative data. Chi-square/ Fischer exact were tests of proportion independence. </w:t>
      </w:r>
      <w:r w:rsidR="00672B86" w:rsidRPr="00904033">
        <w:rPr>
          <w:sz w:val="20"/>
          <w:szCs w:val="20"/>
        </w:rPr>
        <w:t>for</w:t>
      </w:r>
      <w:r w:rsidR="009D5CEF" w:rsidRPr="00904033">
        <w:rPr>
          <w:sz w:val="20"/>
          <w:szCs w:val="20"/>
        </w:rPr>
        <w:t xml:space="preserve"> estimating survival and log rank to compare curves </w:t>
      </w:r>
      <w:r w:rsidR="0034171B" w:rsidRPr="00904033">
        <w:rPr>
          <w:sz w:val="20"/>
          <w:szCs w:val="20"/>
        </w:rPr>
        <w:t>Kaplan-Meier method was used</w:t>
      </w:r>
      <w:r w:rsidR="00C97EF4" w:rsidRPr="00904033">
        <w:rPr>
          <w:sz w:val="20"/>
          <w:szCs w:val="20"/>
        </w:rPr>
        <w:t xml:space="preserve"> (20).</w:t>
      </w:r>
      <w:r w:rsidR="0034171B" w:rsidRPr="00904033">
        <w:rPr>
          <w:sz w:val="20"/>
          <w:szCs w:val="20"/>
        </w:rPr>
        <w:t xml:space="preserve"> </w:t>
      </w:r>
      <w:r w:rsidR="00672B86" w:rsidRPr="00904033">
        <w:rPr>
          <w:sz w:val="20"/>
          <w:szCs w:val="20"/>
        </w:rPr>
        <w:t>To</w:t>
      </w:r>
      <w:r w:rsidR="009D5CEF" w:rsidRPr="00904033">
        <w:rPr>
          <w:sz w:val="20"/>
          <w:szCs w:val="20"/>
        </w:rPr>
        <w:t xml:space="preserve"> estimate odds of recurrence</w:t>
      </w:r>
      <w:r w:rsidRPr="00904033">
        <w:rPr>
          <w:sz w:val="20"/>
          <w:szCs w:val="20"/>
        </w:rPr>
        <w:t xml:space="preserve"> &amp; </w:t>
      </w:r>
      <w:r w:rsidR="009D5CEF" w:rsidRPr="00904033">
        <w:rPr>
          <w:sz w:val="20"/>
          <w:szCs w:val="20"/>
        </w:rPr>
        <w:t>its 95% CI on univariate level and to evaluate independent prognostic variables affecting OS and disease-free survival (DFS)</w:t>
      </w:r>
      <w:r w:rsidR="00672B86" w:rsidRPr="00904033">
        <w:rPr>
          <w:sz w:val="20"/>
          <w:szCs w:val="20"/>
        </w:rPr>
        <w:t>, Cox</w:t>
      </w:r>
      <w:r w:rsidR="0034171B" w:rsidRPr="00904033">
        <w:rPr>
          <w:sz w:val="20"/>
          <w:szCs w:val="20"/>
        </w:rPr>
        <w:t xml:space="preserve">-regression analysis was </w:t>
      </w:r>
      <w:r w:rsidR="00672B86" w:rsidRPr="00904033">
        <w:rPr>
          <w:sz w:val="20"/>
          <w:szCs w:val="20"/>
        </w:rPr>
        <w:t xml:space="preserve">used. </w:t>
      </w:r>
      <w:r w:rsidR="0034171B" w:rsidRPr="00904033">
        <w:rPr>
          <w:sz w:val="20"/>
          <w:szCs w:val="20"/>
        </w:rPr>
        <w:t>P value is significant at 0.05 levels.</w:t>
      </w:r>
    </w:p>
    <w:p w:rsidR="00707993" w:rsidRPr="00904033" w:rsidRDefault="00707993" w:rsidP="00FD5EA3">
      <w:pPr>
        <w:autoSpaceDE w:val="0"/>
        <w:autoSpaceDN w:val="0"/>
        <w:bidi w:val="0"/>
        <w:adjustRightInd w:val="0"/>
        <w:snapToGrid w:val="0"/>
        <w:jc w:val="both"/>
        <w:rPr>
          <w:b/>
          <w:bCs/>
          <w:sz w:val="20"/>
          <w:szCs w:val="20"/>
        </w:rPr>
      </w:pPr>
    </w:p>
    <w:p w:rsidR="00887D21" w:rsidRPr="00904033" w:rsidRDefault="008B3DD4" w:rsidP="00FD5EA3">
      <w:pPr>
        <w:autoSpaceDE w:val="0"/>
        <w:autoSpaceDN w:val="0"/>
        <w:bidi w:val="0"/>
        <w:adjustRightInd w:val="0"/>
        <w:snapToGrid w:val="0"/>
        <w:jc w:val="both"/>
        <w:rPr>
          <w:b/>
          <w:bCs/>
          <w:sz w:val="20"/>
          <w:szCs w:val="20"/>
        </w:rPr>
      </w:pPr>
      <w:r w:rsidRPr="00904033">
        <w:rPr>
          <w:b/>
          <w:bCs/>
          <w:sz w:val="20"/>
          <w:szCs w:val="20"/>
        </w:rPr>
        <w:t>3. Results</w:t>
      </w:r>
    </w:p>
    <w:p w:rsidR="005877D3" w:rsidRPr="00904033" w:rsidRDefault="00887D21" w:rsidP="00FD5EA3">
      <w:pPr>
        <w:bidi w:val="0"/>
        <w:snapToGrid w:val="0"/>
        <w:jc w:val="both"/>
        <w:rPr>
          <w:sz w:val="20"/>
          <w:szCs w:val="20"/>
        </w:rPr>
      </w:pPr>
      <w:r w:rsidRPr="00904033">
        <w:rPr>
          <w:b/>
          <w:bCs/>
          <w:sz w:val="20"/>
          <w:szCs w:val="20"/>
        </w:rPr>
        <w:t xml:space="preserve">Patient characteristics: </w:t>
      </w:r>
    </w:p>
    <w:p w:rsidR="0034171B" w:rsidRPr="00904033" w:rsidRDefault="00CF5EB3" w:rsidP="00FD5EA3">
      <w:pPr>
        <w:bidi w:val="0"/>
        <w:snapToGrid w:val="0"/>
        <w:ind w:firstLine="425"/>
        <w:jc w:val="both"/>
        <w:rPr>
          <w:sz w:val="20"/>
          <w:szCs w:val="20"/>
        </w:rPr>
      </w:pPr>
      <w:bookmarkStart w:id="1" w:name="_Hlk34650826"/>
      <w:r w:rsidRPr="00904033">
        <w:rPr>
          <w:sz w:val="20"/>
          <w:szCs w:val="20"/>
        </w:rPr>
        <w:t xml:space="preserve">The present study included </w:t>
      </w:r>
      <w:r w:rsidR="007B11FF" w:rsidRPr="00904033">
        <w:rPr>
          <w:sz w:val="20"/>
          <w:szCs w:val="20"/>
        </w:rPr>
        <w:t xml:space="preserve">61 female patients </w:t>
      </w:r>
      <w:bookmarkEnd w:id="1"/>
      <w:r w:rsidR="007B11FF" w:rsidRPr="00904033">
        <w:rPr>
          <w:sz w:val="20"/>
          <w:szCs w:val="20"/>
        </w:rPr>
        <w:t>with triple receptor negative locally advanced infiltrating duct carcinoma</w:t>
      </w:r>
      <w:r w:rsidR="00887D21" w:rsidRPr="00904033">
        <w:rPr>
          <w:sz w:val="20"/>
          <w:szCs w:val="20"/>
        </w:rPr>
        <w:t>,</w:t>
      </w:r>
      <w:r w:rsidR="00330828" w:rsidRPr="00904033">
        <w:rPr>
          <w:sz w:val="20"/>
          <w:szCs w:val="20"/>
        </w:rPr>
        <w:t xml:space="preserve"> </w:t>
      </w:r>
      <w:r w:rsidR="008B3DD4" w:rsidRPr="00904033">
        <w:rPr>
          <w:sz w:val="20"/>
          <w:szCs w:val="20"/>
        </w:rPr>
        <w:t>the patients</w:t>
      </w:r>
      <w:r w:rsidRPr="00904033">
        <w:rPr>
          <w:sz w:val="20"/>
          <w:szCs w:val="20"/>
        </w:rPr>
        <w:t xml:space="preserve"> ages</w:t>
      </w:r>
      <w:r w:rsidR="00887D21" w:rsidRPr="00904033">
        <w:rPr>
          <w:sz w:val="20"/>
          <w:szCs w:val="20"/>
        </w:rPr>
        <w:t xml:space="preserve"> rang</w:t>
      </w:r>
      <w:r w:rsidR="00A00B3C" w:rsidRPr="00904033">
        <w:rPr>
          <w:sz w:val="20"/>
          <w:szCs w:val="20"/>
        </w:rPr>
        <w:t>ed</w:t>
      </w:r>
      <w:r w:rsidR="00887D21" w:rsidRPr="00904033">
        <w:rPr>
          <w:sz w:val="20"/>
          <w:szCs w:val="20"/>
        </w:rPr>
        <w:t xml:space="preserve"> from 30 to 70 years (mean 53.2 years; SD±12.2). Their tumors</w:t>
      </w:r>
      <w:r w:rsidRPr="00904033">
        <w:rPr>
          <w:sz w:val="20"/>
          <w:szCs w:val="20"/>
        </w:rPr>
        <w:t xml:space="preserve"> </w:t>
      </w:r>
      <w:r w:rsidR="00887D21" w:rsidRPr="00904033">
        <w:rPr>
          <w:sz w:val="20"/>
          <w:szCs w:val="20"/>
        </w:rPr>
        <w:t>size</w:t>
      </w:r>
      <w:r w:rsidRPr="00904033">
        <w:rPr>
          <w:sz w:val="20"/>
          <w:szCs w:val="20"/>
        </w:rPr>
        <w:t xml:space="preserve"> ranged</w:t>
      </w:r>
      <w:r w:rsidR="00887D21" w:rsidRPr="00904033">
        <w:rPr>
          <w:sz w:val="20"/>
          <w:szCs w:val="20"/>
        </w:rPr>
        <w:t xml:space="preserve"> from 1.5 cm to 7 cm. </w:t>
      </w:r>
      <w:r w:rsidR="00670D01" w:rsidRPr="00904033">
        <w:rPr>
          <w:sz w:val="20"/>
          <w:szCs w:val="20"/>
        </w:rPr>
        <w:t xml:space="preserve">Most </w:t>
      </w:r>
      <w:r w:rsidR="00887D21" w:rsidRPr="00904033">
        <w:rPr>
          <w:sz w:val="20"/>
          <w:szCs w:val="20"/>
        </w:rPr>
        <w:t>of cases were T2 or greater, node positive and grade II</w:t>
      </w:r>
      <w:r w:rsidR="000F708F" w:rsidRPr="00904033">
        <w:rPr>
          <w:sz w:val="20"/>
          <w:szCs w:val="20"/>
        </w:rPr>
        <w:t>I</w:t>
      </w:r>
      <w:r w:rsidR="00887D21" w:rsidRPr="00904033">
        <w:rPr>
          <w:sz w:val="20"/>
          <w:szCs w:val="20"/>
        </w:rPr>
        <w:t xml:space="preserve">. Maximal follow-up was </w:t>
      </w:r>
      <w:r w:rsidR="00223C51" w:rsidRPr="00904033">
        <w:rPr>
          <w:sz w:val="20"/>
          <w:szCs w:val="20"/>
        </w:rPr>
        <w:t>120 mon</w:t>
      </w:r>
      <w:r w:rsidR="00887D21" w:rsidRPr="00904033">
        <w:rPr>
          <w:sz w:val="20"/>
          <w:szCs w:val="20"/>
        </w:rPr>
        <w:t xml:space="preserve">ths with a mean of </w:t>
      </w:r>
      <w:r w:rsidR="00223C51" w:rsidRPr="00904033">
        <w:rPr>
          <w:sz w:val="20"/>
          <w:szCs w:val="20"/>
        </w:rPr>
        <w:t>48.5</w:t>
      </w:r>
      <w:r w:rsidR="00F627A1" w:rsidRPr="00904033">
        <w:rPr>
          <w:sz w:val="20"/>
          <w:szCs w:val="20"/>
        </w:rPr>
        <w:t xml:space="preserve"> months. </w:t>
      </w:r>
    </w:p>
    <w:p w:rsidR="005A126B" w:rsidRPr="00904033" w:rsidRDefault="000D4592" w:rsidP="00FD5EA3">
      <w:pPr>
        <w:bidi w:val="0"/>
        <w:snapToGrid w:val="0"/>
        <w:jc w:val="both"/>
        <w:rPr>
          <w:b/>
          <w:bCs/>
          <w:sz w:val="20"/>
          <w:szCs w:val="20"/>
        </w:rPr>
      </w:pPr>
      <w:r w:rsidRPr="00904033">
        <w:rPr>
          <w:b/>
          <w:bCs/>
          <w:sz w:val="20"/>
          <w:szCs w:val="20"/>
        </w:rPr>
        <w:t>Immunohistochemistry results:</w:t>
      </w:r>
      <w:r w:rsidR="00330828" w:rsidRPr="00904033">
        <w:rPr>
          <w:b/>
          <w:bCs/>
          <w:sz w:val="20"/>
          <w:szCs w:val="20"/>
        </w:rPr>
        <w:t xml:space="preserve"> </w:t>
      </w:r>
    </w:p>
    <w:p w:rsidR="00FD5EA3" w:rsidRPr="00904033" w:rsidRDefault="00FD5EA3" w:rsidP="00FD5EA3">
      <w:pPr>
        <w:pStyle w:val="Caption"/>
        <w:bidi w:val="0"/>
        <w:snapToGrid w:val="0"/>
        <w:ind w:firstLine="425"/>
        <w:jc w:val="both"/>
        <w:sectPr w:rsidR="00FD5EA3" w:rsidRPr="00904033" w:rsidSect="00EF3B37">
          <w:headerReference w:type="default" r:id="rId13"/>
          <w:pgSz w:w="12240" w:h="15840"/>
          <w:pgMar w:top="1440" w:right="1440" w:bottom="1440" w:left="1440" w:header="720" w:footer="720" w:gutter="0"/>
          <w:cols w:num="2" w:space="600"/>
          <w:rtlGutter/>
          <w:docGrid w:linePitch="360"/>
        </w:sectPr>
      </w:pPr>
    </w:p>
    <w:p w:rsidR="00FD5EA3" w:rsidRPr="00904033" w:rsidRDefault="00FD5EA3" w:rsidP="00FD5EA3">
      <w:pPr>
        <w:pStyle w:val="Caption"/>
        <w:bidi w:val="0"/>
        <w:snapToGrid w:val="0"/>
        <w:ind w:firstLine="425"/>
        <w:jc w:val="both"/>
        <w:rPr>
          <w:lang w:eastAsia="zh-CN"/>
        </w:rPr>
      </w:pPr>
    </w:p>
    <w:p w:rsidR="001A5360" w:rsidRPr="00904033" w:rsidRDefault="001A5360" w:rsidP="00FD5EA3">
      <w:pPr>
        <w:pStyle w:val="Caption"/>
        <w:bidi w:val="0"/>
        <w:snapToGrid w:val="0"/>
        <w:jc w:val="both"/>
      </w:pPr>
      <w:r w:rsidRPr="00904033">
        <w:t>Table (</w:t>
      </w:r>
      <w:r w:rsidR="00D41FF7" w:rsidRPr="00904033">
        <w:fldChar w:fldCharType="begin"/>
      </w:r>
      <w:r w:rsidRPr="00904033">
        <w:instrText xml:space="preserve"> SEQ Table \* ARABIC </w:instrText>
      </w:r>
      <w:r w:rsidR="00D41FF7" w:rsidRPr="00904033">
        <w:fldChar w:fldCharType="separate"/>
      </w:r>
      <w:r w:rsidR="004212D3">
        <w:rPr>
          <w:noProof/>
        </w:rPr>
        <w:t>1</w:t>
      </w:r>
      <w:r w:rsidR="00D41FF7" w:rsidRPr="00904033">
        <w:fldChar w:fldCharType="end"/>
      </w:r>
      <w:r w:rsidRPr="00904033">
        <w:t xml:space="preserve">): BCL2 expression in relation to patient and tumor characteristics as well as to </w:t>
      </w:r>
      <w:r w:rsidRPr="00904033">
        <w:rPr>
          <w:b w:val="0"/>
          <w:bCs w:val="0"/>
        </w:rPr>
        <w:t>tumor</w:t>
      </w:r>
      <w:r w:rsidRPr="00904033">
        <w:rPr>
          <w:lang w:bidi="ar-EG"/>
        </w:rPr>
        <w:t xml:space="preserve"> response </w:t>
      </w:r>
      <w:r w:rsidRPr="00904033">
        <w:t xml:space="preserve">and mortality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093"/>
        <w:gridCol w:w="1778"/>
        <w:gridCol w:w="598"/>
        <w:gridCol w:w="802"/>
        <w:gridCol w:w="598"/>
        <w:gridCol w:w="802"/>
        <w:gridCol w:w="598"/>
        <w:gridCol w:w="802"/>
        <w:gridCol w:w="739"/>
        <w:gridCol w:w="766"/>
      </w:tblGrid>
      <w:tr w:rsidR="009221CE" w:rsidRPr="00904033" w:rsidTr="00E6758D">
        <w:tc>
          <w:tcPr>
            <w:tcW w:w="0" w:type="auto"/>
            <w:gridSpan w:val="2"/>
            <w:vMerge w:val="restart"/>
            <w:shd w:val="clear" w:color="auto" w:fill="auto"/>
            <w:noWrap/>
            <w:vAlign w:val="center"/>
          </w:tcPr>
          <w:p w:rsidR="001A5360" w:rsidRPr="00904033" w:rsidRDefault="001A5360" w:rsidP="00E6758D">
            <w:pPr>
              <w:bidi w:val="0"/>
              <w:snapToGrid w:val="0"/>
              <w:jc w:val="both"/>
              <w:rPr>
                <w:rFonts w:eastAsiaTheme="minorEastAsia"/>
                <w:b/>
                <w:bCs/>
                <w:sz w:val="19"/>
                <w:szCs w:val="19"/>
              </w:rPr>
            </w:pPr>
          </w:p>
        </w:tc>
        <w:tc>
          <w:tcPr>
            <w:tcW w:w="0" w:type="auto"/>
            <w:gridSpan w:val="6"/>
            <w:shd w:val="clear" w:color="auto" w:fill="auto"/>
            <w:vAlign w:val="center"/>
          </w:tcPr>
          <w:p w:rsidR="001A5360" w:rsidRPr="00904033" w:rsidRDefault="001A5360" w:rsidP="00E6758D">
            <w:pPr>
              <w:bidi w:val="0"/>
              <w:snapToGrid w:val="0"/>
              <w:jc w:val="both"/>
              <w:rPr>
                <w:rFonts w:eastAsiaTheme="minorEastAsia"/>
                <w:b/>
                <w:bCs/>
                <w:sz w:val="19"/>
                <w:szCs w:val="19"/>
              </w:rPr>
            </w:pPr>
            <w:r w:rsidRPr="00904033">
              <w:rPr>
                <w:rFonts w:eastAsiaTheme="minorEastAsia"/>
                <w:b/>
                <w:bCs/>
                <w:sz w:val="19"/>
                <w:szCs w:val="19"/>
              </w:rPr>
              <w:t>BCL2</w:t>
            </w:r>
          </w:p>
        </w:tc>
        <w:tc>
          <w:tcPr>
            <w:tcW w:w="0" w:type="auto"/>
            <w:gridSpan w:val="2"/>
            <w:vMerge w:val="restart"/>
            <w:shd w:val="clear" w:color="auto" w:fill="auto"/>
            <w:noWrap/>
            <w:vAlign w:val="center"/>
          </w:tcPr>
          <w:p w:rsidR="001A5360" w:rsidRPr="00904033" w:rsidRDefault="001A5360" w:rsidP="00E6758D">
            <w:pPr>
              <w:bidi w:val="0"/>
              <w:snapToGrid w:val="0"/>
              <w:jc w:val="both"/>
              <w:rPr>
                <w:rFonts w:eastAsiaTheme="minorEastAsia"/>
                <w:b/>
                <w:bCs/>
                <w:sz w:val="19"/>
                <w:szCs w:val="19"/>
              </w:rPr>
            </w:pPr>
            <w:r w:rsidRPr="00904033">
              <w:rPr>
                <w:rFonts w:eastAsiaTheme="minorEastAsia"/>
                <w:b/>
                <w:bCs/>
                <w:sz w:val="19"/>
                <w:szCs w:val="19"/>
              </w:rPr>
              <w:t>Chi-square</w:t>
            </w:r>
          </w:p>
        </w:tc>
      </w:tr>
      <w:tr w:rsidR="009221CE" w:rsidRPr="00904033" w:rsidTr="00E6758D">
        <w:tc>
          <w:tcPr>
            <w:tcW w:w="0" w:type="auto"/>
            <w:gridSpan w:val="2"/>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gridSpan w:val="2"/>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Negative</w:t>
            </w:r>
          </w:p>
        </w:tc>
        <w:tc>
          <w:tcPr>
            <w:tcW w:w="0" w:type="auto"/>
            <w:gridSpan w:val="2"/>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Positive</w:t>
            </w:r>
          </w:p>
        </w:tc>
        <w:tc>
          <w:tcPr>
            <w:tcW w:w="0" w:type="auto"/>
            <w:gridSpan w:val="2"/>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Total</w:t>
            </w:r>
          </w:p>
        </w:tc>
        <w:tc>
          <w:tcPr>
            <w:tcW w:w="0" w:type="auto"/>
            <w:gridSpan w:val="2"/>
            <w:vMerge/>
            <w:shd w:val="clear" w:color="auto" w:fill="auto"/>
            <w:vAlign w:val="center"/>
          </w:tcPr>
          <w:p w:rsidR="001A5360" w:rsidRPr="00904033" w:rsidRDefault="001A5360" w:rsidP="00E6758D">
            <w:pPr>
              <w:bidi w:val="0"/>
              <w:snapToGrid w:val="0"/>
              <w:jc w:val="both"/>
              <w:rPr>
                <w:rFonts w:eastAsiaTheme="minorEastAsia"/>
                <w:sz w:val="19"/>
                <w:szCs w:val="19"/>
              </w:rPr>
            </w:pPr>
          </w:p>
        </w:tc>
      </w:tr>
      <w:tr w:rsidR="009221CE" w:rsidRPr="00904033" w:rsidTr="00E6758D">
        <w:tc>
          <w:tcPr>
            <w:tcW w:w="0" w:type="auto"/>
            <w:gridSpan w:val="2"/>
            <w:vMerge/>
            <w:shd w:val="clear" w:color="auto" w:fill="auto"/>
            <w:noWrap/>
            <w:vAlign w:val="center"/>
          </w:tcPr>
          <w:p w:rsidR="001A5360" w:rsidRPr="00904033" w:rsidRDefault="001A5360" w:rsidP="00E6758D">
            <w:pPr>
              <w:bidi w:val="0"/>
              <w:snapToGrid w:val="0"/>
              <w:jc w:val="both"/>
              <w:rPr>
                <w:rFonts w:eastAsiaTheme="minorEastAsia"/>
                <w:sz w:val="19"/>
                <w:szCs w:val="19"/>
              </w:rPr>
            </w:pPr>
          </w:p>
        </w:tc>
        <w:tc>
          <w:tcPr>
            <w:tcW w:w="0" w:type="auto"/>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N= 32</w:t>
            </w:r>
          </w:p>
        </w:tc>
        <w:tc>
          <w:tcPr>
            <w:tcW w:w="0" w:type="auto"/>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52.46%</w:t>
            </w:r>
          </w:p>
        </w:tc>
        <w:tc>
          <w:tcPr>
            <w:tcW w:w="0" w:type="auto"/>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N= 29</w:t>
            </w:r>
          </w:p>
        </w:tc>
        <w:tc>
          <w:tcPr>
            <w:tcW w:w="0" w:type="auto"/>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47.54%</w:t>
            </w:r>
          </w:p>
        </w:tc>
        <w:tc>
          <w:tcPr>
            <w:tcW w:w="0" w:type="auto"/>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N= 61</w:t>
            </w:r>
          </w:p>
        </w:tc>
        <w:tc>
          <w:tcPr>
            <w:tcW w:w="0" w:type="auto"/>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100%</w:t>
            </w:r>
          </w:p>
        </w:tc>
        <w:tc>
          <w:tcPr>
            <w:tcW w:w="0" w:type="auto"/>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i/>
                <w:iCs/>
                <w:sz w:val="19"/>
                <w:szCs w:val="19"/>
              </w:rPr>
              <w:t>X</w:t>
            </w:r>
            <w:r w:rsidRPr="00904033">
              <w:rPr>
                <w:rFonts w:eastAsiaTheme="minorEastAsia"/>
                <w:sz w:val="19"/>
                <w:szCs w:val="19"/>
                <w:vertAlign w:val="superscript"/>
              </w:rPr>
              <w:t>2</w:t>
            </w:r>
          </w:p>
        </w:tc>
        <w:tc>
          <w:tcPr>
            <w:tcW w:w="0" w:type="auto"/>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i/>
                <w:iCs/>
                <w:sz w:val="19"/>
                <w:szCs w:val="19"/>
              </w:rPr>
              <w:t>p</w:t>
            </w:r>
            <w:r w:rsidRPr="00904033">
              <w:rPr>
                <w:rFonts w:eastAsiaTheme="minorEastAsia"/>
                <w:sz w:val="19"/>
                <w:szCs w:val="19"/>
              </w:rPr>
              <w:t>-value</w:t>
            </w:r>
          </w:p>
        </w:tc>
      </w:tr>
      <w:tr w:rsidR="009221CE" w:rsidRPr="00904033" w:rsidTr="00904033">
        <w:tc>
          <w:tcPr>
            <w:tcW w:w="2093" w:type="dxa"/>
            <w:vMerge w:val="restart"/>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Age</w:t>
            </w: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&lt;60</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18</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56.25%</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16</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55.17%</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34</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55.74%</w:t>
            </w:r>
          </w:p>
        </w:tc>
        <w:tc>
          <w:tcPr>
            <w:tcW w:w="0" w:type="auto"/>
            <w:vMerge w:val="restart"/>
            <w:shd w:val="clear" w:color="auto" w:fill="auto"/>
            <w:vAlign w:val="center"/>
          </w:tcPr>
          <w:p w:rsidR="001A5360" w:rsidRPr="00904033" w:rsidRDefault="00E80282" w:rsidP="00E6758D">
            <w:pPr>
              <w:bidi w:val="0"/>
              <w:snapToGrid w:val="0"/>
              <w:jc w:val="both"/>
              <w:rPr>
                <w:rFonts w:eastAsiaTheme="minorEastAsia"/>
                <w:sz w:val="19"/>
                <w:szCs w:val="19"/>
              </w:rPr>
            </w:pPr>
            <w:r w:rsidRPr="00904033">
              <w:rPr>
                <w:rFonts w:eastAsiaTheme="minorEastAsia"/>
                <w:sz w:val="19"/>
                <w:szCs w:val="19"/>
              </w:rPr>
              <w:t>0.012</w:t>
            </w:r>
          </w:p>
        </w:tc>
        <w:tc>
          <w:tcPr>
            <w:tcW w:w="0" w:type="auto"/>
            <w:vMerge w:val="restart"/>
            <w:shd w:val="clear" w:color="auto" w:fill="auto"/>
            <w:vAlign w:val="center"/>
          </w:tcPr>
          <w:p w:rsidR="001A5360" w:rsidRPr="00904033" w:rsidRDefault="00A650A0" w:rsidP="00E6758D">
            <w:pPr>
              <w:bidi w:val="0"/>
              <w:snapToGrid w:val="0"/>
              <w:jc w:val="both"/>
              <w:rPr>
                <w:rFonts w:eastAsiaTheme="minorEastAsia"/>
                <w:sz w:val="19"/>
                <w:szCs w:val="19"/>
              </w:rPr>
            </w:pPr>
            <w:r w:rsidRPr="00904033">
              <w:rPr>
                <w:rFonts w:eastAsiaTheme="minorEastAsia"/>
                <w:sz w:val="19"/>
                <w:szCs w:val="19"/>
              </w:rPr>
              <w:t>0.933</w:t>
            </w:r>
          </w:p>
        </w:tc>
      </w:tr>
      <w:tr w:rsidR="009221CE" w:rsidRPr="00904033" w:rsidTr="00904033">
        <w:tc>
          <w:tcPr>
            <w:tcW w:w="2093" w:type="dxa"/>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&gt;60</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14</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43.75%</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44.83%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27</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44.26%</w:t>
            </w: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r>
      <w:tr w:rsidR="009221CE" w:rsidRPr="00904033" w:rsidTr="00904033">
        <w:tc>
          <w:tcPr>
            <w:tcW w:w="2093" w:type="dxa"/>
            <w:vMerge w:val="restart"/>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Lympho-vascular invasion</w:t>
            </w: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Yes</w:t>
            </w:r>
            <w:r w:rsidR="00330828" w:rsidRPr="00904033">
              <w:rPr>
                <w:rFonts w:eastAsiaTheme="minorEastAsia"/>
                <w:sz w:val="19"/>
                <w:szCs w:val="19"/>
              </w:rPr>
              <w:t xml:space="preserve"> </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17</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53.13%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14</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48.28%</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31</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50.82%</w:t>
            </w:r>
          </w:p>
        </w:tc>
        <w:tc>
          <w:tcPr>
            <w:tcW w:w="0" w:type="auto"/>
            <w:vMerge w:val="restart"/>
            <w:shd w:val="clear" w:color="auto" w:fill="auto"/>
            <w:vAlign w:val="center"/>
          </w:tcPr>
          <w:p w:rsidR="001A5360" w:rsidRPr="00904033" w:rsidRDefault="00A650A0" w:rsidP="00E6758D">
            <w:pPr>
              <w:bidi w:val="0"/>
              <w:snapToGrid w:val="0"/>
              <w:jc w:val="both"/>
              <w:rPr>
                <w:rFonts w:eastAsiaTheme="minorEastAsia"/>
                <w:sz w:val="19"/>
                <w:szCs w:val="19"/>
              </w:rPr>
            </w:pPr>
            <w:r w:rsidRPr="00904033">
              <w:rPr>
                <w:rFonts w:eastAsiaTheme="minorEastAsia"/>
                <w:sz w:val="19"/>
                <w:szCs w:val="19"/>
              </w:rPr>
              <w:t>0.143</w:t>
            </w:r>
          </w:p>
        </w:tc>
        <w:tc>
          <w:tcPr>
            <w:tcW w:w="0" w:type="auto"/>
            <w:vMerge w:val="restart"/>
            <w:shd w:val="clear" w:color="auto" w:fill="auto"/>
            <w:vAlign w:val="center"/>
          </w:tcPr>
          <w:p w:rsidR="001A5360" w:rsidRPr="00904033" w:rsidRDefault="00A650A0" w:rsidP="00E6758D">
            <w:pPr>
              <w:bidi w:val="0"/>
              <w:snapToGrid w:val="0"/>
              <w:jc w:val="both"/>
              <w:rPr>
                <w:rFonts w:eastAsiaTheme="minorEastAsia"/>
                <w:sz w:val="19"/>
                <w:szCs w:val="19"/>
              </w:rPr>
            </w:pPr>
            <w:r w:rsidRPr="00904033">
              <w:rPr>
                <w:rFonts w:eastAsiaTheme="minorEastAsia"/>
                <w:sz w:val="19"/>
                <w:szCs w:val="19"/>
              </w:rPr>
              <w:t>0.705</w:t>
            </w:r>
          </w:p>
        </w:tc>
      </w:tr>
      <w:tr w:rsidR="009221CE" w:rsidRPr="00904033" w:rsidTr="00904033">
        <w:tc>
          <w:tcPr>
            <w:tcW w:w="2093" w:type="dxa"/>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No</w:t>
            </w:r>
            <w:r w:rsidR="00330828" w:rsidRPr="00904033">
              <w:rPr>
                <w:rFonts w:eastAsiaTheme="minorEastAsia"/>
                <w:sz w:val="19"/>
                <w:szCs w:val="19"/>
              </w:rPr>
              <w:t xml:space="preserve"> </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15</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46.87%</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15</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51.72%</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30</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49.18%</w:t>
            </w: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r>
      <w:tr w:rsidR="009221CE" w:rsidRPr="00904033" w:rsidTr="00904033">
        <w:tc>
          <w:tcPr>
            <w:tcW w:w="2093" w:type="dxa"/>
            <w:vMerge w:val="restart"/>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Tumor Status</w:t>
            </w: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T1</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6.25%</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10.34%</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8.2%</w:t>
            </w:r>
          </w:p>
        </w:tc>
        <w:tc>
          <w:tcPr>
            <w:tcW w:w="0" w:type="auto"/>
            <w:vMerge w:val="restart"/>
            <w:shd w:val="clear" w:color="auto" w:fill="auto"/>
            <w:vAlign w:val="center"/>
          </w:tcPr>
          <w:p w:rsidR="001A5360" w:rsidRPr="00904033" w:rsidRDefault="00A650A0" w:rsidP="00E6758D">
            <w:pPr>
              <w:bidi w:val="0"/>
              <w:snapToGrid w:val="0"/>
              <w:jc w:val="both"/>
              <w:rPr>
                <w:rFonts w:eastAsiaTheme="minorEastAsia"/>
                <w:sz w:val="19"/>
                <w:szCs w:val="19"/>
              </w:rPr>
            </w:pPr>
            <w:r w:rsidRPr="00904033">
              <w:rPr>
                <w:rFonts w:eastAsiaTheme="minorEastAsia"/>
                <w:sz w:val="19"/>
                <w:szCs w:val="19"/>
              </w:rPr>
              <w:t>0.432</w:t>
            </w:r>
          </w:p>
        </w:tc>
        <w:tc>
          <w:tcPr>
            <w:tcW w:w="0" w:type="auto"/>
            <w:vMerge w:val="restart"/>
            <w:shd w:val="clear" w:color="auto" w:fill="auto"/>
            <w:vAlign w:val="center"/>
          </w:tcPr>
          <w:p w:rsidR="001A5360" w:rsidRPr="00904033" w:rsidRDefault="00A650A0" w:rsidP="00E6758D">
            <w:pPr>
              <w:bidi w:val="0"/>
              <w:snapToGrid w:val="0"/>
              <w:jc w:val="both"/>
              <w:rPr>
                <w:rFonts w:eastAsiaTheme="minorEastAsia"/>
                <w:sz w:val="19"/>
                <w:szCs w:val="19"/>
              </w:rPr>
            </w:pPr>
            <w:r w:rsidRPr="00904033">
              <w:rPr>
                <w:rFonts w:eastAsiaTheme="minorEastAsia"/>
                <w:sz w:val="19"/>
                <w:szCs w:val="19"/>
              </w:rPr>
              <w:t>0.807</w:t>
            </w:r>
          </w:p>
        </w:tc>
      </w:tr>
      <w:tr w:rsidR="009221CE" w:rsidRPr="00904033" w:rsidTr="00904033">
        <w:tc>
          <w:tcPr>
            <w:tcW w:w="2093" w:type="dxa"/>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T2</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27</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84.38%</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24</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82.76%</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51</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83.6%</w:t>
            </w: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r>
      <w:tr w:rsidR="009221CE" w:rsidRPr="00904033" w:rsidTr="00904033">
        <w:tc>
          <w:tcPr>
            <w:tcW w:w="2093" w:type="dxa"/>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T3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9.38%</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6.89%</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8.2%</w:t>
            </w: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r>
      <w:tr w:rsidR="009221CE" w:rsidRPr="00904033" w:rsidTr="00904033">
        <w:tc>
          <w:tcPr>
            <w:tcW w:w="2093" w:type="dxa"/>
            <w:vMerge w:val="restart"/>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Tumor Grade</w:t>
            </w: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Grade I</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0</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0%</w:t>
            </w:r>
          </w:p>
        </w:tc>
        <w:tc>
          <w:tcPr>
            <w:tcW w:w="0" w:type="auto"/>
            <w:shd w:val="clear" w:color="auto" w:fill="auto"/>
            <w:noWrap/>
            <w:vAlign w:val="center"/>
          </w:tcPr>
          <w:p w:rsidR="001A5360" w:rsidRPr="00904033" w:rsidRDefault="00802E5F" w:rsidP="00E6758D">
            <w:pPr>
              <w:bidi w:val="0"/>
              <w:snapToGrid w:val="0"/>
              <w:jc w:val="both"/>
              <w:rPr>
                <w:rFonts w:eastAsiaTheme="minorEastAsia"/>
                <w:sz w:val="19"/>
                <w:szCs w:val="19"/>
              </w:rPr>
            </w:pPr>
            <w:r w:rsidRPr="00904033">
              <w:rPr>
                <w:rFonts w:eastAsiaTheme="minorEastAsia"/>
                <w:sz w:val="19"/>
                <w:szCs w:val="19"/>
              </w:rPr>
              <w:t>4</w:t>
            </w:r>
          </w:p>
        </w:tc>
        <w:tc>
          <w:tcPr>
            <w:tcW w:w="0" w:type="auto"/>
            <w:shd w:val="clear" w:color="auto" w:fill="auto"/>
            <w:noWrap/>
            <w:vAlign w:val="center"/>
          </w:tcPr>
          <w:p w:rsidR="001A5360" w:rsidRPr="00904033" w:rsidRDefault="00802E5F" w:rsidP="00E6758D">
            <w:pPr>
              <w:bidi w:val="0"/>
              <w:snapToGrid w:val="0"/>
              <w:jc w:val="both"/>
              <w:rPr>
                <w:rFonts w:eastAsiaTheme="minorEastAsia"/>
                <w:sz w:val="19"/>
                <w:szCs w:val="19"/>
              </w:rPr>
            </w:pPr>
            <w:r w:rsidRPr="00904033">
              <w:rPr>
                <w:rFonts w:eastAsiaTheme="minorEastAsia"/>
                <w:sz w:val="19"/>
                <w:szCs w:val="19"/>
              </w:rPr>
              <w:t>13.79</w:t>
            </w:r>
            <w:r w:rsidR="001A5360" w:rsidRPr="00904033">
              <w:rPr>
                <w:rFonts w:eastAsiaTheme="minorEastAsia"/>
                <w:sz w:val="19"/>
                <w:szCs w:val="19"/>
              </w:rPr>
              <w:t>%</w:t>
            </w:r>
          </w:p>
        </w:tc>
        <w:tc>
          <w:tcPr>
            <w:tcW w:w="0" w:type="auto"/>
            <w:shd w:val="clear" w:color="auto" w:fill="auto"/>
            <w:noWrap/>
            <w:vAlign w:val="center"/>
          </w:tcPr>
          <w:p w:rsidR="001A5360" w:rsidRPr="00904033" w:rsidRDefault="00A81F21" w:rsidP="00E6758D">
            <w:pPr>
              <w:bidi w:val="0"/>
              <w:snapToGrid w:val="0"/>
              <w:jc w:val="both"/>
              <w:rPr>
                <w:rFonts w:eastAsiaTheme="minorEastAsia"/>
                <w:sz w:val="19"/>
                <w:szCs w:val="19"/>
              </w:rPr>
            </w:pPr>
            <w:r w:rsidRPr="00904033">
              <w:rPr>
                <w:rFonts w:eastAsiaTheme="minorEastAsia"/>
                <w:sz w:val="19"/>
                <w:szCs w:val="19"/>
              </w:rPr>
              <w:t>4</w:t>
            </w:r>
          </w:p>
        </w:tc>
        <w:tc>
          <w:tcPr>
            <w:tcW w:w="0" w:type="auto"/>
            <w:shd w:val="clear" w:color="auto" w:fill="auto"/>
            <w:noWrap/>
            <w:vAlign w:val="center"/>
          </w:tcPr>
          <w:p w:rsidR="001A5360" w:rsidRPr="00904033" w:rsidRDefault="00A81F21" w:rsidP="00E6758D">
            <w:pPr>
              <w:bidi w:val="0"/>
              <w:snapToGrid w:val="0"/>
              <w:jc w:val="both"/>
              <w:rPr>
                <w:rFonts w:eastAsiaTheme="minorEastAsia"/>
                <w:sz w:val="19"/>
                <w:szCs w:val="19"/>
              </w:rPr>
            </w:pPr>
            <w:r w:rsidRPr="00904033">
              <w:rPr>
                <w:rFonts w:eastAsiaTheme="minorEastAsia"/>
                <w:sz w:val="19"/>
                <w:szCs w:val="19"/>
              </w:rPr>
              <w:t>6.56</w:t>
            </w:r>
            <w:r w:rsidR="001A5360" w:rsidRPr="00904033">
              <w:rPr>
                <w:rFonts w:eastAsiaTheme="minorEastAsia"/>
                <w:sz w:val="19"/>
                <w:szCs w:val="19"/>
              </w:rPr>
              <w:t>%</w:t>
            </w:r>
          </w:p>
        </w:tc>
        <w:tc>
          <w:tcPr>
            <w:tcW w:w="0" w:type="auto"/>
            <w:vMerge w:val="restart"/>
            <w:shd w:val="clear" w:color="auto" w:fill="auto"/>
            <w:vAlign w:val="center"/>
          </w:tcPr>
          <w:p w:rsidR="001A5360" w:rsidRPr="00904033" w:rsidRDefault="00A650A0" w:rsidP="00E6758D">
            <w:pPr>
              <w:bidi w:val="0"/>
              <w:snapToGrid w:val="0"/>
              <w:jc w:val="both"/>
              <w:rPr>
                <w:rFonts w:eastAsiaTheme="minorEastAsia"/>
                <w:sz w:val="19"/>
                <w:szCs w:val="19"/>
              </w:rPr>
            </w:pPr>
            <w:r w:rsidRPr="00904033">
              <w:rPr>
                <w:rFonts w:eastAsiaTheme="minorEastAsia"/>
                <w:sz w:val="19"/>
                <w:szCs w:val="19"/>
              </w:rPr>
              <w:t>1.223</w:t>
            </w:r>
          </w:p>
        </w:tc>
        <w:tc>
          <w:tcPr>
            <w:tcW w:w="0" w:type="auto"/>
            <w:vMerge w:val="restart"/>
            <w:shd w:val="clear" w:color="auto" w:fill="auto"/>
            <w:vAlign w:val="center"/>
          </w:tcPr>
          <w:p w:rsidR="001A5360" w:rsidRPr="00904033" w:rsidRDefault="00A650A0" w:rsidP="00E6758D">
            <w:pPr>
              <w:bidi w:val="0"/>
              <w:snapToGrid w:val="0"/>
              <w:jc w:val="both"/>
              <w:rPr>
                <w:rFonts w:eastAsiaTheme="minorEastAsia"/>
                <w:sz w:val="19"/>
                <w:szCs w:val="19"/>
              </w:rPr>
            </w:pPr>
            <w:r w:rsidRPr="00904033">
              <w:rPr>
                <w:rFonts w:eastAsiaTheme="minorEastAsia"/>
                <w:sz w:val="19"/>
                <w:szCs w:val="19"/>
              </w:rPr>
              <w:t>0.</w:t>
            </w:r>
            <w:r w:rsidR="00A81F21" w:rsidRPr="00904033">
              <w:rPr>
                <w:rFonts w:eastAsiaTheme="minorEastAsia"/>
                <w:sz w:val="19"/>
                <w:szCs w:val="19"/>
              </w:rPr>
              <w:t>0</w:t>
            </w:r>
            <w:r w:rsidRPr="00904033">
              <w:rPr>
                <w:rFonts w:eastAsiaTheme="minorEastAsia"/>
                <w:sz w:val="19"/>
                <w:szCs w:val="19"/>
              </w:rPr>
              <w:t>5</w:t>
            </w:r>
            <w:r w:rsidR="00A81F21" w:rsidRPr="00904033">
              <w:rPr>
                <w:rFonts w:eastAsiaTheme="minorEastAsia"/>
                <w:sz w:val="19"/>
                <w:szCs w:val="19"/>
              </w:rPr>
              <w:t>98</w:t>
            </w:r>
          </w:p>
        </w:tc>
      </w:tr>
      <w:tr w:rsidR="009221CE" w:rsidRPr="00904033" w:rsidTr="00904033">
        <w:tc>
          <w:tcPr>
            <w:tcW w:w="2093" w:type="dxa"/>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Grade II</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9.38%</w:t>
            </w:r>
          </w:p>
        </w:tc>
        <w:tc>
          <w:tcPr>
            <w:tcW w:w="0" w:type="auto"/>
            <w:shd w:val="clear" w:color="auto" w:fill="auto"/>
            <w:noWrap/>
            <w:vAlign w:val="center"/>
          </w:tcPr>
          <w:p w:rsidR="001A5360" w:rsidRPr="00904033" w:rsidRDefault="00802E5F" w:rsidP="00E6758D">
            <w:pPr>
              <w:bidi w:val="0"/>
              <w:snapToGrid w:val="0"/>
              <w:jc w:val="both"/>
              <w:rPr>
                <w:rFonts w:eastAsiaTheme="minorEastAsia"/>
                <w:sz w:val="19"/>
                <w:szCs w:val="19"/>
              </w:rPr>
            </w:pPr>
            <w:r w:rsidRPr="00904033">
              <w:rPr>
                <w:rFonts w:eastAsiaTheme="minorEastAsia"/>
                <w:sz w:val="19"/>
                <w:szCs w:val="19"/>
              </w:rPr>
              <w:t>7</w:t>
            </w:r>
          </w:p>
        </w:tc>
        <w:tc>
          <w:tcPr>
            <w:tcW w:w="0" w:type="auto"/>
            <w:shd w:val="clear" w:color="auto" w:fill="auto"/>
            <w:noWrap/>
            <w:vAlign w:val="center"/>
          </w:tcPr>
          <w:p w:rsidR="001A5360" w:rsidRPr="00904033" w:rsidRDefault="00802E5F" w:rsidP="00E6758D">
            <w:pPr>
              <w:bidi w:val="0"/>
              <w:snapToGrid w:val="0"/>
              <w:jc w:val="both"/>
              <w:rPr>
                <w:rFonts w:eastAsiaTheme="minorEastAsia"/>
                <w:sz w:val="19"/>
                <w:szCs w:val="19"/>
              </w:rPr>
            </w:pPr>
            <w:r w:rsidRPr="00904033">
              <w:rPr>
                <w:rFonts w:eastAsiaTheme="minorEastAsia"/>
                <w:sz w:val="19"/>
                <w:szCs w:val="19"/>
              </w:rPr>
              <w:t>24.14</w:t>
            </w:r>
            <w:r w:rsidR="001A5360" w:rsidRPr="00904033">
              <w:rPr>
                <w:rFonts w:eastAsiaTheme="minorEastAsia"/>
                <w:sz w:val="19"/>
                <w:szCs w:val="19"/>
              </w:rPr>
              <w:t>%</w:t>
            </w:r>
          </w:p>
        </w:tc>
        <w:tc>
          <w:tcPr>
            <w:tcW w:w="0" w:type="auto"/>
            <w:shd w:val="clear" w:color="auto" w:fill="auto"/>
            <w:noWrap/>
            <w:vAlign w:val="center"/>
          </w:tcPr>
          <w:p w:rsidR="001A5360" w:rsidRPr="00904033" w:rsidRDefault="00A81F21" w:rsidP="00E6758D">
            <w:pPr>
              <w:bidi w:val="0"/>
              <w:snapToGrid w:val="0"/>
              <w:jc w:val="both"/>
              <w:rPr>
                <w:rFonts w:eastAsiaTheme="minorEastAsia"/>
                <w:sz w:val="19"/>
                <w:szCs w:val="19"/>
              </w:rPr>
            </w:pPr>
            <w:r w:rsidRPr="00904033">
              <w:rPr>
                <w:rFonts w:eastAsiaTheme="minorEastAsia"/>
                <w:sz w:val="19"/>
                <w:szCs w:val="19"/>
              </w:rPr>
              <w:t>10</w:t>
            </w:r>
          </w:p>
        </w:tc>
        <w:tc>
          <w:tcPr>
            <w:tcW w:w="0" w:type="auto"/>
            <w:shd w:val="clear" w:color="auto" w:fill="auto"/>
            <w:noWrap/>
            <w:vAlign w:val="center"/>
          </w:tcPr>
          <w:p w:rsidR="001A5360" w:rsidRPr="00904033" w:rsidRDefault="00A81F21" w:rsidP="00E6758D">
            <w:pPr>
              <w:bidi w:val="0"/>
              <w:snapToGrid w:val="0"/>
              <w:jc w:val="both"/>
              <w:rPr>
                <w:rFonts w:eastAsiaTheme="minorEastAsia"/>
                <w:sz w:val="19"/>
                <w:szCs w:val="19"/>
              </w:rPr>
            </w:pPr>
            <w:r w:rsidRPr="00904033">
              <w:rPr>
                <w:rFonts w:eastAsiaTheme="minorEastAsia"/>
                <w:sz w:val="19"/>
                <w:szCs w:val="19"/>
              </w:rPr>
              <w:t>16.39</w:t>
            </w:r>
            <w:r w:rsidR="001A5360" w:rsidRPr="00904033">
              <w:rPr>
                <w:rFonts w:eastAsiaTheme="minorEastAsia"/>
                <w:sz w:val="19"/>
                <w:szCs w:val="19"/>
              </w:rPr>
              <w:t>%</w:t>
            </w: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r>
      <w:tr w:rsidR="009221CE" w:rsidRPr="00904033" w:rsidTr="00904033">
        <w:tc>
          <w:tcPr>
            <w:tcW w:w="2093" w:type="dxa"/>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Grade III</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29</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90.63%</w:t>
            </w:r>
          </w:p>
        </w:tc>
        <w:tc>
          <w:tcPr>
            <w:tcW w:w="0" w:type="auto"/>
            <w:shd w:val="clear" w:color="auto" w:fill="auto"/>
            <w:noWrap/>
            <w:vAlign w:val="center"/>
          </w:tcPr>
          <w:p w:rsidR="001A5360" w:rsidRPr="00904033" w:rsidRDefault="00802E5F" w:rsidP="00E6758D">
            <w:pPr>
              <w:bidi w:val="0"/>
              <w:snapToGrid w:val="0"/>
              <w:jc w:val="both"/>
              <w:rPr>
                <w:rFonts w:eastAsiaTheme="minorEastAsia"/>
                <w:sz w:val="19"/>
                <w:szCs w:val="19"/>
              </w:rPr>
            </w:pPr>
            <w:r w:rsidRPr="00904033">
              <w:rPr>
                <w:rFonts w:eastAsiaTheme="minorEastAsia"/>
                <w:sz w:val="19"/>
                <w:szCs w:val="19"/>
              </w:rPr>
              <w:t>18</w:t>
            </w:r>
          </w:p>
        </w:tc>
        <w:tc>
          <w:tcPr>
            <w:tcW w:w="0" w:type="auto"/>
            <w:shd w:val="clear" w:color="auto" w:fill="auto"/>
            <w:noWrap/>
            <w:vAlign w:val="center"/>
          </w:tcPr>
          <w:p w:rsidR="001A5360" w:rsidRPr="00904033" w:rsidRDefault="00E2469B" w:rsidP="00E6758D">
            <w:pPr>
              <w:bidi w:val="0"/>
              <w:snapToGrid w:val="0"/>
              <w:jc w:val="both"/>
              <w:rPr>
                <w:rFonts w:eastAsiaTheme="minorEastAsia"/>
                <w:sz w:val="19"/>
                <w:szCs w:val="19"/>
              </w:rPr>
            </w:pPr>
            <w:r w:rsidRPr="00904033">
              <w:rPr>
                <w:rFonts w:eastAsiaTheme="minorEastAsia"/>
                <w:sz w:val="19"/>
                <w:szCs w:val="19"/>
              </w:rPr>
              <w:t>62.07</w:t>
            </w:r>
            <w:r w:rsidR="001A5360" w:rsidRPr="00904033">
              <w:rPr>
                <w:rFonts w:eastAsiaTheme="minorEastAsia"/>
                <w:sz w:val="19"/>
                <w:szCs w:val="19"/>
              </w:rPr>
              <w:t>%</w:t>
            </w:r>
          </w:p>
        </w:tc>
        <w:tc>
          <w:tcPr>
            <w:tcW w:w="0" w:type="auto"/>
            <w:shd w:val="clear" w:color="auto" w:fill="auto"/>
            <w:noWrap/>
            <w:vAlign w:val="center"/>
          </w:tcPr>
          <w:p w:rsidR="001A5360" w:rsidRPr="00904033" w:rsidRDefault="00A81F21" w:rsidP="00E6758D">
            <w:pPr>
              <w:bidi w:val="0"/>
              <w:snapToGrid w:val="0"/>
              <w:jc w:val="both"/>
              <w:rPr>
                <w:rFonts w:eastAsiaTheme="minorEastAsia"/>
                <w:sz w:val="19"/>
                <w:szCs w:val="19"/>
              </w:rPr>
            </w:pPr>
            <w:r w:rsidRPr="00904033">
              <w:rPr>
                <w:rFonts w:eastAsiaTheme="minorEastAsia"/>
                <w:sz w:val="19"/>
                <w:szCs w:val="19"/>
              </w:rPr>
              <w:t>47</w:t>
            </w:r>
          </w:p>
        </w:tc>
        <w:tc>
          <w:tcPr>
            <w:tcW w:w="0" w:type="auto"/>
            <w:shd w:val="clear" w:color="auto" w:fill="auto"/>
            <w:noWrap/>
            <w:vAlign w:val="center"/>
          </w:tcPr>
          <w:p w:rsidR="001A5360" w:rsidRPr="00904033" w:rsidRDefault="00A81F21" w:rsidP="00E6758D">
            <w:pPr>
              <w:bidi w:val="0"/>
              <w:snapToGrid w:val="0"/>
              <w:jc w:val="both"/>
              <w:rPr>
                <w:rFonts w:eastAsiaTheme="minorEastAsia"/>
                <w:sz w:val="19"/>
                <w:szCs w:val="19"/>
              </w:rPr>
            </w:pPr>
            <w:r w:rsidRPr="00904033">
              <w:rPr>
                <w:rFonts w:eastAsiaTheme="minorEastAsia"/>
                <w:sz w:val="19"/>
                <w:szCs w:val="19"/>
              </w:rPr>
              <w:t>77.05</w:t>
            </w:r>
            <w:r w:rsidR="001A5360" w:rsidRPr="00904033">
              <w:rPr>
                <w:rFonts w:eastAsiaTheme="minorEastAsia"/>
                <w:sz w:val="19"/>
                <w:szCs w:val="19"/>
              </w:rPr>
              <w:t>%</w:t>
            </w: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r>
      <w:tr w:rsidR="009221CE" w:rsidRPr="00904033" w:rsidTr="00904033">
        <w:tc>
          <w:tcPr>
            <w:tcW w:w="2093" w:type="dxa"/>
            <w:vMerge w:val="restart"/>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Nodal Status</w:t>
            </w: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Negative</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9</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28.12%</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9</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31.03%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18</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29.51%</w:t>
            </w:r>
          </w:p>
        </w:tc>
        <w:tc>
          <w:tcPr>
            <w:tcW w:w="0" w:type="auto"/>
            <w:vMerge w:val="restart"/>
            <w:shd w:val="clear" w:color="auto" w:fill="auto"/>
            <w:vAlign w:val="center"/>
          </w:tcPr>
          <w:p w:rsidR="001A5360" w:rsidRPr="00904033" w:rsidRDefault="00A650A0" w:rsidP="00E6758D">
            <w:pPr>
              <w:bidi w:val="0"/>
              <w:snapToGrid w:val="0"/>
              <w:jc w:val="both"/>
              <w:rPr>
                <w:rFonts w:eastAsiaTheme="minorEastAsia"/>
                <w:sz w:val="19"/>
                <w:szCs w:val="19"/>
              </w:rPr>
            </w:pPr>
            <w:r w:rsidRPr="00904033">
              <w:rPr>
                <w:rFonts w:eastAsiaTheme="minorEastAsia"/>
                <w:sz w:val="19"/>
                <w:szCs w:val="19"/>
              </w:rPr>
              <w:t>0.112</w:t>
            </w:r>
          </w:p>
        </w:tc>
        <w:tc>
          <w:tcPr>
            <w:tcW w:w="0" w:type="auto"/>
            <w:vMerge w:val="restart"/>
            <w:shd w:val="clear" w:color="auto" w:fill="auto"/>
            <w:vAlign w:val="center"/>
          </w:tcPr>
          <w:p w:rsidR="001A5360" w:rsidRPr="00904033" w:rsidRDefault="00A650A0" w:rsidP="00E6758D">
            <w:pPr>
              <w:bidi w:val="0"/>
              <w:snapToGrid w:val="0"/>
              <w:jc w:val="both"/>
              <w:rPr>
                <w:rFonts w:eastAsiaTheme="minorEastAsia"/>
                <w:sz w:val="19"/>
                <w:szCs w:val="19"/>
              </w:rPr>
            </w:pPr>
            <w:r w:rsidRPr="00904033">
              <w:rPr>
                <w:rFonts w:eastAsiaTheme="minorEastAsia"/>
                <w:sz w:val="19"/>
                <w:szCs w:val="19"/>
              </w:rPr>
              <w:t>0.948</w:t>
            </w:r>
          </w:p>
        </w:tc>
      </w:tr>
      <w:tr w:rsidR="009221CE" w:rsidRPr="00904033" w:rsidTr="00904033">
        <w:tc>
          <w:tcPr>
            <w:tcW w:w="2093" w:type="dxa"/>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1-3 LNs</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19</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59.38%</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17</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58.62%</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36</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59.02%</w:t>
            </w: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r>
      <w:tr w:rsidR="009221CE" w:rsidRPr="00904033" w:rsidTr="00904033">
        <w:tc>
          <w:tcPr>
            <w:tcW w:w="2093" w:type="dxa"/>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&gt;3 LNs</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4</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12.5%</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10.34%</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7</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11.47%</w:t>
            </w: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r>
      <w:tr w:rsidR="009221CE" w:rsidRPr="00904033" w:rsidTr="00904033">
        <w:tc>
          <w:tcPr>
            <w:tcW w:w="2093" w:type="dxa"/>
            <w:vMerge w:val="restart"/>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Response to neoadjuvant chemotherapy</w:t>
            </w: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Complete response</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40.63%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4</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13.79%</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17</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27.87%</w:t>
            </w:r>
          </w:p>
        </w:tc>
        <w:tc>
          <w:tcPr>
            <w:tcW w:w="0" w:type="auto"/>
            <w:vMerge w:val="restart"/>
            <w:shd w:val="clear" w:color="auto" w:fill="auto"/>
            <w:vAlign w:val="center"/>
          </w:tcPr>
          <w:p w:rsidR="001A5360" w:rsidRPr="00904033" w:rsidRDefault="005B7565" w:rsidP="00E6758D">
            <w:pPr>
              <w:bidi w:val="0"/>
              <w:snapToGrid w:val="0"/>
              <w:jc w:val="both"/>
              <w:rPr>
                <w:rFonts w:eastAsiaTheme="minorEastAsia"/>
                <w:sz w:val="19"/>
                <w:szCs w:val="19"/>
              </w:rPr>
            </w:pPr>
            <w:r w:rsidRPr="00904033">
              <w:rPr>
                <w:rFonts w:eastAsiaTheme="minorEastAsia"/>
                <w:sz w:val="19"/>
                <w:szCs w:val="19"/>
              </w:rPr>
              <w:t>13.012</w:t>
            </w:r>
          </w:p>
        </w:tc>
        <w:tc>
          <w:tcPr>
            <w:tcW w:w="0" w:type="auto"/>
            <w:vMerge w:val="restart"/>
            <w:shd w:val="clear" w:color="auto" w:fill="auto"/>
            <w:vAlign w:val="center"/>
          </w:tcPr>
          <w:p w:rsidR="001A5360" w:rsidRPr="00904033" w:rsidRDefault="005B7565" w:rsidP="00E6758D">
            <w:pPr>
              <w:bidi w:val="0"/>
              <w:snapToGrid w:val="0"/>
              <w:jc w:val="both"/>
              <w:rPr>
                <w:rFonts w:eastAsiaTheme="minorEastAsia"/>
                <w:sz w:val="19"/>
                <w:szCs w:val="19"/>
              </w:rPr>
            </w:pPr>
            <w:r w:rsidRPr="00904033">
              <w:rPr>
                <w:rFonts w:eastAsiaTheme="minorEastAsia"/>
                <w:sz w:val="19"/>
                <w:szCs w:val="19"/>
              </w:rPr>
              <w:t>0.005*</w:t>
            </w:r>
          </w:p>
        </w:tc>
      </w:tr>
      <w:tr w:rsidR="009221CE" w:rsidRPr="00904033" w:rsidTr="00904033">
        <w:tc>
          <w:tcPr>
            <w:tcW w:w="2093" w:type="dxa"/>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Partial response</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14</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43.75%</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10</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34.48</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24</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39.34</w:t>
            </w: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r>
      <w:tr w:rsidR="009221CE" w:rsidRPr="00904033" w:rsidTr="00904033">
        <w:tc>
          <w:tcPr>
            <w:tcW w:w="2093" w:type="dxa"/>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 xml:space="preserve">Stable disease </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5</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15.62</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8</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27.59</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13</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21.31</w:t>
            </w: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r>
      <w:tr w:rsidR="009221CE" w:rsidRPr="00904033" w:rsidTr="00904033">
        <w:tc>
          <w:tcPr>
            <w:tcW w:w="2093" w:type="dxa"/>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1778" w:type="dxa"/>
            <w:shd w:val="clear" w:color="auto" w:fill="auto"/>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Progressive disease</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0</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0%</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7</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24.14%</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7</w:t>
            </w:r>
          </w:p>
        </w:tc>
        <w:tc>
          <w:tcPr>
            <w:tcW w:w="0" w:type="auto"/>
            <w:shd w:val="clear" w:color="auto" w:fill="auto"/>
            <w:noWrap/>
            <w:vAlign w:val="center"/>
          </w:tcPr>
          <w:p w:rsidR="001A5360" w:rsidRPr="00904033" w:rsidRDefault="001A5360" w:rsidP="00E6758D">
            <w:pPr>
              <w:bidi w:val="0"/>
              <w:snapToGrid w:val="0"/>
              <w:jc w:val="both"/>
              <w:rPr>
                <w:rFonts w:eastAsiaTheme="minorEastAsia"/>
                <w:sz w:val="19"/>
                <w:szCs w:val="19"/>
              </w:rPr>
            </w:pPr>
            <w:r w:rsidRPr="00904033">
              <w:rPr>
                <w:rFonts w:eastAsiaTheme="minorEastAsia"/>
                <w:sz w:val="19"/>
                <w:szCs w:val="19"/>
              </w:rPr>
              <w:t>11.47%</w:t>
            </w: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c>
          <w:tcPr>
            <w:tcW w:w="0" w:type="auto"/>
            <w:vMerge/>
            <w:shd w:val="clear" w:color="auto" w:fill="auto"/>
            <w:vAlign w:val="center"/>
          </w:tcPr>
          <w:p w:rsidR="001A5360" w:rsidRPr="00904033" w:rsidRDefault="001A5360" w:rsidP="00E6758D">
            <w:pPr>
              <w:bidi w:val="0"/>
              <w:snapToGrid w:val="0"/>
              <w:jc w:val="both"/>
              <w:rPr>
                <w:rFonts w:eastAsiaTheme="minorEastAsia"/>
                <w:sz w:val="19"/>
                <w:szCs w:val="19"/>
              </w:rPr>
            </w:pPr>
          </w:p>
        </w:tc>
      </w:tr>
    </w:tbl>
    <w:p w:rsidR="00FD5EA3" w:rsidRPr="00904033" w:rsidRDefault="00FD5EA3" w:rsidP="00FD5EA3">
      <w:pPr>
        <w:autoSpaceDE w:val="0"/>
        <w:autoSpaceDN w:val="0"/>
        <w:bidi w:val="0"/>
        <w:adjustRightInd w:val="0"/>
        <w:snapToGrid w:val="0"/>
        <w:jc w:val="both"/>
        <w:rPr>
          <w:b/>
          <w:bCs/>
          <w:sz w:val="20"/>
          <w:szCs w:val="20"/>
        </w:rPr>
      </w:pPr>
    </w:p>
    <w:p w:rsidR="00FD5EA3" w:rsidRPr="00904033" w:rsidRDefault="00FD5EA3" w:rsidP="00FD5EA3">
      <w:pPr>
        <w:autoSpaceDE w:val="0"/>
        <w:autoSpaceDN w:val="0"/>
        <w:bidi w:val="0"/>
        <w:adjustRightInd w:val="0"/>
        <w:snapToGrid w:val="0"/>
        <w:jc w:val="both"/>
        <w:rPr>
          <w:b/>
          <w:bCs/>
          <w:sz w:val="20"/>
          <w:szCs w:val="20"/>
        </w:rPr>
        <w:sectPr w:rsidR="00FD5EA3" w:rsidRPr="00904033" w:rsidSect="00330828">
          <w:type w:val="continuous"/>
          <w:pgSz w:w="12240" w:h="15840"/>
          <w:pgMar w:top="1440" w:right="1440" w:bottom="1440" w:left="1440" w:header="720" w:footer="720" w:gutter="0"/>
          <w:cols w:space="720"/>
          <w:bidi/>
          <w:rtlGutter/>
          <w:docGrid w:linePitch="360"/>
        </w:sectPr>
      </w:pPr>
    </w:p>
    <w:p w:rsidR="0097098F" w:rsidRPr="00904033" w:rsidRDefault="0097098F" w:rsidP="0097098F">
      <w:pPr>
        <w:bidi w:val="0"/>
        <w:snapToGrid w:val="0"/>
        <w:ind w:firstLine="425"/>
        <w:jc w:val="both"/>
        <w:rPr>
          <w:sz w:val="20"/>
          <w:szCs w:val="20"/>
        </w:rPr>
      </w:pPr>
      <w:r w:rsidRPr="00904033">
        <w:rPr>
          <w:sz w:val="20"/>
          <w:szCs w:val="20"/>
        </w:rPr>
        <w:lastRenderedPageBreak/>
        <w:t xml:space="preserve">Table (1) shows the correlation between BCL2 expression and the patient, tumor characteristics, as well as to response of treatment, and mortality. </w:t>
      </w:r>
    </w:p>
    <w:p w:rsidR="00330828" w:rsidRPr="00904033" w:rsidRDefault="0097098F" w:rsidP="00904033">
      <w:pPr>
        <w:bidi w:val="0"/>
        <w:snapToGrid w:val="0"/>
        <w:ind w:firstLine="425"/>
        <w:jc w:val="both"/>
        <w:rPr>
          <w:b/>
          <w:bCs/>
          <w:sz w:val="20"/>
          <w:szCs w:val="20"/>
          <w:lang w:eastAsia="zh-CN"/>
        </w:rPr>
      </w:pPr>
      <w:r w:rsidRPr="00904033">
        <w:rPr>
          <w:sz w:val="20"/>
          <w:szCs w:val="20"/>
        </w:rPr>
        <w:t>BCL2 showed positivity in 29 cases (47.54%) (Fig 1, Fig 2 a, b, c and d). BCL2 was inversely correlated with tumor grade showing a border line significant correlation with it, with a higher frequency of grade III cancers being BCL2 negative (p= 0.0598). There was no statistical significance when looking at the correlation between BCL2 positivity and tumor size, (p= 0.807), nodal status (p= 0.948), age (p= 0.933), as well as lympho-vascular invasion (p= 0.705).</w:t>
      </w:r>
    </w:p>
    <w:p w:rsidR="001E491F" w:rsidRPr="00904033" w:rsidRDefault="00BF4945" w:rsidP="00FD5EA3">
      <w:pPr>
        <w:bidi w:val="0"/>
        <w:snapToGrid w:val="0"/>
        <w:jc w:val="center"/>
        <w:rPr>
          <w:b/>
          <w:bCs/>
          <w:sz w:val="20"/>
          <w:szCs w:val="20"/>
        </w:rPr>
      </w:pPr>
      <w:r w:rsidRPr="00904033">
        <w:rPr>
          <w:b/>
          <w:noProof/>
          <w:sz w:val="20"/>
          <w:szCs w:val="20"/>
          <w:lang w:eastAsia="zh-CN"/>
        </w:rPr>
        <w:pict>
          <v:shape id="Picture 6" o:spid="_x0000_i1030" type="#_x0000_t75" style="width:198.45pt;height:110.2pt;visibility:visible;mso-wrap-style:square">
            <v:imagedata r:id="rId14" o:title=""/>
          </v:shape>
        </w:pict>
      </w:r>
    </w:p>
    <w:p w:rsidR="001E491F" w:rsidRPr="00904033" w:rsidRDefault="001E491F" w:rsidP="00904033">
      <w:pPr>
        <w:bidi w:val="0"/>
        <w:snapToGrid w:val="0"/>
        <w:jc w:val="both"/>
        <w:rPr>
          <w:sz w:val="20"/>
          <w:szCs w:val="20"/>
          <w:lang w:bidi="ar-EG"/>
        </w:rPr>
      </w:pPr>
      <w:r w:rsidRPr="00904033">
        <w:rPr>
          <w:b/>
          <w:bCs/>
          <w:sz w:val="20"/>
          <w:szCs w:val="20"/>
        </w:rPr>
        <w:t>Fig 1: BCL2 showed positivity in 29 cases (47.54%)</w:t>
      </w:r>
      <w:r w:rsidRPr="00904033">
        <w:rPr>
          <w:b/>
          <w:bCs/>
          <w:sz w:val="20"/>
          <w:szCs w:val="20"/>
          <w:lang w:bidi="ar-EG"/>
        </w:rPr>
        <w:t>.</w:t>
      </w:r>
    </w:p>
    <w:p w:rsidR="001E491F" w:rsidRPr="00904033" w:rsidRDefault="00BF4945" w:rsidP="00FD5EA3">
      <w:pPr>
        <w:bidi w:val="0"/>
        <w:snapToGrid w:val="0"/>
        <w:jc w:val="center"/>
        <w:rPr>
          <w:sz w:val="20"/>
          <w:szCs w:val="20"/>
          <w:lang w:bidi="ar-EG"/>
        </w:rPr>
      </w:pPr>
      <w:r w:rsidRPr="00904033">
        <w:rPr>
          <w:noProof/>
          <w:sz w:val="20"/>
          <w:szCs w:val="20"/>
          <w:lang w:eastAsia="zh-CN"/>
        </w:rPr>
        <w:pict>
          <v:shape id="_x0000_i1031" type="#_x0000_t75" alt="Description: fig 2c" style="width:198.45pt;height:149pt;visibility:visible;mso-wrap-style:square">
            <v:imagedata r:id="rId15" o:title=" fig 2c"/>
          </v:shape>
        </w:pict>
      </w:r>
    </w:p>
    <w:p w:rsidR="00FD5EA3" w:rsidRPr="00904033" w:rsidRDefault="001E491F" w:rsidP="00FD5EA3">
      <w:pPr>
        <w:bidi w:val="0"/>
        <w:snapToGrid w:val="0"/>
        <w:jc w:val="both"/>
        <w:rPr>
          <w:b/>
          <w:bCs/>
          <w:sz w:val="20"/>
          <w:szCs w:val="20"/>
          <w:lang w:eastAsia="zh-CN" w:bidi="ar-EG"/>
        </w:rPr>
      </w:pPr>
      <w:r w:rsidRPr="00904033">
        <w:rPr>
          <w:b/>
          <w:bCs/>
          <w:sz w:val="20"/>
          <w:szCs w:val="20"/>
        </w:rPr>
        <w:t>Fig2a: bcl2 positive expression in grade I infiltrating duct carcinoma breast.</w:t>
      </w:r>
    </w:p>
    <w:p w:rsidR="001E491F" w:rsidRPr="00904033" w:rsidRDefault="00BF4945" w:rsidP="00FD5EA3">
      <w:pPr>
        <w:bidi w:val="0"/>
        <w:snapToGrid w:val="0"/>
        <w:jc w:val="center"/>
        <w:rPr>
          <w:sz w:val="20"/>
          <w:szCs w:val="20"/>
          <w:lang w:bidi="ar-EG"/>
        </w:rPr>
      </w:pPr>
      <w:r w:rsidRPr="00904033">
        <w:rPr>
          <w:noProof/>
          <w:sz w:val="20"/>
          <w:szCs w:val="20"/>
          <w:lang w:eastAsia="zh-CN"/>
        </w:rPr>
        <w:pict>
          <v:shape id="Picture 5" o:spid="_x0000_i1032" type="#_x0000_t75" alt="Description: fig 2d" style="width:198.45pt;height:149.65pt;visibility:visible;mso-wrap-style:square">
            <v:imagedata r:id="rId16" o:title=" fig 2d"/>
          </v:shape>
        </w:pict>
      </w:r>
    </w:p>
    <w:p w:rsidR="001E491F" w:rsidRPr="00904033" w:rsidRDefault="001E491F" w:rsidP="00FD5EA3">
      <w:pPr>
        <w:bidi w:val="0"/>
        <w:snapToGrid w:val="0"/>
        <w:jc w:val="both"/>
        <w:rPr>
          <w:b/>
          <w:bCs/>
          <w:sz w:val="20"/>
          <w:szCs w:val="20"/>
          <w:lang w:eastAsia="zh-CN"/>
        </w:rPr>
      </w:pPr>
      <w:r w:rsidRPr="00904033">
        <w:rPr>
          <w:b/>
          <w:bCs/>
          <w:sz w:val="20"/>
          <w:szCs w:val="20"/>
        </w:rPr>
        <w:t>Fig2b</w:t>
      </w:r>
      <w:r w:rsidR="0097098F" w:rsidRPr="00904033">
        <w:rPr>
          <w:b/>
          <w:bCs/>
          <w:sz w:val="20"/>
          <w:szCs w:val="20"/>
        </w:rPr>
        <w:t>: b</w:t>
      </w:r>
      <w:r w:rsidRPr="00904033">
        <w:rPr>
          <w:b/>
          <w:bCs/>
          <w:sz w:val="20"/>
          <w:szCs w:val="20"/>
        </w:rPr>
        <w:t>cl2 positive expression in grade II infiltrating duct carcinoma breast.</w:t>
      </w:r>
    </w:p>
    <w:p w:rsidR="00330828" w:rsidRPr="00904033" w:rsidRDefault="00330828" w:rsidP="00FD5EA3">
      <w:pPr>
        <w:bidi w:val="0"/>
        <w:snapToGrid w:val="0"/>
        <w:jc w:val="both"/>
        <w:rPr>
          <w:b/>
          <w:bCs/>
          <w:sz w:val="20"/>
          <w:szCs w:val="20"/>
          <w:lang w:eastAsia="zh-CN" w:bidi="ar-EG"/>
        </w:rPr>
      </w:pPr>
    </w:p>
    <w:p w:rsidR="0097098F" w:rsidRDefault="0097098F" w:rsidP="0097098F">
      <w:pPr>
        <w:bidi w:val="0"/>
        <w:snapToGrid w:val="0"/>
        <w:ind w:firstLine="425"/>
        <w:jc w:val="both"/>
        <w:rPr>
          <w:rFonts w:hint="eastAsia"/>
          <w:sz w:val="20"/>
          <w:szCs w:val="20"/>
          <w:lang w:eastAsia="zh-CN"/>
        </w:rPr>
      </w:pPr>
      <w:r w:rsidRPr="00904033">
        <w:rPr>
          <w:sz w:val="20"/>
          <w:szCs w:val="20"/>
        </w:rPr>
        <w:lastRenderedPageBreak/>
        <w:t>BCL2 is a predictor for response in patients who receive neoadjuvant chemotherapy. There was a statistical significant correlation when looking at the effect of BCL2 positivity on the response to neoadjuvant chemotherapy (p = 0.005). Among 61 patients with triple receptor negative locally advanced infiltrating duct carcinoma treated with a sequential regimen containing anthracycline and taxanes -based regimen, 32 of 61 (52.46%) were BCL2 -ve. Thirteen of 32 (40.63%) of TNBC patients with BCL2-ve achieved complete response versus 4 of 29 (13.79%) of those with BCL2+ve (P = 0.005). In multivariate analysis, also BCL2 was independently related to this end point.</w:t>
      </w:r>
    </w:p>
    <w:p w:rsidR="00904033" w:rsidRPr="00904033" w:rsidRDefault="00904033" w:rsidP="00904033">
      <w:pPr>
        <w:bidi w:val="0"/>
        <w:snapToGrid w:val="0"/>
        <w:ind w:firstLine="425"/>
        <w:jc w:val="both"/>
        <w:rPr>
          <w:rFonts w:hint="eastAsia"/>
          <w:sz w:val="20"/>
          <w:szCs w:val="20"/>
          <w:lang w:eastAsia="zh-CN"/>
        </w:rPr>
      </w:pPr>
    </w:p>
    <w:p w:rsidR="0097098F" w:rsidRPr="00904033" w:rsidRDefault="0097098F" w:rsidP="0097098F">
      <w:pPr>
        <w:autoSpaceDE w:val="0"/>
        <w:autoSpaceDN w:val="0"/>
        <w:bidi w:val="0"/>
        <w:adjustRightInd w:val="0"/>
        <w:snapToGrid w:val="0"/>
        <w:jc w:val="both"/>
        <w:rPr>
          <w:sz w:val="20"/>
          <w:szCs w:val="20"/>
        </w:rPr>
      </w:pPr>
      <w:r w:rsidRPr="00904033">
        <w:rPr>
          <w:b/>
          <w:bCs/>
          <w:sz w:val="20"/>
          <w:szCs w:val="20"/>
        </w:rPr>
        <w:t xml:space="preserve">Relationships to survival: </w:t>
      </w:r>
    </w:p>
    <w:p w:rsidR="0097098F" w:rsidRPr="00904033" w:rsidRDefault="0097098F" w:rsidP="0097098F">
      <w:pPr>
        <w:autoSpaceDE w:val="0"/>
        <w:autoSpaceDN w:val="0"/>
        <w:bidi w:val="0"/>
        <w:adjustRightInd w:val="0"/>
        <w:snapToGrid w:val="0"/>
        <w:ind w:firstLine="425"/>
        <w:jc w:val="both"/>
        <w:rPr>
          <w:color w:val="800080"/>
          <w:sz w:val="20"/>
          <w:szCs w:val="20"/>
        </w:rPr>
      </w:pPr>
      <w:r w:rsidRPr="00904033">
        <w:rPr>
          <w:sz w:val="20"/>
          <w:szCs w:val="20"/>
        </w:rPr>
        <w:t>BCL2 expression was analyzed in relation to DFS. Patients with triple receptor negative locally advanced infiltrating duct carcinoma of the breast who received neoadjuvant anthracycline and taxanes -based regimen, BCL2-ve tumors who achieved complete response had a clinical outcome similar to those with BCL2+ ve tumors. The 1 year, 2 year, and 3 year DFS for patients whose tumors are positive for BCL2 without residual disease after neoadjuvant sequential regimen containing anthracycline and taxanes -based regimen was 92 %, 81% and 70% compared to 91%, 80% and 65% for the women with BCL2 negative tumors, respectively (P = 0.799) (</w:t>
      </w:r>
      <w:r w:rsidR="00904033">
        <w:rPr>
          <w:rFonts w:hint="eastAsia"/>
          <w:sz w:val="20"/>
          <w:szCs w:val="20"/>
          <w:lang w:eastAsia="zh-CN"/>
        </w:rPr>
        <w:t>F</w:t>
      </w:r>
      <w:r w:rsidRPr="00904033">
        <w:rPr>
          <w:sz w:val="20"/>
          <w:szCs w:val="20"/>
        </w:rPr>
        <w:t>ig</w:t>
      </w:r>
      <w:r w:rsidR="00904033">
        <w:rPr>
          <w:rFonts w:hint="eastAsia"/>
          <w:sz w:val="20"/>
          <w:szCs w:val="20"/>
          <w:lang w:eastAsia="zh-CN"/>
        </w:rPr>
        <w:t xml:space="preserve">. </w:t>
      </w:r>
      <w:r w:rsidRPr="00904033">
        <w:rPr>
          <w:sz w:val="20"/>
          <w:szCs w:val="20"/>
        </w:rPr>
        <w:t>3).</w:t>
      </w:r>
    </w:p>
    <w:p w:rsidR="0097098F" w:rsidRPr="00904033" w:rsidRDefault="0097098F" w:rsidP="0097098F">
      <w:pPr>
        <w:autoSpaceDE w:val="0"/>
        <w:autoSpaceDN w:val="0"/>
        <w:bidi w:val="0"/>
        <w:adjustRightInd w:val="0"/>
        <w:snapToGrid w:val="0"/>
        <w:ind w:firstLine="425"/>
        <w:jc w:val="both"/>
        <w:rPr>
          <w:sz w:val="20"/>
          <w:szCs w:val="20"/>
        </w:rPr>
      </w:pPr>
      <w:r w:rsidRPr="00904033">
        <w:rPr>
          <w:sz w:val="20"/>
          <w:szCs w:val="20"/>
        </w:rPr>
        <w:t>In a univariate analysis, among 44 patients who had residual disease after neoadjuvant anthracycline and taxanes -based regimen, 19 patients with BCL2-ve had a worse</w:t>
      </w:r>
      <w:r w:rsidRPr="00904033">
        <w:rPr>
          <w:color w:val="800080"/>
          <w:sz w:val="20"/>
          <w:szCs w:val="20"/>
        </w:rPr>
        <w:t xml:space="preserve"> </w:t>
      </w:r>
      <w:r w:rsidRPr="00904033">
        <w:rPr>
          <w:sz w:val="20"/>
          <w:szCs w:val="20"/>
        </w:rPr>
        <w:t>DFS (HR 0.541, 95% CI 0.298 – 0.851, P = 0.012) compared with those with BCL2 + ve expression. Thus, BCL2 expression was significantly associated with a longer DFS (P = 0.012) (Figure 4) in univariate analysis. Thus the Kaplan–Meier survival curves demonstrate the better prognosis of BCL2 +ve tumors who had residual disease after neoadjuvant sequential regimen containing anthracycline and taxanes -based regimen.</w:t>
      </w:r>
    </w:p>
    <w:p w:rsidR="0097098F" w:rsidRPr="00904033" w:rsidRDefault="0097098F" w:rsidP="0097098F">
      <w:pPr>
        <w:bidi w:val="0"/>
        <w:snapToGrid w:val="0"/>
        <w:ind w:firstLine="425"/>
        <w:jc w:val="both"/>
        <w:rPr>
          <w:b/>
          <w:bCs/>
          <w:sz w:val="20"/>
          <w:szCs w:val="20"/>
          <w:lang w:eastAsia="zh-CN"/>
        </w:rPr>
      </w:pPr>
      <w:r w:rsidRPr="00904033">
        <w:rPr>
          <w:sz w:val="20"/>
          <w:szCs w:val="20"/>
        </w:rPr>
        <w:t>The 1 year, 2 year, and 3 year DFS for patients whose tumors are positive for BCL2 with residual disease after neoadjuvant sequential regimen containing anthracycline and taxanes -based regimen was 95 %, 79% and 70% compared to 85%, 53% and 40% for the women with BCL2 negative tumors, respectively (P = 012) as shown in (fig 4).</w:t>
      </w:r>
      <w:r w:rsidRPr="00904033">
        <w:rPr>
          <w:b/>
          <w:bCs/>
          <w:sz w:val="20"/>
          <w:szCs w:val="20"/>
        </w:rPr>
        <w:t xml:space="preserve"> </w:t>
      </w:r>
    </w:p>
    <w:p w:rsidR="0097098F" w:rsidRPr="00904033" w:rsidRDefault="0097098F" w:rsidP="0097098F">
      <w:pPr>
        <w:bidi w:val="0"/>
        <w:snapToGrid w:val="0"/>
        <w:jc w:val="both"/>
        <w:rPr>
          <w:b/>
          <w:bCs/>
          <w:sz w:val="20"/>
          <w:szCs w:val="20"/>
          <w:lang w:eastAsia="zh-CN" w:bidi="ar-EG"/>
        </w:rPr>
      </w:pPr>
    </w:p>
    <w:p w:rsidR="001E491F" w:rsidRPr="00904033" w:rsidRDefault="00BF4945" w:rsidP="00FD5EA3">
      <w:pPr>
        <w:bidi w:val="0"/>
        <w:snapToGrid w:val="0"/>
        <w:jc w:val="center"/>
        <w:rPr>
          <w:sz w:val="20"/>
          <w:szCs w:val="20"/>
          <w:lang w:bidi="ar-EG"/>
        </w:rPr>
      </w:pPr>
      <w:r w:rsidRPr="00904033">
        <w:rPr>
          <w:noProof/>
          <w:sz w:val="20"/>
          <w:szCs w:val="20"/>
          <w:lang w:eastAsia="zh-CN"/>
        </w:rPr>
        <w:lastRenderedPageBreak/>
        <w:pict>
          <v:shape id="Picture 3" o:spid="_x0000_i1033" type="#_x0000_t75" alt="Description: fig 2b" style="width:198.45pt;height:147.75pt;visibility:visible;mso-wrap-style:square">
            <v:imagedata r:id="rId17" o:title=" fig 2b"/>
          </v:shape>
        </w:pict>
      </w:r>
    </w:p>
    <w:p w:rsidR="00330828" w:rsidRPr="00904033" w:rsidRDefault="001E491F" w:rsidP="00FD5EA3">
      <w:pPr>
        <w:bidi w:val="0"/>
        <w:snapToGrid w:val="0"/>
        <w:jc w:val="both"/>
        <w:rPr>
          <w:b/>
          <w:bCs/>
          <w:sz w:val="20"/>
          <w:szCs w:val="20"/>
          <w:lang w:eastAsia="zh-CN"/>
        </w:rPr>
      </w:pPr>
      <w:r w:rsidRPr="00904033">
        <w:rPr>
          <w:b/>
          <w:bCs/>
          <w:sz w:val="20"/>
          <w:szCs w:val="20"/>
        </w:rPr>
        <w:t>Fig 2c: bcl2 positive expression in grade III infiltrating duct carcinoma breast.</w:t>
      </w:r>
    </w:p>
    <w:p w:rsidR="001E491F" w:rsidRPr="00904033" w:rsidRDefault="00BF4945" w:rsidP="00FD5EA3">
      <w:pPr>
        <w:bidi w:val="0"/>
        <w:snapToGrid w:val="0"/>
        <w:jc w:val="center"/>
        <w:rPr>
          <w:sz w:val="20"/>
          <w:szCs w:val="20"/>
          <w:lang w:bidi="ar-EG"/>
        </w:rPr>
      </w:pPr>
      <w:r w:rsidRPr="00904033">
        <w:rPr>
          <w:noProof/>
          <w:sz w:val="20"/>
          <w:szCs w:val="20"/>
          <w:lang w:eastAsia="zh-CN"/>
        </w:rPr>
        <w:pict>
          <v:shape id="Picture 2" o:spid="_x0000_i1034" type="#_x0000_t75" alt="Description: fig 2a" style="width:198.45pt;height:148.4pt;visibility:visible;mso-wrap-style:square">
            <v:imagedata r:id="rId18" o:title=" fig 2a"/>
          </v:shape>
        </w:pict>
      </w:r>
    </w:p>
    <w:p w:rsidR="00330828" w:rsidRPr="00904033" w:rsidRDefault="001E491F" w:rsidP="00FD5EA3">
      <w:pPr>
        <w:bidi w:val="0"/>
        <w:snapToGrid w:val="0"/>
        <w:jc w:val="both"/>
        <w:rPr>
          <w:b/>
          <w:bCs/>
          <w:sz w:val="20"/>
          <w:szCs w:val="20"/>
          <w:lang w:eastAsia="zh-CN" w:bidi="ar-EG"/>
        </w:rPr>
      </w:pPr>
      <w:r w:rsidRPr="00904033">
        <w:rPr>
          <w:b/>
          <w:bCs/>
          <w:sz w:val="20"/>
          <w:szCs w:val="20"/>
        </w:rPr>
        <w:t>Fig 2d:</w:t>
      </w:r>
      <w:r w:rsidR="00330828" w:rsidRPr="00904033">
        <w:rPr>
          <w:b/>
          <w:bCs/>
          <w:sz w:val="20"/>
          <w:szCs w:val="20"/>
        </w:rPr>
        <w:t xml:space="preserve"> </w:t>
      </w:r>
      <w:r w:rsidRPr="00904033">
        <w:rPr>
          <w:b/>
          <w:bCs/>
          <w:sz w:val="20"/>
          <w:szCs w:val="20"/>
        </w:rPr>
        <w:t>bcl2 negative expression in grade III infiltrating duct carcinoma breast.</w:t>
      </w:r>
    </w:p>
    <w:p w:rsidR="001E491F" w:rsidRPr="00904033" w:rsidRDefault="00904033" w:rsidP="00FD5EA3">
      <w:pPr>
        <w:autoSpaceDE w:val="0"/>
        <w:autoSpaceDN w:val="0"/>
        <w:bidi w:val="0"/>
        <w:adjustRightInd w:val="0"/>
        <w:snapToGrid w:val="0"/>
        <w:jc w:val="center"/>
        <w:rPr>
          <w:b/>
          <w:bCs/>
          <w:sz w:val="20"/>
          <w:szCs w:val="20"/>
        </w:rPr>
      </w:pPr>
      <w:r w:rsidRPr="00904033">
        <w:rPr>
          <w:b/>
          <w:noProof/>
          <w:sz w:val="20"/>
          <w:szCs w:val="20"/>
          <w:lang w:eastAsia="zh-CN"/>
        </w:rPr>
        <w:pict>
          <v:shape id="Picture 7" o:spid="_x0000_i1035" type="#_x0000_t75" alt="Description: 4a" style="width:192.85pt;height:160.3pt;visibility:visible;mso-wrap-style:square">
            <v:imagedata r:id="rId19" o:title=" 4a" cropleft="2493f"/>
          </v:shape>
        </w:pict>
      </w:r>
    </w:p>
    <w:p w:rsidR="001E491F" w:rsidRPr="00904033" w:rsidRDefault="001E491F" w:rsidP="00FD5EA3">
      <w:pPr>
        <w:autoSpaceDE w:val="0"/>
        <w:autoSpaceDN w:val="0"/>
        <w:bidi w:val="0"/>
        <w:adjustRightInd w:val="0"/>
        <w:snapToGrid w:val="0"/>
        <w:jc w:val="both"/>
        <w:rPr>
          <w:sz w:val="20"/>
          <w:szCs w:val="20"/>
          <w:lang w:eastAsia="zh-CN"/>
        </w:rPr>
      </w:pPr>
      <w:r w:rsidRPr="00904033">
        <w:rPr>
          <w:b/>
          <w:bCs/>
          <w:sz w:val="20"/>
          <w:szCs w:val="20"/>
        </w:rPr>
        <w:t xml:space="preserve">Fig 3: </w:t>
      </w:r>
      <w:r w:rsidRPr="00904033">
        <w:rPr>
          <w:sz w:val="20"/>
          <w:szCs w:val="20"/>
        </w:rPr>
        <w:t>Disease free survival in months for patients with triple receptor negative locally advanced infiltrating duct carcinoma of the breast, who achieved complete response after neoadjuvant sequential regimen containing anthracycline and taxanes -based regimen</w:t>
      </w:r>
      <w:r w:rsidR="0097098F" w:rsidRPr="00904033">
        <w:rPr>
          <w:sz w:val="20"/>
          <w:szCs w:val="20"/>
        </w:rPr>
        <w:t>. T</w:t>
      </w:r>
      <w:r w:rsidRPr="00904033">
        <w:rPr>
          <w:sz w:val="20"/>
          <w:szCs w:val="20"/>
        </w:rPr>
        <w:t>he 1 year, 2 year, and 3 year DFS for patients whose tumors are positive for BCL2 without residual disease after neoadjuvant sequential regimen containing anthracycline and taxanes -based regimen was 92 %, 81% and 70% compared to 91%, 80% and 65% for the women with BCL2 negative tumors, respectively. (P = 0.799).</w:t>
      </w:r>
    </w:p>
    <w:p w:rsidR="00330828" w:rsidRPr="00904033" w:rsidRDefault="00330828" w:rsidP="00FD5EA3">
      <w:pPr>
        <w:autoSpaceDE w:val="0"/>
        <w:autoSpaceDN w:val="0"/>
        <w:bidi w:val="0"/>
        <w:adjustRightInd w:val="0"/>
        <w:snapToGrid w:val="0"/>
        <w:ind w:firstLine="425"/>
        <w:jc w:val="both"/>
        <w:rPr>
          <w:sz w:val="20"/>
          <w:szCs w:val="20"/>
          <w:lang w:eastAsia="zh-CN"/>
        </w:rPr>
      </w:pPr>
    </w:p>
    <w:p w:rsidR="00330828" w:rsidRPr="00904033" w:rsidRDefault="00BF4945" w:rsidP="00FD5EA3">
      <w:pPr>
        <w:autoSpaceDE w:val="0"/>
        <w:autoSpaceDN w:val="0"/>
        <w:bidi w:val="0"/>
        <w:adjustRightInd w:val="0"/>
        <w:snapToGrid w:val="0"/>
        <w:jc w:val="center"/>
        <w:rPr>
          <w:sz w:val="20"/>
          <w:szCs w:val="20"/>
          <w:lang w:bidi="ar-EG"/>
        </w:rPr>
      </w:pPr>
      <w:r w:rsidRPr="00904033">
        <w:rPr>
          <w:noProof/>
          <w:sz w:val="20"/>
          <w:szCs w:val="20"/>
          <w:lang w:eastAsia="zh-CN"/>
        </w:rPr>
        <w:pict>
          <v:shape id="Picture 4" o:spid="_x0000_i1036" type="#_x0000_t75" alt="Description: 4 b" style="width:212.25pt;height:175.95pt;visibility:visible;mso-wrap-style:square">
            <v:imagedata r:id="rId20" o:title=" 4 b" cropleft="2477f"/>
          </v:shape>
        </w:pict>
      </w:r>
    </w:p>
    <w:p w:rsidR="001E491F" w:rsidRPr="00904033" w:rsidRDefault="001E491F" w:rsidP="00FD5EA3">
      <w:pPr>
        <w:autoSpaceDE w:val="0"/>
        <w:autoSpaceDN w:val="0"/>
        <w:bidi w:val="0"/>
        <w:adjustRightInd w:val="0"/>
        <w:snapToGrid w:val="0"/>
        <w:jc w:val="both"/>
        <w:rPr>
          <w:b/>
          <w:bCs/>
          <w:sz w:val="20"/>
          <w:szCs w:val="20"/>
        </w:rPr>
      </w:pPr>
      <w:r w:rsidRPr="00904033">
        <w:rPr>
          <w:b/>
          <w:bCs/>
          <w:sz w:val="20"/>
          <w:szCs w:val="20"/>
        </w:rPr>
        <w:t xml:space="preserve">Fig 4: </w:t>
      </w:r>
      <w:r w:rsidRPr="00904033">
        <w:rPr>
          <w:sz w:val="20"/>
          <w:szCs w:val="20"/>
        </w:rPr>
        <w:t>Disease free survival in months for patients with triple receptor negative locally advanced infiltrating duct carcinoma of the breast, who had residual disease after neoadjuvant sequential regimen containing anthracycline and taxanes -based regimen. The 1 year, 2 year, and 3 year DFS for patients whose tumors are positive for BCL2 with residual disease after neoadjuvant sequential regimen containing anthracycline and taxanes - based regimen was 95 %, 79% and 70% compared to 85%, 53% and 40% for the women with BCL2 negative tumors, respectively (P = 012).</w:t>
      </w:r>
      <w:r w:rsidRPr="00904033">
        <w:rPr>
          <w:b/>
          <w:bCs/>
          <w:sz w:val="20"/>
          <w:szCs w:val="20"/>
        </w:rPr>
        <w:t xml:space="preserve"> </w:t>
      </w:r>
    </w:p>
    <w:p w:rsidR="0097098F" w:rsidRPr="00904033" w:rsidRDefault="0097098F" w:rsidP="00FD5EA3">
      <w:pPr>
        <w:bidi w:val="0"/>
        <w:snapToGrid w:val="0"/>
        <w:jc w:val="both"/>
        <w:rPr>
          <w:b/>
          <w:bCs/>
          <w:sz w:val="20"/>
          <w:szCs w:val="20"/>
          <w:lang w:eastAsia="zh-CN"/>
        </w:rPr>
      </w:pPr>
    </w:p>
    <w:p w:rsidR="00E32B92" w:rsidRPr="00904033" w:rsidRDefault="008B3DD4" w:rsidP="0097098F">
      <w:pPr>
        <w:bidi w:val="0"/>
        <w:snapToGrid w:val="0"/>
        <w:jc w:val="both"/>
        <w:rPr>
          <w:sz w:val="20"/>
          <w:szCs w:val="20"/>
        </w:rPr>
      </w:pPr>
      <w:r w:rsidRPr="00904033">
        <w:rPr>
          <w:b/>
          <w:bCs/>
          <w:sz w:val="20"/>
          <w:szCs w:val="20"/>
        </w:rPr>
        <w:t>4. Discussion</w:t>
      </w:r>
    </w:p>
    <w:p w:rsidR="001130B4" w:rsidRPr="00904033" w:rsidRDefault="004266FE" w:rsidP="00FD5EA3">
      <w:pPr>
        <w:bidi w:val="0"/>
        <w:snapToGrid w:val="0"/>
        <w:ind w:firstLine="425"/>
        <w:jc w:val="both"/>
        <w:rPr>
          <w:sz w:val="20"/>
          <w:szCs w:val="20"/>
        </w:rPr>
      </w:pPr>
      <w:r w:rsidRPr="00904033">
        <w:rPr>
          <w:sz w:val="20"/>
          <w:szCs w:val="20"/>
        </w:rPr>
        <w:t>B</w:t>
      </w:r>
      <w:r w:rsidR="00E32B92" w:rsidRPr="00904033">
        <w:rPr>
          <w:sz w:val="20"/>
          <w:szCs w:val="20"/>
        </w:rPr>
        <w:t xml:space="preserve">reast cancer is a heterogeneous </w:t>
      </w:r>
      <w:r w:rsidR="000B7D27" w:rsidRPr="00904033">
        <w:rPr>
          <w:sz w:val="20"/>
          <w:szCs w:val="20"/>
        </w:rPr>
        <w:t>tumor with</w:t>
      </w:r>
      <w:r w:rsidR="00E32B92" w:rsidRPr="00904033">
        <w:rPr>
          <w:sz w:val="20"/>
          <w:szCs w:val="20"/>
        </w:rPr>
        <w:t xml:space="preserve"> variable behavior. </w:t>
      </w:r>
      <w:r w:rsidR="00F004F9" w:rsidRPr="00904033">
        <w:rPr>
          <w:sz w:val="20"/>
          <w:szCs w:val="20"/>
        </w:rPr>
        <w:t xml:space="preserve">There is a need to </w:t>
      </w:r>
      <w:r w:rsidR="000B7D27" w:rsidRPr="00904033">
        <w:rPr>
          <w:sz w:val="20"/>
          <w:szCs w:val="20"/>
        </w:rPr>
        <w:t>have definite</w:t>
      </w:r>
      <w:r w:rsidR="00F004F9" w:rsidRPr="00904033">
        <w:rPr>
          <w:sz w:val="20"/>
          <w:szCs w:val="20"/>
        </w:rPr>
        <w:t xml:space="preserve"> markers that can </w:t>
      </w:r>
      <w:r w:rsidR="000B7D27" w:rsidRPr="00904033">
        <w:rPr>
          <w:sz w:val="20"/>
          <w:szCs w:val="20"/>
        </w:rPr>
        <w:t>predict whether those</w:t>
      </w:r>
      <w:r w:rsidR="00F004F9" w:rsidRPr="00904033">
        <w:rPr>
          <w:sz w:val="20"/>
          <w:szCs w:val="20"/>
        </w:rPr>
        <w:t xml:space="preserve"> cancers have a better or a worse prognosis and also those which aid in the selection of appropriate therapy and predict the response to this </w:t>
      </w:r>
      <w:r w:rsidR="002E6588" w:rsidRPr="00904033">
        <w:rPr>
          <w:sz w:val="20"/>
          <w:szCs w:val="20"/>
        </w:rPr>
        <w:t>therapy. for</w:t>
      </w:r>
      <w:r w:rsidR="00E32B92" w:rsidRPr="00904033">
        <w:rPr>
          <w:sz w:val="20"/>
          <w:szCs w:val="20"/>
        </w:rPr>
        <w:t xml:space="preserve"> </w:t>
      </w:r>
      <w:r w:rsidR="00F004F9" w:rsidRPr="00904033">
        <w:rPr>
          <w:sz w:val="20"/>
          <w:szCs w:val="20"/>
        </w:rPr>
        <w:t>proper</w:t>
      </w:r>
      <w:r w:rsidR="00E32B92" w:rsidRPr="00904033">
        <w:rPr>
          <w:sz w:val="20"/>
          <w:szCs w:val="20"/>
        </w:rPr>
        <w:t xml:space="preserve"> management of individual patients</w:t>
      </w:r>
      <w:r w:rsidR="00FD6F1D" w:rsidRPr="00904033">
        <w:rPr>
          <w:sz w:val="20"/>
          <w:szCs w:val="20"/>
        </w:rPr>
        <w:t xml:space="preserve"> (21</w:t>
      </w:r>
      <w:r w:rsidR="000B7D27" w:rsidRPr="00904033">
        <w:rPr>
          <w:sz w:val="20"/>
          <w:szCs w:val="20"/>
        </w:rPr>
        <w:t>).</w:t>
      </w:r>
    </w:p>
    <w:p w:rsidR="001130B4" w:rsidRPr="00904033" w:rsidRDefault="001130B4" w:rsidP="00FD5EA3">
      <w:pPr>
        <w:bidi w:val="0"/>
        <w:snapToGrid w:val="0"/>
        <w:ind w:firstLine="425"/>
        <w:jc w:val="both"/>
        <w:rPr>
          <w:sz w:val="20"/>
          <w:szCs w:val="20"/>
        </w:rPr>
      </w:pPr>
      <w:r w:rsidRPr="00904033">
        <w:rPr>
          <w:sz w:val="20"/>
          <w:szCs w:val="20"/>
        </w:rPr>
        <w:t>Triple negative breast cancer (TNBC) is</w:t>
      </w:r>
      <w:r w:rsidR="00F004F9" w:rsidRPr="00904033">
        <w:rPr>
          <w:sz w:val="20"/>
          <w:szCs w:val="20"/>
        </w:rPr>
        <w:t xml:space="preserve"> </w:t>
      </w:r>
      <w:r w:rsidRPr="00904033">
        <w:rPr>
          <w:sz w:val="20"/>
          <w:szCs w:val="20"/>
        </w:rPr>
        <w:t>a</w:t>
      </w:r>
      <w:r w:rsidR="002E6588" w:rsidRPr="00904033">
        <w:rPr>
          <w:sz w:val="20"/>
          <w:szCs w:val="20"/>
        </w:rPr>
        <w:t xml:space="preserve"> </w:t>
      </w:r>
      <w:r w:rsidR="00F004F9" w:rsidRPr="00904033">
        <w:rPr>
          <w:sz w:val="20"/>
          <w:szCs w:val="20"/>
        </w:rPr>
        <w:t>subpopulation of breast cancer</w:t>
      </w:r>
      <w:r w:rsidR="00330828" w:rsidRPr="00904033">
        <w:rPr>
          <w:sz w:val="20"/>
          <w:szCs w:val="20"/>
        </w:rPr>
        <w:t xml:space="preserve"> </w:t>
      </w:r>
      <w:r w:rsidR="00F004F9" w:rsidRPr="00904033">
        <w:rPr>
          <w:sz w:val="20"/>
          <w:szCs w:val="20"/>
        </w:rPr>
        <w:t xml:space="preserve">with aggressive </w:t>
      </w:r>
      <w:r w:rsidR="002E6588" w:rsidRPr="00904033">
        <w:rPr>
          <w:sz w:val="20"/>
          <w:szCs w:val="20"/>
        </w:rPr>
        <w:t>behavior,</w:t>
      </w:r>
      <w:r w:rsidRPr="00904033">
        <w:rPr>
          <w:sz w:val="20"/>
          <w:szCs w:val="20"/>
        </w:rPr>
        <w:t xml:space="preserve"> characterized by a lack of expression of estrogen receptors, progesterone receptors, </w:t>
      </w:r>
      <w:r w:rsidR="002E6588" w:rsidRPr="00904033">
        <w:rPr>
          <w:sz w:val="20"/>
          <w:szCs w:val="20"/>
        </w:rPr>
        <w:t>and human</w:t>
      </w:r>
      <w:r w:rsidRPr="00904033">
        <w:rPr>
          <w:sz w:val="20"/>
          <w:szCs w:val="20"/>
        </w:rPr>
        <w:t xml:space="preserve"> epidermal gro</w:t>
      </w:r>
      <w:r w:rsidR="0029216A" w:rsidRPr="00904033">
        <w:rPr>
          <w:sz w:val="20"/>
          <w:szCs w:val="20"/>
        </w:rPr>
        <w:t>wth factor receptor 2 (HER2)</w:t>
      </w:r>
      <w:r w:rsidR="00FD6F1D" w:rsidRPr="00904033">
        <w:rPr>
          <w:sz w:val="20"/>
          <w:szCs w:val="20"/>
        </w:rPr>
        <w:t xml:space="preserve"> (22)</w:t>
      </w:r>
      <w:r w:rsidRPr="00904033">
        <w:rPr>
          <w:sz w:val="20"/>
          <w:szCs w:val="20"/>
        </w:rPr>
        <w:t xml:space="preserve">. </w:t>
      </w:r>
      <w:r w:rsidR="006C4FB5" w:rsidRPr="00904033">
        <w:rPr>
          <w:sz w:val="20"/>
          <w:szCs w:val="20"/>
        </w:rPr>
        <w:t xml:space="preserve">It is </w:t>
      </w:r>
      <w:r w:rsidR="00BF2CE8" w:rsidRPr="00904033">
        <w:rPr>
          <w:sz w:val="20"/>
          <w:szCs w:val="20"/>
        </w:rPr>
        <w:t>believed that</w:t>
      </w:r>
      <w:r w:rsidR="005A2AC8" w:rsidRPr="00904033">
        <w:rPr>
          <w:sz w:val="20"/>
          <w:szCs w:val="20"/>
        </w:rPr>
        <w:t xml:space="preserve"> prognosis</w:t>
      </w:r>
      <w:r w:rsidR="006C4FB5" w:rsidRPr="00904033">
        <w:rPr>
          <w:sz w:val="20"/>
          <w:szCs w:val="20"/>
        </w:rPr>
        <w:t xml:space="preserve"> </w:t>
      </w:r>
      <w:r w:rsidR="005A2AC8" w:rsidRPr="00904033">
        <w:rPr>
          <w:sz w:val="20"/>
          <w:szCs w:val="20"/>
        </w:rPr>
        <w:t xml:space="preserve">of </w:t>
      </w:r>
      <w:r w:rsidR="002F56F0" w:rsidRPr="00904033">
        <w:rPr>
          <w:sz w:val="20"/>
          <w:szCs w:val="20"/>
        </w:rPr>
        <w:t xml:space="preserve">TNBC </w:t>
      </w:r>
      <w:r w:rsidR="005A2AC8" w:rsidRPr="00904033">
        <w:rPr>
          <w:sz w:val="20"/>
          <w:szCs w:val="20"/>
        </w:rPr>
        <w:t>is poor</w:t>
      </w:r>
      <w:r w:rsidR="00F52560" w:rsidRPr="00904033">
        <w:rPr>
          <w:sz w:val="20"/>
          <w:szCs w:val="20"/>
        </w:rPr>
        <w:t xml:space="preserve"> (</w:t>
      </w:r>
      <w:r w:rsidR="00FD6F1D" w:rsidRPr="00904033">
        <w:rPr>
          <w:sz w:val="20"/>
          <w:szCs w:val="20"/>
        </w:rPr>
        <w:t>23</w:t>
      </w:r>
      <w:r w:rsidR="00F52560" w:rsidRPr="00904033">
        <w:rPr>
          <w:sz w:val="20"/>
          <w:szCs w:val="20"/>
        </w:rPr>
        <w:t>)</w:t>
      </w:r>
      <w:r w:rsidR="00F52560" w:rsidRPr="00904033">
        <w:rPr>
          <w:sz w:val="20"/>
          <w:szCs w:val="20"/>
          <w:vertAlign w:val="superscript"/>
        </w:rPr>
        <w:t xml:space="preserve">. </w:t>
      </w:r>
      <w:r w:rsidRPr="00904033">
        <w:rPr>
          <w:sz w:val="20"/>
          <w:szCs w:val="20"/>
        </w:rPr>
        <w:t>Several studies have</w:t>
      </w:r>
      <w:r w:rsidR="0029216A" w:rsidRPr="00904033">
        <w:rPr>
          <w:sz w:val="20"/>
          <w:szCs w:val="20"/>
        </w:rPr>
        <w:t xml:space="preserve"> </w:t>
      </w:r>
      <w:r w:rsidRPr="00904033">
        <w:rPr>
          <w:sz w:val="20"/>
          <w:szCs w:val="20"/>
        </w:rPr>
        <w:t>shown</w:t>
      </w:r>
      <w:r w:rsidR="00330828" w:rsidRPr="00904033">
        <w:rPr>
          <w:sz w:val="20"/>
          <w:szCs w:val="20"/>
        </w:rPr>
        <w:t xml:space="preserve"> </w:t>
      </w:r>
      <w:r w:rsidR="006C4FB5" w:rsidRPr="00904033">
        <w:rPr>
          <w:sz w:val="20"/>
          <w:szCs w:val="20"/>
        </w:rPr>
        <w:t>an increased response rate to systemic chemotherapy i</w:t>
      </w:r>
      <w:r w:rsidR="00276E41" w:rsidRPr="00904033">
        <w:rPr>
          <w:sz w:val="20"/>
          <w:szCs w:val="20"/>
        </w:rPr>
        <w:t>n patients</w:t>
      </w:r>
      <w:r w:rsidR="006C4FB5" w:rsidRPr="00904033">
        <w:rPr>
          <w:sz w:val="20"/>
          <w:szCs w:val="20"/>
        </w:rPr>
        <w:t xml:space="preserve"> with </w:t>
      </w:r>
      <w:r w:rsidRPr="00904033">
        <w:rPr>
          <w:sz w:val="20"/>
          <w:szCs w:val="20"/>
        </w:rPr>
        <w:t>TNBC</w:t>
      </w:r>
      <w:r w:rsidR="00FD6F1D" w:rsidRPr="00904033">
        <w:rPr>
          <w:sz w:val="20"/>
          <w:szCs w:val="20"/>
        </w:rPr>
        <w:t xml:space="preserve"> (24-25-26</w:t>
      </w:r>
      <w:r w:rsidR="00F52560" w:rsidRPr="00904033">
        <w:rPr>
          <w:sz w:val="20"/>
          <w:szCs w:val="20"/>
        </w:rPr>
        <w:t>),</w:t>
      </w:r>
      <w:r w:rsidRPr="00904033">
        <w:rPr>
          <w:sz w:val="20"/>
          <w:szCs w:val="20"/>
        </w:rPr>
        <w:t xml:space="preserve"> and </w:t>
      </w:r>
      <w:r w:rsidR="002C6262" w:rsidRPr="00904033">
        <w:rPr>
          <w:sz w:val="20"/>
          <w:szCs w:val="20"/>
        </w:rPr>
        <w:t xml:space="preserve">because of rapid proliferation rates and defects in DNA </w:t>
      </w:r>
      <w:r w:rsidR="00F52560" w:rsidRPr="00904033">
        <w:rPr>
          <w:sz w:val="20"/>
          <w:szCs w:val="20"/>
        </w:rPr>
        <w:t>repair,</w:t>
      </w:r>
      <w:r w:rsidR="002C6262" w:rsidRPr="00904033">
        <w:rPr>
          <w:sz w:val="20"/>
          <w:szCs w:val="20"/>
        </w:rPr>
        <w:t xml:space="preserve"> </w:t>
      </w:r>
      <w:r w:rsidRPr="00904033">
        <w:rPr>
          <w:sz w:val="20"/>
          <w:szCs w:val="20"/>
        </w:rPr>
        <w:t>improvements</w:t>
      </w:r>
      <w:r w:rsidR="0029216A" w:rsidRPr="00904033">
        <w:rPr>
          <w:sz w:val="20"/>
          <w:szCs w:val="20"/>
        </w:rPr>
        <w:t xml:space="preserve"> </w:t>
      </w:r>
      <w:r w:rsidRPr="00904033">
        <w:rPr>
          <w:sz w:val="20"/>
          <w:szCs w:val="20"/>
        </w:rPr>
        <w:t xml:space="preserve">in chemotherapy are likely to preferentially benefit </w:t>
      </w:r>
      <w:r w:rsidR="002C6262" w:rsidRPr="00904033">
        <w:rPr>
          <w:sz w:val="20"/>
          <w:szCs w:val="20"/>
        </w:rPr>
        <w:t>TNBC</w:t>
      </w:r>
      <w:r w:rsidRPr="00904033">
        <w:rPr>
          <w:sz w:val="20"/>
          <w:szCs w:val="20"/>
        </w:rPr>
        <w:t xml:space="preserve">. However, </w:t>
      </w:r>
      <w:r w:rsidR="002C6262" w:rsidRPr="00904033">
        <w:rPr>
          <w:sz w:val="20"/>
          <w:szCs w:val="20"/>
        </w:rPr>
        <w:t xml:space="preserve">they have </w:t>
      </w:r>
      <w:r w:rsidR="00F52560" w:rsidRPr="00904033">
        <w:rPr>
          <w:sz w:val="20"/>
          <w:szCs w:val="20"/>
        </w:rPr>
        <w:t>no preferred</w:t>
      </w:r>
      <w:r w:rsidR="0029216A" w:rsidRPr="00904033">
        <w:rPr>
          <w:sz w:val="20"/>
          <w:szCs w:val="20"/>
        </w:rPr>
        <w:t xml:space="preserve"> </w:t>
      </w:r>
      <w:r w:rsidRPr="00904033">
        <w:rPr>
          <w:sz w:val="20"/>
          <w:szCs w:val="20"/>
        </w:rPr>
        <w:t xml:space="preserve">chemotherapy </w:t>
      </w:r>
      <w:r w:rsidR="002C6262" w:rsidRPr="00904033">
        <w:rPr>
          <w:sz w:val="20"/>
          <w:szCs w:val="20"/>
        </w:rPr>
        <w:t>in treatment</w:t>
      </w:r>
      <w:r w:rsidR="00D6383F" w:rsidRPr="00904033">
        <w:rPr>
          <w:sz w:val="20"/>
          <w:szCs w:val="20"/>
        </w:rPr>
        <w:t xml:space="preserve"> (27</w:t>
      </w:r>
      <w:r w:rsidR="00F52560" w:rsidRPr="00904033">
        <w:rPr>
          <w:sz w:val="20"/>
          <w:szCs w:val="20"/>
        </w:rPr>
        <w:t>).</w:t>
      </w:r>
    </w:p>
    <w:p w:rsidR="00330828" w:rsidRPr="00904033" w:rsidRDefault="0045050F" w:rsidP="00FD5EA3">
      <w:pPr>
        <w:bidi w:val="0"/>
        <w:snapToGrid w:val="0"/>
        <w:ind w:firstLine="425"/>
        <w:jc w:val="both"/>
        <w:rPr>
          <w:sz w:val="20"/>
          <w:szCs w:val="20"/>
        </w:rPr>
      </w:pPr>
      <w:r w:rsidRPr="00904033">
        <w:rPr>
          <w:sz w:val="20"/>
          <w:szCs w:val="20"/>
        </w:rPr>
        <w:t>Th</w:t>
      </w:r>
      <w:r w:rsidR="00A657B1" w:rsidRPr="00904033">
        <w:rPr>
          <w:sz w:val="20"/>
          <w:szCs w:val="20"/>
        </w:rPr>
        <w:t>e current work</w:t>
      </w:r>
      <w:r w:rsidRPr="00904033">
        <w:rPr>
          <w:sz w:val="20"/>
          <w:szCs w:val="20"/>
        </w:rPr>
        <w:t xml:space="preserve"> </w:t>
      </w:r>
      <w:r w:rsidR="00193431" w:rsidRPr="00904033">
        <w:rPr>
          <w:sz w:val="20"/>
          <w:szCs w:val="20"/>
        </w:rPr>
        <w:t xml:space="preserve">is focused on </w:t>
      </w:r>
      <w:r w:rsidR="00BF2CE8" w:rsidRPr="00904033">
        <w:rPr>
          <w:sz w:val="20"/>
          <w:szCs w:val="20"/>
        </w:rPr>
        <w:t xml:space="preserve">studying BCL2 </w:t>
      </w:r>
      <w:r w:rsidR="00F52560" w:rsidRPr="00904033">
        <w:rPr>
          <w:sz w:val="20"/>
          <w:szCs w:val="20"/>
        </w:rPr>
        <w:t>as a biological marker</w:t>
      </w:r>
      <w:r w:rsidR="00193431" w:rsidRPr="00904033">
        <w:rPr>
          <w:sz w:val="20"/>
          <w:szCs w:val="20"/>
        </w:rPr>
        <w:t xml:space="preserve"> that could be used </w:t>
      </w:r>
      <w:r w:rsidR="00BF2CE8" w:rsidRPr="00904033">
        <w:rPr>
          <w:sz w:val="20"/>
          <w:szCs w:val="20"/>
        </w:rPr>
        <w:t>in</w:t>
      </w:r>
      <w:r w:rsidR="00193431" w:rsidRPr="00904033">
        <w:rPr>
          <w:sz w:val="20"/>
          <w:szCs w:val="20"/>
        </w:rPr>
        <w:t xml:space="preserve"> treatment to individual patients with TNBC. </w:t>
      </w:r>
      <w:r w:rsidR="00965D60" w:rsidRPr="00904033">
        <w:rPr>
          <w:sz w:val="20"/>
          <w:szCs w:val="20"/>
        </w:rPr>
        <w:t xml:space="preserve">In </w:t>
      </w:r>
      <w:r w:rsidR="00374FB0" w:rsidRPr="00904033">
        <w:rPr>
          <w:sz w:val="20"/>
          <w:szCs w:val="20"/>
        </w:rPr>
        <w:t>our study</w:t>
      </w:r>
      <w:r w:rsidR="00965D60" w:rsidRPr="00904033">
        <w:rPr>
          <w:sz w:val="20"/>
          <w:szCs w:val="20"/>
        </w:rPr>
        <w:t xml:space="preserve"> 32 out </w:t>
      </w:r>
      <w:r w:rsidR="00F52560" w:rsidRPr="00904033">
        <w:rPr>
          <w:sz w:val="20"/>
          <w:szCs w:val="20"/>
        </w:rPr>
        <w:t>of 61</w:t>
      </w:r>
      <w:r w:rsidR="00965D60" w:rsidRPr="00904033">
        <w:rPr>
          <w:sz w:val="20"/>
          <w:szCs w:val="20"/>
        </w:rPr>
        <w:t xml:space="preserve"> (52.46%) </w:t>
      </w:r>
      <w:r w:rsidR="00374FB0" w:rsidRPr="00904033">
        <w:rPr>
          <w:sz w:val="20"/>
          <w:szCs w:val="20"/>
        </w:rPr>
        <w:t>patients treated</w:t>
      </w:r>
      <w:r w:rsidR="00965D60" w:rsidRPr="00904033">
        <w:rPr>
          <w:sz w:val="20"/>
          <w:szCs w:val="20"/>
        </w:rPr>
        <w:t xml:space="preserve"> </w:t>
      </w:r>
      <w:r w:rsidR="00374FB0" w:rsidRPr="00904033">
        <w:rPr>
          <w:sz w:val="20"/>
          <w:szCs w:val="20"/>
        </w:rPr>
        <w:t>with anthracycline</w:t>
      </w:r>
      <w:r w:rsidR="00965D60" w:rsidRPr="00904033">
        <w:rPr>
          <w:sz w:val="20"/>
          <w:szCs w:val="20"/>
        </w:rPr>
        <w:t xml:space="preserve"> and taxanes -based </w:t>
      </w:r>
      <w:r w:rsidR="00F52560" w:rsidRPr="00904033">
        <w:rPr>
          <w:sz w:val="20"/>
          <w:szCs w:val="20"/>
        </w:rPr>
        <w:t>regimen were</w:t>
      </w:r>
      <w:r w:rsidR="00B07772" w:rsidRPr="00904033">
        <w:rPr>
          <w:sz w:val="20"/>
          <w:szCs w:val="20"/>
        </w:rPr>
        <w:t xml:space="preserve"> BCL</w:t>
      </w:r>
      <w:r w:rsidR="00965D60" w:rsidRPr="00904033">
        <w:rPr>
          <w:sz w:val="20"/>
          <w:szCs w:val="20"/>
        </w:rPr>
        <w:t xml:space="preserve">2 –ve. </w:t>
      </w:r>
    </w:p>
    <w:p w:rsidR="00530AF9" w:rsidRPr="00904033" w:rsidRDefault="00330828" w:rsidP="00FD5EA3">
      <w:pPr>
        <w:bidi w:val="0"/>
        <w:snapToGrid w:val="0"/>
        <w:ind w:firstLine="425"/>
        <w:jc w:val="both"/>
        <w:rPr>
          <w:sz w:val="20"/>
          <w:szCs w:val="20"/>
        </w:rPr>
      </w:pPr>
      <w:r w:rsidRPr="00904033">
        <w:rPr>
          <w:sz w:val="20"/>
          <w:szCs w:val="20"/>
        </w:rPr>
        <w:lastRenderedPageBreak/>
        <w:t>O</w:t>
      </w:r>
      <w:r w:rsidR="00E32B92" w:rsidRPr="00904033">
        <w:rPr>
          <w:sz w:val="20"/>
          <w:szCs w:val="20"/>
        </w:rPr>
        <w:t xml:space="preserve">ur results showed that </w:t>
      </w:r>
      <w:r w:rsidR="007D7CB8" w:rsidRPr="00904033">
        <w:rPr>
          <w:sz w:val="20"/>
          <w:szCs w:val="20"/>
        </w:rPr>
        <w:t xml:space="preserve">the response to neoadjuvant chemotherapy </w:t>
      </w:r>
      <w:r w:rsidR="00965D60" w:rsidRPr="00904033">
        <w:rPr>
          <w:sz w:val="20"/>
          <w:szCs w:val="20"/>
        </w:rPr>
        <w:t xml:space="preserve">had an inverse significant </w:t>
      </w:r>
      <w:r w:rsidR="00891765" w:rsidRPr="00904033">
        <w:rPr>
          <w:sz w:val="20"/>
          <w:szCs w:val="20"/>
        </w:rPr>
        <w:t>correlation</w:t>
      </w:r>
      <w:r w:rsidR="00F52560" w:rsidRPr="00904033">
        <w:rPr>
          <w:sz w:val="20"/>
          <w:szCs w:val="20"/>
        </w:rPr>
        <w:t xml:space="preserve"> with</w:t>
      </w:r>
      <w:r w:rsidR="007D7CB8" w:rsidRPr="00904033">
        <w:rPr>
          <w:sz w:val="20"/>
          <w:szCs w:val="20"/>
        </w:rPr>
        <w:t xml:space="preserve"> </w:t>
      </w:r>
      <w:r w:rsidR="00193431" w:rsidRPr="00904033">
        <w:rPr>
          <w:sz w:val="20"/>
          <w:szCs w:val="20"/>
        </w:rPr>
        <w:t>B</w:t>
      </w:r>
      <w:r w:rsidR="00891765" w:rsidRPr="00904033">
        <w:rPr>
          <w:sz w:val="20"/>
          <w:szCs w:val="20"/>
        </w:rPr>
        <w:t>C</w:t>
      </w:r>
      <w:r w:rsidR="00193431" w:rsidRPr="00904033">
        <w:rPr>
          <w:sz w:val="20"/>
          <w:szCs w:val="20"/>
        </w:rPr>
        <w:t>l</w:t>
      </w:r>
      <w:r w:rsidR="00374FB0" w:rsidRPr="00904033">
        <w:rPr>
          <w:sz w:val="20"/>
          <w:szCs w:val="20"/>
        </w:rPr>
        <w:t>2 expression</w:t>
      </w:r>
      <w:r w:rsidR="00965D60" w:rsidRPr="00904033">
        <w:rPr>
          <w:sz w:val="20"/>
          <w:szCs w:val="20"/>
        </w:rPr>
        <w:t xml:space="preserve">, as 13 </w:t>
      </w:r>
      <w:r w:rsidR="00374FB0" w:rsidRPr="00904033">
        <w:rPr>
          <w:sz w:val="20"/>
          <w:szCs w:val="20"/>
        </w:rPr>
        <w:t>patients out of</w:t>
      </w:r>
      <w:r w:rsidR="00965D60" w:rsidRPr="00904033">
        <w:rPr>
          <w:sz w:val="20"/>
          <w:szCs w:val="20"/>
        </w:rPr>
        <w:t xml:space="preserve"> 32 BCL2 –ve </w:t>
      </w:r>
      <w:r w:rsidR="00F52560" w:rsidRPr="00904033">
        <w:rPr>
          <w:sz w:val="20"/>
          <w:szCs w:val="20"/>
        </w:rPr>
        <w:t>patient (</w:t>
      </w:r>
      <w:r w:rsidR="003F0CB6" w:rsidRPr="00904033">
        <w:rPr>
          <w:sz w:val="20"/>
          <w:szCs w:val="20"/>
        </w:rPr>
        <w:t xml:space="preserve">40.63%) achieved complete </w:t>
      </w:r>
      <w:r w:rsidR="00F52560" w:rsidRPr="00904033">
        <w:rPr>
          <w:sz w:val="20"/>
          <w:szCs w:val="20"/>
        </w:rPr>
        <w:t>response.</w:t>
      </w:r>
      <w:r w:rsidR="007D7CB8" w:rsidRPr="00904033">
        <w:rPr>
          <w:sz w:val="20"/>
          <w:szCs w:val="20"/>
        </w:rPr>
        <w:t xml:space="preserve"> </w:t>
      </w:r>
      <w:r w:rsidR="00F52560" w:rsidRPr="00904033">
        <w:rPr>
          <w:sz w:val="20"/>
          <w:szCs w:val="20"/>
        </w:rPr>
        <w:t>while 4</w:t>
      </w:r>
      <w:r w:rsidR="003F0CB6" w:rsidRPr="00904033">
        <w:rPr>
          <w:sz w:val="20"/>
          <w:szCs w:val="20"/>
        </w:rPr>
        <w:t xml:space="preserve"> of 29 (13.79%)</w:t>
      </w:r>
      <w:r w:rsidR="00965D60" w:rsidRPr="00904033">
        <w:rPr>
          <w:sz w:val="20"/>
          <w:szCs w:val="20"/>
        </w:rPr>
        <w:t xml:space="preserve"> BCL2 +ve patient </w:t>
      </w:r>
      <w:r w:rsidR="00891765" w:rsidRPr="00904033">
        <w:rPr>
          <w:sz w:val="20"/>
          <w:szCs w:val="20"/>
        </w:rPr>
        <w:t>achieved</w:t>
      </w:r>
      <w:r w:rsidR="00965D60" w:rsidRPr="00904033">
        <w:rPr>
          <w:sz w:val="20"/>
          <w:szCs w:val="20"/>
        </w:rPr>
        <w:t xml:space="preserve"> complete response to chemotherapy </w:t>
      </w:r>
      <w:r w:rsidR="003F0CB6" w:rsidRPr="00904033">
        <w:rPr>
          <w:sz w:val="20"/>
          <w:szCs w:val="20"/>
        </w:rPr>
        <w:t xml:space="preserve">(P = 0.005). </w:t>
      </w:r>
      <w:r w:rsidR="00374FB0" w:rsidRPr="00904033">
        <w:rPr>
          <w:sz w:val="20"/>
          <w:szCs w:val="20"/>
        </w:rPr>
        <w:t>M</w:t>
      </w:r>
      <w:r w:rsidR="003F0CB6" w:rsidRPr="00904033">
        <w:rPr>
          <w:sz w:val="20"/>
          <w:szCs w:val="20"/>
        </w:rPr>
        <w:t xml:space="preserve">ultivariate analysis, also </w:t>
      </w:r>
      <w:r w:rsidR="00374FB0" w:rsidRPr="00904033">
        <w:rPr>
          <w:sz w:val="20"/>
          <w:szCs w:val="20"/>
        </w:rPr>
        <w:t xml:space="preserve">showed that </w:t>
      </w:r>
      <w:r w:rsidR="003F0CB6" w:rsidRPr="00904033">
        <w:rPr>
          <w:sz w:val="20"/>
          <w:szCs w:val="20"/>
        </w:rPr>
        <w:t>BCL2 was independe</w:t>
      </w:r>
      <w:r w:rsidR="001F570D" w:rsidRPr="00904033">
        <w:rPr>
          <w:sz w:val="20"/>
          <w:szCs w:val="20"/>
        </w:rPr>
        <w:t>ntly related to this end point.</w:t>
      </w:r>
      <w:r w:rsidRPr="00904033">
        <w:rPr>
          <w:sz w:val="20"/>
          <w:szCs w:val="20"/>
        </w:rPr>
        <w:t xml:space="preserve"> </w:t>
      </w:r>
      <w:r w:rsidR="00E04CDB" w:rsidRPr="00904033">
        <w:rPr>
          <w:sz w:val="20"/>
          <w:szCs w:val="20"/>
        </w:rPr>
        <w:t>T</w:t>
      </w:r>
      <w:r w:rsidR="001F570D" w:rsidRPr="00904033">
        <w:rPr>
          <w:sz w:val="20"/>
          <w:szCs w:val="20"/>
        </w:rPr>
        <w:t xml:space="preserve">his finding </w:t>
      </w:r>
      <w:r w:rsidR="00E04CDB" w:rsidRPr="00904033">
        <w:rPr>
          <w:sz w:val="20"/>
          <w:szCs w:val="20"/>
        </w:rPr>
        <w:t xml:space="preserve">showed </w:t>
      </w:r>
      <w:r w:rsidR="00256911" w:rsidRPr="00904033">
        <w:rPr>
          <w:sz w:val="20"/>
          <w:szCs w:val="20"/>
        </w:rPr>
        <w:t>the increasing</w:t>
      </w:r>
      <w:r w:rsidR="001F570D" w:rsidRPr="00904033">
        <w:rPr>
          <w:sz w:val="20"/>
          <w:szCs w:val="20"/>
        </w:rPr>
        <w:t xml:space="preserve"> importa</w:t>
      </w:r>
      <w:r w:rsidR="002879AD" w:rsidRPr="00904033">
        <w:rPr>
          <w:sz w:val="20"/>
          <w:szCs w:val="20"/>
        </w:rPr>
        <w:t>nce of routine assessment of BCL</w:t>
      </w:r>
      <w:r w:rsidR="001F570D" w:rsidRPr="00904033">
        <w:rPr>
          <w:sz w:val="20"/>
          <w:szCs w:val="20"/>
        </w:rPr>
        <w:t xml:space="preserve">2 status in TNBC patients, which may </w:t>
      </w:r>
      <w:r w:rsidR="00E04CDB" w:rsidRPr="00904033">
        <w:rPr>
          <w:sz w:val="20"/>
          <w:szCs w:val="20"/>
        </w:rPr>
        <w:t>improve</w:t>
      </w:r>
      <w:r w:rsidR="001F570D" w:rsidRPr="00904033">
        <w:rPr>
          <w:sz w:val="20"/>
          <w:szCs w:val="20"/>
        </w:rPr>
        <w:t xml:space="preserve"> the outcome, as a predictive </w:t>
      </w:r>
      <w:r w:rsidR="0009540C" w:rsidRPr="00904033">
        <w:rPr>
          <w:sz w:val="20"/>
          <w:szCs w:val="20"/>
        </w:rPr>
        <w:t>factor.</w:t>
      </w:r>
      <w:r w:rsidR="00256911" w:rsidRPr="00904033">
        <w:rPr>
          <w:sz w:val="20"/>
          <w:szCs w:val="20"/>
        </w:rPr>
        <w:t xml:space="preserve"> This</w:t>
      </w:r>
      <w:r w:rsidR="008E2F46" w:rsidRPr="00904033">
        <w:rPr>
          <w:sz w:val="20"/>
          <w:szCs w:val="20"/>
        </w:rPr>
        <w:t xml:space="preserve"> was </w:t>
      </w:r>
      <w:r w:rsidR="00790727" w:rsidRPr="00904033">
        <w:rPr>
          <w:sz w:val="20"/>
          <w:szCs w:val="20"/>
        </w:rPr>
        <w:t>agreed</w:t>
      </w:r>
      <w:r w:rsidR="008E2F46" w:rsidRPr="00904033">
        <w:rPr>
          <w:sz w:val="20"/>
          <w:szCs w:val="20"/>
        </w:rPr>
        <w:t xml:space="preserve"> </w:t>
      </w:r>
      <w:r w:rsidR="0009540C" w:rsidRPr="00904033">
        <w:rPr>
          <w:sz w:val="20"/>
          <w:szCs w:val="20"/>
        </w:rPr>
        <w:t>with Von</w:t>
      </w:r>
      <w:r w:rsidR="008E2F46" w:rsidRPr="00904033">
        <w:rPr>
          <w:sz w:val="20"/>
          <w:szCs w:val="20"/>
        </w:rPr>
        <w:t xml:space="preserve"> Minckwitz et </w:t>
      </w:r>
      <w:r w:rsidR="0009540C" w:rsidRPr="00904033">
        <w:rPr>
          <w:sz w:val="20"/>
          <w:szCs w:val="20"/>
        </w:rPr>
        <w:t>al (</w:t>
      </w:r>
      <w:r w:rsidR="00D6383F" w:rsidRPr="00904033">
        <w:rPr>
          <w:sz w:val="20"/>
          <w:szCs w:val="20"/>
        </w:rPr>
        <w:t>28)</w:t>
      </w:r>
      <w:r w:rsidR="0009540C" w:rsidRPr="00904033">
        <w:rPr>
          <w:sz w:val="20"/>
          <w:szCs w:val="20"/>
        </w:rPr>
        <w:t>, who</w:t>
      </w:r>
      <w:r w:rsidR="008E2F46" w:rsidRPr="00904033">
        <w:rPr>
          <w:sz w:val="20"/>
          <w:szCs w:val="20"/>
        </w:rPr>
        <w:t xml:space="preserve"> </w:t>
      </w:r>
      <w:r w:rsidR="001D09C7" w:rsidRPr="00904033">
        <w:rPr>
          <w:sz w:val="20"/>
          <w:szCs w:val="20"/>
        </w:rPr>
        <w:t>showed</w:t>
      </w:r>
      <w:r w:rsidR="008E2F46" w:rsidRPr="00904033">
        <w:rPr>
          <w:sz w:val="20"/>
          <w:szCs w:val="20"/>
        </w:rPr>
        <w:t xml:space="preserve"> that there was </w:t>
      </w:r>
      <w:r w:rsidR="0009540C" w:rsidRPr="00904033">
        <w:rPr>
          <w:sz w:val="20"/>
          <w:szCs w:val="20"/>
        </w:rPr>
        <w:t>a relationship</w:t>
      </w:r>
      <w:r w:rsidR="00F25BA9" w:rsidRPr="00904033">
        <w:rPr>
          <w:sz w:val="20"/>
          <w:szCs w:val="20"/>
        </w:rPr>
        <w:t xml:space="preserve"> between lack of achievem</w:t>
      </w:r>
      <w:r w:rsidR="00F3073C" w:rsidRPr="00904033">
        <w:rPr>
          <w:sz w:val="20"/>
          <w:szCs w:val="20"/>
        </w:rPr>
        <w:t>ent of complete response and BCL</w:t>
      </w:r>
      <w:r w:rsidR="00F25BA9" w:rsidRPr="00904033">
        <w:rPr>
          <w:sz w:val="20"/>
          <w:szCs w:val="20"/>
        </w:rPr>
        <w:t>2 over-expression in breast carcinoma</w:t>
      </w:r>
      <w:r w:rsidR="00B0706D" w:rsidRPr="00904033">
        <w:rPr>
          <w:sz w:val="20"/>
          <w:szCs w:val="20"/>
        </w:rPr>
        <w:t>.</w:t>
      </w:r>
    </w:p>
    <w:p w:rsidR="007726DC" w:rsidRPr="00904033" w:rsidRDefault="00530AF9" w:rsidP="00FD5EA3">
      <w:pPr>
        <w:bidi w:val="0"/>
        <w:snapToGrid w:val="0"/>
        <w:ind w:firstLine="425"/>
        <w:jc w:val="both"/>
        <w:rPr>
          <w:sz w:val="20"/>
          <w:szCs w:val="20"/>
        </w:rPr>
      </w:pPr>
      <w:r w:rsidRPr="00904033">
        <w:rPr>
          <w:sz w:val="20"/>
          <w:szCs w:val="20"/>
        </w:rPr>
        <w:t xml:space="preserve">In our study, </w:t>
      </w:r>
      <w:r w:rsidR="00C3767D" w:rsidRPr="00904033">
        <w:rPr>
          <w:sz w:val="20"/>
          <w:szCs w:val="20"/>
        </w:rPr>
        <w:t>BCL</w:t>
      </w:r>
      <w:r w:rsidR="00994401" w:rsidRPr="00904033">
        <w:rPr>
          <w:sz w:val="20"/>
          <w:szCs w:val="20"/>
        </w:rPr>
        <w:t xml:space="preserve">2-ve </w:t>
      </w:r>
      <w:r w:rsidR="00A67A8C" w:rsidRPr="00904033">
        <w:rPr>
          <w:sz w:val="20"/>
          <w:szCs w:val="20"/>
        </w:rPr>
        <w:t>triple receptor negative</w:t>
      </w:r>
      <w:r w:rsidR="00994401" w:rsidRPr="00904033">
        <w:rPr>
          <w:sz w:val="20"/>
          <w:szCs w:val="20"/>
        </w:rPr>
        <w:t xml:space="preserve"> locally advanced infiltrating duct carcinoma patients who received neoadjuvant sequential regimen containing anthracycline and taxanes -based regimen </w:t>
      </w:r>
      <w:r w:rsidR="00836295" w:rsidRPr="00904033">
        <w:rPr>
          <w:sz w:val="20"/>
          <w:szCs w:val="20"/>
        </w:rPr>
        <w:t>and who</w:t>
      </w:r>
      <w:r w:rsidR="00994401" w:rsidRPr="00904033">
        <w:rPr>
          <w:sz w:val="20"/>
          <w:szCs w:val="20"/>
        </w:rPr>
        <w:t xml:space="preserve"> achieved complete response had no significant </w:t>
      </w:r>
      <w:r w:rsidR="00836295" w:rsidRPr="00904033">
        <w:rPr>
          <w:sz w:val="20"/>
          <w:szCs w:val="20"/>
        </w:rPr>
        <w:t>differences with</w:t>
      </w:r>
      <w:r w:rsidR="00994401" w:rsidRPr="00904033">
        <w:rPr>
          <w:sz w:val="20"/>
          <w:szCs w:val="20"/>
        </w:rPr>
        <w:t xml:space="preserve"> patients </w:t>
      </w:r>
      <w:r w:rsidR="00836295" w:rsidRPr="00904033">
        <w:rPr>
          <w:sz w:val="20"/>
          <w:szCs w:val="20"/>
        </w:rPr>
        <w:t>with BCL</w:t>
      </w:r>
      <w:r w:rsidR="00994401" w:rsidRPr="00904033">
        <w:rPr>
          <w:sz w:val="20"/>
          <w:szCs w:val="20"/>
        </w:rPr>
        <w:t>2+</w:t>
      </w:r>
      <w:r w:rsidR="00836295" w:rsidRPr="00904033">
        <w:rPr>
          <w:sz w:val="20"/>
          <w:szCs w:val="20"/>
        </w:rPr>
        <w:t>ve tissue</w:t>
      </w:r>
      <w:r w:rsidR="00994401" w:rsidRPr="00904033">
        <w:rPr>
          <w:sz w:val="20"/>
          <w:szCs w:val="20"/>
        </w:rPr>
        <w:t xml:space="preserve"> </w:t>
      </w:r>
      <w:r w:rsidR="00836295" w:rsidRPr="00904033">
        <w:rPr>
          <w:sz w:val="20"/>
          <w:szCs w:val="20"/>
        </w:rPr>
        <w:t>expression.</w:t>
      </w:r>
      <w:r w:rsidR="00330828" w:rsidRPr="00904033">
        <w:rPr>
          <w:sz w:val="20"/>
          <w:szCs w:val="20"/>
        </w:rPr>
        <w:t xml:space="preserve"> </w:t>
      </w:r>
      <w:r w:rsidR="00836295" w:rsidRPr="00904033">
        <w:rPr>
          <w:sz w:val="20"/>
          <w:szCs w:val="20"/>
        </w:rPr>
        <w:t>The DFS</w:t>
      </w:r>
      <w:r w:rsidR="00CB6AD6" w:rsidRPr="00904033">
        <w:rPr>
          <w:sz w:val="20"/>
          <w:szCs w:val="20"/>
        </w:rPr>
        <w:t xml:space="preserve"> at 1 year, 2 year, and 3 year</w:t>
      </w:r>
      <w:r w:rsidR="00B0706D" w:rsidRPr="00904033">
        <w:rPr>
          <w:sz w:val="20"/>
          <w:szCs w:val="20"/>
        </w:rPr>
        <w:t xml:space="preserve"> for</w:t>
      </w:r>
      <w:r w:rsidR="00CB6AD6" w:rsidRPr="00904033">
        <w:rPr>
          <w:sz w:val="20"/>
          <w:szCs w:val="20"/>
        </w:rPr>
        <w:t xml:space="preserve"> patients with</w:t>
      </w:r>
      <w:r w:rsidR="00B0706D" w:rsidRPr="00904033">
        <w:rPr>
          <w:sz w:val="20"/>
          <w:szCs w:val="20"/>
        </w:rPr>
        <w:t xml:space="preserve"> BCL2</w:t>
      </w:r>
      <w:r w:rsidR="00CB6AD6" w:rsidRPr="00904033">
        <w:rPr>
          <w:sz w:val="20"/>
          <w:szCs w:val="20"/>
        </w:rPr>
        <w:t xml:space="preserve"> +ve </w:t>
      </w:r>
      <w:r w:rsidR="00A67A8C" w:rsidRPr="00904033">
        <w:rPr>
          <w:sz w:val="20"/>
          <w:szCs w:val="20"/>
        </w:rPr>
        <w:t>tumor without</w:t>
      </w:r>
      <w:r w:rsidR="00B0706D" w:rsidRPr="00904033">
        <w:rPr>
          <w:sz w:val="20"/>
          <w:szCs w:val="20"/>
        </w:rPr>
        <w:t xml:space="preserve"> residual disease after neoadjuvant anthracycline and taxanes -based regimen was 92 %, 81% and 70% compared to 91%, 80% and 65% for the women with BCL</w:t>
      </w:r>
      <w:r w:rsidR="004E14EA" w:rsidRPr="00904033">
        <w:rPr>
          <w:sz w:val="20"/>
          <w:szCs w:val="20"/>
        </w:rPr>
        <w:t xml:space="preserve">2 </w:t>
      </w:r>
      <w:r w:rsidR="00F81CF9" w:rsidRPr="00904033">
        <w:rPr>
          <w:sz w:val="20"/>
          <w:szCs w:val="20"/>
        </w:rPr>
        <w:t>-ve</w:t>
      </w:r>
      <w:r w:rsidR="004E14EA" w:rsidRPr="00904033">
        <w:rPr>
          <w:sz w:val="20"/>
          <w:szCs w:val="20"/>
        </w:rPr>
        <w:t xml:space="preserve"> tumors, respectively</w:t>
      </w:r>
      <w:r w:rsidR="00B0706D" w:rsidRPr="00904033">
        <w:rPr>
          <w:sz w:val="20"/>
          <w:szCs w:val="20"/>
        </w:rPr>
        <w:t xml:space="preserve"> (P = 0.799). Thus, we found that complete response following neoadjuvant sequential</w:t>
      </w:r>
      <w:r w:rsidR="00330828" w:rsidRPr="00904033">
        <w:rPr>
          <w:sz w:val="20"/>
          <w:szCs w:val="20"/>
        </w:rPr>
        <w:t xml:space="preserve"> </w:t>
      </w:r>
      <w:r w:rsidR="00B0706D" w:rsidRPr="00904033">
        <w:rPr>
          <w:sz w:val="20"/>
          <w:szCs w:val="20"/>
        </w:rPr>
        <w:t xml:space="preserve">anthracycline and taxanes has been </w:t>
      </w:r>
      <w:r w:rsidR="004E14EA" w:rsidRPr="00904033">
        <w:rPr>
          <w:sz w:val="20"/>
          <w:szCs w:val="20"/>
        </w:rPr>
        <w:t>proved</w:t>
      </w:r>
      <w:r w:rsidR="00330828" w:rsidRPr="00904033">
        <w:rPr>
          <w:sz w:val="20"/>
          <w:szCs w:val="20"/>
        </w:rPr>
        <w:t xml:space="preserve"> </w:t>
      </w:r>
      <w:r w:rsidR="00B0706D" w:rsidRPr="00904033">
        <w:rPr>
          <w:sz w:val="20"/>
          <w:szCs w:val="20"/>
        </w:rPr>
        <w:t xml:space="preserve">to be associated with an improved outcome, suggesting that staining for Bcl2 status in TNBC patients could help </w:t>
      </w:r>
      <w:r w:rsidR="004E14EA" w:rsidRPr="00904033">
        <w:rPr>
          <w:sz w:val="20"/>
          <w:szCs w:val="20"/>
        </w:rPr>
        <w:t xml:space="preserve">in </w:t>
      </w:r>
      <w:r w:rsidR="00B0706D" w:rsidRPr="00904033">
        <w:rPr>
          <w:sz w:val="20"/>
          <w:szCs w:val="20"/>
        </w:rPr>
        <w:t>identify</w:t>
      </w:r>
      <w:r w:rsidR="004E14EA" w:rsidRPr="00904033">
        <w:rPr>
          <w:sz w:val="20"/>
          <w:szCs w:val="20"/>
        </w:rPr>
        <w:t>ing the</w:t>
      </w:r>
      <w:r w:rsidR="00330828" w:rsidRPr="00904033">
        <w:rPr>
          <w:sz w:val="20"/>
          <w:szCs w:val="20"/>
        </w:rPr>
        <w:t xml:space="preserve"> </w:t>
      </w:r>
      <w:r w:rsidR="00B0706D" w:rsidRPr="00904033">
        <w:rPr>
          <w:sz w:val="20"/>
          <w:szCs w:val="20"/>
        </w:rPr>
        <w:t>patients who would be ideal for neoadjuvant sequential regimen containing anthracycline and taxanes</w:t>
      </w:r>
      <w:r w:rsidR="00B56C60" w:rsidRPr="00904033">
        <w:rPr>
          <w:sz w:val="20"/>
          <w:szCs w:val="20"/>
        </w:rPr>
        <w:t xml:space="preserve"> as evidenced by our results, and </w:t>
      </w:r>
      <w:r w:rsidR="004E14EA" w:rsidRPr="00904033">
        <w:rPr>
          <w:sz w:val="20"/>
          <w:szCs w:val="20"/>
        </w:rPr>
        <w:t xml:space="preserve">similar </w:t>
      </w:r>
      <w:r w:rsidR="000B7D27" w:rsidRPr="00904033">
        <w:rPr>
          <w:sz w:val="20"/>
          <w:szCs w:val="20"/>
        </w:rPr>
        <w:t>previous</w:t>
      </w:r>
      <w:r w:rsidR="00330828" w:rsidRPr="00904033">
        <w:rPr>
          <w:sz w:val="20"/>
          <w:szCs w:val="20"/>
        </w:rPr>
        <w:t xml:space="preserve"> </w:t>
      </w:r>
      <w:r w:rsidR="00B56C60" w:rsidRPr="00904033">
        <w:rPr>
          <w:sz w:val="20"/>
          <w:szCs w:val="20"/>
        </w:rPr>
        <w:t>studies</w:t>
      </w:r>
      <w:r w:rsidR="00D6383F" w:rsidRPr="00904033">
        <w:rPr>
          <w:b/>
          <w:bCs/>
          <w:sz w:val="20"/>
          <w:szCs w:val="20"/>
          <w:vertAlign w:val="superscript"/>
        </w:rPr>
        <w:t xml:space="preserve"> </w:t>
      </w:r>
      <w:r w:rsidR="00D6383F" w:rsidRPr="00904033">
        <w:rPr>
          <w:sz w:val="20"/>
          <w:szCs w:val="20"/>
        </w:rPr>
        <w:t>(28-29-30-31)</w:t>
      </w:r>
      <w:r w:rsidR="00ED396F" w:rsidRPr="00904033">
        <w:rPr>
          <w:sz w:val="20"/>
          <w:szCs w:val="20"/>
        </w:rPr>
        <w:t xml:space="preserve">. </w:t>
      </w:r>
    </w:p>
    <w:p w:rsidR="00290642" w:rsidRPr="00904033" w:rsidRDefault="00290642" w:rsidP="00FD5EA3">
      <w:pPr>
        <w:bidi w:val="0"/>
        <w:snapToGrid w:val="0"/>
        <w:ind w:firstLine="425"/>
        <w:jc w:val="both"/>
        <w:rPr>
          <w:sz w:val="20"/>
          <w:szCs w:val="20"/>
        </w:rPr>
      </w:pPr>
      <w:r w:rsidRPr="00904033">
        <w:rPr>
          <w:sz w:val="20"/>
          <w:szCs w:val="20"/>
        </w:rPr>
        <w:t>However,</w:t>
      </w:r>
      <w:r w:rsidR="00F70562" w:rsidRPr="00904033">
        <w:rPr>
          <w:sz w:val="20"/>
          <w:szCs w:val="20"/>
        </w:rPr>
        <w:t xml:space="preserve"> in our study</w:t>
      </w:r>
      <w:r w:rsidR="00330828" w:rsidRPr="00904033">
        <w:rPr>
          <w:sz w:val="20"/>
          <w:szCs w:val="20"/>
        </w:rPr>
        <w:t>,</w:t>
      </w:r>
      <w:r w:rsidR="00F70562" w:rsidRPr="00904033">
        <w:rPr>
          <w:sz w:val="20"/>
          <w:szCs w:val="20"/>
        </w:rPr>
        <w:t xml:space="preserve"> it was found that BCL2 +ve patient </w:t>
      </w:r>
      <w:r w:rsidR="007354B8" w:rsidRPr="00904033">
        <w:rPr>
          <w:sz w:val="20"/>
          <w:szCs w:val="20"/>
        </w:rPr>
        <w:t>who had residual disease after neoadjuvant anthracycline and taxanes -based regimen,</w:t>
      </w:r>
      <w:r w:rsidR="00330828" w:rsidRPr="00904033">
        <w:rPr>
          <w:sz w:val="20"/>
          <w:szCs w:val="20"/>
        </w:rPr>
        <w:t xml:space="preserve"> </w:t>
      </w:r>
      <w:r w:rsidR="007354B8" w:rsidRPr="00904033">
        <w:rPr>
          <w:sz w:val="20"/>
          <w:szCs w:val="20"/>
        </w:rPr>
        <w:t xml:space="preserve">has a </w:t>
      </w:r>
      <w:r w:rsidRPr="00904033">
        <w:rPr>
          <w:sz w:val="20"/>
          <w:szCs w:val="20"/>
        </w:rPr>
        <w:t>better prognosis</w:t>
      </w:r>
      <w:r w:rsidR="007354B8" w:rsidRPr="00904033">
        <w:rPr>
          <w:sz w:val="20"/>
          <w:szCs w:val="20"/>
        </w:rPr>
        <w:t xml:space="preserve"> than that in BCL2 –ve</w:t>
      </w:r>
      <w:r w:rsidR="00330828" w:rsidRPr="00904033">
        <w:rPr>
          <w:sz w:val="20"/>
          <w:szCs w:val="20"/>
        </w:rPr>
        <w:t xml:space="preserve"> </w:t>
      </w:r>
      <w:r w:rsidR="00D24CD1" w:rsidRPr="00904033">
        <w:rPr>
          <w:sz w:val="20"/>
          <w:szCs w:val="20"/>
        </w:rPr>
        <w:t>patients</w:t>
      </w:r>
      <w:r w:rsidR="00330828" w:rsidRPr="00904033">
        <w:rPr>
          <w:sz w:val="20"/>
          <w:szCs w:val="20"/>
        </w:rPr>
        <w:t>,</w:t>
      </w:r>
      <w:r w:rsidR="007354B8" w:rsidRPr="00904033">
        <w:rPr>
          <w:sz w:val="20"/>
          <w:szCs w:val="20"/>
        </w:rPr>
        <w:t xml:space="preserve"> so</w:t>
      </w:r>
      <w:r w:rsidR="00330828" w:rsidRPr="00904033">
        <w:rPr>
          <w:sz w:val="20"/>
          <w:szCs w:val="20"/>
        </w:rPr>
        <w:t xml:space="preserve"> </w:t>
      </w:r>
      <w:r w:rsidR="0009540C" w:rsidRPr="00904033">
        <w:rPr>
          <w:sz w:val="20"/>
          <w:szCs w:val="20"/>
        </w:rPr>
        <w:t>BCL</w:t>
      </w:r>
      <w:r w:rsidRPr="00904033">
        <w:rPr>
          <w:sz w:val="20"/>
          <w:szCs w:val="20"/>
        </w:rPr>
        <w:t>2-</w:t>
      </w:r>
      <w:r w:rsidR="00512B7E" w:rsidRPr="00904033">
        <w:rPr>
          <w:sz w:val="20"/>
          <w:szCs w:val="20"/>
        </w:rPr>
        <w:t>ve</w:t>
      </w:r>
      <w:r w:rsidR="00330828" w:rsidRPr="00904033">
        <w:rPr>
          <w:sz w:val="20"/>
          <w:szCs w:val="20"/>
        </w:rPr>
        <w:t xml:space="preserve"> </w:t>
      </w:r>
      <w:r w:rsidRPr="00904033">
        <w:rPr>
          <w:sz w:val="20"/>
          <w:szCs w:val="20"/>
        </w:rPr>
        <w:t>patients</w:t>
      </w:r>
      <w:r w:rsidR="007354B8" w:rsidRPr="00904033">
        <w:rPr>
          <w:sz w:val="20"/>
          <w:szCs w:val="20"/>
        </w:rPr>
        <w:t xml:space="preserve"> are considered to</w:t>
      </w:r>
      <w:r w:rsidR="00330828" w:rsidRPr="00904033">
        <w:rPr>
          <w:sz w:val="20"/>
          <w:szCs w:val="20"/>
        </w:rPr>
        <w:t xml:space="preserve"> </w:t>
      </w:r>
      <w:r w:rsidR="007354B8" w:rsidRPr="00904033">
        <w:rPr>
          <w:sz w:val="20"/>
          <w:szCs w:val="20"/>
        </w:rPr>
        <w:t>have a</w:t>
      </w:r>
      <w:r w:rsidRPr="00904033">
        <w:rPr>
          <w:sz w:val="20"/>
          <w:szCs w:val="20"/>
        </w:rPr>
        <w:t xml:space="preserve"> limited response to anthracycline-based treatment and targeting alternative pathways </w:t>
      </w:r>
      <w:r w:rsidR="007354B8" w:rsidRPr="00904033">
        <w:rPr>
          <w:sz w:val="20"/>
          <w:szCs w:val="20"/>
        </w:rPr>
        <w:t xml:space="preserve">is </w:t>
      </w:r>
      <w:r w:rsidR="00D24CD1" w:rsidRPr="00904033">
        <w:rPr>
          <w:sz w:val="20"/>
          <w:szCs w:val="20"/>
        </w:rPr>
        <w:t>recommended</w:t>
      </w:r>
      <w:r w:rsidR="007354B8" w:rsidRPr="00904033">
        <w:rPr>
          <w:sz w:val="20"/>
          <w:szCs w:val="20"/>
        </w:rPr>
        <w:t xml:space="preserve"> and need</w:t>
      </w:r>
      <w:r w:rsidR="00330828" w:rsidRPr="00904033">
        <w:rPr>
          <w:sz w:val="20"/>
          <w:szCs w:val="20"/>
        </w:rPr>
        <w:t xml:space="preserve"> </w:t>
      </w:r>
      <w:r w:rsidRPr="00904033">
        <w:rPr>
          <w:sz w:val="20"/>
          <w:szCs w:val="20"/>
        </w:rPr>
        <w:t>further investigation.</w:t>
      </w:r>
    </w:p>
    <w:p w:rsidR="00330828" w:rsidRPr="00904033" w:rsidRDefault="008830AE" w:rsidP="00FD5EA3">
      <w:pPr>
        <w:bidi w:val="0"/>
        <w:snapToGrid w:val="0"/>
        <w:ind w:firstLine="425"/>
        <w:jc w:val="both"/>
        <w:rPr>
          <w:sz w:val="20"/>
          <w:szCs w:val="20"/>
        </w:rPr>
      </w:pPr>
      <w:bookmarkStart w:id="2" w:name="_Hlk34688965"/>
      <w:r w:rsidRPr="00904033">
        <w:rPr>
          <w:sz w:val="20"/>
          <w:szCs w:val="20"/>
        </w:rPr>
        <w:t>The results of our study show</w:t>
      </w:r>
      <w:r w:rsidR="0009540C" w:rsidRPr="00904033">
        <w:rPr>
          <w:sz w:val="20"/>
          <w:szCs w:val="20"/>
        </w:rPr>
        <w:t>ed that BCL2</w:t>
      </w:r>
      <w:r w:rsidRPr="00904033">
        <w:rPr>
          <w:sz w:val="20"/>
          <w:szCs w:val="20"/>
        </w:rPr>
        <w:t xml:space="preserve"> could be a promising prognostic marker in </w:t>
      </w:r>
      <w:r w:rsidR="0009540C" w:rsidRPr="00904033">
        <w:rPr>
          <w:sz w:val="20"/>
          <w:szCs w:val="20"/>
        </w:rPr>
        <w:t>TNBC as</w:t>
      </w:r>
      <w:r w:rsidRPr="00904033">
        <w:rPr>
          <w:sz w:val="20"/>
          <w:szCs w:val="20"/>
        </w:rPr>
        <w:t xml:space="preserve"> it </w:t>
      </w:r>
      <w:r w:rsidR="008B1E7B" w:rsidRPr="00904033">
        <w:rPr>
          <w:sz w:val="20"/>
          <w:szCs w:val="20"/>
        </w:rPr>
        <w:t xml:space="preserve">had a highly significant relationship with longer duration of DFS in univariate analysis. The Kaplan–Meier survival curves demonstrate the better prognosis of BCL2 +ve tumors </w:t>
      </w:r>
      <w:r w:rsidR="0009540C" w:rsidRPr="00904033">
        <w:rPr>
          <w:sz w:val="20"/>
          <w:szCs w:val="20"/>
        </w:rPr>
        <w:t>that</w:t>
      </w:r>
      <w:r w:rsidR="008B1E7B" w:rsidRPr="00904033">
        <w:rPr>
          <w:sz w:val="20"/>
          <w:szCs w:val="20"/>
        </w:rPr>
        <w:t xml:space="preserve"> had residual disease after neoadjuvant sequential regimen containing anthracycline and taxanes -based regimen.</w:t>
      </w:r>
    </w:p>
    <w:p w:rsidR="00645110" w:rsidRPr="00904033" w:rsidRDefault="00330828" w:rsidP="00FD5EA3">
      <w:pPr>
        <w:bidi w:val="0"/>
        <w:snapToGrid w:val="0"/>
        <w:ind w:firstLine="425"/>
        <w:jc w:val="both"/>
        <w:rPr>
          <w:sz w:val="20"/>
          <w:szCs w:val="20"/>
        </w:rPr>
      </w:pPr>
      <w:r w:rsidRPr="00904033">
        <w:rPr>
          <w:sz w:val="20"/>
          <w:szCs w:val="20"/>
        </w:rPr>
        <w:t>S</w:t>
      </w:r>
      <w:r w:rsidR="008830AE" w:rsidRPr="00904033">
        <w:rPr>
          <w:sz w:val="20"/>
          <w:szCs w:val="20"/>
        </w:rPr>
        <w:t xml:space="preserve">everal studies </w:t>
      </w:r>
      <w:r w:rsidR="00087B3D" w:rsidRPr="00904033">
        <w:rPr>
          <w:sz w:val="20"/>
          <w:szCs w:val="20"/>
        </w:rPr>
        <w:t>reported</w:t>
      </w:r>
      <w:r w:rsidR="008830AE" w:rsidRPr="00904033">
        <w:rPr>
          <w:sz w:val="20"/>
          <w:szCs w:val="20"/>
        </w:rPr>
        <w:t xml:space="preserve"> t</w:t>
      </w:r>
      <w:r w:rsidR="000B7D27" w:rsidRPr="00904033">
        <w:rPr>
          <w:sz w:val="20"/>
          <w:szCs w:val="20"/>
        </w:rPr>
        <w:t>he importance of BCL</w:t>
      </w:r>
      <w:r w:rsidR="008B1E7B" w:rsidRPr="00904033">
        <w:rPr>
          <w:sz w:val="20"/>
          <w:szCs w:val="20"/>
        </w:rPr>
        <w:t xml:space="preserve">2 as a prognostic factor in </w:t>
      </w:r>
      <w:r w:rsidR="006640D5" w:rsidRPr="00904033">
        <w:rPr>
          <w:sz w:val="20"/>
          <w:szCs w:val="20"/>
        </w:rPr>
        <w:t>TNBC,</w:t>
      </w:r>
      <w:r w:rsidR="007E49F6" w:rsidRPr="00904033">
        <w:rPr>
          <w:sz w:val="20"/>
          <w:szCs w:val="20"/>
        </w:rPr>
        <w:t xml:space="preserve"> and </w:t>
      </w:r>
      <w:r w:rsidR="00087B3D" w:rsidRPr="00904033">
        <w:rPr>
          <w:sz w:val="20"/>
          <w:szCs w:val="20"/>
        </w:rPr>
        <w:t>showed</w:t>
      </w:r>
      <w:r w:rsidR="007E49F6" w:rsidRPr="00904033">
        <w:rPr>
          <w:sz w:val="20"/>
          <w:szCs w:val="20"/>
        </w:rPr>
        <w:t xml:space="preserve"> </w:t>
      </w:r>
      <w:r w:rsidR="006640D5" w:rsidRPr="00904033">
        <w:rPr>
          <w:sz w:val="20"/>
          <w:szCs w:val="20"/>
        </w:rPr>
        <w:t>that loss</w:t>
      </w:r>
      <w:r w:rsidR="00315B7C" w:rsidRPr="00904033">
        <w:rPr>
          <w:sz w:val="20"/>
          <w:szCs w:val="20"/>
        </w:rPr>
        <w:t xml:space="preserve"> of BCL</w:t>
      </w:r>
      <w:r w:rsidR="007E49F6" w:rsidRPr="00904033">
        <w:rPr>
          <w:sz w:val="20"/>
          <w:szCs w:val="20"/>
        </w:rPr>
        <w:t xml:space="preserve">2 increase the risk of treatment failure </w:t>
      </w:r>
      <w:r w:rsidR="00D6383F" w:rsidRPr="00904033">
        <w:rPr>
          <w:sz w:val="20"/>
          <w:szCs w:val="20"/>
        </w:rPr>
        <w:t>(32-33-34-35</w:t>
      </w:r>
      <w:r w:rsidR="006640D5" w:rsidRPr="00904033">
        <w:rPr>
          <w:sz w:val="20"/>
          <w:szCs w:val="20"/>
        </w:rPr>
        <w:t>),</w:t>
      </w:r>
      <w:r w:rsidR="007E49F6" w:rsidRPr="00904033">
        <w:rPr>
          <w:sz w:val="20"/>
          <w:szCs w:val="20"/>
        </w:rPr>
        <w:t xml:space="preserve"> </w:t>
      </w:r>
      <w:r w:rsidR="006640D5" w:rsidRPr="00904033">
        <w:rPr>
          <w:sz w:val="20"/>
          <w:szCs w:val="20"/>
        </w:rPr>
        <w:t>these were</w:t>
      </w:r>
      <w:r w:rsidR="007E49F6" w:rsidRPr="00904033">
        <w:rPr>
          <w:sz w:val="20"/>
          <w:szCs w:val="20"/>
        </w:rPr>
        <w:t xml:space="preserve"> in a a</w:t>
      </w:r>
      <w:r w:rsidR="00391C10" w:rsidRPr="00904033">
        <w:rPr>
          <w:sz w:val="20"/>
          <w:szCs w:val="20"/>
        </w:rPr>
        <w:t>greement</w:t>
      </w:r>
      <w:r w:rsidR="007E49F6" w:rsidRPr="00904033">
        <w:rPr>
          <w:sz w:val="20"/>
          <w:szCs w:val="20"/>
        </w:rPr>
        <w:t xml:space="preserve"> with our </w:t>
      </w:r>
      <w:r w:rsidR="004D32EA" w:rsidRPr="00904033">
        <w:rPr>
          <w:sz w:val="20"/>
          <w:szCs w:val="20"/>
        </w:rPr>
        <w:t>study.</w:t>
      </w:r>
    </w:p>
    <w:p w:rsidR="00313975" w:rsidRPr="00904033" w:rsidRDefault="00087B3D" w:rsidP="00FD5EA3">
      <w:pPr>
        <w:bidi w:val="0"/>
        <w:snapToGrid w:val="0"/>
        <w:ind w:firstLine="425"/>
        <w:jc w:val="both"/>
        <w:rPr>
          <w:sz w:val="20"/>
          <w:szCs w:val="20"/>
        </w:rPr>
      </w:pPr>
      <w:r w:rsidRPr="00904033">
        <w:rPr>
          <w:sz w:val="20"/>
          <w:szCs w:val="20"/>
        </w:rPr>
        <w:lastRenderedPageBreak/>
        <w:t>Diversely</w:t>
      </w:r>
      <w:r w:rsidR="007B5B67" w:rsidRPr="00904033">
        <w:rPr>
          <w:sz w:val="20"/>
          <w:szCs w:val="20"/>
        </w:rPr>
        <w:t xml:space="preserve"> Tawfik et al (36</w:t>
      </w:r>
      <w:r w:rsidR="00391C10" w:rsidRPr="00904033">
        <w:rPr>
          <w:sz w:val="20"/>
          <w:szCs w:val="20"/>
        </w:rPr>
        <w:t>) found</w:t>
      </w:r>
      <w:r w:rsidR="00CA0F72" w:rsidRPr="00904033">
        <w:rPr>
          <w:sz w:val="20"/>
          <w:szCs w:val="20"/>
        </w:rPr>
        <w:t xml:space="preserve"> </w:t>
      </w:r>
      <w:r w:rsidR="006640D5" w:rsidRPr="00904033">
        <w:rPr>
          <w:sz w:val="20"/>
          <w:szCs w:val="20"/>
        </w:rPr>
        <w:t>that TNBC</w:t>
      </w:r>
      <w:r w:rsidR="00CA0F72" w:rsidRPr="00904033">
        <w:rPr>
          <w:sz w:val="20"/>
          <w:szCs w:val="20"/>
        </w:rPr>
        <w:t xml:space="preserve"> </w:t>
      </w:r>
      <w:r w:rsidR="00F6752C" w:rsidRPr="00904033">
        <w:rPr>
          <w:sz w:val="20"/>
          <w:szCs w:val="20"/>
        </w:rPr>
        <w:t>BCL</w:t>
      </w:r>
      <w:r w:rsidR="008B1E7B" w:rsidRPr="00904033">
        <w:rPr>
          <w:sz w:val="20"/>
          <w:szCs w:val="20"/>
        </w:rPr>
        <w:t>2+</w:t>
      </w:r>
      <w:r w:rsidR="00CA0F72" w:rsidRPr="00904033">
        <w:rPr>
          <w:sz w:val="20"/>
          <w:szCs w:val="20"/>
        </w:rPr>
        <w:t xml:space="preserve">ve </w:t>
      </w:r>
      <w:r w:rsidR="006640D5" w:rsidRPr="00904033">
        <w:rPr>
          <w:sz w:val="20"/>
          <w:szCs w:val="20"/>
        </w:rPr>
        <w:t>patients had</w:t>
      </w:r>
      <w:r w:rsidR="00CA0F72" w:rsidRPr="00904033">
        <w:rPr>
          <w:sz w:val="20"/>
          <w:szCs w:val="20"/>
        </w:rPr>
        <w:t xml:space="preserve"> </w:t>
      </w:r>
      <w:r w:rsidR="006640D5" w:rsidRPr="00904033">
        <w:rPr>
          <w:sz w:val="20"/>
          <w:szCs w:val="20"/>
        </w:rPr>
        <w:t>an adverse</w:t>
      </w:r>
      <w:r w:rsidR="008B1E7B" w:rsidRPr="00904033">
        <w:rPr>
          <w:sz w:val="20"/>
          <w:szCs w:val="20"/>
        </w:rPr>
        <w:t xml:space="preserve"> prognostic factor and even was independent from other factors in a multivariate analysis and showed that </w:t>
      </w:r>
      <w:r w:rsidR="00EF21D6" w:rsidRPr="00904033">
        <w:rPr>
          <w:sz w:val="20"/>
          <w:szCs w:val="20"/>
        </w:rPr>
        <w:t>BCL</w:t>
      </w:r>
      <w:r w:rsidR="008B1E7B" w:rsidRPr="00904033">
        <w:rPr>
          <w:sz w:val="20"/>
          <w:szCs w:val="20"/>
        </w:rPr>
        <w:t>2</w:t>
      </w:r>
      <w:r w:rsidR="00CA0F72" w:rsidRPr="00904033">
        <w:rPr>
          <w:sz w:val="20"/>
          <w:szCs w:val="20"/>
        </w:rPr>
        <w:t xml:space="preserve"> </w:t>
      </w:r>
      <w:r w:rsidR="00CD5199" w:rsidRPr="00904033">
        <w:rPr>
          <w:sz w:val="20"/>
          <w:szCs w:val="20"/>
        </w:rPr>
        <w:t>over expression</w:t>
      </w:r>
      <w:r w:rsidR="008B1E7B" w:rsidRPr="00904033">
        <w:rPr>
          <w:sz w:val="20"/>
          <w:szCs w:val="20"/>
        </w:rPr>
        <w:t xml:space="preserve"> was an independent poor prognostic factor in TNBC.</w:t>
      </w:r>
      <w:r w:rsidR="00330828" w:rsidRPr="00904033">
        <w:rPr>
          <w:sz w:val="20"/>
          <w:szCs w:val="20"/>
        </w:rPr>
        <w:t xml:space="preserve"> </w:t>
      </w:r>
      <w:r w:rsidR="00692858" w:rsidRPr="00904033">
        <w:rPr>
          <w:sz w:val="20"/>
          <w:szCs w:val="20"/>
        </w:rPr>
        <w:t>T</w:t>
      </w:r>
      <w:r w:rsidR="007C1EEF" w:rsidRPr="00904033">
        <w:rPr>
          <w:sz w:val="20"/>
          <w:szCs w:val="20"/>
        </w:rPr>
        <w:t>his</w:t>
      </w:r>
      <w:r w:rsidR="00692858" w:rsidRPr="00904033">
        <w:rPr>
          <w:sz w:val="20"/>
          <w:szCs w:val="20"/>
        </w:rPr>
        <w:t xml:space="preserve"> finding </w:t>
      </w:r>
      <w:r w:rsidR="00CA0F72" w:rsidRPr="00904033">
        <w:rPr>
          <w:sz w:val="20"/>
          <w:szCs w:val="20"/>
        </w:rPr>
        <w:t xml:space="preserve">may be due </w:t>
      </w:r>
      <w:r w:rsidR="00CD5199" w:rsidRPr="00904033">
        <w:rPr>
          <w:sz w:val="20"/>
          <w:szCs w:val="20"/>
        </w:rPr>
        <w:t>the multipl</w:t>
      </w:r>
      <w:bookmarkEnd w:id="2"/>
      <w:r w:rsidR="00CD5199" w:rsidRPr="00904033">
        <w:rPr>
          <w:sz w:val="20"/>
          <w:szCs w:val="20"/>
        </w:rPr>
        <w:t>e functions of BCL</w:t>
      </w:r>
      <w:r w:rsidR="00692858" w:rsidRPr="00904033">
        <w:rPr>
          <w:sz w:val="20"/>
          <w:szCs w:val="20"/>
        </w:rPr>
        <w:t>2</w:t>
      </w:r>
      <w:r w:rsidR="00533AC6" w:rsidRPr="00904033">
        <w:rPr>
          <w:sz w:val="20"/>
          <w:szCs w:val="20"/>
        </w:rPr>
        <w:t>,</w:t>
      </w:r>
      <w:r w:rsidR="00ED396F" w:rsidRPr="00904033">
        <w:rPr>
          <w:sz w:val="20"/>
          <w:szCs w:val="20"/>
        </w:rPr>
        <w:t xml:space="preserve"> </w:t>
      </w:r>
      <w:r w:rsidR="00533AC6" w:rsidRPr="00904033">
        <w:rPr>
          <w:sz w:val="20"/>
          <w:szCs w:val="20"/>
        </w:rPr>
        <w:t>as it acts</w:t>
      </w:r>
      <w:r w:rsidR="00692858" w:rsidRPr="00904033">
        <w:rPr>
          <w:sz w:val="20"/>
          <w:szCs w:val="20"/>
        </w:rPr>
        <w:t xml:space="preserve"> as both an anti-apoptotic factor and also</w:t>
      </w:r>
      <w:r w:rsidR="00ED396F" w:rsidRPr="00904033">
        <w:rPr>
          <w:sz w:val="20"/>
          <w:szCs w:val="20"/>
        </w:rPr>
        <w:t xml:space="preserve"> </w:t>
      </w:r>
      <w:r w:rsidR="00692858" w:rsidRPr="00904033">
        <w:rPr>
          <w:sz w:val="20"/>
          <w:szCs w:val="20"/>
        </w:rPr>
        <w:t>prolongs cell cycle at G0</w:t>
      </w:r>
      <w:r w:rsidR="00FE3F9E" w:rsidRPr="00904033">
        <w:rPr>
          <w:sz w:val="20"/>
          <w:szCs w:val="20"/>
        </w:rPr>
        <w:t xml:space="preserve"> </w:t>
      </w:r>
      <w:r w:rsidR="00CD5199" w:rsidRPr="00904033">
        <w:rPr>
          <w:sz w:val="20"/>
          <w:szCs w:val="20"/>
        </w:rPr>
        <w:t xml:space="preserve">phase; </w:t>
      </w:r>
      <w:r w:rsidR="001945C9" w:rsidRPr="00904033">
        <w:rPr>
          <w:sz w:val="20"/>
          <w:szCs w:val="20"/>
        </w:rPr>
        <w:t>this explain</w:t>
      </w:r>
      <w:r w:rsidR="00FE3F9E" w:rsidRPr="00904033">
        <w:rPr>
          <w:sz w:val="20"/>
          <w:szCs w:val="20"/>
        </w:rPr>
        <w:t xml:space="preserve"> </w:t>
      </w:r>
      <w:r w:rsidR="001945C9" w:rsidRPr="00904033">
        <w:rPr>
          <w:sz w:val="20"/>
          <w:szCs w:val="20"/>
        </w:rPr>
        <w:t>why</w:t>
      </w:r>
      <w:r w:rsidR="00CD5199" w:rsidRPr="00904033">
        <w:rPr>
          <w:sz w:val="20"/>
          <w:szCs w:val="20"/>
        </w:rPr>
        <w:t xml:space="preserve"> BCL2</w:t>
      </w:r>
      <w:r w:rsidR="00692858" w:rsidRPr="00904033">
        <w:rPr>
          <w:sz w:val="20"/>
          <w:szCs w:val="20"/>
        </w:rPr>
        <w:t>+</w:t>
      </w:r>
      <w:r w:rsidR="00CD5199" w:rsidRPr="00904033">
        <w:rPr>
          <w:sz w:val="20"/>
          <w:szCs w:val="20"/>
        </w:rPr>
        <w:t xml:space="preserve">ve </w:t>
      </w:r>
      <w:r w:rsidR="00542780" w:rsidRPr="00904033">
        <w:rPr>
          <w:sz w:val="20"/>
          <w:szCs w:val="20"/>
        </w:rPr>
        <w:t>cells recover</w:t>
      </w:r>
      <w:r w:rsidR="00FE3F9E" w:rsidRPr="00904033">
        <w:rPr>
          <w:sz w:val="20"/>
          <w:szCs w:val="20"/>
        </w:rPr>
        <w:t xml:space="preserve"> </w:t>
      </w:r>
      <w:r w:rsidR="00CD5199" w:rsidRPr="00904033">
        <w:rPr>
          <w:sz w:val="20"/>
          <w:szCs w:val="20"/>
        </w:rPr>
        <w:t>earlier from</w:t>
      </w:r>
      <w:r w:rsidR="00692858" w:rsidRPr="00904033">
        <w:rPr>
          <w:sz w:val="20"/>
          <w:szCs w:val="20"/>
        </w:rPr>
        <w:t xml:space="preserve"> damage caused by</w:t>
      </w:r>
      <w:r w:rsidR="00ED396F" w:rsidRPr="00904033">
        <w:rPr>
          <w:sz w:val="20"/>
          <w:szCs w:val="20"/>
        </w:rPr>
        <w:t xml:space="preserve"> </w:t>
      </w:r>
      <w:r w:rsidR="00692858" w:rsidRPr="00904033">
        <w:rPr>
          <w:sz w:val="20"/>
          <w:szCs w:val="20"/>
        </w:rPr>
        <w:t xml:space="preserve">chemotherapy. </w:t>
      </w:r>
      <w:r w:rsidR="006E2828" w:rsidRPr="00904033">
        <w:rPr>
          <w:sz w:val="20"/>
          <w:szCs w:val="20"/>
        </w:rPr>
        <w:t>H</w:t>
      </w:r>
      <w:r w:rsidR="00533AC6" w:rsidRPr="00904033">
        <w:rPr>
          <w:sz w:val="20"/>
          <w:szCs w:val="20"/>
        </w:rPr>
        <w:t>owever,</w:t>
      </w:r>
      <w:r w:rsidR="00FE3F9E" w:rsidRPr="00904033">
        <w:rPr>
          <w:sz w:val="20"/>
          <w:szCs w:val="20"/>
        </w:rPr>
        <w:t xml:space="preserve"> </w:t>
      </w:r>
      <w:r w:rsidR="003965A4" w:rsidRPr="00904033">
        <w:rPr>
          <w:sz w:val="20"/>
          <w:szCs w:val="20"/>
        </w:rPr>
        <w:t>BCL</w:t>
      </w:r>
      <w:r w:rsidR="00692858" w:rsidRPr="00904033">
        <w:rPr>
          <w:sz w:val="20"/>
          <w:szCs w:val="20"/>
        </w:rPr>
        <w:t>2-</w:t>
      </w:r>
      <w:r w:rsidR="00FE3F9E" w:rsidRPr="00904033">
        <w:rPr>
          <w:sz w:val="20"/>
          <w:szCs w:val="20"/>
        </w:rPr>
        <w:t>ve</w:t>
      </w:r>
      <w:r w:rsidR="00692858" w:rsidRPr="00904033">
        <w:rPr>
          <w:sz w:val="20"/>
          <w:szCs w:val="20"/>
        </w:rPr>
        <w:t xml:space="preserve"> </w:t>
      </w:r>
      <w:r w:rsidR="00BF4945" w:rsidRPr="00904033">
        <w:rPr>
          <w:sz w:val="20"/>
          <w:szCs w:val="20"/>
        </w:rPr>
        <w:t>tumors</w:t>
      </w:r>
      <w:r w:rsidR="00FE3F9E" w:rsidRPr="00904033">
        <w:rPr>
          <w:sz w:val="20"/>
          <w:szCs w:val="20"/>
        </w:rPr>
        <w:t xml:space="preserve"> has a </w:t>
      </w:r>
      <w:r w:rsidR="00391C10" w:rsidRPr="00904033">
        <w:rPr>
          <w:sz w:val="20"/>
          <w:szCs w:val="20"/>
        </w:rPr>
        <w:t>better response to</w:t>
      </w:r>
      <w:r w:rsidR="00692858" w:rsidRPr="00904033">
        <w:rPr>
          <w:sz w:val="20"/>
          <w:szCs w:val="20"/>
        </w:rPr>
        <w:t xml:space="preserve"> treatment,</w:t>
      </w:r>
      <w:r w:rsidR="00ED396F" w:rsidRPr="00904033">
        <w:rPr>
          <w:sz w:val="20"/>
          <w:szCs w:val="20"/>
        </w:rPr>
        <w:t xml:space="preserve"> </w:t>
      </w:r>
      <w:r w:rsidR="001945C9" w:rsidRPr="00904033">
        <w:rPr>
          <w:sz w:val="20"/>
          <w:szCs w:val="20"/>
        </w:rPr>
        <w:t>may be</w:t>
      </w:r>
      <w:r w:rsidR="00692858" w:rsidRPr="00904033">
        <w:rPr>
          <w:sz w:val="20"/>
          <w:szCs w:val="20"/>
        </w:rPr>
        <w:t xml:space="preserve"> </w:t>
      </w:r>
      <w:r w:rsidR="00FE3F9E" w:rsidRPr="00904033">
        <w:rPr>
          <w:sz w:val="20"/>
          <w:szCs w:val="20"/>
        </w:rPr>
        <w:t xml:space="preserve">due </w:t>
      </w:r>
      <w:r w:rsidR="00391C10" w:rsidRPr="00904033">
        <w:rPr>
          <w:sz w:val="20"/>
          <w:szCs w:val="20"/>
        </w:rPr>
        <w:t>to increased</w:t>
      </w:r>
      <w:r w:rsidR="00692858" w:rsidRPr="00904033">
        <w:rPr>
          <w:sz w:val="20"/>
          <w:szCs w:val="20"/>
        </w:rPr>
        <w:t xml:space="preserve"> damage</w:t>
      </w:r>
      <w:r w:rsidR="00542780" w:rsidRPr="00904033">
        <w:rPr>
          <w:sz w:val="20"/>
          <w:szCs w:val="20"/>
        </w:rPr>
        <w:t xml:space="preserve"> of </w:t>
      </w:r>
      <w:r w:rsidR="00F5102E" w:rsidRPr="00904033">
        <w:rPr>
          <w:sz w:val="20"/>
          <w:szCs w:val="20"/>
        </w:rPr>
        <w:t>DNA,</w:t>
      </w:r>
      <w:r w:rsidR="00692858" w:rsidRPr="00904033">
        <w:rPr>
          <w:sz w:val="20"/>
          <w:szCs w:val="20"/>
        </w:rPr>
        <w:t xml:space="preserve"> abnormal</w:t>
      </w:r>
      <w:r w:rsidR="00ED396F" w:rsidRPr="00904033">
        <w:rPr>
          <w:sz w:val="20"/>
          <w:szCs w:val="20"/>
        </w:rPr>
        <w:t xml:space="preserve"> </w:t>
      </w:r>
      <w:r w:rsidR="00692858" w:rsidRPr="00904033">
        <w:rPr>
          <w:sz w:val="20"/>
          <w:szCs w:val="20"/>
        </w:rPr>
        <w:t>mitoses and subsequent mitotic catastrophe</w:t>
      </w:r>
      <w:r w:rsidR="00FE3F9E" w:rsidRPr="00904033">
        <w:rPr>
          <w:sz w:val="20"/>
          <w:szCs w:val="20"/>
        </w:rPr>
        <w:t xml:space="preserve"> which its mechanism is unknown</w:t>
      </w:r>
      <w:r w:rsidR="00692858" w:rsidRPr="00904033">
        <w:rPr>
          <w:sz w:val="20"/>
          <w:szCs w:val="20"/>
        </w:rPr>
        <w:t xml:space="preserve">, but it </w:t>
      </w:r>
      <w:r w:rsidR="00FE3F9E" w:rsidRPr="00904033">
        <w:rPr>
          <w:sz w:val="20"/>
          <w:szCs w:val="20"/>
        </w:rPr>
        <w:t xml:space="preserve">may be due </w:t>
      </w:r>
      <w:r w:rsidR="00391C10" w:rsidRPr="00904033">
        <w:rPr>
          <w:sz w:val="20"/>
          <w:szCs w:val="20"/>
        </w:rPr>
        <w:t>to a</w:t>
      </w:r>
      <w:r w:rsidR="00ED396F" w:rsidRPr="00904033">
        <w:rPr>
          <w:sz w:val="20"/>
          <w:szCs w:val="20"/>
        </w:rPr>
        <w:t xml:space="preserve"> </w:t>
      </w:r>
      <w:r w:rsidR="00692858" w:rsidRPr="00904033">
        <w:rPr>
          <w:sz w:val="20"/>
          <w:szCs w:val="20"/>
        </w:rPr>
        <w:t>combination of deficient cell-</w:t>
      </w:r>
      <w:r w:rsidR="00FE3F9E" w:rsidRPr="00904033">
        <w:rPr>
          <w:sz w:val="20"/>
          <w:szCs w:val="20"/>
        </w:rPr>
        <w:t>cycle checkpoints (</w:t>
      </w:r>
      <w:r w:rsidR="00391C10" w:rsidRPr="00904033">
        <w:rPr>
          <w:sz w:val="20"/>
          <w:szCs w:val="20"/>
        </w:rPr>
        <w:t>especially the</w:t>
      </w:r>
      <w:r w:rsidR="00692858" w:rsidRPr="00904033">
        <w:rPr>
          <w:sz w:val="20"/>
          <w:szCs w:val="20"/>
        </w:rPr>
        <w:t xml:space="preserve"> DNA structure checkpoints and the spindle assembly</w:t>
      </w:r>
      <w:r w:rsidR="00ED396F" w:rsidRPr="00904033">
        <w:rPr>
          <w:sz w:val="20"/>
          <w:szCs w:val="20"/>
        </w:rPr>
        <w:t xml:space="preserve"> </w:t>
      </w:r>
      <w:r w:rsidR="00692858" w:rsidRPr="00904033">
        <w:rPr>
          <w:sz w:val="20"/>
          <w:szCs w:val="20"/>
        </w:rPr>
        <w:t>checkpoint) and cellular damage. Conversely</w:t>
      </w:r>
      <w:r w:rsidR="00E91A44" w:rsidRPr="00904033">
        <w:rPr>
          <w:sz w:val="20"/>
          <w:szCs w:val="20"/>
        </w:rPr>
        <w:t>, BCL2</w:t>
      </w:r>
      <w:r w:rsidR="00FE3F9E" w:rsidRPr="00904033">
        <w:rPr>
          <w:sz w:val="20"/>
          <w:szCs w:val="20"/>
        </w:rPr>
        <w:t>-</w:t>
      </w:r>
      <w:r w:rsidR="00E91A44" w:rsidRPr="00904033">
        <w:rPr>
          <w:sz w:val="20"/>
          <w:szCs w:val="20"/>
        </w:rPr>
        <w:t>ve non</w:t>
      </w:r>
      <w:r w:rsidR="00692858" w:rsidRPr="00904033">
        <w:rPr>
          <w:sz w:val="20"/>
          <w:szCs w:val="20"/>
        </w:rPr>
        <w:t xml:space="preserve">-responding </w:t>
      </w:r>
      <w:r w:rsidR="00BF4945" w:rsidRPr="00904033">
        <w:rPr>
          <w:sz w:val="20"/>
          <w:szCs w:val="20"/>
        </w:rPr>
        <w:t>tumors</w:t>
      </w:r>
      <w:r w:rsidR="00692858" w:rsidRPr="00904033">
        <w:rPr>
          <w:sz w:val="20"/>
          <w:szCs w:val="20"/>
        </w:rPr>
        <w:t xml:space="preserve"> could </w:t>
      </w:r>
      <w:r w:rsidR="00FE3F9E" w:rsidRPr="00904033">
        <w:rPr>
          <w:sz w:val="20"/>
          <w:szCs w:val="20"/>
        </w:rPr>
        <w:t xml:space="preserve">be </w:t>
      </w:r>
      <w:r w:rsidR="00E91A44" w:rsidRPr="00904033">
        <w:rPr>
          <w:sz w:val="20"/>
          <w:szCs w:val="20"/>
        </w:rPr>
        <w:t>explained through</w:t>
      </w:r>
      <w:r w:rsidR="00692858" w:rsidRPr="00904033">
        <w:rPr>
          <w:sz w:val="20"/>
          <w:szCs w:val="20"/>
        </w:rPr>
        <w:t xml:space="preserve"> accumulation of genetic abnormalities that would not</w:t>
      </w:r>
      <w:r w:rsidR="00ED396F" w:rsidRPr="00904033">
        <w:rPr>
          <w:sz w:val="20"/>
          <w:szCs w:val="20"/>
        </w:rPr>
        <w:t xml:space="preserve"> </w:t>
      </w:r>
      <w:r w:rsidR="00692858" w:rsidRPr="00904033">
        <w:rPr>
          <w:sz w:val="20"/>
          <w:szCs w:val="20"/>
        </w:rPr>
        <w:t>lead to a mitotic catastrophe but rather to aneuploidy and</w:t>
      </w:r>
      <w:r w:rsidR="00ED396F" w:rsidRPr="00904033">
        <w:rPr>
          <w:sz w:val="20"/>
          <w:szCs w:val="20"/>
        </w:rPr>
        <w:t xml:space="preserve"> </w:t>
      </w:r>
      <w:r w:rsidR="00692858" w:rsidRPr="00904033">
        <w:rPr>
          <w:sz w:val="20"/>
          <w:szCs w:val="20"/>
        </w:rPr>
        <w:t>subsequent growth advantage</w:t>
      </w:r>
      <w:r w:rsidR="0009565E" w:rsidRPr="00904033">
        <w:rPr>
          <w:sz w:val="20"/>
          <w:szCs w:val="20"/>
        </w:rPr>
        <w:t xml:space="preserve"> (29-30-31)</w:t>
      </w:r>
      <w:r w:rsidR="00692858" w:rsidRPr="00904033">
        <w:rPr>
          <w:sz w:val="20"/>
          <w:szCs w:val="20"/>
        </w:rPr>
        <w:t xml:space="preserve">. </w:t>
      </w:r>
    </w:p>
    <w:p w:rsidR="008B1E7B" w:rsidRPr="00904033" w:rsidRDefault="00692858" w:rsidP="00FD5EA3">
      <w:pPr>
        <w:bidi w:val="0"/>
        <w:snapToGrid w:val="0"/>
        <w:ind w:firstLine="425"/>
        <w:jc w:val="both"/>
        <w:rPr>
          <w:sz w:val="20"/>
          <w:szCs w:val="20"/>
        </w:rPr>
      </w:pPr>
      <w:r w:rsidRPr="00904033">
        <w:rPr>
          <w:sz w:val="20"/>
          <w:szCs w:val="20"/>
        </w:rPr>
        <w:t xml:space="preserve">Interestingly, </w:t>
      </w:r>
      <w:r w:rsidR="00D77671" w:rsidRPr="00904033">
        <w:rPr>
          <w:sz w:val="20"/>
          <w:szCs w:val="20"/>
        </w:rPr>
        <w:t>Abdel-Fatah et al</w:t>
      </w:r>
      <w:r w:rsidR="007B5B67" w:rsidRPr="00904033">
        <w:rPr>
          <w:sz w:val="20"/>
          <w:szCs w:val="20"/>
        </w:rPr>
        <w:t xml:space="preserve"> (37</w:t>
      </w:r>
      <w:r w:rsidR="00F5102E" w:rsidRPr="00904033">
        <w:rPr>
          <w:sz w:val="20"/>
          <w:szCs w:val="20"/>
        </w:rPr>
        <w:t>) found</w:t>
      </w:r>
      <w:r w:rsidRPr="00904033">
        <w:rPr>
          <w:sz w:val="20"/>
          <w:szCs w:val="20"/>
        </w:rPr>
        <w:t xml:space="preserve"> that </w:t>
      </w:r>
      <w:r w:rsidR="004B0114" w:rsidRPr="00904033">
        <w:rPr>
          <w:sz w:val="20"/>
          <w:szCs w:val="20"/>
        </w:rPr>
        <w:t xml:space="preserve">higher mitotic </w:t>
      </w:r>
      <w:r w:rsidR="00F5102E" w:rsidRPr="00904033">
        <w:rPr>
          <w:sz w:val="20"/>
          <w:szCs w:val="20"/>
        </w:rPr>
        <w:t>index was</w:t>
      </w:r>
      <w:r w:rsidR="004B0114" w:rsidRPr="00904033">
        <w:rPr>
          <w:sz w:val="20"/>
          <w:szCs w:val="20"/>
        </w:rPr>
        <w:t xml:space="preserve"> associated with </w:t>
      </w:r>
      <w:r w:rsidRPr="00904033">
        <w:rPr>
          <w:sz w:val="20"/>
          <w:szCs w:val="20"/>
        </w:rPr>
        <w:t>loss</w:t>
      </w:r>
      <w:r w:rsidR="00ED396F" w:rsidRPr="00904033">
        <w:rPr>
          <w:sz w:val="20"/>
          <w:szCs w:val="20"/>
        </w:rPr>
        <w:t xml:space="preserve"> </w:t>
      </w:r>
      <w:r w:rsidRPr="00904033">
        <w:rPr>
          <w:sz w:val="20"/>
          <w:szCs w:val="20"/>
        </w:rPr>
        <w:t xml:space="preserve">of Bcl2 in TNBC </w:t>
      </w:r>
      <w:r w:rsidR="004B0114" w:rsidRPr="00904033">
        <w:rPr>
          <w:sz w:val="20"/>
          <w:szCs w:val="20"/>
        </w:rPr>
        <w:t>and also accompanied with</w:t>
      </w:r>
      <w:r w:rsidRPr="00904033">
        <w:rPr>
          <w:sz w:val="20"/>
          <w:szCs w:val="20"/>
        </w:rPr>
        <w:t xml:space="preserve"> low</w:t>
      </w:r>
      <w:r w:rsidR="008B1E7B" w:rsidRPr="00904033">
        <w:rPr>
          <w:sz w:val="20"/>
          <w:szCs w:val="20"/>
        </w:rPr>
        <w:t xml:space="preserve"> </w:t>
      </w:r>
      <w:r w:rsidRPr="00904033">
        <w:rPr>
          <w:sz w:val="20"/>
          <w:szCs w:val="20"/>
        </w:rPr>
        <w:t xml:space="preserve">levels of </w:t>
      </w:r>
      <w:r w:rsidR="004B0114" w:rsidRPr="00904033">
        <w:rPr>
          <w:sz w:val="20"/>
          <w:szCs w:val="20"/>
        </w:rPr>
        <w:t>MDM4 (p53-inhibitory factor</w:t>
      </w:r>
      <w:r w:rsidR="00F5102E" w:rsidRPr="00904033">
        <w:rPr>
          <w:sz w:val="20"/>
          <w:szCs w:val="20"/>
        </w:rPr>
        <w:t>), p</w:t>
      </w:r>
      <w:r w:rsidRPr="00904033">
        <w:rPr>
          <w:sz w:val="20"/>
          <w:szCs w:val="20"/>
        </w:rPr>
        <w:t>27 (G0/G1 check protein), and SPAG5 which is essential for cell cycle progression</w:t>
      </w:r>
      <w:r w:rsidR="008B1E7B" w:rsidRPr="00904033">
        <w:rPr>
          <w:sz w:val="20"/>
          <w:szCs w:val="20"/>
        </w:rPr>
        <w:t xml:space="preserve"> </w:t>
      </w:r>
      <w:r w:rsidRPr="00904033">
        <w:rPr>
          <w:sz w:val="20"/>
          <w:szCs w:val="20"/>
        </w:rPr>
        <w:t xml:space="preserve">and fidelity of chromosomal </w:t>
      </w:r>
      <w:r w:rsidR="00F5102E" w:rsidRPr="00904033">
        <w:rPr>
          <w:sz w:val="20"/>
          <w:szCs w:val="20"/>
        </w:rPr>
        <w:t>separation.</w:t>
      </w:r>
      <w:r w:rsidR="007726DC" w:rsidRPr="00904033">
        <w:rPr>
          <w:sz w:val="20"/>
          <w:szCs w:val="20"/>
        </w:rPr>
        <w:t xml:space="preserve"> </w:t>
      </w:r>
    </w:p>
    <w:p w:rsidR="00BC5239" w:rsidRPr="00904033" w:rsidRDefault="00E32B92" w:rsidP="00FD5EA3">
      <w:pPr>
        <w:bidi w:val="0"/>
        <w:snapToGrid w:val="0"/>
        <w:ind w:firstLine="425"/>
        <w:jc w:val="both"/>
        <w:rPr>
          <w:sz w:val="20"/>
          <w:szCs w:val="20"/>
        </w:rPr>
      </w:pPr>
      <w:r w:rsidRPr="00904033">
        <w:rPr>
          <w:sz w:val="20"/>
          <w:szCs w:val="20"/>
        </w:rPr>
        <w:t>In conclusion,</w:t>
      </w:r>
      <w:r w:rsidR="00C37099" w:rsidRPr="00904033">
        <w:rPr>
          <w:sz w:val="20"/>
          <w:szCs w:val="20"/>
        </w:rPr>
        <w:t xml:space="preserve"> our study</w:t>
      </w:r>
      <w:r w:rsidRPr="00904033">
        <w:rPr>
          <w:sz w:val="20"/>
          <w:szCs w:val="20"/>
        </w:rPr>
        <w:t xml:space="preserve"> </w:t>
      </w:r>
      <w:r w:rsidR="00C37099" w:rsidRPr="00904033">
        <w:rPr>
          <w:sz w:val="20"/>
          <w:szCs w:val="20"/>
        </w:rPr>
        <w:t xml:space="preserve">showed that </w:t>
      </w:r>
      <w:r w:rsidR="00667F21" w:rsidRPr="00904033">
        <w:rPr>
          <w:sz w:val="20"/>
          <w:szCs w:val="20"/>
        </w:rPr>
        <w:t>BCL</w:t>
      </w:r>
      <w:r w:rsidR="001B3D1C" w:rsidRPr="00904033">
        <w:rPr>
          <w:sz w:val="20"/>
          <w:szCs w:val="20"/>
        </w:rPr>
        <w:t xml:space="preserve">2 could </w:t>
      </w:r>
      <w:r w:rsidR="00E877EC" w:rsidRPr="00904033">
        <w:rPr>
          <w:sz w:val="20"/>
          <w:szCs w:val="20"/>
        </w:rPr>
        <w:t xml:space="preserve">have </w:t>
      </w:r>
      <w:r w:rsidR="00E91A44" w:rsidRPr="00904033">
        <w:rPr>
          <w:sz w:val="20"/>
          <w:szCs w:val="20"/>
        </w:rPr>
        <w:t>a prognostic</w:t>
      </w:r>
      <w:r w:rsidR="001B3D1C" w:rsidRPr="00904033">
        <w:rPr>
          <w:sz w:val="20"/>
          <w:szCs w:val="20"/>
        </w:rPr>
        <w:t xml:space="preserve"> and predictive </w:t>
      </w:r>
      <w:r w:rsidR="00E91A44" w:rsidRPr="00904033">
        <w:rPr>
          <w:sz w:val="20"/>
          <w:szCs w:val="20"/>
        </w:rPr>
        <w:t>significance in</w:t>
      </w:r>
      <w:r w:rsidR="001B3D1C" w:rsidRPr="00904033">
        <w:rPr>
          <w:sz w:val="20"/>
          <w:szCs w:val="20"/>
        </w:rPr>
        <w:t xml:space="preserve"> patients with TNBC </w:t>
      </w:r>
      <w:r w:rsidR="00596DE6" w:rsidRPr="00904033">
        <w:rPr>
          <w:sz w:val="20"/>
          <w:szCs w:val="20"/>
        </w:rPr>
        <w:t>a</w:t>
      </w:r>
      <w:r w:rsidR="00E877EC" w:rsidRPr="00904033">
        <w:rPr>
          <w:sz w:val="20"/>
          <w:szCs w:val="20"/>
        </w:rPr>
        <w:t xml:space="preserve">nd </w:t>
      </w:r>
      <w:r w:rsidR="00C37099" w:rsidRPr="00904033">
        <w:rPr>
          <w:sz w:val="20"/>
          <w:szCs w:val="20"/>
        </w:rPr>
        <w:t>it appear</w:t>
      </w:r>
      <w:r w:rsidR="00596DE6" w:rsidRPr="00904033">
        <w:rPr>
          <w:sz w:val="20"/>
          <w:szCs w:val="20"/>
        </w:rPr>
        <w:t>s</w:t>
      </w:r>
      <w:r w:rsidRPr="00904033">
        <w:rPr>
          <w:sz w:val="20"/>
          <w:szCs w:val="20"/>
        </w:rPr>
        <w:t xml:space="preserve"> to be </w:t>
      </w:r>
      <w:r w:rsidR="00E877EC" w:rsidRPr="00904033">
        <w:rPr>
          <w:sz w:val="20"/>
          <w:szCs w:val="20"/>
        </w:rPr>
        <w:t>a useful marker</w:t>
      </w:r>
      <w:r w:rsidRPr="00904033">
        <w:rPr>
          <w:sz w:val="20"/>
          <w:szCs w:val="20"/>
        </w:rPr>
        <w:t xml:space="preserve"> of </w:t>
      </w:r>
      <w:r w:rsidR="006C1D33" w:rsidRPr="00904033">
        <w:rPr>
          <w:sz w:val="20"/>
          <w:szCs w:val="20"/>
        </w:rPr>
        <w:t>good</w:t>
      </w:r>
      <w:r w:rsidRPr="00904033">
        <w:rPr>
          <w:sz w:val="20"/>
          <w:szCs w:val="20"/>
        </w:rPr>
        <w:t xml:space="preserve"> prognosis in </w:t>
      </w:r>
      <w:r w:rsidR="006C1D33" w:rsidRPr="00904033">
        <w:rPr>
          <w:sz w:val="20"/>
          <w:szCs w:val="20"/>
        </w:rPr>
        <w:t>locally advanced TNBC who had residual disease after neoadjuvant</w:t>
      </w:r>
      <w:r w:rsidR="00330828" w:rsidRPr="00904033">
        <w:rPr>
          <w:sz w:val="20"/>
          <w:szCs w:val="20"/>
        </w:rPr>
        <w:t xml:space="preserve"> </w:t>
      </w:r>
      <w:r w:rsidR="006C1D33" w:rsidRPr="00904033">
        <w:rPr>
          <w:sz w:val="20"/>
          <w:szCs w:val="20"/>
        </w:rPr>
        <w:t xml:space="preserve">anthracycline and </w:t>
      </w:r>
      <w:r w:rsidR="00C37099" w:rsidRPr="00904033">
        <w:rPr>
          <w:sz w:val="20"/>
          <w:szCs w:val="20"/>
        </w:rPr>
        <w:t>taxanes based regimen</w:t>
      </w:r>
      <w:r w:rsidR="00596DE6" w:rsidRPr="00904033">
        <w:rPr>
          <w:sz w:val="20"/>
          <w:szCs w:val="20"/>
        </w:rPr>
        <w:t xml:space="preserve">. BCL2 also </w:t>
      </w:r>
      <w:r w:rsidRPr="00904033">
        <w:rPr>
          <w:sz w:val="20"/>
          <w:szCs w:val="20"/>
        </w:rPr>
        <w:t xml:space="preserve">can be used to detect cases with aggressive biological behavior </w:t>
      </w:r>
      <w:r w:rsidR="00596DE6" w:rsidRPr="00904033">
        <w:rPr>
          <w:sz w:val="20"/>
          <w:szCs w:val="20"/>
        </w:rPr>
        <w:t>who can</w:t>
      </w:r>
      <w:r w:rsidRPr="00904033">
        <w:rPr>
          <w:sz w:val="20"/>
          <w:szCs w:val="20"/>
        </w:rPr>
        <w:t xml:space="preserve"> benefit from more aggressive therapy. </w:t>
      </w:r>
      <w:r w:rsidR="00E91A44" w:rsidRPr="00904033">
        <w:rPr>
          <w:sz w:val="20"/>
          <w:szCs w:val="20"/>
        </w:rPr>
        <w:t>So routine assessment of BCL</w:t>
      </w:r>
      <w:r w:rsidR="006C1D33" w:rsidRPr="00904033">
        <w:rPr>
          <w:sz w:val="20"/>
          <w:szCs w:val="20"/>
        </w:rPr>
        <w:t xml:space="preserve">2 status in </w:t>
      </w:r>
      <w:r w:rsidR="00596DE6" w:rsidRPr="00904033">
        <w:rPr>
          <w:sz w:val="20"/>
          <w:szCs w:val="20"/>
        </w:rPr>
        <w:t>triple negative breast cancer</w:t>
      </w:r>
      <w:r w:rsidR="006C1D33" w:rsidRPr="00904033">
        <w:rPr>
          <w:sz w:val="20"/>
          <w:szCs w:val="20"/>
        </w:rPr>
        <w:t xml:space="preserve"> patients which may </w:t>
      </w:r>
      <w:r w:rsidR="00596DE6" w:rsidRPr="00904033">
        <w:rPr>
          <w:sz w:val="20"/>
          <w:szCs w:val="20"/>
        </w:rPr>
        <w:t>improve</w:t>
      </w:r>
      <w:r w:rsidR="006C1D33" w:rsidRPr="00904033">
        <w:rPr>
          <w:sz w:val="20"/>
          <w:szCs w:val="20"/>
        </w:rPr>
        <w:t xml:space="preserve"> the outcome, as a predictive </w:t>
      </w:r>
      <w:r w:rsidR="001B3D1C" w:rsidRPr="00904033">
        <w:rPr>
          <w:sz w:val="20"/>
          <w:szCs w:val="20"/>
        </w:rPr>
        <w:t xml:space="preserve">and prognostic </w:t>
      </w:r>
      <w:r w:rsidR="006C1D33" w:rsidRPr="00904033">
        <w:rPr>
          <w:sz w:val="20"/>
          <w:szCs w:val="20"/>
        </w:rPr>
        <w:t>factor</w:t>
      </w:r>
      <w:r w:rsidR="00255AE6" w:rsidRPr="00904033">
        <w:rPr>
          <w:sz w:val="20"/>
          <w:szCs w:val="20"/>
        </w:rPr>
        <w:t xml:space="preserve"> is </w:t>
      </w:r>
      <w:r w:rsidR="00E91A44" w:rsidRPr="00904033">
        <w:rPr>
          <w:sz w:val="20"/>
          <w:szCs w:val="20"/>
        </w:rPr>
        <w:t xml:space="preserve">recommended. </w:t>
      </w:r>
      <w:r w:rsidRPr="00904033">
        <w:rPr>
          <w:sz w:val="20"/>
          <w:szCs w:val="20"/>
        </w:rPr>
        <w:t>However, larger number of cases and longer follow up period are</w:t>
      </w:r>
      <w:r w:rsidR="00596DE6" w:rsidRPr="00904033">
        <w:rPr>
          <w:sz w:val="20"/>
          <w:szCs w:val="20"/>
        </w:rPr>
        <w:t xml:space="preserve"> required</w:t>
      </w:r>
      <w:r w:rsidRPr="00904033">
        <w:rPr>
          <w:sz w:val="20"/>
          <w:szCs w:val="20"/>
        </w:rPr>
        <w:t xml:space="preserve"> to confirm</w:t>
      </w:r>
      <w:r w:rsidR="00596DE6" w:rsidRPr="00904033">
        <w:rPr>
          <w:sz w:val="20"/>
          <w:szCs w:val="20"/>
        </w:rPr>
        <w:t xml:space="preserve"> our results</w:t>
      </w:r>
      <w:r w:rsidR="00330828" w:rsidRPr="00904033">
        <w:rPr>
          <w:sz w:val="20"/>
          <w:szCs w:val="20"/>
        </w:rPr>
        <w:t xml:space="preserve"> </w:t>
      </w:r>
      <w:r w:rsidRPr="00904033">
        <w:rPr>
          <w:sz w:val="20"/>
          <w:szCs w:val="20"/>
        </w:rPr>
        <w:t>in a multivariate analysis.</w:t>
      </w:r>
    </w:p>
    <w:p w:rsidR="008B3DD4" w:rsidRPr="00904033" w:rsidRDefault="008B3DD4" w:rsidP="00FD5EA3">
      <w:pPr>
        <w:bidi w:val="0"/>
        <w:snapToGrid w:val="0"/>
        <w:jc w:val="both"/>
        <w:rPr>
          <w:b/>
          <w:bCs/>
          <w:sz w:val="20"/>
          <w:szCs w:val="20"/>
          <w:lang w:bidi="ar-EG"/>
        </w:rPr>
      </w:pPr>
    </w:p>
    <w:p w:rsidR="00433F70" w:rsidRPr="00904033" w:rsidRDefault="008B3DD4" w:rsidP="00FD5EA3">
      <w:pPr>
        <w:bidi w:val="0"/>
        <w:snapToGrid w:val="0"/>
        <w:jc w:val="both"/>
        <w:rPr>
          <w:b/>
          <w:bCs/>
          <w:sz w:val="20"/>
          <w:szCs w:val="20"/>
          <w:lang w:bidi="ar-EG"/>
        </w:rPr>
      </w:pPr>
      <w:r w:rsidRPr="00904033">
        <w:rPr>
          <w:b/>
          <w:bCs/>
          <w:sz w:val="20"/>
          <w:szCs w:val="20"/>
          <w:lang w:bidi="ar-EG"/>
        </w:rPr>
        <w:t>References</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Siegel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Zou</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Z,</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Jemal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statistics,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2014.</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2014;</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64(1):9–29.</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Abramson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VG1,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Lehmann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Ballinger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Pietenpol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Subtyping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triple-negative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implications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therapy.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2015;</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121(1):8-16.</w:t>
      </w:r>
      <w:r w:rsidR="00330828" w:rsidRPr="00904033">
        <w:rPr>
          <w:rFonts w:ascii="Times New Roman" w:hAnsi="Times New Roman" w:cs="Times New Roman"/>
          <w:sz w:val="20"/>
          <w:szCs w:val="20"/>
        </w:rPr>
        <w:t xml:space="preserve"> </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Cheang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Martin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Nielsen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Quantitative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hormone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receptors,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triple-negative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(TNBC),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molecular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subtypes: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collaborative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effort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BIG-NCI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NABCG.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Oncol.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30(Suppl)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abstr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1008.</w:t>
      </w:r>
      <w:r w:rsidR="00330828" w:rsidRPr="00904033">
        <w:rPr>
          <w:rFonts w:ascii="Times New Roman" w:hAnsi="Times New Roman" w:cs="Times New Roman"/>
          <w:sz w:val="20"/>
          <w:szCs w:val="20"/>
        </w:rPr>
        <w:t xml:space="preserve"> </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Lehmann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Pietenpol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Triple-negative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molecular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subtypes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lastRenderedPageBreak/>
        <w:t>new</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targets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therapy.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Soc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Oncol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Educ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Book.</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2015;</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35:e31-9.</w:t>
      </w:r>
    </w:p>
    <w:p w:rsidR="00330828"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Beca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Santos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Vieira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Primary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relapse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site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pattern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women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triple-negative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Pathol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Pract.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2014</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Sep;</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210(9):571-5.</w:t>
      </w:r>
    </w:p>
    <w:p w:rsidR="00433F70" w:rsidRPr="00904033" w:rsidRDefault="00330828"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O</w:t>
      </w:r>
      <w:r w:rsidR="00433F70" w:rsidRPr="00904033">
        <w:rPr>
          <w:rFonts w:ascii="Times New Roman" w:hAnsi="Times New Roman" w:cs="Times New Roman"/>
          <w:sz w:val="20"/>
          <w:szCs w:val="20"/>
        </w:rPr>
        <w:t>ssovskaya</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V,</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Wang</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Y,</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Budoff</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et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al.</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Exploring</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molecular</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pathways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of</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triple</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negativ</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breast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cancer.</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Genes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Cancer</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2011;</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2:</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870–879.</w:t>
      </w:r>
      <w:r w:rsidRPr="00904033">
        <w:rPr>
          <w:rFonts w:ascii="Times New Roman" w:hAnsi="Times New Roman" w:cs="Times New Roman"/>
          <w:sz w:val="20"/>
          <w:szCs w:val="20"/>
        </w:rPr>
        <w:t xml:space="preserve"> </w:t>
      </w:r>
    </w:p>
    <w:p w:rsidR="00330828"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Brouckaert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Wildiers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Floris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Update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triple-negative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prognosis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management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strategies.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Womens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Health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4:</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511–520.</w:t>
      </w:r>
    </w:p>
    <w:p w:rsidR="00433F70" w:rsidRPr="00904033" w:rsidRDefault="00330828"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A</w:t>
      </w:r>
      <w:r w:rsidR="00433F70" w:rsidRPr="00904033">
        <w:rPr>
          <w:rFonts w:ascii="Times New Roman" w:hAnsi="Times New Roman" w:cs="Times New Roman"/>
          <w:sz w:val="20"/>
          <w:szCs w:val="20"/>
        </w:rPr>
        <w:t>mos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KD,</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Adamo</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B,</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Anders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CK.</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Triple-negative</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breast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cancer:</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an</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update</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on</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neoadjuvant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clinical</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trials.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Int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J</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Breast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Cancer</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2012;</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2012:</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385978.</w:t>
      </w:r>
    </w:p>
    <w:p w:rsidR="0097098F"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FRANCESCHINI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TERRIBILE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MAGNO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FABBRI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D’ALBA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CHIESA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LEONE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MASETTI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(2007):</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Update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treatment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locally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advanced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multidisciplinary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approach.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European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Review</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Medical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Pharmacological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Sciences;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283-28</w:t>
      </w:r>
      <w:r w:rsidR="0097098F" w:rsidRPr="00904033">
        <w:rPr>
          <w:rFonts w:ascii="Times New Roman" w:hAnsi="Times New Roman" w:cs="Times New Roman"/>
          <w:sz w:val="20"/>
          <w:szCs w:val="20"/>
        </w:rPr>
        <w:t>9.</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Barrans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Crouch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Smith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Rearrangement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MYC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associated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poor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prognosis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patients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diffuse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large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B-cell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lymphoma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treated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era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rituximab.</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Oncol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2010;</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28:</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3360–3365.</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8.</w:t>
      </w:r>
      <w:r w:rsidR="00330828" w:rsidRPr="00904033">
        <w:rPr>
          <w:rFonts w:ascii="Times New Roman" w:hAnsi="Times New Roman" w:cs="Times New Roman"/>
          <w:sz w:val="20"/>
          <w:szCs w:val="20"/>
        </w:rPr>
        <w:t xml:space="preserve"> </w:t>
      </w:r>
    </w:p>
    <w:p w:rsidR="00330828"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Callagy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Pharoah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Pinder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prognostic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marker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independently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Nottingham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Prognostic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Index.</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2006;12: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2468–2475.</w:t>
      </w:r>
    </w:p>
    <w:p w:rsidR="00433F70" w:rsidRPr="00904033" w:rsidRDefault="00330828"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D</w:t>
      </w:r>
      <w:r w:rsidR="00433F70" w:rsidRPr="00904033">
        <w:rPr>
          <w:rFonts w:ascii="Times New Roman" w:hAnsi="Times New Roman" w:cs="Times New Roman"/>
          <w:sz w:val="20"/>
          <w:szCs w:val="20"/>
        </w:rPr>
        <w:t>awson</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SJ,</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Makretsov</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N,</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Blows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FM</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et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al.</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BCL2</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in</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breast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cancer:</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favourable</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prognostic</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marker</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across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molecular</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subtypes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and</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independent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of</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adjuvant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therapy</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received.</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Br</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J</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Cancer</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2010;</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103:</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668–675.</w:t>
      </w:r>
      <w:r w:rsidRPr="00904033">
        <w:rPr>
          <w:rFonts w:ascii="Times New Roman" w:hAnsi="Times New Roman" w:cs="Times New Roman"/>
          <w:sz w:val="20"/>
          <w:szCs w:val="20"/>
        </w:rPr>
        <w:t xml:space="preserve"> </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van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Slooten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Vijver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Velde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Loss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invasive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associated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high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rates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cell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death,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but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also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increased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proliferative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activity.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1998;</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77:</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789–796.</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Abdel-Fatah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Powe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Ball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Proposal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modified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grading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system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based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mitotic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index</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provides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objective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determination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clinical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outcome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patients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Pathol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2010;</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222:388–399.</w:t>
      </w:r>
      <w:r w:rsidR="00330828" w:rsidRPr="00904033">
        <w:rPr>
          <w:rFonts w:ascii="Times New Roman" w:hAnsi="Times New Roman" w:cs="Times New Roman"/>
          <w:sz w:val="20"/>
          <w:szCs w:val="20"/>
        </w:rPr>
        <w:t xml:space="preserve"> </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Gasparini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Barbareschi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Doglioni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Expression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protein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predicts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efficacy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adjuvant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treatments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operable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node-positive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1995;</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189–198.</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O'Toole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Golden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(1991):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Evaluating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patients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rehabilitation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potential.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West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155:</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384-387.</w:t>
      </w:r>
    </w:p>
    <w:p w:rsidR="0097098F"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lastRenderedPageBreak/>
        <w:t>NCI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Common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Terminology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Criteria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Adverse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Events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v3.0</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(CTCAE)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http://ctep.cancer.gov/protocoldevelopment/electronic_applications/docs/ctcaev3.pdf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Therapy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Evaluation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Program,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Common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Terminology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Criteria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Adverse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Events,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Version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3.0,</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DCTD,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NCI,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NIH,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DHHS.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March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31,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w:t>
      </w:r>
      <w:r w:rsidR="0097098F" w:rsidRPr="00904033">
        <w:rPr>
          <w:rFonts w:ascii="Times New Roman" w:hAnsi="Times New Roman" w:cs="Times New Roman"/>
          <w:sz w:val="20"/>
          <w:szCs w:val="20"/>
        </w:rPr>
        <w:t>3.</w:t>
      </w:r>
    </w:p>
    <w:p w:rsidR="0097098F"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Tavassoli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Devilee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(2003):</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World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Health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Organization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Classification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Tumors: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Pathology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Genetics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Tumors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Female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Genital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Organs.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IARC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Press: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Lyon,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France,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2003.</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22</w:t>
      </w:r>
      <w:r w:rsidR="0097098F" w:rsidRPr="00904033">
        <w:rPr>
          <w:rFonts w:ascii="Times New Roman" w:hAnsi="Times New Roman" w:cs="Times New Roman"/>
          <w:sz w:val="20"/>
          <w:szCs w:val="20"/>
        </w:rPr>
        <w:t>-.</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Alis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Dema1,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Simona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Dragan2,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Elena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Lazar1,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Danina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Munteanu3,</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Sorina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Taban1,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Codruta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Lazureanu1,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Traila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Nicola4</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(2008):</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EXPRESSION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CARCINOMAS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POSTMENOPAUSAL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WOMEN: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TMJ,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58,</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3</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4.</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Kaplan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Meier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(1958):</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Nonparametric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estimation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from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incomplete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observations.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Stat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Assoc.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53:</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457-481.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Hinnis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Luckett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JCA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Walker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(2007):</w:t>
      </w:r>
      <w:r w:rsidR="0097098F" w:rsidRPr="00904033">
        <w:rPr>
          <w:rFonts w:ascii="Times New Roman" w:eastAsiaTheme="minorEastAsia" w:hAnsi="Times New Roman" w:cs="Times New Roman" w:hint="eastAsia"/>
          <w:sz w:val="20"/>
          <w:szCs w:val="20"/>
          <w:lang w:eastAsia="zh-CN"/>
        </w:rPr>
        <w:t xml:space="preserve"> </w:t>
      </w:r>
      <w:r w:rsidR="00330828" w:rsidRPr="00904033">
        <w:rPr>
          <w:rFonts w:ascii="Times New Roman" w:hAnsi="Times New Roman" w:cs="Times New Roman"/>
          <w:sz w:val="20"/>
          <w:szCs w:val="20"/>
        </w:rPr>
        <w:t>S</w:t>
      </w:r>
      <w:r w:rsidRPr="00904033">
        <w:rPr>
          <w:rFonts w:ascii="Times New Roman" w:hAnsi="Times New Roman" w:cs="Times New Roman"/>
          <w:sz w:val="20"/>
          <w:szCs w:val="20"/>
        </w:rPr>
        <w:t>urvivin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independent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predictor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short-term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survival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poor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prognostic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patients.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96:</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639</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645.</w:t>
      </w:r>
    </w:p>
    <w:p w:rsidR="00330828"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Bauer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KR,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Brown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Cress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Parise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Caggiano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Descriptive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analysis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estrogen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receptor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(ER)-negative,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progesterone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receptor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HER2-negative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invasive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so-called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triple-negative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phenotype: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population-based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study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from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California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Registry.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2007;</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109</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(9):1721–8.</w:t>
      </w:r>
    </w:p>
    <w:p w:rsidR="00433F70" w:rsidRPr="00904033" w:rsidRDefault="00330828"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B</w:t>
      </w:r>
      <w:r w:rsidR="00433F70" w:rsidRPr="00904033">
        <w:rPr>
          <w:rFonts w:ascii="Times New Roman" w:hAnsi="Times New Roman" w:cs="Times New Roman"/>
          <w:sz w:val="20"/>
          <w:szCs w:val="20"/>
        </w:rPr>
        <w:t>rouckaert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O,</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Wildiers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H,</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Floris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G</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et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al.</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Update</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on</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triple-negative</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breast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cancer:</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prognosis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and</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management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strategies.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Int</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J</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Womens</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Health</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2012;</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4:</w:t>
      </w:r>
      <w:r w:rsidRPr="00904033">
        <w:rPr>
          <w:rFonts w:ascii="Times New Roman" w:hAnsi="Times New Roman" w:cs="Times New Roman"/>
          <w:sz w:val="20"/>
          <w:szCs w:val="20"/>
        </w:rPr>
        <w:t xml:space="preserve"> </w:t>
      </w:r>
      <w:r w:rsidR="00433F70" w:rsidRPr="00904033">
        <w:rPr>
          <w:rFonts w:ascii="Times New Roman" w:hAnsi="Times New Roman" w:cs="Times New Roman"/>
          <w:sz w:val="20"/>
          <w:szCs w:val="20"/>
        </w:rPr>
        <w:t>511–520.</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Carey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Sawyer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Gatti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Moore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Collichio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triple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paradox:</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primary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tumor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chemosensitivity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subtypes.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2007;</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13:2329–34.</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Metzger-Filho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Tutt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Azambuja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Saini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KS,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Viale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Loi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Dissecting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heterogeneity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triple-negative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Oncol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30</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(15):1879–87.</w:t>
      </w:r>
      <w:r w:rsidR="00330828" w:rsidRPr="00904033">
        <w:rPr>
          <w:rFonts w:ascii="Times New Roman" w:hAnsi="Times New Roman" w:cs="Times New Roman"/>
          <w:sz w:val="20"/>
          <w:szCs w:val="20"/>
        </w:rPr>
        <w:t xml:space="preserve"> </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Rouzier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Perou</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Symmans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Ibrahim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Cristofanilli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Anderson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K,</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molecular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subtypes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respond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differently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preoperative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chemotherapy.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2005;</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5678–85.</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Wang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Shi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Ling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Xia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Luo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Fu</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X,</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Adjuvant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chemotherapy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radiotherapy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triple-negative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carcinoma: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prospective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lastRenderedPageBreak/>
        <w:t>randomized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controlled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multi-center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Radiother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Oncol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2011;</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100</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200–4.</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von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Minckwitz</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Sinn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HP,</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Raab</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Clinical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response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after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two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cycles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compared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HER2,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Ki-67,</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p53,</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independently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predicting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pathological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complete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response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after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preoperative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chemotherapy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patients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operable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carcinoma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2008;</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10:</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R30.</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Sierra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Castellsague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X,</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Escobedo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loss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apoptosis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allows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accumulation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genetic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alterations: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pathway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metastatic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progression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human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2000;</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89:</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142–147.</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O’Reilly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Huang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Strasser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cell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death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inhibitor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homologues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influence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control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cell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cycle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entry.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EMBO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1996;</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15:</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6979–6990.</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van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Slooten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Vijver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Velde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Loss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invasive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associated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high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rates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cell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death,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but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also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increased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proliferative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activity.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1998;</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77:</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789–796.</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Callagy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Pharoah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Pinder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prognostic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marker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independently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Nottingham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Prognostic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Index.</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2006;</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2468–2475.</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Dawson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Makretsov</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Blows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favourable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prognostic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lastRenderedPageBreak/>
        <w:t>marker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across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molecular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subtypes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independent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adjuvant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therapy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received.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2010;</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103:</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668–675.</w:t>
      </w:r>
      <w:r w:rsidR="00330828" w:rsidRPr="00904033">
        <w:rPr>
          <w:rFonts w:ascii="Times New Roman" w:hAnsi="Times New Roman" w:cs="Times New Roman"/>
          <w:sz w:val="20"/>
          <w:szCs w:val="20"/>
        </w:rPr>
        <w:t xml:space="preserve"> </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Abdel-Fatah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Powe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Ball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Proposal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modified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grading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system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based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mitotic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index</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provides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objective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determination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clinical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outcome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for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patients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with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Pathol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2010;</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222:388–399.</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Ali</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Dawson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Blows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Ki67/BCL2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index</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based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immunohistochemistry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highly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prognostic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ER-positive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J</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Pathol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226:</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97–107.</w:t>
      </w:r>
      <w:r w:rsidR="00330828" w:rsidRPr="00904033">
        <w:rPr>
          <w:rFonts w:ascii="Times New Roman" w:hAnsi="Times New Roman" w:cs="Times New Roman"/>
          <w:sz w:val="20"/>
          <w:szCs w:val="20"/>
        </w:rPr>
        <w:t xml:space="preserve"> </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04033">
        <w:rPr>
          <w:rFonts w:ascii="Times New Roman" w:hAnsi="Times New Roman" w:cs="Times New Roman"/>
          <w:sz w:val="20"/>
          <w:szCs w:val="20"/>
        </w:rPr>
        <w:t>Tawfik</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K,</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Kimler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Davis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MK,</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Tawfik</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Prognostic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significance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invasive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mammary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carcinomas: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comparative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clinicopathologic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study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between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“triple-negative”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non-”triple-negative”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tumors.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Hum</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Pathol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43(1):23–30.</w:t>
      </w:r>
    </w:p>
    <w:p w:rsidR="00433F70" w:rsidRPr="00904033" w:rsidRDefault="00433F70" w:rsidP="00FD5EA3">
      <w:pPr>
        <w:pStyle w:val="ListParagraph"/>
        <w:numPr>
          <w:ilvl w:val="0"/>
          <w:numId w:val="11"/>
        </w:numPr>
        <w:snapToGrid w:val="0"/>
        <w:spacing w:after="0" w:line="240" w:lineRule="auto"/>
        <w:ind w:left="425" w:hanging="425"/>
        <w:jc w:val="both"/>
        <w:rPr>
          <w:rFonts w:ascii="Times New Roman" w:hAnsi="Times New Roman" w:cs="Times New Roman"/>
          <w:sz w:val="20"/>
          <w:szCs w:val="20"/>
          <w:lang w:bidi="ar-EG"/>
        </w:rPr>
      </w:pPr>
      <w:r w:rsidRPr="00904033">
        <w:rPr>
          <w:rFonts w:ascii="Times New Roman" w:hAnsi="Times New Roman" w:cs="Times New Roman"/>
          <w:sz w:val="20"/>
          <w:szCs w:val="20"/>
        </w:rPr>
        <w:t>Abdel-Fatah</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TMA,</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Perry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Dickinson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Ball</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G,</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Moseley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Madhusudan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Ellis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IO</w:t>
      </w:r>
      <w:r w:rsidR="00330828" w:rsidRPr="00904033">
        <w:rPr>
          <w:rFonts w:ascii="Times New Roman" w:hAnsi="Times New Roman" w:cs="Times New Roman"/>
          <w:sz w:val="20"/>
          <w:szCs w:val="20"/>
        </w:rPr>
        <w:t xml:space="preserve"> &amp; </w:t>
      </w:r>
      <w:r w:rsidRPr="00904033">
        <w:rPr>
          <w:rFonts w:ascii="Times New Roman" w:hAnsi="Times New Roman" w:cs="Times New Roman"/>
          <w:sz w:val="20"/>
          <w:szCs w:val="20"/>
        </w:rPr>
        <w:t>Chan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SYT.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Bcl2</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independent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prognostic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marker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triple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negative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breast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cancer</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(TNBC)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predicts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response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to</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anthracycline</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combination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(ATC)</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chemotherapy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(CT)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in</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adjuvant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and</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neoadjuvant</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settings.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Annals</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of</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Oncology</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2013:</w:t>
      </w:r>
      <w:r w:rsidR="00330828" w:rsidRPr="00904033">
        <w:rPr>
          <w:rFonts w:ascii="Times New Roman" w:hAnsi="Times New Roman" w:cs="Times New Roman"/>
          <w:sz w:val="20"/>
          <w:szCs w:val="20"/>
        </w:rPr>
        <w:t xml:space="preserve"> </w:t>
      </w:r>
      <w:r w:rsidRPr="00904033">
        <w:rPr>
          <w:rFonts w:ascii="Times New Roman" w:hAnsi="Times New Roman" w:cs="Times New Roman"/>
          <w:sz w:val="20"/>
          <w:szCs w:val="20"/>
        </w:rPr>
        <w:t>1–7.</w:t>
      </w:r>
    </w:p>
    <w:p w:rsidR="00FD5EA3" w:rsidRPr="00904033" w:rsidRDefault="00FD5EA3" w:rsidP="00FD5EA3">
      <w:pPr>
        <w:bidi w:val="0"/>
        <w:snapToGrid w:val="0"/>
        <w:ind w:left="425" w:hanging="425"/>
        <w:jc w:val="both"/>
        <w:rPr>
          <w:sz w:val="20"/>
          <w:szCs w:val="20"/>
        </w:rPr>
        <w:sectPr w:rsidR="00FD5EA3" w:rsidRPr="00904033" w:rsidSect="00FD5EA3">
          <w:type w:val="continuous"/>
          <w:pgSz w:w="12240" w:h="15840"/>
          <w:pgMar w:top="1440" w:right="1440" w:bottom="1440" w:left="1440" w:header="720" w:footer="720" w:gutter="0"/>
          <w:cols w:num="2" w:space="600"/>
          <w:rtlGutter/>
          <w:docGrid w:linePitch="360"/>
        </w:sectPr>
      </w:pPr>
    </w:p>
    <w:p w:rsidR="00433F70" w:rsidRPr="00904033" w:rsidRDefault="00433F70" w:rsidP="00FD5EA3">
      <w:pPr>
        <w:bidi w:val="0"/>
        <w:snapToGrid w:val="0"/>
        <w:ind w:left="425" w:hanging="425"/>
        <w:jc w:val="both"/>
        <w:rPr>
          <w:sz w:val="20"/>
          <w:szCs w:val="20"/>
        </w:rPr>
      </w:pPr>
    </w:p>
    <w:p w:rsidR="00433F70" w:rsidRPr="00904033" w:rsidRDefault="00433F70" w:rsidP="00FD5EA3">
      <w:pPr>
        <w:bidi w:val="0"/>
        <w:snapToGrid w:val="0"/>
        <w:ind w:left="425" w:hanging="425"/>
        <w:jc w:val="both"/>
        <w:rPr>
          <w:sz w:val="20"/>
          <w:szCs w:val="20"/>
        </w:rPr>
      </w:pPr>
    </w:p>
    <w:p w:rsidR="00330828" w:rsidRPr="00904033" w:rsidRDefault="00330828" w:rsidP="00FD5EA3">
      <w:pPr>
        <w:bidi w:val="0"/>
        <w:snapToGrid w:val="0"/>
        <w:ind w:firstLine="425"/>
        <w:jc w:val="both"/>
        <w:rPr>
          <w:sz w:val="20"/>
          <w:szCs w:val="20"/>
          <w:lang w:bidi="ar-EG"/>
        </w:rPr>
      </w:pPr>
    </w:p>
    <w:p w:rsidR="00433F70" w:rsidRPr="00904033" w:rsidRDefault="00330828" w:rsidP="00FD5EA3">
      <w:pPr>
        <w:bidi w:val="0"/>
        <w:snapToGrid w:val="0"/>
        <w:jc w:val="both"/>
        <w:rPr>
          <w:sz w:val="20"/>
          <w:szCs w:val="20"/>
          <w:lang w:bidi="ar-EG"/>
        </w:rPr>
      </w:pPr>
      <w:r w:rsidRPr="00904033">
        <w:rPr>
          <w:sz w:val="20"/>
          <w:szCs w:val="20"/>
          <w:lang w:bidi="ar-EG"/>
        </w:rPr>
        <w:t>3/17/2020</w:t>
      </w:r>
    </w:p>
    <w:sectPr w:rsidR="00433F70" w:rsidRPr="00904033" w:rsidSect="00330828">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0CC" w:rsidRDefault="003F40CC">
      <w:r>
        <w:separator/>
      </w:r>
    </w:p>
  </w:endnote>
  <w:endnote w:type="continuationSeparator" w:id="0">
    <w:p w:rsidR="003F40CC" w:rsidRDefault="003F4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A3" w:rsidRPr="0059513B" w:rsidRDefault="00D41FF7" w:rsidP="0059513B">
    <w:pPr>
      <w:bidi w:val="0"/>
      <w:jc w:val="center"/>
      <w:rPr>
        <w:sz w:val="20"/>
      </w:rPr>
    </w:pPr>
    <w:r w:rsidRPr="0059513B">
      <w:rPr>
        <w:sz w:val="20"/>
      </w:rPr>
      <w:fldChar w:fldCharType="begin"/>
    </w:r>
    <w:r w:rsidR="0059513B" w:rsidRPr="0059513B">
      <w:rPr>
        <w:sz w:val="20"/>
      </w:rPr>
      <w:instrText xml:space="preserve"> page </w:instrText>
    </w:r>
    <w:r w:rsidRPr="0059513B">
      <w:rPr>
        <w:sz w:val="20"/>
      </w:rPr>
      <w:fldChar w:fldCharType="separate"/>
    </w:r>
    <w:r w:rsidR="004212D3">
      <w:rPr>
        <w:noProof/>
        <w:sz w:val="20"/>
      </w:rPr>
      <w:t>68</w:t>
    </w:r>
    <w:r w:rsidRPr="0059513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0CC" w:rsidRDefault="003F40CC">
      <w:r>
        <w:separator/>
      </w:r>
    </w:p>
  </w:footnote>
  <w:footnote w:type="continuationSeparator" w:id="0">
    <w:p w:rsidR="003F40CC" w:rsidRDefault="003F4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3B" w:rsidRPr="0059513B" w:rsidRDefault="00D41FF7" w:rsidP="0059513B">
    <w:pPr>
      <w:tabs>
        <w:tab w:val="left" w:pos="851"/>
        <w:tab w:val="right" w:pos="8364"/>
      </w:tabs>
      <w:bidi w:val="0"/>
      <w:adjustRightInd w:val="0"/>
      <w:snapToGrid w:val="0"/>
      <w:jc w:val="both"/>
      <w:rPr>
        <w:sz w:val="20"/>
        <w:szCs w:val="20"/>
      </w:rPr>
    </w:pPr>
    <w:r w:rsidRPr="00D41FF7">
      <w:rPr>
        <w:iCs/>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7.7pt;height:62pt">
          <v:imagedata r:id="rId1" o:title="Mslndlogo-cb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37" w:rsidRPr="0059513B" w:rsidRDefault="00EF3B37" w:rsidP="0059513B">
    <w:pPr>
      <w:pBdr>
        <w:bottom w:val="thinThickMediumGap" w:sz="12" w:space="1" w:color="auto"/>
      </w:pBdr>
      <w:tabs>
        <w:tab w:val="left" w:pos="851"/>
        <w:tab w:val="right" w:pos="8364"/>
      </w:tabs>
      <w:bidi w:val="0"/>
      <w:adjustRightInd w:val="0"/>
      <w:snapToGrid w:val="0"/>
      <w:jc w:val="both"/>
      <w:rPr>
        <w:iCs/>
        <w:color w:val="0000FF"/>
        <w:sz w:val="20"/>
      </w:rPr>
    </w:pPr>
    <w:r w:rsidRPr="0059513B">
      <w:rPr>
        <w:rFonts w:hint="eastAsia"/>
        <w:iCs/>
        <w:color w:val="000000"/>
        <w:sz w:val="20"/>
      </w:rPr>
      <w:tab/>
    </w:r>
    <w:r w:rsidRPr="0059513B">
      <w:rPr>
        <w:iCs/>
        <w:color w:val="000000"/>
        <w:sz w:val="20"/>
      </w:rPr>
      <w:t xml:space="preserve">Cancer Biology </w:t>
    </w:r>
    <w:r w:rsidRPr="0059513B">
      <w:rPr>
        <w:iCs/>
        <w:sz w:val="20"/>
      </w:rPr>
      <w:t>20</w:t>
    </w:r>
    <w:r w:rsidRPr="0059513B">
      <w:rPr>
        <w:rFonts w:hint="eastAsia"/>
        <w:iCs/>
        <w:sz w:val="20"/>
      </w:rPr>
      <w:t>20</w:t>
    </w:r>
    <w:r w:rsidRPr="0059513B">
      <w:rPr>
        <w:iCs/>
        <w:sz w:val="20"/>
      </w:rPr>
      <w:t>;</w:t>
    </w:r>
    <w:r w:rsidRPr="0059513B">
      <w:rPr>
        <w:rFonts w:hint="eastAsia"/>
        <w:iCs/>
        <w:sz w:val="20"/>
      </w:rPr>
      <w:t>10</w:t>
    </w:r>
    <w:r w:rsidRPr="0059513B">
      <w:rPr>
        <w:iCs/>
        <w:sz w:val="20"/>
      </w:rPr>
      <w:t>(</w:t>
    </w:r>
    <w:r w:rsidRPr="0059513B">
      <w:rPr>
        <w:rFonts w:hint="eastAsia"/>
        <w:iCs/>
        <w:sz w:val="20"/>
      </w:rPr>
      <w:t>1</w:t>
    </w:r>
    <w:r w:rsidRPr="0059513B">
      <w:rPr>
        <w:iCs/>
        <w:sz w:val="20"/>
      </w:rPr>
      <w:t xml:space="preserve">)  </w:t>
    </w:r>
    <w:r w:rsidRPr="0059513B">
      <w:rPr>
        <w:rFonts w:hint="eastAsia"/>
        <w:iCs/>
        <w:sz w:val="20"/>
      </w:rPr>
      <w:t xml:space="preserve">   </w:t>
    </w:r>
    <w:r w:rsidRPr="0059513B">
      <w:rPr>
        <w:rFonts w:hint="eastAsia"/>
        <w:iCs/>
        <w:sz w:val="20"/>
      </w:rPr>
      <w:tab/>
      <w:t xml:space="preserve">   </w:t>
    </w:r>
    <w:r w:rsidRPr="0059513B">
      <w:rPr>
        <w:iCs/>
        <w:sz w:val="20"/>
      </w:rPr>
      <w:t xml:space="preserve"> </w:t>
    </w:r>
    <w:r w:rsidRPr="0059513B">
      <w:rPr>
        <w:sz w:val="20"/>
      </w:rPr>
      <w:t xml:space="preserve">  </w:t>
    </w:r>
    <w:hyperlink r:id="rId1" w:history="1">
      <w:r w:rsidRPr="0059513B">
        <w:rPr>
          <w:rStyle w:val="Hyperlink"/>
          <w:sz w:val="20"/>
        </w:rPr>
        <w:t>http://www.cancerbio.net</w:t>
      </w:r>
    </w:hyperlink>
    <w:r w:rsidRPr="0059513B">
      <w:rPr>
        <w:rFonts w:hint="eastAsia"/>
        <w:sz w:val="20"/>
      </w:rPr>
      <w:t xml:space="preserve">   </w:t>
    </w:r>
    <w:r w:rsidRPr="0059513B">
      <w:rPr>
        <w:rFonts w:hint="eastAsia"/>
        <w:b/>
        <w:i/>
        <w:color w:val="FF0000"/>
        <w:sz w:val="20"/>
        <w:szCs w:val="20"/>
        <w:bdr w:val="single" w:sz="4" w:space="0" w:color="FF0000"/>
      </w:rPr>
      <w:t>CBJ</w:t>
    </w:r>
  </w:p>
  <w:p w:rsidR="00EF3B37" w:rsidRPr="0059513B" w:rsidRDefault="00EF3B37" w:rsidP="0059513B">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B0972A"/>
    <w:multiLevelType w:val="hybridMultilevel"/>
    <w:tmpl w:val="B41C3F10"/>
    <w:lvl w:ilvl="0" w:tplc="0409000F">
      <w:start w:val="1"/>
      <w:numFmt w:val="decimal"/>
      <w:lvlText w:val="%1."/>
      <w:lvlJc w:val="left"/>
      <w:pPr>
        <w:ind w:left="800" w:hanging="400"/>
      </w:pPr>
      <w:rPr>
        <w:rFonts w:cs="Times New Roman"/>
      </w:rPr>
    </w:lvl>
    <w:lvl w:ilvl="1" w:tplc="4392858C">
      <w:start w:val="1"/>
      <w:numFmt w:val="lowerLetter"/>
      <w:lvlText w:val="%2."/>
      <w:lvlJc w:val="left"/>
      <w:pPr>
        <w:ind w:left="1200" w:hanging="400"/>
      </w:pPr>
      <w:rPr>
        <w:rFonts w:cs="Times New Roman"/>
      </w:rPr>
    </w:lvl>
    <w:lvl w:ilvl="2" w:tplc="0409001B">
      <w:start w:val="1"/>
      <w:numFmt w:val="lowerRoman"/>
      <w:lvlText w:val="%3."/>
      <w:lvlJc w:val="left"/>
      <w:pPr>
        <w:ind w:left="1600" w:hanging="400"/>
      </w:pPr>
      <w:rPr>
        <w:rFonts w:cs="Times New Roman"/>
      </w:rPr>
    </w:lvl>
    <w:lvl w:ilvl="3" w:tplc="0409000F">
      <w:start w:val="1"/>
      <w:numFmt w:val="decimal"/>
      <w:lvlText w:val="%4."/>
      <w:lvlJc w:val="left"/>
      <w:pPr>
        <w:ind w:left="2000" w:hanging="400"/>
      </w:pPr>
      <w:rPr>
        <w:rFonts w:cs="Times New Roman"/>
      </w:rPr>
    </w:lvl>
    <w:lvl w:ilvl="4" w:tplc="4392858C">
      <w:start w:val="1"/>
      <w:numFmt w:val="lowerLetter"/>
      <w:lvlText w:val="%5."/>
      <w:lvlJc w:val="left"/>
      <w:pPr>
        <w:ind w:left="2400" w:hanging="400"/>
      </w:pPr>
      <w:rPr>
        <w:rFonts w:cs="Times New Roman"/>
      </w:rPr>
    </w:lvl>
    <w:lvl w:ilvl="5" w:tplc="0409001B">
      <w:start w:val="1"/>
      <w:numFmt w:val="lowerRoman"/>
      <w:lvlText w:val="%6."/>
      <w:lvlJc w:val="left"/>
      <w:pPr>
        <w:ind w:left="2800" w:hanging="400"/>
      </w:pPr>
      <w:rPr>
        <w:rFonts w:cs="Times New Roman"/>
      </w:rPr>
    </w:lvl>
    <w:lvl w:ilvl="6" w:tplc="0409000F">
      <w:start w:val="1"/>
      <w:numFmt w:val="decimal"/>
      <w:lvlText w:val="%7."/>
      <w:lvlJc w:val="left"/>
      <w:pPr>
        <w:ind w:left="3200" w:hanging="400"/>
      </w:pPr>
      <w:rPr>
        <w:rFonts w:cs="Times New Roman"/>
      </w:rPr>
    </w:lvl>
    <w:lvl w:ilvl="7" w:tplc="4392858C">
      <w:start w:val="1"/>
      <w:numFmt w:val="lowerLetter"/>
      <w:lvlText w:val="%8."/>
      <w:lvlJc w:val="left"/>
      <w:pPr>
        <w:ind w:left="3600" w:hanging="400"/>
      </w:pPr>
      <w:rPr>
        <w:rFonts w:cs="Times New Roman"/>
      </w:rPr>
    </w:lvl>
    <w:lvl w:ilvl="8" w:tplc="0409001B">
      <w:start w:val="1"/>
      <w:numFmt w:val="lowerRoman"/>
      <w:lvlText w:val="%9."/>
      <w:lvlJc w:val="left"/>
      <w:pPr>
        <w:ind w:left="4000" w:hanging="400"/>
      </w:pPr>
      <w:rPr>
        <w:rFonts w:cs="Times New Roman"/>
      </w:rPr>
    </w:lvl>
  </w:abstractNum>
  <w:abstractNum w:abstractNumId="1">
    <w:nsid w:val="102647D2"/>
    <w:multiLevelType w:val="hybridMultilevel"/>
    <w:tmpl w:val="B41C3F10"/>
    <w:lvl w:ilvl="0" w:tplc="0409000F">
      <w:start w:val="1"/>
      <w:numFmt w:val="decimal"/>
      <w:lvlText w:val="%1."/>
      <w:lvlJc w:val="left"/>
      <w:pPr>
        <w:ind w:left="800" w:hanging="400"/>
      </w:pPr>
      <w:rPr>
        <w:rFonts w:cs="Times New Roman"/>
      </w:rPr>
    </w:lvl>
    <w:lvl w:ilvl="1" w:tplc="4392858C">
      <w:start w:val="1"/>
      <w:numFmt w:val="lowerLetter"/>
      <w:lvlText w:val="%2."/>
      <w:lvlJc w:val="left"/>
      <w:pPr>
        <w:ind w:left="1200" w:hanging="400"/>
      </w:pPr>
      <w:rPr>
        <w:rFonts w:cs="Times New Roman"/>
      </w:rPr>
    </w:lvl>
    <w:lvl w:ilvl="2" w:tplc="0409001B">
      <w:start w:val="1"/>
      <w:numFmt w:val="lowerRoman"/>
      <w:lvlText w:val="%3."/>
      <w:lvlJc w:val="left"/>
      <w:pPr>
        <w:ind w:left="1600" w:hanging="400"/>
      </w:pPr>
      <w:rPr>
        <w:rFonts w:cs="Times New Roman"/>
      </w:rPr>
    </w:lvl>
    <w:lvl w:ilvl="3" w:tplc="0409000F">
      <w:start w:val="1"/>
      <w:numFmt w:val="decimal"/>
      <w:lvlText w:val="%4."/>
      <w:lvlJc w:val="left"/>
      <w:pPr>
        <w:ind w:left="2000" w:hanging="400"/>
      </w:pPr>
      <w:rPr>
        <w:rFonts w:cs="Times New Roman"/>
      </w:rPr>
    </w:lvl>
    <w:lvl w:ilvl="4" w:tplc="4392858C">
      <w:start w:val="1"/>
      <w:numFmt w:val="lowerLetter"/>
      <w:lvlText w:val="%5."/>
      <w:lvlJc w:val="left"/>
      <w:pPr>
        <w:ind w:left="2400" w:hanging="400"/>
      </w:pPr>
      <w:rPr>
        <w:rFonts w:cs="Times New Roman"/>
      </w:rPr>
    </w:lvl>
    <w:lvl w:ilvl="5" w:tplc="0409001B">
      <w:start w:val="1"/>
      <w:numFmt w:val="lowerRoman"/>
      <w:lvlText w:val="%6."/>
      <w:lvlJc w:val="left"/>
      <w:pPr>
        <w:ind w:left="2800" w:hanging="400"/>
      </w:pPr>
      <w:rPr>
        <w:rFonts w:cs="Times New Roman"/>
      </w:rPr>
    </w:lvl>
    <w:lvl w:ilvl="6" w:tplc="0409000F">
      <w:start w:val="1"/>
      <w:numFmt w:val="decimal"/>
      <w:lvlText w:val="%7."/>
      <w:lvlJc w:val="left"/>
      <w:pPr>
        <w:ind w:left="3200" w:hanging="400"/>
      </w:pPr>
      <w:rPr>
        <w:rFonts w:cs="Times New Roman"/>
      </w:rPr>
    </w:lvl>
    <w:lvl w:ilvl="7" w:tplc="4392858C">
      <w:start w:val="1"/>
      <w:numFmt w:val="lowerLetter"/>
      <w:lvlText w:val="%8."/>
      <w:lvlJc w:val="left"/>
      <w:pPr>
        <w:ind w:left="3600" w:hanging="400"/>
      </w:pPr>
      <w:rPr>
        <w:rFonts w:cs="Times New Roman"/>
      </w:rPr>
    </w:lvl>
    <w:lvl w:ilvl="8" w:tplc="0409001B">
      <w:start w:val="1"/>
      <w:numFmt w:val="lowerRoman"/>
      <w:lvlText w:val="%9."/>
      <w:lvlJc w:val="left"/>
      <w:pPr>
        <w:ind w:left="4000" w:hanging="400"/>
      </w:pPr>
      <w:rPr>
        <w:rFonts w:cs="Times New Roman"/>
      </w:rPr>
    </w:lvl>
  </w:abstractNum>
  <w:abstractNum w:abstractNumId="2">
    <w:nsid w:val="154B208F"/>
    <w:multiLevelType w:val="hybridMultilevel"/>
    <w:tmpl w:val="3F6ECC02"/>
    <w:lvl w:ilvl="0" w:tplc="40CAE01C">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881BB8"/>
    <w:multiLevelType w:val="hybridMultilevel"/>
    <w:tmpl w:val="B41C3F10"/>
    <w:lvl w:ilvl="0" w:tplc="0409000F">
      <w:start w:val="1"/>
      <w:numFmt w:val="decimal"/>
      <w:lvlText w:val="%1."/>
      <w:lvlJc w:val="left"/>
      <w:pPr>
        <w:ind w:left="800" w:hanging="400"/>
      </w:pPr>
      <w:rPr>
        <w:rFonts w:cs="Times New Roman"/>
      </w:rPr>
    </w:lvl>
    <w:lvl w:ilvl="1" w:tplc="4392858C">
      <w:start w:val="1"/>
      <w:numFmt w:val="lowerLetter"/>
      <w:lvlText w:val="%2."/>
      <w:lvlJc w:val="left"/>
      <w:pPr>
        <w:ind w:left="1200" w:hanging="400"/>
      </w:pPr>
      <w:rPr>
        <w:rFonts w:cs="Times New Roman"/>
      </w:rPr>
    </w:lvl>
    <w:lvl w:ilvl="2" w:tplc="0409001B">
      <w:start w:val="1"/>
      <w:numFmt w:val="lowerRoman"/>
      <w:lvlText w:val="%3."/>
      <w:lvlJc w:val="left"/>
      <w:pPr>
        <w:ind w:left="1600" w:hanging="400"/>
      </w:pPr>
      <w:rPr>
        <w:rFonts w:cs="Times New Roman"/>
      </w:rPr>
    </w:lvl>
    <w:lvl w:ilvl="3" w:tplc="0409000F">
      <w:start w:val="1"/>
      <w:numFmt w:val="decimal"/>
      <w:lvlText w:val="%4."/>
      <w:lvlJc w:val="left"/>
      <w:pPr>
        <w:ind w:left="2000" w:hanging="400"/>
      </w:pPr>
      <w:rPr>
        <w:rFonts w:cs="Times New Roman"/>
      </w:rPr>
    </w:lvl>
    <w:lvl w:ilvl="4" w:tplc="4392858C">
      <w:start w:val="1"/>
      <w:numFmt w:val="lowerLetter"/>
      <w:lvlText w:val="%5."/>
      <w:lvlJc w:val="left"/>
      <w:pPr>
        <w:ind w:left="2400" w:hanging="400"/>
      </w:pPr>
      <w:rPr>
        <w:rFonts w:cs="Times New Roman"/>
      </w:rPr>
    </w:lvl>
    <w:lvl w:ilvl="5" w:tplc="0409001B">
      <w:start w:val="1"/>
      <w:numFmt w:val="lowerRoman"/>
      <w:lvlText w:val="%6."/>
      <w:lvlJc w:val="left"/>
      <w:pPr>
        <w:ind w:left="2800" w:hanging="400"/>
      </w:pPr>
      <w:rPr>
        <w:rFonts w:cs="Times New Roman"/>
      </w:rPr>
    </w:lvl>
    <w:lvl w:ilvl="6" w:tplc="0409000F">
      <w:start w:val="1"/>
      <w:numFmt w:val="decimal"/>
      <w:lvlText w:val="%7."/>
      <w:lvlJc w:val="left"/>
      <w:pPr>
        <w:ind w:left="3200" w:hanging="400"/>
      </w:pPr>
      <w:rPr>
        <w:rFonts w:cs="Times New Roman"/>
      </w:rPr>
    </w:lvl>
    <w:lvl w:ilvl="7" w:tplc="4392858C">
      <w:start w:val="1"/>
      <w:numFmt w:val="lowerLetter"/>
      <w:lvlText w:val="%8."/>
      <w:lvlJc w:val="left"/>
      <w:pPr>
        <w:ind w:left="3600" w:hanging="400"/>
      </w:pPr>
      <w:rPr>
        <w:rFonts w:cs="Times New Roman"/>
      </w:rPr>
    </w:lvl>
    <w:lvl w:ilvl="8" w:tplc="0409001B">
      <w:start w:val="1"/>
      <w:numFmt w:val="lowerRoman"/>
      <w:lvlText w:val="%9."/>
      <w:lvlJc w:val="left"/>
      <w:pPr>
        <w:ind w:left="4000" w:hanging="400"/>
      </w:pPr>
      <w:rPr>
        <w:rFonts w:cs="Times New Roman"/>
      </w:rPr>
    </w:lvl>
  </w:abstractNum>
  <w:abstractNum w:abstractNumId="4">
    <w:nsid w:val="3D6A55E6"/>
    <w:multiLevelType w:val="hybridMultilevel"/>
    <w:tmpl w:val="B41C3F10"/>
    <w:lvl w:ilvl="0" w:tplc="0409000F">
      <w:start w:val="1"/>
      <w:numFmt w:val="decimal"/>
      <w:lvlText w:val="%1."/>
      <w:lvlJc w:val="left"/>
      <w:pPr>
        <w:ind w:left="800" w:hanging="400"/>
      </w:pPr>
      <w:rPr>
        <w:rFonts w:cs="Times New Roman"/>
      </w:rPr>
    </w:lvl>
    <w:lvl w:ilvl="1" w:tplc="4392858C">
      <w:start w:val="1"/>
      <w:numFmt w:val="lowerLetter"/>
      <w:lvlText w:val="%2."/>
      <w:lvlJc w:val="left"/>
      <w:pPr>
        <w:ind w:left="1200" w:hanging="400"/>
      </w:pPr>
      <w:rPr>
        <w:rFonts w:cs="Times New Roman"/>
      </w:rPr>
    </w:lvl>
    <w:lvl w:ilvl="2" w:tplc="0409001B">
      <w:start w:val="1"/>
      <w:numFmt w:val="lowerRoman"/>
      <w:lvlText w:val="%3."/>
      <w:lvlJc w:val="left"/>
      <w:pPr>
        <w:ind w:left="1600" w:hanging="400"/>
      </w:pPr>
      <w:rPr>
        <w:rFonts w:cs="Times New Roman"/>
      </w:rPr>
    </w:lvl>
    <w:lvl w:ilvl="3" w:tplc="0409000F">
      <w:start w:val="1"/>
      <w:numFmt w:val="decimal"/>
      <w:lvlText w:val="%4."/>
      <w:lvlJc w:val="left"/>
      <w:pPr>
        <w:ind w:left="2000" w:hanging="400"/>
      </w:pPr>
      <w:rPr>
        <w:rFonts w:cs="Times New Roman"/>
      </w:rPr>
    </w:lvl>
    <w:lvl w:ilvl="4" w:tplc="4392858C">
      <w:start w:val="1"/>
      <w:numFmt w:val="lowerLetter"/>
      <w:lvlText w:val="%5."/>
      <w:lvlJc w:val="left"/>
      <w:pPr>
        <w:ind w:left="2400" w:hanging="400"/>
      </w:pPr>
      <w:rPr>
        <w:rFonts w:cs="Times New Roman"/>
      </w:rPr>
    </w:lvl>
    <w:lvl w:ilvl="5" w:tplc="0409001B">
      <w:start w:val="1"/>
      <w:numFmt w:val="lowerRoman"/>
      <w:lvlText w:val="%6."/>
      <w:lvlJc w:val="left"/>
      <w:pPr>
        <w:ind w:left="2800" w:hanging="400"/>
      </w:pPr>
      <w:rPr>
        <w:rFonts w:cs="Times New Roman"/>
      </w:rPr>
    </w:lvl>
    <w:lvl w:ilvl="6" w:tplc="0409000F">
      <w:start w:val="1"/>
      <w:numFmt w:val="decimal"/>
      <w:lvlText w:val="%7."/>
      <w:lvlJc w:val="left"/>
      <w:pPr>
        <w:ind w:left="3200" w:hanging="400"/>
      </w:pPr>
      <w:rPr>
        <w:rFonts w:cs="Times New Roman"/>
      </w:rPr>
    </w:lvl>
    <w:lvl w:ilvl="7" w:tplc="4392858C">
      <w:start w:val="1"/>
      <w:numFmt w:val="lowerLetter"/>
      <w:lvlText w:val="%8."/>
      <w:lvlJc w:val="left"/>
      <w:pPr>
        <w:ind w:left="3600" w:hanging="400"/>
      </w:pPr>
      <w:rPr>
        <w:rFonts w:cs="Times New Roman"/>
      </w:rPr>
    </w:lvl>
    <w:lvl w:ilvl="8" w:tplc="0409001B">
      <w:start w:val="1"/>
      <w:numFmt w:val="lowerRoman"/>
      <w:lvlText w:val="%9."/>
      <w:lvlJc w:val="left"/>
      <w:pPr>
        <w:ind w:left="4000" w:hanging="400"/>
      </w:pPr>
      <w:rPr>
        <w:rFonts w:cs="Times New Roman"/>
      </w:rPr>
    </w:lvl>
  </w:abstractNum>
  <w:abstractNum w:abstractNumId="5">
    <w:nsid w:val="45731DDB"/>
    <w:multiLevelType w:val="hybridMultilevel"/>
    <w:tmpl w:val="C09A513E"/>
    <w:lvl w:ilvl="0" w:tplc="B57A92D0">
      <w:start w:val="1"/>
      <w:numFmt w:val="decimal"/>
      <w:lvlText w:val="%1."/>
      <w:lvlJc w:val="left"/>
      <w:pPr>
        <w:tabs>
          <w:tab w:val="num" w:pos="720"/>
        </w:tabs>
        <w:ind w:left="720" w:hanging="360"/>
      </w:pPr>
      <w:rPr>
        <w:rFonts w:ascii="Times New Roman" w:hAnsi="Times New Roman" w:cs="Times New Roman"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2B4FDF"/>
    <w:multiLevelType w:val="hybridMultilevel"/>
    <w:tmpl w:val="3F6ECC02"/>
    <w:lvl w:ilvl="0" w:tplc="40CAE01C">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A95011"/>
    <w:multiLevelType w:val="hybridMultilevel"/>
    <w:tmpl w:val="B41C3F10"/>
    <w:lvl w:ilvl="0" w:tplc="0409000F">
      <w:start w:val="1"/>
      <w:numFmt w:val="decimal"/>
      <w:lvlText w:val="%1."/>
      <w:lvlJc w:val="left"/>
      <w:pPr>
        <w:ind w:left="800" w:hanging="400"/>
      </w:pPr>
      <w:rPr>
        <w:rFonts w:cs="Times New Roman"/>
      </w:rPr>
    </w:lvl>
    <w:lvl w:ilvl="1" w:tplc="4392858C">
      <w:start w:val="1"/>
      <w:numFmt w:val="lowerLetter"/>
      <w:lvlText w:val="%2."/>
      <w:lvlJc w:val="left"/>
      <w:pPr>
        <w:ind w:left="1200" w:hanging="400"/>
      </w:pPr>
      <w:rPr>
        <w:rFonts w:cs="Times New Roman"/>
      </w:rPr>
    </w:lvl>
    <w:lvl w:ilvl="2" w:tplc="0409001B">
      <w:start w:val="1"/>
      <w:numFmt w:val="lowerRoman"/>
      <w:lvlText w:val="%3."/>
      <w:lvlJc w:val="left"/>
      <w:pPr>
        <w:ind w:left="1600" w:hanging="400"/>
      </w:pPr>
      <w:rPr>
        <w:rFonts w:cs="Times New Roman"/>
      </w:rPr>
    </w:lvl>
    <w:lvl w:ilvl="3" w:tplc="0409000F">
      <w:start w:val="1"/>
      <w:numFmt w:val="decimal"/>
      <w:lvlText w:val="%4."/>
      <w:lvlJc w:val="left"/>
      <w:pPr>
        <w:ind w:left="2000" w:hanging="400"/>
      </w:pPr>
      <w:rPr>
        <w:rFonts w:cs="Times New Roman"/>
      </w:rPr>
    </w:lvl>
    <w:lvl w:ilvl="4" w:tplc="4392858C">
      <w:start w:val="1"/>
      <w:numFmt w:val="lowerLetter"/>
      <w:lvlText w:val="%5."/>
      <w:lvlJc w:val="left"/>
      <w:pPr>
        <w:ind w:left="2400" w:hanging="400"/>
      </w:pPr>
      <w:rPr>
        <w:rFonts w:cs="Times New Roman"/>
      </w:rPr>
    </w:lvl>
    <w:lvl w:ilvl="5" w:tplc="0409001B">
      <w:start w:val="1"/>
      <w:numFmt w:val="lowerRoman"/>
      <w:lvlText w:val="%6."/>
      <w:lvlJc w:val="left"/>
      <w:pPr>
        <w:ind w:left="2800" w:hanging="400"/>
      </w:pPr>
      <w:rPr>
        <w:rFonts w:cs="Times New Roman"/>
      </w:rPr>
    </w:lvl>
    <w:lvl w:ilvl="6" w:tplc="0409000F">
      <w:start w:val="1"/>
      <w:numFmt w:val="decimal"/>
      <w:lvlText w:val="%7."/>
      <w:lvlJc w:val="left"/>
      <w:pPr>
        <w:ind w:left="3200" w:hanging="400"/>
      </w:pPr>
      <w:rPr>
        <w:rFonts w:cs="Times New Roman"/>
      </w:rPr>
    </w:lvl>
    <w:lvl w:ilvl="7" w:tplc="4392858C">
      <w:start w:val="1"/>
      <w:numFmt w:val="lowerLetter"/>
      <w:lvlText w:val="%8."/>
      <w:lvlJc w:val="left"/>
      <w:pPr>
        <w:ind w:left="3600" w:hanging="400"/>
      </w:pPr>
      <w:rPr>
        <w:rFonts w:cs="Times New Roman"/>
      </w:rPr>
    </w:lvl>
    <w:lvl w:ilvl="8" w:tplc="0409001B">
      <w:start w:val="1"/>
      <w:numFmt w:val="lowerRoman"/>
      <w:lvlText w:val="%9."/>
      <w:lvlJc w:val="left"/>
      <w:pPr>
        <w:ind w:left="4000" w:hanging="400"/>
      </w:pPr>
      <w:rPr>
        <w:rFonts w:cs="Times New Roman"/>
      </w:rPr>
    </w:lvl>
  </w:abstractNum>
  <w:abstractNum w:abstractNumId="8">
    <w:nsid w:val="68067862"/>
    <w:multiLevelType w:val="hybridMultilevel"/>
    <w:tmpl w:val="B41C3F10"/>
    <w:lvl w:ilvl="0" w:tplc="0409000F">
      <w:start w:val="1"/>
      <w:numFmt w:val="decimal"/>
      <w:lvlText w:val="%1."/>
      <w:lvlJc w:val="left"/>
      <w:pPr>
        <w:ind w:left="800" w:hanging="400"/>
      </w:pPr>
      <w:rPr>
        <w:rFonts w:cs="Times New Roman"/>
      </w:rPr>
    </w:lvl>
    <w:lvl w:ilvl="1" w:tplc="4392858C">
      <w:start w:val="1"/>
      <w:numFmt w:val="lowerLetter"/>
      <w:lvlText w:val="%2."/>
      <w:lvlJc w:val="left"/>
      <w:pPr>
        <w:ind w:left="1200" w:hanging="400"/>
      </w:pPr>
      <w:rPr>
        <w:rFonts w:cs="Times New Roman"/>
      </w:rPr>
    </w:lvl>
    <w:lvl w:ilvl="2" w:tplc="0409001B">
      <w:start w:val="1"/>
      <w:numFmt w:val="lowerRoman"/>
      <w:lvlText w:val="%3."/>
      <w:lvlJc w:val="left"/>
      <w:pPr>
        <w:ind w:left="1600" w:hanging="400"/>
      </w:pPr>
      <w:rPr>
        <w:rFonts w:cs="Times New Roman"/>
      </w:rPr>
    </w:lvl>
    <w:lvl w:ilvl="3" w:tplc="0409000F">
      <w:start w:val="1"/>
      <w:numFmt w:val="decimal"/>
      <w:lvlText w:val="%4."/>
      <w:lvlJc w:val="left"/>
      <w:pPr>
        <w:ind w:left="2000" w:hanging="400"/>
      </w:pPr>
      <w:rPr>
        <w:rFonts w:cs="Times New Roman"/>
      </w:rPr>
    </w:lvl>
    <w:lvl w:ilvl="4" w:tplc="4392858C">
      <w:start w:val="1"/>
      <w:numFmt w:val="lowerLetter"/>
      <w:lvlText w:val="%5."/>
      <w:lvlJc w:val="left"/>
      <w:pPr>
        <w:ind w:left="2400" w:hanging="400"/>
      </w:pPr>
      <w:rPr>
        <w:rFonts w:cs="Times New Roman"/>
      </w:rPr>
    </w:lvl>
    <w:lvl w:ilvl="5" w:tplc="0409001B">
      <w:start w:val="1"/>
      <w:numFmt w:val="lowerRoman"/>
      <w:lvlText w:val="%6."/>
      <w:lvlJc w:val="left"/>
      <w:pPr>
        <w:ind w:left="2800" w:hanging="400"/>
      </w:pPr>
      <w:rPr>
        <w:rFonts w:cs="Times New Roman"/>
      </w:rPr>
    </w:lvl>
    <w:lvl w:ilvl="6" w:tplc="0409000F">
      <w:start w:val="1"/>
      <w:numFmt w:val="decimal"/>
      <w:lvlText w:val="%7."/>
      <w:lvlJc w:val="left"/>
      <w:pPr>
        <w:ind w:left="3200" w:hanging="400"/>
      </w:pPr>
      <w:rPr>
        <w:rFonts w:cs="Times New Roman"/>
      </w:rPr>
    </w:lvl>
    <w:lvl w:ilvl="7" w:tplc="4392858C">
      <w:start w:val="1"/>
      <w:numFmt w:val="lowerLetter"/>
      <w:lvlText w:val="%8."/>
      <w:lvlJc w:val="left"/>
      <w:pPr>
        <w:ind w:left="3600" w:hanging="400"/>
      </w:pPr>
      <w:rPr>
        <w:rFonts w:cs="Times New Roman"/>
      </w:rPr>
    </w:lvl>
    <w:lvl w:ilvl="8" w:tplc="0409001B">
      <w:start w:val="1"/>
      <w:numFmt w:val="lowerRoman"/>
      <w:lvlText w:val="%9."/>
      <w:lvlJc w:val="left"/>
      <w:pPr>
        <w:ind w:left="4000" w:hanging="400"/>
      </w:pPr>
      <w:rPr>
        <w:rFonts w:cs="Times New Roman"/>
      </w:rPr>
    </w:lvl>
  </w:abstractNum>
  <w:abstractNum w:abstractNumId="9">
    <w:nsid w:val="79020A52"/>
    <w:multiLevelType w:val="hybridMultilevel"/>
    <w:tmpl w:val="B41C3F10"/>
    <w:lvl w:ilvl="0" w:tplc="0409000F">
      <w:start w:val="1"/>
      <w:numFmt w:val="decimal"/>
      <w:lvlText w:val="%1."/>
      <w:lvlJc w:val="left"/>
      <w:pPr>
        <w:ind w:left="800" w:hanging="400"/>
      </w:pPr>
      <w:rPr>
        <w:rFonts w:cs="Times New Roman"/>
      </w:rPr>
    </w:lvl>
    <w:lvl w:ilvl="1" w:tplc="4392858C">
      <w:start w:val="1"/>
      <w:numFmt w:val="lowerLetter"/>
      <w:lvlText w:val="%2."/>
      <w:lvlJc w:val="left"/>
      <w:pPr>
        <w:ind w:left="1200" w:hanging="400"/>
      </w:pPr>
      <w:rPr>
        <w:rFonts w:cs="Times New Roman"/>
      </w:rPr>
    </w:lvl>
    <w:lvl w:ilvl="2" w:tplc="0409001B">
      <w:start w:val="1"/>
      <w:numFmt w:val="lowerRoman"/>
      <w:lvlText w:val="%3."/>
      <w:lvlJc w:val="left"/>
      <w:pPr>
        <w:ind w:left="1600" w:hanging="400"/>
      </w:pPr>
      <w:rPr>
        <w:rFonts w:cs="Times New Roman"/>
      </w:rPr>
    </w:lvl>
    <w:lvl w:ilvl="3" w:tplc="0409000F">
      <w:start w:val="1"/>
      <w:numFmt w:val="decimal"/>
      <w:lvlText w:val="%4."/>
      <w:lvlJc w:val="left"/>
      <w:pPr>
        <w:ind w:left="2000" w:hanging="400"/>
      </w:pPr>
      <w:rPr>
        <w:rFonts w:cs="Times New Roman"/>
      </w:rPr>
    </w:lvl>
    <w:lvl w:ilvl="4" w:tplc="4392858C">
      <w:start w:val="1"/>
      <w:numFmt w:val="lowerLetter"/>
      <w:lvlText w:val="%5."/>
      <w:lvlJc w:val="left"/>
      <w:pPr>
        <w:ind w:left="2400" w:hanging="400"/>
      </w:pPr>
      <w:rPr>
        <w:rFonts w:cs="Times New Roman"/>
      </w:rPr>
    </w:lvl>
    <w:lvl w:ilvl="5" w:tplc="0409001B">
      <w:start w:val="1"/>
      <w:numFmt w:val="lowerRoman"/>
      <w:lvlText w:val="%6."/>
      <w:lvlJc w:val="left"/>
      <w:pPr>
        <w:ind w:left="2800" w:hanging="400"/>
      </w:pPr>
      <w:rPr>
        <w:rFonts w:cs="Times New Roman"/>
      </w:rPr>
    </w:lvl>
    <w:lvl w:ilvl="6" w:tplc="0409000F">
      <w:start w:val="1"/>
      <w:numFmt w:val="decimal"/>
      <w:lvlText w:val="%7."/>
      <w:lvlJc w:val="left"/>
      <w:pPr>
        <w:ind w:left="3200" w:hanging="400"/>
      </w:pPr>
      <w:rPr>
        <w:rFonts w:cs="Times New Roman"/>
      </w:rPr>
    </w:lvl>
    <w:lvl w:ilvl="7" w:tplc="4392858C">
      <w:start w:val="1"/>
      <w:numFmt w:val="lowerLetter"/>
      <w:lvlText w:val="%8."/>
      <w:lvlJc w:val="left"/>
      <w:pPr>
        <w:ind w:left="3600" w:hanging="400"/>
      </w:pPr>
      <w:rPr>
        <w:rFonts w:cs="Times New Roman"/>
      </w:rPr>
    </w:lvl>
    <w:lvl w:ilvl="8" w:tplc="0409001B">
      <w:start w:val="1"/>
      <w:numFmt w:val="lowerRoman"/>
      <w:lvlText w:val="%9."/>
      <w:lvlJc w:val="left"/>
      <w:pPr>
        <w:ind w:left="4000" w:hanging="400"/>
      </w:pPr>
      <w:rPr>
        <w:rFonts w:cs="Times New Roman"/>
      </w:rPr>
    </w:lvl>
  </w:abstractNum>
  <w:abstractNum w:abstractNumId="10">
    <w:nsid w:val="7ED32B4A"/>
    <w:multiLevelType w:val="hybridMultilevel"/>
    <w:tmpl w:val="B41C3F10"/>
    <w:lvl w:ilvl="0" w:tplc="0409000F">
      <w:start w:val="1"/>
      <w:numFmt w:val="decimal"/>
      <w:lvlText w:val="%1."/>
      <w:lvlJc w:val="left"/>
      <w:pPr>
        <w:ind w:left="800" w:hanging="400"/>
      </w:pPr>
      <w:rPr>
        <w:rFonts w:cs="Times New Roman"/>
      </w:rPr>
    </w:lvl>
    <w:lvl w:ilvl="1" w:tplc="4392858C">
      <w:start w:val="1"/>
      <w:numFmt w:val="lowerLetter"/>
      <w:lvlText w:val="%2."/>
      <w:lvlJc w:val="left"/>
      <w:pPr>
        <w:ind w:left="1200" w:hanging="400"/>
      </w:pPr>
      <w:rPr>
        <w:rFonts w:cs="Times New Roman"/>
      </w:rPr>
    </w:lvl>
    <w:lvl w:ilvl="2" w:tplc="0409001B">
      <w:start w:val="1"/>
      <w:numFmt w:val="lowerRoman"/>
      <w:lvlText w:val="%3."/>
      <w:lvlJc w:val="left"/>
      <w:pPr>
        <w:ind w:left="1600" w:hanging="400"/>
      </w:pPr>
      <w:rPr>
        <w:rFonts w:cs="Times New Roman"/>
      </w:rPr>
    </w:lvl>
    <w:lvl w:ilvl="3" w:tplc="0409000F">
      <w:start w:val="1"/>
      <w:numFmt w:val="decimal"/>
      <w:lvlText w:val="%4."/>
      <w:lvlJc w:val="left"/>
      <w:pPr>
        <w:ind w:left="2000" w:hanging="400"/>
      </w:pPr>
      <w:rPr>
        <w:rFonts w:cs="Times New Roman"/>
      </w:rPr>
    </w:lvl>
    <w:lvl w:ilvl="4" w:tplc="4392858C">
      <w:start w:val="1"/>
      <w:numFmt w:val="lowerLetter"/>
      <w:lvlText w:val="%5."/>
      <w:lvlJc w:val="left"/>
      <w:pPr>
        <w:ind w:left="2400" w:hanging="400"/>
      </w:pPr>
      <w:rPr>
        <w:rFonts w:cs="Times New Roman"/>
      </w:rPr>
    </w:lvl>
    <w:lvl w:ilvl="5" w:tplc="0409001B">
      <w:start w:val="1"/>
      <w:numFmt w:val="lowerRoman"/>
      <w:lvlText w:val="%6."/>
      <w:lvlJc w:val="left"/>
      <w:pPr>
        <w:ind w:left="2800" w:hanging="400"/>
      </w:pPr>
      <w:rPr>
        <w:rFonts w:cs="Times New Roman"/>
      </w:rPr>
    </w:lvl>
    <w:lvl w:ilvl="6" w:tplc="0409000F">
      <w:start w:val="1"/>
      <w:numFmt w:val="decimal"/>
      <w:lvlText w:val="%7."/>
      <w:lvlJc w:val="left"/>
      <w:pPr>
        <w:ind w:left="3200" w:hanging="400"/>
      </w:pPr>
      <w:rPr>
        <w:rFonts w:cs="Times New Roman"/>
      </w:rPr>
    </w:lvl>
    <w:lvl w:ilvl="7" w:tplc="4392858C">
      <w:start w:val="1"/>
      <w:numFmt w:val="lowerLetter"/>
      <w:lvlText w:val="%8."/>
      <w:lvlJc w:val="left"/>
      <w:pPr>
        <w:ind w:left="3600" w:hanging="400"/>
      </w:pPr>
      <w:rPr>
        <w:rFonts w:cs="Times New Roman"/>
      </w:rPr>
    </w:lvl>
    <w:lvl w:ilvl="8" w:tplc="0409001B">
      <w:start w:val="1"/>
      <w:numFmt w:val="lowerRoman"/>
      <w:lvlText w:val="%9."/>
      <w:lvlJc w:val="left"/>
      <w:pPr>
        <w:ind w:left="4000" w:hanging="400"/>
      </w:pPr>
      <w:rPr>
        <w:rFonts w:cs="Times New Roman"/>
      </w:rPr>
    </w:lvl>
  </w:abstractNum>
  <w:num w:numId="1">
    <w:abstractNumId w:val="6"/>
  </w:num>
  <w:num w:numId="2">
    <w:abstractNumId w:val="5"/>
  </w:num>
  <w:num w:numId="3">
    <w:abstractNumId w:val="2"/>
  </w:num>
  <w:num w:numId="4">
    <w:abstractNumId w:val="0"/>
  </w:num>
  <w:num w:numId="5">
    <w:abstractNumId w:val="4"/>
  </w:num>
  <w:num w:numId="6">
    <w:abstractNumId w:val="8"/>
  </w:num>
  <w:num w:numId="7">
    <w:abstractNumId w:val="3"/>
  </w:num>
  <w:num w:numId="8">
    <w:abstractNumId w:val="1"/>
  </w:num>
  <w:num w:numId="9">
    <w:abstractNumId w:val="9"/>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171B"/>
    <w:rsid w:val="000138E4"/>
    <w:rsid w:val="00024258"/>
    <w:rsid w:val="00030E78"/>
    <w:rsid w:val="00032D89"/>
    <w:rsid w:val="00037244"/>
    <w:rsid w:val="0004449B"/>
    <w:rsid w:val="000537DE"/>
    <w:rsid w:val="000677A4"/>
    <w:rsid w:val="00070A8D"/>
    <w:rsid w:val="00073AD8"/>
    <w:rsid w:val="00082111"/>
    <w:rsid w:val="00083473"/>
    <w:rsid w:val="00087723"/>
    <w:rsid w:val="00087B3D"/>
    <w:rsid w:val="00092A18"/>
    <w:rsid w:val="000953CE"/>
    <w:rsid w:val="0009540C"/>
    <w:rsid w:val="0009565E"/>
    <w:rsid w:val="000A32DA"/>
    <w:rsid w:val="000B4A0C"/>
    <w:rsid w:val="000B7D27"/>
    <w:rsid w:val="000C5AE3"/>
    <w:rsid w:val="000C6345"/>
    <w:rsid w:val="000D3085"/>
    <w:rsid w:val="000D4592"/>
    <w:rsid w:val="000F1315"/>
    <w:rsid w:val="000F51C2"/>
    <w:rsid w:val="000F61F6"/>
    <w:rsid w:val="000F6E3D"/>
    <w:rsid w:val="000F708F"/>
    <w:rsid w:val="0010224C"/>
    <w:rsid w:val="0010235A"/>
    <w:rsid w:val="001038ED"/>
    <w:rsid w:val="00106B13"/>
    <w:rsid w:val="001130B4"/>
    <w:rsid w:val="00122EDD"/>
    <w:rsid w:val="00125D93"/>
    <w:rsid w:val="00127148"/>
    <w:rsid w:val="001315C1"/>
    <w:rsid w:val="0013166D"/>
    <w:rsid w:val="00133371"/>
    <w:rsid w:val="0014234F"/>
    <w:rsid w:val="00142EC9"/>
    <w:rsid w:val="00146D23"/>
    <w:rsid w:val="0015410E"/>
    <w:rsid w:val="00155C8D"/>
    <w:rsid w:val="00167608"/>
    <w:rsid w:val="00171650"/>
    <w:rsid w:val="0017268C"/>
    <w:rsid w:val="0018214D"/>
    <w:rsid w:val="001925DE"/>
    <w:rsid w:val="00193310"/>
    <w:rsid w:val="00193431"/>
    <w:rsid w:val="001945C9"/>
    <w:rsid w:val="001A5360"/>
    <w:rsid w:val="001B364B"/>
    <w:rsid w:val="001B3D1C"/>
    <w:rsid w:val="001D09C7"/>
    <w:rsid w:val="001D35B4"/>
    <w:rsid w:val="001D530A"/>
    <w:rsid w:val="001E491F"/>
    <w:rsid w:val="001F0D75"/>
    <w:rsid w:val="001F570D"/>
    <w:rsid w:val="001F68BB"/>
    <w:rsid w:val="00203E19"/>
    <w:rsid w:val="00206B2F"/>
    <w:rsid w:val="00210CCE"/>
    <w:rsid w:val="00221243"/>
    <w:rsid w:val="00223932"/>
    <w:rsid w:val="00223C51"/>
    <w:rsid w:val="00240DBE"/>
    <w:rsid w:val="002430AF"/>
    <w:rsid w:val="00244EE0"/>
    <w:rsid w:val="00255024"/>
    <w:rsid w:val="00255AE6"/>
    <w:rsid w:val="0025654B"/>
    <w:rsid w:val="00256911"/>
    <w:rsid w:val="00265BE6"/>
    <w:rsid w:val="00274167"/>
    <w:rsid w:val="00276E41"/>
    <w:rsid w:val="00276FC9"/>
    <w:rsid w:val="00283808"/>
    <w:rsid w:val="00285C2A"/>
    <w:rsid w:val="002879AD"/>
    <w:rsid w:val="00290642"/>
    <w:rsid w:val="0029216A"/>
    <w:rsid w:val="002A160C"/>
    <w:rsid w:val="002A4045"/>
    <w:rsid w:val="002B229A"/>
    <w:rsid w:val="002B312D"/>
    <w:rsid w:val="002B34F8"/>
    <w:rsid w:val="002B35A2"/>
    <w:rsid w:val="002B559A"/>
    <w:rsid w:val="002B61F7"/>
    <w:rsid w:val="002C6262"/>
    <w:rsid w:val="002D4D64"/>
    <w:rsid w:val="002D4F3A"/>
    <w:rsid w:val="002E2E7B"/>
    <w:rsid w:val="002E6588"/>
    <w:rsid w:val="002E78E2"/>
    <w:rsid w:val="002F16E4"/>
    <w:rsid w:val="002F249B"/>
    <w:rsid w:val="002F56F0"/>
    <w:rsid w:val="002F5743"/>
    <w:rsid w:val="003000C6"/>
    <w:rsid w:val="003025F6"/>
    <w:rsid w:val="00302EEA"/>
    <w:rsid w:val="00303759"/>
    <w:rsid w:val="00303C92"/>
    <w:rsid w:val="00313975"/>
    <w:rsid w:val="00315AA7"/>
    <w:rsid w:val="00315B7C"/>
    <w:rsid w:val="00320357"/>
    <w:rsid w:val="00323E30"/>
    <w:rsid w:val="00330828"/>
    <w:rsid w:val="003323F5"/>
    <w:rsid w:val="00337D89"/>
    <w:rsid w:val="0034171B"/>
    <w:rsid w:val="00342C60"/>
    <w:rsid w:val="00344E33"/>
    <w:rsid w:val="00351891"/>
    <w:rsid w:val="00362B57"/>
    <w:rsid w:val="00363DA1"/>
    <w:rsid w:val="00366F3F"/>
    <w:rsid w:val="00374FB0"/>
    <w:rsid w:val="00377094"/>
    <w:rsid w:val="00381478"/>
    <w:rsid w:val="003824D2"/>
    <w:rsid w:val="00385D24"/>
    <w:rsid w:val="003911BB"/>
    <w:rsid w:val="00391ACB"/>
    <w:rsid w:val="00391C10"/>
    <w:rsid w:val="00391D85"/>
    <w:rsid w:val="003965A4"/>
    <w:rsid w:val="003A31CC"/>
    <w:rsid w:val="003B025F"/>
    <w:rsid w:val="003B304B"/>
    <w:rsid w:val="003C29CA"/>
    <w:rsid w:val="003D0B3F"/>
    <w:rsid w:val="003D155B"/>
    <w:rsid w:val="003D187B"/>
    <w:rsid w:val="003D6647"/>
    <w:rsid w:val="003F0060"/>
    <w:rsid w:val="003F0CB6"/>
    <w:rsid w:val="003F0EE8"/>
    <w:rsid w:val="003F40CC"/>
    <w:rsid w:val="0040315C"/>
    <w:rsid w:val="00404344"/>
    <w:rsid w:val="004056E3"/>
    <w:rsid w:val="00410686"/>
    <w:rsid w:val="00410ACB"/>
    <w:rsid w:val="004212D3"/>
    <w:rsid w:val="004266FE"/>
    <w:rsid w:val="00433F70"/>
    <w:rsid w:val="004429C7"/>
    <w:rsid w:val="00443DF4"/>
    <w:rsid w:val="00447658"/>
    <w:rsid w:val="0045050F"/>
    <w:rsid w:val="004524D0"/>
    <w:rsid w:val="00454FB5"/>
    <w:rsid w:val="0045503C"/>
    <w:rsid w:val="00457D6F"/>
    <w:rsid w:val="00471A5F"/>
    <w:rsid w:val="00480CE3"/>
    <w:rsid w:val="00481440"/>
    <w:rsid w:val="00483F29"/>
    <w:rsid w:val="00492878"/>
    <w:rsid w:val="004930D6"/>
    <w:rsid w:val="0049714A"/>
    <w:rsid w:val="0049726E"/>
    <w:rsid w:val="004A25E9"/>
    <w:rsid w:val="004B0114"/>
    <w:rsid w:val="004D32EA"/>
    <w:rsid w:val="004D3B78"/>
    <w:rsid w:val="004D7A02"/>
    <w:rsid w:val="004E0E6D"/>
    <w:rsid w:val="004E0FCB"/>
    <w:rsid w:val="004E14EA"/>
    <w:rsid w:val="004E150B"/>
    <w:rsid w:val="004F7D95"/>
    <w:rsid w:val="00501CA2"/>
    <w:rsid w:val="00512B7E"/>
    <w:rsid w:val="005237CE"/>
    <w:rsid w:val="00530AF9"/>
    <w:rsid w:val="00533AC6"/>
    <w:rsid w:val="00534107"/>
    <w:rsid w:val="00542780"/>
    <w:rsid w:val="005432D9"/>
    <w:rsid w:val="005559A1"/>
    <w:rsid w:val="0055600C"/>
    <w:rsid w:val="00560088"/>
    <w:rsid w:val="00560BC6"/>
    <w:rsid w:val="00562275"/>
    <w:rsid w:val="005716DE"/>
    <w:rsid w:val="00586BD5"/>
    <w:rsid w:val="005877D3"/>
    <w:rsid w:val="0059513B"/>
    <w:rsid w:val="00596DE6"/>
    <w:rsid w:val="005A126B"/>
    <w:rsid w:val="005A2AC8"/>
    <w:rsid w:val="005A54B0"/>
    <w:rsid w:val="005A6B94"/>
    <w:rsid w:val="005B26B2"/>
    <w:rsid w:val="005B7565"/>
    <w:rsid w:val="005C58F5"/>
    <w:rsid w:val="005D7B6E"/>
    <w:rsid w:val="005F56E6"/>
    <w:rsid w:val="00601D2C"/>
    <w:rsid w:val="006039FB"/>
    <w:rsid w:val="00620504"/>
    <w:rsid w:val="0062240E"/>
    <w:rsid w:val="00625574"/>
    <w:rsid w:val="00625D70"/>
    <w:rsid w:val="006269AF"/>
    <w:rsid w:val="00635C0F"/>
    <w:rsid w:val="006360E7"/>
    <w:rsid w:val="00637025"/>
    <w:rsid w:val="0064330C"/>
    <w:rsid w:val="00643B8E"/>
    <w:rsid w:val="00645110"/>
    <w:rsid w:val="00662001"/>
    <w:rsid w:val="006640D5"/>
    <w:rsid w:val="00666A81"/>
    <w:rsid w:val="00667F21"/>
    <w:rsid w:val="00670223"/>
    <w:rsid w:val="00670A02"/>
    <w:rsid w:val="00670D01"/>
    <w:rsid w:val="00671322"/>
    <w:rsid w:val="00672B86"/>
    <w:rsid w:val="00684C9C"/>
    <w:rsid w:val="0068571B"/>
    <w:rsid w:val="00692858"/>
    <w:rsid w:val="00694B82"/>
    <w:rsid w:val="00695102"/>
    <w:rsid w:val="00697EB2"/>
    <w:rsid w:val="006A328B"/>
    <w:rsid w:val="006A5D88"/>
    <w:rsid w:val="006A5F15"/>
    <w:rsid w:val="006B599E"/>
    <w:rsid w:val="006C01C7"/>
    <w:rsid w:val="006C0F68"/>
    <w:rsid w:val="006C1D33"/>
    <w:rsid w:val="006C3EDB"/>
    <w:rsid w:val="006C4FB5"/>
    <w:rsid w:val="006D0DA0"/>
    <w:rsid w:val="006D5B3D"/>
    <w:rsid w:val="006D62CF"/>
    <w:rsid w:val="006D6DB8"/>
    <w:rsid w:val="006E0A9D"/>
    <w:rsid w:val="006E2828"/>
    <w:rsid w:val="006F2791"/>
    <w:rsid w:val="0070176D"/>
    <w:rsid w:val="007031FE"/>
    <w:rsid w:val="00705E3C"/>
    <w:rsid w:val="00706340"/>
    <w:rsid w:val="00707993"/>
    <w:rsid w:val="007170A3"/>
    <w:rsid w:val="00722D6C"/>
    <w:rsid w:val="0072794B"/>
    <w:rsid w:val="0073076C"/>
    <w:rsid w:val="00731A43"/>
    <w:rsid w:val="007354B8"/>
    <w:rsid w:val="0074090F"/>
    <w:rsid w:val="00744CB5"/>
    <w:rsid w:val="007544C8"/>
    <w:rsid w:val="00754A9A"/>
    <w:rsid w:val="007637A1"/>
    <w:rsid w:val="007726DC"/>
    <w:rsid w:val="007729E5"/>
    <w:rsid w:val="007762E4"/>
    <w:rsid w:val="00784B85"/>
    <w:rsid w:val="00790650"/>
    <w:rsid w:val="00790727"/>
    <w:rsid w:val="00795884"/>
    <w:rsid w:val="007A0EBB"/>
    <w:rsid w:val="007A395D"/>
    <w:rsid w:val="007B11FF"/>
    <w:rsid w:val="007B3F23"/>
    <w:rsid w:val="007B5B67"/>
    <w:rsid w:val="007C02E8"/>
    <w:rsid w:val="007C0656"/>
    <w:rsid w:val="007C0CE7"/>
    <w:rsid w:val="007C1EEF"/>
    <w:rsid w:val="007C3035"/>
    <w:rsid w:val="007C4358"/>
    <w:rsid w:val="007C6599"/>
    <w:rsid w:val="007D62CD"/>
    <w:rsid w:val="007D7CB8"/>
    <w:rsid w:val="007E35E3"/>
    <w:rsid w:val="007E49F6"/>
    <w:rsid w:val="007E56BB"/>
    <w:rsid w:val="007E76E2"/>
    <w:rsid w:val="007F4FD9"/>
    <w:rsid w:val="007F6E1E"/>
    <w:rsid w:val="00802E5F"/>
    <w:rsid w:val="0080349B"/>
    <w:rsid w:val="00803E4A"/>
    <w:rsid w:val="008146F7"/>
    <w:rsid w:val="008149CF"/>
    <w:rsid w:val="0081621C"/>
    <w:rsid w:val="00825291"/>
    <w:rsid w:val="00826294"/>
    <w:rsid w:val="00826BAF"/>
    <w:rsid w:val="00832F82"/>
    <w:rsid w:val="0083481B"/>
    <w:rsid w:val="00836295"/>
    <w:rsid w:val="008446E5"/>
    <w:rsid w:val="00844E65"/>
    <w:rsid w:val="00846C43"/>
    <w:rsid w:val="00854F08"/>
    <w:rsid w:val="00860BEF"/>
    <w:rsid w:val="00863E40"/>
    <w:rsid w:val="008647E3"/>
    <w:rsid w:val="00871588"/>
    <w:rsid w:val="00882113"/>
    <w:rsid w:val="00882F87"/>
    <w:rsid w:val="008830AE"/>
    <w:rsid w:val="00887D21"/>
    <w:rsid w:val="008912C9"/>
    <w:rsid w:val="00891765"/>
    <w:rsid w:val="00892671"/>
    <w:rsid w:val="00896A36"/>
    <w:rsid w:val="00896E3A"/>
    <w:rsid w:val="008A02E6"/>
    <w:rsid w:val="008B1E7B"/>
    <w:rsid w:val="008B3DD4"/>
    <w:rsid w:val="008C3AB2"/>
    <w:rsid w:val="008D0CC7"/>
    <w:rsid w:val="008E282E"/>
    <w:rsid w:val="008E2F46"/>
    <w:rsid w:val="008F17D4"/>
    <w:rsid w:val="008F594E"/>
    <w:rsid w:val="008F633C"/>
    <w:rsid w:val="00902860"/>
    <w:rsid w:val="00904033"/>
    <w:rsid w:val="009060B6"/>
    <w:rsid w:val="0091337B"/>
    <w:rsid w:val="00917011"/>
    <w:rsid w:val="009221CE"/>
    <w:rsid w:val="009240C1"/>
    <w:rsid w:val="009248C8"/>
    <w:rsid w:val="00924DB0"/>
    <w:rsid w:val="00930AA1"/>
    <w:rsid w:val="009335D6"/>
    <w:rsid w:val="009374C8"/>
    <w:rsid w:val="009414C2"/>
    <w:rsid w:val="00965743"/>
    <w:rsid w:val="00965D60"/>
    <w:rsid w:val="0097098F"/>
    <w:rsid w:val="00970EE3"/>
    <w:rsid w:val="0097136F"/>
    <w:rsid w:val="0097534D"/>
    <w:rsid w:val="00976B34"/>
    <w:rsid w:val="00980E7F"/>
    <w:rsid w:val="009856FC"/>
    <w:rsid w:val="00985DB4"/>
    <w:rsid w:val="0098731B"/>
    <w:rsid w:val="00994401"/>
    <w:rsid w:val="009953EF"/>
    <w:rsid w:val="00995FA3"/>
    <w:rsid w:val="009B185D"/>
    <w:rsid w:val="009B4560"/>
    <w:rsid w:val="009B4E8E"/>
    <w:rsid w:val="009B6472"/>
    <w:rsid w:val="009B794C"/>
    <w:rsid w:val="009C1243"/>
    <w:rsid w:val="009C1F19"/>
    <w:rsid w:val="009C768B"/>
    <w:rsid w:val="009D166F"/>
    <w:rsid w:val="009D447C"/>
    <w:rsid w:val="009D46F0"/>
    <w:rsid w:val="009D541C"/>
    <w:rsid w:val="009D5452"/>
    <w:rsid w:val="009D5CEF"/>
    <w:rsid w:val="009D6E3E"/>
    <w:rsid w:val="009E41A1"/>
    <w:rsid w:val="009F047D"/>
    <w:rsid w:val="00A00B3C"/>
    <w:rsid w:val="00A03D50"/>
    <w:rsid w:val="00A12A27"/>
    <w:rsid w:val="00A20735"/>
    <w:rsid w:val="00A31DFA"/>
    <w:rsid w:val="00A3274D"/>
    <w:rsid w:val="00A3364B"/>
    <w:rsid w:val="00A455C4"/>
    <w:rsid w:val="00A606A1"/>
    <w:rsid w:val="00A609F6"/>
    <w:rsid w:val="00A61DF7"/>
    <w:rsid w:val="00A6274A"/>
    <w:rsid w:val="00A650A0"/>
    <w:rsid w:val="00A657B1"/>
    <w:rsid w:val="00A67A8C"/>
    <w:rsid w:val="00A73471"/>
    <w:rsid w:val="00A73484"/>
    <w:rsid w:val="00A80294"/>
    <w:rsid w:val="00A81F21"/>
    <w:rsid w:val="00A92E6D"/>
    <w:rsid w:val="00A9472B"/>
    <w:rsid w:val="00A94988"/>
    <w:rsid w:val="00AA18F4"/>
    <w:rsid w:val="00AA2510"/>
    <w:rsid w:val="00AA4312"/>
    <w:rsid w:val="00AB003D"/>
    <w:rsid w:val="00AB1019"/>
    <w:rsid w:val="00AB46C9"/>
    <w:rsid w:val="00AC1837"/>
    <w:rsid w:val="00AC4B4A"/>
    <w:rsid w:val="00AC6E97"/>
    <w:rsid w:val="00AD2363"/>
    <w:rsid w:val="00AD33B5"/>
    <w:rsid w:val="00AE2C99"/>
    <w:rsid w:val="00AE3EB8"/>
    <w:rsid w:val="00AE6AFA"/>
    <w:rsid w:val="00AE7B45"/>
    <w:rsid w:val="00AF0C99"/>
    <w:rsid w:val="00AF78E8"/>
    <w:rsid w:val="00B00EE1"/>
    <w:rsid w:val="00B03B3D"/>
    <w:rsid w:val="00B05788"/>
    <w:rsid w:val="00B0706D"/>
    <w:rsid w:val="00B07772"/>
    <w:rsid w:val="00B10DEB"/>
    <w:rsid w:val="00B16A09"/>
    <w:rsid w:val="00B201E2"/>
    <w:rsid w:val="00B206ED"/>
    <w:rsid w:val="00B31429"/>
    <w:rsid w:val="00B32C9E"/>
    <w:rsid w:val="00B37520"/>
    <w:rsid w:val="00B400F2"/>
    <w:rsid w:val="00B42E39"/>
    <w:rsid w:val="00B44653"/>
    <w:rsid w:val="00B56C60"/>
    <w:rsid w:val="00B63B83"/>
    <w:rsid w:val="00B7013D"/>
    <w:rsid w:val="00B731DD"/>
    <w:rsid w:val="00B7351F"/>
    <w:rsid w:val="00B739DC"/>
    <w:rsid w:val="00B760D8"/>
    <w:rsid w:val="00B800D4"/>
    <w:rsid w:val="00B84251"/>
    <w:rsid w:val="00B87DC7"/>
    <w:rsid w:val="00B91677"/>
    <w:rsid w:val="00B9245A"/>
    <w:rsid w:val="00B97678"/>
    <w:rsid w:val="00BA5130"/>
    <w:rsid w:val="00BA6C7F"/>
    <w:rsid w:val="00BB4565"/>
    <w:rsid w:val="00BB73F1"/>
    <w:rsid w:val="00BC3CF7"/>
    <w:rsid w:val="00BC5239"/>
    <w:rsid w:val="00BC6615"/>
    <w:rsid w:val="00BC7C88"/>
    <w:rsid w:val="00BD399E"/>
    <w:rsid w:val="00BD46AB"/>
    <w:rsid w:val="00BE1100"/>
    <w:rsid w:val="00BE1297"/>
    <w:rsid w:val="00BE1AA9"/>
    <w:rsid w:val="00BE3C3B"/>
    <w:rsid w:val="00BF2CE8"/>
    <w:rsid w:val="00BF4945"/>
    <w:rsid w:val="00BF53A2"/>
    <w:rsid w:val="00BF79CD"/>
    <w:rsid w:val="00BF7BEB"/>
    <w:rsid w:val="00C029BC"/>
    <w:rsid w:val="00C05181"/>
    <w:rsid w:val="00C1179F"/>
    <w:rsid w:val="00C20DD9"/>
    <w:rsid w:val="00C238B9"/>
    <w:rsid w:val="00C31492"/>
    <w:rsid w:val="00C338B7"/>
    <w:rsid w:val="00C356D5"/>
    <w:rsid w:val="00C37099"/>
    <w:rsid w:val="00C3767D"/>
    <w:rsid w:val="00C412A1"/>
    <w:rsid w:val="00C419FC"/>
    <w:rsid w:val="00C50B18"/>
    <w:rsid w:val="00C50B82"/>
    <w:rsid w:val="00C54128"/>
    <w:rsid w:val="00C573D2"/>
    <w:rsid w:val="00C635C2"/>
    <w:rsid w:val="00C64A78"/>
    <w:rsid w:val="00C736F0"/>
    <w:rsid w:val="00C76334"/>
    <w:rsid w:val="00C80D33"/>
    <w:rsid w:val="00C8123E"/>
    <w:rsid w:val="00C814E6"/>
    <w:rsid w:val="00C8728E"/>
    <w:rsid w:val="00C92A2D"/>
    <w:rsid w:val="00C97EF4"/>
    <w:rsid w:val="00CA0F72"/>
    <w:rsid w:val="00CB6AD6"/>
    <w:rsid w:val="00CC76BE"/>
    <w:rsid w:val="00CC7D3C"/>
    <w:rsid w:val="00CD37D5"/>
    <w:rsid w:val="00CD5199"/>
    <w:rsid w:val="00CD6C64"/>
    <w:rsid w:val="00CE0219"/>
    <w:rsid w:val="00CE43CC"/>
    <w:rsid w:val="00CE6812"/>
    <w:rsid w:val="00CE7BD8"/>
    <w:rsid w:val="00CF0539"/>
    <w:rsid w:val="00CF5EB3"/>
    <w:rsid w:val="00D04442"/>
    <w:rsid w:val="00D047EA"/>
    <w:rsid w:val="00D05C9C"/>
    <w:rsid w:val="00D1156D"/>
    <w:rsid w:val="00D15353"/>
    <w:rsid w:val="00D160FE"/>
    <w:rsid w:val="00D24CD1"/>
    <w:rsid w:val="00D40ED0"/>
    <w:rsid w:val="00D41FF7"/>
    <w:rsid w:val="00D57AF3"/>
    <w:rsid w:val="00D6383F"/>
    <w:rsid w:val="00D65D08"/>
    <w:rsid w:val="00D77671"/>
    <w:rsid w:val="00D84A33"/>
    <w:rsid w:val="00D861E5"/>
    <w:rsid w:val="00D87CD1"/>
    <w:rsid w:val="00DA37F4"/>
    <w:rsid w:val="00DA5318"/>
    <w:rsid w:val="00DA5630"/>
    <w:rsid w:val="00DB5B20"/>
    <w:rsid w:val="00DB5E63"/>
    <w:rsid w:val="00DB6DEE"/>
    <w:rsid w:val="00DB7266"/>
    <w:rsid w:val="00DC5E8F"/>
    <w:rsid w:val="00DD0DE2"/>
    <w:rsid w:val="00DE0CD6"/>
    <w:rsid w:val="00DE1757"/>
    <w:rsid w:val="00DE7042"/>
    <w:rsid w:val="00DF28D9"/>
    <w:rsid w:val="00E04CDB"/>
    <w:rsid w:val="00E05D85"/>
    <w:rsid w:val="00E10F42"/>
    <w:rsid w:val="00E1196C"/>
    <w:rsid w:val="00E15601"/>
    <w:rsid w:val="00E2469B"/>
    <w:rsid w:val="00E317A8"/>
    <w:rsid w:val="00E32B92"/>
    <w:rsid w:val="00E334B0"/>
    <w:rsid w:val="00E40937"/>
    <w:rsid w:val="00E46D4A"/>
    <w:rsid w:val="00E51998"/>
    <w:rsid w:val="00E52B2A"/>
    <w:rsid w:val="00E570E4"/>
    <w:rsid w:val="00E60E43"/>
    <w:rsid w:val="00E64119"/>
    <w:rsid w:val="00E6758D"/>
    <w:rsid w:val="00E80282"/>
    <w:rsid w:val="00E86411"/>
    <w:rsid w:val="00E877EC"/>
    <w:rsid w:val="00E91A44"/>
    <w:rsid w:val="00E9386C"/>
    <w:rsid w:val="00E94334"/>
    <w:rsid w:val="00E950C0"/>
    <w:rsid w:val="00EC25CF"/>
    <w:rsid w:val="00EC513A"/>
    <w:rsid w:val="00ED396F"/>
    <w:rsid w:val="00ED642B"/>
    <w:rsid w:val="00ED7FDF"/>
    <w:rsid w:val="00EE20F4"/>
    <w:rsid w:val="00EE2839"/>
    <w:rsid w:val="00EF1519"/>
    <w:rsid w:val="00EF21D6"/>
    <w:rsid w:val="00EF3B37"/>
    <w:rsid w:val="00F004F9"/>
    <w:rsid w:val="00F060F4"/>
    <w:rsid w:val="00F107C9"/>
    <w:rsid w:val="00F130F7"/>
    <w:rsid w:val="00F21458"/>
    <w:rsid w:val="00F25BA9"/>
    <w:rsid w:val="00F302E1"/>
    <w:rsid w:val="00F3073C"/>
    <w:rsid w:val="00F34211"/>
    <w:rsid w:val="00F35E7C"/>
    <w:rsid w:val="00F36A07"/>
    <w:rsid w:val="00F37248"/>
    <w:rsid w:val="00F40D6D"/>
    <w:rsid w:val="00F418AB"/>
    <w:rsid w:val="00F43921"/>
    <w:rsid w:val="00F43CFF"/>
    <w:rsid w:val="00F44840"/>
    <w:rsid w:val="00F45050"/>
    <w:rsid w:val="00F450A0"/>
    <w:rsid w:val="00F5102E"/>
    <w:rsid w:val="00F51A5A"/>
    <w:rsid w:val="00F52560"/>
    <w:rsid w:val="00F56C7A"/>
    <w:rsid w:val="00F627A1"/>
    <w:rsid w:val="00F64931"/>
    <w:rsid w:val="00F66C3A"/>
    <w:rsid w:val="00F6752C"/>
    <w:rsid w:val="00F70562"/>
    <w:rsid w:val="00F7133E"/>
    <w:rsid w:val="00F81CF9"/>
    <w:rsid w:val="00F83BD9"/>
    <w:rsid w:val="00F860F7"/>
    <w:rsid w:val="00F862FE"/>
    <w:rsid w:val="00F942F9"/>
    <w:rsid w:val="00FA1E44"/>
    <w:rsid w:val="00FA2415"/>
    <w:rsid w:val="00FA7E6B"/>
    <w:rsid w:val="00FB17FE"/>
    <w:rsid w:val="00FB23D8"/>
    <w:rsid w:val="00FB3034"/>
    <w:rsid w:val="00FC4B69"/>
    <w:rsid w:val="00FD3831"/>
    <w:rsid w:val="00FD4576"/>
    <w:rsid w:val="00FD5EA3"/>
    <w:rsid w:val="00FD6719"/>
    <w:rsid w:val="00FD68A2"/>
    <w:rsid w:val="00FD6F1D"/>
    <w:rsid w:val="00FE336F"/>
    <w:rsid w:val="00FE3F9E"/>
    <w:rsid w:val="00FE5D5A"/>
    <w:rsid w:val="00FE6878"/>
    <w:rsid w:val="00FF43A7"/>
    <w:rsid w:val="00FF6374"/>
    <w:rsid w:val="00FF73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71B"/>
    <w:pPr>
      <w:bidi/>
    </w:pPr>
    <w:rPr>
      <w:sz w:val="24"/>
      <w:szCs w:val="24"/>
      <w:lang w:eastAsia="en-US"/>
    </w:rPr>
  </w:style>
  <w:style w:type="paragraph" w:styleId="Heading3">
    <w:name w:val="heading 3"/>
    <w:basedOn w:val="Normal"/>
    <w:next w:val="Normal"/>
    <w:qFormat/>
    <w:rsid w:val="0034171B"/>
    <w:pPr>
      <w:keepNext/>
      <w:bidi w:val="0"/>
      <w:jc w:val="center"/>
      <w:outlineLvl w:val="2"/>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4171B"/>
    <w:pPr>
      <w:bidi w:val="0"/>
      <w:spacing w:before="100" w:beforeAutospacing="1" w:after="100" w:afterAutospacing="1"/>
    </w:pPr>
  </w:style>
  <w:style w:type="character" w:styleId="Strong">
    <w:name w:val="Strong"/>
    <w:qFormat/>
    <w:rsid w:val="0034171B"/>
    <w:rPr>
      <w:b/>
      <w:bCs/>
    </w:rPr>
  </w:style>
  <w:style w:type="character" w:styleId="Hyperlink">
    <w:name w:val="Hyperlink"/>
    <w:uiPriority w:val="99"/>
    <w:rsid w:val="00AE3EB8"/>
    <w:rPr>
      <w:color w:val="0000FF"/>
      <w:u w:val="single"/>
    </w:rPr>
  </w:style>
  <w:style w:type="character" w:customStyle="1" w:styleId="algouri">
    <w:name w:val="algouri"/>
    <w:rsid w:val="00AE3EB8"/>
    <w:rPr>
      <w:strike w:val="0"/>
      <w:dstrike w:val="0"/>
      <w:color w:val="0E7744"/>
      <w:sz w:val="20"/>
      <w:szCs w:val="20"/>
      <w:u w:val="none"/>
      <w:effect w:val="none"/>
    </w:rPr>
  </w:style>
  <w:style w:type="character" w:customStyle="1" w:styleId="ndesc1">
    <w:name w:val="ndesc1"/>
    <w:rsid w:val="00AE3EB8"/>
    <w:rPr>
      <w:rFonts w:ascii="Arial" w:hAnsi="Arial" w:cs="Arial" w:hint="default"/>
      <w:b w:val="0"/>
      <w:bCs w:val="0"/>
      <w:strike w:val="0"/>
      <w:dstrike w:val="0"/>
      <w:color w:val="000000"/>
      <w:sz w:val="24"/>
      <w:szCs w:val="24"/>
      <w:u w:val="none"/>
      <w:effect w:val="none"/>
    </w:rPr>
  </w:style>
  <w:style w:type="paragraph" w:styleId="Caption">
    <w:name w:val="caption"/>
    <w:basedOn w:val="Normal"/>
    <w:next w:val="Normal"/>
    <w:qFormat/>
    <w:rsid w:val="00BE1AA9"/>
    <w:rPr>
      <w:b/>
      <w:bCs/>
      <w:sz w:val="20"/>
      <w:szCs w:val="20"/>
    </w:rPr>
  </w:style>
  <w:style w:type="table" w:styleId="TableGrid">
    <w:name w:val="Table Grid"/>
    <w:basedOn w:val="TableNormal"/>
    <w:rsid w:val="00826BA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FA2415"/>
    <w:rPr>
      <w:rFonts w:cs="Times New Roman"/>
    </w:rPr>
  </w:style>
  <w:style w:type="character" w:customStyle="1" w:styleId="highlight">
    <w:name w:val="highlight"/>
    <w:uiPriority w:val="99"/>
    <w:rsid w:val="00FA2415"/>
    <w:rPr>
      <w:rFonts w:cs="Times New Roman"/>
    </w:rPr>
  </w:style>
  <w:style w:type="paragraph" w:styleId="ListParagraph">
    <w:name w:val="List Paragraph"/>
    <w:basedOn w:val="Normal"/>
    <w:uiPriority w:val="99"/>
    <w:qFormat/>
    <w:rsid w:val="00127148"/>
    <w:pPr>
      <w:bidi w:val="0"/>
      <w:spacing w:after="160" w:line="259" w:lineRule="auto"/>
      <w:ind w:left="720"/>
      <w:contextualSpacing/>
    </w:pPr>
    <w:rPr>
      <w:rFonts w:ascii="Calibri" w:eastAsia="Calibri" w:hAnsi="Calibri" w:cs="Arial"/>
      <w:sz w:val="22"/>
      <w:szCs w:val="22"/>
    </w:rPr>
  </w:style>
  <w:style w:type="paragraph" w:styleId="Title">
    <w:name w:val="Title"/>
    <w:basedOn w:val="Normal"/>
    <w:next w:val="Normal"/>
    <w:link w:val="TitleChar"/>
    <w:qFormat/>
    <w:rsid w:val="006A5D88"/>
    <w:pPr>
      <w:spacing w:before="240" w:after="60"/>
      <w:jc w:val="center"/>
      <w:outlineLvl w:val="0"/>
    </w:pPr>
    <w:rPr>
      <w:rFonts w:ascii="Cambria" w:eastAsia="Times New Roman" w:hAnsi="Cambria"/>
      <w:b/>
      <w:bCs/>
      <w:kern w:val="28"/>
      <w:sz w:val="32"/>
      <w:szCs w:val="32"/>
      <w:lang/>
    </w:rPr>
  </w:style>
  <w:style w:type="character" w:customStyle="1" w:styleId="TitleChar">
    <w:name w:val="Title Char"/>
    <w:link w:val="Title"/>
    <w:rsid w:val="006A5D88"/>
    <w:rPr>
      <w:rFonts w:ascii="Cambria" w:eastAsia="Times New Roman" w:hAnsi="Cambria" w:cs="Times New Roman"/>
      <w:b/>
      <w:bCs/>
      <w:kern w:val="28"/>
      <w:sz w:val="32"/>
      <w:szCs w:val="32"/>
    </w:rPr>
  </w:style>
  <w:style w:type="paragraph" w:styleId="Header">
    <w:name w:val="header"/>
    <w:basedOn w:val="Normal"/>
    <w:link w:val="HeaderChar"/>
    <w:rsid w:val="00A00B3C"/>
    <w:pPr>
      <w:tabs>
        <w:tab w:val="center" w:pos="4680"/>
        <w:tab w:val="right" w:pos="9360"/>
      </w:tabs>
    </w:pPr>
    <w:rPr>
      <w:lang/>
    </w:rPr>
  </w:style>
  <w:style w:type="character" w:customStyle="1" w:styleId="HeaderChar">
    <w:name w:val="Header Char"/>
    <w:link w:val="Header"/>
    <w:rsid w:val="00A00B3C"/>
    <w:rPr>
      <w:sz w:val="24"/>
      <w:szCs w:val="24"/>
    </w:rPr>
  </w:style>
  <w:style w:type="paragraph" w:styleId="Footer">
    <w:name w:val="footer"/>
    <w:basedOn w:val="Normal"/>
    <w:link w:val="FooterChar"/>
    <w:rsid w:val="00A00B3C"/>
    <w:pPr>
      <w:tabs>
        <w:tab w:val="center" w:pos="4680"/>
        <w:tab w:val="right" w:pos="9360"/>
      </w:tabs>
    </w:pPr>
    <w:rPr>
      <w:lang/>
    </w:rPr>
  </w:style>
  <w:style w:type="character" w:customStyle="1" w:styleId="FooterChar">
    <w:name w:val="Footer Char"/>
    <w:link w:val="Footer"/>
    <w:rsid w:val="00A00B3C"/>
    <w:rPr>
      <w:sz w:val="24"/>
      <w:szCs w:val="24"/>
    </w:rPr>
  </w:style>
  <w:style w:type="character" w:customStyle="1" w:styleId="msonormal0">
    <w:name w:val="msonormal0"/>
    <w:basedOn w:val="DefaultParagraphFont"/>
    <w:rsid w:val="00B731DD"/>
  </w:style>
  <w:style w:type="paragraph" w:styleId="BalloonText">
    <w:name w:val="Balloon Text"/>
    <w:basedOn w:val="Normal"/>
    <w:link w:val="BalloonTextChar"/>
    <w:rsid w:val="00330828"/>
    <w:rPr>
      <w:sz w:val="18"/>
      <w:szCs w:val="18"/>
    </w:rPr>
  </w:style>
  <w:style w:type="character" w:customStyle="1" w:styleId="BalloonTextChar">
    <w:name w:val="Balloon Text Char"/>
    <w:basedOn w:val="DefaultParagraphFont"/>
    <w:link w:val="BalloonText"/>
    <w:rsid w:val="00330828"/>
    <w:rPr>
      <w:sz w:val="18"/>
      <w:szCs w:val="18"/>
      <w:lang w:eastAsia="en-US"/>
    </w:rPr>
  </w:style>
  <w:style w:type="paragraph" w:styleId="NoSpacing">
    <w:name w:val="No Spacing"/>
    <w:basedOn w:val="Normal"/>
    <w:link w:val="NoSpacingChar"/>
    <w:qFormat/>
    <w:rsid w:val="00FD5EA3"/>
    <w:pPr>
      <w:bidi w:val="0"/>
      <w:spacing w:before="100" w:beforeAutospacing="1" w:after="100" w:afterAutospacing="1"/>
    </w:pPr>
    <w:rPr>
      <w:lang w:eastAsia="zh-CN"/>
    </w:rPr>
  </w:style>
  <w:style w:type="character" w:customStyle="1" w:styleId="NoSpacingChar">
    <w:name w:val="No Spacing Char"/>
    <w:basedOn w:val="DefaultParagraphFont"/>
    <w:link w:val="NoSpacing"/>
    <w:locked/>
    <w:rsid w:val="00FD5EA3"/>
    <w:rPr>
      <w:rFonts w:eastAsia="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2.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dx.doi.org/10.7537/marscbj100120.08"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5CB2-0DEC-4E2E-8270-77FAC861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4612</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PATIENTS &amp; METHODS</vt:lpstr>
    </vt:vector>
  </TitlesOfParts>
  <Company>&lt;arabianhorse&gt;</Company>
  <LinksUpToDate>false</LinksUpToDate>
  <CharactersWithSpaces>30845</CharactersWithSpaces>
  <SharedDoc>false</SharedDoc>
  <HLinks>
    <vt:vector size="18" baseType="variant">
      <vt:variant>
        <vt:i4>5832762</vt:i4>
      </vt:variant>
      <vt:variant>
        <vt:i4>21</vt:i4>
      </vt:variant>
      <vt:variant>
        <vt:i4>0</vt:i4>
      </vt:variant>
      <vt:variant>
        <vt:i4>5</vt:i4>
      </vt:variant>
      <vt:variant>
        <vt:lpwstr>http://ctep.cancer.gov/protocoldevelopment/electronic_applications/docs/ctcaev3.pdf</vt:lpwstr>
      </vt:variant>
      <vt:variant>
        <vt:lpwstr/>
      </vt:variant>
      <vt:variant>
        <vt:i4>5505026</vt:i4>
      </vt:variant>
      <vt:variant>
        <vt:i4>0</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PATIENTS &amp; METHODS</dc:title>
  <dc:creator>~</dc:creator>
  <cp:lastModifiedBy>Administrator</cp:lastModifiedBy>
  <cp:revision>4</cp:revision>
  <cp:lastPrinted>2020-03-21T00:59:00Z</cp:lastPrinted>
  <dcterms:created xsi:type="dcterms:W3CDTF">2020-03-20T10:28:00Z</dcterms:created>
  <dcterms:modified xsi:type="dcterms:W3CDTF">2020-03-21T00:59:00Z</dcterms:modified>
</cp:coreProperties>
</file>