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C9F" w:rsidRPr="002161A7" w:rsidRDefault="00834C9F" w:rsidP="00834C9F">
      <w:pPr>
        <w:suppressAutoHyphens w:val="0"/>
        <w:snapToGrid w:val="0"/>
        <w:jc w:val="center"/>
        <w:rPr>
          <w:b/>
          <w:sz w:val="20"/>
          <w:szCs w:val="20"/>
          <w:lang w:eastAsia="zh-CN"/>
        </w:rPr>
      </w:pPr>
    </w:p>
    <w:p w:rsidR="00B22A1F" w:rsidRDefault="00B22A1F" w:rsidP="00834C9F">
      <w:pPr>
        <w:suppressAutoHyphens w:val="0"/>
        <w:snapToGrid w:val="0"/>
        <w:jc w:val="center"/>
        <w:rPr>
          <w:b/>
          <w:sz w:val="20"/>
          <w:szCs w:val="20"/>
        </w:rPr>
      </w:pPr>
      <w:r w:rsidRPr="00B22A1F">
        <w:rPr>
          <w:b/>
          <w:sz w:val="20"/>
          <w:szCs w:val="20"/>
        </w:rPr>
        <w:t xml:space="preserve">Diverting stoma after low anterior resection for rectal cancer could reduce postoperative complications: </w:t>
      </w:r>
    </w:p>
    <w:p w:rsidR="00B22A1F" w:rsidRDefault="00B22A1F" w:rsidP="00834C9F">
      <w:pPr>
        <w:suppressAutoHyphens w:val="0"/>
        <w:snapToGrid w:val="0"/>
        <w:jc w:val="center"/>
        <w:rPr>
          <w:sz w:val="20"/>
          <w:szCs w:val="20"/>
        </w:rPr>
      </w:pPr>
      <w:bookmarkStart w:id="0" w:name="_GoBack"/>
      <w:bookmarkEnd w:id="0"/>
      <w:r w:rsidRPr="00B22A1F">
        <w:rPr>
          <w:b/>
          <w:sz w:val="20"/>
          <w:szCs w:val="20"/>
        </w:rPr>
        <w:t>a propensity score matching study</w:t>
      </w:r>
    </w:p>
    <w:p w:rsidR="006277B7" w:rsidRPr="002161A7" w:rsidRDefault="000613F6" w:rsidP="00834C9F">
      <w:pPr>
        <w:suppressAutoHyphens w:val="0"/>
        <w:snapToGrid w:val="0"/>
        <w:jc w:val="center"/>
        <w:rPr>
          <w:sz w:val="20"/>
          <w:szCs w:val="20"/>
        </w:rPr>
      </w:pPr>
      <w:r w:rsidRPr="002161A7">
        <w:rPr>
          <w:sz w:val="20"/>
          <w:szCs w:val="20"/>
        </w:rPr>
        <w:t>Mahmoud R</w:t>
      </w:r>
      <w:r w:rsidR="00834C9F" w:rsidRPr="002161A7">
        <w:rPr>
          <w:sz w:val="20"/>
          <w:szCs w:val="20"/>
        </w:rPr>
        <w:t>. S</w:t>
      </w:r>
      <w:r w:rsidRPr="002161A7">
        <w:rPr>
          <w:sz w:val="20"/>
          <w:szCs w:val="20"/>
        </w:rPr>
        <w:t>hehata</w:t>
      </w:r>
      <w:r w:rsidRPr="002161A7">
        <w:rPr>
          <w:sz w:val="20"/>
          <w:szCs w:val="20"/>
          <w:vertAlign w:val="superscript"/>
        </w:rPr>
        <w:t>3</w:t>
      </w:r>
      <w:r w:rsidRPr="002161A7">
        <w:rPr>
          <w:sz w:val="20"/>
          <w:szCs w:val="20"/>
        </w:rPr>
        <w:t>,</w:t>
      </w:r>
      <w:r w:rsidR="006277B7" w:rsidRPr="002161A7">
        <w:rPr>
          <w:sz w:val="20"/>
          <w:szCs w:val="20"/>
        </w:rPr>
        <w:t xml:space="preserve"> </w:t>
      </w:r>
      <w:r w:rsidRPr="002161A7">
        <w:rPr>
          <w:sz w:val="20"/>
          <w:szCs w:val="20"/>
        </w:rPr>
        <w:t>Abdallah Mohamed Taha</w:t>
      </w:r>
      <w:r w:rsidRPr="002161A7">
        <w:rPr>
          <w:sz w:val="20"/>
          <w:szCs w:val="20"/>
          <w:vertAlign w:val="superscript"/>
        </w:rPr>
        <w:t>2</w:t>
      </w:r>
      <w:r w:rsidRPr="002161A7">
        <w:rPr>
          <w:sz w:val="20"/>
          <w:szCs w:val="20"/>
        </w:rPr>
        <w:t>, Hussein Fakhry</w:t>
      </w:r>
      <w:r w:rsidRPr="002161A7">
        <w:rPr>
          <w:sz w:val="20"/>
          <w:szCs w:val="20"/>
          <w:vertAlign w:val="superscript"/>
        </w:rPr>
        <w:t>1</w:t>
      </w:r>
      <w:r w:rsidRPr="002161A7">
        <w:rPr>
          <w:sz w:val="20"/>
          <w:szCs w:val="20"/>
        </w:rPr>
        <w:t>,</w:t>
      </w:r>
      <w:r w:rsidR="006277B7" w:rsidRPr="002161A7">
        <w:rPr>
          <w:sz w:val="20"/>
          <w:szCs w:val="20"/>
        </w:rPr>
        <w:t xml:space="preserve"> Mohamed El Dosoky</w:t>
      </w:r>
      <w:r w:rsidRPr="002161A7">
        <w:rPr>
          <w:sz w:val="20"/>
          <w:szCs w:val="20"/>
        </w:rPr>
        <w:t>, Muhammad</w:t>
      </w:r>
      <w:r w:rsidR="006277B7" w:rsidRPr="002161A7">
        <w:rPr>
          <w:sz w:val="20"/>
          <w:szCs w:val="20"/>
        </w:rPr>
        <w:t xml:space="preserve"> Abd El-Gawad Shawky</w:t>
      </w:r>
      <w:r w:rsidR="006277B7" w:rsidRPr="002161A7">
        <w:rPr>
          <w:sz w:val="20"/>
          <w:szCs w:val="20"/>
          <w:vertAlign w:val="superscript"/>
        </w:rPr>
        <w:t>5</w:t>
      </w:r>
      <w:r w:rsidR="006277B7" w:rsidRPr="002161A7">
        <w:rPr>
          <w:sz w:val="20"/>
          <w:szCs w:val="20"/>
        </w:rPr>
        <w:t>, Amer yehia</w:t>
      </w:r>
      <w:r w:rsidRPr="002161A7">
        <w:rPr>
          <w:sz w:val="20"/>
          <w:szCs w:val="20"/>
          <w:vertAlign w:val="superscript"/>
        </w:rPr>
        <w:t>6</w:t>
      </w:r>
      <w:r w:rsidRPr="002161A7">
        <w:rPr>
          <w:sz w:val="20"/>
          <w:szCs w:val="20"/>
        </w:rPr>
        <w:t>, Anwar Tawfik</w:t>
      </w:r>
      <w:r w:rsidRPr="002161A7">
        <w:rPr>
          <w:sz w:val="20"/>
          <w:szCs w:val="20"/>
          <w:vertAlign w:val="superscript"/>
        </w:rPr>
        <w:t>1</w:t>
      </w:r>
      <w:r w:rsidR="006277B7" w:rsidRPr="002161A7">
        <w:rPr>
          <w:sz w:val="20"/>
          <w:szCs w:val="20"/>
        </w:rPr>
        <w:t>,</w:t>
      </w:r>
      <w:r w:rsidRPr="002161A7">
        <w:rPr>
          <w:sz w:val="20"/>
          <w:szCs w:val="20"/>
        </w:rPr>
        <w:t xml:space="preserve"> Murad A. Jabir</w:t>
      </w:r>
      <w:r w:rsidRPr="002161A7">
        <w:rPr>
          <w:sz w:val="20"/>
          <w:szCs w:val="20"/>
          <w:vertAlign w:val="superscript"/>
        </w:rPr>
        <w:t>1</w:t>
      </w:r>
      <w:r w:rsidRPr="002161A7">
        <w:rPr>
          <w:sz w:val="20"/>
          <w:szCs w:val="20"/>
        </w:rPr>
        <w:t>.</w:t>
      </w:r>
    </w:p>
    <w:p w:rsidR="000613F6" w:rsidRPr="002161A7" w:rsidRDefault="000613F6" w:rsidP="00834C9F">
      <w:pPr>
        <w:suppressAutoHyphens w:val="0"/>
        <w:snapToGrid w:val="0"/>
        <w:jc w:val="center"/>
        <w:rPr>
          <w:sz w:val="20"/>
          <w:szCs w:val="20"/>
        </w:rPr>
      </w:pPr>
      <w:r w:rsidRPr="002161A7">
        <w:rPr>
          <w:sz w:val="20"/>
          <w:szCs w:val="20"/>
          <w:vertAlign w:val="superscript"/>
        </w:rPr>
        <w:t>1</w:t>
      </w:r>
      <w:r w:rsidRPr="002161A7">
        <w:rPr>
          <w:sz w:val="20"/>
          <w:szCs w:val="20"/>
        </w:rPr>
        <w:t>Department of Surgical Oncology, South Egypt Cancer Institute, Assiut University, Assiut, Egypt.</w:t>
      </w:r>
    </w:p>
    <w:p w:rsidR="000613F6" w:rsidRPr="002161A7" w:rsidRDefault="000613F6" w:rsidP="00834C9F">
      <w:pPr>
        <w:suppressAutoHyphens w:val="0"/>
        <w:adjustRightInd w:val="0"/>
        <w:snapToGrid w:val="0"/>
        <w:jc w:val="center"/>
        <w:rPr>
          <w:sz w:val="20"/>
          <w:szCs w:val="20"/>
        </w:rPr>
      </w:pPr>
      <w:r w:rsidRPr="002161A7">
        <w:rPr>
          <w:sz w:val="20"/>
          <w:szCs w:val="20"/>
          <w:vertAlign w:val="superscript"/>
        </w:rPr>
        <w:t>2</w:t>
      </w:r>
      <w:r w:rsidRPr="002161A7">
        <w:rPr>
          <w:sz w:val="20"/>
          <w:szCs w:val="20"/>
        </w:rPr>
        <w:t>Department of General Surgery, Faculty of Medicine, South Valley University, Qena, Egypt.</w:t>
      </w:r>
    </w:p>
    <w:p w:rsidR="000613F6" w:rsidRPr="002161A7" w:rsidRDefault="000613F6" w:rsidP="00834C9F">
      <w:pPr>
        <w:suppressAutoHyphens w:val="0"/>
        <w:snapToGrid w:val="0"/>
        <w:jc w:val="center"/>
        <w:rPr>
          <w:sz w:val="20"/>
          <w:szCs w:val="20"/>
        </w:rPr>
      </w:pPr>
      <w:r w:rsidRPr="002161A7">
        <w:rPr>
          <w:sz w:val="20"/>
          <w:szCs w:val="20"/>
          <w:vertAlign w:val="superscript"/>
        </w:rPr>
        <w:t>3</w:t>
      </w:r>
      <w:r w:rsidRPr="002161A7">
        <w:rPr>
          <w:sz w:val="20"/>
          <w:szCs w:val="20"/>
        </w:rPr>
        <w:t>Department of General Surgery, Faculty of Medicine, Assiut University, Assiut, Egypt.</w:t>
      </w:r>
    </w:p>
    <w:p w:rsidR="000613F6" w:rsidRPr="002161A7" w:rsidRDefault="000613F6" w:rsidP="00834C9F">
      <w:pPr>
        <w:suppressAutoHyphens w:val="0"/>
        <w:snapToGrid w:val="0"/>
        <w:jc w:val="center"/>
        <w:rPr>
          <w:sz w:val="20"/>
          <w:szCs w:val="20"/>
        </w:rPr>
      </w:pPr>
      <w:r w:rsidRPr="002161A7">
        <w:rPr>
          <w:sz w:val="20"/>
          <w:szCs w:val="20"/>
          <w:vertAlign w:val="superscript"/>
        </w:rPr>
        <w:t>4</w:t>
      </w:r>
      <w:r w:rsidRPr="002161A7">
        <w:rPr>
          <w:sz w:val="20"/>
          <w:szCs w:val="20"/>
        </w:rPr>
        <w:t>Department of General Surgery, Faculty of Medicine, Mansoura University, Assiut, Egypt.</w:t>
      </w:r>
    </w:p>
    <w:p w:rsidR="000613F6" w:rsidRPr="002161A7" w:rsidRDefault="000613F6" w:rsidP="00834C9F">
      <w:pPr>
        <w:suppressAutoHyphens w:val="0"/>
        <w:snapToGrid w:val="0"/>
        <w:jc w:val="center"/>
        <w:rPr>
          <w:sz w:val="20"/>
          <w:szCs w:val="20"/>
        </w:rPr>
      </w:pPr>
      <w:r w:rsidRPr="002161A7">
        <w:rPr>
          <w:sz w:val="20"/>
          <w:szCs w:val="20"/>
          <w:vertAlign w:val="superscript"/>
        </w:rPr>
        <w:t>5</w:t>
      </w:r>
      <w:r w:rsidRPr="002161A7">
        <w:rPr>
          <w:sz w:val="20"/>
          <w:szCs w:val="20"/>
        </w:rPr>
        <w:t>Department of Tropical medicine and Gastroenterology, Al-Azhar University, Assiut, Egypt.</w:t>
      </w:r>
    </w:p>
    <w:p w:rsidR="00A859B0" w:rsidRPr="002161A7" w:rsidRDefault="000613F6" w:rsidP="00834C9F">
      <w:pPr>
        <w:suppressAutoHyphens w:val="0"/>
        <w:snapToGrid w:val="0"/>
        <w:jc w:val="center"/>
        <w:rPr>
          <w:sz w:val="20"/>
          <w:szCs w:val="20"/>
        </w:rPr>
      </w:pPr>
      <w:r w:rsidRPr="002161A7">
        <w:rPr>
          <w:sz w:val="20"/>
          <w:szCs w:val="20"/>
          <w:vertAlign w:val="superscript"/>
        </w:rPr>
        <w:t>6</w:t>
      </w:r>
      <w:r w:rsidRPr="002161A7">
        <w:rPr>
          <w:sz w:val="20"/>
          <w:szCs w:val="20"/>
        </w:rPr>
        <w:t>Department of General Surgery, Faculty of Medicine, Al-Azhar University, Assiut, Egypt.</w:t>
      </w:r>
    </w:p>
    <w:p w:rsidR="006277B7" w:rsidRPr="002161A7" w:rsidRDefault="00F179EA" w:rsidP="00834C9F">
      <w:pPr>
        <w:suppressAutoHyphens w:val="0"/>
        <w:snapToGrid w:val="0"/>
        <w:jc w:val="center"/>
        <w:rPr>
          <w:sz w:val="20"/>
          <w:szCs w:val="20"/>
          <w:lang w:eastAsia="zh-CN"/>
        </w:rPr>
      </w:pPr>
      <w:r w:rsidRPr="002161A7">
        <w:rPr>
          <w:sz w:val="20"/>
          <w:szCs w:val="20"/>
        </w:rPr>
        <w:t xml:space="preserve">E-mail: </w:t>
      </w:r>
      <w:hyperlink r:id="rId7" w:history="1">
        <w:r w:rsidRPr="002161A7">
          <w:rPr>
            <w:rStyle w:val="Hyperlink"/>
            <w:sz w:val="20"/>
            <w:szCs w:val="20"/>
          </w:rPr>
          <w:t>muradjabir@aun.edu.eg</w:t>
        </w:r>
      </w:hyperlink>
    </w:p>
    <w:p w:rsidR="006277B7" w:rsidRPr="002161A7" w:rsidRDefault="00834C9F" w:rsidP="00834C9F">
      <w:pPr>
        <w:suppressAutoHyphens w:val="0"/>
        <w:snapToGrid w:val="0"/>
        <w:jc w:val="center"/>
        <w:rPr>
          <w:sz w:val="20"/>
          <w:szCs w:val="20"/>
          <w:lang w:eastAsia="zh-CN"/>
        </w:rPr>
      </w:pPr>
      <w:r w:rsidRPr="002161A7">
        <w:rPr>
          <w:rFonts w:hint="eastAsia"/>
          <w:sz w:val="20"/>
          <w:szCs w:val="20"/>
          <w:lang w:eastAsia="zh-CN"/>
        </w:rPr>
        <w:t xml:space="preserve"> </w:t>
      </w:r>
    </w:p>
    <w:p w:rsidR="006277B7" w:rsidRPr="002161A7" w:rsidRDefault="00471E57" w:rsidP="002161A7">
      <w:pPr>
        <w:suppressAutoHyphens w:val="0"/>
        <w:snapToGrid w:val="0"/>
        <w:jc w:val="both"/>
        <w:rPr>
          <w:sz w:val="20"/>
          <w:szCs w:val="20"/>
        </w:rPr>
      </w:pPr>
      <w:r w:rsidRPr="002161A7">
        <w:rPr>
          <w:b/>
          <w:sz w:val="20"/>
          <w:szCs w:val="20"/>
        </w:rPr>
        <w:t xml:space="preserve">Abstract: </w:t>
      </w:r>
      <w:r w:rsidR="002C1E10" w:rsidRPr="002161A7">
        <w:rPr>
          <w:sz w:val="20"/>
          <w:szCs w:val="20"/>
        </w:rPr>
        <w:t>Objective: This study evaluates the protective diverting stoma (DS) after low anterior resection (LAR) for rectal cancer regarding its impact on short-term surgical outcomes.</w:t>
      </w:r>
      <w:r w:rsidR="00F179EA" w:rsidRPr="002161A7">
        <w:rPr>
          <w:rFonts w:hint="eastAsia"/>
          <w:sz w:val="20"/>
          <w:szCs w:val="20"/>
          <w:lang w:eastAsia="zh-CN"/>
        </w:rPr>
        <w:t xml:space="preserve"> </w:t>
      </w:r>
      <w:r w:rsidR="002C1E10" w:rsidRPr="002161A7">
        <w:rPr>
          <w:sz w:val="20"/>
          <w:szCs w:val="20"/>
        </w:rPr>
        <w:t>Methods: All patients with rectal carcinoma referred to south Egypt Cancer Institute for surgical management between July 2011, and July 2017, were involved in the study. Patients (203 patients) who underwent LAR for rectal cancer with or without diverting stoma were recruited from our prospectively maintained database. Propensity score matching was used to minimize bias between the group who had diverting stoma and the group who did not have one. Demographic, clinical, operative and short-term surgical outcomes were reviewed and analyzed.</w:t>
      </w:r>
      <w:r w:rsidR="00F179EA" w:rsidRPr="002161A7">
        <w:rPr>
          <w:rFonts w:hint="eastAsia"/>
          <w:sz w:val="20"/>
          <w:szCs w:val="20"/>
          <w:lang w:eastAsia="zh-CN"/>
        </w:rPr>
        <w:t xml:space="preserve"> </w:t>
      </w:r>
      <w:r w:rsidR="002C1E10" w:rsidRPr="002161A7">
        <w:rPr>
          <w:sz w:val="20"/>
          <w:szCs w:val="20"/>
        </w:rPr>
        <w:t>Results: Sixty-one patients were included in each group. No significant difference in the demographic and clinico-pathological data was found between the two groups. The operative parameters between the 2 groups showed no significant differences in surgical approach, intraoperative contaminations or the way of anastomosis. Post-operatively, the overall complications rate was 34.5 %. The stoma group had a statistically significant lower rate of complications compared to patients without stoma (21.3% vs. 38.7, P=0.023). Significant differences were noted in postoperative ileus (P=0.03), pneumonia (P=0.03), surgical site infection (P=0.05), reoperation (P=0.04), and length of hospital stay, (P=0.001). There were no significant statistical differences in incidence of thromboembolic disorders (P=0.52), anastomotic leaks (P=0.07) or hospital mortality (P=0.07). ICU admission rate was significantly less (P=0.05). Conclusion: The diverting stoma after LAR for rectal cancer significantly decreased postoperative complications and the need for reoperation suggesting its protective role after LAR.</w:t>
      </w:r>
    </w:p>
    <w:p w:rsidR="00834C9F" w:rsidRPr="002161A7" w:rsidRDefault="00834C9F" w:rsidP="00834C9F">
      <w:pPr>
        <w:suppressAutoHyphens w:val="0"/>
        <w:snapToGrid w:val="0"/>
        <w:jc w:val="both"/>
        <w:rPr>
          <w:b/>
          <w:sz w:val="20"/>
          <w:szCs w:val="20"/>
          <w:lang w:eastAsia="zh-CN"/>
        </w:rPr>
      </w:pPr>
      <w:r w:rsidRPr="002161A7">
        <w:rPr>
          <w:rFonts w:hint="eastAsia"/>
          <w:b/>
          <w:sz w:val="20"/>
          <w:szCs w:val="20"/>
          <w:lang w:val="en-GB"/>
        </w:rPr>
        <w:t>[</w:t>
      </w:r>
      <w:r w:rsidRPr="002161A7">
        <w:rPr>
          <w:sz w:val="20"/>
          <w:szCs w:val="20"/>
        </w:rPr>
        <w:t xml:space="preserve">Mahmoud R. Shehata, Abdallah Mohamed Taha, Hussein Fakhry, Mohamed El Dosoky, Muhammad Abd El-Gawad Shawky, Amer yehia, Anwar Tawfik, Murad A. Jabir. </w:t>
      </w:r>
      <w:r w:rsidRPr="002161A7">
        <w:rPr>
          <w:b/>
          <w:sz w:val="20"/>
          <w:szCs w:val="20"/>
        </w:rPr>
        <w:t>Impact of diverting stoma in low anterior resection for rectal cancer on short-term surgical outcomes and reoperation</w:t>
      </w:r>
      <w:r w:rsidRPr="002161A7">
        <w:rPr>
          <w:rFonts w:eastAsia="Times New Roman"/>
          <w:b/>
          <w:bCs/>
          <w:sz w:val="20"/>
          <w:szCs w:val="20"/>
          <w:lang w:bidi="fa-IR"/>
        </w:rPr>
        <w:t>.</w:t>
      </w:r>
      <w:r w:rsidRPr="002161A7">
        <w:rPr>
          <w:i/>
          <w:sz w:val="20"/>
          <w:szCs w:val="20"/>
        </w:rPr>
        <w:t xml:space="preserve"> Cancer Biology</w:t>
      </w:r>
      <w:r w:rsidRPr="002161A7">
        <w:rPr>
          <w:sz w:val="20"/>
          <w:szCs w:val="20"/>
        </w:rPr>
        <w:t xml:space="preserve"> 20</w:t>
      </w:r>
      <w:r w:rsidRPr="002161A7">
        <w:rPr>
          <w:rFonts w:hint="eastAsia"/>
          <w:sz w:val="20"/>
          <w:szCs w:val="20"/>
        </w:rPr>
        <w:t>20</w:t>
      </w:r>
      <w:r w:rsidRPr="002161A7">
        <w:rPr>
          <w:sz w:val="20"/>
          <w:szCs w:val="20"/>
        </w:rPr>
        <w:t>;</w:t>
      </w:r>
      <w:r w:rsidRPr="002161A7">
        <w:rPr>
          <w:rFonts w:hint="eastAsia"/>
          <w:sz w:val="20"/>
          <w:szCs w:val="20"/>
        </w:rPr>
        <w:t>10</w:t>
      </w:r>
      <w:r w:rsidRPr="002161A7">
        <w:rPr>
          <w:sz w:val="20"/>
          <w:szCs w:val="20"/>
        </w:rPr>
        <w:t>(</w:t>
      </w:r>
      <w:r w:rsidRPr="002161A7">
        <w:rPr>
          <w:rFonts w:hint="eastAsia"/>
          <w:sz w:val="20"/>
          <w:szCs w:val="20"/>
        </w:rPr>
        <w:t>3</w:t>
      </w:r>
      <w:r w:rsidRPr="002161A7">
        <w:rPr>
          <w:sz w:val="20"/>
          <w:szCs w:val="20"/>
        </w:rPr>
        <w:t>):</w:t>
      </w:r>
      <w:r w:rsidR="00535EB0" w:rsidRPr="002161A7">
        <w:rPr>
          <w:noProof/>
          <w:color w:val="000000"/>
          <w:sz w:val="20"/>
          <w:szCs w:val="20"/>
        </w:rPr>
        <w:t>70-7</w:t>
      </w:r>
      <w:r w:rsidR="002161A7">
        <w:rPr>
          <w:rFonts w:hint="eastAsia"/>
          <w:noProof/>
          <w:color w:val="000000"/>
          <w:sz w:val="20"/>
          <w:szCs w:val="20"/>
          <w:lang w:eastAsia="zh-CN"/>
        </w:rPr>
        <w:t>5</w:t>
      </w:r>
      <w:r w:rsidRPr="002161A7">
        <w:rPr>
          <w:sz w:val="20"/>
          <w:szCs w:val="20"/>
        </w:rPr>
        <w:t xml:space="preserve">]. </w:t>
      </w:r>
      <w:r w:rsidRPr="002161A7">
        <w:rPr>
          <w:rStyle w:val="msonormal0"/>
          <w:rFonts w:eastAsia="宋"/>
          <w:sz w:val="20"/>
          <w:szCs w:val="20"/>
        </w:rPr>
        <w:t>ISSN: 2150-1041 (print); ISSN: 2150-105X (online)</w:t>
      </w:r>
      <w:r w:rsidRPr="002161A7">
        <w:rPr>
          <w:sz w:val="20"/>
          <w:szCs w:val="20"/>
        </w:rPr>
        <w:t xml:space="preserve">. </w:t>
      </w:r>
      <w:hyperlink r:id="rId8" w:history="1">
        <w:r w:rsidRPr="002161A7">
          <w:rPr>
            <w:rStyle w:val="Hyperlink"/>
            <w:sz w:val="20"/>
            <w:szCs w:val="20"/>
          </w:rPr>
          <w:t>http://www.cancerbio.net</w:t>
        </w:r>
      </w:hyperlink>
      <w:r w:rsidRPr="002161A7">
        <w:rPr>
          <w:sz w:val="20"/>
          <w:szCs w:val="20"/>
        </w:rPr>
        <w:t>.</w:t>
      </w:r>
      <w:r w:rsidRPr="002161A7">
        <w:rPr>
          <w:rFonts w:hint="eastAsia"/>
          <w:sz w:val="20"/>
          <w:szCs w:val="20"/>
        </w:rPr>
        <w:t xml:space="preserve"> </w:t>
      </w:r>
      <w:r w:rsidRPr="002161A7">
        <w:rPr>
          <w:rFonts w:hint="eastAsia"/>
          <w:sz w:val="20"/>
          <w:szCs w:val="20"/>
          <w:lang w:eastAsia="zh-CN"/>
        </w:rPr>
        <w:t>6</w:t>
      </w:r>
      <w:r w:rsidRPr="002161A7">
        <w:rPr>
          <w:rFonts w:hint="eastAsia"/>
          <w:sz w:val="20"/>
          <w:szCs w:val="20"/>
        </w:rPr>
        <w:t xml:space="preserve">. </w:t>
      </w:r>
      <w:r w:rsidRPr="002161A7">
        <w:rPr>
          <w:color w:val="000000"/>
          <w:sz w:val="20"/>
          <w:szCs w:val="20"/>
          <w:shd w:val="clear" w:color="auto" w:fill="FFFFFF"/>
        </w:rPr>
        <w:t>doi:</w:t>
      </w:r>
      <w:hyperlink r:id="rId9" w:history="1">
        <w:r w:rsidRPr="002161A7">
          <w:rPr>
            <w:rStyle w:val="Hyperlink"/>
            <w:sz w:val="20"/>
            <w:szCs w:val="20"/>
            <w:shd w:val="clear" w:color="auto" w:fill="FFFFFF"/>
          </w:rPr>
          <w:t>10.7537/mars</w:t>
        </w:r>
        <w:r w:rsidRPr="002161A7">
          <w:rPr>
            <w:rStyle w:val="Hyperlink"/>
            <w:rFonts w:hint="eastAsia"/>
            <w:sz w:val="20"/>
            <w:szCs w:val="20"/>
            <w:shd w:val="clear" w:color="auto" w:fill="FFFFFF"/>
          </w:rPr>
          <w:t>cbj100320.</w:t>
        </w:r>
        <w:r w:rsidRPr="002161A7">
          <w:rPr>
            <w:rStyle w:val="Hyperlink"/>
            <w:sz w:val="20"/>
            <w:szCs w:val="20"/>
            <w:shd w:val="clear" w:color="auto" w:fill="FFFFFF"/>
          </w:rPr>
          <w:t>0</w:t>
        </w:r>
        <w:r w:rsidRPr="002161A7">
          <w:rPr>
            <w:rStyle w:val="Hyperlink"/>
            <w:rFonts w:hint="eastAsia"/>
            <w:sz w:val="20"/>
            <w:szCs w:val="20"/>
            <w:shd w:val="clear" w:color="auto" w:fill="FFFFFF"/>
            <w:lang w:eastAsia="zh-CN"/>
          </w:rPr>
          <w:t>6</w:t>
        </w:r>
      </w:hyperlink>
      <w:r w:rsidRPr="002161A7">
        <w:rPr>
          <w:color w:val="000000"/>
          <w:sz w:val="20"/>
          <w:szCs w:val="20"/>
          <w:shd w:val="clear" w:color="auto" w:fill="FFFFFF"/>
        </w:rPr>
        <w:t>.</w:t>
      </w:r>
    </w:p>
    <w:p w:rsidR="001817C7" w:rsidRPr="002161A7" w:rsidRDefault="001817C7" w:rsidP="00834C9F">
      <w:pPr>
        <w:suppressAutoHyphens w:val="0"/>
        <w:snapToGrid w:val="0"/>
        <w:jc w:val="both"/>
        <w:rPr>
          <w:sz w:val="20"/>
          <w:szCs w:val="20"/>
        </w:rPr>
      </w:pPr>
    </w:p>
    <w:p w:rsidR="001817C7" w:rsidRPr="002161A7" w:rsidRDefault="001817C7" w:rsidP="00834C9F">
      <w:pPr>
        <w:suppressAutoHyphens w:val="0"/>
        <w:snapToGrid w:val="0"/>
        <w:jc w:val="both"/>
        <w:rPr>
          <w:sz w:val="20"/>
          <w:szCs w:val="20"/>
        </w:rPr>
      </w:pPr>
      <w:r w:rsidRPr="002161A7">
        <w:rPr>
          <w:b/>
          <w:sz w:val="20"/>
          <w:szCs w:val="20"/>
        </w:rPr>
        <w:t>Keywords:</w:t>
      </w:r>
      <w:r w:rsidR="002C1E10" w:rsidRPr="002161A7">
        <w:rPr>
          <w:sz w:val="20"/>
          <w:szCs w:val="20"/>
        </w:rPr>
        <w:t xml:space="preserve"> Rectal cancer; Surgical Stomas; Anterior resection; Colon; GIT surgery.</w:t>
      </w:r>
    </w:p>
    <w:p w:rsidR="002F20CD" w:rsidRPr="002161A7" w:rsidRDefault="002F20CD" w:rsidP="00834C9F">
      <w:pPr>
        <w:suppressAutoHyphens w:val="0"/>
        <w:snapToGrid w:val="0"/>
        <w:jc w:val="both"/>
        <w:rPr>
          <w:b/>
          <w:sz w:val="20"/>
          <w:szCs w:val="20"/>
          <w:lang w:eastAsia="zh-CN"/>
        </w:rPr>
      </w:pPr>
    </w:p>
    <w:p w:rsidR="00834C9F" w:rsidRPr="002161A7" w:rsidRDefault="00834C9F" w:rsidP="00834C9F">
      <w:pPr>
        <w:suppressAutoHyphens w:val="0"/>
        <w:snapToGrid w:val="0"/>
        <w:jc w:val="both"/>
        <w:rPr>
          <w:b/>
          <w:sz w:val="20"/>
          <w:szCs w:val="20"/>
        </w:rPr>
        <w:sectPr w:rsidR="00834C9F" w:rsidRPr="002161A7" w:rsidSect="00535EB0">
          <w:headerReference w:type="default" r:id="rId10"/>
          <w:footerReference w:type="even" r:id="rId11"/>
          <w:footerReference w:type="default" r:id="rId12"/>
          <w:footnotePr>
            <w:pos w:val="beneathText"/>
          </w:footnotePr>
          <w:type w:val="continuous"/>
          <w:pgSz w:w="12240" w:h="15840" w:code="1"/>
          <w:pgMar w:top="1440" w:right="1440" w:bottom="1440" w:left="1440" w:header="720" w:footer="720" w:gutter="0"/>
          <w:pgNumType w:start="70"/>
          <w:cols w:space="720"/>
          <w:docGrid w:linePitch="360"/>
        </w:sectPr>
      </w:pPr>
    </w:p>
    <w:p w:rsidR="00471E57" w:rsidRPr="002161A7" w:rsidRDefault="00471E57" w:rsidP="00834C9F">
      <w:pPr>
        <w:suppressAutoHyphens w:val="0"/>
        <w:snapToGrid w:val="0"/>
        <w:jc w:val="both"/>
        <w:rPr>
          <w:b/>
          <w:sz w:val="20"/>
          <w:szCs w:val="20"/>
        </w:rPr>
      </w:pPr>
      <w:r w:rsidRPr="002161A7">
        <w:rPr>
          <w:b/>
          <w:sz w:val="20"/>
          <w:szCs w:val="20"/>
        </w:rPr>
        <w:lastRenderedPageBreak/>
        <w:t>1. Introduction</w:t>
      </w:r>
    </w:p>
    <w:p w:rsidR="002161A7" w:rsidRPr="002161A7" w:rsidRDefault="002C1E10" w:rsidP="002161A7">
      <w:pPr>
        <w:suppressAutoHyphens w:val="0"/>
        <w:snapToGrid w:val="0"/>
        <w:ind w:firstLine="425"/>
        <w:jc w:val="both"/>
        <w:rPr>
          <w:b/>
          <w:sz w:val="20"/>
          <w:szCs w:val="20"/>
          <w:lang w:eastAsia="zh-CN"/>
        </w:rPr>
      </w:pPr>
      <w:r w:rsidRPr="002161A7">
        <w:rPr>
          <w:sz w:val="20"/>
          <w:szCs w:val="20"/>
        </w:rPr>
        <w:t xml:space="preserve">Intestinal anastomotic leaks may be associated with decreased local control and survival [1, 2] and it is one of the most fatal complications that may occur following low anterior </w:t>
      </w:r>
      <w:r w:rsidR="00317BDD" w:rsidRPr="002161A7">
        <w:rPr>
          <w:sz w:val="20"/>
          <w:szCs w:val="20"/>
        </w:rPr>
        <w:t>resection (</w:t>
      </w:r>
      <w:r w:rsidRPr="002161A7">
        <w:rPr>
          <w:sz w:val="20"/>
          <w:szCs w:val="20"/>
        </w:rPr>
        <w:t>LAR) for rectal cancer [3]. Even experienced surgeons may find difficulties in predicting which patient will have an anastomotic leak since leaks may occur even when the anastomosis is technically sound and the risk factors for leakage seem to be absent. When leakage occurs, it may be associated with increased morbidity, mortality, duration of hospital stay, as well as impairment of the short- or long-term quality of life [4, 5].</w:t>
      </w:r>
      <w:r w:rsidR="00471E57" w:rsidRPr="002161A7">
        <w:rPr>
          <w:sz w:val="20"/>
          <w:szCs w:val="20"/>
        </w:rPr>
        <w:t xml:space="preserve"> </w:t>
      </w:r>
      <w:r w:rsidRPr="002161A7">
        <w:rPr>
          <w:sz w:val="20"/>
          <w:szCs w:val="20"/>
        </w:rPr>
        <w:t xml:space="preserve">The role of a temporary diverting stoma in patients undergoing low anterior resection remains controversial. Some authors believe that the risk of leakage is sufficiently low so that routine diversion is </w:t>
      </w:r>
      <w:r w:rsidRPr="002161A7">
        <w:rPr>
          <w:sz w:val="20"/>
          <w:szCs w:val="20"/>
        </w:rPr>
        <w:lastRenderedPageBreak/>
        <w:t>unnecessary [6]. Others have suggested reconstructing a protective stoma in risky patients such as those who undergo total meso-rectal excision (TME) with neo-adjuvant treatment, obese patients and those with low anastomoses as well as technically demanding procedures [7-9]. The aim of this study was to evaluate the impact of protective diverting stoma after low anterior resection for rectal cancer on short-term surgical outcomes.</w:t>
      </w:r>
      <w:r w:rsidR="002161A7">
        <w:rPr>
          <w:rFonts w:hint="eastAsia"/>
          <w:sz w:val="20"/>
          <w:szCs w:val="20"/>
          <w:lang w:eastAsia="zh-CN"/>
        </w:rPr>
        <w:t xml:space="preserve"> </w:t>
      </w:r>
    </w:p>
    <w:p w:rsidR="00535EB0" w:rsidRPr="002161A7" w:rsidRDefault="00535EB0" w:rsidP="00834C9F">
      <w:pPr>
        <w:tabs>
          <w:tab w:val="left" w:pos="6186"/>
        </w:tabs>
        <w:suppressAutoHyphens w:val="0"/>
        <w:snapToGrid w:val="0"/>
        <w:ind w:firstLine="425"/>
        <w:jc w:val="both"/>
        <w:rPr>
          <w:sz w:val="20"/>
          <w:szCs w:val="20"/>
        </w:rPr>
        <w:sectPr w:rsidR="00535EB0" w:rsidRPr="002161A7" w:rsidSect="00834C9F">
          <w:footnotePr>
            <w:pos w:val="beneathText"/>
          </w:footnotePr>
          <w:type w:val="continuous"/>
          <w:pgSz w:w="12240" w:h="15840" w:code="1"/>
          <w:pgMar w:top="1440" w:right="1440" w:bottom="1440" w:left="1440" w:header="720" w:footer="720" w:gutter="0"/>
          <w:cols w:num="2" w:space="600"/>
          <w:docGrid w:linePitch="360"/>
        </w:sectPr>
      </w:pPr>
    </w:p>
    <w:p w:rsidR="002161A7" w:rsidRDefault="002161A7" w:rsidP="002161A7">
      <w:pPr>
        <w:suppressAutoHyphens w:val="0"/>
        <w:snapToGrid w:val="0"/>
        <w:jc w:val="both"/>
        <w:rPr>
          <w:b/>
          <w:sz w:val="20"/>
          <w:szCs w:val="20"/>
          <w:lang w:eastAsia="zh-CN"/>
        </w:rPr>
      </w:pPr>
      <w:r w:rsidRPr="002161A7">
        <w:rPr>
          <w:b/>
          <w:sz w:val="20"/>
          <w:szCs w:val="20"/>
        </w:rPr>
        <w:lastRenderedPageBreak/>
        <w:t xml:space="preserve">2. Material and Methods </w:t>
      </w:r>
    </w:p>
    <w:p w:rsidR="002C1E10" w:rsidRPr="002161A7" w:rsidRDefault="002161A7" w:rsidP="002161A7">
      <w:pPr>
        <w:suppressAutoHyphens w:val="0"/>
        <w:snapToGrid w:val="0"/>
        <w:ind w:firstLine="425"/>
        <w:jc w:val="both"/>
        <w:rPr>
          <w:sz w:val="20"/>
          <w:szCs w:val="20"/>
        </w:rPr>
      </w:pPr>
      <w:r w:rsidRPr="002161A7">
        <w:rPr>
          <w:sz w:val="20"/>
          <w:szCs w:val="20"/>
        </w:rPr>
        <w:t xml:space="preserve">This study includes 203 patients who were </w:t>
      </w:r>
      <w:r w:rsidR="002C1E10" w:rsidRPr="002161A7">
        <w:rPr>
          <w:sz w:val="20"/>
          <w:szCs w:val="20"/>
        </w:rPr>
        <w:t>pathologically diagnosed with rectal cancer and undergone low anterior resection in the period from July 2011 to July 2017.</w:t>
      </w:r>
      <w:r w:rsidR="006277B7" w:rsidRPr="002161A7">
        <w:rPr>
          <w:sz w:val="20"/>
          <w:szCs w:val="20"/>
        </w:rPr>
        <w:t xml:space="preserve"> </w:t>
      </w:r>
      <w:r w:rsidR="002C1E10" w:rsidRPr="002161A7">
        <w:rPr>
          <w:sz w:val="20"/>
          <w:szCs w:val="20"/>
        </w:rPr>
        <w:t>Patients were eligible for this study if they had primary rectal cancer in which the lower edge of the tumor was within 10 cm from the anal verge. For inclusion in this study, patients had to fulfill the following requirements preoperatively: age greater than 20 years; rectal adenocarcinoma proven on preoperative pathologic examination; no multiple rectal lesions; and receipt of LAR with hand sewn or stapler anastomosis. Exclusion criteria were an emergency operation for bowel obstruction and a history of major colorectal surgery. Clinical staging was done using one or more of the following methods: digital rectal examination, proctoscopy, barium enema, CT, MRI, and colonoscopy examination. The patients were given sufficient information about the procedure and written informed consents were obtained. The study was approved by the ethical committee at south Egypt cancer institute. The following parameters have been obtained from our institutional prospectively maintained database: demographic and clinico-pathological characteristics, surgical outcomes and complications and short postoperative outcomes and complications. Surgeries were performed by expert surgeons in colorectal surgeries. The finally recruited 203 patients were divided into two groups (those with or those without protective stoma after LAR). To reduce the bias between the groups, analysis by propensity score matching was performed. Propensity scoring was done by a logistic regression model and 1:1 matching technique using the following parameters: sex, age, body mass index (BMI), American Society of Anesthesia (ASA), pathological tumor staging (pTNM), neo-adjuvant therapy, laparoscopic or open procedure, anastomotic type (hand sewn or stapled) as well as serum albumin level and tumor size. Finally 61 patients were included in each group. The two groups were compared for the following: postoperative complications including anastomotic leak, ICU admission, hospital readmission within 30 days, lengths of hospital stay, reoperation and 30 day hospital mortality.</w:t>
      </w:r>
    </w:p>
    <w:p w:rsidR="002C1E10" w:rsidRPr="002161A7" w:rsidRDefault="002C1E10" w:rsidP="00834C9F">
      <w:pPr>
        <w:suppressAutoHyphens w:val="0"/>
        <w:autoSpaceDE w:val="0"/>
        <w:autoSpaceDN w:val="0"/>
        <w:adjustRightInd w:val="0"/>
        <w:snapToGrid w:val="0"/>
        <w:ind w:firstLine="425"/>
        <w:jc w:val="both"/>
        <w:rPr>
          <w:sz w:val="20"/>
          <w:szCs w:val="20"/>
        </w:rPr>
      </w:pPr>
      <w:r w:rsidRPr="002161A7">
        <w:rPr>
          <w:sz w:val="20"/>
          <w:szCs w:val="20"/>
        </w:rPr>
        <w:t>Definition of anastomotic leakage (AL):</w:t>
      </w:r>
    </w:p>
    <w:p w:rsidR="002C1E10" w:rsidRDefault="00834C9F" w:rsidP="00834C9F">
      <w:pPr>
        <w:suppressAutoHyphens w:val="0"/>
        <w:autoSpaceDE w:val="0"/>
        <w:autoSpaceDN w:val="0"/>
        <w:adjustRightInd w:val="0"/>
        <w:snapToGrid w:val="0"/>
        <w:ind w:firstLine="425"/>
        <w:jc w:val="both"/>
        <w:rPr>
          <w:sz w:val="20"/>
          <w:szCs w:val="20"/>
          <w:lang w:eastAsia="zh-CN"/>
        </w:rPr>
      </w:pPr>
      <w:r w:rsidRPr="002161A7">
        <w:rPr>
          <w:rFonts w:hint="eastAsia"/>
          <w:sz w:val="20"/>
          <w:szCs w:val="20"/>
          <w:lang w:eastAsia="zh-CN"/>
        </w:rPr>
        <w:t>C</w:t>
      </w:r>
      <w:r w:rsidR="002C1E10" w:rsidRPr="002161A7">
        <w:rPr>
          <w:sz w:val="20"/>
          <w:szCs w:val="20"/>
        </w:rPr>
        <w:t>ompromised intestinal wall integrity at the colorectal or coloanal anastomotic site, including the suture and staple lines of neo-rec</w:t>
      </w:r>
      <w:r w:rsidR="002C1E10" w:rsidRPr="002161A7">
        <w:rPr>
          <w:sz w:val="20"/>
          <w:szCs w:val="20"/>
        </w:rPr>
        <w:softHyphen/>
        <w:t>tal reservoirs that result in communica</w:t>
      </w:r>
      <w:r w:rsidR="002C1E10" w:rsidRPr="002161A7">
        <w:rPr>
          <w:sz w:val="20"/>
          <w:szCs w:val="20"/>
        </w:rPr>
        <w:softHyphen/>
        <w:t>tion between the intra- and extra-</w:t>
      </w:r>
      <w:r w:rsidR="002C1E10" w:rsidRPr="002161A7">
        <w:rPr>
          <w:sz w:val="20"/>
          <w:szCs w:val="20"/>
        </w:rPr>
        <w:lastRenderedPageBreak/>
        <w:t>luminal com</w:t>
      </w:r>
      <w:r w:rsidR="002C1E10" w:rsidRPr="002161A7">
        <w:rPr>
          <w:sz w:val="20"/>
          <w:szCs w:val="20"/>
        </w:rPr>
        <w:softHyphen/>
        <w:t xml:space="preserve">partments </w:t>
      </w:r>
      <w:r w:rsidR="00923E65" w:rsidRPr="002161A7">
        <w:rPr>
          <w:sz w:val="20"/>
          <w:szCs w:val="20"/>
        </w:rPr>
        <w:fldChar w:fldCharType="begin"/>
      </w:r>
      <w:r w:rsidR="002C1E10" w:rsidRPr="002161A7">
        <w:rPr>
          <w:sz w:val="20"/>
          <w:szCs w:val="20"/>
        </w:rPr>
        <w:instrText xml:space="preserve"> ADDIN EN.CITE &lt;EndNote&gt;&lt;Cite&gt;&lt;Author&gt;Rahbari&lt;/Author&gt;&lt;Year&gt;2010&lt;/Year&gt;&lt;RecNum&gt;2637&lt;/RecNum&gt;&lt;DisplayText&gt;[3]&lt;/DisplayText&gt;&lt;record&gt;&lt;rec-number&gt;2637&lt;/rec-number&gt;&lt;foreign-keys&gt;&lt;key app="EN" db-id="pfwapxsxp0ezflesvzlps50jrdzrvadxet0f" timestamp="1508323377"&gt;2637&lt;/key&gt;&lt;/foreign-keys&gt;&lt;ref-type name="Journal Article"&gt;17&lt;/ref-type&gt;&lt;contributors&gt;&lt;authors&gt;&lt;author&gt;Rahbari, N. N.&lt;/author&gt;&lt;author&gt;Weitz, J.&lt;/author&gt;&lt;author&gt;Hohenberger, W.&lt;/author&gt;&lt;author&gt;Heald, R. J.&lt;/author&gt;&lt;author&gt;Moran, B.&lt;/author&gt;&lt;author&gt;Ulrich, A.&lt;/author&gt;&lt;author&gt;Holm, T.&lt;/author&gt;&lt;author&gt;Wong, W. D.&lt;/author&gt;&lt;author&gt;Tiret, E.&lt;/author&gt;&lt;author&gt;Moriya, Y.&lt;/author&gt;&lt;author&gt;Laurberg, S.&lt;/author&gt;&lt;author&gt;den Dulk, M.&lt;/author&gt;&lt;author&gt;van de Velde, C.&lt;/author&gt;&lt;author&gt;Buchler, M. W.&lt;/author&gt;&lt;/authors&gt;&lt;/contributors&gt;&lt;auth-address&gt;Department of General, Visceral and Transplantation Surgery, University of Heidelberg, Heidelberg, Germany.&lt;/auth-address&gt;&lt;titles&gt;&lt;title&gt;Definition and grading of anastomotic leakage following anterior resection of the rectum: a proposal by the International Study Group of Rectal Cancer&lt;/title&gt;&lt;secondary-title&gt;Surgery&lt;/secondary-title&gt;&lt;/titles&gt;&lt;periodical&gt;&lt;full-title&gt;Surgery&lt;/full-title&gt;&lt;abbr-1&gt;Surgery&lt;/abbr-1&gt;&lt;/periodical&gt;&lt;pages&gt;339-51&lt;/pages&gt;&lt;volume&gt;147&lt;/volume&gt;&lt;number&gt;3&lt;/number&gt;&lt;keywords&gt;&lt;keyword&gt;Anastomosis, Surgical/adverse effects&lt;/keyword&gt;&lt;keyword&gt;Colostomy/*adverse effects&lt;/keyword&gt;&lt;keyword&gt;Humans&lt;/keyword&gt;&lt;keyword&gt;Rectal Neoplasms/*surgery&lt;/keyword&gt;&lt;keyword&gt;*Severity of Illness Index&lt;/keyword&gt;&lt;keyword&gt;Suture Techniques/adverse effects&lt;/keyword&gt;&lt;/keywords&gt;&lt;dates&gt;&lt;year&gt;2010&lt;/year&gt;&lt;pub-dates&gt;&lt;date&gt;Mar&lt;/date&gt;&lt;/pub-dates&gt;&lt;/dates&gt;&lt;isbn&gt;1532-7361 (Electronic)&amp;#xD;0039-6060 (Linking)&lt;/isbn&gt;&lt;accession-num&gt;20004450&lt;/accession-num&gt;&lt;urls&gt;&lt;related-urls&gt;&lt;url&gt;https://www.ncbi.nlm.nih.gov/pubmed/20004450&lt;/url&gt;&lt;/related-urls&gt;&lt;/urls&gt;&lt;electronic-resource-num&gt;10.1016/j.surg.2009.10.012&lt;/electronic-resource-num&gt;&lt;/record&gt;&lt;/Cite&gt;&lt;/EndNote&gt;</w:instrText>
      </w:r>
      <w:r w:rsidR="00923E65" w:rsidRPr="002161A7">
        <w:rPr>
          <w:sz w:val="20"/>
          <w:szCs w:val="20"/>
        </w:rPr>
        <w:fldChar w:fldCharType="separate"/>
      </w:r>
      <w:r w:rsidR="002C1E10" w:rsidRPr="002161A7">
        <w:rPr>
          <w:sz w:val="20"/>
          <w:szCs w:val="20"/>
        </w:rPr>
        <w:t>[3]</w:t>
      </w:r>
      <w:r w:rsidR="00923E65" w:rsidRPr="002161A7">
        <w:rPr>
          <w:sz w:val="20"/>
          <w:szCs w:val="20"/>
        </w:rPr>
        <w:fldChar w:fldCharType="end"/>
      </w:r>
      <w:r w:rsidR="002C1E10" w:rsidRPr="002161A7">
        <w:rPr>
          <w:sz w:val="20"/>
          <w:szCs w:val="20"/>
        </w:rPr>
        <w:t>. Clinical symptoms caused by AL were defined as the emission of gas, pus, or feces from the drain or wound or the vagina. Contrast enema radiography and CT were used to confirm any clinically suspicious symptoms, such as fever, peritonitis, or turbid drain discharge to be related to the anastomotic site or not. If imaging studies revealed the absence of anastomotic insufficiency, they were defined as pelvic abscess and not as AL.</w:t>
      </w:r>
    </w:p>
    <w:p w:rsidR="002161A7" w:rsidRPr="002161A7" w:rsidRDefault="002161A7" w:rsidP="00834C9F">
      <w:pPr>
        <w:suppressAutoHyphens w:val="0"/>
        <w:autoSpaceDE w:val="0"/>
        <w:autoSpaceDN w:val="0"/>
        <w:adjustRightInd w:val="0"/>
        <w:snapToGrid w:val="0"/>
        <w:ind w:firstLine="425"/>
        <w:jc w:val="both"/>
        <w:rPr>
          <w:sz w:val="20"/>
          <w:szCs w:val="20"/>
          <w:lang w:eastAsia="zh-CN"/>
        </w:rPr>
      </w:pPr>
    </w:p>
    <w:p w:rsidR="002C1E10" w:rsidRPr="002161A7" w:rsidRDefault="002C1E10" w:rsidP="00834C9F">
      <w:pPr>
        <w:pStyle w:val="Pa12"/>
        <w:snapToGrid w:val="0"/>
        <w:spacing w:line="240" w:lineRule="auto"/>
        <w:jc w:val="both"/>
        <w:rPr>
          <w:rFonts w:ascii="Times New Roman" w:eastAsia="SimSun" w:hAnsi="Times New Roman" w:cs="Times New Roman"/>
          <w:b/>
          <w:sz w:val="20"/>
          <w:szCs w:val="20"/>
          <w:lang w:eastAsia="ar-SA"/>
        </w:rPr>
      </w:pPr>
      <w:r w:rsidRPr="002161A7">
        <w:rPr>
          <w:rFonts w:ascii="Times New Roman" w:eastAsia="SimSun" w:hAnsi="Times New Roman" w:cs="Times New Roman"/>
          <w:b/>
          <w:sz w:val="20"/>
          <w:szCs w:val="20"/>
          <w:lang w:eastAsia="ar-SA"/>
        </w:rPr>
        <w:t>Statistical analysis</w:t>
      </w:r>
      <w:r w:rsidR="00066778" w:rsidRPr="002161A7">
        <w:rPr>
          <w:rFonts w:ascii="Times New Roman" w:eastAsia="SimSun" w:hAnsi="Times New Roman" w:cs="Times New Roman"/>
          <w:b/>
          <w:sz w:val="20"/>
          <w:szCs w:val="20"/>
          <w:lang w:eastAsia="ar-SA"/>
        </w:rPr>
        <w:t>:</w:t>
      </w:r>
    </w:p>
    <w:p w:rsidR="00C44596" w:rsidRDefault="002C1E10" w:rsidP="00834C9F">
      <w:pPr>
        <w:suppressAutoHyphens w:val="0"/>
        <w:snapToGrid w:val="0"/>
        <w:ind w:firstLine="425"/>
        <w:jc w:val="both"/>
        <w:rPr>
          <w:sz w:val="20"/>
          <w:szCs w:val="20"/>
          <w:lang w:eastAsia="zh-CN"/>
        </w:rPr>
      </w:pPr>
      <w:r w:rsidRPr="002161A7">
        <w:rPr>
          <w:sz w:val="20"/>
          <w:szCs w:val="20"/>
        </w:rPr>
        <w:t>Statistical package SPSS version 19 (SPSS, Chicago, IL, USA) was used to analyze data. Chi square test was used for categorical data and the Student’s t-test used for continuous data. Data presented as numbers, percentage, and arithmetic mean (M) and standard deviation (SD). All P values refer to two-sided tests, and were considered statistically significant if P value ≤ 0.05.</w:t>
      </w:r>
    </w:p>
    <w:p w:rsidR="002161A7" w:rsidRPr="002161A7" w:rsidRDefault="002161A7" w:rsidP="00834C9F">
      <w:pPr>
        <w:suppressAutoHyphens w:val="0"/>
        <w:snapToGrid w:val="0"/>
        <w:ind w:firstLine="425"/>
        <w:jc w:val="both"/>
        <w:rPr>
          <w:sz w:val="20"/>
          <w:szCs w:val="20"/>
          <w:lang w:eastAsia="zh-CN"/>
        </w:rPr>
      </w:pPr>
    </w:p>
    <w:p w:rsidR="00471E57" w:rsidRPr="002161A7" w:rsidRDefault="00471E57" w:rsidP="00834C9F">
      <w:pPr>
        <w:suppressAutoHyphens w:val="0"/>
        <w:snapToGrid w:val="0"/>
        <w:jc w:val="both"/>
        <w:rPr>
          <w:b/>
          <w:sz w:val="20"/>
          <w:szCs w:val="20"/>
        </w:rPr>
      </w:pPr>
      <w:r w:rsidRPr="002161A7">
        <w:rPr>
          <w:b/>
          <w:sz w:val="20"/>
          <w:szCs w:val="20"/>
        </w:rPr>
        <w:t xml:space="preserve">3. Results </w:t>
      </w:r>
    </w:p>
    <w:p w:rsidR="006277B7" w:rsidRDefault="001E6601" w:rsidP="00834C9F">
      <w:pPr>
        <w:suppressAutoHyphens w:val="0"/>
        <w:snapToGrid w:val="0"/>
        <w:ind w:firstLine="425"/>
        <w:jc w:val="both"/>
        <w:rPr>
          <w:sz w:val="20"/>
          <w:szCs w:val="20"/>
          <w:lang w:eastAsia="zh-CN"/>
        </w:rPr>
      </w:pPr>
      <w:r w:rsidRPr="002161A7">
        <w:rPr>
          <w:sz w:val="20"/>
          <w:szCs w:val="20"/>
        </w:rPr>
        <w:t>Characteristics of the patients:</w:t>
      </w:r>
    </w:p>
    <w:p w:rsidR="002161A7" w:rsidRPr="002161A7" w:rsidRDefault="002161A7" w:rsidP="00834C9F">
      <w:pPr>
        <w:suppressAutoHyphens w:val="0"/>
        <w:snapToGrid w:val="0"/>
        <w:ind w:firstLine="425"/>
        <w:jc w:val="both"/>
        <w:rPr>
          <w:sz w:val="20"/>
          <w:szCs w:val="20"/>
          <w:lang w:eastAsia="zh-CN"/>
        </w:rPr>
      </w:pPr>
      <w:r w:rsidRPr="002161A7">
        <w:rPr>
          <w:sz w:val="20"/>
          <w:szCs w:val="20"/>
        </w:rPr>
        <w:t>The clinical and pathological characteristics of LAR group with stoma and LAR group without stoma are presented in Table-1. After calculating the propensity scores to balance the covariates between the two groups, 61 patients were included in each group. The selected patients after propensity score matching did not show significant difference for the balanced parameters between the two study groups, Table-1.</w:t>
      </w:r>
    </w:p>
    <w:p w:rsidR="002161A7" w:rsidRPr="002161A7" w:rsidRDefault="002161A7" w:rsidP="002161A7">
      <w:pPr>
        <w:suppressAutoHyphens w:val="0"/>
        <w:snapToGrid w:val="0"/>
        <w:ind w:firstLine="425"/>
        <w:jc w:val="both"/>
        <w:rPr>
          <w:sz w:val="20"/>
          <w:szCs w:val="20"/>
        </w:rPr>
      </w:pPr>
      <w:r w:rsidRPr="002161A7">
        <w:rPr>
          <w:sz w:val="20"/>
          <w:szCs w:val="20"/>
        </w:rPr>
        <w:t>Postoperative complication rate in stoma and non-stoma groups:</w:t>
      </w:r>
    </w:p>
    <w:p w:rsidR="002161A7" w:rsidRDefault="002161A7" w:rsidP="002161A7">
      <w:pPr>
        <w:suppressAutoHyphens w:val="0"/>
        <w:snapToGrid w:val="0"/>
        <w:ind w:firstLine="425"/>
        <w:jc w:val="both"/>
        <w:rPr>
          <w:sz w:val="20"/>
          <w:szCs w:val="20"/>
          <w:lang w:eastAsia="zh-CN"/>
        </w:rPr>
      </w:pPr>
      <w:r w:rsidRPr="002161A7">
        <w:rPr>
          <w:sz w:val="20"/>
          <w:szCs w:val="20"/>
        </w:rPr>
        <w:t>Post-operatively, the overall complications rate was 33.5 %. The stoma group had a statistically significant lower rate of complications compared to patients without stoma (21.3% vs. 38.7, P=0.023). Patients in the stoma group had significantly decreased incidence of postoperative ileus (P=0.03), pneumonia (P=0.03), surgical site infection (P=0.05), reoperation (P=0.04), and length of hospital stay (P=0.001). Anastomotic leakage has the tendency to be lower in stoma group compared to non-stoma group (6.6% vs. 16.2%, P=0.07). There was no significant statistical difference in incidence of thromboembolic disorders (P=0.52) however, hospital mortality has tendency to be lower in stoma group (P=0.07). ICU admission rate was significantly less frequent in patients in stoma group in comparison to those in the non-stoma group (P=0.05) (Table 2).</w:t>
      </w:r>
      <w:r>
        <w:rPr>
          <w:rFonts w:hint="eastAsia"/>
          <w:sz w:val="20"/>
          <w:szCs w:val="20"/>
          <w:lang w:eastAsia="zh-CN"/>
        </w:rPr>
        <w:t xml:space="preserve"> </w:t>
      </w:r>
    </w:p>
    <w:p w:rsidR="002161A7" w:rsidRPr="002161A7" w:rsidRDefault="002161A7" w:rsidP="00834C9F">
      <w:pPr>
        <w:suppressAutoHyphens w:val="0"/>
        <w:snapToGrid w:val="0"/>
        <w:jc w:val="center"/>
        <w:rPr>
          <w:sz w:val="20"/>
          <w:szCs w:val="20"/>
          <w:lang w:eastAsia="zh-CN"/>
        </w:rPr>
        <w:sectPr w:rsidR="002161A7" w:rsidRPr="002161A7" w:rsidSect="00535EB0">
          <w:headerReference w:type="default" r:id="rId13"/>
          <w:footnotePr>
            <w:pos w:val="beneathText"/>
          </w:footnotePr>
          <w:pgSz w:w="12240" w:h="15840" w:code="1"/>
          <w:pgMar w:top="1440" w:right="1440" w:bottom="1440" w:left="1440" w:header="720" w:footer="720" w:gutter="0"/>
          <w:cols w:num="2" w:space="600"/>
          <w:docGrid w:linePitch="360"/>
        </w:sectPr>
      </w:pPr>
    </w:p>
    <w:p w:rsidR="00834C9F" w:rsidRPr="002161A7" w:rsidRDefault="00834C9F" w:rsidP="00834C9F">
      <w:pPr>
        <w:suppressAutoHyphens w:val="0"/>
        <w:snapToGrid w:val="0"/>
        <w:jc w:val="center"/>
        <w:rPr>
          <w:sz w:val="20"/>
          <w:szCs w:val="20"/>
          <w:lang w:eastAsia="zh-CN"/>
        </w:rPr>
      </w:pPr>
    </w:p>
    <w:p w:rsidR="002161A7" w:rsidRDefault="002161A7" w:rsidP="00834C9F">
      <w:pPr>
        <w:suppressAutoHyphens w:val="0"/>
        <w:snapToGrid w:val="0"/>
        <w:jc w:val="center"/>
        <w:rPr>
          <w:sz w:val="20"/>
          <w:szCs w:val="20"/>
          <w:lang w:eastAsia="zh-CN"/>
        </w:rPr>
      </w:pPr>
    </w:p>
    <w:p w:rsidR="002161A7" w:rsidRDefault="002161A7" w:rsidP="00834C9F">
      <w:pPr>
        <w:suppressAutoHyphens w:val="0"/>
        <w:snapToGrid w:val="0"/>
        <w:jc w:val="center"/>
        <w:rPr>
          <w:sz w:val="20"/>
          <w:szCs w:val="20"/>
          <w:lang w:eastAsia="zh-CN"/>
        </w:rPr>
      </w:pPr>
    </w:p>
    <w:p w:rsidR="002161A7" w:rsidRDefault="002161A7" w:rsidP="00834C9F">
      <w:pPr>
        <w:suppressAutoHyphens w:val="0"/>
        <w:snapToGrid w:val="0"/>
        <w:jc w:val="center"/>
        <w:rPr>
          <w:sz w:val="20"/>
          <w:szCs w:val="20"/>
          <w:lang w:eastAsia="zh-CN"/>
        </w:rPr>
      </w:pPr>
    </w:p>
    <w:p w:rsidR="002161A7" w:rsidRDefault="002161A7" w:rsidP="00834C9F">
      <w:pPr>
        <w:suppressAutoHyphens w:val="0"/>
        <w:snapToGrid w:val="0"/>
        <w:jc w:val="center"/>
        <w:rPr>
          <w:sz w:val="20"/>
          <w:szCs w:val="20"/>
          <w:lang w:eastAsia="zh-CN"/>
        </w:rPr>
      </w:pPr>
    </w:p>
    <w:p w:rsidR="002161A7" w:rsidRDefault="002161A7" w:rsidP="00834C9F">
      <w:pPr>
        <w:suppressAutoHyphens w:val="0"/>
        <w:snapToGrid w:val="0"/>
        <w:jc w:val="center"/>
        <w:rPr>
          <w:sz w:val="20"/>
          <w:szCs w:val="20"/>
          <w:lang w:eastAsia="zh-CN"/>
        </w:rPr>
      </w:pPr>
    </w:p>
    <w:p w:rsidR="002161A7" w:rsidRDefault="002161A7" w:rsidP="00834C9F">
      <w:pPr>
        <w:suppressAutoHyphens w:val="0"/>
        <w:snapToGrid w:val="0"/>
        <w:jc w:val="center"/>
        <w:rPr>
          <w:sz w:val="20"/>
          <w:szCs w:val="20"/>
          <w:lang w:eastAsia="zh-CN"/>
        </w:rPr>
      </w:pPr>
    </w:p>
    <w:p w:rsidR="001E6601" w:rsidRPr="002161A7" w:rsidRDefault="001E6601" w:rsidP="00834C9F">
      <w:pPr>
        <w:suppressAutoHyphens w:val="0"/>
        <w:snapToGrid w:val="0"/>
        <w:jc w:val="center"/>
        <w:rPr>
          <w:sz w:val="20"/>
          <w:szCs w:val="20"/>
        </w:rPr>
      </w:pPr>
      <w:r w:rsidRPr="002161A7">
        <w:rPr>
          <w:sz w:val="20"/>
          <w:szCs w:val="20"/>
        </w:rPr>
        <w:t>Table 1: Demographic and clinical parameters after propensity score matching:</w:t>
      </w:r>
    </w:p>
    <w:tbl>
      <w:tblPr>
        <w:tblStyle w:val="TableGrid"/>
        <w:tblW w:w="5000" w:type="pct"/>
        <w:jc w:val="center"/>
        <w:tblCellMar>
          <w:left w:w="57" w:type="dxa"/>
          <w:right w:w="57" w:type="dxa"/>
        </w:tblCellMar>
        <w:tblLook w:val="04A0" w:firstRow="1" w:lastRow="0" w:firstColumn="1" w:lastColumn="0" w:noHBand="0" w:noVBand="1"/>
      </w:tblPr>
      <w:tblGrid>
        <w:gridCol w:w="2870"/>
        <w:gridCol w:w="2409"/>
        <w:gridCol w:w="3039"/>
        <w:gridCol w:w="1156"/>
      </w:tblGrid>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Characteristics:</w:t>
            </w:r>
          </w:p>
        </w:tc>
        <w:tc>
          <w:tcPr>
            <w:tcW w:w="127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Stoma Group (61)</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Non-Stoma Group (61)</w:t>
            </w:r>
          </w:p>
        </w:tc>
        <w:tc>
          <w:tcPr>
            <w:tcW w:w="61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P Value</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Gender (M/F)</w:t>
            </w:r>
          </w:p>
        </w:tc>
        <w:tc>
          <w:tcPr>
            <w:tcW w:w="1271"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(29/31)</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(32/29)</w:t>
            </w:r>
          </w:p>
        </w:tc>
        <w:tc>
          <w:tcPr>
            <w:tcW w:w="610"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0.64</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Age</w:t>
            </w:r>
          </w:p>
        </w:tc>
        <w:tc>
          <w:tcPr>
            <w:tcW w:w="127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49±14.3</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51±15.6</w:t>
            </w:r>
          </w:p>
        </w:tc>
        <w:tc>
          <w:tcPr>
            <w:tcW w:w="61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0.22</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BMI</w:t>
            </w:r>
          </w:p>
        </w:tc>
        <w:tc>
          <w:tcPr>
            <w:tcW w:w="127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29.1±5.3</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29.8±6.4</w:t>
            </w:r>
          </w:p>
        </w:tc>
        <w:tc>
          <w:tcPr>
            <w:tcW w:w="61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0.81</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DM</w:t>
            </w:r>
          </w:p>
        </w:tc>
        <w:tc>
          <w:tcPr>
            <w:tcW w:w="127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10(</w:t>
            </w:r>
            <w:r w:rsidRPr="002161A7">
              <w:rPr>
                <w:rFonts w:ascii="Times New Roman" w:hAnsi="Times New Roman" w:cs="Times New Roman"/>
                <w:sz w:val="20"/>
                <w:szCs w:val="20"/>
              </w:rPr>
              <w:t>16.4%</w:t>
            </w:r>
            <w:r w:rsidRPr="002161A7">
              <w:rPr>
                <w:rFonts w:ascii="Times New Roman" w:eastAsia="SimSun" w:hAnsi="Times New Roman" w:cs="Times New Roman"/>
                <w:sz w:val="20"/>
                <w:szCs w:val="20"/>
              </w:rPr>
              <w:t>)</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15 (</w:t>
            </w:r>
            <w:r w:rsidRPr="002161A7">
              <w:rPr>
                <w:rFonts w:ascii="Times New Roman" w:hAnsi="Times New Roman" w:cs="Times New Roman"/>
                <w:sz w:val="20"/>
                <w:szCs w:val="20"/>
              </w:rPr>
              <w:t>24.6%</w:t>
            </w:r>
            <w:r w:rsidRPr="002161A7">
              <w:rPr>
                <w:rFonts w:ascii="Times New Roman" w:eastAsia="SimSun" w:hAnsi="Times New Roman" w:cs="Times New Roman"/>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0.26</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COPD</w:t>
            </w:r>
          </w:p>
        </w:tc>
        <w:tc>
          <w:tcPr>
            <w:tcW w:w="127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8(</w:t>
            </w:r>
            <w:r w:rsidRPr="002161A7">
              <w:rPr>
                <w:rFonts w:ascii="Times New Roman" w:hAnsi="Times New Roman" w:cs="Times New Roman"/>
                <w:sz w:val="20"/>
                <w:szCs w:val="20"/>
              </w:rPr>
              <w:t>13.1%</w:t>
            </w:r>
            <w:r w:rsidRPr="002161A7">
              <w:rPr>
                <w:rFonts w:ascii="Times New Roman" w:eastAsia="SimSun" w:hAnsi="Times New Roman" w:cs="Times New Roman"/>
                <w:sz w:val="20"/>
                <w:szCs w:val="20"/>
              </w:rPr>
              <w:t>)</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6 (</w:t>
            </w:r>
            <w:r w:rsidRPr="002161A7">
              <w:rPr>
                <w:rFonts w:ascii="Times New Roman" w:hAnsi="Times New Roman" w:cs="Times New Roman"/>
                <w:sz w:val="20"/>
                <w:szCs w:val="20"/>
              </w:rPr>
              <w:t>10%</w:t>
            </w:r>
            <w:r w:rsidRPr="002161A7">
              <w:rPr>
                <w:rFonts w:ascii="Times New Roman" w:eastAsia="SimSun" w:hAnsi="Times New Roman" w:cs="Times New Roman"/>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0.27</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Smoking</w:t>
            </w:r>
          </w:p>
        </w:tc>
        <w:tc>
          <w:tcPr>
            <w:tcW w:w="1271"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15(</w:t>
            </w:r>
            <w:r w:rsidRPr="002161A7">
              <w:rPr>
                <w:rFonts w:ascii="Times New Roman" w:hAnsi="Times New Roman" w:cs="Times New Roman"/>
                <w:sz w:val="20"/>
                <w:szCs w:val="20"/>
              </w:rPr>
              <w:t>24.6%)</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17 (</w:t>
            </w:r>
            <w:r w:rsidRPr="002161A7">
              <w:rPr>
                <w:rFonts w:ascii="Times New Roman" w:hAnsi="Times New Roman" w:cs="Times New Roman"/>
                <w:sz w:val="20"/>
                <w:szCs w:val="20"/>
              </w:rPr>
              <w:t>28.2%)</w:t>
            </w:r>
          </w:p>
        </w:tc>
        <w:tc>
          <w:tcPr>
            <w:tcW w:w="610"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0.36</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Normal albumin level</w:t>
            </w:r>
          </w:p>
        </w:tc>
        <w:tc>
          <w:tcPr>
            <w:tcW w:w="1271"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41(</w:t>
            </w:r>
            <w:r w:rsidRPr="002161A7">
              <w:rPr>
                <w:rFonts w:ascii="Times New Roman" w:hAnsi="Times New Roman" w:cs="Times New Roman"/>
                <w:sz w:val="20"/>
                <w:szCs w:val="20"/>
              </w:rPr>
              <w:t>67.2%)</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42 (</w:t>
            </w:r>
            <w:r w:rsidRPr="002161A7">
              <w:rPr>
                <w:rFonts w:ascii="Times New Roman" w:hAnsi="Times New Roman" w:cs="Times New Roman"/>
                <w:sz w:val="20"/>
                <w:szCs w:val="20"/>
              </w:rPr>
              <w:t>69.0%)</w:t>
            </w:r>
          </w:p>
        </w:tc>
        <w:tc>
          <w:tcPr>
            <w:tcW w:w="610"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0.46</w:t>
            </w:r>
          </w:p>
        </w:tc>
      </w:tr>
      <w:tr w:rsidR="001E6601" w:rsidRPr="002161A7" w:rsidTr="006277B7">
        <w:trPr>
          <w:jc w:val="center"/>
        </w:trPr>
        <w:tc>
          <w:tcPr>
            <w:tcW w:w="1514"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Neo-adjuvant RTH</w:t>
            </w:r>
          </w:p>
        </w:tc>
        <w:tc>
          <w:tcPr>
            <w:tcW w:w="127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40(6</w:t>
            </w:r>
            <w:r w:rsidRPr="002161A7">
              <w:rPr>
                <w:rFonts w:ascii="Times New Roman" w:hAnsi="Times New Roman" w:cs="Times New Roman"/>
                <w:sz w:val="20"/>
                <w:szCs w:val="20"/>
              </w:rPr>
              <w:t>5.6%</w:t>
            </w:r>
            <w:r w:rsidRPr="002161A7">
              <w:rPr>
                <w:rFonts w:ascii="Times New Roman" w:eastAsia="SimSun" w:hAnsi="Times New Roman" w:cs="Times New Roman"/>
                <w:sz w:val="20"/>
                <w:szCs w:val="20"/>
              </w:rPr>
              <w:t>)</w:t>
            </w:r>
          </w:p>
        </w:tc>
        <w:tc>
          <w:tcPr>
            <w:tcW w:w="1604"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39 (64</w:t>
            </w:r>
            <w:r w:rsidRPr="002161A7">
              <w:rPr>
                <w:rFonts w:ascii="Times New Roman" w:hAnsi="Times New Roman" w:cs="Times New Roman"/>
                <w:sz w:val="20"/>
                <w:szCs w:val="20"/>
              </w:rPr>
              <w:t>%</w:t>
            </w:r>
            <w:r w:rsidRPr="002161A7">
              <w:rPr>
                <w:rFonts w:ascii="Times New Roman" w:eastAsia="SimSun" w:hAnsi="Times New Roman" w:cs="Times New Roman"/>
                <w:sz w:val="20"/>
                <w:szCs w:val="20"/>
              </w:rPr>
              <w:t>)</w:t>
            </w:r>
          </w:p>
        </w:tc>
        <w:tc>
          <w:tcPr>
            <w:tcW w:w="61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eastAsia="SimSun" w:hAnsi="Times New Roman" w:cs="Times New Roman"/>
                <w:sz w:val="20"/>
                <w:szCs w:val="20"/>
              </w:rPr>
            </w:pPr>
            <w:r w:rsidRPr="002161A7">
              <w:rPr>
                <w:rFonts w:ascii="Times New Roman" w:eastAsia="SimSun" w:hAnsi="Times New Roman" w:cs="Times New Roman"/>
                <w:sz w:val="20"/>
                <w:szCs w:val="20"/>
              </w:rPr>
              <w:t>0.046</w:t>
            </w:r>
          </w:p>
        </w:tc>
      </w:tr>
    </w:tbl>
    <w:p w:rsidR="002161A7" w:rsidRDefault="002161A7" w:rsidP="00834C9F">
      <w:pPr>
        <w:suppressAutoHyphens w:val="0"/>
        <w:snapToGrid w:val="0"/>
        <w:ind w:firstLine="425"/>
        <w:jc w:val="both"/>
        <w:rPr>
          <w:sz w:val="20"/>
          <w:szCs w:val="20"/>
          <w:lang w:eastAsia="zh-CN"/>
        </w:rPr>
      </w:pPr>
    </w:p>
    <w:tbl>
      <w:tblPr>
        <w:tblStyle w:val="TableGrid"/>
        <w:tblW w:w="5000" w:type="pct"/>
        <w:jc w:val="center"/>
        <w:tblCellMar>
          <w:left w:w="57" w:type="dxa"/>
          <w:right w:w="57" w:type="dxa"/>
        </w:tblCellMar>
        <w:tblLook w:val="04A0" w:firstRow="1" w:lastRow="0" w:firstColumn="1" w:lastColumn="0" w:noHBand="0" w:noVBand="1"/>
      </w:tblPr>
      <w:tblGrid>
        <w:gridCol w:w="3422"/>
        <w:gridCol w:w="2954"/>
        <w:gridCol w:w="3098"/>
      </w:tblGrid>
      <w:tr w:rsidR="00317BDD" w:rsidRPr="002161A7" w:rsidTr="006277B7">
        <w:trPr>
          <w:jc w:val="center"/>
        </w:trPr>
        <w:tc>
          <w:tcPr>
            <w:tcW w:w="1806" w:type="pct"/>
            <w:vMerge w:val="restar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Tumor stage:</w:t>
            </w:r>
          </w:p>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A</w:t>
            </w:r>
          </w:p>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B</w:t>
            </w:r>
          </w:p>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C</w:t>
            </w:r>
          </w:p>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D</w:t>
            </w:r>
          </w:p>
        </w:tc>
        <w:tc>
          <w:tcPr>
            <w:tcW w:w="1559"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p>
        </w:tc>
        <w:tc>
          <w:tcPr>
            <w:tcW w:w="1635"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0.31</w:t>
            </w:r>
          </w:p>
        </w:tc>
      </w:tr>
      <w:tr w:rsidR="00317BDD" w:rsidRPr="002161A7" w:rsidTr="006277B7">
        <w:trPr>
          <w:jc w:val="center"/>
        </w:trPr>
        <w:tc>
          <w:tcPr>
            <w:tcW w:w="1806" w:type="pct"/>
            <w:vMerge/>
            <w:vAlign w:val="center"/>
          </w:tcPr>
          <w:p w:rsidR="00317BDD" w:rsidRPr="002161A7" w:rsidRDefault="00317BDD" w:rsidP="00834C9F">
            <w:pPr>
              <w:suppressAutoHyphens w:val="0"/>
              <w:snapToGrid w:val="0"/>
              <w:jc w:val="both"/>
              <w:rPr>
                <w:rFonts w:ascii="Times New Roman" w:hAnsi="Times New Roman" w:cs="Times New Roman"/>
                <w:sz w:val="20"/>
                <w:szCs w:val="20"/>
              </w:rPr>
            </w:pPr>
          </w:p>
        </w:tc>
        <w:tc>
          <w:tcPr>
            <w:tcW w:w="1559"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21 (35.2%)</w:t>
            </w:r>
          </w:p>
        </w:tc>
        <w:tc>
          <w:tcPr>
            <w:tcW w:w="1635"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20 (33. %)</w:t>
            </w:r>
          </w:p>
        </w:tc>
      </w:tr>
      <w:tr w:rsidR="00317BDD" w:rsidRPr="002161A7" w:rsidTr="006277B7">
        <w:trPr>
          <w:jc w:val="center"/>
        </w:trPr>
        <w:tc>
          <w:tcPr>
            <w:tcW w:w="1806" w:type="pct"/>
            <w:vMerge/>
            <w:vAlign w:val="center"/>
          </w:tcPr>
          <w:p w:rsidR="00317BDD" w:rsidRPr="002161A7" w:rsidRDefault="00317BDD" w:rsidP="00834C9F">
            <w:pPr>
              <w:suppressAutoHyphens w:val="0"/>
              <w:snapToGrid w:val="0"/>
              <w:jc w:val="both"/>
              <w:rPr>
                <w:rFonts w:ascii="Times New Roman" w:hAnsi="Times New Roman" w:cs="Times New Roman"/>
                <w:sz w:val="20"/>
                <w:szCs w:val="20"/>
              </w:rPr>
            </w:pPr>
          </w:p>
        </w:tc>
        <w:tc>
          <w:tcPr>
            <w:tcW w:w="1559"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16 (26%)</w:t>
            </w:r>
          </w:p>
        </w:tc>
        <w:tc>
          <w:tcPr>
            <w:tcW w:w="1635"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16 (26.5%)</w:t>
            </w:r>
          </w:p>
        </w:tc>
      </w:tr>
      <w:tr w:rsidR="00317BDD" w:rsidRPr="002161A7" w:rsidTr="006277B7">
        <w:trPr>
          <w:jc w:val="center"/>
        </w:trPr>
        <w:tc>
          <w:tcPr>
            <w:tcW w:w="1806" w:type="pct"/>
            <w:vMerge/>
            <w:vAlign w:val="center"/>
          </w:tcPr>
          <w:p w:rsidR="00317BDD" w:rsidRPr="002161A7" w:rsidRDefault="00317BDD" w:rsidP="00834C9F">
            <w:pPr>
              <w:suppressAutoHyphens w:val="0"/>
              <w:snapToGrid w:val="0"/>
              <w:jc w:val="both"/>
              <w:rPr>
                <w:rFonts w:ascii="Times New Roman" w:hAnsi="Times New Roman" w:cs="Times New Roman"/>
                <w:sz w:val="20"/>
                <w:szCs w:val="20"/>
              </w:rPr>
            </w:pPr>
          </w:p>
        </w:tc>
        <w:tc>
          <w:tcPr>
            <w:tcW w:w="1559"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20 (33%)</w:t>
            </w:r>
          </w:p>
        </w:tc>
        <w:tc>
          <w:tcPr>
            <w:tcW w:w="1635"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 xml:space="preserve"> 22 (36.1%)</w:t>
            </w:r>
          </w:p>
        </w:tc>
      </w:tr>
      <w:tr w:rsidR="00317BDD" w:rsidRPr="002161A7" w:rsidTr="006277B7">
        <w:trPr>
          <w:jc w:val="center"/>
        </w:trPr>
        <w:tc>
          <w:tcPr>
            <w:tcW w:w="1806" w:type="pct"/>
            <w:vMerge/>
            <w:vAlign w:val="center"/>
          </w:tcPr>
          <w:p w:rsidR="00317BDD" w:rsidRPr="002161A7" w:rsidRDefault="00317BDD" w:rsidP="00834C9F">
            <w:pPr>
              <w:suppressAutoHyphens w:val="0"/>
              <w:snapToGrid w:val="0"/>
              <w:jc w:val="both"/>
              <w:rPr>
                <w:rFonts w:ascii="Times New Roman" w:hAnsi="Times New Roman" w:cs="Times New Roman"/>
                <w:sz w:val="20"/>
                <w:szCs w:val="20"/>
              </w:rPr>
            </w:pPr>
          </w:p>
        </w:tc>
        <w:tc>
          <w:tcPr>
            <w:tcW w:w="1559"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4 (5.8%)</w:t>
            </w:r>
          </w:p>
        </w:tc>
        <w:tc>
          <w:tcPr>
            <w:tcW w:w="1635" w:type="pct"/>
            <w:vAlign w:val="center"/>
          </w:tcPr>
          <w:p w:rsidR="00317BDD" w:rsidRPr="002161A7" w:rsidRDefault="00317BDD"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3 (4.4%)</w:t>
            </w:r>
          </w:p>
        </w:tc>
      </w:tr>
    </w:tbl>
    <w:p w:rsidR="00317BDD" w:rsidRPr="002161A7" w:rsidRDefault="00317BDD" w:rsidP="00834C9F">
      <w:pPr>
        <w:suppressAutoHyphens w:val="0"/>
        <w:snapToGrid w:val="0"/>
        <w:ind w:firstLine="425"/>
        <w:jc w:val="both"/>
        <w:rPr>
          <w:sz w:val="20"/>
          <w:szCs w:val="20"/>
        </w:rPr>
      </w:pPr>
    </w:p>
    <w:p w:rsidR="00471E57" w:rsidRPr="002161A7" w:rsidRDefault="00471E57" w:rsidP="00834C9F">
      <w:pPr>
        <w:suppressAutoHyphens w:val="0"/>
        <w:snapToGrid w:val="0"/>
        <w:ind w:firstLine="425"/>
        <w:jc w:val="both"/>
        <w:rPr>
          <w:sz w:val="20"/>
          <w:szCs w:val="20"/>
        </w:rPr>
      </w:pPr>
    </w:p>
    <w:p w:rsidR="00471E57" w:rsidRPr="002161A7" w:rsidRDefault="00471E57" w:rsidP="00834C9F">
      <w:pPr>
        <w:suppressAutoHyphens w:val="0"/>
        <w:snapToGrid w:val="0"/>
        <w:ind w:firstLine="425"/>
        <w:jc w:val="both"/>
        <w:rPr>
          <w:sz w:val="20"/>
          <w:szCs w:val="20"/>
        </w:rPr>
      </w:pPr>
    </w:p>
    <w:p w:rsidR="001E6601" w:rsidRPr="002161A7" w:rsidRDefault="001E6601" w:rsidP="00834C9F">
      <w:pPr>
        <w:suppressAutoHyphens w:val="0"/>
        <w:snapToGrid w:val="0"/>
        <w:jc w:val="center"/>
        <w:rPr>
          <w:sz w:val="20"/>
          <w:szCs w:val="20"/>
        </w:rPr>
      </w:pPr>
      <w:r w:rsidRPr="002161A7">
        <w:rPr>
          <w:b/>
          <w:bCs/>
          <w:sz w:val="20"/>
          <w:szCs w:val="20"/>
        </w:rPr>
        <w:t xml:space="preserve">Table 2: </w:t>
      </w:r>
      <w:r w:rsidRPr="002161A7">
        <w:rPr>
          <w:sz w:val="20"/>
          <w:szCs w:val="20"/>
        </w:rPr>
        <w:t xml:space="preserve">Operative parameters and postoperative </w:t>
      </w:r>
      <w:r w:rsidR="00317BDD" w:rsidRPr="002161A7">
        <w:rPr>
          <w:sz w:val="20"/>
          <w:szCs w:val="20"/>
        </w:rPr>
        <w:t>outcomes of</w:t>
      </w:r>
      <w:r w:rsidRPr="002161A7">
        <w:rPr>
          <w:sz w:val="20"/>
          <w:szCs w:val="20"/>
        </w:rPr>
        <w:t xml:space="preserve"> the study groups:</w:t>
      </w:r>
    </w:p>
    <w:tbl>
      <w:tblPr>
        <w:tblStyle w:val="TableGrid"/>
        <w:tblW w:w="5000" w:type="pct"/>
        <w:jc w:val="center"/>
        <w:tblCellMar>
          <w:left w:w="57" w:type="dxa"/>
          <w:right w:w="57" w:type="dxa"/>
        </w:tblCellMar>
        <w:tblLook w:val="04A0" w:firstRow="1" w:lastRow="0" w:firstColumn="1" w:lastColumn="0" w:noHBand="0" w:noVBand="1"/>
      </w:tblPr>
      <w:tblGrid>
        <w:gridCol w:w="3468"/>
        <w:gridCol w:w="2304"/>
        <w:gridCol w:w="2825"/>
        <w:gridCol w:w="877"/>
      </w:tblGrid>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b/>
                <w:bCs/>
                <w:i/>
                <w:iCs/>
                <w:sz w:val="20"/>
                <w:szCs w:val="20"/>
              </w:rPr>
            </w:pPr>
            <w:r w:rsidRPr="002161A7">
              <w:rPr>
                <w:rFonts w:ascii="Times New Roman" w:hAnsi="Times New Roman" w:cs="Times New Roman"/>
                <w:b/>
                <w:bCs/>
                <w:i/>
                <w:iCs/>
                <w:sz w:val="20"/>
                <w:szCs w:val="20"/>
              </w:rPr>
              <w:t>Variables</w:t>
            </w:r>
          </w:p>
        </w:tc>
        <w:tc>
          <w:tcPr>
            <w:tcW w:w="1216"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b/>
                <w:bCs/>
                <w:i/>
                <w:iCs/>
                <w:sz w:val="20"/>
                <w:szCs w:val="20"/>
              </w:rPr>
            </w:pPr>
            <w:r w:rsidRPr="002161A7">
              <w:rPr>
                <w:rFonts w:ascii="Times New Roman" w:hAnsi="Times New Roman" w:cs="Times New Roman"/>
                <w:b/>
                <w:bCs/>
                <w:i/>
                <w:iCs/>
                <w:sz w:val="20"/>
                <w:szCs w:val="20"/>
              </w:rPr>
              <w:t>Stoma Group (N=61)</w:t>
            </w:r>
          </w:p>
        </w:tc>
        <w:tc>
          <w:tcPr>
            <w:tcW w:w="1491"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b/>
                <w:bCs/>
                <w:i/>
                <w:iCs/>
                <w:sz w:val="20"/>
                <w:szCs w:val="20"/>
              </w:rPr>
            </w:pPr>
            <w:r w:rsidRPr="002161A7">
              <w:rPr>
                <w:rFonts w:ascii="Times New Roman" w:hAnsi="Times New Roman" w:cs="Times New Roman"/>
                <w:b/>
                <w:bCs/>
                <w:i/>
                <w:iCs/>
                <w:sz w:val="20"/>
                <w:szCs w:val="20"/>
              </w:rPr>
              <w:t>Non-Stoma Group (N=61)</w:t>
            </w:r>
          </w:p>
        </w:tc>
        <w:tc>
          <w:tcPr>
            <w:tcW w:w="463"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P value</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Approach (lap/open)</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11/50(18%/82.0%)</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12/49 (19.7.5/80.3%)</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0.1</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Anastomosis (stapled/hand sewn)</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20/41 (32.8%/67.2%)</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19/42(31.2%/68.8%)</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0.51</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 xml:space="preserve">Intraoperative contamination </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5(8.2%)</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4(6.5%)</w:t>
            </w:r>
          </w:p>
        </w:tc>
        <w:tc>
          <w:tcPr>
            <w:tcW w:w="463"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0.48</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Post-operative Complications</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13(21.3%)</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23 (38%)</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0.023</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Ileus</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2(3.3%)</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10(17%)</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b/>
                <w:bCs/>
                <w:sz w:val="20"/>
                <w:szCs w:val="20"/>
              </w:rPr>
            </w:pPr>
            <w:r w:rsidRPr="002161A7">
              <w:rPr>
                <w:rFonts w:ascii="Times New Roman" w:hAnsi="Times New Roman" w:cs="Times New Roman"/>
                <w:b/>
                <w:bCs/>
                <w:sz w:val="20"/>
                <w:szCs w:val="20"/>
              </w:rPr>
              <w:t>0.03</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Pneumonia</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 (3.3%)</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7(12.0%)</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b/>
                <w:bCs/>
                <w:sz w:val="20"/>
                <w:szCs w:val="20"/>
              </w:rPr>
            </w:pPr>
            <w:r w:rsidRPr="002161A7">
              <w:rPr>
                <w:rFonts w:ascii="Times New Roman" w:hAnsi="Times New Roman" w:cs="Times New Roman"/>
                <w:b/>
                <w:bCs/>
                <w:sz w:val="20"/>
                <w:szCs w:val="20"/>
              </w:rPr>
              <w:t>0.039</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Wound complications</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5(8.2%)</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10 (17%)</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b/>
                <w:bCs/>
                <w:sz w:val="20"/>
                <w:szCs w:val="20"/>
              </w:rPr>
            </w:pPr>
            <w:r w:rsidRPr="002161A7">
              <w:rPr>
                <w:rFonts w:ascii="Times New Roman" w:hAnsi="Times New Roman" w:cs="Times New Roman"/>
                <w:b/>
                <w:bCs/>
                <w:sz w:val="20"/>
                <w:szCs w:val="20"/>
              </w:rPr>
              <w:t>0.05</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Anastomotic leakage</w:t>
            </w:r>
          </w:p>
        </w:tc>
        <w:tc>
          <w:tcPr>
            <w:tcW w:w="1216"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4(6.6%)</w:t>
            </w:r>
          </w:p>
        </w:tc>
        <w:tc>
          <w:tcPr>
            <w:tcW w:w="1491"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9(15%)</w:t>
            </w:r>
          </w:p>
        </w:tc>
        <w:tc>
          <w:tcPr>
            <w:tcW w:w="463"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0.072</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TED</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1(1.6%)</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 (3.2%)</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0.52</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Reoperation</w:t>
            </w:r>
            <w:r w:rsidR="006277B7" w:rsidRPr="002161A7">
              <w:rPr>
                <w:rFonts w:ascii="Times New Roman" w:hAnsi="Times New Roman" w:cs="Times New Roman"/>
                <w:sz w:val="20"/>
                <w:szCs w:val="20"/>
              </w:rPr>
              <w:t xml:space="preserve"> </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1(1.6%)</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5(9%)</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b/>
                <w:bCs/>
                <w:sz w:val="20"/>
                <w:szCs w:val="20"/>
              </w:rPr>
            </w:pPr>
            <w:r w:rsidRPr="002161A7">
              <w:rPr>
                <w:rFonts w:ascii="Times New Roman" w:hAnsi="Times New Roman" w:cs="Times New Roman"/>
                <w:b/>
                <w:bCs/>
                <w:sz w:val="20"/>
                <w:szCs w:val="20"/>
              </w:rPr>
              <w:t>0.04</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 xml:space="preserve">ICU Admission </w:t>
            </w:r>
          </w:p>
        </w:tc>
        <w:tc>
          <w:tcPr>
            <w:tcW w:w="1216"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2(3.2%)</w:t>
            </w:r>
          </w:p>
        </w:tc>
        <w:tc>
          <w:tcPr>
            <w:tcW w:w="1491"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7(11.3%)</w:t>
            </w:r>
          </w:p>
        </w:tc>
        <w:tc>
          <w:tcPr>
            <w:tcW w:w="463"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b/>
                <w:bCs/>
                <w:sz w:val="20"/>
                <w:szCs w:val="20"/>
              </w:rPr>
            </w:pPr>
            <w:r w:rsidRPr="002161A7">
              <w:rPr>
                <w:rFonts w:ascii="Times New Roman" w:hAnsi="Times New Roman" w:cs="Times New Roman"/>
                <w:b/>
                <w:bCs/>
                <w:sz w:val="20"/>
                <w:szCs w:val="20"/>
              </w:rPr>
              <w:t>0.05</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30 days Readmission</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3(4.9%)</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8(12.7%)</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0.07</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LOS</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10.7±4.4 days</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15.2±9.1 days</w:t>
            </w:r>
          </w:p>
        </w:tc>
        <w:tc>
          <w:tcPr>
            <w:tcW w:w="463"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b/>
                <w:bCs/>
                <w:sz w:val="20"/>
                <w:szCs w:val="20"/>
              </w:rPr>
            </w:pPr>
            <w:r w:rsidRPr="002161A7">
              <w:rPr>
                <w:rFonts w:ascii="Times New Roman" w:hAnsi="Times New Roman" w:cs="Times New Roman"/>
                <w:b/>
                <w:bCs/>
                <w:sz w:val="20"/>
                <w:szCs w:val="20"/>
              </w:rPr>
              <w:t>0.0001</w:t>
            </w:r>
          </w:p>
        </w:tc>
      </w:tr>
      <w:tr w:rsidR="001E6601" w:rsidRPr="002161A7" w:rsidTr="006277B7">
        <w:trPr>
          <w:jc w:val="center"/>
        </w:trPr>
        <w:tc>
          <w:tcPr>
            <w:tcW w:w="1830"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 xml:space="preserve">Hospital death </w:t>
            </w:r>
          </w:p>
        </w:tc>
        <w:tc>
          <w:tcPr>
            <w:tcW w:w="1216"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w:t>
            </w:r>
          </w:p>
        </w:tc>
        <w:tc>
          <w:tcPr>
            <w:tcW w:w="1491" w:type="pct"/>
            <w:tcBorders>
              <w:top w:val="single" w:sz="4" w:space="0" w:color="auto"/>
              <w:left w:val="single" w:sz="4" w:space="0" w:color="auto"/>
              <w:bottom w:val="single" w:sz="4" w:space="0" w:color="auto"/>
              <w:right w:val="single" w:sz="4" w:space="0" w:color="auto"/>
            </w:tcBorders>
            <w:vAlign w:val="center"/>
            <w:hideMark/>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3(4.9%)</w:t>
            </w:r>
          </w:p>
        </w:tc>
        <w:tc>
          <w:tcPr>
            <w:tcW w:w="463" w:type="pct"/>
            <w:tcBorders>
              <w:top w:val="single" w:sz="4" w:space="0" w:color="auto"/>
              <w:left w:val="single" w:sz="4" w:space="0" w:color="auto"/>
              <w:bottom w:val="single" w:sz="4" w:space="0" w:color="auto"/>
              <w:right w:val="single" w:sz="4" w:space="0" w:color="auto"/>
            </w:tcBorders>
            <w:vAlign w:val="center"/>
          </w:tcPr>
          <w:p w:rsidR="001E6601" w:rsidRPr="002161A7" w:rsidRDefault="001E6601" w:rsidP="00834C9F">
            <w:pPr>
              <w:suppressAutoHyphens w:val="0"/>
              <w:snapToGrid w:val="0"/>
              <w:jc w:val="both"/>
              <w:rPr>
                <w:rFonts w:ascii="Times New Roman" w:hAnsi="Times New Roman" w:cs="Times New Roman"/>
                <w:sz w:val="20"/>
                <w:szCs w:val="20"/>
              </w:rPr>
            </w:pPr>
            <w:r w:rsidRPr="002161A7">
              <w:rPr>
                <w:rFonts w:ascii="Times New Roman" w:hAnsi="Times New Roman" w:cs="Times New Roman"/>
                <w:sz w:val="20"/>
                <w:szCs w:val="20"/>
              </w:rPr>
              <w:t>0.07</w:t>
            </w:r>
          </w:p>
        </w:tc>
      </w:tr>
    </w:tbl>
    <w:p w:rsidR="001E6601" w:rsidRPr="002161A7" w:rsidRDefault="001E6601" w:rsidP="00834C9F">
      <w:pPr>
        <w:suppressAutoHyphens w:val="0"/>
        <w:snapToGrid w:val="0"/>
        <w:jc w:val="both"/>
        <w:rPr>
          <w:sz w:val="20"/>
          <w:szCs w:val="20"/>
        </w:rPr>
      </w:pPr>
      <w:r w:rsidRPr="002161A7">
        <w:rPr>
          <w:i/>
          <w:iCs/>
          <w:sz w:val="20"/>
          <w:szCs w:val="20"/>
        </w:rPr>
        <w:t>TED:</w:t>
      </w:r>
      <w:r w:rsidRPr="002161A7">
        <w:rPr>
          <w:sz w:val="20"/>
          <w:szCs w:val="20"/>
        </w:rPr>
        <w:t xml:space="preserve"> Thromboembolic disorders, </w:t>
      </w:r>
      <w:r w:rsidRPr="002161A7">
        <w:rPr>
          <w:i/>
          <w:iCs/>
          <w:sz w:val="20"/>
          <w:szCs w:val="20"/>
        </w:rPr>
        <w:t>LOS:</w:t>
      </w:r>
      <w:r w:rsidRPr="002161A7">
        <w:rPr>
          <w:sz w:val="20"/>
          <w:szCs w:val="20"/>
        </w:rPr>
        <w:t xml:space="preserve"> length of hospital stay</w:t>
      </w:r>
    </w:p>
    <w:p w:rsidR="00471E57" w:rsidRDefault="00471E57" w:rsidP="00834C9F">
      <w:pPr>
        <w:suppressAutoHyphens w:val="0"/>
        <w:snapToGrid w:val="0"/>
        <w:ind w:firstLine="425"/>
        <w:jc w:val="both"/>
        <w:rPr>
          <w:sz w:val="20"/>
          <w:szCs w:val="20"/>
          <w:lang w:eastAsia="zh-CN"/>
        </w:rPr>
      </w:pPr>
    </w:p>
    <w:p w:rsidR="002161A7" w:rsidRDefault="002161A7" w:rsidP="00834C9F">
      <w:pPr>
        <w:suppressAutoHyphens w:val="0"/>
        <w:snapToGrid w:val="0"/>
        <w:ind w:firstLine="425"/>
        <w:jc w:val="both"/>
        <w:rPr>
          <w:sz w:val="20"/>
          <w:szCs w:val="20"/>
          <w:lang w:eastAsia="zh-CN"/>
        </w:rPr>
      </w:pPr>
    </w:p>
    <w:p w:rsidR="002161A7" w:rsidRPr="002161A7" w:rsidRDefault="002161A7" w:rsidP="00834C9F">
      <w:pPr>
        <w:suppressAutoHyphens w:val="0"/>
        <w:snapToGrid w:val="0"/>
        <w:ind w:firstLine="425"/>
        <w:jc w:val="both"/>
        <w:rPr>
          <w:sz w:val="20"/>
          <w:szCs w:val="20"/>
          <w:lang w:eastAsia="zh-CN"/>
        </w:rPr>
      </w:pPr>
    </w:p>
    <w:p w:rsidR="00834C9F" w:rsidRPr="002161A7" w:rsidRDefault="00834C9F" w:rsidP="00834C9F">
      <w:pPr>
        <w:suppressAutoHyphens w:val="0"/>
        <w:snapToGrid w:val="0"/>
        <w:ind w:firstLine="425"/>
        <w:jc w:val="both"/>
        <w:rPr>
          <w:sz w:val="20"/>
          <w:szCs w:val="20"/>
          <w:lang w:eastAsia="zh-CN"/>
        </w:rPr>
        <w:sectPr w:rsidR="00834C9F" w:rsidRPr="002161A7" w:rsidSect="006277B7">
          <w:footnotePr>
            <w:pos w:val="beneathText"/>
          </w:footnotePr>
          <w:type w:val="continuous"/>
          <w:pgSz w:w="12240" w:h="15840" w:code="1"/>
          <w:pgMar w:top="1440" w:right="1440" w:bottom="1440" w:left="1440" w:header="720" w:footer="720" w:gutter="0"/>
          <w:cols w:space="720"/>
          <w:docGrid w:linePitch="360"/>
        </w:sectPr>
      </w:pPr>
    </w:p>
    <w:p w:rsidR="00471E57" w:rsidRPr="002161A7" w:rsidRDefault="00471E57" w:rsidP="00834C9F">
      <w:pPr>
        <w:suppressAutoHyphens w:val="0"/>
        <w:snapToGrid w:val="0"/>
        <w:jc w:val="both"/>
        <w:rPr>
          <w:b/>
          <w:sz w:val="20"/>
          <w:szCs w:val="20"/>
        </w:rPr>
      </w:pPr>
      <w:r w:rsidRPr="002161A7">
        <w:rPr>
          <w:b/>
          <w:sz w:val="20"/>
          <w:szCs w:val="20"/>
        </w:rPr>
        <w:lastRenderedPageBreak/>
        <w:t xml:space="preserve">4. Discussions </w:t>
      </w:r>
    </w:p>
    <w:p w:rsidR="006277B7" w:rsidRPr="002161A7" w:rsidRDefault="00317BDD" w:rsidP="00834C9F">
      <w:pPr>
        <w:suppressAutoHyphens w:val="0"/>
        <w:snapToGrid w:val="0"/>
        <w:ind w:firstLine="425"/>
        <w:jc w:val="both"/>
        <w:rPr>
          <w:sz w:val="20"/>
          <w:szCs w:val="20"/>
        </w:rPr>
      </w:pPr>
      <w:r w:rsidRPr="002161A7">
        <w:rPr>
          <w:sz w:val="20"/>
          <w:szCs w:val="20"/>
        </w:rPr>
        <w:t>In the current study and after applying propensity score matching, we could show that postoperative incidence of complications were significantly less after stoma reconstruction and anastomotic leak tend to be less frequent.</w:t>
      </w:r>
    </w:p>
    <w:p w:rsidR="00317BDD" w:rsidRPr="002161A7" w:rsidRDefault="006277B7" w:rsidP="00834C9F">
      <w:pPr>
        <w:suppressAutoHyphens w:val="0"/>
        <w:snapToGrid w:val="0"/>
        <w:ind w:firstLine="425"/>
        <w:jc w:val="both"/>
        <w:rPr>
          <w:sz w:val="20"/>
          <w:szCs w:val="20"/>
        </w:rPr>
      </w:pPr>
      <w:r w:rsidRPr="002161A7">
        <w:rPr>
          <w:sz w:val="20"/>
          <w:szCs w:val="20"/>
        </w:rPr>
        <w:t>O</w:t>
      </w:r>
      <w:r w:rsidR="00317BDD" w:rsidRPr="002161A7">
        <w:rPr>
          <w:sz w:val="20"/>
          <w:szCs w:val="20"/>
        </w:rPr>
        <w:t>ne of the more common preventive measures of anastomotic leak (AL) is to create a diverting stoma (DS). However, the evidence of benefit for performing de-functioning stoma following LAR has been unclear. Various observational studies, systematic reviews and meta-analyses and other studies have reported a wide range of results.</w:t>
      </w:r>
      <w:r w:rsidRPr="002161A7">
        <w:rPr>
          <w:sz w:val="20"/>
          <w:szCs w:val="20"/>
        </w:rPr>
        <w:t xml:space="preserve"> </w:t>
      </w:r>
      <w:r w:rsidR="00317BDD" w:rsidRPr="002161A7">
        <w:rPr>
          <w:sz w:val="20"/>
          <w:szCs w:val="20"/>
        </w:rPr>
        <w:t xml:space="preserve">In a </w:t>
      </w:r>
      <w:r w:rsidR="00317BDD" w:rsidRPr="002161A7">
        <w:rPr>
          <w:sz w:val="20"/>
          <w:szCs w:val="20"/>
        </w:rPr>
        <w:lastRenderedPageBreak/>
        <w:t xml:space="preserve">recent clinical trial involving more than 1000 patients, the findings demonstrated that a DS could not significantly suppress anastomotic leakage incidence, instead, a DS was able to alleviate the consequences of anastomotic leakage by reducing the need for urgent abdominal reoperation [10-13]. Our study demonstrated a tendency for reduction in anastomotic leak rate and readmission rate in stoma group. Moreover, in this study ileus, pneumonia, wound complications as well as re-operation rates were significantly less frequent in patients with stoma diversion. Length of hospital stay shown to be significantly less after stoma formation in our study. </w:t>
      </w:r>
      <w:r w:rsidR="00317BDD" w:rsidRPr="002161A7">
        <w:rPr>
          <w:sz w:val="20"/>
          <w:szCs w:val="20"/>
        </w:rPr>
        <w:lastRenderedPageBreak/>
        <w:t xml:space="preserve">Therefore, our findings support the reconstruction of a temporary de-functioning stoma following LAR for low and mid rectal cancers. </w:t>
      </w:r>
    </w:p>
    <w:p w:rsidR="00317BDD" w:rsidRPr="002161A7" w:rsidRDefault="00317BDD" w:rsidP="00834C9F">
      <w:pPr>
        <w:suppressAutoHyphens w:val="0"/>
        <w:snapToGrid w:val="0"/>
        <w:ind w:firstLine="425"/>
        <w:jc w:val="both"/>
        <w:rPr>
          <w:sz w:val="20"/>
          <w:szCs w:val="20"/>
        </w:rPr>
      </w:pPr>
      <w:r w:rsidRPr="002161A7">
        <w:rPr>
          <w:sz w:val="20"/>
          <w:szCs w:val="20"/>
        </w:rPr>
        <w:t>The results of the present study are consistent with reported outcomes of several prior studies.</w:t>
      </w:r>
      <w:r w:rsidR="006277B7" w:rsidRPr="002161A7">
        <w:rPr>
          <w:sz w:val="20"/>
          <w:szCs w:val="20"/>
        </w:rPr>
        <w:t xml:space="preserve"> </w:t>
      </w:r>
      <w:r w:rsidRPr="002161A7">
        <w:rPr>
          <w:sz w:val="20"/>
          <w:szCs w:val="20"/>
        </w:rPr>
        <w:t xml:space="preserve">These studies showed the higher leakage rates and reoperation rates for patients without stoma. Moreover, the odds of having symptomatic leakage following LAR was higher without stoma compared to those with diverting stoma. They also reported less incidence of urgent abdominal reoperation rate in patients with stoma compared to 25.4% in patients without stoma (8.6% vs. 25.4%) [7,14]. </w:t>
      </w:r>
    </w:p>
    <w:p w:rsidR="006277B7" w:rsidRPr="002161A7" w:rsidRDefault="00317BDD" w:rsidP="00834C9F">
      <w:pPr>
        <w:suppressAutoHyphens w:val="0"/>
        <w:snapToGrid w:val="0"/>
        <w:ind w:firstLine="425"/>
        <w:jc w:val="both"/>
        <w:rPr>
          <w:sz w:val="20"/>
          <w:szCs w:val="20"/>
        </w:rPr>
      </w:pPr>
      <w:r w:rsidRPr="002161A7">
        <w:rPr>
          <w:sz w:val="20"/>
          <w:szCs w:val="20"/>
        </w:rPr>
        <w:t xml:space="preserve">It’s to be noted that measures of quality-of-life outcome were not included in our study. A temporary stoma could have a considerable impact on the physical and psychological status of the patient. This can be assessed using the 36-item Short-Form Health Survey (SF-36) [15]. A prospective longitudinal study was conducted in 22 patients with rectal cancer who underwent a LAR with loop ileostomy. The authors found significant reduction in European Organization for Research and Treatment of Cancer QLQ-CR38 and QLQ-C30 scores after the LAR procedure compared to baseline preoperative levels, indicating reductions in physical and role functioning. These scores markedly improved following ileostomy closure [16]. Moreover, many surgeons recorded that DS had no effect on leakage or reoperation, adding to this the probable complications that can occur during or after closure of DS [17-21]. Closing a protective DS indicates additional surgery, admission to a hospital, and a risk of complications and death [15, 22]. On the other hand, many surgeons think that they would harm their patients by preventing a protective DS because acceptable low rate of stoma-related complication could be achieved and an independent useful influence of DS has been demonstrated on anastomotic dehiscence [10-12-14]. </w:t>
      </w:r>
    </w:p>
    <w:p w:rsidR="00317BDD" w:rsidRPr="002161A7" w:rsidRDefault="006277B7" w:rsidP="00834C9F">
      <w:pPr>
        <w:suppressAutoHyphens w:val="0"/>
        <w:snapToGrid w:val="0"/>
        <w:ind w:firstLine="425"/>
        <w:jc w:val="both"/>
        <w:rPr>
          <w:sz w:val="20"/>
          <w:szCs w:val="20"/>
        </w:rPr>
      </w:pPr>
      <w:r w:rsidRPr="002161A7">
        <w:rPr>
          <w:sz w:val="20"/>
          <w:szCs w:val="20"/>
        </w:rPr>
        <w:t>G</w:t>
      </w:r>
      <w:r w:rsidR="00317BDD" w:rsidRPr="002161A7">
        <w:rPr>
          <w:sz w:val="20"/>
          <w:szCs w:val="20"/>
        </w:rPr>
        <w:t>iven the considerable quality-of-life implications, the decision to proceed with a stoma should be a highly individualized. The negative impact on role and function should be balanced with the reduction of postoperative complications specially reduction of the impact of anastomotic leak. Therefore a risk model of anastomotic leak following LAR may help in weighing up the risk of anastomotic leak with the reduction of quality of life and the rising risk of morbidity associated with a stoma [23].</w:t>
      </w:r>
    </w:p>
    <w:p w:rsidR="00317BDD" w:rsidRPr="002161A7" w:rsidRDefault="00317BDD" w:rsidP="00834C9F">
      <w:pPr>
        <w:suppressAutoHyphens w:val="0"/>
        <w:snapToGrid w:val="0"/>
        <w:ind w:firstLine="425"/>
        <w:jc w:val="both"/>
        <w:rPr>
          <w:sz w:val="20"/>
          <w:szCs w:val="20"/>
        </w:rPr>
      </w:pPr>
      <w:r w:rsidRPr="002161A7">
        <w:rPr>
          <w:sz w:val="20"/>
          <w:szCs w:val="20"/>
        </w:rPr>
        <w:t xml:space="preserve">Retrospective observational studies are susceptible to an inherent selection bias, in particularly favoring surgery without stoma. To minimize the effects of such bias, the present propensity score matched analysis pooled data from only prospectively maintained institutional data base that result in minimal heterogeneity detected in the </w:t>
      </w:r>
      <w:r w:rsidRPr="002161A7">
        <w:rPr>
          <w:sz w:val="20"/>
          <w:szCs w:val="20"/>
        </w:rPr>
        <w:lastRenderedPageBreak/>
        <w:t xml:space="preserve">preoperative and operative data between the two groups. </w:t>
      </w:r>
    </w:p>
    <w:p w:rsidR="00DE5D59" w:rsidRPr="002161A7" w:rsidRDefault="00317BDD" w:rsidP="00834C9F">
      <w:pPr>
        <w:suppressAutoHyphens w:val="0"/>
        <w:snapToGrid w:val="0"/>
        <w:ind w:firstLine="425"/>
        <w:jc w:val="both"/>
        <w:rPr>
          <w:sz w:val="20"/>
          <w:szCs w:val="20"/>
          <w:lang w:eastAsia="zh-CN"/>
        </w:rPr>
      </w:pPr>
      <w:r w:rsidRPr="002161A7">
        <w:rPr>
          <w:sz w:val="20"/>
          <w:szCs w:val="20"/>
        </w:rPr>
        <w:t xml:space="preserve">The present study has several limitations. There has been a lack of reported long-term outcomes following stoma diversion or no diversion techniques for LAR therefore, the long-term morbidity associated with a diverting stoma is unclear. Some endpoints could not be pooled for analysis due to lack in the registered data, such as stoma retraction, obstruction, excoriation and prolapse. Our study also did not analyze quality-of life in the two groups. Certainly, the creation of a stoma regardless of its temporary or permanent status would reduce quality of life of patients in this population, particularly if stoma complications were to occur. </w:t>
      </w:r>
    </w:p>
    <w:p w:rsidR="006277B7" w:rsidRPr="002161A7" w:rsidRDefault="006277B7" w:rsidP="00834C9F">
      <w:pPr>
        <w:suppressAutoHyphens w:val="0"/>
        <w:snapToGrid w:val="0"/>
        <w:ind w:firstLine="425"/>
        <w:jc w:val="both"/>
        <w:rPr>
          <w:sz w:val="20"/>
          <w:szCs w:val="20"/>
          <w:lang w:eastAsia="zh-CN"/>
        </w:rPr>
      </w:pPr>
    </w:p>
    <w:p w:rsidR="00317BDD" w:rsidRPr="002161A7" w:rsidRDefault="00317BDD" w:rsidP="00834C9F">
      <w:pPr>
        <w:suppressAutoHyphens w:val="0"/>
        <w:snapToGrid w:val="0"/>
        <w:jc w:val="both"/>
        <w:rPr>
          <w:b/>
          <w:sz w:val="20"/>
          <w:szCs w:val="20"/>
        </w:rPr>
      </w:pPr>
      <w:r w:rsidRPr="002161A7">
        <w:rPr>
          <w:b/>
          <w:sz w:val="20"/>
          <w:szCs w:val="20"/>
        </w:rPr>
        <w:t>Conclusion:</w:t>
      </w:r>
    </w:p>
    <w:p w:rsidR="00317BDD" w:rsidRPr="002161A7" w:rsidRDefault="00317BDD" w:rsidP="00834C9F">
      <w:pPr>
        <w:suppressAutoHyphens w:val="0"/>
        <w:snapToGrid w:val="0"/>
        <w:ind w:firstLine="425"/>
        <w:jc w:val="both"/>
        <w:rPr>
          <w:sz w:val="20"/>
          <w:szCs w:val="20"/>
        </w:rPr>
      </w:pPr>
      <w:r w:rsidRPr="002161A7">
        <w:rPr>
          <w:sz w:val="20"/>
          <w:szCs w:val="20"/>
        </w:rPr>
        <w:t>The diverting stoma after LAR for rectal cancer significantly decreased postoperative short-term complications and the need for reoperation. So, DS can be useful for patients undergoing rectal surgery particularly after LAR for rectal cancer. Future randomized controlled trials are needed to address the long-term morbidity, mortality and quality of life issues related to DS in LAR for rectal cancer.</w:t>
      </w:r>
    </w:p>
    <w:p w:rsidR="00317BDD" w:rsidRPr="002161A7" w:rsidRDefault="00317BDD" w:rsidP="00834C9F">
      <w:pPr>
        <w:suppressAutoHyphens w:val="0"/>
        <w:snapToGrid w:val="0"/>
        <w:ind w:firstLine="425"/>
        <w:jc w:val="both"/>
        <w:rPr>
          <w:sz w:val="20"/>
          <w:szCs w:val="20"/>
        </w:rPr>
      </w:pPr>
    </w:p>
    <w:p w:rsidR="00317BDD" w:rsidRPr="002161A7" w:rsidRDefault="00317BDD" w:rsidP="00834C9F">
      <w:pPr>
        <w:suppressAutoHyphens w:val="0"/>
        <w:snapToGrid w:val="0"/>
        <w:jc w:val="both"/>
        <w:rPr>
          <w:b/>
          <w:sz w:val="20"/>
          <w:szCs w:val="20"/>
        </w:rPr>
      </w:pPr>
      <w:r w:rsidRPr="002161A7">
        <w:rPr>
          <w:b/>
          <w:sz w:val="20"/>
          <w:szCs w:val="20"/>
        </w:rPr>
        <w:t>Compliance with Ethical Standards:</w:t>
      </w:r>
    </w:p>
    <w:p w:rsidR="00317BDD" w:rsidRPr="002161A7" w:rsidRDefault="00317BDD" w:rsidP="00834C9F">
      <w:pPr>
        <w:suppressAutoHyphens w:val="0"/>
        <w:snapToGrid w:val="0"/>
        <w:ind w:firstLine="425"/>
        <w:jc w:val="both"/>
        <w:rPr>
          <w:sz w:val="20"/>
          <w:szCs w:val="20"/>
        </w:rPr>
      </w:pPr>
      <w:r w:rsidRPr="002161A7">
        <w:rPr>
          <w:sz w:val="20"/>
          <w:szCs w:val="20"/>
        </w:rPr>
        <w:t>Conflicts of Interest: The authors declare that they have no conflicts of interests or financial ties to disclose.</w:t>
      </w:r>
    </w:p>
    <w:p w:rsidR="00DE5D59" w:rsidRPr="002161A7" w:rsidRDefault="00317BDD" w:rsidP="00834C9F">
      <w:pPr>
        <w:suppressAutoHyphens w:val="0"/>
        <w:snapToGrid w:val="0"/>
        <w:ind w:firstLine="425"/>
        <w:jc w:val="both"/>
        <w:rPr>
          <w:b/>
          <w:sz w:val="20"/>
          <w:szCs w:val="20"/>
          <w:lang w:eastAsia="zh-CN"/>
        </w:rPr>
      </w:pPr>
      <w:r w:rsidRPr="002161A7">
        <w:rPr>
          <w:sz w:val="20"/>
          <w:szCs w:val="20"/>
        </w:rPr>
        <w:t>Ethical approval: All procedures performed in studies involving human participants were in accordance with the ethical standards of the institutional and/or national research committee and with the 1964 Helsinki declaration and its later amendments or comparable ethical standards. The study was approved by the ethical committee at south Egypt cancer institute</w:t>
      </w:r>
      <w:r w:rsidR="00DE5D59" w:rsidRPr="002161A7">
        <w:rPr>
          <w:b/>
          <w:sz w:val="20"/>
          <w:szCs w:val="20"/>
        </w:rPr>
        <w:t>.</w:t>
      </w:r>
    </w:p>
    <w:p w:rsidR="006277B7" w:rsidRPr="002161A7" w:rsidRDefault="006277B7" w:rsidP="00834C9F">
      <w:pPr>
        <w:suppressAutoHyphens w:val="0"/>
        <w:snapToGrid w:val="0"/>
        <w:jc w:val="both"/>
        <w:rPr>
          <w:b/>
          <w:sz w:val="20"/>
          <w:szCs w:val="20"/>
          <w:lang w:eastAsia="zh-CN"/>
        </w:rPr>
      </w:pPr>
    </w:p>
    <w:p w:rsidR="00471E57" w:rsidRPr="002161A7" w:rsidRDefault="00471E57" w:rsidP="00834C9F">
      <w:pPr>
        <w:suppressAutoHyphens w:val="0"/>
        <w:snapToGrid w:val="0"/>
        <w:jc w:val="both"/>
        <w:rPr>
          <w:b/>
          <w:sz w:val="20"/>
          <w:szCs w:val="20"/>
        </w:rPr>
      </w:pPr>
      <w:r w:rsidRPr="002161A7">
        <w:rPr>
          <w:b/>
          <w:sz w:val="20"/>
          <w:szCs w:val="20"/>
        </w:rPr>
        <w:t>Corresponding Author:</w:t>
      </w:r>
    </w:p>
    <w:p w:rsidR="006277B7" w:rsidRPr="002161A7" w:rsidRDefault="00DE5D59" w:rsidP="00834C9F">
      <w:pPr>
        <w:suppressAutoHyphens w:val="0"/>
        <w:snapToGrid w:val="0"/>
        <w:jc w:val="both"/>
        <w:rPr>
          <w:sz w:val="20"/>
          <w:szCs w:val="20"/>
        </w:rPr>
      </w:pPr>
      <w:r w:rsidRPr="002161A7">
        <w:rPr>
          <w:sz w:val="20"/>
          <w:szCs w:val="20"/>
        </w:rPr>
        <w:t>Murad A. Jabir,</w:t>
      </w:r>
    </w:p>
    <w:p w:rsidR="00DE5D59" w:rsidRPr="002161A7" w:rsidRDefault="006277B7" w:rsidP="00834C9F">
      <w:pPr>
        <w:suppressAutoHyphens w:val="0"/>
        <w:snapToGrid w:val="0"/>
        <w:jc w:val="both"/>
        <w:rPr>
          <w:sz w:val="20"/>
          <w:szCs w:val="20"/>
        </w:rPr>
      </w:pPr>
      <w:r w:rsidRPr="002161A7">
        <w:rPr>
          <w:sz w:val="20"/>
          <w:szCs w:val="20"/>
        </w:rPr>
        <w:t>D</w:t>
      </w:r>
      <w:r w:rsidR="00DE5D59" w:rsidRPr="002161A7">
        <w:rPr>
          <w:sz w:val="20"/>
          <w:szCs w:val="20"/>
        </w:rPr>
        <w:t>epartment of Surgical Oncology, Colorectal Division, South Egypt Cancer Institute, Assiut University, Assiut 71111, Egypt.</w:t>
      </w:r>
      <w:r w:rsidRPr="002161A7">
        <w:rPr>
          <w:sz w:val="20"/>
          <w:szCs w:val="20"/>
        </w:rPr>
        <w:t xml:space="preserve"> </w:t>
      </w:r>
    </w:p>
    <w:p w:rsidR="00DE5D59" w:rsidRPr="002161A7" w:rsidRDefault="00471E57" w:rsidP="00834C9F">
      <w:pPr>
        <w:suppressAutoHyphens w:val="0"/>
        <w:snapToGrid w:val="0"/>
        <w:jc w:val="both"/>
        <w:rPr>
          <w:sz w:val="20"/>
          <w:szCs w:val="20"/>
          <w:lang w:eastAsia="zh-CN"/>
        </w:rPr>
      </w:pPr>
      <w:r w:rsidRPr="002161A7">
        <w:rPr>
          <w:sz w:val="20"/>
          <w:szCs w:val="20"/>
        </w:rPr>
        <w:t xml:space="preserve">E-mail: </w:t>
      </w:r>
      <w:hyperlink r:id="rId14" w:history="1">
        <w:r w:rsidR="00DE5D59" w:rsidRPr="002161A7">
          <w:rPr>
            <w:rStyle w:val="Hyperlink"/>
            <w:sz w:val="20"/>
            <w:szCs w:val="20"/>
          </w:rPr>
          <w:t>muradjabir@aun.edu.eg</w:t>
        </w:r>
      </w:hyperlink>
    </w:p>
    <w:p w:rsidR="00471E57" w:rsidRPr="002161A7" w:rsidRDefault="00471E57" w:rsidP="00834C9F">
      <w:pPr>
        <w:suppressAutoHyphens w:val="0"/>
        <w:snapToGrid w:val="0"/>
        <w:ind w:firstLine="425"/>
        <w:jc w:val="both"/>
        <w:rPr>
          <w:sz w:val="20"/>
          <w:szCs w:val="20"/>
        </w:rPr>
      </w:pPr>
    </w:p>
    <w:p w:rsidR="00471E57" w:rsidRPr="002161A7" w:rsidRDefault="00471E57" w:rsidP="00834C9F">
      <w:pPr>
        <w:suppressAutoHyphens w:val="0"/>
        <w:snapToGrid w:val="0"/>
        <w:jc w:val="both"/>
        <w:rPr>
          <w:b/>
          <w:sz w:val="20"/>
          <w:szCs w:val="20"/>
        </w:rPr>
      </w:pPr>
      <w:r w:rsidRPr="002161A7">
        <w:rPr>
          <w:b/>
          <w:sz w:val="20"/>
          <w:szCs w:val="20"/>
        </w:rPr>
        <w:t>References</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Law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WL1,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Choi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Seto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(2007)</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associated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with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poor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long-term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outcome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patients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curative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malignancy.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Gastrointest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11(1):8-15.</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Ptok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Marusch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Meyer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Schubert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Gastinger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Lippert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(2007)</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Impact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oncological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outcome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lastRenderedPageBreak/>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94(12):1548-54.</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Rahbari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Weitz</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Hohenberger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Heald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Ulrich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Holm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Wong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Tiret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Moriya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Laurberg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Dulk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Velde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Büchler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(2010)</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Definition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grading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following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rectum: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proposal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International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Study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Group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Surgery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147</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(3):339-51.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10.1016/j.surg.2009.10.012.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Epub</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2009</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11.</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Nesbakken,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Nygaard,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Lunde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Outcome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late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functional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results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following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mesorectal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excision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88(3):</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400-4.</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McArdle,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McMillan,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Hole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(2005)</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Impact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long-term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survival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patients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undergoing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curative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92(9):</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1150-4.</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Huh,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Park,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Sohn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(2007</w:t>
      </w:r>
      <w:r w:rsidR="00834C9F" w:rsidRPr="002161A7">
        <w:rPr>
          <w:rFonts w:ascii="Times New Roman" w:eastAsia="SimSun" w:hAnsi="Times New Roman" w:cs="Times New Roman"/>
          <w:sz w:val="20"/>
          <w:szCs w:val="20"/>
          <w:lang w:eastAsia="ar-SA"/>
        </w:rPr>
        <w:t>) 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diverting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not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necessary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when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performing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handsewn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coloanal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Rectum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50(7):</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1040-6.</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Matthiessen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Hallböök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Rutegård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Simert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Sjödahl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Defunctioning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reduces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symptomatic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(2007)</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rectum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randomized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multicenter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trial.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246(2):207-14.</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Tsikitis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Larson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Poola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Nelson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Wolff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Pemberton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Cima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(2009)</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Postoperative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morbidity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with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diversion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era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neo-adjuvant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therapy: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single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institution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experience.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Jul;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209(1):114-8.</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10.1016/j.jamcollsurg.2009.03.020.</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Gu</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Wu</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(2015)</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Meta-analysis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defunctioning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with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total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mesorectal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excision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evidence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based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thirteen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studies.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World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Oncol.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24;</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13:9.</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10.1186/s12957-014-0417-1.</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Shiomi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Ito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Maeda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Kinugasa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Yamaue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Shiozawa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Horie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Kuriu</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Saito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(2015)</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Effects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diverting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symptomatic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leakage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propensity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score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matching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analysis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1,014</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consecutive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patients.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Surg.220</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(2):186-94.</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10.1016/j.jamcollsurg.2014.10.017.</w:t>
      </w:r>
      <w:r w:rsidR="006277B7" w:rsidRPr="002161A7">
        <w:rPr>
          <w:rFonts w:ascii="Times New Roman" w:eastAsia="SimSun" w:hAnsi="Times New Roman" w:cs="Times New Roman"/>
          <w:sz w:val="20"/>
          <w:szCs w:val="20"/>
          <w:lang w:eastAsia="ar-SA"/>
        </w:rPr>
        <w:t xml:space="preserve"> </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Chen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Wang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Yu</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Zhao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ZK,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Wang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Defunctioning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lastRenderedPageBreak/>
        <w:t>analysis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recent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studies.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Hepatogastroenterology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59</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(118):1828-31.</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Hüser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Michalski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Erkan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Schuster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Rosenberg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Kleeff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Friess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(2008)</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Systematic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review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meta-analysis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role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defunctioning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surgery.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248(1):52-60.</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10.1097/SLA.0b013e318176bf65.</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Montedori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Cirocchi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Farinella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Sciannameo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Abraha</w:t>
      </w:r>
      <w:r w:rsidR="006277B7" w:rsidRPr="002161A7">
        <w:rPr>
          <w:rFonts w:ascii="Times New Roman" w:eastAsia="SimSun" w:hAnsi="Times New Roman" w:cs="Times New Roman"/>
          <w:sz w:val="20"/>
          <w:szCs w:val="20"/>
          <w:lang w:eastAsia="ar-SA"/>
        </w:rPr>
        <w:t xml:space="preserve"> I ( </w:t>
      </w:r>
      <w:r w:rsidRPr="002161A7">
        <w:rPr>
          <w:rFonts w:ascii="Times New Roman" w:eastAsia="SimSun" w:hAnsi="Times New Roman" w:cs="Times New Roman"/>
          <w:sz w:val="20"/>
          <w:szCs w:val="20"/>
          <w:lang w:eastAsia="ar-SA"/>
        </w:rPr>
        <w:t>2010)</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Covering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carcinoma.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Cochrane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Database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Syst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Rev.12;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(5):CD006878.</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10.1002/14651858.CD006878.</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Mrak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Uranitsch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Pedross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Heuberger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Klingler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Jagoditsch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Weihs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Eberl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Tschmelitsch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(2016)</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Diverting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versus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diversion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prospective,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randomized,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multicenter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trial.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Surgery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159(4):1129-39.</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10.1016/j.surg.2015.11.006.</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O'Leary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Fide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Lucarotti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Quality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life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with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total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mesorectal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excision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temporary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loop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carcinoma.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88(9):1216-20.</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Tsunoda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Tsunoda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Narita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Watanabe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Nakao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Kusano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(2008)</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Quality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life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temporary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loop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ileostomy</w:t>
      </w:r>
      <w:r w:rsidR="00834C9F" w:rsidRPr="002161A7">
        <w:rPr>
          <w:rFonts w:ascii="Times New Roman" w:eastAsia="SimSun" w:hAnsi="Times New Roman" w:cs="Times New Roman"/>
          <w:sz w:val="20"/>
          <w:szCs w:val="20"/>
          <w:lang w:eastAsia="ar-SA"/>
        </w:rPr>
        <w:t>. D</w:t>
      </w:r>
      <w:r w:rsidRPr="002161A7">
        <w:rPr>
          <w:rFonts w:ascii="Times New Roman" w:eastAsia="SimSun" w:hAnsi="Times New Roman" w:cs="Times New Roman"/>
          <w:sz w:val="20"/>
          <w:szCs w:val="20"/>
          <w:lang w:eastAsia="ar-SA"/>
        </w:rPr>
        <w:t>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Rectum.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51(2):218-22.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10.1007/s10350-007-9101-7.</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Bakx</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Busch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Bemelman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Veldink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Slors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Lanschot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(2004)</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Morbidity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temporary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loop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ileostomies.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21(4):277-81.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Epub</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2004</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Aug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11.</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Laurent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Nobili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Rullier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Vendrely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Saric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Rullier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(2006)</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Efforts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improve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local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control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cancer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compromise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survival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potential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morbidity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optimal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mesorectal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excision.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203(5):684-91.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Epub</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2006</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Sep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Kaiser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Israelit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Klaristenfeld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Selvindoss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Vukasin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Ault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Beart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(2008)</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Morbidity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takedown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Gastrointest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12(3):437-41</w:t>
      </w:r>
      <w:r w:rsidR="00834C9F" w:rsidRPr="002161A7">
        <w:rPr>
          <w:rFonts w:ascii="Times New Roman" w:eastAsiaTheme="minorEastAsia" w:hAnsi="Times New Roman" w:cs="Times New Roman" w:hint="eastAsia"/>
          <w:sz w:val="20"/>
          <w:szCs w:val="20"/>
          <w:lang w:eastAsia="zh-CN"/>
        </w:rPr>
        <w:t>.</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van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Westreenen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Visser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Tanis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Bemelman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Morbidity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related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defunctioning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closure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pouch-anal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colonic</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anastomosis.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27(1):49-54.</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10.1007/s00384-011-1276-7.</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Cipe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Erkek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Kuzu</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Gecim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Morbidity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mortality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closure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protective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loop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analysis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possible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predictors.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Hepatogastroenterology.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59(119):2168-72.</w:t>
      </w:r>
      <w:r w:rsidR="006277B7" w:rsidRPr="002161A7">
        <w:rPr>
          <w:rFonts w:ascii="Times New Roman" w:eastAsia="SimSun" w:hAnsi="Times New Roman" w:cs="Times New Roman"/>
          <w:sz w:val="20"/>
          <w:szCs w:val="20"/>
          <w:lang w:eastAsia="ar-SA"/>
        </w:rPr>
        <w:t xml:space="preserve"> </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lastRenderedPageBreak/>
        <w:t>Camilleri-Brennan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Steele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RJ</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(2002)</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Prospective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analysis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quality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life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reversal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of</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defunctioning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loop</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ileostomy.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Colorectal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Dis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4(3):</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p.167-171.</w:t>
      </w:r>
    </w:p>
    <w:p w:rsidR="00DE5D59" w:rsidRPr="002161A7" w:rsidRDefault="00DE5D59" w:rsidP="00834C9F">
      <w:pPr>
        <w:pStyle w:val="ListParagraph"/>
        <w:numPr>
          <w:ilvl w:val="0"/>
          <w:numId w:val="6"/>
        </w:numPr>
        <w:snapToGrid w:val="0"/>
        <w:spacing w:after="0" w:line="240" w:lineRule="auto"/>
        <w:ind w:left="425" w:hanging="425"/>
        <w:jc w:val="both"/>
        <w:rPr>
          <w:rFonts w:ascii="Times New Roman" w:eastAsia="SimSun" w:hAnsi="Times New Roman" w:cs="Times New Roman"/>
          <w:sz w:val="20"/>
          <w:szCs w:val="20"/>
          <w:lang w:eastAsia="ar-SA"/>
        </w:rPr>
      </w:pPr>
      <w:r w:rsidRPr="002161A7">
        <w:rPr>
          <w:rFonts w:ascii="Times New Roman" w:eastAsia="SimSun" w:hAnsi="Times New Roman" w:cs="Times New Roman"/>
          <w:sz w:val="20"/>
          <w:szCs w:val="20"/>
          <w:lang w:eastAsia="ar-SA"/>
        </w:rPr>
        <w:t>Watanabe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Miyata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Konno</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Kawai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K,</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Ishihara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Sunami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Hirahara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Wakabayashi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lastRenderedPageBreak/>
        <w:t>G,</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Gotoh</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Mori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(2017)</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Prediction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model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complications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after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low</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anterior</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resection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based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on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data</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from</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33,411</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Japanese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patients</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included</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in</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the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National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Clinical</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Database.</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Surgery</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161(6):1597-1608.</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doi:</w:t>
      </w:r>
      <w:r w:rsidR="006277B7" w:rsidRPr="002161A7">
        <w:rPr>
          <w:rFonts w:ascii="Times New Roman" w:eastAsia="SimSun" w:hAnsi="Times New Roman" w:cs="Times New Roman"/>
          <w:sz w:val="20"/>
          <w:szCs w:val="20"/>
          <w:lang w:eastAsia="ar-SA"/>
        </w:rPr>
        <w:t xml:space="preserve"> </w:t>
      </w:r>
      <w:r w:rsidRPr="002161A7">
        <w:rPr>
          <w:rFonts w:ascii="Times New Roman" w:eastAsia="SimSun" w:hAnsi="Times New Roman" w:cs="Times New Roman"/>
          <w:sz w:val="20"/>
          <w:szCs w:val="20"/>
          <w:lang w:eastAsia="ar-SA"/>
        </w:rPr>
        <w:t>10.1016/j.surg.2016.12.011</w:t>
      </w:r>
      <w:r w:rsidR="000B1EE8" w:rsidRPr="002161A7">
        <w:rPr>
          <w:rFonts w:ascii="Times New Roman" w:eastAsia="SimSun" w:hAnsi="Times New Roman" w:cs="Times New Roman"/>
          <w:sz w:val="20"/>
          <w:szCs w:val="20"/>
          <w:lang w:eastAsia="ar-SA"/>
        </w:rPr>
        <w:t>.</w:t>
      </w:r>
    </w:p>
    <w:p w:rsidR="00834C9F" w:rsidRPr="002161A7" w:rsidRDefault="00834C9F" w:rsidP="00834C9F">
      <w:pPr>
        <w:suppressAutoHyphens w:val="0"/>
        <w:snapToGrid w:val="0"/>
        <w:ind w:left="425" w:hanging="425"/>
        <w:jc w:val="both"/>
        <w:rPr>
          <w:b/>
          <w:sz w:val="20"/>
          <w:szCs w:val="20"/>
        </w:rPr>
        <w:sectPr w:rsidR="00834C9F" w:rsidRPr="002161A7" w:rsidSect="00834C9F">
          <w:footnotePr>
            <w:pos w:val="beneathText"/>
          </w:footnotePr>
          <w:type w:val="continuous"/>
          <w:pgSz w:w="12240" w:h="15840" w:code="1"/>
          <w:pgMar w:top="1440" w:right="1440" w:bottom="1440" w:left="1440" w:header="720" w:footer="720" w:gutter="0"/>
          <w:cols w:num="2" w:space="600"/>
          <w:docGrid w:linePitch="360"/>
        </w:sectPr>
      </w:pPr>
    </w:p>
    <w:p w:rsidR="00DE5D59" w:rsidRPr="002161A7" w:rsidRDefault="00DE5D59" w:rsidP="00834C9F">
      <w:pPr>
        <w:suppressAutoHyphens w:val="0"/>
        <w:snapToGrid w:val="0"/>
        <w:ind w:left="425" w:hanging="425"/>
        <w:jc w:val="both"/>
        <w:rPr>
          <w:b/>
          <w:sz w:val="20"/>
          <w:szCs w:val="20"/>
        </w:rPr>
      </w:pPr>
    </w:p>
    <w:p w:rsidR="00834C9F" w:rsidRPr="002161A7" w:rsidRDefault="00834C9F" w:rsidP="00834C9F">
      <w:pPr>
        <w:suppressAutoHyphens w:val="0"/>
        <w:snapToGrid w:val="0"/>
        <w:ind w:firstLine="425"/>
        <w:jc w:val="both"/>
        <w:rPr>
          <w:sz w:val="20"/>
          <w:szCs w:val="20"/>
          <w:lang w:eastAsia="zh-CN"/>
        </w:rPr>
      </w:pPr>
    </w:p>
    <w:p w:rsidR="004D0467" w:rsidRPr="002161A7" w:rsidRDefault="006277B7" w:rsidP="00834C9F">
      <w:pPr>
        <w:suppressAutoHyphens w:val="0"/>
        <w:snapToGrid w:val="0"/>
        <w:jc w:val="both"/>
        <w:rPr>
          <w:sz w:val="20"/>
          <w:szCs w:val="20"/>
        </w:rPr>
      </w:pPr>
      <w:r w:rsidRPr="002161A7">
        <w:rPr>
          <w:sz w:val="20"/>
          <w:szCs w:val="20"/>
        </w:rPr>
        <w:t>9/15/2020</w:t>
      </w:r>
    </w:p>
    <w:sectPr w:rsidR="004D0467" w:rsidRPr="002161A7" w:rsidSect="006277B7">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22F4" w:rsidRDefault="007922F4">
      <w:r>
        <w:separator/>
      </w:r>
    </w:p>
  </w:endnote>
  <w:endnote w:type="continuationSeparator" w:id="0">
    <w:p w:rsidR="007922F4" w:rsidRDefault="0079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font>
  <w:font w:name="DejaVu Sans">
    <w:altName w:val="Times New Roman"/>
    <w:charset w:val="00"/>
    <w:family w:val="auto"/>
    <w:pitch w:val="variable"/>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5B6A" w:rsidRDefault="00923E65" w:rsidP="00B3167C">
    <w:pPr>
      <w:pStyle w:val="Footer"/>
      <w:framePr w:wrap="around" w:vAnchor="text" w:hAnchor="margin" w:xAlign="center" w:y="1"/>
      <w:rPr>
        <w:rStyle w:val="PageNumber"/>
      </w:rPr>
    </w:pPr>
    <w:r>
      <w:rPr>
        <w:rStyle w:val="PageNumber"/>
      </w:rPr>
      <w:fldChar w:fldCharType="begin"/>
    </w:r>
    <w:r w:rsidR="00FB5B6A">
      <w:rPr>
        <w:rStyle w:val="PageNumber"/>
      </w:rPr>
      <w:instrText xml:space="preserve">PAGE  </w:instrText>
    </w:r>
    <w:r>
      <w:rPr>
        <w:rStyle w:val="PageNumber"/>
      </w:rPr>
      <w:fldChar w:fldCharType="end"/>
    </w:r>
  </w:p>
  <w:p w:rsidR="00471E57" w:rsidRDefault="00471E5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E57" w:rsidRPr="0093142D" w:rsidRDefault="00923E65" w:rsidP="0093142D">
    <w:pPr>
      <w:jc w:val="center"/>
      <w:rPr>
        <w:sz w:val="20"/>
      </w:rPr>
    </w:pPr>
    <w:r w:rsidRPr="0093142D">
      <w:rPr>
        <w:sz w:val="20"/>
      </w:rPr>
      <w:fldChar w:fldCharType="begin"/>
    </w:r>
    <w:r w:rsidR="0093142D" w:rsidRPr="0093142D">
      <w:rPr>
        <w:sz w:val="20"/>
      </w:rPr>
      <w:instrText xml:space="preserve"> page </w:instrText>
    </w:r>
    <w:r w:rsidRPr="0093142D">
      <w:rPr>
        <w:sz w:val="20"/>
      </w:rPr>
      <w:fldChar w:fldCharType="separate"/>
    </w:r>
    <w:r w:rsidR="00EF051F">
      <w:rPr>
        <w:noProof/>
        <w:sz w:val="20"/>
      </w:rPr>
      <w:t>70</w:t>
    </w:r>
    <w:r w:rsidRPr="0093142D">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22F4" w:rsidRDefault="007922F4">
      <w:r>
        <w:separator/>
      </w:r>
    </w:p>
  </w:footnote>
  <w:footnote w:type="continuationSeparator" w:id="0">
    <w:p w:rsidR="007922F4" w:rsidRDefault="00792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142D" w:rsidRPr="00535EB0" w:rsidRDefault="00535EB0" w:rsidP="00535EB0">
    <w:pPr>
      <w:pStyle w:val="Header"/>
      <w:rPr>
        <w:szCs w:val="20"/>
      </w:rPr>
    </w:pPr>
    <w:r>
      <w:rPr>
        <w:noProof/>
        <w:szCs w:val="20"/>
        <w:lang w:eastAsia="en-US"/>
      </w:rPr>
      <w:drawing>
        <wp:inline distT="0" distB="0" distL="0" distR="0">
          <wp:extent cx="5943600" cy="78486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4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EB0" w:rsidRPr="0093142D" w:rsidRDefault="00535EB0" w:rsidP="0093142D">
    <w:pPr>
      <w:pBdr>
        <w:bottom w:val="thinThickMediumGap" w:sz="12" w:space="1" w:color="auto"/>
      </w:pBdr>
      <w:tabs>
        <w:tab w:val="left" w:pos="851"/>
        <w:tab w:val="right" w:pos="8364"/>
      </w:tabs>
      <w:adjustRightInd w:val="0"/>
      <w:snapToGrid w:val="0"/>
      <w:jc w:val="both"/>
      <w:rPr>
        <w:iCs/>
        <w:color w:val="0000FF"/>
        <w:sz w:val="20"/>
      </w:rPr>
    </w:pPr>
    <w:r w:rsidRPr="0093142D">
      <w:rPr>
        <w:rFonts w:hint="eastAsia"/>
        <w:iCs/>
        <w:color w:val="000000"/>
        <w:sz w:val="20"/>
      </w:rPr>
      <w:tab/>
    </w:r>
    <w:r w:rsidRPr="0093142D">
      <w:rPr>
        <w:iCs/>
        <w:color w:val="000000"/>
        <w:sz w:val="20"/>
      </w:rPr>
      <w:t xml:space="preserve">Cancer Biology </w:t>
    </w:r>
    <w:r w:rsidRPr="0093142D">
      <w:rPr>
        <w:iCs/>
        <w:sz w:val="20"/>
      </w:rPr>
      <w:t>20</w:t>
    </w:r>
    <w:r w:rsidRPr="0093142D">
      <w:rPr>
        <w:rFonts w:hint="eastAsia"/>
        <w:iCs/>
        <w:sz w:val="20"/>
      </w:rPr>
      <w:t>20</w:t>
    </w:r>
    <w:r w:rsidRPr="0093142D">
      <w:rPr>
        <w:iCs/>
        <w:sz w:val="20"/>
      </w:rPr>
      <w:t>;</w:t>
    </w:r>
    <w:r w:rsidRPr="0093142D">
      <w:rPr>
        <w:rFonts w:hint="eastAsia"/>
        <w:iCs/>
        <w:sz w:val="20"/>
      </w:rPr>
      <w:t>10</w:t>
    </w:r>
    <w:r w:rsidRPr="0093142D">
      <w:rPr>
        <w:iCs/>
        <w:sz w:val="20"/>
      </w:rPr>
      <w:t>(</w:t>
    </w:r>
    <w:r w:rsidRPr="0093142D">
      <w:rPr>
        <w:rFonts w:hint="eastAsia"/>
        <w:iCs/>
        <w:sz w:val="20"/>
      </w:rPr>
      <w:t>3</w:t>
    </w:r>
    <w:r w:rsidRPr="0093142D">
      <w:rPr>
        <w:iCs/>
        <w:sz w:val="20"/>
      </w:rPr>
      <w:t xml:space="preserve">)  </w:t>
    </w:r>
    <w:r w:rsidRPr="0093142D">
      <w:rPr>
        <w:rFonts w:hint="eastAsia"/>
        <w:iCs/>
        <w:sz w:val="20"/>
      </w:rPr>
      <w:t xml:space="preserve">   </w:t>
    </w:r>
    <w:r w:rsidRPr="0093142D">
      <w:rPr>
        <w:rFonts w:hint="eastAsia"/>
        <w:iCs/>
        <w:sz w:val="20"/>
      </w:rPr>
      <w:tab/>
      <w:t xml:space="preserve">   </w:t>
    </w:r>
    <w:r w:rsidRPr="0093142D">
      <w:rPr>
        <w:iCs/>
        <w:sz w:val="20"/>
      </w:rPr>
      <w:t xml:space="preserve"> </w:t>
    </w:r>
    <w:r w:rsidRPr="0093142D">
      <w:rPr>
        <w:sz w:val="20"/>
      </w:rPr>
      <w:t xml:space="preserve">  </w:t>
    </w:r>
    <w:hyperlink r:id="rId1" w:history="1">
      <w:r w:rsidRPr="0093142D">
        <w:rPr>
          <w:rStyle w:val="Hyperlink"/>
          <w:sz w:val="20"/>
        </w:rPr>
        <w:t>http://www.cancerbio.net</w:t>
      </w:r>
    </w:hyperlink>
    <w:r w:rsidRPr="0093142D">
      <w:rPr>
        <w:rFonts w:hint="eastAsia"/>
        <w:sz w:val="20"/>
      </w:rPr>
      <w:t xml:space="preserve">   </w:t>
    </w:r>
    <w:r w:rsidRPr="0093142D">
      <w:rPr>
        <w:rFonts w:hint="eastAsia"/>
        <w:b/>
        <w:i/>
        <w:color w:val="FF0000"/>
        <w:sz w:val="20"/>
        <w:szCs w:val="20"/>
        <w:bdr w:val="single" w:sz="4" w:space="0" w:color="FF0000"/>
      </w:rPr>
      <w:t>CBJ</w:t>
    </w:r>
  </w:p>
  <w:p w:rsidR="00535EB0" w:rsidRPr="0093142D" w:rsidRDefault="00535EB0" w:rsidP="0093142D">
    <w:pPr>
      <w:tabs>
        <w:tab w:val="left" w:pos="851"/>
        <w:tab w:val="right" w:pos="8364"/>
      </w:tabs>
      <w:adjustRightInd w:val="0"/>
      <w:snapToGrid w:val="0"/>
      <w:jc w:val="both"/>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30F02745"/>
    <w:multiLevelType w:val="hybridMultilevel"/>
    <w:tmpl w:val="7C8C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593D94"/>
    <w:multiLevelType w:val="hybridMultilevel"/>
    <w:tmpl w:val="0D303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9B3"/>
    <w:rsid w:val="00000358"/>
    <w:rsid w:val="00005C8E"/>
    <w:rsid w:val="000075A2"/>
    <w:rsid w:val="00011D45"/>
    <w:rsid w:val="00012408"/>
    <w:rsid w:val="00026CB3"/>
    <w:rsid w:val="00027882"/>
    <w:rsid w:val="00050060"/>
    <w:rsid w:val="0006091F"/>
    <w:rsid w:val="000613F6"/>
    <w:rsid w:val="00066778"/>
    <w:rsid w:val="00080CE9"/>
    <w:rsid w:val="000827B7"/>
    <w:rsid w:val="000844D7"/>
    <w:rsid w:val="00086790"/>
    <w:rsid w:val="00090A06"/>
    <w:rsid w:val="000A0250"/>
    <w:rsid w:val="000A402B"/>
    <w:rsid w:val="000A5927"/>
    <w:rsid w:val="000B1EE8"/>
    <w:rsid w:val="00126423"/>
    <w:rsid w:val="001817C7"/>
    <w:rsid w:val="00183764"/>
    <w:rsid w:val="001964D0"/>
    <w:rsid w:val="001B41B8"/>
    <w:rsid w:val="001B650D"/>
    <w:rsid w:val="001C3D42"/>
    <w:rsid w:val="001C7D3F"/>
    <w:rsid w:val="001E6601"/>
    <w:rsid w:val="00205E97"/>
    <w:rsid w:val="002161A7"/>
    <w:rsid w:val="00237409"/>
    <w:rsid w:val="00245C21"/>
    <w:rsid w:val="00265836"/>
    <w:rsid w:val="002721F1"/>
    <w:rsid w:val="002763D6"/>
    <w:rsid w:val="00282FA1"/>
    <w:rsid w:val="002B5613"/>
    <w:rsid w:val="002C1E10"/>
    <w:rsid w:val="002D3558"/>
    <w:rsid w:val="002D589A"/>
    <w:rsid w:val="002F20CD"/>
    <w:rsid w:val="002F49EF"/>
    <w:rsid w:val="00314F95"/>
    <w:rsid w:val="00317BDD"/>
    <w:rsid w:val="00322FAB"/>
    <w:rsid w:val="0033548D"/>
    <w:rsid w:val="00345581"/>
    <w:rsid w:val="0034702D"/>
    <w:rsid w:val="00352615"/>
    <w:rsid w:val="003679A0"/>
    <w:rsid w:val="00394B65"/>
    <w:rsid w:val="003A785E"/>
    <w:rsid w:val="003B4B40"/>
    <w:rsid w:val="003B55FF"/>
    <w:rsid w:val="003B651F"/>
    <w:rsid w:val="003C0116"/>
    <w:rsid w:val="003C4C28"/>
    <w:rsid w:val="0043645D"/>
    <w:rsid w:val="00454A59"/>
    <w:rsid w:val="00456753"/>
    <w:rsid w:val="00471E57"/>
    <w:rsid w:val="00480715"/>
    <w:rsid w:val="0049143E"/>
    <w:rsid w:val="004C7E2A"/>
    <w:rsid w:val="004D01D3"/>
    <w:rsid w:val="004D0467"/>
    <w:rsid w:val="004F4AFB"/>
    <w:rsid w:val="005030EC"/>
    <w:rsid w:val="00520D1A"/>
    <w:rsid w:val="0052512B"/>
    <w:rsid w:val="00535EB0"/>
    <w:rsid w:val="00553F9B"/>
    <w:rsid w:val="00593132"/>
    <w:rsid w:val="005A21B0"/>
    <w:rsid w:val="005A5E42"/>
    <w:rsid w:val="005C2F35"/>
    <w:rsid w:val="005D1DA6"/>
    <w:rsid w:val="005F5E04"/>
    <w:rsid w:val="006277B7"/>
    <w:rsid w:val="00627E0D"/>
    <w:rsid w:val="0065209A"/>
    <w:rsid w:val="00657995"/>
    <w:rsid w:val="006A19C3"/>
    <w:rsid w:val="006B5399"/>
    <w:rsid w:val="006D5C2E"/>
    <w:rsid w:val="006E6ACB"/>
    <w:rsid w:val="006E7156"/>
    <w:rsid w:val="006F1706"/>
    <w:rsid w:val="00744442"/>
    <w:rsid w:val="007725E7"/>
    <w:rsid w:val="0078507E"/>
    <w:rsid w:val="007922F4"/>
    <w:rsid w:val="007D3D09"/>
    <w:rsid w:val="007D746F"/>
    <w:rsid w:val="007F763B"/>
    <w:rsid w:val="00802EA7"/>
    <w:rsid w:val="00814FA7"/>
    <w:rsid w:val="008233D0"/>
    <w:rsid w:val="00834C9F"/>
    <w:rsid w:val="00846939"/>
    <w:rsid w:val="0085007D"/>
    <w:rsid w:val="00875C08"/>
    <w:rsid w:val="008A20AC"/>
    <w:rsid w:val="008A67B6"/>
    <w:rsid w:val="008E770A"/>
    <w:rsid w:val="0090773A"/>
    <w:rsid w:val="0091208A"/>
    <w:rsid w:val="00914558"/>
    <w:rsid w:val="00923E65"/>
    <w:rsid w:val="0093142D"/>
    <w:rsid w:val="00935CF7"/>
    <w:rsid w:val="0094140D"/>
    <w:rsid w:val="009459B3"/>
    <w:rsid w:val="00952EB8"/>
    <w:rsid w:val="00981927"/>
    <w:rsid w:val="00997A8E"/>
    <w:rsid w:val="009A3681"/>
    <w:rsid w:val="00A1557F"/>
    <w:rsid w:val="00A3476D"/>
    <w:rsid w:val="00A859B0"/>
    <w:rsid w:val="00AA3D5A"/>
    <w:rsid w:val="00AE21FB"/>
    <w:rsid w:val="00AF33BB"/>
    <w:rsid w:val="00B1043E"/>
    <w:rsid w:val="00B22A1F"/>
    <w:rsid w:val="00B3167C"/>
    <w:rsid w:val="00B36B45"/>
    <w:rsid w:val="00B60E8D"/>
    <w:rsid w:val="00B80C0E"/>
    <w:rsid w:val="00B918AE"/>
    <w:rsid w:val="00B94E19"/>
    <w:rsid w:val="00BD2A8D"/>
    <w:rsid w:val="00BF6579"/>
    <w:rsid w:val="00C0761F"/>
    <w:rsid w:val="00C101C9"/>
    <w:rsid w:val="00C44596"/>
    <w:rsid w:val="00C60D61"/>
    <w:rsid w:val="00C92003"/>
    <w:rsid w:val="00CC4387"/>
    <w:rsid w:val="00CE5118"/>
    <w:rsid w:val="00CE7B2F"/>
    <w:rsid w:val="00CF24FB"/>
    <w:rsid w:val="00CF6616"/>
    <w:rsid w:val="00D04C27"/>
    <w:rsid w:val="00D13147"/>
    <w:rsid w:val="00D26F2E"/>
    <w:rsid w:val="00D3777A"/>
    <w:rsid w:val="00D56002"/>
    <w:rsid w:val="00D87695"/>
    <w:rsid w:val="00D94C03"/>
    <w:rsid w:val="00DE5D59"/>
    <w:rsid w:val="00DF6507"/>
    <w:rsid w:val="00DF7353"/>
    <w:rsid w:val="00E015B9"/>
    <w:rsid w:val="00E172CD"/>
    <w:rsid w:val="00E34501"/>
    <w:rsid w:val="00E34DBD"/>
    <w:rsid w:val="00E5115E"/>
    <w:rsid w:val="00E52EA0"/>
    <w:rsid w:val="00E57761"/>
    <w:rsid w:val="00E617EB"/>
    <w:rsid w:val="00E73E1D"/>
    <w:rsid w:val="00E94469"/>
    <w:rsid w:val="00EB2164"/>
    <w:rsid w:val="00EB51F4"/>
    <w:rsid w:val="00EC565A"/>
    <w:rsid w:val="00EC5C53"/>
    <w:rsid w:val="00ED4441"/>
    <w:rsid w:val="00ED4A29"/>
    <w:rsid w:val="00ED4ED9"/>
    <w:rsid w:val="00EE1CEE"/>
    <w:rsid w:val="00EE1F4B"/>
    <w:rsid w:val="00EE4DAE"/>
    <w:rsid w:val="00EF051F"/>
    <w:rsid w:val="00F03305"/>
    <w:rsid w:val="00F179EA"/>
    <w:rsid w:val="00F17A68"/>
    <w:rsid w:val="00F2228B"/>
    <w:rsid w:val="00F62573"/>
    <w:rsid w:val="00F8273A"/>
    <w:rsid w:val="00F83A62"/>
    <w:rsid w:val="00FA6D77"/>
    <w:rsid w:val="00FB5B6A"/>
    <w:rsid w:val="00FB5DBB"/>
    <w:rsid w:val="00FC4906"/>
    <w:rsid w:val="00FF766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8BE9BD8-EC92-4D26-8E39-961A28A6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E172CD"/>
    <w:pPr>
      <w:keepNext/>
      <w:numPr>
        <w:numId w:val="1"/>
      </w:numPr>
      <w:outlineLvl w:val="0"/>
    </w:pPr>
    <w:rPr>
      <w:b/>
      <w:bCs/>
      <w:sz w:val="32"/>
    </w:rPr>
  </w:style>
  <w:style w:type="paragraph" w:styleId="Heading2">
    <w:name w:val="heading 2"/>
    <w:basedOn w:val="Normal"/>
    <w:next w:val="Normal"/>
    <w:qFormat/>
    <w:rsid w:val="00E172CD"/>
    <w:pPr>
      <w:keepNext/>
      <w:numPr>
        <w:ilvl w:val="1"/>
        <w:numId w:val="1"/>
      </w:numPr>
      <w:jc w:val="both"/>
      <w:outlineLvl w:val="1"/>
    </w:pPr>
    <w:rPr>
      <w:b/>
      <w:sz w:val="28"/>
    </w:rPr>
  </w:style>
  <w:style w:type="paragraph" w:styleId="Heading3">
    <w:name w:val="heading 3"/>
    <w:basedOn w:val="Normal"/>
    <w:next w:val="Normal"/>
    <w:qFormat/>
    <w:rsid w:val="00E172CD"/>
    <w:pPr>
      <w:keepNext/>
      <w:numPr>
        <w:ilvl w:val="2"/>
        <w:numId w:val="1"/>
      </w:numPr>
      <w:spacing w:line="360" w:lineRule="auto"/>
      <w:jc w:val="both"/>
      <w:outlineLvl w:val="2"/>
    </w:pPr>
    <w:rPr>
      <w:b/>
      <w:bCs/>
    </w:rPr>
  </w:style>
  <w:style w:type="paragraph" w:styleId="Heading6">
    <w:name w:val="heading 6"/>
    <w:basedOn w:val="Normal"/>
    <w:next w:val="Normal"/>
    <w:qFormat/>
    <w:rsid w:val="00E172C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E172CD"/>
  </w:style>
  <w:style w:type="character" w:customStyle="1" w:styleId="WW-Absatz-Standardschriftart">
    <w:name w:val="WW-Absatz-Standardschriftart"/>
    <w:rsid w:val="00E172CD"/>
  </w:style>
  <w:style w:type="character" w:customStyle="1" w:styleId="WW-Absatz-Standardschriftart1">
    <w:name w:val="WW-Absatz-Standardschriftart1"/>
    <w:rsid w:val="00E172CD"/>
  </w:style>
  <w:style w:type="character" w:customStyle="1" w:styleId="WW-Absatz-Standardschriftart11">
    <w:name w:val="WW-Absatz-Standardschriftart11"/>
    <w:rsid w:val="00E172CD"/>
  </w:style>
  <w:style w:type="character" w:customStyle="1" w:styleId="WW-Absatz-Standardschriftart111">
    <w:name w:val="WW-Absatz-Standardschriftart111"/>
    <w:rsid w:val="00E172CD"/>
  </w:style>
  <w:style w:type="character" w:customStyle="1" w:styleId="WW-Absatz-Standardschriftart1111">
    <w:name w:val="WW-Absatz-Standardschriftart1111"/>
    <w:rsid w:val="00E172CD"/>
  </w:style>
  <w:style w:type="character" w:customStyle="1" w:styleId="WW-Absatz-Standardschriftart11111">
    <w:name w:val="WW-Absatz-Standardschriftart11111"/>
    <w:rsid w:val="00E172CD"/>
  </w:style>
  <w:style w:type="character" w:customStyle="1" w:styleId="WW-Absatz-Standardschriftart111111">
    <w:name w:val="WW-Absatz-Standardschriftart111111"/>
    <w:rsid w:val="00E172CD"/>
  </w:style>
  <w:style w:type="character" w:customStyle="1" w:styleId="WW-Absatz-Standardschriftart1111111">
    <w:name w:val="WW-Absatz-Standardschriftart1111111"/>
    <w:rsid w:val="00E172CD"/>
  </w:style>
  <w:style w:type="character" w:customStyle="1" w:styleId="WW-Absatz-Standardschriftart11111111">
    <w:name w:val="WW-Absatz-Standardschriftart11111111"/>
    <w:rsid w:val="00E172CD"/>
  </w:style>
  <w:style w:type="character" w:customStyle="1" w:styleId="WW-Absatz-Standardschriftart111111111">
    <w:name w:val="WW-Absatz-Standardschriftart111111111"/>
    <w:rsid w:val="00E172CD"/>
  </w:style>
  <w:style w:type="character" w:customStyle="1" w:styleId="WW-Absatz-Standardschriftart1111111111">
    <w:name w:val="WW-Absatz-Standardschriftart1111111111"/>
    <w:rsid w:val="00E172CD"/>
  </w:style>
  <w:style w:type="character" w:customStyle="1" w:styleId="WW-Absatz-Standardschriftart11111111111">
    <w:name w:val="WW-Absatz-Standardschriftart11111111111"/>
    <w:rsid w:val="00E172CD"/>
  </w:style>
  <w:style w:type="character" w:customStyle="1" w:styleId="WW-Absatz-Standardschriftart111111111111">
    <w:name w:val="WW-Absatz-Standardschriftart111111111111"/>
    <w:rsid w:val="00E172CD"/>
  </w:style>
  <w:style w:type="character" w:customStyle="1" w:styleId="WW-Absatz-Standardschriftart1111111111111">
    <w:name w:val="WW-Absatz-Standardschriftart1111111111111"/>
    <w:rsid w:val="00E172CD"/>
  </w:style>
  <w:style w:type="character" w:customStyle="1" w:styleId="WW-Absatz-Standardschriftart11111111111111">
    <w:name w:val="WW-Absatz-Standardschriftart11111111111111"/>
    <w:rsid w:val="00E172CD"/>
  </w:style>
  <w:style w:type="character" w:customStyle="1" w:styleId="WW-Absatz-Standardschriftart111111111111111">
    <w:name w:val="WW-Absatz-Standardschriftart111111111111111"/>
    <w:rsid w:val="00E172CD"/>
  </w:style>
  <w:style w:type="character" w:customStyle="1" w:styleId="WW-Absatz-Standardschriftart1111111111111111">
    <w:name w:val="WW-Absatz-Standardschriftart1111111111111111"/>
    <w:rsid w:val="00E172CD"/>
  </w:style>
  <w:style w:type="character" w:customStyle="1" w:styleId="WW8Num1z0">
    <w:name w:val="WW8Num1z0"/>
    <w:rsid w:val="00E172CD"/>
    <w:rPr>
      <w:rFonts w:ascii="Symbol" w:eastAsia="Times New Roman" w:hAnsi="Symbol" w:cs="Times New Roman"/>
    </w:rPr>
  </w:style>
  <w:style w:type="character" w:customStyle="1" w:styleId="WW8Num1z1">
    <w:name w:val="WW8Num1z1"/>
    <w:rsid w:val="00E172CD"/>
    <w:rPr>
      <w:rFonts w:ascii="Courier New" w:hAnsi="Courier New" w:cs="Courier New"/>
    </w:rPr>
  </w:style>
  <w:style w:type="character" w:customStyle="1" w:styleId="WW8Num1z2">
    <w:name w:val="WW8Num1z2"/>
    <w:rsid w:val="00E172CD"/>
    <w:rPr>
      <w:rFonts w:ascii="Wingdings" w:hAnsi="Wingdings"/>
    </w:rPr>
  </w:style>
  <w:style w:type="character" w:customStyle="1" w:styleId="WW8Num1z3">
    <w:name w:val="WW8Num1z3"/>
    <w:rsid w:val="00E172CD"/>
    <w:rPr>
      <w:rFonts w:ascii="Symbol" w:hAnsi="Symbol"/>
    </w:rPr>
  </w:style>
  <w:style w:type="character" w:styleId="PageNumber">
    <w:name w:val="page number"/>
    <w:basedOn w:val="DefaultParagraphFont"/>
    <w:rsid w:val="00E172CD"/>
  </w:style>
  <w:style w:type="character" w:styleId="Hyperlink">
    <w:name w:val="Hyperlink"/>
    <w:basedOn w:val="DefaultParagraphFont"/>
    <w:uiPriority w:val="99"/>
    <w:rsid w:val="00E172CD"/>
    <w:rPr>
      <w:color w:val="0000FF"/>
      <w:u w:val="single"/>
    </w:rPr>
  </w:style>
  <w:style w:type="character" w:styleId="FollowedHyperlink">
    <w:name w:val="FollowedHyperlink"/>
    <w:basedOn w:val="DefaultParagraphFont"/>
    <w:rsid w:val="00E172CD"/>
    <w:rPr>
      <w:color w:val="800080"/>
      <w:u w:val="single"/>
    </w:rPr>
  </w:style>
  <w:style w:type="character" w:customStyle="1" w:styleId="NumberingSymbols">
    <w:name w:val="Numbering Symbols"/>
    <w:rsid w:val="00E172CD"/>
  </w:style>
  <w:style w:type="paragraph" w:customStyle="1" w:styleId="Heading">
    <w:name w:val="Heading"/>
    <w:basedOn w:val="Normal"/>
    <w:next w:val="BodyText"/>
    <w:rsid w:val="00E172CD"/>
    <w:pPr>
      <w:keepNext/>
      <w:spacing w:before="240" w:after="120"/>
    </w:pPr>
    <w:rPr>
      <w:rFonts w:ascii="Nimbus Sans L" w:eastAsia="DejaVu Sans" w:hAnsi="Nimbus Sans L" w:cs="DejaVu Sans"/>
      <w:sz w:val="28"/>
      <w:szCs w:val="28"/>
    </w:rPr>
  </w:style>
  <w:style w:type="paragraph" w:styleId="BodyText">
    <w:name w:val="Body Text"/>
    <w:basedOn w:val="Normal"/>
    <w:rsid w:val="00E172CD"/>
    <w:pPr>
      <w:spacing w:line="360" w:lineRule="auto"/>
    </w:pPr>
  </w:style>
  <w:style w:type="paragraph" w:styleId="List">
    <w:name w:val="List"/>
    <w:basedOn w:val="BodyText"/>
    <w:rsid w:val="00E172CD"/>
  </w:style>
  <w:style w:type="paragraph" w:styleId="Caption">
    <w:name w:val="caption"/>
    <w:basedOn w:val="Normal"/>
    <w:qFormat/>
    <w:rsid w:val="00E172CD"/>
    <w:pPr>
      <w:suppressLineNumbers/>
      <w:spacing w:before="120" w:after="120"/>
    </w:pPr>
    <w:rPr>
      <w:i/>
      <w:iCs/>
    </w:rPr>
  </w:style>
  <w:style w:type="paragraph" w:customStyle="1" w:styleId="Index">
    <w:name w:val="Index"/>
    <w:basedOn w:val="Normal"/>
    <w:rsid w:val="00E172CD"/>
    <w:pPr>
      <w:suppressLineNumbers/>
    </w:pPr>
  </w:style>
  <w:style w:type="paragraph" w:styleId="Header">
    <w:name w:val="header"/>
    <w:basedOn w:val="Normal"/>
    <w:next w:val="Heading1"/>
    <w:link w:val="HeaderChar"/>
    <w:rsid w:val="00E172CD"/>
    <w:pPr>
      <w:tabs>
        <w:tab w:val="center" w:pos="4320"/>
        <w:tab w:val="right" w:pos="8640"/>
      </w:tabs>
    </w:pPr>
  </w:style>
  <w:style w:type="paragraph" w:styleId="BodyTextIndent3">
    <w:name w:val="Body Text Indent 3"/>
    <w:basedOn w:val="Normal"/>
    <w:rsid w:val="00E172CD"/>
    <w:pPr>
      <w:spacing w:line="360" w:lineRule="auto"/>
      <w:ind w:firstLine="720"/>
      <w:jc w:val="both"/>
    </w:pPr>
    <w:rPr>
      <w:b/>
      <w:bCs/>
    </w:rPr>
  </w:style>
  <w:style w:type="paragraph" w:styleId="BodyTextIndent">
    <w:name w:val="Body Text Indent"/>
    <w:basedOn w:val="Normal"/>
    <w:rsid w:val="00E172CD"/>
    <w:pPr>
      <w:ind w:left="540" w:hanging="720"/>
      <w:jc w:val="both"/>
    </w:pPr>
  </w:style>
  <w:style w:type="paragraph" w:styleId="BodyTextIndent2">
    <w:name w:val="Body Text Indent 2"/>
    <w:basedOn w:val="Normal"/>
    <w:rsid w:val="00E172CD"/>
    <w:pPr>
      <w:spacing w:line="360" w:lineRule="auto"/>
      <w:ind w:firstLine="720"/>
      <w:jc w:val="both"/>
    </w:pPr>
  </w:style>
  <w:style w:type="paragraph" w:styleId="BodyText2">
    <w:name w:val="Body Text 2"/>
    <w:basedOn w:val="Normal"/>
    <w:rsid w:val="00E172CD"/>
    <w:pPr>
      <w:spacing w:line="360" w:lineRule="auto"/>
      <w:jc w:val="both"/>
    </w:pPr>
  </w:style>
  <w:style w:type="paragraph" w:styleId="Footer">
    <w:name w:val="footer"/>
    <w:basedOn w:val="Normal"/>
    <w:rsid w:val="00E172CD"/>
    <w:pPr>
      <w:tabs>
        <w:tab w:val="center" w:pos="4320"/>
        <w:tab w:val="right" w:pos="8640"/>
      </w:tabs>
    </w:pPr>
    <w:rPr>
      <w:sz w:val="32"/>
    </w:rPr>
  </w:style>
  <w:style w:type="paragraph" w:customStyle="1" w:styleId="TableContents">
    <w:name w:val="Table Contents"/>
    <w:basedOn w:val="Normal"/>
    <w:rsid w:val="00E172CD"/>
    <w:pPr>
      <w:suppressLineNumbers/>
    </w:pPr>
  </w:style>
  <w:style w:type="paragraph" w:customStyle="1" w:styleId="TableHeading">
    <w:name w:val="Table Heading"/>
    <w:basedOn w:val="TableContents"/>
    <w:rsid w:val="00E172CD"/>
    <w:pPr>
      <w:jc w:val="center"/>
    </w:pPr>
    <w:rPr>
      <w:b/>
      <w:bCs/>
    </w:rPr>
  </w:style>
  <w:style w:type="paragraph" w:customStyle="1" w:styleId="Framecontents">
    <w:name w:val="Frame contents"/>
    <w:basedOn w:val="BodyText"/>
    <w:rsid w:val="00E172CD"/>
  </w:style>
  <w:style w:type="paragraph" w:customStyle="1" w:styleId="Text">
    <w:name w:val="Text"/>
    <w:basedOn w:val="Normal"/>
    <w:rsid w:val="00E172CD"/>
    <w:pPr>
      <w:autoSpaceDE w:val="0"/>
      <w:spacing w:line="252" w:lineRule="auto"/>
      <w:ind w:firstLine="202"/>
    </w:pPr>
    <w:rPr>
      <w:rFonts w:eastAsia="PMingLiU"/>
      <w:kern w:val="1"/>
      <w:sz w:val="20"/>
      <w:szCs w:val="20"/>
    </w:rPr>
  </w:style>
  <w:style w:type="character" w:customStyle="1" w:styleId="HeaderChar">
    <w:name w:val="Header Char"/>
    <w:basedOn w:val="DefaultParagraphFont"/>
    <w:link w:val="Header"/>
    <w:rsid w:val="00027882"/>
    <w:rPr>
      <w:sz w:val="24"/>
      <w:szCs w:val="24"/>
      <w:lang w:eastAsia="ar-SA"/>
    </w:rPr>
  </w:style>
  <w:style w:type="character" w:customStyle="1" w:styleId="msonormal0">
    <w:name w:val="msonormal0"/>
    <w:basedOn w:val="DefaultParagraphFont"/>
    <w:rsid w:val="00027882"/>
  </w:style>
  <w:style w:type="paragraph" w:customStyle="1" w:styleId="Pa12">
    <w:name w:val="Pa12"/>
    <w:basedOn w:val="Normal"/>
    <w:next w:val="Normal"/>
    <w:uiPriority w:val="99"/>
    <w:rsid w:val="002C1E10"/>
    <w:pPr>
      <w:suppressAutoHyphens w:val="0"/>
      <w:autoSpaceDE w:val="0"/>
      <w:autoSpaceDN w:val="0"/>
      <w:adjustRightInd w:val="0"/>
      <w:spacing w:line="201" w:lineRule="atLeast"/>
    </w:pPr>
    <w:rPr>
      <w:rFonts w:ascii="Franklin Gothic Book" w:hAnsi="Franklin Gothic Book" w:cstheme="minorBidi"/>
      <w:lang w:eastAsia="en-US"/>
    </w:rPr>
  </w:style>
  <w:style w:type="table" w:styleId="TableGrid">
    <w:name w:val="Table Grid"/>
    <w:basedOn w:val="TableNormal"/>
    <w:uiPriority w:val="39"/>
    <w:rsid w:val="001E6601"/>
    <w:rPr>
      <w:rFonts w:ascii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6601"/>
    <w:pPr>
      <w:suppressAutoHyphens w:val="0"/>
      <w:spacing w:after="160" w:line="256" w:lineRule="auto"/>
      <w:ind w:left="720"/>
      <w:contextualSpacing/>
    </w:pPr>
    <w:rPr>
      <w:rFonts w:asciiTheme="minorHAnsi" w:eastAsiaTheme="minorHAnsi" w:hAnsiTheme="minorHAnsi" w:cstheme="minorBidi"/>
      <w:sz w:val="22"/>
      <w:szCs w:val="22"/>
      <w:lang w:eastAsia="en-US"/>
    </w:rPr>
  </w:style>
  <w:style w:type="paragraph" w:styleId="NoSpacing">
    <w:name w:val="No Spacing"/>
    <w:basedOn w:val="Normal"/>
    <w:link w:val="NoSpacingChar"/>
    <w:qFormat/>
    <w:rsid w:val="00834C9F"/>
    <w:pPr>
      <w:suppressAutoHyphens w:val="0"/>
      <w:spacing w:before="100" w:beforeAutospacing="1" w:after="100" w:afterAutospacing="1"/>
    </w:pPr>
    <w:rPr>
      <w:rFonts w:eastAsia="SimSun"/>
      <w:lang w:eastAsia="zh-CN"/>
    </w:rPr>
  </w:style>
  <w:style w:type="character" w:customStyle="1" w:styleId="NoSpacingChar">
    <w:name w:val="No Spacing Char"/>
    <w:basedOn w:val="DefaultParagraphFont"/>
    <w:link w:val="NoSpacing"/>
    <w:locked/>
    <w:rsid w:val="00834C9F"/>
    <w:rPr>
      <w:rFonts w:eastAsia="SimSun"/>
      <w:sz w:val="24"/>
      <w:szCs w:val="24"/>
    </w:rPr>
  </w:style>
  <w:style w:type="paragraph" w:styleId="BalloonText">
    <w:name w:val="Balloon Text"/>
    <w:basedOn w:val="Normal"/>
    <w:link w:val="BalloonTextChar"/>
    <w:uiPriority w:val="99"/>
    <w:semiHidden/>
    <w:unhideWhenUsed/>
    <w:rsid w:val="00535EB0"/>
    <w:rPr>
      <w:sz w:val="18"/>
      <w:szCs w:val="18"/>
    </w:rPr>
  </w:style>
  <w:style w:type="character" w:customStyle="1" w:styleId="BalloonTextChar">
    <w:name w:val="Balloon Text Char"/>
    <w:basedOn w:val="DefaultParagraphFont"/>
    <w:link w:val="BalloonText"/>
    <w:uiPriority w:val="99"/>
    <w:semiHidden/>
    <w:rsid w:val="00535EB0"/>
    <w:rPr>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uradjabir@aun.edu.e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cbj100320.06" TargetMode="External"/><Relationship Id="rId14" Type="http://schemas.openxmlformats.org/officeDocument/2006/relationships/hyperlink" Target="mailto:muradjabir@aun.edu.e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3562</Words>
  <Characters>20307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Paper</vt:lpstr>
    </vt:vector>
  </TitlesOfParts>
  <Manager>Marsland</Manager>
  <Company>Marsland Press</Company>
  <LinksUpToDate>false</LinksUpToDate>
  <CharactersWithSpaces>23822</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1507422</vt:i4>
      </vt:variant>
      <vt:variant>
        <vt:i4>6</vt:i4>
      </vt:variant>
      <vt:variant>
        <vt:i4>0</vt:i4>
      </vt:variant>
      <vt:variant>
        <vt:i4>5</vt:i4>
      </vt:variant>
      <vt:variant>
        <vt:lpwstr>http://www.dx.doi.org/10.7537/marscbj06xx16xx</vt:lpwstr>
      </vt:variant>
      <vt:variant>
        <vt:lpwstr/>
      </vt:variant>
      <vt:variant>
        <vt:i4>5505026</vt:i4>
      </vt:variant>
      <vt:variant>
        <vt:i4>3</vt:i4>
      </vt:variant>
      <vt:variant>
        <vt:i4>0</vt:i4>
      </vt:variant>
      <vt:variant>
        <vt:i4>5</vt:i4>
      </vt:variant>
      <vt:variant>
        <vt:lpwstr>http://www.cancerbio.net/</vt:lpwstr>
      </vt:variant>
      <vt:variant>
        <vt:lpwstr/>
      </vt:variant>
      <vt:variant>
        <vt:i4>852021</vt:i4>
      </vt:variant>
      <vt:variant>
        <vt:i4>0</vt:i4>
      </vt:variant>
      <vt:variant>
        <vt:i4>0</vt:i4>
      </vt:variant>
      <vt:variant>
        <vt:i4>5</vt:i4>
      </vt:variant>
      <vt:variant>
        <vt:lpwstr>mailto:geetakh@gmail.com</vt:lpwstr>
      </vt:variant>
      <vt:variant>
        <vt:lpwstr/>
      </vt:variant>
      <vt:variant>
        <vt:i4>2883591</vt:i4>
      </vt:variant>
      <vt:variant>
        <vt:i4>11</vt:i4>
      </vt:variant>
      <vt:variant>
        <vt:i4>0</vt:i4>
      </vt:variant>
      <vt:variant>
        <vt:i4>5</vt:i4>
      </vt:variant>
      <vt:variant>
        <vt:lpwstr>mailto:editor@sciencepub.net</vt:lpwstr>
      </vt:variant>
      <vt:variant>
        <vt:lpwstr/>
      </vt:variant>
      <vt:variant>
        <vt:i4>5505026</vt:i4>
      </vt:variant>
      <vt:variant>
        <vt:i4>8</vt:i4>
      </vt:variant>
      <vt:variant>
        <vt:i4>0</vt:i4>
      </vt:variant>
      <vt:variant>
        <vt:i4>5</vt:i4>
      </vt:variant>
      <vt:variant>
        <vt:lpwstr>http://www.cancerbio.net/</vt:lpwstr>
      </vt:variant>
      <vt:variant>
        <vt:lpwstr/>
      </vt:variant>
      <vt:variant>
        <vt:i4>5505026</vt:i4>
      </vt:variant>
      <vt:variant>
        <vt:i4>0</vt:i4>
      </vt:variant>
      <vt:variant>
        <vt:i4>0</vt:i4>
      </vt:variant>
      <vt:variant>
        <vt:i4>5</vt:i4>
      </vt:variant>
      <vt:variant>
        <vt:lpwstr>http://www.cancerbio.net/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EL10_gazy1</cp:lastModifiedBy>
  <cp:revision>2</cp:revision>
  <cp:lastPrinted>2020-10-02T10:40:00Z</cp:lastPrinted>
  <dcterms:created xsi:type="dcterms:W3CDTF">2020-10-02T10:41:00Z</dcterms:created>
  <dcterms:modified xsi:type="dcterms:W3CDTF">2020-10-02T10:41:00Z</dcterms:modified>
</cp:coreProperties>
</file>