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B6" w:rsidRDefault="00AC1EB6" w:rsidP="00CD2AC1">
      <w:pPr>
        <w:bidi w:val="0"/>
        <w:adjustRightInd w:val="0"/>
        <w:snapToGrid w:val="0"/>
        <w:spacing w:after="0" w:line="240" w:lineRule="auto"/>
        <w:jc w:val="center"/>
        <w:rPr>
          <w:rFonts w:hint="eastAsia"/>
          <w:b/>
          <w:bCs/>
          <w:sz w:val="20"/>
          <w:szCs w:val="20"/>
          <w:lang w:eastAsia="zh-CN"/>
        </w:rPr>
      </w:pPr>
    </w:p>
    <w:p w:rsidR="00CD2AC1" w:rsidRDefault="00CD2AC1" w:rsidP="00CD2AC1">
      <w:pPr>
        <w:bidi w:val="0"/>
        <w:adjustRightInd w:val="0"/>
        <w:snapToGrid w:val="0"/>
        <w:spacing w:after="0" w:line="240" w:lineRule="auto"/>
        <w:jc w:val="center"/>
        <w:rPr>
          <w:rFonts w:hint="eastAsia"/>
          <w:b/>
          <w:bCs/>
          <w:sz w:val="20"/>
          <w:szCs w:val="20"/>
          <w:lang w:eastAsia="zh-CN"/>
        </w:rPr>
      </w:pPr>
    </w:p>
    <w:p w:rsidR="00AC1EB6" w:rsidRDefault="005370F9" w:rsidP="00CD2AC1">
      <w:pPr>
        <w:bidi w:val="0"/>
        <w:adjustRightInd w:val="0"/>
        <w:snapToGrid w:val="0"/>
        <w:spacing w:after="0" w:line="240" w:lineRule="auto"/>
        <w:jc w:val="center"/>
        <w:rPr>
          <w:b/>
          <w:bCs/>
          <w:sz w:val="20"/>
          <w:szCs w:val="20"/>
        </w:rPr>
      </w:pPr>
      <w:r>
        <w:rPr>
          <w:b/>
          <w:bCs/>
          <w:sz w:val="20"/>
          <w:szCs w:val="20"/>
        </w:rPr>
        <w:t>Concurrent Weekly Paclitaxel with Postoperative Radiotherapy in the Adjuvant Treatment of Node- Positive HER2 Negative Breast Cancer</w:t>
      </w:r>
    </w:p>
    <w:p w:rsidR="00AC1EB6" w:rsidRDefault="00AC1EB6" w:rsidP="00CD2AC1">
      <w:pPr>
        <w:bidi w:val="0"/>
        <w:adjustRightInd w:val="0"/>
        <w:snapToGrid w:val="0"/>
        <w:spacing w:after="0" w:line="240" w:lineRule="auto"/>
        <w:jc w:val="center"/>
        <w:rPr>
          <w:b/>
          <w:bCs/>
          <w:sz w:val="20"/>
          <w:szCs w:val="20"/>
          <w:rtl/>
        </w:rPr>
      </w:pPr>
    </w:p>
    <w:p w:rsidR="00AC1EB6" w:rsidRDefault="005370F9" w:rsidP="00CD2AC1">
      <w:pPr>
        <w:bidi w:val="0"/>
        <w:adjustRightInd w:val="0"/>
        <w:snapToGrid w:val="0"/>
        <w:spacing w:after="0" w:line="240" w:lineRule="auto"/>
        <w:jc w:val="center"/>
        <w:rPr>
          <w:iCs/>
          <w:sz w:val="20"/>
          <w:szCs w:val="20"/>
        </w:rPr>
      </w:pPr>
      <w:r>
        <w:rPr>
          <w:iCs/>
          <w:sz w:val="20"/>
          <w:szCs w:val="20"/>
        </w:rPr>
        <w:t>Sally Hamed Mahmoud Mashaal*</w:t>
      </w:r>
      <w:r>
        <w:rPr>
          <w:iCs/>
          <w:sz w:val="20"/>
          <w:szCs w:val="20"/>
          <w:vertAlign w:val="superscript"/>
        </w:rPr>
        <w:t>1</w:t>
      </w:r>
      <w:r>
        <w:rPr>
          <w:iCs/>
          <w:sz w:val="20"/>
          <w:szCs w:val="20"/>
        </w:rPr>
        <w:t xml:space="preserve">, Mohamed Ali Mlees </w:t>
      </w:r>
      <w:r>
        <w:rPr>
          <w:iCs/>
          <w:sz w:val="20"/>
          <w:szCs w:val="20"/>
          <w:vertAlign w:val="superscript"/>
        </w:rPr>
        <w:t>2</w:t>
      </w:r>
      <w:r>
        <w:rPr>
          <w:iCs/>
          <w:sz w:val="20"/>
          <w:szCs w:val="20"/>
        </w:rPr>
        <w:t xml:space="preserve">, Amro Abd El-Aziz Ghannam </w:t>
      </w:r>
      <w:r>
        <w:rPr>
          <w:iCs/>
          <w:sz w:val="20"/>
          <w:szCs w:val="20"/>
          <w:vertAlign w:val="superscript"/>
        </w:rPr>
        <w:t>1</w:t>
      </w:r>
      <w:r>
        <w:rPr>
          <w:iCs/>
          <w:sz w:val="20"/>
          <w:szCs w:val="20"/>
        </w:rPr>
        <w:t xml:space="preserve">, Hanan Shawky Mahmoud </w:t>
      </w:r>
      <w:r>
        <w:rPr>
          <w:iCs/>
          <w:sz w:val="20"/>
          <w:szCs w:val="20"/>
          <w:vertAlign w:val="superscript"/>
        </w:rPr>
        <w:t>1</w:t>
      </w:r>
      <w:r>
        <w:rPr>
          <w:iCs/>
          <w:sz w:val="20"/>
          <w:szCs w:val="20"/>
        </w:rPr>
        <w:t xml:space="preserve">, Hesham Ahmed Tawfik </w:t>
      </w:r>
      <w:r>
        <w:rPr>
          <w:iCs/>
          <w:sz w:val="20"/>
          <w:szCs w:val="20"/>
          <w:vertAlign w:val="superscript"/>
        </w:rPr>
        <w:t>1</w:t>
      </w:r>
      <w:r>
        <w:rPr>
          <w:iCs/>
          <w:sz w:val="20"/>
          <w:szCs w:val="20"/>
        </w:rPr>
        <w:t xml:space="preserve"> </w:t>
      </w:r>
    </w:p>
    <w:p w:rsidR="00AC1EB6" w:rsidRDefault="00AC1EB6" w:rsidP="00CD2AC1">
      <w:pPr>
        <w:bidi w:val="0"/>
        <w:adjustRightInd w:val="0"/>
        <w:snapToGrid w:val="0"/>
        <w:spacing w:after="0" w:line="240" w:lineRule="auto"/>
        <w:jc w:val="center"/>
        <w:rPr>
          <w:iCs/>
          <w:sz w:val="20"/>
          <w:szCs w:val="20"/>
        </w:rPr>
      </w:pPr>
    </w:p>
    <w:p w:rsidR="00AC1EB6" w:rsidRDefault="005370F9" w:rsidP="00CD2AC1">
      <w:pPr>
        <w:autoSpaceDE w:val="0"/>
        <w:autoSpaceDN w:val="0"/>
        <w:bidi w:val="0"/>
        <w:adjustRightInd w:val="0"/>
        <w:snapToGrid w:val="0"/>
        <w:spacing w:after="0" w:line="240" w:lineRule="auto"/>
        <w:ind w:right="425"/>
        <w:jc w:val="center"/>
        <w:rPr>
          <w:iCs/>
          <w:sz w:val="20"/>
          <w:szCs w:val="20"/>
        </w:rPr>
      </w:pPr>
      <w:r>
        <w:rPr>
          <w:iCs/>
          <w:sz w:val="20"/>
          <w:szCs w:val="20"/>
          <w:vertAlign w:val="superscript"/>
        </w:rPr>
        <w:t>1</w:t>
      </w:r>
      <w:r>
        <w:rPr>
          <w:iCs/>
          <w:sz w:val="20"/>
          <w:szCs w:val="20"/>
        </w:rPr>
        <w:t xml:space="preserve"> Clinical Oncology and</w:t>
      </w:r>
      <w:r>
        <w:rPr>
          <w:iCs/>
          <w:sz w:val="20"/>
          <w:szCs w:val="20"/>
          <w:rtl/>
        </w:rPr>
        <w:t xml:space="preserve"> </w:t>
      </w:r>
      <w:r>
        <w:rPr>
          <w:iCs/>
          <w:sz w:val="20"/>
          <w:szCs w:val="20"/>
        </w:rPr>
        <w:t>Nuclear Medicine Department,</w:t>
      </w:r>
      <w:r>
        <w:rPr>
          <w:iCs/>
          <w:sz w:val="20"/>
          <w:szCs w:val="20"/>
          <w:rtl/>
        </w:rPr>
        <w:t xml:space="preserve"> </w:t>
      </w:r>
      <w:r>
        <w:rPr>
          <w:iCs/>
          <w:sz w:val="20"/>
          <w:szCs w:val="20"/>
        </w:rPr>
        <w:t>Faculty of Medicine - Tanta University, Tanta, Egypt</w:t>
      </w:r>
    </w:p>
    <w:p w:rsidR="00AC1EB6" w:rsidRDefault="005370F9" w:rsidP="00CD2AC1">
      <w:pPr>
        <w:autoSpaceDE w:val="0"/>
        <w:autoSpaceDN w:val="0"/>
        <w:bidi w:val="0"/>
        <w:adjustRightInd w:val="0"/>
        <w:snapToGrid w:val="0"/>
        <w:spacing w:after="0" w:line="240" w:lineRule="auto"/>
        <w:ind w:right="425" w:firstLine="284"/>
        <w:jc w:val="center"/>
        <w:rPr>
          <w:iCs/>
          <w:sz w:val="20"/>
          <w:szCs w:val="20"/>
        </w:rPr>
      </w:pPr>
      <w:r>
        <w:rPr>
          <w:iCs/>
          <w:sz w:val="20"/>
          <w:szCs w:val="20"/>
          <w:vertAlign w:val="superscript"/>
        </w:rPr>
        <w:t>2</w:t>
      </w:r>
      <w:r>
        <w:rPr>
          <w:iCs/>
          <w:sz w:val="20"/>
          <w:szCs w:val="20"/>
        </w:rPr>
        <w:t xml:space="preserve"> Surgical Oncology Department, Faculty of Medicine - Tanta University, </w:t>
      </w:r>
      <w:r>
        <w:rPr>
          <w:iCs/>
          <w:sz w:val="20"/>
          <w:szCs w:val="20"/>
        </w:rPr>
        <w:t>Tanta, Egypt, Egypt</w:t>
      </w:r>
    </w:p>
    <w:p w:rsidR="00AC1EB6" w:rsidRDefault="005370F9" w:rsidP="00CD2AC1">
      <w:pPr>
        <w:bidi w:val="0"/>
        <w:adjustRightInd w:val="0"/>
        <w:snapToGrid w:val="0"/>
        <w:spacing w:after="0" w:line="240" w:lineRule="auto"/>
        <w:jc w:val="center"/>
        <w:rPr>
          <w:iCs/>
          <w:sz w:val="20"/>
          <w:szCs w:val="20"/>
        </w:rPr>
      </w:pPr>
      <w:r>
        <w:rPr>
          <w:iCs/>
          <w:sz w:val="20"/>
          <w:szCs w:val="20"/>
        </w:rPr>
        <w:t xml:space="preserve">*Corresponding Author, Email: </w:t>
      </w:r>
      <w:hyperlink r:id="rId9" w:history="1">
        <w:r>
          <w:rPr>
            <w:rStyle w:val="Hyperlink"/>
            <w:iCs/>
            <w:sz w:val="20"/>
            <w:szCs w:val="20"/>
          </w:rPr>
          <w:t>sallyoncology@gmail.com</w:t>
        </w:r>
      </w:hyperlink>
      <w:r>
        <w:rPr>
          <w:iCs/>
          <w:sz w:val="20"/>
          <w:szCs w:val="20"/>
        </w:rPr>
        <w:t xml:space="preserve"> </w:t>
      </w:r>
    </w:p>
    <w:p w:rsidR="00AC1EB6" w:rsidRDefault="00AC1EB6" w:rsidP="00CD2AC1">
      <w:pPr>
        <w:autoSpaceDE w:val="0"/>
        <w:autoSpaceDN w:val="0"/>
        <w:bidi w:val="0"/>
        <w:adjustRightInd w:val="0"/>
        <w:snapToGrid w:val="0"/>
        <w:spacing w:after="0" w:line="240" w:lineRule="auto"/>
        <w:jc w:val="both"/>
        <w:rPr>
          <w:b/>
          <w:bCs/>
          <w:sz w:val="20"/>
          <w:szCs w:val="20"/>
        </w:rPr>
      </w:pPr>
    </w:p>
    <w:p w:rsidR="00AC1EB6" w:rsidRDefault="005370F9" w:rsidP="00CD2AC1">
      <w:pPr>
        <w:pStyle w:val="P"/>
        <w:snapToGrid w:val="0"/>
        <w:spacing w:after="0" w:line="240" w:lineRule="auto"/>
        <w:rPr>
          <w:sz w:val="20"/>
          <w:szCs w:val="20"/>
        </w:rPr>
      </w:pPr>
      <w:r>
        <w:rPr>
          <w:b/>
          <w:bCs/>
          <w:sz w:val="20"/>
          <w:szCs w:val="20"/>
        </w:rPr>
        <w:t xml:space="preserve">Abstract: </w:t>
      </w:r>
      <w:r>
        <w:rPr>
          <w:b/>
          <w:bCs/>
          <w:color w:val="auto"/>
          <w:sz w:val="20"/>
          <w:szCs w:val="20"/>
        </w:rPr>
        <w:t xml:space="preserve">Background: </w:t>
      </w:r>
      <w:r>
        <w:rPr>
          <w:rFonts w:eastAsia="Calibri"/>
          <w:color w:val="auto"/>
          <w:sz w:val="20"/>
          <w:szCs w:val="20"/>
          <w:lang w:bidi="ar-EG"/>
        </w:rPr>
        <w:t>Breast cancer is the foremost oncologic problem, contributing 20% of all cancers and 43% of female cancers. Phase II research of concurrent radiation (RT) and paclitaxel in node-positive breast cancer demonstrated a 5-year actuarial disease-free survival r</w:t>
      </w:r>
      <w:r>
        <w:rPr>
          <w:rFonts w:eastAsia="Calibri"/>
          <w:color w:val="auto"/>
          <w:sz w:val="20"/>
          <w:szCs w:val="20"/>
          <w:lang w:bidi="ar-EG"/>
        </w:rPr>
        <w:t xml:space="preserve">ate of 88% and an overall survival rate of 93% with no local failures and tolerable tolerability. </w:t>
      </w:r>
      <w:r>
        <w:rPr>
          <w:b/>
          <w:bCs/>
          <w:sz w:val="20"/>
          <w:szCs w:val="20"/>
        </w:rPr>
        <w:t>Aim of the work:</w:t>
      </w:r>
      <w:r>
        <w:rPr>
          <w:sz w:val="20"/>
          <w:szCs w:val="20"/>
        </w:rPr>
        <w:t xml:space="preserve"> This work aimed to assess the safety and efficacy of the use of concurrent weekly paclitaxel with postoperative radiation therapy in the adju</w:t>
      </w:r>
      <w:r>
        <w:rPr>
          <w:sz w:val="20"/>
          <w:szCs w:val="20"/>
        </w:rPr>
        <w:t>vant treatment of node-positive, hormonal receptor positive (HR +ve), HER2 –VE breast cancer patients who underwent breast conservative surgery.</w:t>
      </w:r>
      <w:r>
        <w:rPr>
          <w:b/>
          <w:bCs/>
          <w:sz w:val="20"/>
          <w:szCs w:val="20"/>
        </w:rPr>
        <w:t xml:space="preserve"> Patients and Methods: </w:t>
      </w:r>
      <w:r>
        <w:rPr>
          <w:sz w:val="20"/>
          <w:szCs w:val="20"/>
        </w:rPr>
        <w:t>This prospective, single-arm study was implemented at Clinical Oncology Department, Tanta</w:t>
      </w:r>
      <w:r>
        <w:rPr>
          <w:sz w:val="20"/>
          <w:szCs w:val="20"/>
        </w:rPr>
        <w:t xml:space="preserve"> University Hospitals within the time frame from October 2017 to January 2019 and involved 75 women </w:t>
      </w:r>
      <w:r>
        <w:rPr>
          <w:sz w:val="20"/>
          <w:szCs w:val="20"/>
          <w:lang w:val="en-GB"/>
        </w:rPr>
        <w:t>identified</w:t>
      </w:r>
      <w:r>
        <w:rPr>
          <w:sz w:val="20"/>
          <w:szCs w:val="20"/>
        </w:rPr>
        <w:t xml:space="preserve"> with stage IIB or III, node-positive HR +ve HER2 -ve, invasive breast cancer. Patients underwent </w:t>
      </w:r>
      <w:r>
        <w:rPr>
          <w:sz w:val="20"/>
          <w:szCs w:val="20"/>
          <w:lang w:val="en-GB"/>
        </w:rPr>
        <w:t>breast conservative surgery</w:t>
      </w:r>
      <w:r>
        <w:rPr>
          <w:sz w:val="20"/>
          <w:szCs w:val="20"/>
        </w:rPr>
        <w:t xml:space="preserve"> including either a q</w:t>
      </w:r>
      <w:r>
        <w:rPr>
          <w:sz w:val="20"/>
          <w:szCs w:val="20"/>
        </w:rPr>
        <w:t xml:space="preserve">uadrantectomy or lumpectomy </w:t>
      </w:r>
      <w:r>
        <w:rPr>
          <w:sz w:val="20"/>
          <w:szCs w:val="20"/>
          <w:lang w:val="en-GB"/>
        </w:rPr>
        <w:t>and received</w:t>
      </w:r>
      <w:r>
        <w:rPr>
          <w:sz w:val="20"/>
          <w:szCs w:val="20"/>
        </w:rPr>
        <w:t xml:space="preserve"> adjuvant chemotherapy included four cycles of doxorubicin (60 mg/m</w:t>
      </w:r>
      <w:r>
        <w:rPr>
          <w:sz w:val="20"/>
          <w:szCs w:val="20"/>
          <w:vertAlign w:val="superscript"/>
        </w:rPr>
        <w:t>2</w:t>
      </w:r>
      <w:r>
        <w:rPr>
          <w:sz w:val="20"/>
          <w:szCs w:val="20"/>
        </w:rPr>
        <w:t>) or epirubicin 100mg/m2 and cyclophosphamide (600 mg/m</w:t>
      </w:r>
      <w:r>
        <w:rPr>
          <w:sz w:val="20"/>
          <w:szCs w:val="20"/>
          <w:vertAlign w:val="superscript"/>
        </w:rPr>
        <w:t>2</w:t>
      </w:r>
      <w:r>
        <w:rPr>
          <w:sz w:val="20"/>
          <w:szCs w:val="20"/>
        </w:rPr>
        <w:t>) I.V every 21days preceded by 12 weeks of paclitaxel (80 mg/m</w:t>
      </w:r>
      <w:r>
        <w:rPr>
          <w:sz w:val="20"/>
          <w:szCs w:val="20"/>
          <w:vertAlign w:val="superscript"/>
        </w:rPr>
        <w:t>2</w:t>
      </w:r>
      <w:r>
        <w:rPr>
          <w:sz w:val="20"/>
          <w:szCs w:val="20"/>
        </w:rPr>
        <w:t>) I.V around 1 hour, using re</w:t>
      </w:r>
      <w:r>
        <w:rPr>
          <w:sz w:val="20"/>
          <w:szCs w:val="20"/>
        </w:rPr>
        <w:t xml:space="preserve">al body weight to determine surface area. 3D conformal RT was delivered concurrently with weekly paclitaxel, starting w1 of paclitaxel with day 1 of RT at a dose of 5000 cGy over 25 fractions with boost dose to tumor bed of 1000 cGy over 5 fractions. </w:t>
      </w:r>
      <w:r>
        <w:rPr>
          <w:b/>
          <w:bCs/>
          <w:sz w:val="20"/>
          <w:szCs w:val="20"/>
        </w:rPr>
        <w:t>Resul</w:t>
      </w:r>
      <w:r>
        <w:rPr>
          <w:b/>
          <w:bCs/>
          <w:sz w:val="20"/>
          <w:szCs w:val="20"/>
        </w:rPr>
        <w:t xml:space="preserve">ts: </w:t>
      </w:r>
      <w:r>
        <w:rPr>
          <w:sz w:val="20"/>
          <w:szCs w:val="20"/>
        </w:rPr>
        <w:t>There were no local recurrence occurred during at least 2-years of follow up (100% local control), while 6.66% (5 /75) of our patients developed distant metastasis during follow up period (2-years DFS was 93.33%)</w:t>
      </w:r>
      <w:r>
        <w:rPr>
          <w:sz w:val="20"/>
          <w:szCs w:val="20"/>
          <w:shd w:val="clear" w:color="auto" w:fill="FFFFFF"/>
        </w:rPr>
        <w:t>. R</w:t>
      </w:r>
      <w:r>
        <w:rPr>
          <w:sz w:val="20"/>
          <w:szCs w:val="20"/>
        </w:rPr>
        <w:t xml:space="preserve">egarding </w:t>
      </w:r>
      <w:bookmarkStart w:id="0" w:name="_Hlk92970548"/>
      <w:r>
        <w:rPr>
          <w:sz w:val="20"/>
          <w:szCs w:val="20"/>
        </w:rPr>
        <w:t>hematological toxicity</w:t>
      </w:r>
      <w:bookmarkEnd w:id="0"/>
      <w:r>
        <w:rPr>
          <w:sz w:val="20"/>
          <w:szCs w:val="20"/>
        </w:rPr>
        <w:t>, 30.6</w:t>
      </w:r>
      <w:r>
        <w:rPr>
          <w:sz w:val="20"/>
          <w:szCs w:val="20"/>
        </w:rPr>
        <w:t xml:space="preserve">6% (23/75) of our patients developed grade 1 or 2 anemia during the course of treatment, and 8% (6/75) of patients developed grade 3 anemia. </w:t>
      </w:r>
      <w:bookmarkStart w:id="1" w:name="_Hlk92971008"/>
      <w:r>
        <w:rPr>
          <w:sz w:val="20"/>
          <w:szCs w:val="20"/>
        </w:rPr>
        <w:t xml:space="preserve">None of the cases showed symptoms of pneumonitis or developed localized fibrosis </w:t>
      </w:r>
      <w:bookmarkEnd w:id="1"/>
      <w:r>
        <w:rPr>
          <w:sz w:val="20"/>
          <w:szCs w:val="20"/>
        </w:rPr>
        <w:t>during follow up. Normal cardiac f</w:t>
      </w:r>
      <w:r>
        <w:rPr>
          <w:sz w:val="20"/>
          <w:szCs w:val="20"/>
        </w:rPr>
        <w:t xml:space="preserve">unctions throughout treatment and during follow up. </w:t>
      </w:r>
      <w:r>
        <w:rPr>
          <w:b/>
          <w:bCs/>
          <w:sz w:val="20"/>
          <w:szCs w:val="20"/>
        </w:rPr>
        <w:t xml:space="preserve">Conclusions: </w:t>
      </w:r>
      <w:r>
        <w:rPr>
          <w:sz w:val="20"/>
          <w:szCs w:val="20"/>
        </w:rPr>
        <w:t>The concomitant chemoradiation with Paclitaxel weekly as adjuvant therapy for breast cancer, is a promising regimen for patients with hormonal receptor +ve, HER2 neu -vebreast cancer.</w:t>
      </w:r>
    </w:p>
    <w:p w:rsidR="00AC1EB6" w:rsidRDefault="005370F9" w:rsidP="00CD2AC1">
      <w:pPr>
        <w:bidi w:val="0"/>
        <w:adjustRightInd w:val="0"/>
        <w:snapToGrid w:val="0"/>
        <w:spacing w:after="0" w:line="240" w:lineRule="auto"/>
        <w:jc w:val="both"/>
        <w:rPr>
          <w:iCs/>
          <w:color w:val="000000"/>
          <w:sz w:val="20"/>
          <w:szCs w:val="20"/>
          <w:lang w:eastAsia="zh-CN" w:bidi="ar-EG"/>
        </w:rPr>
      </w:pPr>
      <w:r>
        <w:rPr>
          <w:iCs/>
          <w:sz w:val="20"/>
          <w:szCs w:val="20"/>
        </w:rPr>
        <w:t xml:space="preserve">[Sally </w:t>
      </w:r>
      <w:r>
        <w:rPr>
          <w:iCs/>
          <w:sz w:val="20"/>
          <w:szCs w:val="20"/>
        </w:rPr>
        <w:t>Hamed Mahmoud Mashaal, Mohamed Ali Mlees, Amro Abd El-Aziz Ghannam, Hanan Shawky Mahmoud, Hesham Ahmed Tawfik</w:t>
      </w:r>
      <w:r>
        <w:rPr>
          <w:b/>
          <w:bCs/>
          <w:sz w:val="20"/>
          <w:szCs w:val="20"/>
        </w:rPr>
        <w:t xml:space="preserve"> Concurrent Weekly Paclitaxel with Postoperative Radiotherapy in the Adjuvant Treatment of Node- Positive HER2 Negative Breast Cancer</w:t>
      </w:r>
      <w:r>
        <w:rPr>
          <w:sz w:val="20"/>
          <w:szCs w:val="20"/>
        </w:rPr>
        <w:t xml:space="preserve"> </w:t>
      </w:r>
      <w:proofErr w:type="spellStart"/>
      <w:r>
        <w:rPr>
          <w:sz w:val="20"/>
          <w:szCs w:val="20"/>
        </w:rPr>
        <w:t>Cancer</w:t>
      </w:r>
      <w:proofErr w:type="spellEnd"/>
      <w:r>
        <w:rPr>
          <w:sz w:val="20"/>
          <w:szCs w:val="20"/>
        </w:rPr>
        <w:t xml:space="preserve"> Biolog</w:t>
      </w:r>
      <w:r>
        <w:rPr>
          <w:sz w:val="20"/>
          <w:szCs w:val="20"/>
        </w:rPr>
        <w:t>y 2022;12(</w:t>
      </w:r>
      <w:r>
        <w:rPr>
          <w:sz w:val="20"/>
          <w:szCs w:val="20"/>
          <w:lang w:eastAsia="zh-CN"/>
        </w:rPr>
        <w:t>2</w:t>
      </w:r>
      <w:r>
        <w:rPr>
          <w:sz w:val="20"/>
          <w:szCs w:val="20"/>
        </w:rPr>
        <w:t>):</w:t>
      </w:r>
      <w:r>
        <w:rPr>
          <w:sz w:val="20"/>
          <w:szCs w:val="20"/>
          <w:lang w:eastAsia="zh-CN"/>
        </w:rPr>
        <w:t>6</w:t>
      </w:r>
      <w:r>
        <w:rPr>
          <w:sz w:val="20"/>
          <w:szCs w:val="20"/>
        </w:rPr>
        <w:t>-</w:t>
      </w:r>
      <w:r>
        <w:rPr>
          <w:rFonts w:hint="eastAsia"/>
          <w:sz w:val="20"/>
          <w:szCs w:val="20"/>
          <w:lang w:eastAsia="zh-CN"/>
        </w:rPr>
        <w:t>1</w:t>
      </w:r>
      <w:r w:rsidR="0095382F">
        <w:rPr>
          <w:rFonts w:hint="eastAsia"/>
          <w:sz w:val="20"/>
          <w:szCs w:val="20"/>
          <w:lang w:eastAsia="zh-CN"/>
        </w:rPr>
        <w:t>5</w:t>
      </w:r>
      <w:bookmarkStart w:id="2" w:name="_GoBack"/>
      <w:bookmarkEnd w:id="2"/>
      <w:r>
        <w:rPr>
          <w:sz w:val="20"/>
          <w:szCs w:val="20"/>
        </w:rPr>
        <w:t>].</w:t>
      </w:r>
      <w:r>
        <w:rPr>
          <w:sz w:val="20"/>
          <w:szCs w:val="20"/>
          <w:lang w:eastAsia="zh-CN"/>
        </w:rPr>
        <w:t xml:space="preserve"> </w:t>
      </w:r>
      <w:r>
        <w:rPr>
          <w:sz w:val="20"/>
          <w:szCs w:val="20"/>
        </w:rPr>
        <w:t>ISSN:</w:t>
      </w:r>
      <w:r>
        <w:rPr>
          <w:sz w:val="20"/>
          <w:szCs w:val="20"/>
          <w:lang w:eastAsia="zh-CN"/>
        </w:rPr>
        <w:t xml:space="preserve"> </w:t>
      </w:r>
      <w:r>
        <w:rPr>
          <w:sz w:val="20"/>
          <w:szCs w:val="20"/>
        </w:rPr>
        <w:t>2150-1041</w:t>
      </w:r>
      <w:r>
        <w:rPr>
          <w:sz w:val="20"/>
          <w:szCs w:val="20"/>
          <w:lang w:eastAsia="zh-CN"/>
        </w:rPr>
        <w:t xml:space="preserve"> </w:t>
      </w:r>
      <w:r>
        <w:rPr>
          <w:sz w:val="20"/>
          <w:szCs w:val="20"/>
        </w:rPr>
        <w:t>(print);</w:t>
      </w:r>
      <w:r>
        <w:rPr>
          <w:sz w:val="20"/>
          <w:szCs w:val="20"/>
          <w:lang w:eastAsia="zh-CN"/>
        </w:rPr>
        <w:t xml:space="preserve"> </w:t>
      </w:r>
      <w:r>
        <w:rPr>
          <w:sz w:val="20"/>
          <w:szCs w:val="20"/>
        </w:rPr>
        <w:t>ISSN:</w:t>
      </w:r>
      <w:r>
        <w:rPr>
          <w:sz w:val="20"/>
          <w:szCs w:val="20"/>
          <w:lang w:eastAsia="zh-CN"/>
        </w:rPr>
        <w:t xml:space="preserve"> </w:t>
      </w:r>
      <w:r>
        <w:rPr>
          <w:sz w:val="20"/>
          <w:szCs w:val="20"/>
        </w:rPr>
        <w:t>2150-105X</w:t>
      </w:r>
      <w:r>
        <w:rPr>
          <w:sz w:val="20"/>
          <w:szCs w:val="20"/>
          <w:lang w:eastAsia="zh-CN"/>
        </w:rPr>
        <w:t xml:space="preserve"> </w:t>
      </w:r>
      <w:r>
        <w:rPr>
          <w:sz w:val="20"/>
          <w:szCs w:val="20"/>
        </w:rPr>
        <w:t>(online).</w:t>
      </w:r>
      <w:r>
        <w:rPr>
          <w:color w:val="355F91"/>
          <w:sz w:val="20"/>
          <w:szCs w:val="20"/>
        </w:rPr>
        <w:t xml:space="preserve"> </w:t>
      </w:r>
      <w:hyperlink r:id="rId10" w:history="1">
        <w:r>
          <w:rPr>
            <w:rStyle w:val="Hyperlink"/>
            <w:sz w:val="20"/>
            <w:szCs w:val="20"/>
          </w:rPr>
          <w:t>http://www.cancerbio.net</w:t>
        </w:r>
      </w:hyperlink>
      <w:r w:rsidRPr="0095382F">
        <w:rPr>
          <w:color w:val="0000FF"/>
          <w:sz w:val="20"/>
          <w:szCs w:val="20"/>
          <w:u w:color="0000FF"/>
          <w:lang w:eastAsia="zh-CN"/>
        </w:rPr>
        <w:t xml:space="preserve">   </w:t>
      </w:r>
      <w:hyperlink r:id="rId11" w:history="1">
        <w:r w:rsidRPr="0095382F">
          <w:rPr>
            <w:rStyle w:val="Hyperlink"/>
            <w:rFonts w:eastAsia="宋体"/>
            <w:sz w:val="20"/>
            <w:szCs w:val="20"/>
            <w:u w:val="none"/>
          </w:rPr>
          <w:t xml:space="preserve"> </w:t>
        </w:r>
        <w:r>
          <w:rPr>
            <w:rStyle w:val="Hyperlink"/>
            <w:color w:val="auto"/>
            <w:sz w:val="20"/>
            <w:szCs w:val="20"/>
            <w:u w:val="none"/>
            <w:lang w:eastAsia="zh-CN"/>
          </w:rPr>
          <w:t>2</w:t>
        </w:r>
        <w:r>
          <w:rPr>
            <w:rStyle w:val="Hyperlink"/>
            <w:color w:val="auto"/>
            <w:sz w:val="20"/>
            <w:szCs w:val="20"/>
            <w:u w:val="none"/>
          </w:rPr>
          <w:t>.</w:t>
        </w:r>
        <w:r w:rsidR="0095382F">
          <w:rPr>
            <w:rStyle w:val="Hyperlink"/>
            <w:rFonts w:hint="eastAsia"/>
            <w:color w:val="auto"/>
            <w:sz w:val="20"/>
            <w:szCs w:val="20"/>
            <w:u w:val="none"/>
            <w:lang w:eastAsia="zh-CN"/>
          </w:rPr>
          <w:t xml:space="preserve"> </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2" w:history="1">
        <w:r>
          <w:rPr>
            <w:rStyle w:val="Hyperlink"/>
            <w:rFonts w:eastAsia="宋体"/>
            <w:sz w:val="20"/>
            <w:szCs w:val="20"/>
            <w:shd w:val="clear" w:color="auto" w:fill="FFFFFF"/>
          </w:rPr>
          <w:t>10.7537/marscbj120222.02.</w:t>
        </w:r>
      </w:hyperlink>
    </w:p>
    <w:p w:rsidR="00AC1EB6" w:rsidRDefault="00AC1EB6" w:rsidP="00CD2AC1">
      <w:pPr>
        <w:pStyle w:val="P"/>
        <w:snapToGrid w:val="0"/>
        <w:spacing w:after="0" w:line="240" w:lineRule="auto"/>
        <w:rPr>
          <w:b/>
          <w:bCs/>
          <w:color w:val="auto"/>
          <w:sz w:val="20"/>
          <w:szCs w:val="20"/>
        </w:rPr>
      </w:pPr>
    </w:p>
    <w:p w:rsidR="00AC1EB6" w:rsidRDefault="005370F9" w:rsidP="00CD2AC1">
      <w:pPr>
        <w:autoSpaceDE w:val="0"/>
        <w:autoSpaceDN w:val="0"/>
        <w:bidi w:val="0"/>
        <w:adjustRightInd w:val="0"/>
        <w:snapToGrid w:val="0"/>
        <w:spacing w:after="0" w:line="240" w:lineRule="auto"/>
        <w:jc w:val="both"/>
        <w:rPr>
          <w:sz w:val="20"/>
          <w:szCs w:val="20"/>
        </w:rPr>
      </w:pPr>
      <w:r>
        <w:rPr>
          <w:b/>
          <w:bCs/>
          <w:sz w:val="20"/>
          <w:szCs w:val="20"/>
        </w:rPr>
        <w:t>Keywords:</w:t>
      </w:r>
      <w:r>
        <w:rPr>
          <w:sz w:val="20"/>
          <w:szCs w:val="20"/>
        </w:rPr>
        <w:t xml:space="preserve"> Weekly Paclitaxel, Radiotherapy, Node- Positive, Breast Cancer</w:t>
      </w:r>
    </w:p>
    <w:p w:rsidR="00AC1EB6" w:rsidRDefault="00AC1EB6" w:rsidP="00CD2AC1">
      <w:pPr>
        <w:pStyle w:val="H2"/>
        <w:snapToGrid w:val="0"/>
        <w:spacing w:after="0" w:line="240" w:lineRule="auto"/>
        <w:contextualSpacing w:val="0"/>
        <w:rPr>
          <w:color w:val="auto"/>
          <w:sz w:val="20"/>
          <w:szCs w:val="20"/>
        </w:rPr>
      </w:pPr>
    </w:p>
    <w:p w:rsidR="00AC1EB6" w:rsidRDefault="00AC1EB6" w:rsidP="00CD2AC1">
      <w:pPr>
        <w:pStyle w:val="H2"/>
        <w:snapToGrid w:val="0"/>
        <w:spacing w:after="0" w:line="240" w:lineRule="auto"/>
        <w:contextualSpacing w:val="0"/>
        <w:rPr>
          <w:rFonts w:hint="eastAsia"/>
          <w:color w:val="auto"/>
          <w:sz w:val="20"/>
          <w:szCs w:val="20"/>
          <w:lang w:eastAsia="zh-CN"/>
        </w:rPr>
      </w:pPr>
    </w:p>
    <w:p w:rsidR="00CD2AC1" w:rsidRDefault="00CD2AC1" w:rsidP="00CD2AC1">
      <w:pPr>
        <w:pStyle w:val="H2"/>
        <w:snapToGrid w:val="0"/>
        <w:spacing w:after="0" w:line="240" w:lineRule="auto"/>
        <w:contextualSpacing w:val="0"/>
        <w:rPr>
          <w:rFonts w:hint="eastAsia"/>
          <w:color w:val="auto"/>
          <w:sz w:val="20"/>
          <w:szCs w:val="20"/>
          <w:lang w:eastAsia="zh-CN"/>
        </w:rPr>
        <w:sectPr w:rsidR="00CD2AC1">
          <w:headerReference w:type="default" r:id="rId13"/>
          <w:footerReference w:type="default" r:id="rId14"/>
          <w:headerReference w:type="first" r:id="rId15"/>
          <w:footerReference w:type="first" r:id="rId16"/>
          <w:type w:val="continuous"/>
          <w:pgSz w:w="12191" w:h="15819"/>
          <w:pgMar w:top="1440" w:right="1440" w:bottom="1440" w:left="1440" w:header="709" w:footer="709" w:gutter="0"/>
          <w:pgNumType w:start="6"/>
          <w:cols w:space="708"/>
          <w:titlePg/>
          <w:bidi/>
          <w:rtlGutter/>
          <w:docGrid w:linePitch="360"/>
        </w:sectPr>
      </w:pPr>
    </w:p>
    <w:p w:rsidR="00AC1EB6" w:rsidRDefault="005370F9" w:rsidP="00CD2AC1">
      <w:pPr>
        <w:pStyle w:val="H2"/>
        <w:snapToGrid w:val="0"/>
        <w:spacing w:after="0" w:line="240" w:lineRule="auto"/>
        <w:contextualSpacing w:val="0"/>
        <w:rPr>
          <w:b w:val="0"/>
          <w:bCs w:val="0"/>
          <w:color w:val="auto"/>
          <w:sz w:val="20"/>
          <w:szCs w:val="20"/>
          <w:highlight w:val="yellow"/>
        </w:rPr>
      </w:pPr>
      <w:r>
        <w:rPr>
          <w:color w:val="auto"/>
          <w:sz w:val="20"/>
          <w:szCs w:val="20"/>
        </w:rPr>
        <w:lastRenderedPageBreak/>
        <w:t xml:space="preserve">1. Introduction: </w:t>
      </w:r>
    </w:p>
    <w:p w:rsidR="00AC1EB6" w:rsidRDefault="005370F9" w:rsidP="00CD2AC1">
      <w:pPr>
        <w:bidi w:val="0"/>
        <w:adjustRightInd w:val="0"/>
        <w:snapToGrid w:val="0"/>
        <w:spacing w:after="0" w:line="240" w:lineRule="auto"/>
        <w:ind w:firstLine="426"/>
        <w:jc w:val="both"/>
        <w:rPr>
          <w:rFonts w:eastAsia="Calibri"/>
          <w:sz w:val="20"/>
          <w:szCs w:val="20"/>
          <w:lang w:bidi="ar-EG"/>
        </w:rPr>
      </w:pPr>
      <w:bookmarkStart w:id="3" w:name="_Hlk2170686"/>
      <w:bookmarkStart w:id="4" w:name="_Hlk535793804"/>
      <w:r>
        <w:rPr>
          <w:rFonts w:eastAsia="Calibri"/>
          <w:sz w:val="20"/>
          <w:szCs w:val="20"/>
          <w:lang w:bidi="ar-EG"/>
        </w:rPr>
        <w:t xml:space="preserve">A growing proportion of females are now treated well with breast-conserving treatment, since local therapeutic choices have altered </w:t>
      </w:r>
      <w:r>
        <w:rPr>
          <w:rFonts w:eastAsia="Calibri"/>
          <w:sz w:val="20"/>
          <w:szCs w:val="20"/>
          <w:lang w:bidi="ar-EG"/>
        </w:rPr>
        <w:t>considerably during the past several decades. Despite the fact that treatment methods differ geographically, research indicate that in certain scenarios, over 70% of women diagnosed with breast cancer opt for conservation of breast</w:t>
      </w:r>
      <w:r>
        <w:rPr>
          <w:rFonts w:eastAsia="Calibri"/>
          <w:sz w:val="20"/>
          <w:szCs w:val="20"/>
          <w:vertAlign w:val="superscript"/>
          <w:lang w:bidi="ar-EG"/>
        </w:rPr>
        <w:t xml:space="preserve"> (1)</w:t>
      </w:r>
      <w:r>
        <w:rPr>
          <w:rFonts w:eastAsia="Calibri"/>
          <w:sz w:val="20"/>
          <w:szCs w:val="20"/>
          <w:lang w:bidi="ar-EG"/>
        </w:rPr>
        <w:t xml:space="preserve">. </w:t>
      </w:r>
    </w:p>
    <w:p w:rsidR="00AC1EB6" w:rsidRDefault="005370F9" w:rsidP="00CD2AC1">
      <w:pPr>
        <w:bidi w:val="0"/>
        <w:adjustRightInd w:val="0"/>
        <w:snapToGrid w:val="0"/>
        <w:spacing w:after="0" w:line="240" w:lineRule="auto"/>
        <w:ind w:firstLine="426"/>
        <w:jc w:val="both"/>
        <w:rPr>
          <w:rFonts w:eastAsia="Calibri"/>
          <w:sz w:val="20"/>
          <w:szCs w:val="20"/>
          <w:lang w:bidi="ar-EG"/>
        </w:rPr>
      </w:pPr>
      <w:r>
        <w:rPr>
          <w:rFonts w:eastAsia="Calibri"/>
          <w:sz w:val="20"/>
          <w:szCs w:val="20"/>
          <w:lang w:bidi="ar-EG"/>
        </w:rPr>
        <w:t>Chemotherapy and r</w:t>
      </w:r>
      <w:r>
        <w:rPr>
          <w:rFonts w:eastAsia="Calibri"/>
          <w:sz w:val="20"/>
          <w:szCs w:val="20"/>
          <w:lang w:bidi="ar-EG"/>
        </w:rPr>
        <w:t xml:space="preserve">adiotherapy (RT) have clearly entrenched significance in early-stage and high-risk breast cancer therapy. Regarding the order </w:t>
      </w:r>
      <w:r>
        <w:rPr>
          <w:rFonts w:eastAsia="Calibri"/>
          <w:sz w:val="20"/>
          <w:szCs w:val="20"/>
          <w:lang w:bidi="ar-EG"/>
        </w:rPr>
        <w:lastRenderedPageBreak/>
        <w:t>of these treatment elements, however, some retrospective analyses of older chemotherapeutic protocols have demonstrated greater ri</w:t>
      </w:r>
      <w:r>
        <w:rPr>
          <w:rFonts w:eastAsia="Calibri"/>
          <w:sz w:val="20"/>
          <w:szCs w:val="20"/>
          <w:lang w:bidi="ar-EG"/>
        </w:rPr>
        <w:t xml:space="preserve">sks of local repetition when adjuvant chemotherapy is administered prior RT </w:t>
      </w:r>
      <w:r>
        <w:rPr>
          <w:rFonts w:eastAsia="Calibri"/>
          <w:sz w:val="20"/>
          <w:szCs w:val="20"/>
          <w:vertAlign w:val="superscript"/>
          <w:lang w:bidi="ar-EG"/>
        </w:rPr>
        <w:t>(2)</w:t>
      </w:r>
      <w:r>
        <w:rPr>
          <w:rFonts w:eastAsia="Calibri"/>
          <w:sz w:val="20"/>
          <w:szCs w:val="20"/>
          <w:lang w:bidi="ar-EG"/>
        </w:rPr>
        <w:t xml:space="preserve">, while others have observed no elevated incidence </w:t>
      </w:r>
      <w:r>
        <w:rPr>
          <w:rFonts w:eastAsia="Calibri"/>
          <w:sz w:val="20"/>
          <w:szCs w:val="20"/>
          <w:vertAlign w:val="superscript"/>
          <w:lang w:bidi="ar-EG"/>
        </w:rPr>
        <w:t>(3, 4)</w:t>
      </w:r>
      <w:r>
        <w:rPr>
          <w:rFonts w:eastAsia="Calibri"/>
          <w:sz w:val="20"/>
          <w:szCs w:val="20"/>
          <w:lang w:bidi="ar-EG"/>
        </w:rPr>
        <w:t xml:space="preserve">. </w:t>
      </w:r>
    </w:p>
    <w:p w:rsidR="00AC1EB6" w:rsidRDefault="005370F9" w:rsidP="00CD2AC1">
      <w:pPr>
        <w:bidi w:val="0"/>
        <w:adjustRightInd w:val="0"/>
        <w:snapToGrid w:val="0"/>
        <w:spacing w:after="0" w:line="240" w:lineRule="auto"/>
        <w:ind w:firstLine="426"/>
        <w:jc w:val="both"/>
        <w:rPr>
          <w:rFonts w:eastAsia="Calibri"/>
          <w:sz w:val="20"/>
          <w:szCs w:val="20"/>
          <w:lang w:bidi="ar-EG"/>
        </w:rPr>
      </w:pPr>
      <w:r>
        <w:rPr>
          <w:rFonts w:eastAsia="Calibri"/>
          <w:sz w:val="20"/>
          <w:szCs w:val="20"/>
          <w:lang w:bidi="ar-EG"/>
        </w:rPr>
        <w:t xml:space="preserve">Anthracyclines and taxanes form the foundation of the majority of contemporary breast cancer chemotherapy protocols. </w:t>
      </w:r>
      <w:r>
        <w:rPr>
          <w:rFonts w:eastAsia="Calibri"/>
          <w:sz w:val="20"/>
          <w:szCs w:val="20"/>
          <w:lang w:bidi="ar-EG"/>
        </w:rPr>
        <w:t>The anthracycline-based concurrent chemoradiation treatment (CCRT) has been linked to severe cardiac and cutaneous damage</w:t>
      </w:r>
      <w:r>
        <w:rPr>
          <w:rFonts w:eastAsia="Calibri"/>
          <w:sz w:val="20"/>
          <w:szCs w:val="20"/>
          <w:vertAlign w:val="superscript"/>
          <w:lang w:bidi="ar-EG"/>
        </w:rPr>
        <w:t xml:space="preserve"> (5)</w:t>
      </w:r>
      <w:r>
        <w:rPr>
          <w:rFonts w:eastAsia="Calibri"/>
          <w:sz w:val="20"/>
          <w:szCs w:val="20"/>
          <w:lang w:bidi="ar-EG"/>
        </w:rPr>
        <w:t xml:space="preserve">. The use of taxanes and whole breast irradiation </w:t>
      </w:r>
      <w:r>
        <w:rPr>
          <w:rFonts w:eastAsia="Calibri"/>
          <w:sz w:val="20"/>
          <w:szCs w:val="20"/>
          <w:lang w:bidi="ar-EG"/>
        </w:rPr>
        <w:lastRenderedPageBreak/>
        <w:t>(WBI) simultaneously appears viable. Mitotic inhibitors, taxanes stabilise microt</w:t>
      </w:r>
      <w:r>
        <w:rPr>
          <w:rFonts w:eastAsia="Calibri"/>
          <w:sz w:val="20"/>
          <w:szCs w:val="20"/>
          <w:lang w:bidi="ar-EG"/>
        </w:rPr>
        <w:t>ubules by stimulating their assembly and blocking their depolymerization</w:t>
      </w:r>
      <w:r>
        <w:rPr>
          <w:rFonts w:eastAsia="Calibri"/>
          <w:sz w:val="20"/>
          <w:szCs w:val="20"/>
          <w:vertAlign w:val="superscript"/>
          <w:lang w:bidi="ar-EG"/>
        </w:rPr>
        <w:t xml:space="preserve"> (6)</w:t>
      </w:r>
      <w:r>
        <w:rPr>
          <w:rFonts w:eastAsia="Calibri"/>
          <w:sz w:val="20"/>
          <w:szCs w:val="20"/>
          <w:lang w:bidi="ar-EG"/>
        </w:rPr>
        <w:t>. Taxanes stop the cell cycle in the G2/M phase, which is thought to be the most radiosensitive phase</w:t>
      </w:r>
      <w:r>
        <w:rPr>
          <w:rFonts w:eastAsia="Calibri"/>
          <w:sz w:val="20"/>
          <w:szCs w:val="20"/>
          <w:vertAlign w:val="superscript"/>
          <w:lang w:bidi="ar-EG"/>
        </w:rPr>
        <w:t xml:space="preserve"> (7).</w:t>
      </w:r>
    </w:p>
    <w:p w:rsidR="00AC1EB6" w:rsidRDefault="005370F9" w:rsidP="00CD2AC1">
      <w:pPr>
        <w:bidi w:val="0"/>
        <w:adjustRightInd w:val="0"/>
        <w:snapToGrid w:val="0"/>
        <w:spacing w:after="0" w:line="240" w:lineRule="auto"/>
        <w:ind w:firstLine="426"/>
        <w:jc w:val="both"/>
        <w:rPr>
          <w:rFonts w:eastAsia="Calibri"/>
          <w:sz w:val="20"/>
          <w:szCs w:val="20"/>
          <w:lang w:bidi="ar-EG"/>
        </w:rPr>
      </w:pPr>
      <w:r>
        <w:rPr>
          <w:rFonts w:eastAsia="Calibri"/>
          <w:sz w:val="20"/>
          <w:szCs w:val="20"/>
          <w:lang w:bidi="ar-EG"/>
        </w:rPr>
        <w:t>Developmental changes with concomitant chemoradiation for cancer breast w</w:t>
      </w:r>
      <w:r>
        <w:rPr>
          <w:rFonts w:eastAsia="Calibri"/>
          <w:sz w:val="20"/>
          <w:szCs w:val="20"/>
          <w:lang w:bidi="ar-EG"/>
        </w:rPr>
        <w:t xml:space="preserve">ere assessed in cyclophosphamide/methotrexate/5-fluorouracil (CMF)-guided chemotherapy protocols a decreased dosage of 39.6 Gy was administered to the entire breast utilizing megavoltage tangential fields 22 factions of 1.8 Gy, accompanied by a boost dose </w:t>
      </w:r>
      <w:r>
        <w:rPr>
          <w:rFonts w:eastAsia="Calibri"/>
          <w:sz w:val="20"/>
          <w:szCs w:val="20"/>
          <w:lang w:bidi="ar-EG"/>
        </w:rPr>
        <w:t>of 16 Gy administered in 8 fractions of 2 Gy to the lumpectomy region. A median follow-up of 94 months demonstrated a tolerable incidence of locally toxic and a rate of local recurrence of 4 %</w:t>
      </w:r>
      <w:r>
        <w:rPr>
          <w:rFonts w:eastAsia="Calibri"/>
          <w:sz w:val="20"/>
          <w:szCs w:val="20"/>
          <w:vertAlign w:val="superscript"/>
          <w:lang w:bidi="ar-EG"/>
        </w:rPr>
        <w:t xml:space="preserve"> (5) </w:t>
      </w:r>
      <w:r>
        <w:rPr>
          <w:rFonts w:eastAsia="Calibri"/>
          <w:sz w:val="20"/>
          <w:szCs w:val="20"/>
          <w:lang w:bidi="ar-EG"/>
        </w:rPr>
        <w:t>Phase II study of RT concurrent with paclitaxel in node pos</w:t>
      </w:r>
      <w:r>
        <w:rPr>
          <w:rFonts w:eastAsia="Calibri"/>
          <w:sz w:val="20"/>
          <w:szCs w:val="20"/>
          <w:lang w:bidi="ar-EG"/>
        </w:rPr>
        <w:t xml:space="preserve">itive breast cancer showed the 5-year actuarial disease-free survival rate is 88%, and the overall survival rate is 93%, with no local failures and tolerable toxicity </w:t>
      </w:r>
      <w:r>
        <w:rPr>
          <w:rFonts w:eastAsia="Calibri"/>
          <w:sz w:val="20"/>
          <w:szCs w:val="20"/>
          <w:vertAlign w:val="superscript"/>
          <w:lang w:bidi="ar-EG"/>
        </w:rPr>
        <w:t>(8)</w:t>
      </w:r>
      <w:r>
        <w:rPr>
          <w:rFonts w:eastAsia="Calibri"/>
          <w:sz w:val="20"/>
          <w:szCs w:val="20"/>
          <w:lang w:bidi="ar-EG"/>
        </w:rPr>
        <w:t>.</w:t>
      </w:r>
      <w:r>
        <w:rPr>
          <w:sz w:val="20"/>
          <w:szCs w:val="20"/>
        </w:rPr>
        <w:t xml:space="preserve">The aim of this work was </w:t>
      </w:r>
      <w:r>
        <w:rPr>
          <w:sz w:val="20"/>
          <w:szCs w:val="20"/>
          <w:lang w:val="en-GB"/>
        </w:rPr>
        <w:t>t</w:t>
      </w:r>
      <w:r>
        <w:rPr>
          <w:sz w:val="20"/>
          <w:szCs w:val="20"/>
        </w:rPr>
        <w:t>o assess the safety and efficacy of the use of concurrent w</w:t>
      </w:r>
      <w:r>
        <w:rPr>
          <w:sz w:val="20"/>
          <w:szCs w:val="20"/>
        </w:rPr>
        <w:t>eekly paclitaxel with postoperative radiation therapy In adjuvant therapy for node-positive, HER2 –VE cases with breast cancer underwent breast conservative surgery.</w:t>
      </w:r>
    </w:p>
    <w:p w:rsidR="00AC1EB6" w:rsidRDefault="00AC1EB6" w:rsidP="00CD2AC1">
      <w:pPr>
        <w:pStyle w:val="P"/>
        <w:snapToGrid w:val="0"/>
        <w:spacing w:after="0" w:line="240" w:lineRule="auto"/>
        <w:rPr>
          <w:color w:val="auto"/>
          <w:sz w:val="20"/>
          <w:szCs w:val="20"/>
          <w:highlight w:val="yellow"/>
        </w:rPr>
      </w:pPr>
    </w:p>
    <w:p w:rsidR="00AC1EB6" w:rsidRDefault="005370F9" w:rsidP="00CD2AC1">
      <w:pPr>
        <w:pStyle w:val="H2"/>
        <w:snapToGrid w:val="0"/>
        <w:spacing w:after="0" w:line="240" w:lineRule="auto"/>
        <w:contextualSpacing w:val="0"/>
        <w:rPr>
          <w:color w:val="auto"/>
          <w:sz w:val="20"/>
          <w:szCs w:val="20"/>
        </w:rPr>
      </w:pPr>
      <w:r>
        <w:rPr>
          <w:color w:val="auto"/>
          <w:sz w:val="20"/>
          <w:szCs w:val="20"/>
        </w:rPr>
        <w:t>2. Patients and Methods:</w:t>
      </w:r>
    </w:p>
    <w:p w:rsidR="00AC1EB6" w:rsidRDefault="005370F9" w:rsidP="00CD2AC1">
      <w:pPr>
        <w:pStyle w:val="paragraph"/>
        <w:adjustRightInd w:val="0"/>
        <w:snapToGrid w:val="0"/>
        <w:spacing w:after="0" w:line="240" w:lineRule="auto"/>
        <w:ind w:firstLine="426"/>
        <w:rPr>
          <w:sz w:val="20"/>
          <w:szCs w:val="20"/>
          <w:rtl/>
        </w:rPr>
      </w:pPr>
      <w:r>
        <w:rPr>
          <w:sz w:val="20"/>
          <w:szCs w:val="20"/>
        </w:rPr>
        <w:t>In a phase II, prospective, single-arm study, we included 75 female afflicted with Stage IIB or III, pathologically proven invasive, nodal-positive breast cancer from October 2017 through January 2019 presented to Clinical Oncology Department, Faculty of M</w:t>
      </w:r>
      <w:r>
        <w:rPr>
          <w:sz w:val="20"/>
          <w:szCs w:val="20"/>
        </w:rPr>
        <w:t xml:space="preserve">edicine, Tanta University. The date of this analysis was April, 2021. </w:t>
      </w:r>
    </w:p>
    <w:p w:rsidR="00CD2AC1" w:rsidRDefault="00CD2AC1" w:rsidP="00CD2AC1">
      <w:pPr>
        <w:pStyle w:val="Heading2"/>
        <w:numPr>
          <w:ilvl w:val="0"/>
          <w:numId w:val="0"/>
        </w:numPr>
        <w:snapToGrid w:val="0"/>
        <w:spacing w:after="0" w:line="240" w:lineRule="auto"/>
        <w:rPr>
          <w:rFonts w:hint="eastAsia"/>
          <w:color w:val="auto"/>
          <w:sz w:val="20"/>
          <w:szCs w:val="20"/>
          <w:lang w:eastAsia="zh-CN"/>
        </w:rPr>
      </w:pPr>
    </w:p>
    <w:p w:rsidR="00AC1EB6" w:rsidRDefault="005370F9" w:rsidP="00CD2AC1">
      <w:pPr>
        <w:pStyle w:val="Heading2"/>
        <w:numPr>
          <w:ilvl w:val="0"/>
          <w:numId w:val="0"/>
        </w:numPr>
        <w:snapToGrid w:val="0"/>
        <w:spacing w:after="0" w:line="240" w:lineRule="auto"/>
        <w:rPr>
          <w:color w:val="auto"/>
          <w:sz w:val="20"/>
          <w:szCs w:val="20"/>
        </w:rPr>
      </w:pPr>
      <w:r>
        <w:rPr>
          <w:color w:val="auto"/>
          <w:sz w:val="20"/>
          <w:szCs w:val="20"/>
        </w:rPr>
        <w:t>Ethical considerations:</w:t>
      </w:r>
    </w:p>
    <w:p w:rsidR="00AC1EB6" w:rsidRDefault="005370F9" w:rsidP="00CD2AC1">
      <w:pPr>
        <w:pStyle w:val="ListParagraph"/>
        <w:numPr>
          <w:ilvl w:val="0"/>
          <w:numId w:val="6"/>
        </w:numPr>
        <w:bidi w:val="0"/>
        <w:adjustRightInd w:val="0"/>
        <w:snapToGrid w:val="0"/>
        <w:spacing w:after="0" w:line="240" w:lineRule="auto"/>
        <w:ind w:left="426"/>
        <w:contextualSpacing w:val="0"/>
        <w:jc w:val="lowKashida"/>
        <w:rPr>
          <w:rFonts w:ascii="Times New Roman" w:hAnsi="Times New Roman" w:cs="Times New Roman"/>
          <w:bCs/>
          <w:sz w:val="20"/>
          <w:szCs w:val="20"/>
          <w:lang w:bidi="ar-EG"/>
        </w:rPr>
      </w:pPr>
      <w:r>
        <w:rPr>
          <w:rFonts w:ascii="Times New Roman" w:hAnsi="Times New Roman" w:cs="Times New Roman"/>
          <w:bCs/>
          <w:sz w:val="20"/>
          <w:szCs w:val="20"/>
          <w:lang w:bidi="ar-EG"/>
        </w:rPr>
        <w:t>The Institutional Review Board (IRB) –Tanta Faculty of Medicine</w:t>
      </w:r>
      <w:r>
        <w:rPr>
          <w:rFonts w:ascii="Times New Roman" w:eastAsia="Times New Roman" w:hAnsi="Times New Roman" w:cs="Times New Roman"/>
          <w:bCs/>
          <w:sz w:val="20"/>
          <w:szCs w:val="20"/>
          <w:lang w:bidi="ar-EG"/>
        </w:rPr>
        <w:t xml:space="preserve"> </w:t>
      </w:r>
      <w:r>
        <w:rPr>
          <w:rFonts w:ascii="Times New Roman" w:hAnsi="Times New Roman" w:cs="Times New Roman"/>
          <w:bCs/>
          <w:sz w:val="20"/>
          <w:szCs w:val="20"/>
          <w:lang w:bidi="ar-EG"/>
        </w:rPr>
        <w:t>has authorised the study procedure (Approval Code: 31846/10/17).</w:t>
      </w:r>
    </w:p>
    <w:p w:rsidR="00AC1EB6" w:rsidRDefault="005370F9" w:rsidP="00CD2AC1">
      <w:pPr>
        <w:pStyle w:val="ListParagraph"/>
        <w:numPr>
          <w:ilvl w:val="0"/>
          <w:numId w:val="6"/>
        </w:numPr>
        <w:bidi w:val="0"/>
        <w:adjustRightInd w:val="0"/>
        <w:snapToGrid w:val="0"/>
        <w:spacing w:after="0" w:line="240" w:lineRule="auto"/>
        <w:ind w:left="426"/>
        <w:contextualSpacing w:val="0"/>
        <w:jc w:val="lowKashida"/>
        <w:rPr>
          <w:rFonts w:ascii="Times New Roman" w:hAnsi="Times New Roman" w:cs="Times New Roman"/>
          <w:bCs/>
          <w:sz w:val="20"/>
          <w:szCs w:val="20"/>
          <w:lang w:bidi="ar-EG"/>
        </w:rPr>
      </w:pPr>
      <w:r>
        <w:rPr>
          <w:rFonts w:ascii="Times New Roman" w:hAnsi="Times New Roman" w:cs="Times New Roman"/>
          <w:bCs/>
          <w:sz w:val="20"/>
          <w:szCs w:val="20"/>
          <w:lang w:bidi="ar-EG"/>
        </w:rPr>
        <w:t>Administrative approval and offi</w:t>
      </w:r>
      <w:r>
        <w:rPr>
          <w:rFonts w:ascii="Times New Roman" w:hAnsi="Times New Roman" w:cs="Times New Roman"/>
          <w:bCs/>
          <w:sz w:val="20"/>
          <w:szCs w:val="20"/>
          <w:lang w:bidi="ar-EG"/>
        </w:rPr>
        <w:t>cial permissions were obtained before information collecting.</w:t>
      </w:r>
    </w:p>
    <w:p w:rsidR="00AC1EB6" w:rsidRDefault="005370F9" w:rsidP="00CD2AC1">
      <w:pPr>
        <w:pStyle w:val="ListParagraph"/>
        <w:numPr>
          <w:ilvl w:val="0"/>
          <w:numId w:val="6"/>
        </w:numPr>
        <w:bidi w:val="0"/>
        <w:adjustRightInd w:val="0"/>
        <w:snapToGrid w:val="0"/>
        <w:spacing w:after="0" w:line="240" w:lineRule="auto"/>
        <w:ind w:left="426"/>
        <w:contextualSpacing w:val="0"/>
        <w:jc w:val="lowKashida"/>
        <w:rPr>
          <w:rFonts w:ascii="Times New Roman" w:hAnsi="Times New Roman" w:cs="Times New Roman"/>
          <w:b/>
          <w:bCs/>
          <w:sz w:val="20"/>
          <w:szCs w:val="20"/>
          <w:lang w:bidi="ar-EG"/>
        </w:rPr>
      </w:pPr>
      <w:r>
        <w:rPr>
          <w:rFonts w:ascii="Times New Roman" w:hAnsi="Times New Roman" w:cs="Times New Roman"/>
          <w:bCs/>
          <w:sz w:val="20"/>
          <w:szCs w:val="20"/>
          <w:lang w:bidi="ar-EG"/>
        </w:rPr>
        <w:t xml:space="preserve">Patients enrolled in the study gave their informed permission after receiving assurances of data confidentiality. </w:t>
      </w:r>
    </w:p>
    <w:p w:rsidR="00AC1EB6" w:rsidRDefault="005370F9" w:rsidP="00CD2AC1">
      <w:pPr>
        <w:tabs>
          <w:tab w:val="left" w:pos="5910"/>
          <w:tab w:val="right" w:pos="8306"/>
        </w:tabs>
        <w:autoSpaceDE w:val="0"/>
        <w:autoSpaceDN w:val="0"/>
        <w:bidi w:val="0"/>
        <w:adjustRightInd w:val="0"/>
        <w:snapToGrid w:val="0"/>
        <w:spacing w:after="0" w:line="240" w:lineRule="auto"/>
        <w:ind w:firstLine="426"/>
        <w:jc w:val="both"/>
        <w:rPr>
          <w:kern w:val="2"/>
          <w:sz w:val="20"/>
          <w:szCs w:val="20"/>
          <w:lang w:eastAsia="ko-KR"/>
        </w:rPr>
      </w:pPr>
      <w:r>
        <w:rPr>
          <w:kern w:val="2"/>
          <w:sz w:val="20"/>
          <w:szCs w:val="20"/>
          <w:lang w:eastAsia="ko-KR"/>
        </w:rPr>
        <w:t xml:space="preserve">The study included patients with HR +ve and HER2 –ve, </w:t>
      </w:r>
      <w:r>
        <w:rPr>
          <w:rFonts w:eastAsia="Calibri"/>
          <w:sz w:val="20"/>
          <w:szCs w:val="20"/>
        </w:rPr>
        <w:t>node positive stage IIB o</w:t>
      </w:r>
      <w:r>
        <w:rPr>
          <w:rFonts w:eastAsia="Calibri"/>
          <w:sz w:val="20"/>
          <w:szCs w:val="20"/>
        </w:rPr>
        <w:t xml:space="preserve">r III </w:t>
      </w:r>
      <w:r>
        <w:rPr>
          <w:kern w:val="2"/>
          <w:sz w:val="20"/>
          <w:szCs w:val="20"/>
          <w:lang w:eastAsia="ko-KR"/>
        </w:rPr>
        <w:t xml:space="preserve">invasive BC patients had breast conservation surgery (BCS) consisting of either (a lumpectomy or quadrantectomy in conjunction with an ipsilateral axillary dissection). Age of patients ranged from 18 years to less than 70 years with ECOG performance </w:t>
      </w:r>
      <w:r>
        <w:rPr>
          <w:kern w:val="2"/>
          <w:sz w:val="20"/>
          <w:szCs w:val="20"/>
          <w:lang w:eastAsia="ko-KR"/>
        </w:rPr>
        <w:t>status ≤ 2,</w:t>
      </w:r>
      <w:r>
        <w:rPr>
          <w:rFonts w:eastAsia="Calibri"/>
          <w:sz w:val="20"/>
          <w:szCs w:val="20"/>
        </w:rPr>
        <w:t xml:space="preserve"> Normal </w:t>
      </w:r>
      <w:r>
        <w:rPr>
          <w:rFonts w:eastAsia="Calibri"/>
          <w:sz w:val="20"/>
          <w:szCs w:val="20"/>
        </w:rPr>
        <w:lastRenderedPageBreak/>
        <w:t xml:space="preserve">cardiac function can be expressed as echocardiogram-determined left ventricular ejection fraction of at least 55 %, normal hematopoietic, liver, and kidney functions. </w:t>
      </w:r>
      <w:r>
        <w:rPr>
          <w:vanish/>
          <w:sz w:val="20"/>
          <w:szCs w:val="20"/>
        </w:rPr>
        <w:t>Top of Form</w:t>
      </w:r>
    </w:p>
    <w:p w:rsidR="00AC1EB6" w:rsidRDefault="005370F9" w:rsidP="00CD2AC1">
      <w:pPr>
        <w:tabs>
          <w:tab w:val="left" w:pos="6267"/>
          <w:tab w:val="right" w:pos="8306"/>
        </w:tabs>
        <w:autoSpaceDE w:val="0"/>
        <w:autoSpaceDN w:val="0"/>
        <w:bidi w:val="0"/>
        <w:adjustRightInd w:val="0"/>
        <w:snapToGrid w:val="0"/>
        <w:spacing w:after="0" w:line="240" w:lineRule="auto"/>
        <w:ind w:firstLine="426"/>
        <w:jc w:val="both"/>
        <w:rPr>
          <w:rFonts w:eastAsia="Calibri"/>
          <w:b/>
          <w:bCs/>
          <w:sz w:val="20"/>
          <w:szCs w:val="20"/>
        </w:rPr>
      </w:pPr>
      <w:r>
        <w:rPr>
          <w:b/>
          <w:sz w:val="20"/>
          <w:szCs w:val="20"/>
        </w:rPr>
        <w:t xml:space="preserve"> </w:t>
      </w:r>
      <w:r>
        <w:rPr>
          <w:sz w:val="20"/>
          <w:szCs w:val="20"/>
        </w:rPr>
        <w:t>HR –ve and/or HER2 +ve patients. Patients with radiological or observable signs of distant metastases. Prior RT for breast cancer. The surgical procedure of modified radical mastectomy. Pregnant or lactating women. Bilateral invasive breast cancer. Patient</w:t>
      </w:r>
      <w:r>
        <w:rPr>
          <w:sz w:val="20"/>
          <w:szCs w:val="20"/>
        </w:rPr>
        <w:t xml:space="preserve">s with significant medical or mental disease are excluded as well. Pre-existing G2 motor or sensory neurotoxicity according to (CTCAE V4(4.03)) </w:t>
      </w:r>
      <w:r>
        <w:rPr>
          <w:sz w:val="20"/>
          <w:szCs w:val="20"/>
          <w:vertAlign w:val="superscript"/>
        </w:rPr>
        <w:t>(9)</w:t>
      </w:r>
      <w:r>
        <w:rPr>
          <w:rFonts w:eastAsia="Calibri"/>
          <w:sz w:val="20"/>
          <w:szCs w:val="20"/>
        </w:rPr>
        <w:t>.</w:t>
      </w:r>
      <w:r>
        <w:rPr>
          <w:rFonts w:eastAsia="Calibri"/>
          <w:b/>
          <w:bCs/>
          <w:sz w:val="20"/>
          <w:szCs w:val="20"/>
        </w:rPr>
        <w:t xml:space="preserve"> </w:t>
      </w:r>
    </w:p>
    <w:p w:rsidR="00CD2AC1" w:rsidRDefault="00CD2AC1" w:rsidP="00CD2AC1">
      <w:pPr>
        <w:pStyle w:val="P"/>
        <w:snapToGrid w:val="0"/>
        <w:spacing w:after="0" w:line="240" w:lineRule="auto"/>
        <w:rPr>
          <w:rFonts w:hint="eastAsia"/>
          <w:b/>
          <w:bCs/>
          <w:color w:val="auto"/>
          <w:sz w:val="20"/>
          <w:szCs w:val="20"/>
          <w:lang w:eastAsia="zh-CN"/>
        </w:rPr>
      </w:pPr>
    </w:p>
    <w:p w:rsidR="00AC1EB6" w:rsidRDefault="005370F9" w:rsidP="00CD2AC1">
      <w:pPr>
        <w:pStyle w:val="P"/>
        <w:snapToGrid w:val="0"/>
        <w:spacing w:after="0" w:line="240" w:lineRule="auto"/>
        <w:rPr>
          <w:b/>
          <w:bCs/>
          <w:color w:val="auto"/>
          <w:sz w:val="20"/>
          <w:szCs w:val="20"/>
        </w:rPr>
      </w:pPr>
      <w:r>
        <w:rPr>
          <w:b/>
          <w:bCs/>
          <w:color w:val="auto"/>
          <w:sz w:val="20"/>
          <w:szCs w:val="20"/>
        </w:rPr>
        <w:t>All patients in this study were subjected to the following:</w:t>
      </w:r>
    </w:p>
    <w:p w:rsidR="00AC1EB6" w:rsidRDefault="005370F9" w:rsidP="00CD2AC1">
      <w:pPr>
        <w:bidi w:val="0"/>
        <w:adjustRightInd w:val="0"/>
        <w:snapToGrid w:val="0"/>
        <w:spacing w:after="0" w:line="240" w:lineRule="auto"/>
        <w:ind w:firstLine="426"/>
        <w:jc w:val="both"/>
        <w:rPr>
          <w:sz w:val="20"/>
          <w:szCs w:val="20"/>
        </w:rPr>
      </w:pPr>
      <w:r>
        <w:rPr>
          <w:sz w:val="20"/>
          <w:szCs w:val="20"/>
        </w:rPr>
        <w:t>Clinical examination</w:t>
      </w:r>
      <w:r>
        <w:rPr>
          <w:sz w:val="20"/>
          <w:szCs w:val="20"/>
          <w:lang w:val="en-GB"/>
        </w:rPr>
        <w:t xml:space="preserve"> (</w:t>
      </w:r>
      <w:r>
        <w:rPr>
          <w:sz w:val="20"/>
          <w:szCs w:val="20"/>
        </w:rPr>
        <w:t>Complete general and loc</w:t>
      </w:r>
      <w:r>
        <w:rPr>
          <w:sz w:val="20"/>
          <w:szCs w:val="20"/>
        </w:rPr>
        <w:t xml:space="preserve">al examination to assess peripheral neuropathy, chest condition, local recurrence, lymphedema, rated according to RTOG criteria for acute skin toxicity) </w:t>
      </w:r>
      <w:r>
        <w:rPr>
          <w:sz w:val="20"/>
          <w:szCs w:val="20"/>
          <w:vertAlign w:val="superscript"/>
        </w:rPr>
        <w:t>(10)</w:t>
      </w:r>
      <w:r>
        <w:rPr>
          <w:sz w:val="20"/>
          <w:szCs w:val="20"/>
        </w:rPr>
        <w:t xml:space="preserve">, Cosmetic results were evaluated using Harvard scale (4-point Likert scale) of breast cosmoses </w:t>
      </w:r>
      <w:r>
        <w:rPr>
          <w:sz w:val="20"/>
          <w:szCs w:val="20"/>
          <w:vertAlign w:val="superscript"/>
        </w:rPr>
        <w:t>(11</w:t>
      </w:r>
      <w:r>
        <w:rPr>
          <w:sz w:val="20"/>
          <w:szCs w:val="20"/>
          <w:vertAlign w:val="superscript"/>
        </w:rPr>
        <w:t>)</w:t>
      </w:r>
      <w:r>
        <w:rPr>
          <w:sz w:val="20"/>
          <w:szCs w:val="20"/>
        </w:rPr>
        <w:t>. Routine laboratory and radiological investigations</w:t>
      </w:r>
      <w:r>
        <w:rPr>
          <w:sz w:val="20"/>
          <w:szCs w:val="20"/>
          <w:lang w:val="en-GB"/>
        </w:rPr>
        <w:t xml:space="preserve">, </w:t>
      </w:r>
      <w:r>
        <w:rPr>
          <w:sz w:val="20"/>
          <w:szCs w:val="20"/>
        </w:rPr>
        <w:t>any abnormality was graded according to Common Terminology Criteria for Adverse Events (V4.0 CTCAE V4(4.03))</w:t>
      </w:r>
      <w:r>
        <w:rPr>
          <w:sz w:val="20"/>
          <w:szCs w:val="20"/>
          <w:vertAlign w:val="superscript"/>
        </w:rPr>
        <w:t xml:space="preserve"> </w:t>
      </w:r>
      <w:r>
        <w:rPr>
          <w:rFonts w:eastAsia="Calibri"/>
          <w:sz w:val="20"/>
          <w:szCs w:val="20"/>
          <w:vertAlign w:val="superscript"/>
        </w:rPr>
        <w:t>(9)</w:t>
      </w:r>
      <w:r>
        <w:rPr>
          <w:rFonts w:eastAsia="Calibri"/>
          <w:sz w:val="20"/>
          <w:szCs w:val="20"/>
        </w:rPr>
        <w:t>.</w:t>
      </w:r>
    </w:p>
    <w:p w:rsidR="00AC1EB6" w:rsidRDefault="005370F9" w:rsidP="00CD2AC1">
      <w:pPr>
        <w:autoSpaceDE w:val="0"/>
        <w:autoSpaceDN w:val="0"/>
        <w:bidi w:val="0"/>
        <w:adjustRightInd w:val="0"/>
        <w:snapToGrid w:val="0"/>
        <w:spacing w:after="0" w:line="240" w:lineRule="auto"/>
        <w:ind w:firstLine="426"/>
        <w:jc w:val="both"/>
        <w:rPr>
          <w:sz w:val="20"/>
          <w:szCs w:val="20"/>
        </w:rPr>
      </w:pPr>
      <w:r>
        <w:rPr>
          <w:sz w:val="20"/>
          <w:szCs w:val="20"/>
        </w:rPr>
        <w:t>As first treatment, all patients received breast conserving surgery consisting of a lum</w:t>
      </w:r>
      <w:r>
        <w:rPr>
          <w:sz w:val="20"/>
          <w:szCs w:val="20"/>
        </w:rPr>
        <w:t>pectomy, quadrantectomy, and ipsilateral axillary dissection. Margin clearance was assured.</w:t>
      </w:r>
    </w:p>
    <w:p w:rsidR="00CD2AC1" w:rsidRDefault="00CD2AC1" w:rsidP="00CD2AC1">
      <w:pPr>
        <w:pStyle w:val="P"/>
        <w:snapToGrid w:val="0"/>
        <w:spacing w:after="0" w:line="240" w:lineRule="auto"/>
        <w:rPr>
          <w:rFonts w:hint="eastAsia"/>
          <w:b/>
          <w:bCs/>
          <w:color w:val="auto"/>
          <w:sz w:val="20"/>
          <w:szCs w:val="20"/>
          <w:lang w:eastAsia="zh-CN"/>
        </w:rPr>
      </w:pPr>
    </w:p>
    <w:p w:rsidR="00AC1EB6" w:rsidRDefault="005370F9" w:rsidP="00CD2AC1">
      <w:pPr>
        <w:pStyle w:val="P"/>
        <w:snapToGrid w:val="0"/>
        <w:spacing w:after="0" w:line="240" w:lineRule="auto"/>
        <w:rPr>
          <w:color w:val="auto"/>
          <w:sz w:val="20"/>
          <w:szCs w:val="20"/>
        </w:rPr>
      </w:pPr>
      <w:r>
        <w:rPr>
          <w:b/>
          <w:bCs/>
          <w:color w:val="auto"/>
          <w:sz w:val="20"/>
          <w:szCs w:val="20"/>
        </w:rPr>
        <w:t>Chemotherapy</w:t>
      </w:r>
      <w:r>
        <w:rPr>
          <w:b/>
          <w:bCs/>
          <w:color w:val="auto"/>
          <w:sz w:val="20"/>
          <w:szCs w:val="20"/>
          <w:lang w:val="en-GB"/>
        </w:rPr>
        <w:t>:</w:t>
      </w:r>
      <w:r>
        <w:rPr>
          <w:color w:val="auto"/>
          <w:sz w:val="20"/>
          <w:szCs w:val="20"/>
        </w:rPr>
        <w:t xml:space="preserve"> </w:t>
      </w:r>
    </w:p>
    <w:p w:rsidR="00AC1EB6" w:rsidRDefault="005370F9" w:rsidP="00CD2AC1">
      <w:pPr>
        <w:pStyle w:val="P"/>
        <w:snapToGrid w:val="0"/>
        <w:spacing w:after="0" w:line="240" w:lineRule="auto"/>
        <w:ind w:firstLine="426"/>
        <w:rPr>
          <w:color w:val="auto"/>
          <w:sz w:val="20"/>
          <w:szCs w:val="20"/>
        </w:rPr>
      </w:pPr>
      <w:r>
        <w:rPr>
          <w:color w:val="auto"/>
          <w:sz w:val="20"/>
          <w:szCs w:val="20"/>
        </w:rPr>
        <w:t>Adjuvant chemotherapy comprised of four cycles of doxorubicin (60 mg/m</w:t>
      </w:r>
      <w:r>
        <w:rPr>
          <w:color w:val="auto"/>
          <w:sz w:val="20"/>
          <w:szCs w:val="20"/>
          <w:vertAlign w:val="superscript"/>
        </w:rPr>
        <w:t>2</w:t>
      </w:r>
      <w:r>
        <w:rPr>
          <w:color w:val="auto"/>
          <w:sz w:val="20"/>
          <w:szCs w:val="20"/>
        </w:rPr>
        <w:t>) or epirubicin 100mg/m2 and cyclophosphamide (600 mg/m</w:t>
      </w:r>
      <w:r>
        <w:rPr>
          <w:color w:val="auto"/>
          <w:sz w:val="20"/>
          <w:szCs w:val="20"/>
          <w:vertAlign w:val="superscript"/>
        </w:rPr>
        <w:t>2</w:t>
      </w:r>
      <w:r>
        <w:rPr>
          <w:color w:val="auto"/>
          <w:sz w:val="20"/>
          <w:szCs w:val="20"/>
        </w:rPr>
        <w:t xml:space="preserve">) administered I.V </w:t>
      </w:r>
      <w:r>
        <w:rPr>
          <w:color w:val="auto"/>
          <w:sz w:val="20"/>
          <w:szCs w:val="20"/>
        </w:rPr>
        <w:t>every 21days preceded by 12 weeks of paclitaxel (80 mg/m</w:t>
      </w:r>
      <w:r>
        <w:rPr>
          <w:color w:val="auto"/>
          <w:sz w:val="20"/>
          <w:szCs w:val="20"/>
          <w:vertAlign w:val="superscript"/>
        </w:rPr>
        <w:t>2</w:t>
      </w:r>
      <w:r>
        <w:rPr>
          <w:color w:val="auto"/>
          <w:sz w:val="20"/>
          <w:szCs w:val="20"/>
        </w:rPr>
        <w:t xml:space="preserve">) I.V over 1 h, with real body weight used to compute surface area. </w:t>
      </w:r>
    </w:p>
    <w:p w:rsidR="00AC1EB6" w:rsidRDefault="005370F9" w:rsidP="00CD2AC1">
      <w:pPr>
        <w:pStyle w:val="P"/>
        <w:snapToGrid w:val="0"/>
        <w:spacing w:after="0" w:line="240" w:lineRule="auto"/>
        <w:ind w:firstLine="426"/>
        <w:rPr>
          <w:color w:val="auto"/>
          <w:sz w:val="20"/>
          <w:szCs w:val="20"/>
        </w:rPr>
      </w:pPr>
      <w:r>
        <w:rPr>
          <w:color w:val="auto"/>
          <w:sz w:val="20"/>
          <w:szCs w:val="20"/>
        </w:rPr>
        <w:t>Dose adjustment of chemotherapy</w:t>
      </w:r>
      <w:r>
        <w:rPr>
          <w:color w:val="auto"/>
          <w:sz w:val="20"/>
          <w:szCs w:val="20"/>
          <w:lang w:val="en-GB"/>
        </w:rPr>
        <w:t xml:space="preserve">: </w:t>
      </w:r>
      <w:r>
        <w:rPr>
          <w:color w:val="auto"/>
          <w:sz w:val="20"/>
          <w:szCs w:val="20"/>
        </w:rPr>
        <w:t>Full biweekly doses of our regimen were given when the absolute granulocyte count (AGC) was &gt; 1,0</w:t>
      </w:r>
      <w:r>
        <w:rPr>
          <w:color w:val="auto"/>
          <w:sz w:val="20"/>
          <w:szCs w:val="20"/>
        </w:rPr>
        <w:t>00 cells/µl, platelets were &gt; 100,000 cells/µl, and non-hematologic toxicities were ≤ grade 2. If the AGC was 500 – 1,000 cells/µl or the platelet count was 50,000 - 100,000 cells/µl, the chemotherapy regimen dose was decreased by 25%. The regimen dose was</w:t>
      </w:r>
      <w:r>
        <w:rPr>
          <w:color w:val="auto"/>
          <w:sz w:val="20"/>
          <w:szCs w:val="20"/>
        </w:rPr>
        <w:t xml:space="preserve"> decreased by 50% for grade 3 non-hematologic toxic effects. If the AGC was&lt; 500 cells/µl, the platelet count was &lt;50,000 cells/µl and/or the non-hematologic toxic effects was grade 4, the chemotherapy regimen dose was withheld, and the patient was reevalu</w:t>
      </w:r>
      <w:r>
        <w:rPr>
          <w:color w:val="auto"/>
          <w:sz w:val="20"/>
          <w:szCs w:val="20"/>
        </w:rPr>
        <w:t>ated at the subsequent week.</w:t>
      </w:r>
    </w:p>
    <w:p w:rsidR="00CD2AC1" w:rsidRDefault="00CD2AC1" w:rsidP="00CD2AC1">
      <w:pPr>
        <w:pStyle w:val="P"/>
        <w:snapToGrid w:val="0"/>
        <w:spacing w:after="0" w:line="240" w:lineRule="auto"/>
        <w:rPr>
          <w:rFonts w:hint="eastAsia"/>
          <w:b/>
          <w:bCs/>
          <w:color w:val="auto"/>
          <w:sz w:val="20"/>
          <w:szCs w:val="20"/>
          <w:lang w:eastAsia="zh-CN"/>
        </w:rPr>
      </w:pPr>
    </w:p>
    <w:p w:rsidR="00CD2AC1" w:rsidRDefault="00CD2AC1" w:rsidP="00CD2AC1">
      <w:pPr>
        <w:pStyle w:val="P"/>
        <w:snapToGrid w:val="0"/>
        <w:spacing w:after="0" w:line="240" w:lineRule="auto"/>
        <w:rPr>
          <w:rFonts w:hint="eastAsia"/>
          <w:b/>
          <w:bCs/>
          <w:color w:val="auto"/>
          <w:sz w:val="20"/>
          <w:szCs w:val="20"/>
          <w:lang w:eastAsia="zh-CN"/>
        </w:rPr>
      </w:pPr>
    </w:p>
    <w:p w:rsidR="00CD2AC1" w:rsidRDefault="00CD2AC1" w:rsidP="00CD2AC1">
      <w:pPr>
        <w:pStyle w:val="P"/>
        <w:snapToGrid w:val="0"/>
        <w:spacing w:after="0" w:line="240" w:lineRule="auto"/>
        <w:rPr>
          <w:rFonts w:hint="eastAsia"/>
          <w:b/>
          <w:bCs/>
          <w:color w:val="auto"/>
          <w:sz w:val="20"/>
          <w:szCs w:val="20"/>
          <w:lang w:eastAsia="zh-CN"/>
        </w:rPr>
      </w:pPr>
    </w:p>
    <w:p w:rsidR="00AC1EB6" w:rsidRDefault="005370F9" w:rsidP="00CD2AC1">
      <w:pPr>
        <w:pStyle w:val="P"/>
        <w:snapToGrid w:val="0"/>
        <w:spacing w:after="0" w:line="240" w:lineRule="auto"/>
        <w:rPr>
          <w:color w:val="auto"/>
          <w:sz w:val="20"/>
          <w:szCs w:val="20"/>
        </w:rPr>
      </w:pPr>
      <w:r>
        <w:rPr>
          <w:b/>
          <w:bCs/>
          <w:color w:val="auto"/>
          <w:sz w:val="20"/>
          <w:szCs w:val="20"/>
        </w:rPr>
        <w:t>RT:</w:t>
      </w:r>
      <w:r>
        <w:rPr>
          <w:color w:val="auto"/>
          <w:sz w:val="20"/>
          <w:szCs w:val="20"/>
        </w:rPr>
        <w:t xml:space="preserve"> </w:t>
      </w:r>
    </w:p>
    <w:p w:rsidR="00AC1EB6" w:rsidRDefault="005370F9" w:rsidP="00CD2AC1">
      <w:pPr>
        <w:pStyle w:val="P"/>
        <w:snapToGrid w:val="0"/>
        <w:spacing w:after="0" w:line="240" w:lineRule="auto"/>
        <w:ind w:firstLine="426"/>
        <w:rPr>
          <w:rFonts w:hint="eastAsia"/>
          <w:sz w:val="20"/>
          <w:szCs w:val="20"/>
          <w:lang w:eastAsia="zh-CN"/>
        </w:rPr>
      </w:pPr>
      <w:r>
        <w:rPr>
          <w:color w:val="auto"/>
          <w:sz w:val="20"/>
          <w:szCs w:val="20"/>
        </w:rPr>
        <w:t>3D conformal RT was delivered concurrently with weekly paclitaxel, starting w1 of paclitaxel with day 1 of RT</w:t>
      </w:r>
      <w:r>
        <w:rPr>
          <w:sz w:val="20"/>
          <w:szCs w:val="20"/>
        </w:rPr>
        <w:t xml:space="preserve"> at a dose of 5000 cGy over 25 fractions with boost dose to tumor bed of 1000 cGy over 5 fractions. </w:t>
      </w:r>
    </w:p>
    <w:p w:rsidR="00CD2AC1" w:rsidRDefault="00CD2AC1" w:rsidP="00CD2AC1">
      <w:pPr>
        <w:pStyle w:val="P"/>
        <w:snapToGrid w:val="0"/>
        <w:spacing w:after="0" w:line="240" w:lineRule="auto"/>
        <w:ind w:firstLine="426"/>
        <w:rPr>
          <w:rFonts w:hint="eastAsia"/>
          <w:sz w:val="20"/>
          <w:szCs w:val="20"/>
          <w:highlight w:val="yellow"/>
          <w:lang w:eastAsia="zh-CN"/>
        </w:rPr>
      </w:pPr>
    </w:p>
    <w:p w:rsidR="00CD2AC1" w:rsidRDefault="00CD2AC1" w:rsidP="00CD2AC1">
      <w:pPr>
        <w:pStyle w:val="P"/>
        <w:snapToGrid w:val="0"/>
        <w:spacing w:after="0" w:line="240" w:lineRule="auto"/>
        <w:ind w:firstLine="426"/>
        <w:rPr>
          <w:rFonts w:hint="eastAsia"/>
          <w:sz w:val="20"/>
          <w:szCs w:val="20"/>
          <w:highlight w:val="yellow"/>
          <w:lang w:eastAsia="zh-CN"/>
        </w:rPr>
      </w:pPr>
    </w:p>
    <w:p w:rsidR="00AC1EB6" w:rsidRDefault="005370F9" w:rsidP="00CD2AC1">
      <w:pPr>
        <w:pStyle w:val="P"/>
        <w:snapToGrid w:val="0"/>
        <w:spacing w:after="0" w:line="240" w:lineRule="auto"/>
        <w:rPr>
          <w:b/>
          <w:bCs/>
          <w:color w:val="auto"/>
          <w:sz w:val="20"/>
          <w:szCs w:val="20"/>
        </w:rPr>
      </w:pPr>
      <w:r>
        <w:rPr>
          <w:b/>
          <w:bCs/>
          <w:color w:val="auto"/>
          <w:sz w:val="20"/>
          <w:szCs w:val="20"/>
        </w:rPr>
        <w:t xml:space="preserve">Radiation techniques: </w:t>
      </w:r>
    </w:p>
    <w:p w:rsidR="00AC1EB6" w:rsidRDefault="005370F9" w:rsidP="00CD2AC1">
      <w:pPr>
        <w:pStyle w:val="P"/>
        <w:snapToGrid w:val="0"/>
        <w:spacing w:after="0" w:line="240" w:lineRule="auto"/>
        <w:ind w:firstLine="426"/>
        <w:rPr>
          <w:rFonts w:hint="eastAsia"/>
          <w:color w:val="auto"/>
          <w:sz w:val="20"/>
          <w:szCs w:val="20"/>
          <w:lang w:eastAsia="zh-CN"/>
        </w:rPr>
      </w:pPr>
      <w:r>
        <w:rPr>
          <w:color w:val="auto"/>
          <w:sz w:val="20"/>
          <w:szCs w:val="20"/>
        </w:rPr>
        <w:t>Preparation as physiotherapy in case of limited shoulder abduction, Immobilization and simulation all patients were scanned in supine position on breast board with both arms above the head and patient head in neutral position and fac</w:t>
      </w:r>
      <w:r>
        <w:rPr>
          <w:color w:val="auto"/>
          <w:sz w:val="20"/>
          <w:szCs w:val="20"/>
        </w:rPr>
        <w:t>e tilted to contra lateral side. Laser beam was used to define the reference points marked with "radiopaque markers" for reproducibility of the treatment position. CT slices at 3 mm thickness were taken from the chin to the upper abdomen. All incisions wer</w:t>
      </w:r>
      <w:r>
        <w:rPr>
          <w:color w:val="auto"/>
          <w:sz w:val="20"/>
          <w:szCs w:val="20"/>
        </w:rPr>
        <w:t>e then transmitted to the treatment planning system and the target volume and organs at risk delineation was performed. Clinical target volume and planning target volume were developed and specified for radiation treatment planning in accordance with the R</w:t>
      </w:r>
      <w:r>
        <w:rPr>
          <w:color w:val="auto"/>
          <w:sz w:val="20"/>
          <w:szCs w:val="20"/>
        </w:rPr>
        <w:t xml:space="preserve">TOG </w:t>
      </w:r>
      <w:r>
        <w:rPr>
          <w:color w:val="auto"/>
          <w:sz w:val="20"/>
          <w:szCs w:val="20"/>
          <w:vertAlign w:val="superscript"/>
        </w:rPr>
        <w:t>(12)</w:t>
      </w:r>
      <w:r>
        <w:rPr>
          <w:color w:val="auto"/>
          <w:sz w:val="20"/>
          <w:szCs w:val="20"/>
        </w:rPr>
        <w:t xml:space="preserve"> breast cancer atlas. In addition, OARs such as heart, both lungs, spinal cord, contralateral breast (CB), and thyroid gland were described.</w:t>
      </w: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AC1EB6" w:rsidRDefault="005370F9" w:rsidP="00CD2AC1">
      <w:pPr>
        <w:widowControl w:val="0"/>
        <w:autoSpaceDE w:val="0"/>
        <w:autoSpaceDN w:val="0"/>
        <w:bidi w:val="0"/>
        <w:adjustRightInd w:val="0"/>
        <w:snapToGrid w:val="0"/>
        <w:spacing w:after="0" w:line="240" w:lineRule="auto"/>
        <w:rPr>
          <w:rFonts w:eastAsia="Calibri"/>
          <w:b/>
          <w:bCs/>
          <w:sz w:val="20"/>
          <w:szCs w:val="20"/>
        </w:rPr>
      </w:pPr>
      <w:r>
        <w:rPr>
          <w:noProof/>
          <w:sz w:val="20"/>
          <w:szCs w:val="20"/>
          <w:lang w:eastAsia="zh-CN"/>
        </w:rPr>
        <w:drawing>
          <wp:inline distT="0" distB="0" distL="0" distR="0">
            <wp:extent cx="2743200" cy="1844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srcRect l="16185" t="25224" r="13815" b="9424"/>
                    <a:stretch>
                      <a:fillRect/>
                    </a:stretch>
                  </pic:blipFill>
                  <pic:spPr>
                    <a:xfrm>
                      <a:off x="0" y="0"/>
                      <a:ext cx="2743200" cy="1844675"/>
                    </a:xfrm>
                    <a:prstGeom prst="rect">
                      <a:avLst/>
                    </a:prstGeom>
                    <a:noFill/>
                    <a:ln w="9525">
                      <a:noFill/>
                      <a:miter lim="800000"/>
                      <a:headEnd/>
                      <a:tailEnd/>
                    </a:ln>
                  </pic:spPr>
                </pic:pic>
              </a:graphicData>
            </a:graphic>
          </wp:inline>
        </w:drawing>
      </w:r>
    </w:p>
    <w:p w:rsidR="00AC1EB6" w:rsidRDefault="005370F9" w:rsidP="00CD2AC1">
      <w:pPr>
        <w:bidi w:val="0"/>
        <w:adjustRightInd w:val="0"/>
        <w:snapToGrid w:val="0"/>
        <w:spacing w:after="0" w:line="240" w:lineRule="auto"/>
        <w:jc w:val="both"/>
        <w:rPr>
          <w:rFonts w:eastAsia="Calibri"/>
          <w:sz w:val="20"/>
          <w:szCs w:val="20"/>
          <w:lang w:bidi="ar-EG"/>
        </w:rPr>
      </w:pPr>
      <w:r>
        <w:rPr>
          <w:rFonts w:eastAsia="Calibri"/>
          <w:b/>
          <w:bCs/>
          <w:sz w:val="20"/>
          <w:szCs w:val="20"/>
          <w:lang w:bidi="ar-EG"/>
        </w:rPr>
        <w:t>Figure 1:</w:t>
      </w:r>
      <w:r>
        <w:rPr>
          <w:rFonts w:eastAsia="Calibri"/>
          <w:sz w:val="20"/>
          <w:szCs w:val="20"/>
          <w:lang w:bidi="ar-EG"/>
        </w:rPr>
        <w:t xml:space="preserve"> Left breast Contouring of target volumes CTV (cyan), PTV (red), and boost target volume (magenta contour).</w:t>
      </w:r>
    </w:p>
    <w:p w:rsidR="00AC1EB6" w:rsidRDefault="00AC1EB6" w:rsidP="00CD2AC1">
      <w:pPr>
        <w:bidi w:val="0"/>
        <w:adjustRightInd w:val="0"/>
        <w:snapToGrid w:val="0"/>
        <w:spacing w:after="0" w:line="240" w:lineRule="auto"/>
        <w:jc w:val="both"/>
        <w:rPr>
          <w:rFonts w:hint="eastAsia"/>
          <w:sz w:val="20"/>
          <w:szCs w:val="20"/>
          <w:lang w:eastAsia="zh-CN" w:bidi="ar-EG"/>
        </w:rPr>
      </w:pPr>
    </w:p>
    <w:p w:rsidR="00CD2AC1" w:rsidRDefault="00CD2AC1" w:rsidP="00CD2AC1">
      <w:pPr>
        <w:bidi w:val="0"/>
        <w:adjustRightInd w:val="0"/>
        <w:snapToGrid w:val="0"/>
        <w:spacing w:after="0" w:line="240" w:lineRule="auto"/>
        <w:jc w:val="both"/>
        <w:rPr>
          <w:rFonts w:hint="eastAsia"/>
          <w:sz w:val="20"/>
          <w:szCs w:val="20"/>
          <w:lang w:eastAsia="zh-CN" w:bidi="ar-EG"/>
        </w:rPr>
      </w:pPr>
    </w:p>
    <w:p w:rsidR="00CD2AC1" w:rsidRDefault="00CD2AC1" w:rsidP="00CD2AC1">
      <w:pPr>
        <w:bidi w:val="0"/>
        <w:adjustRightInd w:val="0"/>
        <w:snapToGrid w:val="0"/>
        <w:spacing w:after="0" w:line="240" w:lineRule="auto"/>
        <w:jc w:val="both"/>
        <w:rPr>
          <w:rFonts w:hint="eastAsia"/>
          <w:sz w:val="20"/>
          <w:szCs w:val="20"/>
          <w:lang w:eastAsia="zh-CN" w:bidi="ar-EG"/>
        </w:rPr>
      </w:pPr>
    </w:p>
    <w:p w:rsidR="00CD2AC1" w:rsidRDefault="00CD2AC1" w:rsidP="00CD2AC1">
      <w:pPr>
        <w:bidi w:val="0"/>
        <w:adjustRightInd w:val="0"/>
        <w:snapToGrid w:val="0"/>
        <w:spacing w:after="0" w:line="240" w:lineRule="auto"/>
        <w:jc w:val="both"/>
        <w:rPr>
          <w:rFonts w:hint="eastAsia"/>
          <w:sz w:val="20"/>
          <w:szCs w:val="20"/>
          <w:lang w:eastAsia="zh-CN" w:bidi="ar-EG"/>
        </w:rPr>
      </w:pPr>
    </w:p>
    <w:p w:rsidR="00CD2AC1" w:rsidRDefault="00CD2AC1" w:rsidP="00CD2AC1">
      <w:pPr>
        <w:bidi w:val="0"/>
        <w:adjustRightInd w:val="0"/>
        <w:snapToGrid w:val="0"/>
        <w:spacing w:after="0" w:line="240" w:lineRule="auto"/>
        <w:jc w:val="both"/>
        <w:rPr>
          <w:rFonts w:hint="eastAsia"/>
          <w:sz w:val="20"/>
          <w:szCs w:val="20"/>
          <w:lang w:eastAsia="zh-CN" w:bidi="ar-EG"/>
        </w:rPr>
      </w:pPr>
    </w:p>
    <w:p w:rsidR="00CD2AC1" w:rsidRDefault="00CD2AC1" w:rsidP="00CD2AC1">
      <w:pPr>
        <w:bidi w:val="0"/>
        <w:adjustRightInd w:val="0"/>
        <w:snapToGrid w:val="0"/>
        <w:spacing w:after="0" w:line="240" w:lineRule="auto"/>
        <w:jc w:val="both"/>
        <w:rPr>
          <w:rFonts w:hint="eastAsia"/>
          <w:sz w:val="20"/>
          <w:szCs w:val="20"/>
          <w:lang w:eastAsia="zh-CN" w:bidi="ar-EG"/>
        </w:rPr>
      </w:pPr>
    </w:p>
    <w:p w:rsidR="00CD2AC1" w:rsidRPr="00CD2AC1" w:rsidRDefault="00CD2AC1" w:rsidP="00CD2AC1">
      <w:pPr>
        <w:bidi w:val="0"/>
        <w:adjustRightInd w:val="0"/>
        <w:snapToGrid w:val="0"/>
        <w:spacing w:after="0" w:line="240" w:lineRule="auto"/>
        <w:jc w:val="both"/>
        <w:rPr>
          <w:rFonts w:hint="eastAsia"/>
          <w:sz w:val="20"/>
          <w:szCs w:val="20"/>
          <w:lang w:eastAsia="zh-CN" w:bidi="ar-EG"/>
        </w:rPr>
      </w:pPr>
    </w:p>
    <w:p w:rsidR="00AC1EB6" w:rsidRDefault="005370F9" w:rsidP="00CD2AC1">
      <w:pPr>
        <w:bidi w:val="0"/>
        <w:adjustRightInd w:val="0"/>
        <w:snapToGrid w:val="0"/>
        <w:spacing w:after="0" w:line="240" w:lineRule="auto"/>
        <w:jc w:val="center"/>
        <w:rPr>
          <w:rFonts w:eastAsia="Calibri"/>
          <w:sz w:val="20"/>
          <w:szCs w:val="20"/>
          <w:lang w:bidi="ar-EG"/>
        </w:rPr>
      </w:pPr>
      <w:r>
        <w:rPr>
          <w:noProof/>
          <w:sz w:val="20"/>
          <w:szCs w:val="20"/>
          <w:lang w:eastAsia="zh-CN"/>
        </w:rPr>
        <w:drawing>
          <wp:inline distT="0" distB="0" distL="0" distR="0">
            <wp:extent cx="2727325" cy="1529080"/>
            <wp:effectExtent l="1905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noChangeArrowheads="1"/>
                    </pic:cNvPicPr>
                  </pic:nvPicPr>
                  <pic:blipFill>
                    <a:blip r:embed="rId18" cstate="print"/>
                    <a:srcRect l="25066" t="23860" r="47472" b="51878"/>
                    <a:stretch>
                      <a:fillRect/>
                    </a:stretch>
                  </pic:blipFill>
                  <pic:spPr>
                    <a:xfrm>
                      <a:off x="0" y="0"/>
                      <a:ext cx="2727325" cy="1529080"/>
                    </a:xfrm>
                    <a:prstGeom prst="rect">
                      <a:avLst/>
                    </a:prstGeom>
                    <a:noFill/>
                    <a:ln w="9525">
                      <a:noFill/>
                      <a:miter lim="800000"/>
                      <a:headEnd/>
                      <a:tailEnd/>
                    </a:ln>
                  </pic:spPr>
                </pic:pic>
              </a:graphicData>
            </a:graphic>
          </wp:inline>
        </w:drawing>
      </w:r>
    </w:p>
    <w:p w:rsidR="00AC1EB6" w:rsidRDefault="005370F9" w:rsidP="00CD2AC1">
      <w:pPr>
        <w:bidi w:val="0"/>
        <w:adjustRightInd w:val="0"/>
        <w:snapToGrid w:val="0"/>
        <w:spacing w:after="0" w:line="240" w:lineRule="auto"/>
        <w:jc w:val="both"/>
        <w:rPr>
          <w:rFonts w:eastAsia="Calibri"/>
          <w:sz w:val="20"/>
          <w:szCs w:val="20"/>
          <w:lang w:bidi="ar-EG"/>
        </w:rPr>
      </w:pPr>
      <w:r>
        <w:rPr>
          <w:rFonts w:eastAsia="Calibri"/>
          <w:b/>
          <w:bCs/>
          <w:sz w:val="20"/>
          <w:szCs w:val="20"/>
          <w:lang w:bidi="ar-EG"/>
        </w:rPr>
        <w:t>Figure 2:</w:t>
      </w:r>
      <w:r>
        <w:rPr>
          <w:rFonts w:eastAsia="Calibri"/>
          <w:sz w:val="20"/>
          <w:szCs w:val="20"/>
          <w:lang w:bidi="ar-EG"/>
        </w:rPr>
        <w:t xml:space="preserve"> left breast Contouring of regional lymphnodes spraclvicular nodes (cyan), level I axillary lymph nodes (yellow), level II axillary lymp</w:t>
      </w:r>
      <w:r>
        <w:rPr>
          <w:rFonts w:eastAsia="Calibri"/>
          <w:sz w:val="20"/>
          <w:szCs w:val="20"/>
          <w:lang w:bidi="ar-EG"/>
        </w:rPr>
        <w:t>h nodes (purple) and level III axillary lymph nodes (blue).</w:t>
      </w:r>
    </w:p>
    <w:p w:rsidR="00AC1EB6" w:rsidRDefault="00AC1EB6" w:rsidP="00CD2AC1">
      <w:pPr>
        <w:bidi w:val="0"/>
        <w:adjustRightInd w:val="0"/>
        <w:snapToGrid w:val="0"/>
        <w:spacing w:after="0" w:line="240" w:lineRule="auto"/>
        <w:jc w:val="both"/>
        <w:rPr>
          <w:rFonts w:eastAsia="Calibri"/>
          <w:sz w:val="20"/>
          <w:szCs w:val="20"/>
          <w:lang w:bidi="ar-EG"/>
        </w:rPr>
      </w:pPr>
    </w:p>
    <w:p w:rsidR="00AC1EB6" w:rsidRDefault="005370F9" w:rsidP="00CD2AC1">
      <w:pPr>
        <w:bidi w:val="0"/>
        <w:adjustRightInd w:val="0"/>
        <w:snapToGrid w:val="0"/>
        <w:spacing w:after="0" w:line="240" w:lineRule="auto"/>
        <w:jc w:val="center"/>
        <w:rPr>
          <w:rFonts w:eastAsia="Calibri"/>
          <w:sz w:val="20"/>
          <w:szCs w:val="20"/>
          <w:lang w:bidi="ar-EG"/>
        </w:rPr>
      </w:pPr>
      <w:r>
        <w:rPr>
          <w:rFonts w:eastAsia="Calibri"/>
          <w:noProof/>
          <w:sz w:val="20"/>
          <w:szCs w:val="20"/>
          <w:lang w:eastAsia="zh-CN"/>
        </w:rPr>
        <w:drawing>
          <wp:inline distT="0" distB="0" distL="0" distR="0">
            <wp:extent cx="2821940" cy="187579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cstate="print"/>
                    <a:srcRect l="12329" t="14792" r="12329" b="3830"/>
                    <a:stretch>
                      <a:fillRect/>
                    </a:stretch>
                  </pic:blipFill>
                  <pic:spPr>
                    <a:xfrm>
                      <a:off x="0" y="0"/>
                      <a:ext cx="2821940" cy="1875790"/>
                    </a:xfrm>
                    <a:prstGeom prst="rect">
                      <a:avLst/>
                    </a:prstGeom>
                    <a:solidFill>
                      <a:srgbClr val="4F81BD"/>
                    </a:solidFill>
                    <a:ln w="9525">
                      <a:noFill/>
                      <a:miter lim="800000"/>
                      <a:headEnd/>
                      <a:tailEnd/>
                    </a:ln>
                  </pic:spPr>
                </pic:pic>
              </a:graphicData>
            </a:graphic>
          </wp:inline>
        </w:drawing>
      </w:r>
    </w:p>
    <w:p w:rsidR="00AC1EB6" w:rsidRDefault="005370F9" w:rsidP="00CD2AC1">
      <w:pPr>
        <w:bidi w:val="0"/>
        <w:adjustRightInd w:val="0"/>
        <w:snapToGrid w:val="0"/>
        <w:spacing w:after="0" w:line="240" w:lineRule="auto"/>
        <w:jc w:val="both"/>
        <w:rPr>
          <w:rFonts w:eastAsia="Calibri"/>
          <w:sz w:val="20"/>
          <w:szCs w:val="20"/>
          <w:lang w:bidi="ar-EG"/>
        </w:rPr>
      </w:pPr>
      <w:r>
        <w:rPr>
          <w:rFonts w:eastAsia="Calibri"/>
          <w:b/>
          <w:bCs/>
          <w:sz w:val="20"/>
          <w:szCs w:val="20"/>
          <w:lang w:bidi="ar-EG"/>
        </w:rPr>
        <w:t>Figure 3:</w:t>
      </w:r>
      <w:r>
        <w:rPr>
          <w:rFonts w:eastAsia="Calibri"/>
          <w:sz w:val="20"/>
          <w:szCs w:val="20"/>
          <w:lang w:bidi="ar-EG"/>
        </w:rPr>
        <w:t xml:space="preserve"> Contouring of critical organs–contralateral breast (orange contour) –ipsilateral lung (yellow contour) –contralateral lung (magenta contour) and heart (green)</w:t>
      </w:r>
    </w:p>
    <w:p w:rsidR="00AC1EB6" w:rsidRDefault="00AC1EB6" w:rsidP="00CD2AC1">
      <w:pPr>
        <w:adjustRightInd w:val="0"/>
        <w:snapToGrid w:val="0"/>
        <w:spacing w:after="0" w:line="240" w:lineRule="auto"/>
        <w:jc w:val="center"/>
        <w:rPr>
          <w:b/>
          <w:bCs/>
          <w:sz w:val="20"/>
          <w:szCs w:val="20"/>
          <w:lang w:bidi="ar-EG"/>
        </w:rPr>
      </w:pPr>
    </w:p>
    <w:p w:rsidR="00AC1EB6" w:rsidRDefault="005370F9" w:rsidP="00CD2AC1">
      <w:pPr>
        <w:autoSpaceDE w:val="0"/>
        <w:autoSpaceDN w:val="0"/>
        <w:bidi w:val="0"/>
        <w:adjustRightInd w:val="0"/>
        <w:snapToGrid w:val="0"/>
        <w:spacing w:after="0" w:line="240" w:lineRule="auto"/>
        <w:jc w:val="both"/>
        <w:rPr>
          <w:sz w:val="20"/>
          <w:szCs w:val="20"/>
        </w:rPr>
      </w:pPr>
      <w:r>
        <w:rPr>
          <w:b/>
          <w:bCs/>
          <w:sz w:val="20"/>
          <w:szCs w:val="20"/>
        </w:rPr>
        <w:t>Hormonal treatment</w:t>
      </w:r>
      <w:r>
        <w:rPr>
          <w:sz w:val="20"/>
          <w:szCs w:val="20"/>
        </w:rPr>
        <w:t>:</w:t>
      </w:r>
      <w:r>
        <w:rPr>
          <w:b/>
          <w:bCs/>
          <w:sz w:val="20"/>
          <w:szCs w:val="20"/>
        </w:rPr>
        <w:t xml:space="preserve"> </w:t>
      </w:r>
    </w:p>
    <w:p w:rsidR="00AC1EB6" w:rsidRDefault="005370F9" w:rsidP="00CD2AC1">
      <w:pPr>
        <w:autoSpaceDE w:val="0"/>
        <w:autoSpaceDN w:val="0"/>
        <w:bidi w:val="0"/>
        <w:adjustRightInd w:val="0"/>
        <w:snapToGrid w:val="0"/>
        <w:spacing w:after="0" w:line="240" w:lineRule="auto"/>
        <w:ind w:firstLine="426"/>
        <w:jc w:val="both"/>
        <w:rPr>
          <w:rFonts w:hint="eastAsia"/>
          <w:sz w:val="20"/>
          <w:szCs w:val="20"/>
          <w:lang w:eastAsia="zh-CN"/>
        </w:rPr>
      </w:pPr>
      <w:r>
        <w:rPr>
          <w:sz w:val="20"/>
          <w:szCs w:val="20"/>
        </w:rPr>
        <w:t>Af</w:t>
      </w:r>
      <w:r>
        <w:rPr>
          <w:sz w:val="20"/>
          <w:szCs w:val="20"/>
        </w:rPr>
        <w:t>ter chemotherapy and RT, patients received adjuvant hormonal treatment in the form of anti-estrogens or aromatase inhibitors with or without ovarian function suppression.</w:t>
      </w:r>
    </w:p>
    <w:p w:rsidR="00CD2AC1" w:rsidRDefault="00CD2AC1" w:rsidP="00CD2AC1">
      <w:pPr>
        <w:autoSpaceDE w:val="0"/>
        <w:autoSpaceDN w:val="0"/>
        <w:bidi w:val="0"/>
        <w:adjustRightInd w:val="0"/>
        <w:snapToGrid w:val="0"/>
        <w:spacing w:after="0" w:line="240" w:lineRule="auto"/>
        <w:ind w:firstLine="426"/>
        <w:jc w:val="both"/>
        <w:rPr>
          <w:rFonts w:hint="eastAsia"/>
          <w:sz w:val="20"/>
          <w:szCs w:val="20"/>
          <w:rtl/>
          <w:lang w:eastAsia="zh-CN"/>
        </w:rPr>
      </w:pPr>
    </w:p>
    <w:p w:rsidR="00AC1EB6" w:rsidRDefault="005370F9" w:rsidP="00CD2AC1">
      <w:pPr>
        <w:keepNext/>
        <w:keepLines/>
        <w:bidi w:val="0"/>
        <w:adjustRightInd w:val="0"/>
        <w:snapToGrid w:val="0"/>
        <w:spacing w:after="0" w:line="240" w:lineRule="auto"/>
        <w:outlineLvl w:val="4"/>
        <w:rPr>
          <w:b/>
          <w:bCs/>
          <w:sz w:val="20"/>
          <w:szCs w:val="20"/>
        </w:rPr>
      </w:pPr>
      <w:r>
        <w:rPr>
          <w:b/>
          <w:bCs/>
          <w:sz w:val="20"/>
          <w:szCs w:val="20"/>
        </w:rPr>
        <w:t xml:space="preserve">Patient monitoring: </w:t>
      </w:r>
    </w:p>
    <w:p w:rsidR="00AC1EB6" w:rsidRDefault="005370F9" w:rsidP="00CD2AC1">
      <w:pPr>
        <w:keepNext/>
        <w:keepLines/>
        <w:bidi w:val="0"/>
        <w:adjustRightInd w:val="0"/>
        <w:snapToGrid w:val="0"/>
        <w:spacing w:after="0" w:line="240" w:lineRule="auto"/>
        <w:ind w:firstLine="426"/>
        <w:outlineLvl w:val="4"/>
        <w:rPr>
          <w:rFonts w:hint="eastAsia"/>
          <w:sz w:val="20"/>
          <w:szCs w:val="20"/>
          <w:lang w:eastAsia="zh-CN"/>
        </w:rPr>
      </w:pPr>
      <w:r>
        <w:rPr>
          <w:sz w:val="20"/>
          <w:szCs w:val="20"/>
        </w:rPr>
        <w:t>Medical history, physical examination, standard laboratory testi</w:t>
      </w:r>
      <w:r>
        <w:rPr>
          <w:sz w:val="20"/>
          <w:szCs w:val="20"/>
        </w:rPr>
        <w:t>ng, breast ultrasound, mammography and/or MRI, belly and pelvic ultrasound, CT-scan of the chest, abdomen, and pelvis, bone scan, and CA15.3 measurement included pre- and on-treatment monitoring. Histologic proof of cancer breast with evaluation of ER, PR,</w:t>
      </w:r>
      <w:r>
        <w:rPr>
          <w:sz w:val="20"/>
          <w:szCs w:val="20"/>
        </w:rPr>
        <w:t xml:space="preserve"> HER2 neu and Ki67 was necessary in every patient prior to therapy.</w:t>
      </w:r>
    </w:p>
    <w:p w:rsidR="00CD2AC1" w:rsidRDefault="00CD2AC1" w:rsidP="00CD2AC1">
      <w:pPr>
        <w:keepNext/>
        <w:keepLines/>
        <w:bidi w:val="0"/>
        <w:adjustRightInd w:val="0"/>
        <w:snapToGrid w:val="0"/>
        <w:spacing w:after="0" w:line="240" w:lineRule="auto"/>
        <w:ind w:firstLine="426"/>
        <w:outlineLvl w:val="4"/>
        <w:rPr>
          <w:rFonts w:hint="eastAsia"/>
          <w:sz w:val="20"/>
          <w:szCs w:val="20"/>
          <w:lang w:eastAsia="zh-CN"/>
        </w:rPr>
      </w:pPr>
    </w:p>
    <w:p w:rsidR="00CD2AC1" w:rsidRDefault="00CD2AC1" w:rsidP="00CD2AC1">
      <w:pPr>
        <w:bidi w:val="0"/>
        <w:adjustRightInd w:val="0"/>
        <w:snapToGrid w:val="0"/>
        <w:spacing w:after="0" w:line="240" w:lineRule="auto"/>
        <w:jc w:val="both"/>
        <w:rPr>
          <w:rFonts w:hint="eastAsia"/>
          <w:b/>
          <w:bCs/>
          <w:sz w:val="20"/>
          <w:szCs w:val="20"/>
          <w:lang w:eastAsia="zh-CN"/>
        </w:rPr>
      </w:pPr>
    </w:p>
    <w:p w:rsidR="00AC1EB6" w:rsidRDefault="005370F9" w:rsidP="00CD2AC1">
      <w:pPr>
        <w:bidi w:val="0"/>
        <w:adjustRightInd w:val="0"/>
        <w:snapToGrid w:val="0"/>
        <w:spacing w:after="0" w:line="240" w:lineRule="auto"/>
        <w:jc w:val="both"/>
        <w:rPr>
          <w:sz w:val="20"/>
          <w:szCs w:val="20"/>
        </w:rPr>
      </w:pPr>
      <w:r>
        <w:rPr>
          <w:b/>
          <w:bCs/>
          <w:sz w:val="20"/>
          <w:szCs w:val="20"/>
        </w:rPr>
        <w:lastRenderedPageBreak/>
        <w:t>Assessment of Toxicity</w:t>
      </w:r>
      <w:r>
        <w:rPr>
          <w:b/>
          <w:bCs/>
          <w:i/>
          <w:iCs/>
          <w:sz w:val="20"/>
          <w:szCs w:val="20"/>
        </w:rPr>
        <w:t>;</w:t>
      </w:r>
      <w:r>
        <w:rPr>
          <w:sz w:val="20"/>
          <w:szCs w:val="20"/>
        </w:rPr>
        <w:t xml:space="preserve"> </w:t>
      </w:r>
    </w:p>
    <w:p w:rsidR="00AC1EB6" w:rsidRDefault="005370F9" w:rsidP="00CD2AC1">
      <w:pPr>
        <w:bidi w:val="0"/>
        <w:adjustRightInd w:val="0"/>
        <w:snapToGrid w:val="0"/>
        <w:spacing w:after="0" w:line="240" w:lineRule="auto"/>
        <w:ind w:firstLine="426"/>
        <w:jc w:val="both"/>
        <w:rPr>
          <w:sz w:val="20"/>
          <w:szCs w:val="20"/>
        </w:rPr>
      </w:pPr>
      <w:r>
        <w:rPr>
          <w:sz w:val="20"/>
          <w:szCs w:val="20"/>
        </w:rPr>
        <w:t xml:space="preserve">Throughout therapy, patients were assessed utilizing a guided medical history and physical assessment. The incidence and kind of negative occurrences were documented. Acute toxicity was graded according to the (CTCAE V4(4.03)) </w:t>
      </w:r>
      <w:r>
        <w:rPr>
          <w:sz w:val="20"/>
          <w:szCs w:val="20"/>
          <w:vertAlign w:val="superscript"/>
        </w:rPr>
        <w:t>(9)</w:t>
      </w:r>
      <w:r>
        <w:rPr>
          <w:sz w:val="20"/>
          <w:szCs w:val="20"/>
        </w:rPr>
        <w:t xml:space="preserve">. Skin toxicity was </w:t>
      </w:r>
      <w:r>
        <w:rPr>
          <w:sz w:val="20"/>
          <w:szCs w:val="20"/>
        </w:rPr>
        <w:t>evaluated by RTOG criteria</w:t>
      </w:r>
      <w:r>
        <w:rPr>
          <w:sz w:val="20"/>
          <w:szCs w:val="20"/>
          <w:vertAlign w:val="superscript"/>
        </w:rPr>
        <w:t xml:space="preserve"> (10)</w:t>
      </w:r>
      <w:r>
        <w:rPr>
          <w:sz w:val="20"/>
          <w:szCs w:val="20"/>
        </w:rPr>
        <w:t xml:space="preserve">. Evaluation of late toxicity associated to therapy was conducted using the grading system for late normal tissue effects (LENT) </w:t>
      </w:r>
      <w:r>
        <w:rPr>
          <w:sz w:val="20"/>
          <w:szCs w:val="20"/>
          <w:vertAlign w:val="superscript"/>
        </w:rPr>
        <w:t>(13)</w:t>
      </w:r>
      <w:r>
        <w:rPr>
          <w:sz w:val="20"/>
          <w:szCs w:val="20"/>
        </w:rPr>
        <w:t>.</w:t>
      </w:r>
    </w:p>
    <w:p w:rsidR="00AC1EB6" w:rsidRDefault="005370F9" w:rsidP="00CD2AC1">
      <w:pPr>
        <w:pStyle w:val="H3"/>
        <w:snapToGrid w:val="0"/>
        <w:spacing w:after="0" w:line="240" w:lineRule="auto"/>
        <w:contextualSpacing w:val="0"/>
        <w:rPr>
          <w:color w:val="auto"/>
          <w:sz w:val="20"/>
          <w:szCs w:val="20"/>
        </w:rPr>
      </w:pPr>
      <w:r>
        <w:rPr>
          <w:color w:val="auto"/>
          <w:sz w:val="20"/>
          <w:szCs w:val="20"/>
        </w:rPr>
        <w:t xml:space="preserve">Statistical analysis </w:t>
      </w:r>
    </w:p>
    <w:p w:rsidR="00AC1EB6" w:rsidRDefault="005370F9" w:rsidP="00CD2AC1">
      <w:pPr>
        <w:pStyle w:val="H3"/>
        <w:snapToGrid w:val="0"/>
        <w:spacing w:after="0" w:line="240" w:lineRule="auto"/>
        <w:contextualSpacing w:val="0"/>
        <w:rPr>
          <w:rFonts w:eastAsia="Calibri"/>
          <w:b w:val="0"/>
          <w:bCs w:val="0"/>
          <w:color w:val="auto"/>
          <w:sz w:val="20"/>
          <w:szCs w:val="20"/>
          <w:lang w:bidi="ar-EG"/>
        </w:rPr>
      </w:pPr>
      <w:r>
        <w:rPr>
          <w:b w:val="0"/>
          <w:bCs w:val="0"/>
          <w:color w:val="auto"/>
          <w:sz w:val="20"/>
          <w:szCs w:val="20"/>
        </w:rPr>
        <w:t>The acquired data were arranged, tabulated, and statistically analys</w:t>
      </w:r>
      <w:r>
        <w:rPr>
          <w:b w:val="0"/>
          <w:bCs w:val="0"/>
          <w:color w:val="auto"/>
          <w:sz w:val="20"/>
          <w:szCs w:val="20"/>
        </w:rPr>
        <w:t>ed using version 21 of the SPSS software statistical computer programme</w:t>
      </w:r>
      <w:r>
        <w:rPr>
          <w:b w:val="0"/>
          <w:bCs w:val="0"/>
          <w:color w:val="auto"/>
          <w:sz w:val="20"/>
          <w:szCs w:val="20"/>
          <w:lang w:val="en-GB"/>
        </w:rPr>
        <w:t>. When applicable, qualitative variables were given as frequency and percentage (%) and analysed using the Chi-square test or Fisher's exact test.</w:t>
      </w:r>
      <w:r>
        <w:rPr>
          <w:color w:val="auto"/>
          <w:sz w:val="20"/>
          <w:szCs w:val="20"/>
        </w:rPr>
        <w:t xml:space="preserve"> </w:t>
      </w:r>
      <w:r>
        <w:rPr>
          <w:b w:val="0"/>
          <w:bCs w:val="0"/>
          <w:color w:val="auto"/>
          <w:sz w:val="20"/>
          <w:szCs w:val="20"/>
          <w:lang w:val="en-GB"/>
        </w:rPr>
        <w:t>For multivariate analysis, the Kaplan-</w:t>
      </w:r>
      <w:r>
        <w:rPr>
          <w:b w:val="0"/>
          <w:bCs w:val="0"/>
          <w:color w:val="auto"/>
          <w:sz w:val="20"/>
          <w:szCs w:val="20"/>
          <w:lang w:val="en-GB"/>
        </w:rPr>
        <w:t>Meier technique and the Cox proportional hazards model were utilised. A two-tailed P value less than or equal to 0.05 was deemed statistically significant.</w:t>
      </w:r>
      <w:r>
        <w:rPr>
          <w:b w:val="0"/>
          <w:bCs w:val="0"/>
          <w:color w:val="auto"/>
          <w:sz w:val="20"/>
          <w:szCs w:val="20"/>
          <w:highlight w:val="yellow"/>
        </w:rPr>
        <w:t xml:space="preserve"> </w:t>
      </w:r>
    </w:p>
    <w:p w:rsidR="00AC1EB6" w:rsidRDefault="00AC1EB6" w:rsidP="00CD2AC1">
      <w:pPr>
        <w:pStyle w:val="H3"/>
        <w:snapToGrid w:val="0"/>
        <w:spacing w:after="0" w:line="240" w:lineRule="auto"/>
        <w:contextualSpacing w:val="0"/>
        <w:rPr>
          <w:rFonts w:hint="eastAsia"/>
          <w:color w:val="auto"/>
          <w:sz w:val="20"/>
          <w:szCs w:val="20"/>
          <w:lang w:eastAsia="zh-CN"/>
        </w:rPr>
      </w:pPr>
    </w:p>
    <w:p w:rsidR="00CD2AC1" w:rsidRDefault="00CD2AC1" w:rsidP="00CD2AC1">
      <w:pPr>
        <w:pStyle w:val="H3"/>
        <w:snapToGrid w:val="0"/>
        <w:spacing w:after="0" w:line="240" w:lineRule="auto"/>
        <w:contextualSpacing w:val="0"/>
        <w:rPr>
          <w:rFonts w:hint="eastAsia"/>
          <w:color w:val="auto"/>
          <w:sz w:val="20"/>
          <w:szCs w:val="20"/>
          <w:lang w:eastAsia="zh-CN"/>
        </w:rPr>
      </w:pPr>
    </w:p>
    <w:p w:rsidR="00CD2AC1" w:rsidRDefault="00CD2AC1" w:rsidP="00CD2AC1">
      <w:pPr>
        <w:pStyle w:val="H3"/>
        <w:snapToGrid w:val="0"/>
        <w:spacing w:after="0" w:line="240" w:lineRule="auto"/>
        <w:contextualSpacing w:val="0"/>
        <w:rPr>
          <w:rFonts w:hint="eastAsia"/>
          <w:color w:val="auto"/>
          <w:sz w:val="20"/>
          <w:szCs w:val="20"/>
          <w:lang w:eastAsia="zh-CN"/>
        </w:rPr>
      </w:pPr>
    </w:p>
    <w:p w:rsidR="00AC1EB6" w:rsidRDefault="005370F9" w:rsidP="00CD2AC1">
      <w:pPr>
        <w:pStyle w:val="H3"/>
        <w:snapToGrid w:val="0"/>
        <w:spacing w:after="0" w:line="240" w:lineRule="auto"/>
        <w:contextualSpacing w:val="0"/>
        <w:rPr>
          <w:color w:val="auto"/>
          <w:sz w:val="20"/>
          <w:szCs w:val="20"/>
        </w:rPr>
      </w:pPr>
      <w:r>
        <w:rPr>
          <w:color w:val="auto"/>
          <w:sz w:val="20"/>
          <w:szCs w:val="20"/>
        </w:rPr>
        <w:lastRenderedPageBreak/>
        <w:t>3. Results:</w:t>
      </w:r>
    </w:p>
    <w:p w:rsidR="00AC1EB6" w:rsidRDefault="005370F9" w:rsidP="00CD2AC1">
      <w:pPr>
        <w:autoSpaceDE w:val="0"/>
        <w:autoSpaceDN w:val="0"/>
        <w:bidi w:val="0"/>
        <w:adjustRightInd w:val="0"/>
        <w:snapToGrid w:val="0"/>
        <w:spacing w:after="0" w:line="240" w:lineRule="auto"/>
        <w:ind w:firstLine="426"/>
        <w:jc w:val="both"/>
        <w:rPr>
          <w:sz w:val="20"/>
          <w:szCs w:val="20"/>
        </w:rPr>
      </w:pPr>
      <w:r>
        <w:rPr>
          <w:sz w:val="20"/>
          <w:szCs w:val="20"/>
        </w:rPr>
        <w:t>Seventy-five patients were included in this study, their ages ranged from 35 to 66 wit</w:t>
      </w:r>
      <w:r>
        <w:rPr>
          <w:sz w:val="20"/>
          <w:szCs w:val="20"/>
        </w:rPr>
        <w:t>h a mean of 52.17 and standard deviation of ±10.76. As regard performance status, most of our patients 76 % (57/75) had performance status zero, while 24 % (18/75) of patients had performance status1. Most of our patients 60% (45/75) were postmenopausal wh</w:t>
      </w:r>
      <w:r>
        <w:rPr>
          <w:sz w:val="20"/>
          <w:szCs w:val="20"/>
        </w:rPr>
        <w:t>ile 40% (30/75) were premenopausal. Right sided tumors represented 30.6% (23/75), while left sided tumors represented 69.3% (52 /75). Four percent of patients (3/75) had T1 tumors, 88% (66/75) of our patients had T2 tumors, and the remaining 8% (6/75) of p</w:t>
      </w:r>
      <w:r>
        <w:rPr>
          <w:sz w:val="20"/>
          <w:szCs w:val="20"/>
        </w:rPr>
        <w:t>atients had T3 tumors. As regard LN status 41.3% (31/75) of patients showed N1 stage, while 58.7% (44/75) showed N2 stage. Fourteen patients (18.66%) showed lympho-vascular invasion of the tumor. As regard hormonal receptors status all patients were esrtro</w:t>
      </w:r>
      <w:r>
        <w:rPr>
          <w:sz w:val="20"/>
          <w:szCs w:val="20"/>
        </w:rPr>
        <w:t>gen receptor positive (ER), 88% (66/75) of patients were progesterone receptor (PR) positive, while 12% (9/75) of patients were PR negative</w:t>
      </w:r>
      <w:r>
        <w:rPr>
          <w:b/>
          <w:bCs/>
          <w:sz w:val="20"/>
          <w:szCs w:val="20"/>
        </w:rPr>
        <w:t xml:space="preserve">. </w:t>
      </w:r>
      <w:r>
        <w:rPr>
          <w:sz w:val="20"/>
          <w:szCs w:val="20"/>
        </w:rPr>
        <w:t>As regard KI67 48% (36/75) of patients showed KI67 negative disease while the remaining 52% (39/75) patients were K</w:t>
      </w:r>
      <w:r>
        <w:rPr>
          <w:sz w:val="20"/>
          <w:szCs w:val="20"/>
        </w:rPr>
        <w:t>I67 positive (table 1).</w:t>
      </w:r>
      <w:r>
        <w:rPr>
          <w:sz w:val="20"/>
          <w:szCs w:val="20"/>
        </w:rPr>
        <w:t xml:space="preserve"> </w:t>
      </w:r>
    </w:p>
    <w:p w:rsidR="00CD2AC1" w:rsidRDefault="00CD2AC1" w:rsidP="00CD2AC1">
      <w:pPr>
        <w:pStyle w:val="H3"/>
        <w:snapToGrid w:val="0"/>
        <w:spacing w:after="0" w:line="240" w:lineRule="auto"/>
        <w:contextualSpacing w:val="0"/>
        <w:rPr>
          <w:color w:val="auto"/>
          <w:sz w:val="20"/>
          <w:szCs w:val="20"/>
        </w:rPr>
        <w:sectPr w:rsidR="00CD2AC1">
          <w:headerReference w:type="default" r:id="rId20"/>
          <w:type w:val="continuous"/>
          <w:pgSz w:w="12191" w:h="15819"/>
          <w:pgMar w:top="1440" w:right="1440" w:bottom="1440" w:left="1440" w:header="709" w:footer="709" w:gutter="0"/>
          <w:cols w:num="2" w:space="567"/>
          <w:rtlGutter/>
          <w:docGrid w:linePitch="360"/>
        </w:sectPr>
      </w:pPr>
    </w:p>
    <w:p w:rsidR="00CD2AC1" w:rsidRDefault="00CD2AC1" w:rsidP="00CD2AC1">
      <w:pPr>
        <w:pStyle w:val="H3"/>
        <w:snapToGrid w:val="0"/>
        <w:spacing w:after="0" w:line="240" w:lineRule="auto"/>
        <w:contextualSpacing w:val="0"/>
        <w:rPr>
          <w:rFonts w:hint="eastAsia"/>
          <w:color w:val="auto"/>
          <w:sz w:val="20"/>
          <w:szCs w:val="20"/>
          <w:lang w:eastAsia="zh-CN"/>
        </w:rPr>
      </w:pPr>
    </w:p>
    <w:p w:rsidR="00CD2AC1" w:rsidRDefault="00CD2AC1" w:rsidP="00CD2AC1">
      <w:pPr>
        <w:pStyle w:val="H3"/>
        <w:snapToGrid w:val="0"/>
        <w:spacing w:after="0" w:line="240" w:lineRule="auto"/>
        <w:contextualSpacing w:val="0"/>
        <w:rPr>
          <w:rFonts w:hint="eastAsia"/>
          <w:color w:val="auto"/>
          <w:sz w:val="20"/>
          <w:szCs w:val="20"/>
          <w:lang w:eastAsia="zh-CN"/>
        </w:rPr>
      </w:pPr>
    </w:p>
    <w:p w:rsidR="00AC1EB6" w:rsidRDefault="005370F9" w:rsidP="00CD2AC1">
      <w:pPr>
        <w:pStyle w:val="H3"/>
        <w:snapToGrid w:val="0"/>
        <w:spacing w:after="0" w:line="240" w:lineRule="auto"/>
        <w:contextualSpacing w:val="0"/>
        <w:rPr>
          <w:b w:val="0"/>
          <w:bCs w:val="0"/>
          <w:color w:val="auto"/>
          <w:sz w:val="20"/>
          <w:szCs w:val="20"/>
          <w:highlight w:val="yellow"/>
        </w:rPr>
      </w:pPr>
      <w:r>
        <w:rPr>
          <w:color w:val="auto"/>
          <w:sz w:val="20"/>
          <w:szCs w:val="20"/>
        </w:rPr>
        <w:t xml:space="preserve">Table (1): </w:t>
      </w:r>
      <w:r>
        <w:rPr>
          <w:b w:val="0"/>
          <w:bCs w:val="0"/>
          <w:color w:val="auto"/>
          <w:sz w:val="20"/>
          <w:szCs w:val="20"/>
        </w:rPr>
        <w:t>Patient and tumor characteristics</w:t>
      </w:r>
    </w:p>
    <w:tbl>
      <w:tblP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3342"/>
        <w:gridCol w:w="3340"/>
      </w:tblGrid>
      <w:tr w:rsidR="00AC1EB6">
        <w:trPr>
          <w:trHeight w:val="145"/>
        </w:trPr>
        <w:tc>
          <w:tcPr>
            <w:tcW w:w="3152" w:type="pct"/>
            <w:gridSpan w:val="2"/>
            <w:shd w:val="clear" w:color="auto" w:fill="auto"/>
          </w:tcPr>
          <w:p w:rsidR="00AC1EB6" w:rsidRDefault="005370F9" w:rsidP="00CD2AC1">
            <w:pPr>
              <w:autoSpaceDE w:val="0"/>
              <w:autoSpaceDN w:val="0"/>
              <w:bidi w:val="0"/>
              <w:adjustRightInd w:val="0"/>
              <w:snapToGrid w:val="0"/>
              <w:spacing w:after="0" w:line="240" w:lineRule="auto"/>
              <w:jc w:val="center"/>
              <w:rPr>
                <w:rFonts w:eastAsia="宋体"/>
                <w:b/>
                <w:bCs/>
                <w:sz w:val="20"/>
                <w:szCs w:val="20"/>
              </w:rPr>
            </w:pPr>
            <w:r>
              <w:rPr>
                <w:rFonts w:eastAsia="宋体"/>
                <w:b/>
                <w:bCs/>
                <w:sz w:val="20"/>
                <w:szCs w:val="20"/>
              </w:rPr>
              <w:t>Characteristics</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N of patients (range or percent)</w:t>
            </w:r>
          </w:p>
        </w:tc>
      </w:tr>
      <w:tr w:rsidR="00AC1EB6">
        <w:trPr>
          <w:trHeight w:val="145"/>
        </w:trPr>
        <w:tc>
          <w:tcPr>
            <w:tcW w:w="3152" w:type="pct"/>
            <w:gridSpan w:val="2"/>
            <w:shd w:val="clear" w:color="auto" w:fill="auto"/>
          </w:tcPr>
          <w:p w:rsidR="00AC1EB6" w:rsidRDefault="005370F9" w:rsidP="00CD2AC1">
            <w:pPr>
              <w:autoSpaceDE w:val="0"/>
              <w:autoSpaceDN w:val="0"/>
              <w:bidi w:val="0"/>
              <w:adjustRightInd w:val="0"/>
              <w:snapToGrid w:val="0"/>
              <w:spacing w:after="0" w:line="240" w:lineRule="auto"/>
              <w:jc w:val="center"/>
              <w:rPr>
                <w:rFonts w:eastAsia="宋体"/>
                <w:b/>
                <w:bCs/>
                <w:sz w:val="20"/>
                <w:szCs w:val="20"/>
              </w:rPr>
            </w:pPr>
            <w:r>
              <w:rPr>
                <w:rFonts w:eastAsia="宋体"/>
                <w:b/>
                <w:bCs/>
                <w:sz w:val="20"/>
                <w:szCs w:val="20"/>
              </w:rPr>
              <w:t>Mean age:</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52.17±10.76</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Performance status</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0</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57 (76%)</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jc w:val="center"/>
              <w:rPr>
                <w:rFonts w:eastAsia="宋体"/>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1</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18 (24%)</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Menstrual status</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postmenopausal</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45(60%)</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ind w:left="60" w:right="60"/>
              <w:jc w:val="center"/>
              <w:rPr>
                <w:rFonts w:eastAsia="宋体"/>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ind w:right="60"/>
              <w:jc w:val="center"/>
              <w:rPr>
                <w:rFonts w:eastAsia="宋体"/>
                <w:sz w:val="20"/>
                <w:szCs w:val="20"/>
              </w:rPr>
            </w:pPr>
            <w:r>
              <w:rPr>
                <w:rFonts w:eastAsia="宋体"/>
                <w:sz w:val="20"/>
                <w:szCs w:val="20"/>
              </w:rPr>
              <w:t>premenopausal</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30(40%)</w:t>
            </w:r>
          </w:p>
        </w:tc>
      </w:tr>
      <w:tr w:rsidR="00AC1EB6">
        <w:trPr>
          <w:trHeight w:val="145"/>
        </w:trPr>
        <w:tc>
          <w:tcPr>
            <w:tcW w:w="1305" w:type="pct"/>
            <w:vMerge w:val="restart"/>
            <w:shd w:val="clear" w:color="auto" w:fill="auto"/>
          </w:tcPr>
          <w:p w:rsidR="00AC1EB6" w:rsidRDefault="005370F9" w:rsidP="00CD2AC1">
            <w:pPr>
              <w:bidi w:val="0"/>
              <w:adjustRightInd w:val="0"/>
              <w:snapToGrid w:val="0"/>
              <w:spacing w:after="0" w:line="240" w:lineRule="auto"/>
              <w:jc w:val="center"/>
              <w:rPr>
                <w:rFonts w:eastAsia="宋体"/>
                <w:sz w:val="20"/>
                <w:szCs w:val="20"/>
              </w:rPr>
            </w:pPr>
            <w:r>
              <w:rPr>
                <w:rFonts w:eastAsia="宋体"/>
                <w:b/>
                <w:bCs/>
                <w:sz w:val="20"/>
                <w:szCs w:val="20"/>
              </w:rPr>
              <w:t>Side</w:t>
            </w:r>
            <w:r>
              <w:rPr>
                <w:rFonts w:eastAsia="宋体"/>
                <w:sz w:val="20"/>
                <w:szCs w:val="20"/>
              </w:rPr>
              <w:t>:</w:t>
            </w:r>
          </w:p>
        </w:tc>
        <w:tc>
          <w:tcPr>
            <w:tcW w:w="1848" w:type="pct"/>
            <w:shd w:val="clear" w:color="auto" w:fill="auto"/>
          </w:tcPr>
          <w:p w:rsidR="00AC1EB6" w:rsidRDefault="005370F9" w:rsidP="00CD2AC1">
            <w:pPr>
              <w:bidi w:val="0"/>
              <w:adjustRightInd w:val="0"/>
              <w:snapToGrid w:val="0"/>
              <w:spacing w:after="0" w:line="240" w:lineRule="auto"/>
              <w:jc w:val="center"/>
              <w:rPr>
                <w:rFonts w:eastAsia="宋体"/>
                <w:sz w:val="20"/>
                <w:szCs w:val="20"/>
              </w:rPr>
            </w:pPr>
            <w:r>
              <w:rPr>
                <w:rFonts w:eastAsia="宋体"/>
                <w:sz w:val="20"/>
                <w:szCs w:val="20"/>
              </w:rPr>
              <w:t>Right</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23 (30.66%)</w:t>
            </w:r>
          </w:p>
        </w:tc>
      </w:tr>
      <w:tr w:rsidR="00AC1EB6">
        <w:trPr>
          <w:trHeight w:val="145"/>
        </w:trPr>
        <w:tc>
          <w:tcPr>
            <w:tcW w:w="1305" w:type="pct"/>
            <w:vMerge/>
            <w:shd w:val="clear" w:color="auto" w:fill="auto"/>
          </w:tcPr>
          <w:p w:rsidR="00AC1EB6" w:rsidRDefault="00AC1EB6" w:rsidP="00CD2AC1">
            <w:pPr>
              <w:bidi w:val="0"/>
              <w:adjustRightInd w:val="0"/>
              <w:snapToGrid w:val="0"/>
              <w:spacing w:after="0" w:line="240" w:lineRule="auto"/>
              <w:jc w:val="center"/>
              <w:rPr>
                <w:rFonts w:eastAsia="宋体"/>
                <w:b/>
                <w:bCs/>
                <w:sz w:val="20"/>
                <w:szCs w:val="20"/>
              </w:rPr>
            </w:pPr>
          </w:p>
        </w:tc>
        <w:tc>
          <w:tcPr>
            <w:tcW w:w="1848" w:type="pct"/>
            <w:shd w:val="clear" w:color="auto" w:fill="auto"/>
          </w:tcPr>
          <w:p w:rsidR="00AC1EB6" w:rsidRDefault="005370F9" w:rsidP="00CD2AC1">
            <w:pPr>
              <w:bidi w:val="0"/>
              <w:adjustRightInd w:val="0"/>
              <w:snapToGrid w:val="0"/>
              <w:spacing w:after="0" w:line="240" w:lineRule="auto"/>
              <w:jc w:val="center"/>
              <w:rPr>
                <w:rFonts w:eastAsia="宋体"/>
                <w:b/>
                <w:bCs/>
                <w:sz w:val="20"/>
                <w:szCs w:val="20"/>
              </w:rPr>
            </w:pPr>
            <w:r>
              <w:rPr>
                <w:rFonts w:eastAsia="宋体"/>
                <w:sz w:val="20"/>
                <w:szCs w:val="20"/>
              </w:rPr>
              <w:t>left</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52 (69.33)</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T stage</w:t>
            </w:r>
            <w:r>
              <w:rPr>
                <w:rFonts w:eastAsia="宋体"/>
                <w:sz w:val="20"/>
                <w:szCs w:val="20"/>
              </w:rPr>
              <w:t>:</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1</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3 (4%)</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jc w:val="center"/>
              <w:rPr>
                <w:rFonts w:eastAsia="宋体"/>
                <w:b/>
                <w:bCs/>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b/>
                <w:bCs/>
                <w:sz w:val="20"/>
                <w:szCs w:val="20"/>
              </w:rPr>
            </w:pPr>
            <w:r>
              <w:rPr>
                <w:rFonts w:eastAsia="宋体"/>
                <w:sz w:val="20"/>
                <w:szCs w:val="20"/>
              </w:rPr>
              <w:t>2</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66 (88%)</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ind w:right="60"/>
              <w:jc w:val="center"/>
              <w:rPr>
                <w:rFonts w:eastAsia="宋体"/>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ind w:right="60"/>
              <w:jc w:val="center"/>
              <w:rPr>
                <w:rFonts w:eastAsia="宋体"/>
                <w:sz w:val="20"/>
                <w:szCs w:val="20"/>
              </w:rPr>
            </w:pPr>
            <w:r>
              <w:rPr>
                <w:rFonts w:eastAsia="宋体"/>
                <w:sz w:val="20"/>
                <w:szCs w:val="20"/>
              </w:rPr>
              <w:t>3</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6 (8%)</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N stage</w:t>
            </w:r>
            <w:r>
              <w:rPr>
                <w:rFonts w:eastAsia="宋体"/>
                <w:sz w:val="20"/>
                <w:szCs w:val="20"/>
              </w:rPr>
              <w:t>:</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1</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31 (41.3%)</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jc w:val="center"/>
              <w:rPr>
                <w:rFonts w:eastAsia="宋体"/>
                <w:b/>
                <w:bCs/>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b/>
                <w:bCs/>
                <w:sz w:val="20"/>
                <w:szCs w:val="20"/>
              </w:rPr>
            </w:pPr>
            <w:r>
              <w:rPr>
                <w:rFonts w:eastAsia="宋体"/>
                <w:sz w:val="20"/>
                <w:szCs w:val="20"/>
              </w:rPr>
              <w:t>2</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44 (58.7%)</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ind w:right="60"/>
              <w:jc w:val="center"/>
              <w:rPr>
                <w:rFonts w:eastAsia="宋体"/>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ind w:right="60"/>
              <w:jc w:val="center"/>
              <w:rPr>
                <w:rFonts w:eastAsia="宋体"/>
                <w:sz w:val="20"/>
                <w:szCs w:val="20"/>
              </w:rPr>
            </w:pPr>
            <w:r>
              <w:rPr>
                <w:rFonts w:eastAsia="宋体"/>
                <w:sz w:val="20"/>
                <w:szCs w:val="20"/>
              </w:rPr>
              <w:t>3</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0 (0.0%)</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Lympho-vascular invasion</w:t>
            </w:r>
            <w:r>
              <w:rPr>
                <w:rFonts w:eastAsia="宋体"/>
                <w:sz w:val="20"/>
                <w:szCs w:val="20"/>
              </w:rPr>
              <w:t>:</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Negative</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61 (81.33%)</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jc w:val="center"/>
              <w:rPr>
                <w:rFonts w:eastAsia="宋体"/>
                <w:b/>
                <w:bCs/>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b/>
                <w:bCs/>
                <w:sz w:val="20"/>
                <w:szCs w:val="20"/>
              </w:rPr>
            </w:pPr>
            <w:r>
              <w:rPr>
                <w:rFonts w:eastAsia="宋体"/>
                <w:sz w:val="20"/>
                <w:szCs w:val="20"/>
              </w:rPr>
              <w:t>Positive</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14 (18.66%)</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b/>
                <w:bCs/>
                <w:sz w:val="20"/>
                <w:szCs w:val="20"/>
              </w:rPr>
            </w:pPr>
            <w:r>
              <w:rPr>
                <w:rFonts w:eastAsia="宋体"/>
                <w:b/>
                <w:bCs/>
                <w:sz w:val="20"/>
                <w:szCs w:val="20"/>
              </w:rPr>
              <w:t>Estrogen receptors</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Positive</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75 (100%)</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ind w:left="60" w:right="60"/>
              <w:jc w:val="center"/>
              <w:rPr>
                <w:rFonts w:eastAsia="宋体"/>
                <w:b/>
                <w:bCs/>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b/>
                <w:bCs/>
                <w:sz w:val="20"/>
                <w:szCs w:val="20"/>
              </w:rPr>
            </w:pPr>
            <w:r>
              <w:rPr>
                <w:rFonts w:eastAsia="宋体"/>
                <w:sz w:val="20"/>
                <w:szCs w:val="20"/>
              </w:rPr>
              <w:t>Negative</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0</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b/>
                <w:bCs/>
                <w:sz w:val="20"/>
                <w:szCs w:val="20"/>
              </w:rPr>
              <w:t>Progesterone receptors</w:t>
            </w: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sz w:val="20"/>
                <w:szCs w:val="20"/>
              </w:rPr>
            </w:pPr>
            <w:r>
              <w:rPr>
                <w:rFonts w:eastAsia="宋体"/>
                <w:sz w:val="20"/>
                <w:szCs w:val="20"/>
              </w:rPr>
              <w:t>Positive</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66 (88%)</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jc w:val="center"/>
              <w:rPr>
                <w:rFonts w:eastAsia="宋体"/>
                <w:b/>
                <w:bCs/>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jc w:val="center"/>
              <w:rPr>
                <w:rFonts w:eastAsia="宋体"/>
                <w:b/>
                <w:bCs/>
                <w:sz w:val="20"/>
                <w:szCs w:val="20"/>
              </w:rPr>
            </w:pPr>
            <w:r>
              <w:rPr>
                <w:rFonts w:eastAsia="宋体"/>
                <w:sz w:val="20"/>
                <w:szCs w:val="20"/>
              </w:rPr>
              <w:t>Negative</w:t>
            </w:r>
          </w:p>
        </w:tc>
        <w:tc>
          <w:tcPr>
            <w:tcW w:w="1848" w:type="pct"/>
            <w:shd w:val="clear" w:color="auto" w:fill="auto"/>
          </w:tcPr>
          <w:p w:rsidR="00AC1EB6" w:rsidRDefault="005370F9" w:rsidP="00CD2AC1">
            <w:pPr>
              <w:tabs>
                <w:tab w:val="left" w:pos="407"/>
              </w:tabs>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9 (12%)</w:t>
            </w:r>
          </w:p>
        </w:tc>
      </w:tr>
      <w:tr w:rsidR="00AC1EB6">
        <w:trPr>
          <w:trHeight w:val="145"/>
        </w:trPr>
        <w:tc>
          <w:tcPr>
            <w:tcW w:w="1305" w:type="pct"/>
            <w:vMerge w:val="restar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b/>
                <w:bCs/>
                <w:sz w:val="20"/>
                <w:szCs w:val="20"/>
              </w:rPr>
            </w:pPr>
            <w:r>
              <w:rPr>
                <w:rFonts w:eastAsia="宋体"/>
                <w:b/>
                <w:bCs/>
                <w:sz w:val="20"/>
                <w:szCs w:val="20"/>
              </w:rPr>
              <w:t>Ki 67:</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b/>
                <w:bCs/>
                <w:sz w:val="20"/>
                <w:szCs w:val="20"/>
              </w:rPr>
            </w:pPr>
            <w:r>
              <w:rPr>
                <w:rFonts w:eastAsia="宋体"/>
                <w:sz w:val="20"/>
                <w:szCs w:val="20"/>
              </w:rPr>
              <w:t>Negative &lt;14%</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36 (48%)</w:t>
            </w:r>
          </w:p>
        </w:tc>
      </w:tr>
      <w:tr w:rsidR="00AC1EB6">
        <w:trPr>
          <w:trHeight w:val="145"/>
        </w:trPr>
        <w:tc>
          <w:tcPr>
            <w:tcW w:w="1305" w:type="pct"/>
            <w:vMerge/>
            <w:shd w:val="clear" w:color="auto" w:fill="auto"/>
          </w:tcPr>
          <w:p w:rsidR="00AC1EB6" w:rsidRDefault="00AC1EB6" w:rsidP="00CD2AC1">
            <w:pPr>
              <w:autoSpaceDE w:val="0"/>
              <w:autoSpaceDN w:val="0"/>
              <w:bidi w:val="0"/>
              <w:adjustRightInd w:val="0"/>
              <w:snapToGrid w:val="0"/>
              <w:spacing w:after="0" w:line="240" w:lineRule="auto"/>
              <w:ind w:left="60" w:right="60"/>
              <w:jc w:val="center"/>
              <w:rPr>
                <w:rFonts w:eastAsia="宋体"/>
                <w:sz w:val="20"/>
                <w:szCs w:val="20"/>
              </w:rPr>
            </w:pP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Positive ≥14%</w:t>
            </w:r>
          </w:p>
        </w:tc>
        <w:tc>
          <w:tcPr>
            <w:tcW w:w="1848" w:type="pct"/>
            <w:shd w:val="clear" w:color="auto" w:fill="auto"/>
          </w:tcPr>
          <w:p w:rsidR="00AC1EB6" w:rsidRDefault="005370F9" w:rsidP="00CD2AC1">
            <w:pPr>
              <w:autoSpaceDE w:val="0"/>
              <w:autoSpaceDN w:val="0"/>
              <w:bidi w:val="0"/>
              <w:adjustRightInd w:val="0"/>
              <w:snapToGrid w:val="0"/>
              <w:spacing w:after="0" w:line="240" w:lineRule="auto"/>
              <w:ind w:left="60" w:right="60"/>
              <w:jc w:val="center"/>
              <w:rPr>
                <w:rFonts w:eastAsia="宋体"/>
                <w:sz w:val="20"/>
                <w:szCs w:val="20"/>
              </w:rPr>
            </w:pPr>
            <w:r>
              <w:rPr>
                <w:rFonts w:eastAsia="宋体"/>
                <w:sz w:val="20"/>
                <w:szCs w:val="20"/>
              </w:rPr>
              <w:t>39 (52%)</w:t>
            </w:r>
          </w:p>
        </w:tc>
      </w:tr>
    </w:tbl>
    <w:p w:rsidR="00AC1EB6" w:rsidRDefault="005370F9" w:rsidP="00CD2AC1">
      <w:pPr>
        <w:pStyle w:val="Font"/>
        <w:snapToGrid w:val="0"/>
        <w:spacing w:after="0" w:line="240" w:lineRule="auto"/>
        <w:contextualSpacing w:val="0"/>
        <w:rPr>
          <w:color w:val="auto"/>
        </w:rPr>
      </w:pPr>
      <w:r>
        <w:rPr>
          <w:color w:val="auto"/>
        </w:rPr>
        <w:t>Data represented as frequency and (%), mean ± SD.</w:t>
      </w:r>
    </w:p>
    <w:p w:rsidR="00AC1EB6" w:rsidRDefault="00AC1EB6" w:rsidP="00CD2AC1">
      <w:pPr>
        <w:bidi w:val="0"/>
        <w:adjustRightInd w:val="0"/>
        <w:snapToGrid w:val="0"/>
        <w:spacing w:after="0" w:line="240" w:lineRule="auto"/>
        <w:jc w:val="both"/>
        <w:rPr>
          <w:sz w:val="20"/>
          <w:szCs w:val="20"/>
        </w:rPr>
      </w:pPr>
    </w:p>
    <w:p w:rsidR="00CD2AC1" w:rsidRDefault="00CD2AC1" w:rsidP="00CD2AC1">
      <w:pPr>
        <w:bidi w:val="0"/>
        <w:adjustRightInd w:val="0"/>
        <w:snapToGrid w:val="0"/>
        <w:spacing w:after="0" w:line="240" w:lineRule="auto"/>
        <w:ind w:firstLine="426"/>
        <w:jc w:val="both"/>
        <w:rPr>
          <w:rFonts w:hint="eastAsia"/>
          <w:sz w:val="20"/>
          <w:szCs w:val="20"/>
          <w:lang w:eastAsia="zh-CN"/>
        </w:rPr>
      </w:pPr>
    </w:p>
    <w:p w:rsidR="00CD2AC1" w:rsidRDefault="00CD2AC1" w:rsidP="00CD2AC1">
      <w:pPr>
        <w:bidi w:val="0"/>
        <w:adjustRightInd w:val="0"/>
        <w:snapToGrid w:val="0"/>
        <w:spacing w:after="0" w:line="240" w:lineRule="auto"/>
        <w:ind w:firstLine="426"/>
        <w:jc w:val="both"/>
        <w:rPr>
          <w:rFonts w:hint="eastAsia"/>
          <w:sz w:val="20"/>
          <w:szCs w:val="20"/>
          <w:lang w:eastAsia="zh-CN"/>
        </w:rPr>
      </w:pPr>
    </w:p>
    <w:p w:rsidR="00CD2AC1" w:rsidRDefault="00CD2AC1" w:rsidP="00CD2AC1">
      <w:pPr>
        <w:bidi w:val="0"/>
        <w:adjustRightInd w:val="0"/>
        <w:snapToGrid w:val="0"/>
        <w:spacing w:after="0" w:line="240" w:lineRule="auto"/>
        <w:ind w:firstLine="426"/>
        <w:jc w:val="both"/>
        <w:rPr>
          <w:rFonts w:hint="eastAsia"/>
          <w:sz w:val="20"/>
          <w:szCs w:val="20"/>
          <w:lang w:eastAsia="zh-CN"/>
        </w:rPr>
        <w:sectPr w:rsidR="00CD2AC1" w:rsidSect="00CD2AC1">
          <w:type w:val="continuous"/>
          <w:pgSz w:w="12191" w:h="15819"/>
          <w:pgMar w:top="1440" w:right="1440" w:bottom="1440" w:left="1440" w:header="709" w:footer="709" w:gutter="0"/>
          <w:cols w:space="567"/>
          <w:rtlGutter/>
          <w:docGrid w:linePitch="360"/>
        </w:sectPr>
      </w:pPr>
    </w:p>
    <w:p w:rsidR="00AC1EB6" w:rsidRDefault="005370F9" w:rsidP="00CD2AC1">
      <w:pPr>
        <w:bidi w:val="0"/>
        <w:adjustRightInd w:val="0"/>
        <w:snapToGrid w:val="0"/>
        <w:spacing w:after="0" w:line="240" w:lineRule="auto"/>
        <w:ind w:firstLine="426"/>
        <w:jc w:val="both"/>
        <w:rPr>
          <w:b/>
          <w:bCs/>
          <w:sz w:val="20"/>
          <w:szCs w:val="20"/>
        </w:rPr>
      </w:pPr>
      <w:r>
        <w:rPr>
          <w:sz w:val="20"/>
          <w:szCs w:val="20"/>
        </w:rPr>
        <w:lastRenderedPageBreak/>
        <w:t xml:space="preserve">Acute chemotherapy toxicity was graded according to the (CTCAE V4(4.03)., while </w:t>
      </w:r>
      <w:r>
        <w:rPr>
          <w:sz w:val="20"/>
          <w:szCs w:val="20"/>
        </w:rPr>
        <w:t>acute radiation toxicity was graded according to RTOG acute skin toxicity criteria. Anemia was the most common grade 3–4 hematologic toxicity, recorded in 8% (6/75) of patients. In this study, grade 3–4 neutropenia was recorded in 4% (3/75) of patients, ho</w:t>
      </w:r>
      <w:r>
        <w:rPr>
          <w:sz w:val="20"/>
          <w:szCs w:val="20"/>
        </w:rPr>
        <w:t>wever, infection related death was not recorded, and no one died with grade 3 or 4 neutropenia due to infection</w:t>
      </w:r>
      <w:r>
        <w:rPr>
          <w:sz w:val="20"/>
          <w:szCs w:val="20"/>
          <w:rtl/>
        </w:rPr>
        <w:t>.</w:t>
      </w:r>
      <w:r>
        <w:rPr>
          <w:sz w:val="20"/>
          <w:szCs w:val="20"/>
        </w:rPr>
        <w:t xml:space="preserve"> Most of non-hematological toxicities were mild and manageable. Sensory neuropathy, a common paclitaxel side effect, was one of the most common treatment-related adverse events, affecting 70.66% (53/75) of cases. Most cases of neuropathy were mild to moder</w:t>
      </w:r>
      <w:r>
        <w:rPr>
          <w:sz w:val="20"/>
          <w:szCs w:val="20"/>
        </w:rPr>
        <w:t xml:space="preserve">ate in severity. 4 % (3/75) of individuals experienced grade 3/4 sensory neuropathy. Nausea, a frequent side effect of chemotherapy, was recorded in 10.66% (8/75) of patients. The nausea was only mild to moderate. Diarrhea was experienced by 8% (6/75) </w:t>
      </w:r>
      <w:r>
        <w:rPr>
          <w:sz w:val="20"/>
          <w:szCs w:val="20"/>
        </w:rPr>
        <w:lastRenderedPageBreak/>
        <w:t>of p</w:t>
      </w:r>
      <w:r>
        <w:rPr>
          <w:sz w:val="20"/>
          <w:szCs w:val="20"/>
        </w:rPr>
        <w:t>atients with only 2.66% (2/75) of patients suffered from grade 3 toxicity. As regard acute skin toxicity, 54.66% (41/75) of patients developed erythema during concurrent chemo-radiation (grade1), while 40% (30/75) of patients developed dry desquamation and</w:t>
      </w:r>
      <w:r>
        <w:rPr>
          <w:sz w:val="20"/>
          <w:szCs w:val="20"/>
        </w:rPr>
        <w:t xml:space="preserve"> only 4% (3/75) of patients developed scattered small areas of moist desquamation (grade2), while 1.33% (1/75) of patients developed extensive moist desquamation (grade3)</w:t>
      </w:r>
      <w:r>
        <w:rPr>
          <w:sz w:val="20"/>
          <w:szCs w:val="20"/>
          <w:rtl/>
        </w:rPr>
        <w:t>.</w:t>
      </w:r>
      <w:r>
        <w:rPr>
          <w:sz w:val="20"/>
          <w:szCs w:val="20"/>
        </w:rPr>
        <w:t xml:space="preserve"> None of the cases showed symptoms of pneumonitis during treatment or follow up perio</w:t>
      </w:r>
      <w:r>
        <w:rPr>
          <w:sz w:val="20"/>
          <w:szCs w:val="20"/>
        </w:rPr>
        <w:t>d</w:t>
      </w:r>
      <w:r>
        <w:rPr>
          <w:sz w:val="20"/>
          <w:szCs w:val="20"/>
          <w:rtl/>
        </w:rPr>
        <w:t>.</w:t>
      </w:r>
      <w:r>
        <w:rPr>
          <w:sz w:val="20"/>
          <w:szCs w:val="20"/>
        </w:rPr>
        <w:t xml:space="preserve"> As regard cardiac toxicity all cases showed normal ranges of ejection fraction throughout treatment time and follow up period</w:t>
      </w:r>
      <w:r>
        <w:rPr>
          <w:sz w:val="20"/>
          <w:szCs w:val="20"/>
          <w:rtl/>
        </w:rPr>
        <w:t>.</w:t>
      </w:r>
      <w:r>
        <w:rPr>
          <w:sz w:val="20"/>
          <w:szCs w:val="20"/>
        </w:rPr>
        <w:t xml:space="preserve"> A total 6.66% (5/75) of patients required hospitalization, as follows: neutropenic fever in 2, bleeding in 1, infection in 1, </w:t>
      </w:r>
      <w:r>
        <w:rPr>
          <w:sz w:val="20"/>
          <w:szCs w:val="20"/>
        </w:rPr>
        <w:t>and severe diarrhea in 1</w:t>
      </w:r>
      <w:r>
        <w:rPr>
          <w:sz w:val="20"/>
          <w:szCs w:val="20"/>
          <w:rtl/>
        </w:rPr>
        <w:t xml:space="preserve"> </w:t>
      </w:r>
      <w:r>
        <w:rPr>
          <w:sz w:val="20"/>
          <w:szCs w:val="20"/>
        </w:rPr>
        <w:t>Chemotherapy or concurrent chemo-radiation was interrupted for up to 2 weeks in case of greater than grade 3 adverse reactions (table 2).</w:t>
      </w:r>
    </w:p>
    <w:p w:rsidR="00CD2AC1" w:rsidRDefault="00CD2AC1" w:rsidP="00CD2AC1">
      <w:pPr>
        <w:bidi w:val="0"/>
        <w:adjustRightInd w:val="0"/>
        <w:snapToGrid w:val="0"/>
        <w:spacing w:after="0" w:line="240" w:lineRule="auto"/>
        <w:jc w:val="both"/>
        <w:rPr>
          <w:b/>
          <w:bCs/>
          <w:sz w:val="20"/>
          <w:szCs w:val="20"/>
        </w:rPr>
        <w:sectPr w:rsidR="00CD2AC1">
          <w:type w:val="continuous"/>
          <w:pgSz w:w="12191" w:h="15819"/>
          <w:pgMar w:top="1440" w:right="1440" w:bottom="1440" w:left="1440" w:header="709" w:footer="709" w:gutter="0"/>
          <w:cols w:num="2" w:space="567"/>
          <w:rtlGutter/>
          <w:docGrid w:linePitch="360"/>
        </w:sectPr>
      </w:pPr>
    </w:p>
    <w:p w:rsidR="00CD2AC1" w:rsidRDefault="00CD2AC1" w:rsidP="00CD2AC1">
      <w:pPr>
        <w:bidi w:val="0"/>
        <w:adjustRightInd w:val="0"/>
        <w:snapToGrid w:val="0"/>
        <w:spacing w:after="0" w:line="240" w:lineRule="auto"/>
        <w:jc w:val="both"/>
        <w:rPr>
          <w:rFonts w:hint="eastAsia"/>
          <w:b/>
          <w:bCs/>
          <w:sz w:val="20"/>
          <w:szCs w:val="20"/>
          <w:lang w:eastAsia="zh-CN"/>
        </w:rPr>
      </w:pPr>
    </w:p>
    <w:p w:rsidR="00CD2AC1" w:rsidRDefault="00CD2AC1" w:rsidP="00CD2AC1">
      <w:pPr>
        <w:bidi w:val="0"/>
        <w:adjustRightInd w:val="0"/>
        <w:snapToGrid w:val="0"/>
        <w:spacing w:after="0" w:line="240" w:lineRule="auto"/>
        <w:jc w:val="both"/>
        <w:rPr>
          <w:rFonts w:hint="eastAsia"/>
          <w:b/>
          <w:bCs/>
          <w:sz w:val="20"/>
          <w:szCs w:val="20"/>
          <w:lang w:eastAsia="zh-CN"/>
        </w:rPr>
      </w:pPr>
    </w:p>
    <w:p w:rsidR="00CD2AC1" w:rsidRDefault="00CD2AC1" w:rsidP="00CD2AC1">
      <w:pPr>
        <w:bidi w:val="0"/>
        <w:adjustRightInd w:val="0"/>
        <w:snapToGrid w:val="0"/>
        <w:spacing w:after="0" w:line="240" w:lineRule="auto"/>
        <w:jc w:val="both"/>
        <w:rPr>
          <w:rFonts w:hint="eastAsia"/>
          <w:b/>
          <w:bCs/>
          <w:sz w:val="20"/>
          <w:szCs w:val="20"/>
          <w:lang w:eastAsia="zh-CN"/>
        </w:rPr>
      </w:pPr>
    </w:p>
    <w:p w:rsidR="00AC1EB6" w:rsidRDefault="005370F9" w:rsidP="00CD2AC1">
      <w:pPr>
        <w:bidi w:val="0"/>
        <w:adjustRightInd w:val="0"/>
        <w:snapToGrid w:val="0"/>
        <w:spacing w:after="0" w:line="240" w:lineRule="auto"/>
        <w:jc w:val="both"/>
        <w:rPr>
          <w:b/>
          <w:bCs/>
          <w:sz w:val="20"/>
          <w:szCs w:val="20"/>
        </w:rPr>
      </w:pPr>
      <w:r>
        <w:rPr>
          <w:b/>
          <w:bCs/>
          <w:sz w:val="20"/>
          <w:szCs w:val="20"/>
        </w:rPr>
        <w:t xml:space="preserve">Table (2): </w:t>
      </w:r>
      <w:r>
        <w:rPr>
          <w:sz w:val="20"/>
          <w:szCs w:val="20"/>
        </w:rPr>
        <w:t>Acute hematological and non- hematological toxicity in 75 patients with breast ca</w:t>
      </w:r>
      <w:r>
        <w:rPr>
          <w:sz w:val="20"/>
          <w:szCs w:val="20"/>
        </w:rPr>
        <w:t>ncer: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8"/>
        <w:gridCol w:w="876"/>
        <w:gridCol w:w="875"/>
        <w:gridCol w:w="876"/>
        <w:gridCol w:w="1751"/>
        <w:gridCol w:w="1461"/>
      </w:tblGrid>
      <w:tr w:rsidR="00AC1EB6" w:rsidTr="00CD2AC1">
        <w:trPr>
          <w:cantSplit/>
          <w:jc w:val="center"/>
        </w:trPr>
        <w:tc>
          <w:tcPr>
            <w:tcW w:w="1935" w:type="pct"/>
            <w:vMerge w:val="restar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Non- hematological toxicity</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Total</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G (1&amp;2)</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G (3&amp;4)</w:t>
            </w:r>
          </w:p>
        </w:tc>
      </w:tr>
      <w:tr w:rsidR="00AC1EB6" w:rsidTr="00CD2AC1">
        <w:trPr>
          <w:cantSplit/>
          <w:jc w:val="center"/>
        </w:trPr>
        <w:tc>
          <w:tcPr>
            <w:tcW w:w="1935" w:type="pct"/>
            <w:vMerge/>
            <w:shd w:val="clear" w:color="auto" w:fill="auto"/>
            <w:vAlign w:val="center"/>
          </w:tcPr>
          <w:p w:rsidR="00AC1EB6" w:rsidRDefault="00AC1EB6" w:rsidP="00CD2AC1">
            <w:pPr>
              <w:bidi w:val="0"/>
              <w:adjustRightInd w:val="0"/>
              <w:snapToGrid w:val="0"/>
              <w:spacing w:after="0" w:line="360" w:lineRule="auto"/>
              <w:jc w:val="center"/>
              <w:rPr>
                <w:rFonts w:eastAsia="宋体"/>
                <w:b/>
                <w:bCs/>
                <w:sz w:val="20"/>
                <w:szCs w:val="20"/>
                <w:lang w:eastAsia="zh-CN"/>
              </w:rPr>
            </w:pP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N (%)</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N (%)</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N (%)</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Diarrhea</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6 (8%)</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4 (5.33%)</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2 (2.66%)</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Nausea/ vomiting</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8</w:t>
            </w:r>
            <w:r w:rsidR="00CD2AC1">
              <w:rPr>
                <w:rFonts w:eastAsia="宋体" w:hint="eastAsia"/>
                <w:sz w:val="20"/>
                <w:szCs w:val="20"/>
                <w:lang w:eastAsia="zh-CN"/>
              </w:rPr>
              <w:t xml:space="preserve"> </w:t>
            </w:r>
            <w:r>
              <w:rPr>
                <w:rFonts w:eastAsia="宋体"/>
                <w:sz w:val="20"/>
                <w:szCs w:val="20"/>
                <w:lang w:eastAsia="zh-CN"/>
              </w:rPr>
              <w:t>(10.66%)</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8 (10.66%)</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skin toxicity</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75 (100%)</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74 (98.66%)</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 xml:space="preserve">1 </w:t>
            </w:r>
            <w:r>
              <w:rPr>
                <w:rFonts w:eastAsia="宋体"/>
                <w:sz w:val="20"/>
                <w:szCs w:val="20"/>
                <w:lang w:eastAsia="zh-CN"/>
              </w:rPr>
              <w:t>(1.33%)</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Sensory neuropathy</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53 (70.66%)</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49 (65.33%)</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 xml:space="preserve">3 </w:t>
            </w:r>
            <w:r>
              <w:rPr>
                <w:rFonts w:eastAsia="宋体"/>
                <w:sz w:val="20"/>
                <w:szCs w:val="20"/>
                <w:lang w:eastAsia="zh-CN"/>
              </w:rPr>
              <w:t>(4%)</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Lethargy</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15 (20%)</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15(20%)</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b/>
                <w:bCs/>
                <w:sz w:val="20"/>
                <w:szCs w:val="20"/>
                <w:lang w:eastAsia="zh-CN"/>
              </w:rPr>
              <w:t>Cardiotoxicity</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r>
      <w:tr w:rsidR="00AC1EB6" w:rsidTr="00CD2AC1">
        <w:trPr>
          <w:cantSplit/>
          <w:jc w:val="center"/>
        </w:trPr>
        <w:tc>
          <w:tcPr>
            <w:tcW w:w="1935" w:type="pct"/>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Alopecia</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75 (100%)</w:t>
            </w:r>
          </w:p>
        </w:tc>
        <w:tc>
          <w:tcPr>
            <w:tcW w:w="1378"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75 (100%)</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w:t>
            </w:r>
          </w:p>
        </w:tc>
      </w:tr>
      <w:tr w:rsidR="00AC1EB6" w:rsidTr="00CD2AC1">
        <w:trPr>
          <w:cantSplit/>
          <w:jc w:val="center"/>
        </w:trPr>
        <w:tc>
          <w:tcPr>
            <w:tcW w:w="5000" w:type="pct"/>
            <w:gridSpan w:val="6"/>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b/>
                <w:bCs/>
                <w:sz w:val="20"/>
                <w:szCs w:val="20"/>
                <w:lang w:eastAsia="zh-CN"/>
              </w:rPr>
              <w:t>Pulmonary toxicity:</w:t>
            </w:r>
          </w:p>
        </w:tc>
      </w:tr>
      <w:tr w:rsidR="00AC1EB6" w:rsidTr="00CD2AC1">
        <w:trPr>
          <w:cantSplit/>
          <w:jc w:val="center"/>
        </w:trPr>
        <w:tc>
          <w:tcPr>
            <w:tcW w:w="2395" w:type="pct"/>
            <w:gridSpan w:val="2"/>
            <w:shd w:val="clear" w:color="auto" w:fill="auto"/>
            <w:noWrap/>
            <w:vAlign w:val="center"/>
          </w:tcPr>
          <w:p w:rsidR="00AC1EB6" w:rsidRDefault="005370F9" w:rsidP="00CD2AC1">
            <w:pPr>
              <w:bidi w:val="0"/>
              <w:adjustRightInd w:val="0"/>
              <w:snapToGrid w:val="0"/>
              <w:spacing w:after="0" w:line="360" w:lineRule="auto"/>
              <w:ind w:left="284"/>
              <w:jc w:val="center"/>
              <w:rPr>
                <w:rFonts w:eastAsia="宋体"/>
                <w:b/>
                <w:bCs/>
                <w:sz w:val="20"/>
                <w:szCs w:val="20"/>
                <w:lang w:eastAsia="zh-CN"/>
              </w:rPr>
            </w:pPr>
            <w:r>
              <w:rPr>
                <w:rFonts w:eastAsia="宋体"/>
                <w:sz w:val="20"/>
                <w:szCs w:val="20"/>
                <w:lang w:eastAsia="zh-CN"/>
              </w:rPr>
              <w:t>3 months after chemoradiation</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c>
          <w:tcPr>
            <w:tcW w:w="919"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r>
      <w:tr w:rsidR="00AC1EB6" w:rsidTr="00CD2AC1">
        <w:trPr>
          <w:cantSplit/>
          <w:jc w:val="center"/>
        </w:trPr>
        <w:tc>
          <w:tcPr>
            <w:tcW w:w="2395" w:type="pct"/>
            <w:gridSpan w:val="2"/>
            <w:shd w:val="clear" w:color="auto" w:fill="auto"/>
            <w:noWrap/>
            <w:vAlign w:val="center"/>
          </w:tcPr>
          <w:p w:rsidR="00AC1EB6" w:rsidRDefault="005370F9" w:rsidP="00CD2AC1">
            <w:pPr>
              <w:bidi w:val="0"/>
              <w:adjustRightInd w:val="0"/>
              <w:snapToGrid w:val="0"/>
              <w:spacing w:after="0" w:line="360" w:lineRule="auto"/>
              <w:ind w:left="284"/>
              <w:jc w:val="center"/>
              <w:rPr>
                <w:rFonts w:eastAsia="宋体"/>
                <w:sz w:val="20"/>
                <w:szCs w:val="20"/>
                <w:lang w:eastAsia="zh-CN"/>
              </w:rPr>
            </w:pPr>
            <w:r>
              <w:rPr>
                <w:rFonts w:eastAsia="宋体"/>
                <w:sz w:val="20"/>
                <w:szCs w:val="20"/>
                <w:lang w:eastAsia="zh-CN"/>
              </w:rPr>
              <w:t>6 months after chemoradiation</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0(0%)</w:t>
            </w:r>
          </w:p>
        </w:tc>
        <w:tc>
          <w:tcPr>
            <w:tcW w:w="919"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0 (0%)</w:t>
            </w:r>
          </w:p>
        </w:tc>
      </w:tr>
      <w:tr w:rsidR="00AC1EB6" w:rsidTr="00CD2AC1">
        <w:trPr>
          <w:cantSplit/>
          <w:jc w:val="center"/>
        </w:trPr>
        <w:tc>
          <w:tcPr>
            <w:tcW w:w="5000" w:type="pct"/>
            <w:gridSpan w:val="6"/>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Hematological toxicity</w:t>
            </w:r>
          </w:p>
        </w:tc>
      </w:tr>
      <w:tr w:rsidR="00AC1EB6" w:rsidTr="00CD2AC1">
        <w:trPr>
          <w:cantSplit/>
          <w:jc w:val="center"/>
        </w:trPr>
        <w:tc>
          <w:tcPr>
            <w:tcW w:w="2395"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Anemia</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29 (38.66%)</w:t>
            </w:r>
          </w:p>
        </w:tc>
        <w:tc>
          <w:tcPr>
            <w:tcW w:w="919"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23 (30.66%)</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6 (8%)</w:t>
            </w:r>
          </w:p>
        </w:tc>
      </w:tr>
      <w:tr w:rsidR="00AC1EB6" w:rsidTr="00CD2AC1">
        <w:trPr>
          <w:cantSplit/>
          <w:jc w:val="center"/>
        </w:trPr>
        <w:tc>
          <w:tcPr>
            <w:tcW w:w="2395"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Neutropenia</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18 (24%)</w:t>
            </w:r>
          </w:p>
        </w:tc>
        <w:tc>
          <w:tcPr>
            <w:tcW w:w="919"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15 (20%)</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3 (4%)</w:t>
            </w:r>
          </w:p>
        </w:tc>
      </w:tr>
      <w:tr w:rsidR="00AC1EB6" w:rsidTr="00CD2AC1">
        <w:trPr>
          <w:cantSplit/>
          <w:jc w:val="center"/>
        </w:trPr>
        <w:tc>
          <w:tcPr>
            <w:tcW w:w="2395"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b/>
                <w:bCs/>
                <w:sz w:val="20"/>
                <w:szCs w:val="20"/>
                <w:lang w:eastAsia="zh-CN"/>
              </w:rPr>
            </w:pPr>
            <w:r>
              <w:rPr>
                <w:rFonts w:eastAsia="宋体"/>
                <w:b/>
                <w:bCs/>
                <w:sz w:val="20"/>
                <w:szCs w:val="20"/>
                <w:lang w:eastAsia="zh-CN"/>
              </w:rPr>
              <w:t>Thrombocytopenia</w:t>
            </w:r>
          </w:p>
        </w:tc>
        <w:tc>
          <w:tcPr>
            <w:tcW w:w="919" w:type="pct"/>
            <w:gridSpan w:val="2"/>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10 (13.33%)</w:t>
            </w:r>
          </w:p>
        </w:tc>
        <w:tc>
          <w:tcPr>
            <w:tcW w:w="919"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7 (9.33%)</w:t>
            </w:r>
          </w:p>
        </w:tc>
        <w:tc>
          <w:tcPr>
            <w:tcW w:w="768" w:type="pct"/>
            <w:shd w:val="clear" w:color="auto" w:fill="auto"/>
            <w:noWrap/>
            <w:vAlign w:val="center"/>
          </w:tcPr>
          <w:p w:rsidR="00AC1EB6" w:rsidRDefault="005370F9" w:rsidP="00CD2AC1">
            <w:pPr>
              <w:bidi w:val="0"/>
              <w:adjustRightInd w:val="0"/>
              <w:snapToGrid w:val="0"/>
              <w:spacing w:after="0" w:line="360" w:lineRule="auto"/>
              <w:jc w:val="center"/>
              <w:rPr>
                <w:rFonts w:eastAsia="宋体"/>
                <w:sz w:val="20"/>
                <w:szCs w:val="20"/>
                <w:lang w:eastAsia="zh-CN"/>
              </w:rPr>
            </w:pPr>
            <w:r>
              <w:rPr>
                <w:rFonts w:eastAsia="宋体"/>
                <w:sz w:val="20"/>
                <w:szCs w:val="20"/>
                <w:lang w:eastAsia="zh-CN"/>
              </w:rPr>
              <w:t>3 (4%)</w:t>
            </w:r>
          </w:p>
        </w:tc>
      </w:tr>
    </w:tbl>
    <w:p w:rsidR="00AC1EB6" w:rsidRDefault="005370F9" w:rsidP="00CD2AC1">
      <w:pPr>
        <w:pStyle w:val="Font"/>
        <w:snapToGrid w:val="0"/>
        <w:spacing w:after="0" w:line="240" w:lineRule="auto"/>
        <w:contextualSpacing w:val="0"/>
        <w:rPr>
          <w:rFonts w:hint="eastAsia"/>
          <w:color w:val="auto"/>
          <w:lang w:eastAsia="zh-CN"/>
        </w:rPr>
      </w:pPr>
      <w:r>
        <w:rPr>
          <w:color w:val="auto"/>
        </w:rPr>
        <w:t>Data presented as frequency and percent</w:t>
      </w:r>
    </w:p>
    <w:p w:rsidR="00AC1EB6" w:rsidRDefault="00AC1EB6" w:rsidP="00CD2AC1">
      <w:pPr>
        <w:pStyle w:val="Font"/>
        <w:snapToGrid w:val="0"/>
        <w:spacing w:after="0" w:line="240" w:lineRule="auto"/>
        <w:contextualSpacing w:val="0"/>
        <w:rPr>
          <w:rFonts w:hint="eastAsia"/>
          <w:color w:val="auto"/>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AC1EB6" w:rsidRDefault="005370F9" w:rsidP="00CD2AC1">
      <w:pPr>
        <w:pStyle w:val="P"/>
        <w:snapToGrid w:val="0"/>
        <w:spacing w:after="0" w:line="240" w:lineRule="auto"/>
        <w:ind w:firstLine="426"/>
        <w:rPr>
          <w:b/>
          <w:bCs/>
          <w:color w:val="auto"/>
          <w:sz w:val="20"/>
          <w:szCs w:val="20"/>
        </w:rPr>
      </w:pPr>
      <w:r>
        <w:rPr>
          <w:color w:val="auto"/>
          <w:sz w:val="20"/>
          <w:szCs w:val="20"/>
        </w:rPr>
        <w:t xml:space="preserve">Late events after therapy were evaluated and summarized in table 3. According to the LENT </w:t>
      </w:r>
      <w:r>
        <w:rPr>
          <w:color w:val="auto"/>
          <w:sz w:val="20"/>
          <w:szCs w:val="20"/>
        </w:rPr>
        <w:t>grading system, evaluation of late treatment-related toxicity was conducted. During &gt;2 years of follow-up concurrent chemo-radiation produced grade1 lymphoedema in 20% (15/75) of our patients, as well as chronic skin toxicity in 7 of these patients. Chroni</w:t>
      </w:r>
      <w:r>
        <w:rPr>
          <w:color w:val="auto"/>
          <w:sz w:val="20"/>
          <w:szCs w:val="20"/>
        </w:rPr>
        <w:t>c skin toxicity was in the form of chronic pigmentation in 8% (6/75) of patients and telangectasia in only 1.33% (1/75) of patients, none of these patients developed localized fibrosis. As regard cardiac toxicity all patients continued to show normal value</w:t>
      </w:r>
      <w:r>
        <w:rPr>
          <w:color w:val="auto"/>
          <w:sz w:val="20"/>
          <w:szCs w:val="20"/>
        </w:rPr>
        <w:t>s of ejection fraction with no cardiac events. Hypothyroidism was experienced by 6 patients (8%) (table 3).</w:t>
      </w:r>
    </w:p>
    <w:p w:rsidR="00AC1EB6" w:rsidRDefault="00AC1EB6" w:rsidP="00CD2AC1">
      <w:pPr>
        <w:pStyle w:val="P"/>
        <w:snapToGrid w:val="0"/>
        <w:spacing w:after="0" w:line="240" w:lineRule="auto"/>
        <w:rPr>
          <w:rFonts w:hint="eastAsia"/>
          <w:b/>
          <w:bCs/>
          <w:color w:val="auto"/>
          <w:sz w:val="20"/>
          <w:szCs w:val="20"/>
          <w:lang w:eastAsia="zh-CN"/>
        </w:rPr>
      </w:pPr>
    </w:p>
    <w:p w:rsidR="00CD2AC1" w:rsidRDefault="00CD2AC1" w:rsidP="00CD2AC1">
      <w:pPr>
        <w:pStyle w:val="P"/>
        <w:snapToGrid w:val="0"/>
        <w:spacing w:after="0" w:line="240" w:lineRule="auto"/>
        <w:rPr>
          <w:rFonts w:hint="eastAsia"/>
          <w:b/>
          <w:bCs/>
          <w:color w:val="auto"/>
          <w:sz w:val="20"/>
          <w:szCs w:val="20"/>
          <w:lang w:eastAsia="zh-CN"/>
        </w:rPr>
      </w:pPr>
    </w:p>
    <w:p w:rsidR="00AC1EB6" w:rsidRDefault="005370F9" w:rsidP="00CD2AC1">
      <w:pPr>
        <w:pStyle w:val="P"/>
        <w:snapToGrid w:val="0"/>
        <w:spacing w:after="0" w:line="240" w:lineRule="auto"/>
        <w:rPr>
          <w:color w:val="auto"/>
          <w:sz w:val="20"/>
          <w:szCs w:val="20"/>
        </w:rPr>
      </w:pPr>
      <w:r>
        <w:rPr>
          <w:b/>
          <w:bCs/>
          <w:color w:val="auto"/>
          <w:sz w:val="20"/>
          <w:szCs w:val="20"/>
        </w:rPr>
        <w:t>Table (3):</w:t>
      </w:r>
      <w:r>
        <w:rPr>
          <w:color w:val="auto"/>
          <w:sz w:val="20"/>
          <w:szCs w:val="20"/>
        </w:rPr>
        <w:t xml:space="preserve"> Late events after therapy</w:t>
      </w:r>
    </w:p>
    <w:tbl>
      <w:tblPr>
        <w:tblW w:w="49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9"/>
        <w:gridCol w:w="5606"/>
      </w:tblGrid>
      <w:tr w:rsidR="00AC1EB6">
        <w:trPr>
          <w:trHeight w:val="188"/>
          <w:jc w:val="center"/>
        </w:trPr>
        <w:tc>
          <w:tcPr>
            <w:tcW w:w="2007" w:type="pct"/>
            <w:shd w:val="clear" w:color="auto" w:fill="auto"/>
            <w:vAlign w:val="center"/>
          </w:tcPr>
          <w:p w:rsidR="00AC1EB6" w:rsidRDefault="005370F9" w:rsidP="00CD2AC1">
            <w:pPr>
              <w:bidi w:val="0"/>
              <w:adjustRightInd w:val="0"/>
              <w:snapToGrid w:val="0"/>
              <w:spacing w:after="0" w:line="360" w:lineRule="auto"/>
              <w:jc w:val="center"/>
              <w:rPr>
                <w:b/>
                <w:bCs/>
                <w:sz w:val="20"/>
                <w:szCs w:val="20"/>
              </w:rPr>
            </w:pPr>
            <w:r>
              <w:rPr>
                <w:b/>
                <w:bCs/>
                <w:sz w:val="20"/>
                <w:szCs w:val="20"/>
              </w:rPr>
              <w:t>Event</w:t>
            </w:r>
          </w:p>
        </w:tc>
        <w:tc>
          <w:tcPr>
            <w:tcW w:w="2993" w:type="pct"/>
            <w:shd w:val="clear" w:color="auto" w:fill="auto"/>
            <w:vAlign w:val="center"/>
          </w:tcPr>
          <w:p w:rsidR="00AC1EB6" w:rsidRDefault="005370F9" w:rsidP="00CD2AC1">
            <w:pPr>
              <w:bidi w:val="0"/>
              <w:adjustRightInd w:val="0"/>
              <w:snapToGrid w:val="0"/>
              <w:spacing w:after="0" w:line="360" w:lineRule="auto"/>
              <w:jc w:val="center"/>
              <w:rPr>
                <w:b/>
                <w:bCs/>
                <w:sz w:val="20"/>
                <w:szCs w:val="20"/>
              </w:rPr>
            </w:pPr>
            <w:r>
              <w:rPr>
                <w:b/>
                <w:bCs/>
                <w:sz w:val="20"/>
                <w:szCs w:val="20"/>
              </w:rPr>
              <w:t>No.</w:t>
            </w:r>
          </w:p>
        </w:tc>
      </w:tr>
      <w:tr w:rsidR="00AC1EB6">
        <w:trPr>
          <w:trHeight w:val="188"/>
          <w:jc w:val="center"/>
        </w:trPr>
        <w:tc>
          <w:tcPr>
            <w:tcW w:w="2007" w:type="pct"/>
            <w:shd w:val="clear" w:color="auto" w:fill="auto"/>
            <w:vAlign w:val="center"/>
          </w:tcPr>
          <w:p w:rsidR="00AC1EB6" w:rsidRDefault="005370F9" w:rsidP="00CD2AC1">
            <w:pPr>
              <w:bidi w:val="0"/>
              <w:adjustRightInd w:val="0"/>
              <w:snapToGrid w:val="0"/>
              <w:spacing w:after="0" w:line="360" w:lineRule="auto"/>
              <w:jc w:val="center"/>
              <w:rPr>
                <w:sz w:val="20"/>
                <w:szCs w:val="20"/>
              </w:rPr>
            </w:pPr>
            <w:r>
              <w:rPr>
                <w:b/>
                <w:bCs/>
                <w:sz w:val="20"/>
                <w:szCs w:val="20"/>
              </w:rPr>
              <w:t>Lymphoedema</w:t>
            </w:r>
          </w:p>
        </w:tc>
        <w:tc>
          <w:tcPr>
            <w:tcW w:w="2993" w:type="pct"/>
            <w:shd w:val="clear" w:color="auto" w:fill="auto"/>
            <w:vAlign w:val="center"/>
          </w:tcPr>
          <w:p w:rsidR="00AC1EB6" w:rsidRDefault="005370F9" w:rsidP="00CD2AC1">
            <w:pPr>
              <w:bidi w:val="0"/>
              <w:adjustRightInd w:val="0"/>
              <w:snapToGrid w:val="0"/>
              <w:spacing w:after="0" w:line="360" w:lineRule="auto"/>
              <w:jc w:val="center"/>
              <w:rPr>
                <w:sz w:val="20"/>
                <w:szCs w:val="20"/>
              </w:rPr>
            </w:pPr>
            <w:r>
              <w:rPr>
                <w:sz w:val="20"/>
                <w:szCs w:val="20"/>
              </w:rPr>
              <w:t>15 (20%)</w:t>
            </w:r>
          </w:p>
        </w:tc>
      </w:tr>
      <w:tr w:rsidR="00AC1EB6">
        <w:trPr>
          <w:trHeight w:val="188"/>
          <w:jc w:val="center"/>
        </w:trPr>
        <w:tc>
          <w:tcPr>
            <w:tcW w:w="2007" w:type="pct"/>
            <w:shd w:val="clear" w:color="auto" w:fill="auto"/>
            <w:vAlign w:val="center"/>
          </w:tcPr>
          <w:p w:rsidR="00AC1EB6" w:rsidRDefault="005370F9" w:rsidP="00CD2AC1">
            <w:pPr>
              <w:bidi w:val="0"/>
              <w:adjustRightInd w:val="0"/>
              <w:snapToGrid w:val="0"/>
              <w:spacing w:after="0" w:line="360" w:lineRule="auto"/>
              <w:jc w:val="center"/>
              <w:rPr>
                <w:sz w:val="20"/>
                <w:szCs w:val="20"/>
              </w:rPr>
            </w:pPr>
            <w:r>
              <w:rPr>
                <w:b/>
                <w:bCs/>
                <w:sz w:val="20"/>
                <w:szCs w:val="20"/>
              </w:rPr>
              <w:t>Cardiotoxicity</w:t>
            </w:r>
          </w:p>
          <w:p w:rsidR="00AC1EB6" w:rsidRDefault="005370F9" w:rsidP="00CD2AC1">
            <w:pPr>
              <w:numPr>
                <w:ilvl w:val="0"/>
                <w:numId w:val="7"/>
              </w:numPr>
              <w:bidi w:val="0"/>
              <w:adjustRightInd w:val="0"/>
              <w:snapToGrid w:val="0"/>
              <w:spacing w:after="0" w:line="360" w:lineRule="auto"/>
              <w:jc w:val="center"/>
              <w:rPr>
                <w:sz w:val="20"/>
                <w:szCs w:val="20"/>
              </w:rPr>
            </w:pPr>
            <w:r>
              <w:rPr>
                <w:sz w:val="20"/>
                <w:szCs w:val="20"/>
              </w:rPr>
              <w:t>Grade 2</w:t>
            </w:r>
          </w:p>
          <w:p w:rsidR="00AC1EB6" w:rsidRDefault="005370F9" w:rsidP="00CD2AC1">
            <w:pPr>
              <w:numPr>
                <w:ilvl w:val="0"/>
                <w:numId w:val="7"/>
              </w:numPr>
              <w:bidi w:val="0"/>
              <w:adjustRightInd w:val="0"/>
              <w:snapToGrid w:val="0"/>
              <w:spacing w:after="0" w:line="360" w:lineRule="auto"/>
              <w:jc w:val="center"/>
              <w:rPr>
                <w:sz w:val="20"/>
                <w:szCs w:val="20"/>
              </w:rPr>
            </w:pPr>
            <w:r>
              <w:rPr>
                <w:sz w:val="20"/>
                <w:szCs w:val="20"/>
              </w:rPr>
              <w:t>Grade 3</w:t>
            </w:r>
          </w:p>
          <w:p w:rsidR="00AC1EB6" w:rsidRDefault="005370F9" w:rsidP="00CD2AC1">
            <w:pPr>
              <w:numPr>
                <w:ilvl w:val="0"/>
                <w:numId w:val="7"/>
              </w:numPr>
              <w:bidi w:val="0"/>
              <w:adjustRightInd w:val="0"/>
              <w:snapToGrid w:val="0"/>
              <w:spacing w:after="0" w:line="360" w:lineRule="auto"/>
              <w:jc w:val="center"/>
              <w:rPr>
                <w:sz w:val="20"/>
                <w:szCs w:val="20"/>
              </w:rPr>
            </w:pPr>
            <w:r>
              <w:rPr>
                <w:sz w:val="20"/>
                <w:szCs w:val="20"/>
              </w:rPr>
              <w:t>Grade 4</w:t>
            </w:r>
          </w:p>
        </w:tc>
        <w:tc>
          <w:tcPr>
            <w:tcW w:w="2993" w:type="pct"/>
            <w:shd w:val="clear" w:color="auto" w:fill="auto"/>
            <w:vAlign w:val="center"/>
          </w:tcPr>
          <w:p w:rsidR="00AC1EB6" w:rsidRDefault="00AC1EB6" w:rsidP="00CD2AC1">
            <w:pPr>
              <w:bidi w:val="0"/>
              <w:adjustRightInd w:val="0"/>
              <w:snapToGrid w:val="0"/>
              <w:spacing w:after="0" w:line="360" w:lineRule="auto"/>
              <w:jc w:val="center"/>
              <w:rPr>
                <w:sz w:val="20"/>
                <w:szCs w:val="20"/>
              </w:rPr>
            </w:pPr>
          </w:p>
          <w:p w:rsidR="00AC1EB6" w:rsidRDefault="005370F9" w:rsidP="00CD2AC1">
            <w:pPr>
              <w:bidi w:val="0"/>
              <w:adjustRightInd w:val="0"/>
              <w:snapToGrid w:val="0"/>
              <w:spacing w:after="0" w:line="360" w:lineRule="auto"/>
              <w:jc w:val="center"/>
              <w:rPr>
                <w:sz w:val="20"/>
                <w:szCs w:val="20"/>
              </w:rPr>
            </w:pPr>
            <w:r>
              <w:rPr>
                <w:sz w:val="20"/>
                <w:szCs w:val="20"/>
              </w:rPr>
              <w:t>0</w:t>
            </w:r>
          </w:p>
          <w:p w:rsidR="00AC1EB6" w:rsidRDefault="005370F9" w:rsidP="00CD2AC1">
            <w:pPr>
              <w:bidi w:val="0"/>
              <w:adjustRightInd w:val="0"/>
              <w:snapToGrid w:val="0"/>
              <w:spacing w:after="0" w:line="360" w:lineRule="auto"/>
              <w:jc w:val="center"/>
              <w:rPr>
                <w:sz w:val="20"/>
                <w:szCs w:val="20"/>
              </w:rPr>
            </w:pPr>
            <w:r>
              <w:rPr>
                <w:sz w:val="20"/>
                <w:szCs w:val="20"/>
              </w:rPr>
              <w:t>0</w:t>
            </w:r>
          </w:p>
          <w:p w:rsidR="00AC1EB6" w:rsidRDefault="005370F9" w:rsidP="00CD2AC1">
            <w:pPr>
              <w:bidi w:val="0"/>
              <w:adjustRightInd w:val="0"/>
              <w:snapToGrid w:val="0"/>
              <w:spacing w:after="0" w:line="360" w:lineRule="auto"/>
              <w:jc w:val="center"/>
              <w:rPr>
                <w:sz w:val="20"/>
                <w:szCs w:val="20"/>
              </w:rPr>
            </w:pPr>
            <w:r>
              <w:rPr>
                <w:sz w:val="20"/>
                <w:szCs w:val="20"/>
              </w:rPr>
              <w:t>0</w:t>
            </w:r>
          </w:p>
        </w:tc>
      </w:tr>
      <w:tr w:rsidR="00AC1EB6">
        <w:trPr>
          <w:trHeight w:val="188"/>
          <w:jc w:val="center"/>
        </w:trPr>
        <w:tc>
          <w:tcPr>
            <w:tcW w:w="2007" w:type="pct"/>
            <w:shd w:val="clear" w:color="auto" w:fill="auto"/>
            <w:vAlign w:val="center"/>
          </w:tcPr>
          <w:p w:rsidR="00AC1EB6" w:rsidRDefault="005370F9" w:rsidP="00CD2AC1">
            <w:pPr>
              <w:bidi w:val="0"/>
              <w:adjustRightInd w:val="0"/>
              <w:snapToGrid w:val="0"/>
              <w:spacing w:after="0" w:line="360" w:lineRule="auto"/>
              <w:jc w:val="center"/>
              <w:rPr>
                <w:sz w:val="20"/>
                <w:szCs w:val="20"/>
              </w:rPr>
            </w:pPr>
            <w:r>
              <w:rPr>
                <w:sz w:val="20"/>
                <w:szCs w:val="20"/>
              </w:rPr>
              <w:t>Hypothyroidism</w:t>
            </w:r>
          </w:p>
        </w:tc>
        <w:tc>
          <w:tcPr>
            <w:tcW w:w="2993" w:type="pct"/>
            <w:shd w:val="clear" w:color="auto" w:fill="auto"/>
            <w:vAlign w:val="center"/>
          </w:tcPr>
          <w:p w:rsidR="00AC1EB6" w:rsidRDefault="005370F9" w:rsidP="00CD2AC1">
            <w:pPr>
              <w:bidi w:val="0"/>
              <w:adjustRightInd w:val="0"/>
              <w:snapToGrid w:val="0"/>
              <w:spacing w:after="0" w:line="360" w:lineRule="auto"/>
              <w:jc w:val="center"/>
              <w:rPr>
                <w:sz w:val="20"/>
                <w:szCs w:val="20"/>
              </w:rPr>
            </w:pPr>
            <w:r>
              <w:rPr>
                <w:sz w:val="20"/>
                <w:szCs w:val="20"/>
              </w:rPr>
              <w:t>6 (8%)</w:t>
            </w:r>
          </w:p>
        </w:tc>
      </w:tr>
      <w:tr w:rsidR="00AC1EB6">
        <w:trPr>
          <w:trHeight w:val="188"/>
          <w:jc w:val="center"/>
        </w:trPr>
        <w:tc>
          <w:tcPr>
            <w:tcW w:w="2007" w:type="pct"/>
            <w:shd w:val="clear" w:color="auto" w:fill="auto"/>
            <w:vAlign w:val="center"/>
          </w:tcPr>
          <w:p w:rsidR="00AC1EB6" w:rsidRDefault="005370F9" w:rsidP="00CD2AC1">
            <w:pPr>
              <w:bidi w:val="0"/>
              <w:adjustRightInd w:val="0"/>
              <w:snapToGrid w:val="0"/>
              <w:spacing w:after="0" w:line="360" w:lineRule="auto"/>
              <w:jc w:val="center"/>
              <w:rPr>
                <w:b/>
                <w:bCs/>
                <w:sz w:val="20"/>
                <w:szCs w:val="20"/>
              </w:rPr>
            </w:pPr>
            <w:r>
              <w:rPr>
                <w:b/>
                <w:bCs/>
                <w:sz w:val="20"/>
                <w:szCs w:val="20"/>
              </w:rPr>
              <w:t>Chronic</w:t>
            </w:r>
            <w:r>
              <w:rPr>
                <w:b/>
                <w:bCs/>
                <w:sz w:val="20"/>
                <w:szCs w:val="20"/>
              </w:rPr>
              <w:t xml:space="preserve"> skin toxicity</w:t>
            </w:r>
          </w:p>
          <w:p w:rsidR="00AC1EB6" w:rsidRDefault="005370F9" w:rsidP="00CD2AC1">
            <w:pPr>
              <w:numPr>
                <w:ilvl w:val="0"/>
                <w:numId w:val="8"/>
              </w:numPr>
              <w:bidi w:val="0"/>
              <w:adjustRightInd w:val="0"/>
              <w:snapToGrid w:val="0"/>
              <w:spacing w:after="0" w:line="360" w:lineRule="auto"/>
              <w:ind w:left="284" w:hanging="207"/>
              <w:jc w:val="center"/>
              <w:rPr>
                <w:sz w:val="20"/>
                <w:szCs w:val="20"/>
              </w:rPr>
            </w:pPr>
            <w:r>
              <w:rPr>
                <w:sz w:val="20"/>
                <w:szCs w:val="20"/>
              </w:rPr>
              <w:t>Pigmentation</w:t>
            </w:r>
          </w:p>
          <w:p w:rsidR="00AC1EB6" w:rsidRDefault="005370F9" w:rsidP="00CD2AC1">
            <w:pPr>
              <w:numPr>
                <w:ilvl w:val="0"/>
                <w:numId w:val="8"/>
              </w:numPr>
              <w:bidi w:val="0"/>
              <w:adjustRightInd w:val="0"/>
              <w:snapToGrid w:val="0"/>
              <w:spacing w:after="0" w:line="360" w:lineRule="auto"/>
              <w:ind w:left="284" w:hanging="207"/>
              <w:jc w:val="center"/>
              <w:rPr>
                <w:sz w:val="20"/>
                <w:szCs w:val="20"/>
              </w:rPr>
            </w:pPr>
            <w:r>
              <w:rPr>
                <w:sz w:val="20"/>
                <w:szCs w:val="20"/>
              </w:rPr>
              <w:t>Telangectasia</w:t>
            </w:r>
          </w:p>
        </w:tc>
        <w:tc>
          <w:tcPr>
            <w:tcW w:w="2993" w:type="pct"/>
            <w:shd w:val="clear" w:color="auto" w:fill="auto"/>
            <w:vAlign w:val="center"/>
          </w:tcPr>
          <w:p w:rsidR="00AC1EB6" w:rsidRDefault="00AC1EB6" w:rsidP="00CD2AC1">
            <w:pPr>
              <w:bidi w:val="0"/>
              <w:adjustRightInd w:val="0"/>
              <w:snapToGrid w:val="0"/>
              <w:spacing w:after="0" w:line="360" w:lineRule="auto"/>
              <w:jc w:val="center"/>
              <w:rPr>
                <w:sz w:val="20"/>
                <w:szCs w:val="20"/>
              </w:rPr>
            </w:pPr>
          </w:p>
          <w:p w:rsidR="00AC1EB6" w:rsidRDefault="005370F9" w:rsidP="00CD2AC1">
            <w:pPr>
              <w:bidi w:val="0"/>
              <w:adjustRightInd w:val="0"/>
              <w:snapToGrid w:val="0"/>
              <w:spacing w:after="0" w:line="360" w:lineRule="auto"/>
              <w:jc w:val="center"/>
              <w:rPr>
                <w:sz w:val="20"/>
                <w:szCs w:val="20"/>
              </w:rPr>
            </w:pPr>
            <w:r>
              <w:rPr>
                <w:sz w:val="20"/>
                <w:szCs w:val="20"/>
              </w:rPr>
              <w:t>6 (8%)</w:t>
            </w:r>
          </w:p>
          <w:p w:rsidR="00AC1EB6" w:rsidRDefault="005370F9" w:rsidP="00CD2AC1">
            <w:pPr>
              <w:bidi w:val="0"/>
              <w:adjustRightInd w:val="0"/>
              <w:snapToGrid w:val="0"/>
              <w:spacing w:after="0" w:line="360" w:lineRule="auto"/>
              <w:jc w:val="center"/>
              <w:rPr>
                <w:sz w:val="20"/>
                <w:szCs w:val="20"/>
              </w:rPr>
            </w:pPr>
            <w:r>
              <w:rPr>
                <w:sz w:val="20"/>
                <w:szCs w:val="20"/>
              </w:rPr>
              <w:t>1 (1.33%)</w:t>
            </w:r>
          </w:p>
        </w:tc>
      </w:tr>
    </w:tbl>
    <w:p w:rsidR="00AC1EB6" w:rsidRDefault="00AC1EB6" w:rsidP="00CD2AC1">
      <w:pPr>
        <w:bidi w:val="0"/>
        <w:adjustRightInd w:val="0"/>
        <w:snapToGrid w:val="0"/>
        <w:spacing w:after="0" w:line="240" w:lineRule="auto"/>
        <w:jc w:val="both"/>
        <w:rPr>
          <w:rFonts w:hint="eastAsia"/>
          <w:sz w:val="20"/>
          <w:szCs w:val="20"/>
          <w:lang w:eastAsia="zh-CN"/>
        </w:rPr>
      </w:pPr>
    </w:p>
    <w:p w:rsidR="00CD2AC1" w:rsidRDefault="00CD2AC1" w:rsidP="00CD2AC1">
      <w:pPr>
        <w:bidi w:val="0"/>
        <w:adjustRightInd w:val="0"/>
        <w:snapToGrid w:val="0"/>
        <w:spacing w:after="0" w:line="240" w:lineRule="auto"/>
        <w:jc w:val="both"/>
        <w:rPr>
          <w:rFonts w:hint="eastAsia"/>
          <w:sz w:val="20"/>
          <w:szCs w:val="20"/>
          <w:lang w:eastAsia="zh-CN"/>
        </w:rPr>
      </w:pPr>
    </w:p>
    <w:p w:rsidR="00AC1EB6" w:rsidRDefault="005370F9" w:rsidP="00CD2AC1">
      <w:pPr>
        <w:bidi w:val="0"/>
        <w:adjustRightInd w:val="0"/>
        <w:snapToGrid w:val="0"/>
        <w:spacing w:after="0" w:line="240" w:lineRule="auto"/>
        <w:ind w:firstLine="567"/>
        <w:jc w:val="both"/>
        <w:rPr>
          <w:rFonts w:hint="eastAsia"/>
          <w:sz w:val="20"/>
          <w:szCs w:val="20"/>
          <w:lang w:eastAsia="zh-CN"/>
        </w:rPr>
      </w:pPr>
      <w:r>
        <w:rPr>
          <w:sz w:val="20"/>
          <w:szCs w:val="20"/>
        </w:rPr>
        <w:t>The overall and the final cosmetic results were acceptable by most of the patients and treating physicians team. Only 6.66% (5/75) of patients accepted appearance moderately (table 4).</w:t>
      </w:r>
    </w:p>
    <w:p w:rsidR="00CD2AC1" w:rsidRDefault="00CD2AC1" w:rsidP="00CD2AC1">
      <w:pPr>
        <w:bidi w:val="0"/>
        <w:adjustRightInd w:val="0"/>
        <w:snapToGrid w:val="0"/>
        <w:spacing w:after="0" w:line="240" w:lineRule="auto"/>
        <w:ind w:firstLine="567"/>
        <w:jc w:val="both"/>
        <w:rPr>
          <w:rFonts w:hint="eastAsia"/>
          <w:sz w:val="20"/>
          <w:szCs w:val="20"/>
          <w:lang w:eastAsia="zh-CN"/>
        </w:rPr>
      </w:pPr>
    </w:p>
    <w:p w:rsidR="00AC1EB6" w:rsidRDefault="00AC1EB6" w:rsidP="00CD2AC1">
      <w:pPr>
        <w:bidi w:val="0"/>
        <w:adjustRightInd w:val="0"/>
        <w:snapToGrid w:val="0"/>
        <w:spacing w:after="0" w:line="240" w:lineRule="auto"/>
        <w:jc w:val="both"/>
        <w:rPr>
          <w:sz w:val="20"/>
          <w:szCs w:val="20"/>
        </w:rPr>
      </w:pPr>
    </w:p>
    <w:p w:rsidR="00AC1EB6" w:rsidRDefault="005370F9" w:rsidP="00CD2AC1">
      <w:pPr>
        <w:bidi w:val="0"/>
        <w:adjustRightInd w:val="0"/>
        <w:snapToGrid w:val="0"/>
        <w:spacing w:after="0" w:line="240" w:lineRule="auto"/>
        <w:jc w:val="both"/>
        <w:rPr>
          <w:sz w:val="20"/>
          <w:szCs w:val="20"/>
          <w:lang w:bidi="ar-EG"/>
        </w:rPr>
      </w:pPr>
      <w:r>
        <w:rPr>
          <w:b/>
          <w:bCs/>
          <w:sz w:val="20"/>
          <w:szCs w:val="20"/>
        </w:rPr>
        <w:t xml:space="preserve">Table (4): </w:t>
      </w:r>
      <w:r>
        <w:rPr>
          <w:sz w:val="20"/>
          <w:szCs w:val="20"/>
        </w:rPr>
        <w:t>Harvard scale (4-point Likert scale) of Breast Cosmoses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7210"/>
        <w:gridCol w:w="501"/>
        <w:gridCol w:w="724"/>
      </w:tblGrid>
      <w:tr w:rsidR="00AC1EB6" w:rsidTr="00CD2AC1">
        <w:tc>
          <w:tcPr>
            <w:tcW w:w="573" w:type="pct"/>
            <w:shd w:val="clear" w:color="auto" w:fill="auto"/>
          </w:tcPr>
          <w:p w:rsidR="00AC1EB6" w:rsidRDefault="005370F9" w:rsidP="00CD2AC1">
            <w:pPr>
              <w:bidi w:val="0"/>
              <w:adjustRightInd w:val="0"/>
              <w:snapToGrid w:val="0"/>
              <w:spacing w:after="0" w:line="360" w:lineRule="auto"/>
              <w:jc w:val="both"/>
              <w:rPr>
                <w:b/>
                <w:bCs/>
                <w:sz w:val="20"/>
                <w:szCs w:val="20"/>
                <w:lang w:eastAsia="zh-CN"/>
              </w:rPr>
            </w:pPr>
            <w:r>
              <w:rPr>
                <w:b/>
                <w:bCs/>
                <w:sz w:val="20"/>
                <w:szCs w:val="20"/>
                <w:lang w:eastAsia="zh-CN"/>
              </w:rPr>
              <w:t>Item</w:t>
            </w:r>
          </w:p>
        </w:tc>
        <w:tc>
          <w:tcPr>
            <w:tcW w:w="3784" w:type="pct"/>
            <w:shd w:val="clear" w:color="auto" w:fill="auto"/>
          </w:tcPr>
          <w:p w:rsidR="00AC1EB6" w:rsidRDefault="005370F9" w:rsidP="00CD2AC1">
            <w:pPr>
              <w:bidi w:val="0"/>
              <w:adjustRightInd w:val="0"/>
              <w:snapToGrid w:val="0"/>
              <w:spacing w:after="0" w:line="360" w:lineRule="auto"/>
              <w:jc w:val="both"/>
              <w:rPr>
                <w:b/>
                <w:bCs/>
                <w:sz w:val="20"/>
                <w:szCs w:val="20"/>
                <w:lang w:eastAsia="zh-CN"/>
              </w:rPr>
            </w:pPr>
            <w:r>
              <w:rPr>
                <w:b/>
                <w:bCs/>
                <w:sz w:val="20"/>
                <w:szCs w:val="20"/>
                <w:lang w:eastAsia="zh-CN"/>
              </w:rPr>
              <w:t>Description</w:t>
            </w:r>
          </w:p>
        </w:tc>
        <w:tc>
          <w:tcPr>
            <w:tcW w:w="263" w:type="pct"/>
            <w:shd w:val="clear" w:color="auto" w:fill="auto"/>
          </w:tcPr>
          <w:p w:rsidR="00AC1EB6" w:rsidRDefault="005370F9" w:rsidP="00CD2AC1">
            <w:pPr>
              <w:bidi w:val="0"/>
              <w:adjustRightInd w:val="0"/>
              <w:snapToGrid w:val="0"/>
              <w:spacing w:after="0" w:line="360" w:lineRule="auto"/>
              <w:jc w:val="center"/>
              <w:rPr>
                <w:b/>
                <w:bCs/>
                <w:sz w:val="20"/>
                <w:szCs w:val="20"/>
                <w:lang w:eastAsia="zh-CN"/>
              </w:rPr>
            </w:pPr>
            <w:r>
              <w:rPr>
                <w:b/>
                <w:bCs/>
                <w:sz w:val="20"/>
                <w:szCs w:val="20"/>
                <w:lang w:eastAsia="zh-CN"/>
              </w:rPr>
              <w:t>No</w:t>
            </w:r>
          </w:p>
        </w:tc>
        <w:tc>
          <w:tcPr>
            <w:tcW w:w="380" w:type="pct"/>
            <w:shd w:val="clear" w:color="auto" w:fill="auto"/>
          </w:tcPr>
          <w:p w:rsidR="00AC1EB6" w:rsidRDefault="005370F9" w:rsidP="00CD2AC1">
            <w:pPr>
              <w:bidi w:val="0"/>
              <w:adjustRightInd w:val="0"/>
              <w:snapToGrid w:val="0"/>
              <w:spacing w:after="0" w:line="360" w:lineRule="auto"/>
              <w:jc w:val="center"/>
              <w:rPr>
                <w:b/>
                <w:bCs/>
                <w:sz w:val="20"/>
                <w:szCs w:val="20"/>
                <w:lang w:eastAsia="zh-CN"/>
              </w:rPr>
            </w:pPr>
            <w:r>
              <w:rPr>
                <w:b/>
                <w:bCs/>
                <w:sz w:val="20"/>
                <w:szCs w:val="20"/>
                <w:lang w:eastAsia="zh-CN"/>
              </w:rPr>
              <w:t>%</w:t>
            </w:r>
          </w:p>
        </w:tc>
      </w:tr>
      <w:tr w:rsidR="00AC1EB6" w:rsidTr="00CD2AC1">
        <w:tc>
          <w:tcPr>
            <w:tcW w:w="573" w:type="pct"/>
            <w:shd w:val="clear" w:color="auto" w:fill="auto"/>
          </w:tcPr>
          <w:p w:rsidR="00AC1EB6" w:rsidRDefault="005370F9" w:rsidP="00CD2AC1">
            <w:pPr>
              <w:bidi w:val="0"/>
              <w:adjustRightInd w:val="0"/>
              <w:snapToGrid w:val="0"/>
              <w:spacing w:after="0" w:line="360" w:lineRule="auto"/>
              <w:jc w:val="both"/>
              <w:rPr>
                <w:b/>
                <w:bCs/>
                <w:sz w:val="20"/>
                <w:szCs w:val="20"/>
                <w:lang w:eastAsia="zh-CN"/>
              </w:rPr>
            </w:pPr>
            <w:r>
              <w:rPr>
                <w:b/>
                <w:bCs/>
                <w:sz w:val="20"/>
                <w:szCs w:val="20"/>
                <w:lang w:eastAsia="zh-CN"/>
              </w:rPr>
              <w:t>Excellent</w:t>
            </w:r>
          </w:p>
        </w:tc>
        <w:tc>
          <w:tcPr>
            <w:tcW w:w="3784" w:type="pct"/>
            <w:shd w:val="clear" w:color="auto" w:fill="auto"/>
          </w:tcPr>
          <w:p w:rsidR="00AC1EB6" w:rsidRDefault="005370F9" w:rsidP="00CD2AC1">
            <w:pPr>
              <w:bidi w:val="0"/>
              <w:adjustRightInd w:val="0"/>
              <w:snapToGrid w:val="0"/>
              <w:spacing w:after="0" w:line="360" w:lineRule="auto"/>
              <w:jc w:val="both"/>
              <w:rPr>
                <w:sz w:val="20"/>
                <w:szCs w:val="20"/>
                <w:lang w:eastAsia="zh-CN"/>
              </w:rPr>
            </w:pPr>
            <w:r>
              <w:rPr>
                <w:sz w:val="20"/>
                <w:szCs w:val="20"/>
                <w:lang w:eastAsia="zh-CN"/>
              </w:rPr>
              <w:t>Treated breast almost identical to untreated breast</w:t>
            </w:r>
          </w:p>
        </w:tc>
        <w:tc>
          <w:tcPr>
            <w:tcW w:w="263"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45</w:t>
            </w:r>
          </w:p>
        </w:tc>
        <w:tc>
          <w:tcPr>
            <w:tcW w:w="380"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60</w:t>
            </w:r>
          </w:p>
        </w:tc>
      </w:tr>
      <w:tr w:rsidR="00AC1EB6" w:rsidTr="00CD2AC1">
        <w:tc>
          <w:tcPr>
            <w:tcW w:w="573" w:type="pct"/>
            <w:shd w:val="clear" w:color="auto" w:fill="auto"/>
          </w:tcPr>
          <w:p w:rsidR="00AC1EB6" w:rsidRDefault="005370F9" w:rsidP="00CD2AC1">
            <w:pPr>
              <w:bidi w:val="0"/>
              <w:adjustRightInd w:val="0"/>
              <w:snapToGrid w:val="0"/>
              <w:spacing w:after="0" w:line="360" w:lineRule="auto"/>
              <w:jc w:val="both"/>
              <w:rPr>
                <w:b/>
                <w:bCs/>
                <w:sz w:val="20"/>
                <w:szCs w:val="20"/>
                <w:lang w:eastAsia="zh-CN"/>
              </w:rPr>
            </w:pPr>
            <w:r>
              <w:rPr>
                <w:b/>
                <w:bCs/>
                <w:sz w:val="20"/>
                <w:szCs w:val="20"/>
                <w:lang w:eastAsia="zh-CN"/>
              </w:rPr>
              <w:t>Good</w:t>
            </w:r>
          </w:p>
        </w:tc>
        <w:tc>
          <w:tcPr>
            <w:tcW w:w="3784" w:type="pct"/>
            <w:shd w:val="clear" w:color="auto" w:fill="auto"/>
          </w:tcPr>
          <w:p w:rsidR="00AC1EB6" w:rsidRDefault="005370F9" w:rsidP="00CD2AC1">
            <w:pPr>
              <w:bidi w:val="0"/>
              <w:adjustRightInd w:val="0"/>
              <w:snapToGrid w:val="0"/>
              <w:spacing w:after="0" w:line="360" w:lineRule="auto"/>
              <w:jc w:val="both"/>
              <w:rPr>
                <w:sz w:val="20"/>
                <w:szCs w:val="20"/>
                <w:lang w:eastAsia="zh-CN"/>
              </w:rPr>
            </w:pPr>
            <w:r>
              <w:rPr>
                <w:sz w:val="20"/>
                <w:szCs w:val="20"/>
                <w:lang w:eastAsia="zh-CN"/>
              </w:rPr>
              <w:t>Minimal difference between treated breast and untreated breast</w:t>
            </w:r>
          </w:p>
        </w:tc>
        <w:tc>
          <w:tcPr>
            <w:tcW w:w="263"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25</w:t>
            </w:r>
          </w:p>
        </w:tc>
        <w:tc>
          <w:tcPr>
            <w:tcW w:w="380"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33.33</w:t>
            </w:r>
          </w:p>
        </w:tc>
      </w:tr>
      <w:tr w:rsidR="00AC1EB6" w:rsidTr="00CD2AC1">
        <w:tc>
          <w:tcPr>
            <w:tcW w:w="573" w:type="pct"/>
            <w:shd w:val="clear" w:color="auto" w:fill="auto"/>
          </w:tcPr>
          <w:p w:rsidR="00AC1EB6" w:rsidRDefault="005370F9" w:rsidP="00CD2AC1">
            <w:pPr>
              <w:bidi w:val="0"/>
              <w:adjustRightInd w:val="0"/>
              <w:snapToGrid w:val="0"/>
              <w:spacing w:after="0" w:line="360" w:lineRule="auto"/>
              <w:jc w:val="both"/>
              <w:rPr>
                <w:b/>
                <w:bCs/>
                <w:sz w:val="20"/>
                <w:szCs w:val="20"/>
                <w:lang w:eastAsia="zh-CN"/>
              </w:rPr>
            </w:pPr>
            <w:r>
              <w:rPr>
                <w:b/>
                <w:bCs/>
                <w:sz w:val="20"/>
                <w:szCs w:val="20"/>
                <w:lang w:eastAsia="zh-CN"/>
              </w:rPr>
              <w:t>Fair</w:t>
            </w:r>
          </w:p>
        </w:tc>
        <w:tc>
          <w:tcPr>
            <w:tcW w:w="3784" w:type="pct"/>
            <w:shd w:val="clear" w:color="auto" w:fill="auto"/>
          </w:tcPr>
          <w:p w:rsidR="00AC1EB6" w:rsidRDefault="005370F9" w:rsidP="00CD2AC1">
            <w:pPr>
              <w:bidi w:val="0"/>
              <w:adjustRightInd w:val="0"/>
              <w:snapToGrid w:val="0"/>
              <w:spacing w:after="0" w:line="360" w:lineRule="auto"/>
              <w:jc w:val="both"/>
              <w:rPr>
                <w:sz w:val="20"/>
                <w:szCs w:val="20"/>
                <w:lang w:eastAsia="zh-CN"/>
              </w:rPr>
            </w:pPr>
            <w:r>
              <w:rPr>
                <w:sz w:val="20"/>
                <w:szCs w:val="20"/>
                <w:lang w:eastAsia="zh-CN"/>
              </w:rPr>
              <w:t>Treated breast</w:t>
            </w:r>
            <w:r>
              <w:rPr>
                <w:sz w:val="20"/>
                <w:szCs w:val="20"/>
                <w:lang w:eastAsia="zh-CN"/>
              </w:rPr>
              <w:t xml:space="preserve"> clearly different from untreated breast but not seriously distorted.</w:t>
            </w:r>
          </w:p>
        </w:tc>
        <w:tc>
          <w:tcPr>
            <w:tcW w:w="263"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5</w:t>
            </w:r>
          </w:p>
        </w:tc>
        <w:tc>
          <w:tcPr>
            <w:tcW w:w="380"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6.66</w:t>
            </w:r>
          </w:p>
        </w:tc>
      </w:tr>
      <w:tr w:rsidR="00AC1EB6" w:rsidTr="00CD2AC1">
        <w:tc>
          <w:tcPr>
            <w:tcW w:w="573" w:type="pct"/>
            <w:shd w:val="clear" w:color="auto" w:fill="auto"/>
          </w:tcPr>
          <w:p w:rsidR="00AC1EB6" w:rsidRDefault="005370F9" w:rsidP="00CD2AC1">
            <w:pPr>
              <w:bidi w:val="0"/>
              <w:adjustRightInd w:val="0"/>
              <w:snapToGrid w:val="0"/>
              <w:spacing w:after="0" w:line="360" w:lineRule="auto"/>
              <w:jc w:val="both"/>
              <w:rPr>
                <w:b/>
                <w:bCs/>
                <w:sz w:val="20"/>
                <w:szCs w:val="20"/>
                <w:lang w:eastAsia="zh-CN"/>
              </w:rPr>
            </w:pPr>
            <w:r>
              <w:rPr>
                <w:b/>
                <w:bCs/>
                <w:sz w:val="20"/>
                <w:szCs w:val="20"/>
                <w:lang w:eastAsia="zh-CN"/>
              </w:rPr>
              <w:t>Poor</w:t>
            </w:r>
          </w:p>
        </w:tc>
        <w:tc>
          <w:tcPr>
            <w:tcW w:w="3784" w:type="pct"/>
            <w:shd w:val="clear" w:color="auto" w:fill="auto"/>
          </w:tcPr>
          <w:p w:rsidR="00AC1EB6" w:rsidRDefault="005370F9" w:rsidP="00CD2AC1">
            <w:pPr>
              <w:bidi w:val="0"/>
              <w:adjustRightInd w:val="0"/>
              <w:snapToGrid w:val="0"/>
              <w:spacing w:after="0" w:line="360" w:lineRule="auto"/>
              <w:jc w:val="both"/>
              <w:rPr>
                <w:sz w:val="20"/>
                <w:szCs w:val="20"/>
                <w:lang w:eastAsia="zh-CN"/>
              </w:rPr>
            </w:pPr>
            <w:r>
              <w:rPr>
                <w:sz w:val="20"/>
                <w:szCs w:val="20"/>
                <w:lang w:eastAsia="zh-CN"/>
              </w:rPr>
              <w:t>Major functional and esthetic sequalae in treated breast</w:t>
            </w:r>
          </w:p>
        </w:tc>
        <w:tc>
          <w:tcPr>
            <w:tcW w:w="263"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0</w:t>
            </w:r>
          </w:p>
        </w:tc>
        <w:tc>
          <w:tcPr>
            <w:tcW w:w="380" w:type="pct"/>
            <w:shd w:val="clear" w:color="auto" w:fill="auto"/>
          </w:tcPr>
          <w:p w:rsidR="00AC1EB6" w:rsidRDefault="005370F9" w:rsidP="00CD2AC1">
            <w:pPr>
              <w:bidi w:val="0"/>
              <w:adjustRightInd w:val="0"/>
              <w:snapToGrid w:val="0"/>
              <w:spacing w:after="0" w:line="360" w:lineRule="auto"/>
              <w:jc w:val="center"/>
              <w:rPr>
                <w:sz w:val="20"/>
                <w:szCs w:val="20"/>
                <w:lang w:eastAsia="zh-CN"/>
              </w:rPr>
            </w:pPr>
            <w:r>
              <w:rPr>
                <w:sz w:val="20"/>
                <w:szCs w:val="20"/>
                <w:lang w:eastAsia="zh-CN"/>
              </w:rPr>
              <w:t>0</w:t>
            </w:r>
          </w:p>
        </w:tc>
      </w:tr>
    </w:tbl>
    <w:p w:rsidR="00AC1EB6" w:rsidRDefault="00AC1EB6" w:rsidP="00CD2AC1">
      <w:pPr>
        <w:pStyle w:val="P"/>
        <w:snapToGrid w:val="0"/>
        <w:spacing w:after="0" w:line="240" w:lineRule="auto"/>
        <w:rPr>
          <w:color w:val="auto"/>
          <w:sz w:val="20"/>
          <w:szCs w:val="20"/>
        </w:rPr>
      </w:pPr>
    </w:p>
    <w:p w:rsidR="00AC1EB6" w:rsidRDefault="005370F9" w:rsidP="00CD2AC1">
      <w:pPr>
        <w:pStyle w:val="P"/>
        <w:snapToGrid w:val="0"/>
        <w:spacing w:after="0" w:line="240" w:lineRule="auto"/>
        <w:ind w:firstLine="426"/>
        <w:rPr>
          <w:rFonts w:hint="eastAsia"/>
          <w:color w:val="auto"/>
          <w:sz w:val="20"/>
          <w:szCs w:val="20"/>
          <w:lang w:eastAsia="zh-CN"/>
        </w:rPr>
      </w:pPr>
      <w:r>
        <w:rPr>
          <w:color w:val="auto"/>
          <w:sz w:val="20"/>
          <w:szCs w:val="20"/>
        </w:rPr>
        <w:t xml:space="preserve">No local recurrence occurred during at least 2 years of follow up, while only 5 patients (6.66%) developed </w:t>
      </w:r>
      <w:r>
        <w:rPr>
          <w:color w:val="auto"/>
          <w:sz w:val="20"/>
          <w:szCs w:val="20"/>
        </w:rPr>
        <w:t>metastasis (1 patient developed lung metastasis, 1 patient liver metastasis, 1patient brain metastasis and 2 patients had bone metastasis) during follow up. Two-year DFS was 93.33%, while the 2-year overall survival was 100% (figure 3).</w:t>
      </w: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CD2AC1" w:rsidRDefault="00CD2AC1" w:rsidP="00CD2AC1">
      <w:pPr>
        <w:pStyle w:val="P"/>
        <w:snapToGrid w:val="0"/>
        <w:spacing w:after="0" w:line="240" w:lineRule="auto"/>
        <w:ind w:firstLine="426"/>
        <w:rPr>
          <w:rFonts w:hint="eastAsia"/>
          <w:color w:val="auto"/>
          <w:sz w:val="20"/>
          <w:szCs w:val="20"/>
          <w:lang w:eastAsia="zh-CN"/>
        </w:rPr>
      </w:pPr>
    </w:p>
    <w:p w:rsidR="00AC1EB6" w:rsidRDefault="005370F9" w:rsidP="00CD2AC1">
      <w:pPr>
        <w:pStyle w:val="P"/>
        <w:snapToGrid w:val="0"/>
        <w:spacing w:after="0" w:line="240" w:lineRule="auto"/>
        <w:jc w:val="center"/>
        <w:rPr>
          <w:color w:val="auto"/>
          <w:sz w:val="20"/>
          <w:szCs w:val="20"/>
          <w:highlight w:val="yellow"/>
        </w:rPr>
      </w:pPr>
      <w:r>
        <w:rPr>
          <w:noProof/>
          <w:color w:val="auto"/>
          <w:sz w:val="20"/>
          <w:szCs w:val="20"/>
          <w:lang w:eastAsia="zh-CN"/>
        </w:rPr>
        <w:drawing>
          <wp:inline distT="0" distB="0" distL="0" distR="0">
            <wp:extent cx="5109656" cy="3912781"/>
            <wp:effectExtent l="1905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1"/>
                    <pic:cNvPicPr>
                      <a:picLocks noChangeAspect="1" noChangeArrowheads="1"/>
                    </pic:cNvPicPr>
                  </pic:nvPicPr>
                  <pic:blipFill>
                    <a:blip r:embed="rId21" cstate="print"/>
                    <a:srcRect r="2777" b="7013"/>
                    <a:stretch>
                      <a:fillRect/>
                    </a:stretch>
                  </pic:blipFill>
                  <pic:spPr>
                    <a:xfrm>
                      <a:off x="0" y="0"/>
                      <a:ext cx="5123660" cy="3923505"/>
                    </a:xfrm>
                    <a:prstGeom prst="rect">
                      <a:avLst/>
                    </a:prstGeom>
                    <a:noFill/>
                    <a:ln w="9525">
                      <a:noFill/>
                      <a:miter lim="800000"/>
                      <a:headEnd/>
                      <a:tailEnd/>
                    </a:ln>
                  </pic:spPr>
                </pic:pic>
              </a:graphicData>
            </a:graphic>
          </wp:inline>
        </w:drawing>
      </w:r>
    </w:p>
    <w:p w:rsidR="00AC1EB6" w:rsidRDefault="005370F9" w:rsidP="00CD2AC1">
      <w:pPr>
        <w:bidi w:val="0"/>
        <w:adjustRightInd w:val="0"/>
        <w:snapToGrid w:val="0"/>
        <w:spacing w:after="0" w:line="240" w:lineRule="auto"/>
        <w:jc w:val="center"/>
        <w:rPr>
          <w:sz w:val="20"/>
          <w:szCs w:val="20"/>
        </w:rPr>
      </w:pPr>
      <w:r>
        <w:rPr>
          <w:b/>
          <w:bCs/>
          <w:sz w:val="20"/>
          <w:szCs w:val="20"/>
        </w:rPr>
        <w:t xml:space="preserve">Figure 4: </w:t>
      </w:r>
      <w:r>
        <w:rPr>
          <w:sz w:val="20"/>
          <w:szCs w:val="20"/>
        </w:rPr>
        <w:t>Disease</w:t>
      </w:r>
      <w:r>
        <w:rPr>
          <w:sz w:val="20"/>
          <w:szCs w:val="20"/>
        </w:rPr>
        <w:t xml:space="preserve"> free survival for all patients</w:t>
      </w:r>
    </w:p>
    <w:p w:rsidR="00AC1EB6" w:rsidRDefault="00AC1EB6" w:rsidP="00CD2AC1">
      <w:pPr>
        <w:bidi w:val="0"/>
        <w:adjustRightInd w:val="0"/>
        <w:snapToGrid w:val="0"/>
        <w:spacing w:after="0" w:line="240" w:lineRule="auto"/>
        <w:rPr>
          <w:rFonts w:hint="eastAsia"/>
          <w:sz w:val="20"/>
          <w:szCs w:val="20"/>
          <w:lang w:eastAsia="zh-CN"/>
        </w:rPr>
      </w:pPr>
    </w:p>
    <w:p w:rsidR="00CD2AC1" w:rsidRDefault="00CD2AC1" w:rsidP="00CD2AC1">
      <w:pPr>
        <w:pStyle w:val="H2"/>
        <w:snapToGrid w:val="0"/>
        <w:spacing w:after="0" w:line="240" w:lineRule="auto"/>
        <w:contextualSpacing w:val="0"/>
        <w:rPr>
          <w:rFonts w:hint="eastAsia"/>
          <w:color w:val="auto"/>
          <w:sz w:val="20"/>
          <w:szCs w:val="20"/>
          <w:lang w:eastAsia="zh-CN"/>
        </w:rPr>
      </w:pPr>
    </w:p>
    <w:p w:rsidR="00CD2AC1" w:rsidRDefault="00CD2AC1" w:rsidP="00CD2AC1">
      <w:pPr>
        <w:pStyle w:val="H2"/>
        <w:snapToGrid w:val="0"/>
        <w:spacing w:after="0" w:line="240" w:lineRule="auto"/>
        <w:contextualSpacing w:val="0"/>
        <w:rPr>
          <w:rFonts w:hint="eastAsia"/>
          <w:color w:val="auto"/>
          <w:sz w:val="20"/>
          <w:szCs w:val="20"/>
          <w:lang w:eastAsia="zh-CN"/>
        </w:rPr>
      </w:pPr>
    </w:p>
    <w:p w:rsidR="00CD2AC1" w:rsidRDefault="00CD2AC1" w:rsidP="00CD2AC1">
      <w:pPr>
        <w:pStyle w:val="H2"/>
        <w:snapToGrid w:val="0"/>
        <w:spacing w:after="0" w:line="240" w:lineRule="auto"/>
        <w:contextualSpacing w:val="0"/>
        <w:rPr>
          <w:rFonts w:hint="eastAsia"/>
          <w:color w:val="auto"/>
          <w:sz w:val="20"/>
          <w:szCs w:val="20"/>
          <w:lang w:eastAsia="zh-CN"/>
        </w:rPr>
        <w:sectPr w:rsidR="00CD2AC1" w:rsidSect="00CD2AC1">
          <w:type w:val="continuous"/>
          <w:pgSz w:w="12191" w:h="15819"/>
          <w:pgMar w:top="1440" w:right="1440" w:bottom="1440" w:left="1440" w:header="709" w:footer="709" w:gutter="0"/>
          <w:cols w:space="567"/>
          <w:rtlGutter/>
          <w:docGrid w:linePitch="360"/>
        </w:sectPr>
      </w:pPr>
    </w:p>
    <w:p w:rsidR="00AC1EB6" w:rsidRDefault="005370F9" w:rsidP="00CD2AC1">
      <w:pPr>
        <w:pStyle w:val="H2"/>
        <w:snapToGrid w:val="0"/>
        <w:spacing w:after="0" w:line="240" w:lineRule="auto"/>
        <w:contextualSpacing w:val="0"/>
        <w:rPr>
          <w:color w:val="auto"/>
          <w:sz w:val="20"/>
          <w:szCs w:val="20"/>
          <w:highlight w:val="yellow"/>
        </w:rPr>
      </w:pPr>
      <w:r>
        <w:rPr>
          <w:color w:val="auto"/>
          <w:sz w:val="20"/>
          <w:szCs w:val="20"/>
        </w:rPr>
        <w:lastRenderedPageBreak/>
        <w:t>4. Discussion:</w:t>
      </w:r>
    </w:p>
    <w:p w:rsidR="00AC1EB6" w:rsidRDefault="005370F9" w:rsidP="00CD2AC1">
      <w:pPr>
        <w:autoSpaceDE w:val="0"/>
        <w:autoSpaceDN w:val="0"/>
        <w:bidi w:val="0"/>
        <w:adjustRightInd w:val="0"/>
        <w:snapToGrid w:val="0"/>
        <w:spacing w:after="0" w:line="240" w:lineRule="auto"/>
        <w:ind w:firstLine="426"/>
        <w:jc w:val="both"/>
        <w:rPr>
          <w:sz w:val="20"/>
          <w:szCs w:val="20"/>
        </w:rPr>
      </w:pPr>
      <w:r>
        <w:rPr>
          <w:sz w:val="20"/>
          <w:szCs w:val="20"/>
        </w:rPr>
        <w:t xml:space="preserve">Eliminating local recurrence provides immense mental and physical advantages for the patient, such as preventing the need for other surgery. The reported decrease in the incidence of local and regional </w:t>
      </w:r>
      <w:r>
        <w:rPr>
          <w:sz w:val="20"/>
          <w:szCs w:val="20"/>
        </w:rPr>
        <w:t>recurrence in individuals treated with radiation therapy and conservative surgery is especially significant given the 2011 Early Breast Cancer Trialists' Collaborative Group findings (EBCTCG)</w:t>
      </w:r>
      <w:r>
        <w:rPr>
          <w:sz w:val="20"/>
          <w:szCs w:val="20"/>
          <w:vertAlign w:val="superscript"/>
        </w:rPr>
        <w:t xml:space="preserve"> (14).</w:t>
      </w:r>
    </w:p>
    <w:p w:rsidR="00AC1EB6" w:rsidRDefault="005370F9" w:rsidP="00CD2AC1">
      <w:pPr>
        <w:autoSpaceDE w:val="0"/>
        <w:autoSpaceDN w:val="0"/>
        <w:bidi w:val="0"/>
        <w:adjustRightInd w:val="0"/>
        <w:snapToGrid w:val="0"/>
        <w:spacing w:after="0" w:line="240" w:lineRule="auto"/>
        <w:ind w:firstLine="426"/>
        <w:jc w:val="both"/>
        <w:rPr>
          <w:sz w:val="20"/>
          <w:szCs w:val="20"/>
          <w:shd w:val="clear" w:color="auto" w:fill="FFFFFF"/>
        </w:rPr>
      </w:pPr>
      <w:r>
        <w:rPr>
          <w:sz w:val="20"/>
          <w:szCs w:val="20"/>
        </w:rPr>
        <w:t>Numerous retrospective studies have demonstrated that leng</w:t>
      </w:r>
      <w:r>
        <w:rPr>
          <w:sz w:val="20"/>
          <w:szCs w:val="20"/>
        </w:rPr>
        <w:t>thy delays between surgery and the commencement of RT are linked with increased local recurrence risks</w:t>
      </w:r>
      <w:r>
        <w:rPr>
          <w:sz w:val="20"/>
          <w:szCs w:val="20"/>
          <w:vertAlign w:val="superscript"/>
        </w:rPr>
        <w:t xml:space="preserve"> (15)</w:t>
      </w:r>
      <w:r>
        <w:rPr>
          <w:sz w:val="20"/>
          <w:szCs w:val="20"/>
        </w:rPr>
        <w:t>, some believe that deferring treatment in favour of radiation may raise the chance of remote metastasis and, eventually, diminish survival</w:t>
      </w:r>
      <w:r>
        <w:rPr>
          <w:sz w:val="20"/>
          <w:szCs w:val="20"/>
          <w:vertAlign w:val="superscript"/>
        </w:rPr>
        <w:t xml:space="preserve"> (16)</w:t>
      </w:r>
      <w:r>
        <w:rPr>
          <w:sz w:val="20"/>
          <w:szCs w:val="20"/>
        </w:rPr>
        <w:t>.</w:t>
      </w:r>
      <w:r>
        <w:rPr>
          <w:sz w:val="20"/>
          <w:szCs w:val="20"/>
          <w:shd w:val="clear" w:color="auto" w:fill="FFFFFF"/>
        </w:rPr>
        <w:t xml:space="preserve"> </w:t>
      </w:r>
    </w:p>
    <w:p w:rsidR="00AC1EB6" w:rsidRDefault="005370F9" w:rsidP="00CD2AC1">
      <w:pPr>
        <w:autoSpaceDE w:val="0"/>
        <w:autoSpaceDN w:val="0"/>
        <w:bidi w:val="0"/>
        <w:adjustRightInd w:val="0"/>
        <w:snapToGrid w:val="0"/>
        <w:spacing w:after="0" w:line="240" w:lineRule="auto"/>
        <w:ind w:firstLine="426"/>
        <w:jc w:val="lowKashida"/>
        <w:rPr>
          <w:sz w:val="20"/>
          <w:szCs w:val="20"/>
        </w:rPr>
      </w:pPr>
      <w:r>
        <w:rPr>
          <w:sz w:val="20"/>
          <w:szCs w:val="20"/>
        </w:rPr>
        <w:t>Bu</w:t>
      </w:r>
      <w:r>
        <w:rPr>
          <w:sz w:val="20"/>
          <w:szCs w:val="20"/>
        </w:rPr>
        <w:t xml:space="preserve">chholz et al. </w:t>
      </w:r>
      <w:r>
        <w:rPr>
          <w:sz w:val="20"/>
          <w:szCs w:val="20"/>
          <w:vertAlign w:val="superscript"/>
        </w:rPr>
        <w:t>(17)</w:t>
      </w:r>
      <w:r>
        <w:rPr>
          <w:sz w:val="20"/>
          <w:szCs w:val="20"/>
        </w:rPr>
        <w:t xml:space="preserve"> revealed the the results for patients who got surgery and adjuvant radiation therapy. A radiation delay of more than six months following surgery correlated with decreased local control and overall survival.</w:t>
      </w:r>
    </w:p>
    <w:p w:rsidR="00AC1EB6" w:rsidRDefault="005370F9" w:rsidP="00CD2AC1">
      <w:pPr>
        <w:autoSpaceDE w:val="0"/>
        <w:autoSpaceDN w:val="0"/>
        <w:bidi w:val="0"/>
        <w:adjustRightInd w:val="0"/>
        <w:snapToGrid w:val="0"/>
        <w:spacing w:after="0" w:line="240" w:lineRule="auto"/>
        <w:ind w:firstLine="426"/>
        <w:jc w:val="lowKashida"/>
        <w:rPr>
          <w:sz w:val="20"/>
          <w:szCs w:val="20"/>
          <w:rtl/>
        </w:rPr>
      </w:pPr>
      <w:r>
        <w:rPr>
          <w:sz w:val="20"/>
          <w:szCs w:val="20"/>
        </w:rPr>
        <w:lastRenderedPageBreak/>
        <w:t>The National Surgical Adjuvan</w:t>
      </w:r>
      <w:r>
        <w:rPr>
          <w:sz w:val="20"/>
          <w:szCs w:val="20"/>
        </w:rPr>
        <w:t xml:space="preserve">t Breast and Bowel Project B-28 Phase III study conducted for 5 years and involved 1,531 individuals with breast cancer that has metastasized to lymph nodes reported that two deaths among patients who got AC plus paclitaxel (PTX) could not be ruled out as </w:t>
      </w:r>
      <w:r>
        <w:rPr>
          <w:sz w:val="20"/>
          <w:szCs w:val="20"/>
        </w:rPr>
        <w:t>a result of the therapy (coronary artery disease in one patient and pulmonary embolism in one patient).15 % had neurosensory toxicity of grade 3 or higher with PTX therapy (based on the highest toxicity grade recorded throughout PTX cycles), followed by gr</w:t>
      </w:r>
      <w:r>
        <w:rPr>
          <w:sz w:val="20"/>
          <w:szCs w:val="20"/>
        </w:rPr>
        <w:t>anulocytopenia (3 %) and febrile neutropenia (3 %). The incidence of cardiac dysfunction of grade 3 or higher during or after treatment was 0.9%. Five-year local recurrence, disease-free survival, and overall survival were 4.7%,76% ± 2%, and 85% ± 2% respe</w:t>
      </w:r>
      <w:r>
        <w:rPr>
          <w:sz w:val="20"/>
          <w:szCs w:val="20"/>
        </w:rPr>
        <w:t>ctively</w:t>
      </w:r>
      <w:r>
        <w:rPr>
          <w:sz w:val="20"/>
          <w:szCs w:val="20"/>
          <w:vertAlign w:val="superscript"/>
        </w:rPr>
        <w:t xml:space="preserve"> (18)</w:t>
      </w:r>
      <w:r>
        <w:rPr>
          <w:sz w:val="20"/>
          <w:szCs w:val="20"/>
        </w:rPr>
        <w:t>.</w:t>
      </w:r>
    </w:p>
    <w:p w:rsidR="00AC1EB6" w:rsidRDefault="005370F9" w:rsidP="00CD2AC1">
      <w:pPr>
        <w:autoSpaceDE w:val="0"/>
        <w:autoSpaceDN w:val="0"/>
        <w:bidi w:val="0"/>
        <w:adjustRightInd w:val="0"/>
        <w:snapToGrid w:val="0"/>
        <w:spacing w:after="0" w:line="240" w:lineRule="auto"/>
        <w:ind w:firstLine="426"/>
        <w:jc w:val="lowKashida"/>
        <w:rPr>
          <w:sz w:val="20"/>
          <w:szCs w:val="20"/>
          <w:rtl/>
        </w:rPr>
      </w:pPr>
      <w:r>
        <w:rPr>
          <w:sz w:val="20"/>
          <w:szCs w:val="20"/>
        </w:rPr>
        <w:t xml:space="preserve">Several studies have demonstrated positive results of concomitant chemoradiation in treatment of breast cancer </w:t>
      </w:r>
      <w:r>
        <w:rPr>
          <w:sz w:val="20"/>
          <w:szCs w:val="20"/>
          <w:lang w:bidi="ar-EG"/>
        </w:rPr>
        <w:t xml:space="preserve">as </w:t>
      </w:r>
      <w:r>
        <w:rPr>
          <w:sz w:val="20"/>
          <w:szCs w:val="20"/>
        </w:rPr>
        <w:t>SECRAB study</w:t>
      </w:r>
      <w:r>
        <w:rPr>
          <w:sz w:val="20"/>
          <w:szCs w:val="20"/>
          <w:vertAlign w:val="superscript"/>
        </w:rPr>
        <w:t xml:space="preserve"> (19)</w:t>
      </w:r>
      <w:r>
        <w:rPr>
          <w:sz w:val="20"/>
          <w:szCs w:val="20"/>
        </w:rPr>
        <w:t xml:space="preserve"> which comparing concurrent to sequential chemo-RT, and enrolled </w:t>
      </w:r>
      <w:r>
        <w:rPr>
          <w:sz w:val="20"/>
          <w:szCs w:val="20"/>
        </w:rPr>
        <w:lastRenderedPageBreak/>
        <w:t>patients with invasive, breast cancer at an ea</w:t>
      </w:r>
      <w:r>
        <w:rPr>
          <w:sz w:val="20"/>
          <w:szCs w:val="20"/>
        </w:rPr>
        <w:t>rly stage. RT was provided concurrently with chemotherapy between cycles two and three for CMF or cycles five and six for anthracycline-CMF. Similar results were seen for the loco-regional in-field recurrence rates: 2.7 percent (95% CI: 1.9–3.9) in the syn</w:t>
      </w:r>
      <w:r>
        <w:rPr>
          <w:sz w:val="20"/>
          <w:szCs w:val="20"/>
        </w:rPr>
        <w:t>chronous arm and 5.1 % (95 % CI: 3.9–6.6) in the sequential arm.</w:t>
      </w:r>
    </w:p>
    <w:p w:rsidR="00AC1EB6" w:rsidRDefault="005370F9" w:rsidP="00CD2AC1">
      <w:pPr>
        <w:autoSpaceDE w:val="0"/>
        <w:autoSpaceDN w:val="0"/>
        <w:bidi w:val="0"/>
        <w:adjustRightInd w:val="0"/>
        <w:snapToGrid w:val="0"/>
        <w:spacing w:after="0" w:line="240" w:lineRule="auto"/>
        <w:ind w:firstLine="426"/>
        <w:jc w:val="both"/>
        <w:rPr>
          <w:sz w:val="20"/>
          <w:szCs w:val="20"/>
        </w:rPr>
      </w:pPr>
      <w:r>
        <w:rPr>
          <w:sz w:val="20"/>
          <w:szCs w:val="20"/>
        </w:rPr>
        <w:t>ARCOSEIN</w:t>
      </w:r>
      <w:r>
        <w:rPr>
          <w:b/>
          <w:bCs/>
          <w:sz w:val="20"/>
          <w:szCs w:val="20"/>
        </w:rPr>
        <w:t xml:space="preserve"> </w:t>
      </w:r>
      <w:r>
        <w:rPr>
          <w:sz w:val="20"/>
          <w:szCs w:val="20"/>
          <w:vertAlign w:val="superscript"/>
        </w:rPr>
        <w:t>(20)</w:t>
      </w:r>
      <w:r>
        <w:rPr>
          <w:sz w:val="20"/>
          <w:szCs w:val="20"/>
        </w:rPr>
        <w:t xml:space="preserve"> trial in which patients received chemotherapy followed by </w:t>
      </w:r>
      <w:r>
        <w:rPr>
          <w:sz w:val="20"/>
          <w:szCs w:val="20"/>
          <w:lang w:val="en-GB"/>
        </w:rPr>
        <w:t>RT</w:t>
      </w:r>
      <w:r>
        <w:rPr>
          <w:sz w:val="20"/>
          <w:szCs w:val="20"/>
        </w:rPr>
        <w:t xml:space="preserve">or concurrent </w:t>
      </w:r>
      <w:r>
        <w:rPr>
          <w:rFonts w:eastAsia="Calibri"/>
          <w:sz w:val="20"/>
          <w:szCs w:val="20"/>
          <w:lang w:bidi="ar-EG"/>
        </w:rPr>
        <w:t>CCRT</w:t>
      </w:r>
      <w:r>
        <w:rPr>
          <w:sz w:val="20"/>
          <w:szCs w:val="20"/>
        </w:rPr>
        <w:t>, showed statistically significant increase in5-year LRFS in the concurrent arm.</w:t>
      </w:r>
    </w:p>
    <w:p w:rsidR="00AC1EB6" w:rsidRDefault="005370F9" w:rsidP="00CD2AC1">
      <w:pPr>
        <w:pStyle w:val="paragraph"/>
        <w:adjustRightInd w:val="0"/>
        <w:snapToGrid w:val="0"/>
        <w:spacing w:after="0" w:line="240" w:lineRule="auto"/>
        <w:ind w:firstLine="426"/>
        <w:rPr>
          <w:sz w:val="20"/>
          <w:szCs w:val="20"/>
          <w:vertAlign w:val="superscript"/>
          <w:rtl/>
        </w:rPr>
      </w:pPr>
      <w:r>
        <w:rPr>
          <w:sz w:val="20"/>
          <w:szCs w:val="20"/>
        </w:rPr>
        <w:t xml:space="preserve">Due to their radiation-sensitizing qualities, taxanes could be a superior candidate for concurrent treatment. In the treatment of other malignancies, such as lung cancer, the benefits of concurrent chemoradiation and paclitaxel are well recognised </w:t>
      </w:r>
      <w:r>
        <w:rPr>
          <w:sz w:val="20"/>
          <w:szCs w:val="20"/>
          <w:vertAlign w:val="superscript"/>
        </w:rPr>
        <w:t>(21)</w:t>
      </w:r>
      <w:r>
        <w:rPr>
          <w:sz w:val="20"/>
          <w:szCs w:val="20"/>
        </w:rPr>
        <w:t>.</w:t>
      </w:r>
    </w:p>
    <w:p w:rsidR="00AC1EB6" w:rsidRDefault="005370F9" w:rsidP="00CD2AC1">
      <w:pPr>
        <w:autoSpaceDE w:val="0"/>
        <w:autoSpaceDN w:val="0"/>
        <w:bidi w:val="0"/>
        <w:adjustRightInd w:val="0"/>
        <w:snapToGrid w:val="0"/>
        <w:spacing w:after="0" w:line="240" w:lineRule="auto"/>
        <w:ind w:firstLine="426"/>
        <w:jc w:val="both"/>
        <w:rPr>
          <w:sz w:val="20"/>
          <w:szCs w:val="20"/>
          <w:shd w:val="clear" w:color="auto" w:fill="FFFFFF"/>
        </w:rPr>
      </w:pPr>
      <w:r>
        <w:rPr>
          <w:sz w:val="20"/>
          <w:szCs w:val="20"/>
          <w:shd w:val="clear" w:color="auto" w:fill="FFFFFF"/>
        </w:rPr>
        <w:t>Ou</w:t>
      </w:r>
      <w:r>
        <w:rPr>
          <w:sz w:val="20"/>
          <w:szCs w:val="20"/>
          <w:shd w:val="clear" w:color="auto" w:fill="FFFFFF"/>
        </w:rPr>
        <w:t>r results are better than that reported by Hassan</w:t>
      </w:r>
      <w:r w:rsidR="00CD2AC1">
        <w:rPr>
          <w:sz w:val="20"/>
          <w:szCs w:val="20"/>
          <w:shd w:val="clear" w:color="auto" w:fill="FFFFFF"/>
        </w:rPr>
        <w:t xml:space="preserve"> et al</w:t>
      </w:r>
      <w:r>
        <w:rPr>
          <w:sz w:val="20"/>
          <w:szCs w:val="20"/>
          <w:shd w:val="clear" w:color="auto" w:fill="FFFFFF"/>
        </w:rPr>
        <w:t>.</w:t>
      </w:r>
      <w:r>
        <w:rPr>
          <w:b/>
          <w:bCs/>
          <w:sz w:val="20"/>
          <w:szCs w:val="20"/>
          <w:shd w:val="clear" w:color="auto" w:fill="FFFFFF"/>
        </w:rPr>
        <w:t xml:space="preserve"> </w:t>
      </w:r>
      <w:r>
        <w:rPr>
          <w:sz w:val="20"/>
          <w:szCs w:val="20"/>
          <w:vertAlign w:val="superscript"/>
        </w:rPr>
        <w:t>(22)</w:t>
      </w:r>
      <w:r>
        <w:rPr>
          <w:b/>
          <w:bCs/>
          <w:sz w:val="20"/>
          <w:szCs w:val="20"/>
          <w:shd w:val="clear" w:color="auto" w:fill="FFFFFF"/>
        </w:rPr>
        <w:t>,</w:t>
      </w:r>
      <w:r>
        <w:rPr>
          <w:sz w:val="20"/>
          <w:szCs w:val="20"/>
          <w:shd w:val="clear" w:color="auto" w:fill="FFFFFF"/>
          <w:vertAlign w:val="superscript"/>
        </w:rPr>
        <w:t xml:space="preserve"> </w:t>
      </w:r>
      <w:r>
        <w:rPr>
          <w:sz w:val="20"/>
          <w:szCs w:val="20"/>
          <w:shd w:val="clear" w:color="auto" w:fill="FFFFFF"/>
        </w:rPr>
        <w:t>who studied forty-three women with stage II or III breast cancer following definitive surgery (modified radical mastectomy or breast conservative surgery). Adjuvant chemotherapy administered wa</w:t>
      </w:r>
      <w:r>
        <w:rPr>
          <w:sz w:val="20"/>
          <w:szCs w:val="20"/>
          <w:shd w:val="clear" w:color="auto" w:fill="FFFFFF"/>
        </w:rPr>
        <w:t>s 4 cycles AC (Doxorubicin 60mg/m</w:t>
      </w:r>
      <w:r>
        <w:rPr>
          <w:sz w:val="20"/>
          <w:szCs w:val="20"/>
          <w:shd w:val="clear" w:color="auto" w:fill="FFFFFF"/>
          <w:vertAlign w:val="superscript"/>
        </w:rPr>
        <w:t>2</w:t>
      </w:r>
      <w:r>
        <w:rPr>
          <w:sz w:val="20"/>
          <w:szCs w:val="20"/>
          <w:shd w:val="clear" w:color="auto" w:fill="FFFFFF"/>
        </w:rPr>
        <w:t xml:space="preserve"> + cyclophosphamide 600mg/m</w:t>
      </w:r>
      <w:r>
        <w:rPr>
          <w:sz w:val="20"/>
          <w:szCs w:val="20"/>
          <w:shd w:val="clear" w:color="auto" w:fill="FFFFFF"/>
          <w:vertAlign w:val="superscript"/>
        </w:rPr>
        <w:t>2</w:t>
      </w:r>
      <w:r>
        <w:rPr>
          <w:sz w:val="20"/>
          <w:szCs w:val="20"/>
          <w:shd w:val="clear" w:color="auto" w:fill="FFFFFF"/>
        </w:rPr>
        <w:t>) accompanied by 4 cycles of Paclitaxel 60mg/m</w:t>
      </w:r>
      <w:r>
        <w:rPr>
          <w:sz w:val="20"/>
          <w:szCs w:val="20"/>
          <w:shd w:val="clear" w:color="auto" w:fill="FFFFFF"/>
          <w:vertAlign w:val="superscript"/>
        </w:rPr>
        <w:t>2</w:t>
      </w:r>
      <w:r>
        <w:rPr>
          <w:sz w:val="20"/>
          <w:szCs w:val="20"/>
          <w:shd w:val="clear" w:color="auto" w:fill="FFFFFF"/>
        </w:rPr>
        <w:t xml:space="preserve"> weekly for 12 weeks in conjunction with 3D Conformal RT at a dosage of 5000 cGy/20Fx during 4 weeks to the entire breast and supraclavicular nodal</w:t>
      </w:r>
      <w:r>
        <w:rPr>
          <w:sz w:val="20"/>
          <w:szCs w:val="20"/>
          <w:shd w:val="clear" w:color="auto" w:fill="FFFFFF"/>
        </w:rPr>
        <w:t xml:space="preserve"> region also </w:t>
      </w:r>
      <w:r>
        <w:rPr>
          <w:sz w:val="20"/>
          <w:szCs w:val="20"/>
        </w:rPr>
        <w:t>our results were better than that obtained by</w:t>
      </w:r>
      <w:r>
        <w:rPr>
          <w:b/>
          <w:bCs/>
          <w:sz w:val="20"/>
          <w:szCs w:val="20"/>
        </w:rPr>
        <w:t xml:space="preserve"> </w:t>
      </w:r>
      <w:r>
        <w:rPr>
          <w:sz w:val="20"/>
          <w:szCs w:val="20"/>
        </w:rPr>
        <w:t>Chen et al.</w:t>
      </w:r>
      <w:r>
        <w:rPr>
          <w:sz w:val="20"/>
          <w:szCs w:val="20"/>
          <w:vertAlign w:val="superscript"/>
        </w:rPr>
        <w:t xml:space="preserve"> (8)</w:t>
      </w:r>
    </w:p>
    <w:p w:rsidR="00AC1EB6" w:rsidRDefault="005370F9" w:rsidP="00CD2AC1">
      <w:pPr>
        <w:pStyle w:val="paragraph"/>
        <w:adjustRightInd w:val="0"/>
        <w:snapToGrid w:val="0"/>
        <w:spacing w:after="0" w:line="240" w:lineRule="auto"/>
        <w:ind w:firstLine="426"/>
        <w:rPr>
          <w:sz w:val="20"/>
          <w:szCs w:val="20"/>
        </w:rPr>
      </w:pPr>
      <w:r>
        <w:rPr>
          <w:sz w:val="20"/>
          <w:szCs w:val="20"/>
        </w:rPr>
        <w:t xml:space="preserve">Our </w:t>
      </w:r>
      <w:r>
        <w:rPr>
          <w:sz w:val="20"/>
          <w:szCs w:val="20"/>
          <w:lang w:val="en-GB"/>
        </w:rPr>
        <w:t xml:space="preserve">findings according to </w:t>
      </w:r>
      <w:r>
        <w:rPr>
          <w:sz w:val="20"/>
          <w:szCs w:val="20"/>
        </w:rPr>
        <w:t>hematological toxicity</w:t>
      </w:r>
      <w:r>
        <w:rPr>
          <w:sz w:val="20"/>
          <w:szCs w:val="20"/>
          <w:lang w:val="en-GB"/>
        </w:rPr>
        <w:t xml:space="preserve"> and</w:t>
      </w:r>
      <w:r>
        <w:rPr>
          <w:sz w:val="20"/>
          <w:szCs w:val="20"/>
        </w:rPr>
        <w:t xml:space="preserve"> non hematological toxicity are better than the results from a study by Algizawy et al.,</w:t>
      </w:r>
      <w:r>
        <w:rPr>
          <w:sz w:val="20"/>
          <w:szCs w:val="20"/>
          <w:vertAlign w:val="superscript"/>
        </w:rPr>
        <w:t xml:space="preserve"> (23) </w:t>
      </w:r>
      <w:r>
        <w:rPr>
          <w:sz w:val="20"/>
          <w:szCs w:val="20"/>
        </w:rPr>
        <w:t>who studied 62 patients with LABC w</w:t>
      </w:r>
      <w:r>
        <w:rPr>
          <w:sz w:val="20"/>
          <w:szCs w:val="20"/>
        </w:rPr>
        <w:t>ho received either a primary mastectomy or neoadjuvant chemotherapy with Fluorouracil, epirubicin, and cyclophosphamide (FEC) followed by a mastectomy. Weekly I.V docetaxel (30 mg/m</w:t>
      </w:r>
      <w:r>
        <w:rPr>
          <w:sz w:val="20"/>
          <w:szCs w:val="20"/>
          <w:vertAlign w:val="superscript"/>
        </w:rPr>
        <w:t>2</w:t>
      </w:r>
      <w:r>
        <w:rPr>
          <w:sz w:val="20"/>
          <w:szCs w:val="20"/>
        </w:rPr>
        <w:t>) was administered over a period of 9 weeks, and RT at a total dosage of 5</w:t>
      </w:r>
      <w:r>
        <w:rPr>
          <w:sz w:val="20"/>
          <w:szCs w:val="20"/>
        </w:rPr>
        <w:t>000 cGy was administered in 25 portions over a period of 5 weeks. The median duration of patient follow-up is 32 months (range: 12–63) and reported anemia in (38.7%) with grade 3 and 4 representing (9.7%), Neutropenia in (33.9%) of cases with grade 3 and 4</w:t>
      </w:r>
      <w:r>
        <w:rPr>
          <w:sz w:val="20"/>
          <w:szCs w:val="20"/>
        </w:rPr>
        <w:t xml:space="preserve"> in (11.3%), Thrombocytopenia in (17.7%) with grade 3 and 4 in (4.8%), diarrhea in (9.7%), neuropathy grade 3 and 4 in (4.8%).</w:t>
      </w:r>
    </w:p>
    <w:p w:rsidR="00AC1EB6" w:rsidRDefault="005370F9" w:rsidP="00CD2AC1">
      <w:pPr>
        <w:autoSpaceDE w:val="0"/>
        <w:autoSpaceDN w:val="0"/>
        <w:bidi w:val="0"/>
        <w:adjustRightInd w:val="0"/>
        <w:snapToGrid w:val="0"/>
        <w:spacing w:after="0" w:line="240" w:lineRule="auto"/>
        <w:ind w:firstLine="426"/>
        <w:jc w:val="both"/>
        <w:rPr>
          <w:sz w:val="20"/>
          <w:szCs w:val="20"/>
        </w:rPr>
      </w:pPr>
      <w:r>
        <w:rPr>
          <w:sz w:val="20"/>
          <w:szCs w:val="20"/>
        </w:rPr>
        <w:t>In our study none of the cases showed symptoms of pneumonitis, this was in conformity with the findings obtained by</w:t>
      </w:r>
      <w:r>
        <w:rPr>
          <w:b/>
          <w:bCs/>
          <w:sz w:val="20"/>
          <w:szCs w:val="20"/>
        </w:rPr>
        <w:t xml:space="preserve"> </w:t>
      </w:r>
      <w:r>
        <w:rPr>
          <w:sz w:val="20"/>
          <w:szCs w:val="20"/>
        </w:rPr>
        <w:t>Chen et al.,</w:t>
      </w:r>
      <w:r>
        <w:rPr>
          <w:b/>
          <w:bCs/>
          <w:sz w:val="20"/>
          <w:szCs w:val="20"/>
          <w:vertAlign w:val="superscript"/>
        </w:rPr>
        <w:t xml:space="preserve"> (8)</w:t>
      </w:r>
      <w:r>
        <w:rPr>
          <w:b/>
          <w:bCs/>
          <w:sz w:val="20"/>
          <w:szCs w:val="20"/>
        </w:rPr>
        <w:t xml:space="preserve"> </w:t>
      </w:r>
      <w:r>
        <w:rPr>
          <w:sz w:val="20"/>
          <w:szCs w:val="20"/>
        </w:rPr>
        <w:t>and</w:t>
      </w:r>
      <w:r>
        <w:rPr>
          <w:sz w:val="20"/>
          <w:szCs w:val="20"/>
          <w:shd w:val="clear" w:color="auto" w:fill="FFFFFF"/>
        </w:rPr>
        <w:t xml:space="preserve"> </w:t>
      </w:r>
      <w:r>
        <w:rPr>
          <w:sz w:val="20"/>
          <w:szCs w:val="20"/>
        </w:rPr>
        <w:t>Hassan</w:t>
      </w:r>
      <w:r w:rsidR="00CD2AC1">
        <w:rPr>
          <w:rFonts w:hint="eastAsia"/>
          <w:sz w:val="20"/>
          <w:szCs w:val="20"/>
          <w:lang w:eastAsia="zh-CN"/>
        </w:rPr>
        <w:t xml:space="preserve"> </w:t>
      </w:r>
      <w:r>
        <w:rPr>
          <w:sz w:val="20"/>
          <w:szCs w:val="20"/>
        </w:rPr>
        <w:t>et al.,</w:t>
      </w:r>
      <w:r>
        <w:rPr>
          <w:sz w:val="20"/>
          <w:szCs w:val="20"/>
          <w:vertAlign w:val="superscript"/>
        </w:rPr>
        <w:t xml:space="preserve"> (22)</w:t>
      </w:r>
      <w:r>
        <w:rPr>
          <w:sz w:val="20"/>
          <w:szCs w:val="20"/>
        </w:rPr>
        <w:t>, who reported no cases of symptomatic radiation pneumonitis.</w:t>
      </w:r>
    </w:p>
    <w:p w:rsidR="00AC1EB6" w:rsidRDefault="005370F9" w:rsidP="00CD2AC1">
      <w:pPr>
        <w:pStyle w:val="paragraph"/>
        <w:adjustRightInd w:val="0"/>
        <w:snapToGrid w:val="0"/>
        <w:spacing w:after="0" w:line="240" w:lineRule="auto"/>
        <w:ind w:firstLine="426"/>
        <w:rPr>
          <w:sz w:val="20"/>
          <w:szCs w:val="20"/>
        </w:rPr>
      </w:pPr>
      <w:r>
        <w:rPr>
          <w:sz w:val="20"/>
          <w:szCs w:val="20"/>
        </w:rPr>
        <w:t xml:space="preserve">Our results were inconsistent with results from </w:t>
      </w:r>
      <w:r w:rsidR="00CD2AC1">
        <w:rPr>
          <w:sz w:val="20"/>
          <w:szCs w:val="20"/>
          <w:shd w:val="clear" w:color="auto" w:fill="FFFFFF"/>
        </w:rPr>
        <w:t>Burstein</w:t>
      </w:r>
      <w:r w:rsidR="00CD2AC1">
        <w:rPr>
          <w:rFonts w:hint="eastAsia"/>
          <w:sz w:val="20"/>
          <w:szCs w:val="20"/>
          <w:shd w:val="clear" w:color="auto" w:fill="FFFFFF"/>
          <w:lang w:eastAsia="zh-CN"/>
        </w:rPr>
        <w:t xml:space="preserve"> </w:t>
      </w:r>
      <w:r>
        <w:rPr>
          <w:sz w:val="20"/>
          <w:szCs w:val="20"/>
          <w:shd w:val="clear" w:color="auto" w:fill="FFFFFF"/>
        </w:rPr>
        <w:t>et al.,</w:t>
      </w:r>
      <w:r>
        <w:rPr>
          <w:sz w:val="20"/>
          <w:szCs w:val="20"/>
          <w:vertAlign w:val="superscript"/>
        </w:rPr>
        <w:t xml:space="preserve"> (24)</w:t>
      </w:r>
      <w:r>
        <w:rPr>
          <w:sz w:val="20"/>
          <w:szCs w:val="20"/>
        </w:rPr>
        <w:t xml:space="preserve"> who studied sixteen individuals with operable breast cancer Stages II or III after </w:t>
      </w:r>
      <w:r>
        <w:rPr>
          <w:sz w:val="20"/>
          <w:szCs w:val="20"/>
        </w:rPr>
        <w:lastRenderedPageBreak/>
        <w:t>definitive su</w:t>
      </w:r>
      <w:r>
        <w:rPr>
          <w:sz w:val="20"/>
          <w:szCs w:val="20"/>
        </w:rPr>
        <w:t xml:space="preserve">rgery and received concurrent paclitaxel and RT. </w:t>
      </w:r>
      <w:r>
        <w:rPr>
          <w:sz w:val="20"/>
          <w:szCs w:val="20"/>
          <w:lang w:val="en-GB"/>
        </w:rPr>
        <w:t>RT</w:t>
      </w:r>
      <w:r>
        <w:rPr>
          <w:sz w:val="20"/>
          <w:szCs w:val="20"/>
        </w:rPr>
        <w:t>dose ranged from 3960–4500 cGy / 180 cGy daily fraction +/- boost (electrons) 1000–1600 cGy. Paclitaxel was given weekly x 12 weeks (60 mg/m</w:t>
      </w:r>
      <w:r>
        <w:rPr>
          <w:sz w:val="20"/>
          <w:szCs w:val="20"/>
          <w:vertAlign w:val="superscript"/>
        </w:rPr>
        <w:t>2</w:t>
      </w:r>
      <w:r>
        <w:rPr>
          <w:sz w:val="20"/>
          <w:szCs w:val="20"/>
        </w:rPr>
        <w:t>) 3 of 7 patients developed grade 3 pneumonitis, ineffective eff</w:t>
      </w:r>
      <w:r>
        <w:rPr>
          <w:sz w:val="20"/>
          <w:szCs w:val="20"/>
        </w:rPr>
        <w:t>orts to eliminate this toxicity in conjunction with weekly paclitaxel by treatment timing and CT-based RT simulation was reported</w:t>
      </w:r>
      <w:r>
        <w:rPr>
          <w:b/>
          <w:bCs/>
          <w:sz w:val="20"/>
          <w:szCs w:val="20"/>
        </w:rPr>
        <w:t>.</w:t>
      </w:r>
      <w:r>
        <w:rPr>
          <w:sz w:val="20"/>
          <w:szCs w:val="20"/>
        </w:rPr>
        <w:t xml:space="preserve"> This discrepancy may be attributed to the conformal RT methods' superior dosage uniformity in our investigation. In addition,</w:t>
      </w:r>
      <w:r>
        <w:rPr>
          <w:sz w:val="20"/>
          <w:szCs w:val="20"/>
        </w:rPr>
        <w:t xml:space="preserve"> none of our patients underwent axillary irradiation separately.</w:t>
      </w:r>
    </w:p>
    <w:p w:rsidR="00AC1EB6" w:rsidRDefault="005370F9" w:rsidP="00CD2AC1">
      <w:pPr>
        <w:bidi w:val="0"/>
        <w:adjustRightInd w:val="0"/>
        <w:snapToGrid w:val="0"/>
        <w:spacing w:after="0" w:line="240" w:lineRule="auto"/>
        <w:ind w:firstLine="426"/>
        <w:jc w:val="both"/>
        <w:rPr>
          <w:sz w:val="20"/>
          <w:szCs w:val="20"/>
          <w:lang w:bidi="ar-EG"/>
        </w:rPr>
      </w:pPr>
      <w:r>
        <w:rPr>
          <w:sz w:val="20"/>
          <w:szCs w:val="20"/>
        </w:rPr>
        <w:t>Also, inconsistent with results from</w:t>
      </w:r>
      <w:r>
        <w:rPr>
          <w:b/>
          <w:bCs/>
          <w:sz w:val="20"/>
          <w:szCs w:val="20"/>
        </w:rPr>
        <w:t xml:space="preserve"> </w:t>
      </w:r>
      <w:r>
        <w:rPr>
          <w:sz w:val="20"/>
          <w:szCs w:val="20"/>
        </w:rPr>
        <w:t>Hanna et al.,</w:t>
      </w:r>
      <w:r>
        <w:rPr>
          <w:sz w:val="20"/>
          <w:szCs w:val="20"/>
          <w:vertAlign w:val="superscript"/>
        </w:rPr>
        <w:t xml:space="preserve"> (25) </w:t>
      </w:r>
      <w:r>
        <w:rPr>
          <w:sz w:val="20"/>
          <w:szCs w:val="20"/>
        </w:rPr>
        <w:t xml:space="preserve">who studied 20 patients with breast cancer received concurrent adjuvant radiation and paclitaxel after definitive surgery. Prior to RT </w:t>
      </w:r>
      <w:r>
        <w:rPr>
          <w:sz w:val="20"/>
          <w:szCs w:val="20"/>
        </w:rPr>
        <w:t>and paclitaxel, each patient was administered a doxorubicin-containing combination. RT was administered simultaneously with paclitaxel after all doxorubicin therapy was completed (at a dose of 5040 cGy / 180-200 cGy daily fraction), with each patient havin</w:t>
      </w:r>
      <w:r>
        <w:rPr>
          <w:sz w:val="20"/>
          <w:szCs w:val="20"/>
        </w:rPr>
        <w:t>g at least two paclitaxel cycles (175 mg/m</w:t>
      </w:r>
      <w:r>
        <w:rPr>
          <w:sz w:val="20"/>
          <w:szCs w:val="20"/>
          <w:vertAlign w:val="superscript"/>
        </w:rPr>
        <w:t>2</w:t>
      </w:r>
      <w:r>
        <w:rPr>
          <w:sz w:val="20"/>
          <w:szCs w:val="20"/>
        </w:rPr>
        <w:t>) per three weeks throughout RT and reported radiation pneumonitis in 20% of cases. Our results were better than that of</w:t>
      </w:r>
      <w:r>
        <w:rPr>
          <w:b/>
          <w:bCs/>
          <w:sz w:val="20"/>
          <w:szCs w:val="20"/>
        </w:rPr>
        <w:t xml:space="preserve"> </w:t>
      </w:r>
      <w:r>
        <w:rPr>
          <w:sz w:val="20"/>
          <w:szCs w:val="20"/>
        </w:rPr>
        <w:t>Chen et al</w:t>
      </w:r>
      <w:r>
        <w:rPr>
          <w:b/>
          <w:bCs/>
          <w:sz w:val="20"/>
          <w:szCs w:val="20"/>
        </w:rPr>
        <w:t>.</w:t>
      </w:r>
      <w:r>
        <w:rPr>
          <w:b/>
          <w:bCs/>
          <w:sz w:val="20"/>
          <w:szCs w:val="20"/>
          <w:vertAlign w:val="superscript"/>
        </w:rPr>
        <w:t xml:space="preserve"> (8) </w:t>
      </w:r>
      <w:r>
        <w:rPr>
          <w:sz w:val="20"/>
          <w:szCs w:val="20"/>
        </w:rPr>
        <w:t xml:space="preserve">who reported 77% grade 1 skin toxicity,16.7% grade2 and only 5.6% developed </w:t>
      </w:r>
      <w:r>
        <w:rPr>
          <w:sz w:val="20"/>
          <w:szCs w:val="20"/>
        </w:rPr>
        <w:t>grade 3 toxicity.</w:t>
      </w:r>
    </w:p>
    <w:p w:rsidR="00AC1EB6" w:rsidRDefault="005370F9" w:rsidP="00CD2AC1">
      <w:pPr>
        <w:pStyle w:val="paragraph"/>
        <w:adjustRightInd w:val="0"/>
        <w:snapToGrid w:val="0"/>
        <w:spacing w:after="0" w:line="240" w:lineRule="auto"/>
        <w:ind w:firstLine="426"/>
        <w:rPr>
          <w:sz w:val="20"/>
          <w:szCs w:val="20"/>
        </w:rPr>
      </w:pPr>
      <w:r>
        <w:rPr>
          <w:sz w:val="20"/>
          <w:szCs w:val="20"/>
        </w:rPr>
        <w:t>Also our results were inconsistent with results of Bellon</w:t>
      </w:r>
      <w:r w:rsidR="00CD2AC1">
        <w:rPr>
          <w:sz w:val="20"/>
          <w:szCs w:val="20"/>
        </w:rPr>
        <w:t xml:space="preserve"> et al</w:t>
      </w:r>
      <w:r>
        <w:rPr>
          <w:sz w:val="20"/>
          <w:szCs w:val="20"/>
        </w:rPr>
        <w:t>.,</w:t>
      </w:r>
      <w:r>
        <w:rPr>
          <w:sz w:val="20"/>
          <w:szCs w:val="20"/>
          <w:vertAlign w:val="superscript"/>
        </w:rPr>
        <w:t xml:space="preserve"> (26)</w:t>
      </w:r>
      <w:r>
        <w:rPr>
          <w:sz w:val="20"/>
          <w:szCs w:val="20"/>
        </w:rPr>
        <w:t xml:space="preserve"> who studied concurrent </w:t>
      </w:r>
      <w:r>
        <w:rPr>
          <w:rFonts w:eastAsia="Calibri"/>
          <w:sz w:val="20"/>
          <w:szCs w:val="20"/>
        </w:rPr>
        <w:t>CCRT</w:t>
      </w:r>
      <w:r>
        <w:rPr>
          <w:sz w:val="20"/>
          <w:szCs w:val="20"/>
        </w:rPr>
        <w:t xml:space="preserve"> after breast surgery in node positive patients using paclitaxel 175 mg/m</w:t>
      </w:r>
      <w:r>
        <w:rPr>
          <w:sz w:val="20"/>
          <w:szCs w:val="20"/>
          <w:vertAlign w:val="superscript"/>
        </w:rPr>
        <w:t>2</w:t>
      </w:r>
      <w:r>
        <w:rPr>
          <w:sz w:val="20"/>
          <w:szCs w:val="20"/>
        </w:rPr>
        <w:t xml:space="preserve"> every 21 days and </w:t>
      </w:r>
      <w:r>
        <w:rPr>
          <w:sz w:val="20"/>
          <w:szCs w:val="20"/>
          <w:lang w:val="en-GB"/>
        </w:rPr>
        <w:t>RT</w:t>
      </w:r>
      <w:r>
        <w:rPr>
          <w:sz w:val="20"/>
          <w:szCs w:val="20"/>
        </w:rPr>
        <w:t xml:space="preserve"> in doses beginning with 4680 cGy to 5040 cGy </w:t>
      </w:r>
      <w:r>
        <w:rPr>
          <w:sz w:val="20"/>
          <w:szCs w:val="20"/>
        </w:rPr>
        <w:t>and also reported high incidence of grade 3 skin toxicity 10% with subsequent interruption of treatment.</w:t>
      </w:r>
    </w:p>
    <w:p w:rsidR="00AC1EB6" w:rsidRDefault="005370F9" w:rsidP="00CD2AC1">
      <w:pPr>
        <w:pStyle w:val="paragraph"/>
        <w:adjustRightInd w:val="0"/>
        <w:snapToGrid w:val="0"/>
        <w:spacing w:after="0" w:line="240" w:lineRule="auto"/>
        <w:ind w:firstLine="426"/>
        <w:rPr>
          <w:sz w:val="20"/>
          <w:szCs w:val="20"/>
        </w:rPr>
      </w:pPr>
      <w:r>
        <w:rPr>
          <w:sz w:val="20"/>
          <w:szCs w:val="20"/>
        </w:rPr>
        <w:t xml:space="preserve"> Final cosmetic results at 2 years of follow up were acceptable by most of the patients and treating physicians team with excellent, good, and fair cos</w:t>
      </w:r>
      <w:r>
        <w:rPr>
          <w:sz w:val="20"/>
          <w:szCs w:val="20"/>
        </w:rPr>
        <w:t>metic results in 60% (45/75), 33.33% (25 /75), and 6.66% (5/75) of patients respectively, better than the results obtained by</w:t>
      </w:r>
      <w:r>
        <w:rPr>
          <w:b/>
          <w:bCs/>
          <w:sz w:val="20"/>
          <w:szCs w:val="20"/>
        </w:rPr>
        <w:t xml:space="preserve"> </w:t>
      </w:r>
      <w:r>
        <w:rPr>
          <w:sz w:val="20"/>
          <w:szCs w:val="20"/>
        </w:rPr>
        <w:t>Hassan </w:t>
      </w:r>
      <w:r w:rsidR="00CD2AC1">
        <w:rPr>
          <w:sz w:val="20"/>
          <w:szCs w:val="20"/>
        </w:rPr>
        <w:t xml:space="preserve"> et al</w:t>
      </w:r>
      <w:r>
        <w:rPr>
          <w:sz w:val="20"/>
          <w:szCs w:val="20"/>
        </w:rPr>
        <w:t>.,</w:t>
      </w:r>
      <w:r>
        <w:rPr>
          <w:sz w:val="20"/>
          <w:szCs w:val="20"/>
          <w:vertAlign w:val="superscript"/>
        </w:rPr>
        <w:t xml:space="preserve"> (22)</w:t>
      </w:r>
      <w:r>
        <w:rPr>
          <w:sz w:val="20"/>
          <w:szCs w:val="20"/>
        </w:rPr>
        <w:t xml:space="preserve"> who reported excellent, good, fair and poor scores in 62.5%, 20%, 10% and 7.5% respectively after a median of </w:t>
      </w:r>
      <w:r>
        <w:rPr>
          <w:sz w:val="20"/>
          <w:szCs w:val="20"/>
        </w:rPr>
        <w:t>36 months of follow-up.</w:t>
      </w:r>
      <w:r>
        <w:rPr>
          <w:sz w:val="20"/>
          <w:szCs w:val="20"/>
          <w:lang w:val="en-GB"/>
        </w:rPr>
        <w:t xml:space="preserve"> In agreement of our</w:t>
      </w:r>
      <w:r>
        <w:rPr>
          <w:sz w:val="20"/>
          <w:szCs w:val="20"/>
        </w:rPr>
        <w:t xml:space="preserve"> results Chen et al</w:t>
      </w:r>
      <w:r>
        <w:rPr>
          <w:sz w:val="20"/>
          <w:szCs w:val="20"/>
          <w:lang w:val="en-GB"/>
        </w:rPr>
        <w:t>.</w:t>
      </w:r>
      <w:r>
        <w:rPr>
          <w:sz w:val="20"/>
          <w:szCs w:val="20"/>
        </w:rPr>
        <w:t>,</w:t>
      </w:r>
      <w:r>
        <w:rPr>
          <w:b/>
          <w:bCs/>
          <w:sz w:val="20"/>
          <w:szCs w:val="20"/>
          <w:vertAlign w:val="superscript"/>
        </w:rPr>
        <w:t xml:space="preserve"> (8)</w:t>
      </w:r>
      <w:r>
        <w:rPr>
          <w:b/>
          <w:bCs/>
          <w:sz w:val="20"/>
          <w:szCs w:val="20"/>
          <w:vertAlign w:val="superscript"/>
          <w:lang w:val="en-GB"/>
        </w:rPr>
        <w:t xml:space="preserve"> </w:t>
      </w:r>
      <w:r>
        <w:rPr>
          <w:sz w:val="20"/>
          <w:szCs w:val="20"/>
        </w:rPr>
        <w:t>who reported moderately accepted cosmetic results in 16 % of cases and Bellon</w:t>
      </w:r>
      <w:r w:rsidR="00CD2AC1">
        <w:rPr>
          <w:sz w:val="20"/>
          <w:szCs w:val="20"/>
        </w:rPr>
        <w:t xml:space="preserve"> et al</w:t>
      </w:r>
      <w:r>
        <w:rPr>
          <w:sz w:val="20"/>
          <w:szCs w:val="20"/>
        </w:rPr>
        <w:t>.,</w:t>
      </w:r>
      <w:r>
        <w:rPr>
          <w:b/>
          <w:bCs/>
          <w:sz w:val="20"/>
          <w:szCs w:val="20"/>
        </w:rPr>
        <w:t xml:space="preserve"> </w:t>
      </w:r>
      <w:r>
        <w:rPr>
          <w:sz w:val="20"/>
          <w:szCs w:val="20"/>
          <w:vertAlign w:val="superscript"/>
        </w:rPr>
        <w:t>(26)</w:t>
      </w:r>
      <w:r>
        <w:rPr>
          <w:sz w:val="20"/>
          <w:szCs w:val="20"/>
        </w:rPr>
        <w:t xml:space="preserve"> who reported chronic skin toxicity in only 1 patient.</w:t>
      </w:r>
    </w:p>
    <w:p w:rsidR="00AC1EB6" w:rsidRDefault="005370F9" w:rsidP="00CD2AC1">
      <w:pPr>
        <w:bidi w:val="0"/>
        <w:adjustRightInd w:val="0"/>
        <w:snapToGrid w:val="0"/>
        <w:spacing w:after="0" w:line="240" w:lineRule="auto"/>
        <w:ind w:firstLine="426"/>
        <w:jc w:val="both"/>
        <w:rPr>
          <w:sz w:val="20"/>
          <w:szCs w:val="20"/>
        </w:rPr>
      </w:pPr>
      <w:r>
        <w:rPr>
          <w:sz w:val="20"/>
          <w:szCs w:val="20"/>
        </w:rPr>
        <w:t xml:space="preserve">The cardiac functions showed normal values </w:t>
      </w:r>
      <w:r>
        <w:rPr>
          <w:sz w:val="20"/>
          <w:szCs w:val="20"/>
        </w:rPr>
        <w:t>throughout treatment and during follow up, in contrast to the results obtained by</w:t>
      </w:r>
      <w:r>
        <w:rPr>
          <w:b/>
          <w:bCs/>
          <w:sz w:val="20"/>
          <w:szCs w:val="20"/>
        </w:rPr>
        <w:t xml:space="preserve"> </w:t>
      </w:r>
      <w:r>
        <w:rPr>
          <w:sz w:val="20"/>
          <w:szCs w:val="20"/>
        </w:rPr>
        <w:t>Rouesse et al</w:t>
      </w:r>
      <w:r>
        <w:rPr>
          <w:b/>
          <w:bCs/>
          <w:sz w:val="20"/>
          <w:szCs w:val="20"/>
        </w:rPr>
        <w:t>.,</w:t>
      </w:r>
      <w:r>
        <w:rPr>
          <w:sz w:val="20"/>
          <w:szCs w:val="20"/>
          <w:vertAlign w:val="superscript"/>
        </w:rPr>
        <w:t>(27)</w:t>
      </w:r>
      <w:r>
        <w:rPr>
          <w:sz w:val="20"/>
          <w:szCs w:val="20"/>
        </w:rPr>
        <w:t xml:space="preserve"> who reported decreased EF below normal in 6% of patients after concurrent </w:t>
      </w:r>
      <w:r>
        <w:rPr>
          <w:rFonts w:eastAsia="Calibri"/>
          <w:sz w:val="20"/>
          <w:szCs w:val="20"/>
          <w:lang w:bidi="ar-EG"/>
        </w:rPr>
        <w:t>CCRT</w:t>
      </w:r>
      <w:r>
        <w:rPr>
          <w:sz w:val="20"/>
          <w:szCs w:val="20"/>
        </w:rPr>
        <w:t xml:space="preserve"> but was transient and returned back to normal range, this difference in car</w:t>
      </w:r>
      <w:r>
        <w:rPr>
          <w:sz w:val="20"/>
          <w:szCs w:val="20"/>
        </w:rPr>
        <w:t xml:space="preserve">diac </w:t>
      </w:r>
      <w:r>
        <w:rPr>
          <w:sz w:val="20"/>
          <w:szCs w:val="20"/>
        </w:rPr>
        <w:lastRenderedPageBreak/>
        <w:t>toxicity can be explained by different chemotherapy used and different radiation dose from our study.</w:t>
      </w:r>
    </w:p>
    <w:p w:rsidR="00AC1EB6" w:rsidRDefault="00AC1EB6" w:rsidP="00CD2AC1">
      <w:pPr>
        <w:bidi w:val="0"/>
        <w:adjustRightInd w:val="0"/>
        <w:snapToGrid w:val="0"/>
        <w:spacing w:after="0" w:line="240" w:lineRule="auto"/>
        <w:jc w:val="both"/>
        <w:rPr>
          <w:sz w:val="20"/>
          <w:szCs w:val="20"/>
          <w:lang w:bidi="ar-EG"/>
        </w:rPr>
      </w:pPr>
    </w:p>
    <w:p w:rsidR="00AC1EB6" w:rsidRDefault="005370F9" w:rsidP="00CD2AC1">
      <w:pPr>
        <w:pStyle w:val="H2"/>
        <w:snapToGrid w:val="0"/>
        <w:spacing w:after="0" w:line="240" w:lineRule="auto"/>
        <w:contextualSpacing w:val="0"/>
        <w:rPr>
          <w:color w:val="auto"/>
          <w:sz w:val="20"/>
          <w:szCs w:val="20"/>
        </w:rPr>
      </w:pPr>
      <w:r>
        <w:rPr>
          <w:color w:val="auto"/>
          <w:sz w:val="20"/>
          <w:szCs w:val="20"/>
        </w:rPr>
        <w:t>Limitation of the study:</w:t>
      </w:r>
    </w:p>
    <w:p w:rsidR="00AC1EB6" w:rsidRDefault="005370F9" w:rsidP="00CD2AC1">
      <w:pPr>
        <w:pStyle w:val="NormalWeb"/>
        <w:bidi w:val="0"/>
        <w:adjustRightInd w:val="0"/>
        <w:snapToGrid w:val="0"/>
        <w:spacing w:after="0" w:line="240" w:lineRule="auto"/>
        <w:ind w:firstLine="426"/>
        <w:jc w:val="both"/>
        <w:rPr>
          <w:sz w:val="20"/>
          <w:szCs w:val="20"/>
        </w:rPr>
      </w:pPr>
      <w:r>
        <w:rPr>
          <w:sz w:val="20"/>
          <w:szCs w:val="20"/>
        </w:rPr>
        <w:t>Small sample size, many questions remain unanswered regarding the applications of this regimen to other types of breast can</w:t>
      </w:r>
      <w:r>
        <w:rPr>
          <w:sz w:val="20"/>
          <w:szCs w:val="20"/>
        </w:rPr>
        <w:t xml:space="preserve">cer with Her2 neu positive tumors and TNBC subtypes and the optimal combination of RT and chemotherapy. </w:t>
      </w:r>
    </w:p>
    <w:p w:rsidR="00AC1EB6" w:rsidRDefault="00AC1EB6" w:rsidP="00CD2AC1">
      <w:pPr>
        <w:pStyle w:val="NormalWeb"/>
        <w:bidi w:val="0"/>
        <w:adjustRightInd w:val="0"/>
        <w:snapToGrid w:val="0"/>
        <w:spacing w:after="0" w:line="240" w:lineRule="auto"/>
        <w:jc w:val="both"/>
        <w:rPr>
          <w:sz w:val="20"/>
          <w:szCs w:val="20"/>
        </w:rPr>
      </w:pPr>
    </w:p>
    <w:p w:rsidR="00AC1EB6" w:rsidRDefault="005370F9" w:rsidP="00CD2AC1">
      <w:pPr>
        <w:pStyle w:val="H2"/>
        <w:snapToGrid w:val="0"/>
        <w:spacing w:after="0" w:line="240" w:lineRule="auto"/>
        <w:contextualSpacing w:val="0"/>
        <w:rPr>
          <w:color w:val="auto"/>
          <w:sz w:val="20"/>
          <w:szCs w:val="20"/>
        </w:rPr>
      </w:pPr>
      <w:r>
        <w:rPr>
          <w:color w:val="auto"/>
          <w:sz w:val="20"/>
          <w:szCs w:val="20"/>
        </w:rPr>
        <w:t xml:space="preserve">Conclusions: </w:t>
      </w:r>
    </w:p>
    <w:p w:rsidR="00AC1EB6" w:rsidRDefault="005370F9" w:rsidP="00CD2AC1">
      <w:pPr>
        <w:pStyle w:val="P"/>
        <w:snapToGrid w:val="0"/>
        <w:spacing w:after="0" w:line="240" w:lineRule="auto"/>
        <w:ind w:firstLine="426"/>
        <w:rPr>
          <w:color w:val="auto"/>
          <w:sz w:val="20"/>
          <w:szCs w:val="20"/>
        </w:rPr>
      </w:pPr>
      <w:r>
        <w:rPr>
          <w:color w:val="auto"/>
          <w:sz w:val="20"/>
          <w:szCs w:val="20"/>
        </w:rPr>
        <w:t xml:space="preserve">This study demonstrated that concomitant chemoradiation with weekly paclitaxel in adjuvant treatment of breast cancer, is a promising </w:t>
      </w:r>
      <w:r>
        <w:rPr>
          <w:color w:val="auto"/>
          <w:sz w:val="20"/>
          <w:szCs w:val="20"/>
        </w:rPr>
        <w:t>regimen for patients with Her2 neu -ve, hormonal receptors +ve breast cancer.</w:t>
      </w:r>
    </w:p>
    <w:p w:rsidR="00AC1EB6" w:rsidRDefault="00AC1EB6" w:rsidP="00CD2AC1">
      <w:pPr>
        <w:autoSpaceDE w:val="0"/>
        <w:autoSpaceDN w:val="0"/>
        <w:bidi w:val="0"/>
        <w:adjustRightInd w:val="0"/>
        <w:snapToGrid w:val="0"/>
        <w:spacing w:after="0" w:line="240" w:lineRule="auto"/>
        <w:jc w:val="both"/>
        <w:rPr>
          <w:b/>
          <w:bCs/>
          <w:sz w:val="20"/>
          <w:szCs w:val="20"/>
        </w:rPr>
      </w:pPr>
    </w:p>
    <w:p w:rsidR="00AC1EB6" w:rsidRDefault="005370F9" w:rsidP="00CD2AC1">
      <w:pPr>
        <w:autoSpaceDE w:val="0"/>
        <w:autoSpaceDN w:val="0"/>
        <w:bidi w:val="0"/>
        <w:adjustRightInd w:val="0"/>
        <w:snapToGrid w:val="0"/>
        <w:spacing w:after="0" w:line="240" w:lineRule="auto"/>
        <w:jc w:val="both"/>
        <w:rPr>
          <w:sz w:val="20"/>
          <w:szCs w:val="20"/>
        </w:rPr>
      </w:pPr>
      <w:r>
        <w:rPr>
          <w:b/>
          <w:bCs/>
          <w:sz w:val="20"/>
          <w:szCs w:val="20"/>
        </w:rPr>
        <w:t xml:space="preserve">Financial support and sponsorship: </w:t>
      </w:r>
      <w:r>
        <w:rPr>
          <w:sz w:val="20"/>
          <w:szCs w:val="20"/>
        </w:rPr>
        <w:t>Nil</w:t>
      </w:r>
    </w:p>
    <w:p w:rsidR="00AC1EB6" w:rsidRDefault="00AC1EB6" w:rsidP="00CD2AC1">
      <w:pPr>
        <w:autoSpaceDE w:val="0"/>
        <w:autoSpaceDN w:val="0"/>
        <w:bidi w:val="0"/>
        <w:adjustRightInd w:val="0"/>
        <w:snapToGrid w:val="0"/>
        <w:spacing w:after="0" w:line="240" w:lineRule="auto"/>
        <w:jc w:val="both"/>
        <w:rPr>
          <w:b/>
          <w:bCs/>
          <w:sz w:val="20"/>
          <w:szCs w:val="20"/>
        </w:rPr>
      </w:pPr>
    </w:p>
    <w:p w:rsidR="00AC1EB6" w:rsidRDefault="005370F9" w:rsidP="00CD2AC1">
      <w:pPr>
        <w:autoSpaceDE w:val="0"/>
        <w:autoSpaceDN w:val="0"/>
        <w:bidi w:val="0"/>
        <w:adjustRightInd w:val="0"/>
        <w:snapToGrid w:val="0"/>
        <w:spacing w:after="0" w:line="240" w:lineRule="auto"/>
        <w:jc w:val="both"/>
        <w:rPr>
          <w:sz w:val="20"/>
          <w:szCs w:val="20"/>
        </w:rPr>
      </w:pPr>
      <w:r>
        <w:rPr>
          <w:b/>
          <w:bCs/>
          <w:sz w:val="20"/>
          <w:szCs w:val="20"/>
        </w:rPr>
        <w:t>Conflict of Interest:</w:t>
      </w:r>
      <w:r>
        <w:rPr>
          <w:sz w:val="20"/>
          <w:szCs w:val="20"/>
        </w:rPr>
        <w:t xml:space="preserve"> Nil</w:t>
      </w:r>
    </w:p>
    <w:p w:rsidR="00AC1EB6" w:rsidRDefault="00AC1EB6" w:rsidP="00CD2AC1">
      <w:pPr>
        <w:autoSpaceDE w:val="0"/>
        <w:autoSpaceDN w:val="0"/>
        <w:bidi w:val="0"/>
        <w:adjustRightInd w:val="0"/>
        <w:snapToGrid w:val="0"/>
        <w:spacing w:after="0" w:line="240" w:lineRule="auto"/>
        <w:jc w:val="both"/>
        <w:rPr>
          <w:sz w:val="20"/>
          <w:szCs w:val="20"/>
        </w:rPr>
      </w:pPr>
    </w:p>
    <w:p w:rsidR="00AC1EB6" w:rsidRDefault="005370F9" w:rsidP="00CD2AC1">
      <w:pPr>
        <w:pStyle w:val="H2"/>
        <w:snapToGrid w:val="0"/>
        <w:spacing w:after="0" w:line="240" w:lineRule="auto"/>
        <w:contextualSpacing w:val="0"/>
        <w:rPr>
          <w:color w:val="auto"/>
          <w:sz w:val="20"/>
          <w:szCs w:val="20"/>
        </w:rPr>
      </w:pPr>
      <w:r>
        <w:rPr>
          <w:color w:val="auto"/>
          <w:sz w:val="20"/>
          <w:szCs w:val="20"/>
        </w:rPr>
        <w:t xml:space="preserve">References </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Lester J. Local treatment of breast cancer. Semin Oncol Nurs. 2015;31:122-33.</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Abbas H, Elyamany A,</w:t>
      </w:r>
      <w:r>
        <w:rPr>
          <w:sz w:val="20"/>
          <w:szCs w:val="20"/>
        </w:rPr>
        <w:t xml:space="preserve"> Salem M, Salem A, Binziad S, Gamal B. The optimal sequence of radiotherapy and chemotherapy in adjuvant treatment of breast cancer. Int Arch Med. 2011;4:35.</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Pierce LJ, Hutchins LF, Green SR, Lew DL, Gralow JR, Livingston RB, et al. Sequencing of tamoxifen</w:t>
      </w:r>
      <w:r>
        <w:rPr>
          <w:sz w:val="20"/>
          <w:szCs w:val="20"/>
        </w:rPr>
        <w:t xml:space="preserve"> and radiotherapy after breast-conserving surgery in early-stage breast cancer. J Clin Oncol. 2005;23:24-9.</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Mamounas EP, Bryant J, Lembersky B, Fehrenbacher L, Sedlacek SM, Fisher B, et al. Paclitaxel after doxorubicin plus cyclophosphamide as adjuvant che</w:t>
      </w:r>
      <w:r>
        <w:rPr>
          <w:sz w:val="20"/>
          <w:szCs w:val="20"/>
        </w:rPr>
        <w:t>motherapy for node-positive breast cancer: results from NSABP B-28. J Clin Oncol. 2005;23:3686-96.</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Mandilaras V, Bouganim N, Spayne J, Dent R, Arnaout A, Boileau JF, et al. Concurrent chemoradiotherapy for locally advanced breast cancer-time for a new para</w:t>
      </w:r>
      <w:r>
        <w:rPr>
          <w:sz w:val="20"/>
          <w:szCs w:val="20"/>
        </w:rPr>
        <w:t>digm? Curr Oncol. 2015;22:25-32.</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 xml:space="preserve">Fastner G, Reitsamer R, Urbański B, Kopp P, Murawa D, Adamczyk B, et al. Toxicity and cosmetic outcome after hypofractionated whole breast irradiation and boost-IOERT in early stage breast cancer (HIOB): First results of a </w:t>
      </w:r>
      <w:r>
        <w:rPr>
          <w:sz w:val="20"/>
          <w:szCs w:val="20"/>
        </w:rPr>
        <w:t xml:space="preserve">prospective multicenter trial </w:t>
      </w:r>
      <w:r>
        <w:rPr>
          <w:sz w:val="20"/>
          <w:szCs w:val="20"/>
        </w:rPr>
        <w:lastRenderedPageBreak/>
        <w:t>(NCT01343459). Radiotherapy and Oncology. 2020;146:136-42.</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Wang X, Pan L, Mao N, Sun L, Qin X, Yin J. Cell-cycle synchronization reverses Taxol resistance of human ovarian cancer cell lines. Cancer Cell Int. 2013;13:77-8.</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Chen</w:t>
      </w:r>
      <w:r>
        <w:rPr>
          <w:sz w:val="20"/>
          <w:szCs w:val="20"/>
        </w:rPr>
        <w:t xml:space="preserve"> WC, Kim J, Kim E, Silverman P, Overmoyer B, Cooper BW, et al. A phase II study of radiotherapy and concurrent paclitaxel chemotherapy in breast-conserving treatment for node-positive breast cancer. Int J Radiat Oncol Biol Phys. 2012;82:14-20.</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National Can</w:t>
      </w:r>
      <w:r>
        <w:rPr>
          <w:sz w:val="20"/>
          <w:szCs w:val="20"/>
        </w:rPr>
        <w:t>cer Institute Common Terminology Criteria for Adverse Events V4.0,NCI, NIH, DHHS. May 29,2009.NIH publication 09-7473.</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Pires AM, Segreto RA, Segreto HR. RTOG criteria to evaluate acute skin reaction and its risk factors in patients with breast cancer submi</w:t>
      </w:r>
      <w:r>
        <w:rPr>
          <w:sz w:val="20"/>
          <w:szCs w:val="20"/>
        </w:rPr>
        <w:t>tted to radiotherapy. Rev Lat Am Enfermagem. 2008;16:844-9.</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b/>
          <w:sz w:val="20"/>
          <w:szCs w:val="20"/>
        </w:rPr>
        <w:t>Rose MA, Olivotto I, Cady B, et al.</w:t>
      </w:r>
      <w:r>
        <w:rPr>
          <w:sz w:val="20"/>
          <w:szCs w:val="20"/>
        </w:rPr>
        <w:t xml:space="preserve"> Conservative surgery and radiation therapy for early breast cancer. Long-term cosmetic results. Arch Surg. 1989;124(2):153-7.</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 xml:space="preserve">Landberg T, Chavaudra J, Dobbs J, </w:t>
      </w:r>
      <w:r>
        <w:rPr>
          <w:sz w:val="20"/>
          <w:szCs w:val="20"/>
        </w:rPr>
        <w:t>et al. Report 62. J ICRU. 1999(1):NP-NP.</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Mornex F, Pavy JJ, Denekamp J, et al. (Scoring system of late effects of radiations on normal tissues: the SOMA-LENT scale). Cancer Radiother. 1997;1(6):622-68.</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Darby S, McGale P, Correa C, et al. Effect of radiothe</w:t>
      </w:r>
      <w:r>
        <w:rPr>
          <w:sz w:val="20"/>
          <w:szCs w:val="20"/>
        </w:rPr>
        <w:t>rapy after breast-conserving surgery on 10-year recurrence and 15-year breast cancer death: meta-analysis of individual patient data for 10,801 women in 17 randomised trials. Lancet. 2011;378(9804):1707-16.</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Chakravarthy AB, Kelley MC, McLaren B, Truica CI,</w:t>
      </w:r>
      <w:r>
        <w:rPr>
          <w:sz w:val="20"/>
          <w:szCs w:val="20"/>
        </w:rPr>
        <w:t xml:space="preserve"> Billheimer D, Mayer IA, et al. Neoadjuvant concurrent paclitaxel and radiation in stage II/III breast cancer. Clin Cancer Res. 2006;12:1570-6.</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Bleicher RJ. Timing and Delays in Breast Cancer Evaluation and Treatment. Ann Surg Oncol. 2018;25:2829-38.</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 xml:space="preserve">Buchholz TA, Austin-Seymour MM, Moe RE, Ellis GK, Livingston RB, Pelton JG, et al. Effect of delay in radiation in the combined modality treatment of breast </w:t>
      </w:r>
      <w:r>
        <w:rPr>
          <w:sz w:val="20"/>
          <w:szCs w:val="20"/>
        </w:rPr>
        <w:lastRenderedPageBreak/>
        <w:t>cancer. Int J Radiat Oncol Biol Phys. 1993;26:23-35.</w:t>
      </w:r>
    </w:p>
    <w:p w:rsidR="00AC1EB6" w:rsidRDefault="005370F9" w:rsidP="00CD2AC1">
      <w:pPr>
        <w:pStyle w:val="EndNoteBibliography"/>
        <w:numPr>
          <w:ilvl w:val="0"/>
          <w:numId w:val="9"/>
        </w:numPr>
        <w:bidi w:val="0"/>
        <w:adjustRightInd w:val="0"/>
        <w:snapToGrid w:val="0"/>
        <w:spacing w:after="0" w:line="240" w:lineRule="auto"/>
        <w:ind w:left="709" w:hanging="709"/>
        <w:rPr>
          <w:sz w:val="20"/>
          <w:szCs w:val="20"/>
        </w:rPr>
      </w:pPr>
      <w:r>
        <w:rPr>
          <w:b/>
          <w:sz w:val="20"/>
          <w:szCs w:val="20"/>
        </w:rPr>
        <w:t>Mamounas EP, Bryant J, Lembersky B, et al.</w:t>
      </w:r>
      <w:r>
        <w:rPr>
          <w:sz w:val="20"/>
          <w:szCs w:val="20"/>
        </w:rPr>
        <w:t xml:space="preserve"> Pac</w:t>
      </w:r>
      <w:r>
        <w:rPr>
          <w:sz w:val="20"/>
          <w:szCs w:val="20"/>
        </w:rPr>
        <w:t>litaxel after doxorubicin plus cyclophosphamide as adjuvant chemotherapy for node-positive breast cancer: results from NSABP B-28. J Clin Oncol. 2005;23(16):3686-96.</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Fernando IN, Bowden SJ, Herring K, Brookes CL, Ahmed I, Marshall A, et al. Synchronous ver</w:t>
      </w:r>
      <w:r>
        <w:rPr>
          <w:sz w:val="20"/>
          <w:szCs w:val="20"/>
        </w:rPr>
        <w:t>sus sequential chemo-radiotherapy in patients with early stage breast cancer (SECRAB): A randomised, phase III, trial. Radiother Oncol. 2020;142:52-61.</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b/>
          <w:sz w:val="20"/>
          <w:szCs w:val="20"/>
        </w:rPr>
        <w:t>Toledano A, Azria D, Garaud P, et al.</w:t>
      </w:r>
      <w:r>
        <w:rPr>
          <w:sz w:val="20"/>
          <w:szCs w:val="20"/>
        </w:rPr>
        <w:t xml:space="preserve"> Phase III trial of concurrent or sequential adjuvant chemoradiothe</w:t>
      </w:r>
      <w:r>
        <w:rPr>
          <w:sz w:val="20"/>
          <w:szCs w:val="20"/>
        </w:rPr>
        <w:t>rapy after conservative surgery for early-stage breast cancer: final results of the ARCOSEIN trial. J Clin Oncol. 2007;25(4):405-10.</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b/>
          <w:sz w:val="20"/>
          <w:szCs w:val="20"/>
        </w:rPr>
        <w:t>Werner EM, Eggert MC, Bohnet S, et al.</w:t>
      </w:r>
      <w:r>
        <w:rPr>
          <w:sz w:val="20"/>
          <w:szCs w:val="20"/>
        </w:rPr>
        <w:t xml:space="preserve"> Prevalence and Characteristics of Pneumonitis Following Irradiation of Breast Cancer</w:t>
      </w:r>
      <w:r>
        <w:rPr>
          <w:sz w:val="20"/>
          <w:szCs w:val="20"/>
        </w:rPr>
        <w:t>. Anticancer Res. 2019;39(11):6355-8.</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Ali Hassan A, Ibrahim N, Jassen M. Concurrent Paclitaxel and Radiotherapy for Node Positive Breast Cancer. Gulf J Oncolog. 2019 1:14-21.</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lastRenderedPageBreak/>
        <w:t>Algizawy SM, Essa HH, Zaid AS. Concurrent radiation therapy and docetaxel in adju</w:t>
      </w:r>
      <w:r>
        <w:rPr>
          <w:sz w:val="20"/>
          <w:szCs w:val="20"/>
        </w:rPr>
        <w:t>vant treatment of locally advanced breast cancer. Ann Cancer Res. 2016;3:2.</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Burstein HJ, Bellon JR, Galper S, Lu HM, Kuter I, Taghian AG, et al. Prospective evaluation of concurrent paclitaxel and radiation therapy after adjuvant doxorubicin and cyclophosp</w:t>
      </w:r>
      <w:r>
        <w:rPr>
          <w:sz w:val="20"/>
          <w:szCs w:val="20"/>
        </w:rPr>
        <w:t>hamide chemotherapy for Stage II or III breast cancer. Int J Radiat Oncol Biol Phys. 2006;64:496-504.</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sz w:val="20"/>
          <w:szCs w:val="20"/>
        </w:rPr>
        <w:t>Hanna YM, Baglan KL, Stromberg JS, Vicini FA, D AD. Acute and subacute toxicity associated with concurrent adjuvant radiation therapy and paclitaxel in pr</w:t>
      </w:r>
      <w:r>
        <w:rPr>
          <w:sz w:val="20"/>
          <w:szCs w:val="20"/>
        </w:rPr>
        <w:t>imary breast cancer therapy. Breast J. 2002;8:149-53.</w:t>
      </w:r>
    </w:p>
    <w:p w:rsidR="00AC1EB6"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Pr>
          <w:b/>
          <w:sz w:val="20"/>
          <w:szCs w:val="20"/>
        </w:rPr>
        <w:t>Bellon JR, Lindsley KL, Ellis GK, et al.</w:t>
      </w:r>
      <w:r>
        <w:rPr>
          <w:sz w:val="20"/>
          <w:szCs w:val="20"/>
        </w:rPr>
        <w:t xml:space="preserve"> Concurrent radiation therapy and paclitaxel or docetaxel chemotherapy in high-risk breast cancer. Int J Radiat Oncol Biol Phys. 2000;48(2):393-7.</w:t>
      </w:r>
    </w:p>
    <w:p w:rsidR="00AC1EB6" w:rsidRPr="00CD2AC1" w:rsidRDefault="005370F9" w:rsidP="00CD2AC1">
      <w:pPr>
        <w:pStyle w:val="EndNoteBibliography"/>
        <w:numPr>
          <w:ilvl w:val="0"/>
          <w:numId w:val="9"/>
        </w:numPr>
        <w:bidi w:val="0"/>
        <w:adjustRightInd w:val="0"/>
        <w:snapToGrid w:val="0"/>
        <w:spacing w:after="0" w:line="240" w:lineRule="auto"/>
        <w:ind w:left="709" w:hanging="709"/>
        <w:jc w:val="both"/>
        <w:rPr>
          <w:sz w:val="20"/>
          <w:szCs w:val="20"/>
        </w:rPr>
      </w:pPr>
      <w:r w:rsidRPr="00CD2AC1">
        <w:rPr>
          <w:b/>
          <w:sz w:val="20"/>
          <w:szCs w:val="20"/>
        </w:rPr>
        <w:t>Rouëssé J, de l</w:t>
      </w:r>
      <w:r w:rsidRPr="00CD2AC1">
        <w:rPr>
          <w:b/>
          <w:sz w:val="20"/>
          <w:szCs w:val="20"/>
        </w:rPr>
        <w:t>a Lande B, Bertheault-Cvitkovic F, et al.</w:t>
      </w:r>
      <w:r w:rsidRPr="00CD2AC1">
        <w:rPr>
          <w:sz w:val="20"/>
          <w:szCs w:val="20"/>
        </w:rPr>
        <w:t xml:space="preserve"> A phase III randomized trial comparing adjuvant concomitant chemoradiotherapy versus standard adjuvant chemotherapy followed by radiotherapy in operable node-positive breast cancer: final results. Int J Radiat Onco</w:t>
      </w:r>
      <w:r w:rsidRPr="00CD2AC1">
        <w:rPr>
          <w:sz w:val="20"/>
          <w:szCs w:val="20"/>
        </w:rPr>
        <w:t>l Biol Phys. 2006;64(4):1072-80.</w:t>
      </w:r>
    </w:p>
    <w:bookmarkEnd w:id="3"/>
    <w:bookmarkEnd w:id="4"/>
    <w:p w:rsidR="00AC1EB6" w:rsidRDefault="00AC1EB6" w:rsidP="00CD2AC1">
      <w:pPr>
        <w:pStyle w:val="EndNoteBibliography"/>
        <w:bidi w:val="0"/>
        <w:adjustRightInd w:val="0"/>
        <w:snapToGrid w:val="0"/>
        <w:spacing w:after="0" w:line="240" w:lineRule="auto"/>
        <w:jc w:val="both"/>
        <w:rPr>
          <w:rFonts w:eastAsia="Calibri"/>
          <w:b/>
          <w:bCs/>
          <w:sz w:val="20"/>
          <w:szCs w:val="20"/>
        </w:rPr>
        <w:sectPr w:rsidR="00AC1EB6">
          <w:type w:val="continuous"/>
          <w:pgSz w:w="12191" w:h="15819"/>
          <w:pgMar w:top="1440" w:right="1440" w:bottom="1440" w:left="1440" w:header="709" w:footer="709" w:gutter="0"/>
          <w:cols w:num="2" w:space="567"/>
          <w:rtlGutter/>
          <w:docGrid w:linePitch="360"/>
        </w:sectPr>
      </w:pPr>
    </w:p>
    <w:p w:rsidR="00AC1EB6" w:rsidRDefault="00AC1EB6" w:rsidP="00CD2AC1">
      <w:pPr>
        <w:pStyle w:val="EndNoteBibliography"/>
        <w:bidi w:val="0"/>
        <w:adjustRightInd w:val="0"/>
        <w:snapToGrid w:val="0"/>
        <w:spacing w:after="0" w:line="240" w:lineRule="auto"/>
        <w:ind w:left="426"/>
        <w:jc w:val="both"/>
        <w:rPr>
          <w:b/>
          <w:bCs/>
          <w:sz w:val="20"/>
          <w:szCs w:val="20"/>
          <w:lang w:eastAsia="zh-CN"/>
        </w:rPr>
      </w:pPr>
    </w:p>
    <w:p w:rsidR="00AC1EB6" w:rsidRDefault="00AC1EB6" w:rsidP="00CD2AC1">
      <w:pPr>
        <w:pStyle w:val="EndNoteBibliography"/>
        <w:bidi w:val="0"/>
        <w:adjustRightInd w:val="0"/>
        <w:snapToGrid w:val="0"/>
        <w:spacing w:after="0" w:line="240" w:lineRule="auto"/>
        <w:ind w:left="426"/>
        <w:jc w:val="both"/>
        <w:rPr>
          <w:b/>
          <w:bCs/>
          <w:sz w:val="20"/>
          <w:szCs w:val="20"/>
          <w:lang w:eastAsia="zh-CN"/>
        </w:rPr>
      </w:pPr>
    </w:p>
    <w:p w:rsidR="00AC1EB6" w:rsidRDefault="005370F9" w:rsidP="00CD2AC1">
      <w:pPr>
        <w:pStyle w:val="EndNoteBibliography"/>
        <w:bidi w:val="0"/>
        <w:adjustRightInd w:val="0"/>
        <w:snapToGrid w:val="0"/>
        <w:spacing w:after="0" w:line="240" w:lineRule="auto"/>
        <w:ind w:left="426" w:right="400"/>
        <w:rPr>
          <w:b/>
          <w:bCs/>
          <w:sz w:val="20"/>
          <w:szCs w:val="20"/>
          <w:lang w:eastAsia="zh-CN"/>
        </w:rPr>
      </w:pPr>
      <w:r>
        <w:rPr>
          <w:sz w:val="20"/>
          <w:szCs w:val="20"/>
          <w:lang w:eastAsia="zh-CN"/>
        </w:rPr>
        <w:t>4/12/2022</w:t>
      </w:r>
    </w:p>
    <w:sectPr w:rsidR="00AC1EB6" w:rsidSect="00AC1EB6">
      <w:type w:val="continuous"/>
      <w:pgSz w:w="12191" w:h="15819"/>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F9" w:rsidRDefault="005370F9" w:rsidP="00AC1EB6">
      <w:pPr>
        <w:spacing w:after="0" w:line="240" w:lineRule="auto"/>
      </w:pPr>
      <w:r>
        <w:separator/>
      </w:r>
    </w:p>
  </w:endnote>
  <w:endnote w:type="continuationSeparator" w:id="0">
    <w:p w:rsidR="005370F9" w:rsidRDefault="005370F9" w:rsidP="00AC1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Helvetica Neue">
    <w:altName w:val="Segoe Print"/>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PS">
    <w:altName w:val="Times New Roman"/>
    <w:charset w:val="00"/>
    <w:family w:val="roman"/>
    <w:pitch w:val="default"/>
    <w:sig w:usb0="00000000" w:usb1="00000000" w:usb2="00000000" w:usb3="00000000" w:csb0="00000000" w:csb1="00000000"/>
  </w:font>
  <w:font w:name="Myriad Pro">
    <w:altName w:val="Corbel"/>
    <w:charset w:val="00"/>
    <w:family w:val="roman"/>
    <w:pitch w:val="default"/>
    <w:sig w:usb0="00000000" w:usb1="00000000" w:usb2="00000000" w:usb3="00000000" w:csb0="00000000" w:csb1="00000000"/>
  </w:font>
  <w:font w:name="CapitoliumNews">
    <w:altName w:val="Times New Roman"/>
    <w:charset w:val="00"/>
    <w:family w:val="roman"/>
    <w:pitch w:val="default"/>
    <w:sig w:usb0="00000000" w:usb1="00000000" w:usb2="00000000" w:usb3="00000000" w:csb0="00000000" w:csb1="00000000"/>
  </w:font>
  <w:font w:name="Segoe UI Light">
    <w:panose1 w:val="020B0502040204020203"/>
    <w:charset w:val="00"/>
    <w:family w:val="swiss"/>
    <w:pitch w:val="variable"/>
    <w:sig w:usb0="E00002FF" w:usb1="4000A47B"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dvOT678fd422">
    <w:altName w:val="Times New Roman"/>
    <w:charset w:val="00"/>
    <w:family w:val="roman"/>
    <w:pitch w:val="default"/>
    <w:sig w:usb0="00000000" w:usb1="00000000" w:usb2="00000000" w:usb3="00000000" w:csb0="00000000" w:csb1="00000000"/>
  </w:font>
  <w:font w:name="AdvP4A0FAF">
    <w:altName w:val="Times New Roman"/>
    <w:charset w:val="00"/>
    <w:family w:val="roman"/>
    <w:pitch w:val="default"/>
    <w:sig w:usb0="00000000" w:usb1="00000000" w:usb2="00000000" w:usb3="00000000" w:csb0="00000000" w:csb1="00000000"/>
  </w:font>
  <w:font w:name="Helvetica 65 Medium">
    <w:altName w:val="Arial"/>
    <w:charset w:val="00"/>
    <w:family w:val="roman"/>
    <w:pitch w:val="default"/>
    <w:sig w:usb0="00000000" w:usb1="00000000" w:usb2="00000000" w:usb3="00000000" w:csb0="00000000" w:csb1="00000000"/>
  </w:font>
  <w:font w:name="Jokerman">
    <w:altName w:val="Segoe Print"/>
    <w:charset w:val="00"/>
    <w:family w:val="decorative"/>
    <w:pitch w:val="default"/>
    <w:sig w:usb0="00000000"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B6" w:rsidRDefault="00AC1EB6">
    <w:pPr>
      <w:pStyle w:val="Footer"/>
      <w:bidi w:val="0"/>
      <w:jc w:val="center"/>
      <w:rPr>
        <w:caps/>
      </w:rPr>
    </w:pPr>
    <w:r w:rsidRPr="00AC1EB6">
      <w:pict>
        <v:shapetype id="_x0000_t202" coordsize="21600,21600" o:spt="202" path="m,l,21600r21600,l21600,xe">
          <v:stroke joinstyle="miter"/>
          <v:path gradientshapeok="t" o:connecttype="rect"/>
        </v:shapetype>
        <v:shape id="_x0000_s2049" type="#_x0000_t202" style="position:absolute;left:0;text-align:left;margin-left:224pt;margin-top:12.5pt;width:2in;height:2in;z-index:251658240;mso-wrap-style:none;mso-position-horizontal-relative:margin" filled="f" stroked="f">
          <v:textbox style="mso-fit-shape-to-text:t" inset="0,0,0,0">
            <w:txbxContent>
              <w:p w:rsidR="00AC1EB6" w:rsidRDefault="00AC1EB6">
                <w:pPr>
                  <w:pStyle w:val="Footer"/>
                  <w:bidi w:val="0"/>
                  <w:jc w:val="center"/>
                </w:pPr>
                <w:r>
                  <w:rPr>
                    <w:caps/>
                    <w:sz w:val="20"/>
                    <w:szCs w:val="20"/>
                  </w:rPr>
                  <w:fldChar w:fldCharType="begin"/>
                </w:r>
                <w:r w:rsidR="005370F9">
                  <w:rPr>
                    <w:caps/>
                    <w:sz w:val="20"/>
                    <w:szCs w:val="20"/>
                  </w:rPr>
                  <w:instrText xml:space="preserve"> PAGE   \* MERGEFORMAT </w:instrText>
                </w:r>
                <w:r>
                  <w:rPr>
                    <w:caps/>
                    <w:sz w:val="20"/>
                    <w:szCs w:val="20"/>
                  </w:rPr>
                  <w:fldChar w:fldCharType="separate"/>
                </w:r>
                <w:r w:rsidR="0095382F">
                  <w:rPr>
                    <w:caps/>
                    <w:noProof/>
                    <w:sz w:val="20"/>
                    <w:szCs w:val="20"/>
                  </w:rPr>
                  <w:t>7</w:t>
                </w:r>
                <w:r>
                  <w:rPr>
                    <w:caps/>
                    <w:sz w:val="20"/>
                    <w:szCs w:val="20"/>
                  </w:rPr>
                  <w:fldChar w:fldCharType="end"/>
                </w:r>
              </w:p>
            </w:txbxContent>
          </v:textbox>
          <w10:wrap anchorx="margin"/>
        </v:shape>
      </w:pict>
    </w:r>
  </w:p>
  <w:p w:rsidR="00AC1EB6" w:rsidRDefault="00AC1EB6">
    <w:pPr>
      <w:pStyle w:val="Footer"/>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B6" w:rsidRDefault="00AC1EB6">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AC1EB6" w:rsidRDefault="00AC1EB6">
                <w:pPr>
                  <w:pStyle w:val="Footer"/>
                  <w:rPr>
                    <w:lang w:eastAsia="zh-CN"/>
                  </w:rPr>
                </w:pPr>
                <w:r>
                  <w:rPr>
                    <w:rFonts w:hint="eastAsia"/>
                    <w:sz w:val="20"/>
                    <w:szCs w:val="20"/>
                    <w:lang w:eastAsia="zh-CN"/>
                  </w:rPr>
                  <w:fldChar w:fldCharType="begin"/>
                </w:r>
                <w:r w:rsidR="005370F9">
                  <w:rPr>
                    <w:rFonts w:hint="eastAsia"/>
                    <w:sz w:val="20"/>
                    <w:szCs w:val="20"/>
                    <w:lang w:eastAsia="zh-CN"/>
                  </w:rPr>
                  <w:instrText xml:space="preserve"> PAGE  \* MERGEFORMAT </w:instrText>
                </w:r>
                <w:r>
                  <w:rPr>
                    <w:rFonts w:hint="eastAsia"/>
                    <w:sz w:val="20"/>
                    <w:szCs w:val="20"/>
                    <w:lang w:eastAsia="zh-CN"/>
                  </w:rPr>
                  <w:fldChar w:fldCharType="separate"/>
                </w:r>
                <w:r w:rsidR="0095382F">
                  <w:rPr>
                    <w:noProof/>
                    <w:sz w:val="20"/>
                    <w:szCs w:val="20"/>
                    <w:lang w:eastAsia="zh-CN"/>
                  </w:rPr>
                  <w:t>6</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F9" w:rsidRDefault="005370F9" w:rsidP="00AC1EB6">
      <w:pPr>
        <w:spacing w:after="0" w:line="240" w:lineRule="auto"/>
      </w:pPr>
      <w:r>
        <w:separator/>
      </w:r>
    </w:p>
  </w:footnote>
  <w:footnote w:type="continuationSeparator" w:id="0">
    <w:p w:rsidR="005370F9" w:rsidRDefault="005370F9" w:rsidP="00AC1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B6" w:rsidRDefault="005370F9">
    <w:pPr>
      <w:pBdr>
        <w:bottom w:val="thinThickMediumGap" w:sz="12" w:space="1" w:color="auto"/>
      </w:pBdr>
      <w:tabs>
        <w:tab w:val="left" w:pos="851"/>
        <w:tab w:val="right" w:pos="8364"/>
      </w:tabs>
      <w:adjustRightInd w:val="0"/>
      <w:snapToGrid w:val="0"/>
      <w:jc w:val="both"/>
      <w:rPr>
        <w:rFonts w:ascii="Calibri" w:eastAsia="Calibri" w:hAnsi="Calibri" w:cs="Arial"/>
        <w:sz w:val="22"/>
        <w:szCs w:val="22"/>
      </w:rPr>
    </w:pPr>
    <w:r>
      <w:rPr>
        <w:rFonts w:eastAsia="Calibri"/>
        <w:iCs/>
        <w:color w:val="000000"/>
        <w:sz w:val="20"/>
        <w:szCs w:val="20"/>
      </w:rPr>
      <w:tab/>
    </w:r>
    <w:r>
      <w:rPr>
        <w:rFonts w:eastAsia="Calibri"/>
        <w:sz w:val="20"/>
        <w:szCs w:val="20"/>
      </w:rPr>
      <w:t>Cancer Biology 2022;12(</w:t>
    </w:r>
    <w:r>
      <w:rPr>
        <w:rFonts w:eastAsia="Calibri" w:hint="eastAsia"/>
        <w:sz w:val="20"/>
        <w:szCs w:val="20"/>
        <w:lang w:eastAsia="zh-CN"/>
      </w:rPr>
      <w:t>2</w:t>
    </w:r>
    <w:r>
      <w:rPr>
        <w:rFonts w:eastAsia="Calibri"/>
        <w:sz w:val="20"/>
        <w:szCs w:val="20"/>
      </w:rPr>
      <w:t xml:space="preserve">) </w:t>
    </w:r>
    <w:r>
      <w:rPr>
        <w:rFonts w:eastAsia="Calibri"/>
        <w:color w:val="000000"/>
        <w:sz w:val="20"/>
        <w:szCs w:val="20"/>
      </w:rPr>
      <w:t xml:space="preserve"> </w:t>
    </w:r>
    <w:r>
      <w:rPr>
        <w:rFonts w:eastAsia="宋体"/>
        <w:color w:val="000000"/>
        <w:sz w:val="20"/>
        <w:szCs w:val="20"/>
        <w:lang w:eastAsia="zh-CN"/>
      </w:rPr>
      <w:t xml:space="preserve">      </w:t>
    </w:r>
    <w:r>
      <w:rPr>
        <w:rFonts w:eastAsia="宋体" w:hint="eastAsia"/>
        <w:color w:val="000000"/>
        <w:sz w:val="20"/>
        <w:szCs w:val="20"/>
        <w:lang w:eastAsia="zh-CN"/>
      </w:rPr>
      <w:t xml:space="preserve">     </w:t>
    </w:r>
    <w:r>
      <w:rPr>
        <w:rFonts w:eastAsia="Calibri"/>
        <w:color w:val="000000"/>
        <w:sz w:val="20"/>
        <w:szCs w:val="20"/>
      </w:rPr>
      <w:tab/>
      <w:t xml:space="preserve"> </w:t>
    </w:r>
    <w:r>
      <w:rPr>
        <w:rFonts w:eastAsia="宋体" w:hint="eastAsia"/>
        <w:color w:val="000000"/>
        <w:sz w:val="20"/>
        <w:szCs w:val="20"/>
        <w:lang w:eastAsia="zh-CN"/>
      </w:rPr>
      <w:t xml:space="preserve">       </w:t>
    </w:r>
    <w:r>
      <w:rPr>
        <w:rFonts w:eastAsia="宋体"/>
        <w:color w:val="000000"/>
        <w:sz w:val="20"/>
        <w:szCs w:val="20"/>
        <w:lang w:eastAsia="zh-CN"/>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AC1EB6" w:rsidRDefault="00AC1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B6" w:rsidRDefault="005370F9">
    <w:pPr>
      <w:pStyle w:val="Header"/>
    </w:pPr>
    <w:r>
      <w:rPr>
        <w:noProof/>
        <w:lang w:eastAsia="zh-CN"/>
      </w:rPr>
      <w:drawing>
        <wp:inline distT="0" distB="0" distL="0" distR="0">
          <wp:extent cx="5883910" cy="762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a:stretch>
                    <a:fillRect/>
                  </a:stretch>
                </pic:blipFill>
                <pic:spPr>
                  <a:xfrm>
                    <a:off x="0" y="0"/>
                    <a:ext cx="5883910" cy="762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B6" w:rsidRDefault="005370F9">
    <w:pPr>
      <w:pBdr>
        <w:bottom w:val="thinThickMediumGap" w:sz="12" w:space="1" w:color="auto"/>
      </w:pBdr>
      <w:tabs>
        <w:tab w:val="left" w:pos="851"/>
        <w:tab w:val="right" w:pos="8364"/>
      </w:tabs>
      <w:adjustRightInd w:val="0"/>
      <w:snapToGrid w:val="0"/>
      <w:jc w:val="both"/>
      <w:rPr>
        <w:rFonts w:ascii="Calibri" w:eastAsia="Calibri" w:hAnsi="Calibri" w:cs="Arial"/>
        <w:sz w:val="22"/>
        <w:szCs w:val="22"/>
      </w:rPr>
    </w:pPr>
    <w:r>
      <w:rPr>
        <w:rFonts w:eastAsia="Calibri"/>
        <w:iCs/>
        <w:color w:val="000000"/>
        <w:sz w:val="20"/>
        <w:szCs w:val="20"/>
      </w:rPr>
      <w:tab/>
    </w:r>
    <w:r>
      <w:rPr>
        <w:rFonts w:eastAsia="宋体"/>
        <w:color w:val="000000"/>
        <w:sz w:val="20"/>
        <w:szCs w:val="20"/>
        <w:lang w:eastAsia="zh-CN"/>
      </w:rPr>
      <w:t xml:space="preserve">      </w:t>
    </w:r>
    <w:r>
      <w:rPr>
        <w:rFonts w:eastAsia="宋体" w:hint="eastAsia"/>
        <w:color w:val="000000"/>
        <w:sz w:val="20"/>
        <w:szCs w:val="20"/>
        <w:lang w:eastAsia="zh-CN"/>
      </w:rPr>
      <w:t xml:space="preserve">     </w:t>
    </w:r>
    <w:r>
      <w:rPr>
        <w:rFonts w:eastAsia="Calibri"/>
        <w:color w:val="000000"/>
        <w:sz w:val="20"/>
        <w:szCs w:val="20"/>
      </w:rPr>
      <w:tab/>
      <w:t xml:space="preserve"> </w:t>
    </w:r>
    <w:r>
      <w:rPr>
        <w:rFonts w:eastAsia="宋体" w:hint="eastAsia"/>
        <w:color w:val="000000"/>
        <w:sz w:val="20"/>
        <w:szCs w:val="20"/>
        <w:lang w:eastAsia="zh-CN"/>
      </w:rPr>
      <w:t xml:space="preserve">     </w:t>
    </w:r>
    <w:r>
      <w:rPr>
        <w:rFonts w:eastAsia="Calibri"/>
        <w:sz w:val="20"/>
        <w:szCs w:val="20"/>
      </w:rPr>
      <w:t>Cancer Biology 2022;12(</w:t>
    </w:r>
    <w:r>
      <w:rPr>
        <w:rFonts w:eastAsia="Calibri" w:hint="eastAsia"/>
        <w:sz w:val="20"/>
        <w:szCs w:val="20"/>
        <w:lang w:eastAsia="zh-CN"/>
      </w:rPr>
      <w:t>2</w:t>
    </w:r>
    <w:r>
      <w:rPr>
        <w:rFonts w:eastAsia="Calibri"/>
        <w:sz w:val="20"/>
        <w:szCs w:val="20"/>
      </w:rPr>
      <w:t xml:space="preserve">) </w:t>
    </w:r>
    <w:r>
      <w:rPr>
        <w:rFonts w:eastAsia="Calibri"/>
        <w:color w:val="000000"/>
        <w:sz w:val="20"/>
        <w:szCs w:val="20"/>
      </w:rPr>
      <w:t xml:space="preserve"> </w:t>
    </w:r>
    <w:r>
      <w:rPr>
        <w:rFonts w:eastAsia="宋体" w:hint="eastAsia"/>
        <w:color w:val="000000"/>
        <w:sz w:val="20"/>
        <w:szCs w:val="20"/>
        <w:lang w:eastAsia="zh-CN"/>
      </w:rPr>
      <w:t xml:space="preserve">                                       </w:t>
    </w:r>
    <w:r>
      <w:rPr>
        <w:rFonts w:eastAsia="宋体"/>
        <w:color w:val="000000"/>
        <w:sz w:val="20"/>
        <w:szCs w:val="20"/>
        <w:lang w:eastAsia="zh-CN"/>
      </w:rPr>
      <w:t xml:space="preserve"> </w:t>
    </w:r>
    <w:r>
      <w:rPr>
        <w:rFonts w:eastAsia="宋体" w:hint="eastAsia"/>
        <w:color w:val="000000"/>
        <w:sz w:val="20"/>
        <w:szCs w:val="20"/>
        <w:lang w:eastAsia="zh-CN"/>
      </w:rPr>
      <w:t xml:space="preserve"> </w:t>
    </w:r>
    <w:r>
      <w:rPr>
        <w:rFonts w:eastAsia="宋体"/>
        <w:color w:val="000000"/>
        <w:sz w:val="20"/>
        <w:szCs w:val="20"/>
        <w:lang w:eastAsia="zh-CN"/>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AC1EB6" w:rsidRDefault="00AC1E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697"/>
    <w:multiLevelType w:val="multilevel"/>
    <w:tmpl w:val="06A64697"/>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977ABF"/>
    <w:multiLevelType w:val="multilevel"/>
    <w:tmpl w:val="20977ABF"/>
    <w:lvl w:ilvl="0">
      <w:start w:val="1"/>
      <w:numFmt w:val="lowerLetter"/>
      <w:pStyle w:val="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15123BB"/>
    <w:multiLevelType w:val="multilevel"/>
    <w:tmpl w:val="31512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967EA2"/>
    <w:multiLevelType w:val="multilevel"/>
    <w:tmpl w:val="35967EA2"/>
    <w:lvl w:ilvl="0">
      <w:start w:val="1"/>
      <w:numFmt w:val="bullet"/>
      <w:pStyle w:val="H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94869F2"/>
    <w:multiLevelType w:val="multilevel"/>
    <w:tmpl w:val="394869F2"/>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6032B5F"/>
    <w:multiLevelType w:val="multilevel"/>
    <w:tmpl w:val="46032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7FE0C85"/>
    <w:multiLevelType w:val="multilevel"/>
    <w:tmpl w:val="47FE0C85"/>
    <w:lvl w:ilvl="0">
      <w:start w:val="1"/>
      <w:numFmt w:val="upperRoman"/>
      <w:pStyle w:val="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BA65DD5"/>
    <w:multiLevelType w:val="multilevel"/>
    <w:tmpl w:val="4BA65DD5"/>
    <w:lvl w:ilvl="0">
      <w:start w:val="1"/>
      <w:numFmt w:val="bullet"/>
      <w:pStyle w:val="H3-Bul"/>
      <w:lvlText w:val=""/>
      <w:lvlJc w:val="left"/>
      <w:pPr>
        <w:ind w:left="1980" w:hanging="360"/>
      </w:pPr>
      <w:rPr>
        <w:rFonts w:ascii="Wingdings" w:hAnsi="Wingdings"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6DD6BE3"/>
    <w:multiLevelType w:val="multilevel"/>
    <w:tmpl w:val="66DD6B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3"/>
  </w:num>
  <w:num w:numId="6">
    <w:abstractNumId w:val="2"/>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W0MDOxMDa0MDczMjBR0lEKTi0uzszPAykwMa0FABTPwnQ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ef5xtes35w0tcef5tqva5xreswtvzfdf020&quot;&gt;Untitl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record-ids&gt;&lt;/item&gt;&lt;/Libraries&gt;"/>
  </w:docVars>
  <w:rsids>
    <w:rsidRoot w:val="00916BA2"/>
    <w:rsid w:val="00000FDB"/>
    <w:rsid w:val="00001A0E"/>
    <w:rsid w:val="00002315"/>
    <w:rsid w:val="00004450"/>
    <w:rsid w:val="00004AE7"/>
    <w:rsid w:val="00005E19"/>
    <w:rsid w:val="00005ED3"/>
    <w:rsid w:val="00013BEA"/>
    <w:rsid w:val="0001475D"/>
    <w:rsid w:val="00014B1F"/>
    <w:rsid w:val="00015001"/>
    <w:rsid w:val="000165C7"/>
    <w:rsid w:val="000168DA"/>
    <w:rsid w:val="000218C2"/>
    <w:rsid w:val="00023622"/>
    <w:rsid w:val="0002402E"/>
    <w:rsid w:val="00024BE3"/>
    <w:rsid w:val="000272C8"/>
    <w:rsid w:val="00030081"/>
    <w:rsid w:val="0003028C"/>
    <w:rsid w:val="000324AC"/>
    <w:rsid w:val="00033297"/>
    <w:rsid w:val="00033A67"/>
    <w:rsid w:val="00034CA3"/>
    <w:rsid w:val="00037737"/>
    <w:rsid w:val="000379C8"/>
    <w:rsid w:val="00037C78"/>
    <w:rsid w:val="00040DB6"/>
    <w:rsid w:val="00041E9C"/>
    <w:rsid w:val="0004269D"/>
    <w:rsid w:val="000452FF"/>
    <w:rsid w:val="0004681D"/>
    <w:rsid w:val="0004748B"/>
    <w:rsid w:val="00047FE6"/>
    <w:rsid w:val="000503A4"/>
    <w:rsid w:val="000512FF"/>
    <w:rsid w:val="00052A68"/>
    <w:rsid w:val="000537D0"/>
    <w:rsid w:val="00053ABF"/>
    <w:rsid w:val="00053E72"/>
    <w:rsid w:val="00055318"/>
    <w:rsid w:val="0006154D"/>
    <w:rsid w:val="00067E4B"/>
    <w:rsid w:val="00072A9D"/>
    <w:rsid w:val="0007335E"/>
    <w:rsid w:val="00074486"/>
    <w:rsid w:val="000757FE"/>
    <w:rsid w:val="000761D9"/>
    <w:rsid w:val="00080E09"/>
    <w:rsid w:val="00081558"/>
    <w:rsid w:val="00084713"/>
    <w:rsid w:val="00091675"/>
    <w:rsid w:val="00091F6D"/>
    <w:rsid w:val="00094CFD"/>
    <w:rsid w:val="00095208"/>
    <w:rsid w:val="000A19A5"/>
    <w:rsid w:val="000A29F6"/>
    <w:rsid w:val="000A3D56"/>
    <w:rsid w:val="000A421B"/>
    <w:rsid w:val="000A59B2"/>
    <w:rsid w:val="000A5DBF"/>
    <w:rsid w:val="000A6817"/>
    <w:rsid w:val="000A7E71"/>
    <w:rsid w:val="000B05FC"/>
    <w:rsid w:val="000B157B"/>
    <w:rsid w:val="000B3EF3"/>
    <w:rsid w:val="000B47CC"/>
    <w:rsid w:val="000C0E75"/>
    <w:rsid w:val="000C12C1"/>
    <w:rsid w:val="000C22DA"/>
    <w:rsid w:val="000C2EAB"/>
    <w:rsid w:val="000C4298"/>
    <w:rsid w:val="000C53C2"/>
    <w:rsid w:val="000C6E0B"/>
    <w:rsid w:val="000C77C4"/>
    <w:rsid w:val="000D1C65"/>
    <w:rsid w:val="000D7389"/>
    <w:rsid w:val="000E1BCF"/>
    <w:rsid w:val="000E3627"/>
    <w:rsid w:val="000E48F6"/>
    <w:rsid w:val="000E7E60"/>
    <w:rsid w:val="000F0613"/>
    <w:rsid w:val="000F14CE"/>
    <w:rsid w:val="000F1A04"/>
    <w:rsid w:val="000F31AD"/>
    <w:rsid w:val="000F68B3"/>
    <w:rsid w:val="000F7269"/>
    <w:rsid w:val="000F7C10"/>
    <w:rsid w:val="00103F52"/>
    <w:rsid w:val="0010614B"/>
    <w:rsid w:val="0010662C"/>
    <w:rsid w:val="00111707"/>
    <w:rsid w:val="00112257"/>
    <w:rsid w:val="001126A6"/>
    <w:rsid w:val="001146E3"/>
    <w:rsid w:val="001179BE"/>
    <w:rsid w:val="0012287F"/>
    <w:rsid w:val="00126F4B"/>
    <w:rsid w:val="001312B2"/>
    <w:rsid w:val="00131D8E"/>
    <w:rsid w:val="00134CE7"/>
    <w:rsid w:val="0013543E"/>
    <w:rsid w:val="00137418"/>
    <w:rsid w:val="00137738"/>
    <w:rsid w:val="00142399"/>
    <w:rsid w:val="001436FC"/>
    <w:rsid w:val="001451AC"/>
    <w:rsid w:val="00145CA2"/>
    <w:rsid w:val="0015173F"/>
    <w:rsid w:val="00154584"/>
    <w:rsid w:val="00155027"/>
    <w:rsid w:val="00156C90"/>
    <w:rsid w:val="001615A6"/>
    <w:rsid w:val="001617C8"/>
    <w:rsid w:val="00161D7E"/>
    <w:rsid w:val="001630A1"/>
    <w:rsid w:val="00163593"/>
    <w:rsid w:val="001701B9"/>
    <w:rsid w:val="00170E5A"/>
    <w:rsid w:val="00171761"/>
    <w:rsid w:val="0017269F"/>
    <w:rsid w:val="00172C43"/>
    <w:rsid w:val="001730E1"/>
    <w:rsid w:val="001732C9"/>
    <w:rsid w:val="00174DCB"/>
    <w:rsid w:val="00176407"/>
    <w:rsid w:val="00176FF7"/>
    <w:rsid w:val="001814D8"/>
    <w:rsid w:val="0018152B"/>
    <w:rsid w:val="00185C67"/>
    <w:rsid w:val="00187098"/>
    <w:rsid w:val="0018723D"/>
    <w:rsid w:val="001911FE"/>
    <w:rsid w:val="00194BE7"/>
    <w:rsid w:val="00195C33"/>
    <w:rsid w:val="00196000"/>
    <w:rsid w:val="0019739D"/>
    <w:rsid w:val="001975F3"/>
    <w:rsid w:val="001A0CA0"/>
    <w:rsid w:val="001A32BC"/>
    <w:rsid w:val="001A3669"/>
    <w:rsid w:val="001B36C6"/>
    <w:rsid w:val="001B3A29"/>
    <w:rsid w:val="001B6DB6"/>
    <w:rsid w:val="001B7C6B"/>
    <w:rsid w:val="001C0B4A"/>
    <w:rsid w:val="001C1852"/>
    <w:rsid w:val="001C239F"/>
    <w:rsid w:val="001C27C9"/>
    <w:rsid w:val="001C2A49"/>
    <w:rsid w:val="001C4169"/>
    <w:rsid w:val="001C5D47"/>
    <w:rsid w:val="001C72B8"/>
    <w:rsid w:val="001C7DCF"/>
    <w:rsid w:val="001C7F85"/>
    <w:rsid w:val="001D1CAF"/>
    <w:rsid w:val="001D1E5A"/>
    <w:rsid w:val="001D2A2C"/>
    <w:rsid w:val="001D301C"/>
    <w:rsid w:val="001D4A4B"/>
    <w:rsid w:val="001D6138"/>
    <w:rsid w:val="001D7720"/>
    <w:rsid w:val="001E0BC6"/>
    <w:rsid w:val="001E2295"/>
    <w:rsid w:val="001E22FC"/>
    <w:rsid w:val="001E3A85"/>
    <w:rsid w:val="001E56A9"/>
    <w:rsid w:val="001F0874"/>
    <w:rsid w:val="001F1CC7"/>
    <w:rsid w:val="001F383E"/>
    <w:rsid w:val="001F5372"/>
    <w:rsid w:val="001F61EA"/>
    <w:rsid w:val="00200676"/>
    <w:rsid w:val="00204913"/>
    <w:rsid w:val="0021057C"/>
    <w:rsid w:val="00211318"/>
    <w:rsid w:val="00211A67"/>
    <w:rsid w:val="00211CF0"/>
    <w:rsid w:val="002121FB"/>
    <w:rsid w:val="002123B8"/>
    <w:rsid w:val="00214027"/>
    <w:rsid w:val="002142CA"/>
    <w:rsid w:val="0021584D"/>
    <w:rsid w:val="00217486"/>
    <w:rsid w:val="002219F5"/>
    <w:rsid w:val="00223A1C"/>
    <w:rsid w:val="00223F83"/>
    <w:rsid w:val="00225AF3"/>
    <w:rsid w:val="0022647A"/>
    <w:rsid w:val="00227438"/>
    <w:rsid w:val="002307A9"/>
    <w:rsid w:val="00231A2F"/>
    <w:rsid w:val="00232AD0"/>
    <w:rsid w:val="00233C2D"/>
    <w:rsid w:val="00234E0C"/>
    <w:rsid w:val="00235B78"/>
    <w:rsid w:val="002366C6"/>
    <w:rsid w:val="0023708A"/>
    <w:rsid w:val="00237737"/>
    <w:rsid w:val="00237743"/>
    <w:rsid w:val="0024014A"/>
    <w:rsid w:val="00240D6B"/>
    <w:rsid w:val="0024324A"/>
    <w:rsid w:val="00250957"/>
    <w:rsid w:val="00252B89"/>
    <w:rsid w:val="00253B4A"/>
    <w:rsid w:val="00255963"/>
    <w:rsid w:val="00256438"/>
    <w:rsid w:val="00257E18"/>
    <w:rsid w:val="00260B3A"/>
    <w:rsid w:val="002611B0"/>
    <w:rsid w:val="002611F1"/>
    <w:rsid w:val="00262518"/>
    <w:rsid w:val="00262CDF"/>
    <w:rsid w:val="002643C7"/>
    <w:rsid w:val="0026510B"/>
    <w:rsid w:val="00265562"/>
    <w:rsid w:val="00266396"/>
    <w:rsid w:val="00267252"/>
    <w:rsid w:val="00271794"/>
    <w:rsid w:val="0027194C"/>
    <w:rsid w:val="002740F5"/>
    <w:rsid w:val="0027454B"/>
    <w:rsid w:val="00274AD0"/>
    <w:rsid w:val="00275F24"/>
    <w:rsid w:val="00280AE6"/>
    <w:rsid w:val="00280D49"/>
    <w:rsid w:val="002842D3"/>
    <w:rsid w:val="00285AEE"/>
    <w:rsid w:val="00285EFE"/>
    <w:rsid w:val="002864F8"/>
    <w:rsid w:val="002921A8"/>
    <w:rsid w:val="00296531"/>
    <w:rsid w:val="002967F7"/>
    <w:rsid w:val="00297DED"/>
    <w:rsid w:val="002A1010"/>
    <w:rsid w:val="002A47D5"/>
    <w:rsid w:val="002A7C4C"/>
    <w:rsid w:val="002B0D5E"/>
    <w:rsid w:val="002B1834"/>
    <w:rsid w:val="002B4EC7"/>
    <w:rsid w:val="002B790D"/>
    <w:rsid w:val="002C0B31"/>
    <w:rsid w:val="002C1432"/>
    <w:rsid w:val="002C174F"/>
    <w:rsid w:val="002C1CDE"/>
    <w:rsid w:val="002C2229"/>
    <w:rsid w:val="002C4654"/>
    <w:rsid w:val="002C4AAD"/>
    <w:rsid w:val="002C5DF3"/>
    <w:rsid w:val="002D1C61"/>
    <w:rsid w:val="002D22C7"/>
    <w:rsid w:val="002D351A"/>
    <w:rsid w:val="002D4942"/>
    <w:rsid w:val="002D4CC5"/>
    <w:rsid w:val="002D6CBB"/>
    <w:rsid w:val="002D7DC1"/>
    <w:rsid w:val="002E0F51"/>
    <w:rsid w:val="002E0FE3"/>
    <w:rsid w:val="002E28A6"/>
    <w:rsid w:val="002E322E"/>
    <w:rsid w:val="002E454C"/>
    <w:rsid w:val="002E4B9E"/>
    <w:rsid w:val="002E61F1"/>
    <w:rsid w:val="002E6687"/>
    <w:rsid w:val="002E6C48"/>
    <w:rsid w:val="002F01AC"/>
    <w:rsid w:val="002F06AA"/>
    <w:rsid w:val="002F183D"/>
    <w:rsid w:val="002F1FB0"/>
    <w:rsid w:val="002F2E5D"/>
    <w:rsid w:val="002F51F5"/>
    <w:rsid w:val="002F591B"/>
    <w:rsid w:val="002F609D"/>
    <w:rsid w:val="00302003"/>
    <w:rsid w:val="003059CA"/>
    <w:rsid w:val="00306330"/>
    <w:rsid w:val="003063B1"/>
    <w:rsid w:val="003065E7"/>
    <w:rsid w:val="003066CE"/>
    <w:rsid w:val="0030677A"/>
    <w:rsid w:val="00306DDA"/>
    <w:rsid w:val="0031465B"/>
    <w:rsid w:val="00315543"/>
    <w:rsid w:val="00315B60"/>
    <w:rsid w:val="00315E6B"/>
    <w:rsid w:val="00316680"/>
    <w:rsid w:val="003174D8"/>
    <w:rsid w:val="003212EA"/>
    <w:rsid w:val="00322844"/>
    <w:rsid w:val="00323D7F"/>
    <w:rsid w:val="003242F3"/>
    <w:rsid w:val="0032677D"/>
    <w:rsid w:val="003279BB"/>
    <w:rsid w:val="0033063A"/>
    <w:rsid w:val="00332190"/>
    <w:rsid w:val="0033612A"/>
    <w:rsid w:val="00336E92"/>
    <w:rsid w:val="0034192D"/>
    <w:rsid w:val="00342991"/>
    <w:rsid w:val="003446FA"/>
    <w:rsid w:val="00345FF0"/>
    <w:rsid w:val="003516BB"/>
    <w:rsid w:val="00352337"/>
    <w:rsid w:val="00353016"/>
    <w:rsid w:val="00353C41"/>
    <w:rsid w:val="00354C7E"/>
    <w:rsid w:val="0035515E"/>
    <w:rsid w:val="0035557A"/>
    <w:rsid w:val="00360F9C"/>
    <w:rsid w:val="003613B7"/>
    <w:rsid w:val="0036275C"/>
    <w:rsid w:val="00362A0E"/>
    <w:rsid w:val="003635C8"/>
    <w:rsid w:val="003646CD"/>
    <w:rsid w:val="00364ADD"/>
    <w:rsid w:val="00367E75"/>
    <w:rsid w:val="00367EA0"/>
    <w:rsid w:val="003701FD"/>
    <w:rsid w:val="0037199B"/>
    <w:rsid w:val="00371D86"/>
    <w:rsid w:val="00375ED9"/>
    <w:rsid w:val="00376BF9"/>
    <w:rsid w:val="00376C14"/>
    <w:rsid w:val="003775F9"/>
    <w:rsid w:val="00380CD3"/>
    <w:rsid w:val="00380DA4"/>
    <w:rsid w:val="003811CC"/>
    <w:rsid w:val="00382215"/>
    <w:rsid w:val="00385B27"/>
    <w:rsid w:val="00386107"/>
    <w:rsid w:val="00387DEC"/>
    <w:rsid w:val="003942C4"/>
    <w:rsid w:val="003A02C7"/>
    <w:rsid w:val="003A1DE0"/>
    <w:rsid w:val="003A37A4"/>
    <w:rsid w:val="003A49EB"/>
    <w:rsid w:val="003A5586"/>
    <w:rsid w:val="003A7472"/>
    <w:rsid w:val="003A76FE"/>
    <w:rsid w:val="003B1942"/>
    <w:rsid w:val="003B1A4A"/>
    <w:rsid w:val="003B2529"/>
    <w:rsid w:val="003B6E11"/>
    <w:rsid w:val="003C0126"/>
    <w:rsid w:val="003C1CEC"/>
    <w:rsid w:val="003C3E01"/>
    <w:rsid w:val="003C42C7"/>
    <w:rsid w:val="003C4F9E"/>
    <w:rsid w:val="003C505A"/>
    <w:rsid w:val="003C66C2"/>
    <w:rsid w:val="003C6959"/>
    <w:rsid w:val="003C6B7C"/>
    <w:rsid w:val="003C6EED"/>
    <w:rsid w:val="003C7061"/>
    <w:rsid w:val="003C7E03"/>
    <w:rsid w:val="003D0776"/>
    <w:rsid w:val="003D20F5"/>
    <w:rsid w:val="003D3006"/>
    <w:rsid w:val="003D3BDB"/>
    <w:rsid w:val="003D54A8"/>
    <w:rsid w:val="003D5CEE"/>
    <w:rsid w:val="003D6CC8"/>
    <w:rsid w:val="003D793A"/>
    <w:rsid w:val="003E0252"/>
    <w:rsid w:val="003E053C"/>
    <w:rsid w:val="003E1F88"/>
    <w:rsid w:val="003E35E0"/>
    <w:rsid w:val="003E4EC3"/>
    <w:rsid w:val="003E65AB"/>
    <w:rsid w:val="003E6B17"/>
    <w:rsid w:val="003F0260"/>
    <w:rsid w:val="003F193F"/>
    <w:rsid w:val="003F34E0"/>
    <w:rsid w:val="003F450F"/>
    <w:rsid w:val="003F4F36"/>
    <w:rsid w:val="003F5A3E"/>
    <w:rsid w:val="003F7E7B"/>
    <w:rsid w:val="004013A4"/>
    <w:rsid w:val="00401570"/>
    <w:rsid w:val="0040187E"/>
    <w:rsid w:val="004041C0"/>
    <w:rsid w:val="00406589"/>
    <w:rsid w:val="004069BF"/>
    <w:rsid w:val="00407CD9"/>
    <w:rsid w:val="004125E9"/>
    <w:rsid w:val="0041633B"/>
    <w:rsid w:val="00417F57"/>
    <w:rsid w:val="00424A63"/>
    <w:rsid w:val="004269BD"/>
    <w:rsid w:val="004311CD"/>
    <w:rsid w:val="00432A7C"/>
    <w:rsid w:val="00434472"/>
    <w:rsid w:val="00435071"/>
    <w:rsid w:val="004361F6"/>
    <w:rsid w:val="0043638F"/>
    <w:rsid w:val="0043650D"/>
    <w:rsid w:val="0043696F"/>
    <w:rsid w:val="00437318"/>
    <w:rsid w:val="00437A3E"/>
    <w:rsid w:val="00437C28"/>
    <w:rsid w:val="00437C6D"/>
    <w:rsid w:val="00437F02"/>
    <w:rsid w:val="00442684"/>
    <w:rsid w:val="00443682"/>
    <w:rsid w:val="00443A8D"/>
    <w:rsid w:val="0044512A"/>
    <w:rsid w:val="00445C75"/>
    <w:rsid w:val="00446501"/>
    <w:rsid w:val="00451220"/>
    <w:rsid w:val="00451A31"/>
    <w:rsid w:val="00452171"/>
    <w:rsid w:val="004536B8"/>
    <w:rsid w:val="0045526A"/>
    <w:rsid w:val="004558A9"/>
    <w:rsid w:val="00455B2C"/>
    <w:rsid w:val="004572BF"/>
    <w:rsid w:val="00462175"/>
    <w:rsid w:val="0046290A"/>
    <w:rsid w:val="00462D01"/>
    <w:rsid w:val="00463033"/>
    <w:rsid w:val="00464962"/>
    <w:rsid w:val="00465A1F"/>
    <w:rsid w:val="00466603"/>
    <w:rsid w:val="00467AC9"/>
    <w:rsid w:val="0047052C"/>
    <w:rsid w:val="0047173E"/>
    <w:rsid w:val="004730BC"/>
    <w:rsid w:val="0047319D"/>
    <w:rsid w:val="00473873"/>
    <w:rsid w:val="00473C38"/>
    <w:rsid w:val="004750BC"/>
    <w:rsid w:val="00475929"/>
    <w:rsid w:val="0047643B"/>
    <w:rsid w:val="004769D1"/>
    <w:rsid w:val="004773C0"/>
    <w:rsid w:val="00477DB2"/>
    <w:rsid w:val="00480DF9"/>
    <w:rsid w:val="00484485"/>
    <w:rsid w:val="0048470A"/>
    <w:rsid w:val="00485385"/>
    <w:rsid w:val="00485516"/>
    <w:rsid w:val="00485C16"/>
    <w:rsid w:val="00486A49"/>
    <w:rsid w:val="00491524"/>
    <w:rsid w:val="00492610"/>
    <w:rsid w:val="0049422A"/>
    <w:rsid w:val="00495034"/>
    <w:rsid w:val="004950CF"/>
    <w:rsid w:val="00496203"/>
    <w:rsid w:val="004964DB"/>
    <w:rsid w:val="004B0C59"/>
    <w:rsid w:val="004B1075"/>
    <w:rsid w:val="004B2BD5"/>
    <w:rsid w:val="004B4E05"/>
    <w:rsid w:val="004B4F84"/>
    <w:rsid w:val="004B5505"/>
    <w:rsid w:val="004B7449"/>
    <w:rsid w:val="004C0914"/>
    <w:rsid w:val="004C0BCE"/>
    <w:rsid w:val="004C483D"/>
    <w:rsid w:val="004C5DDE"/>
    <w:rsid w:val="004C771C"/>
    <w:rsid w:val="004D0B13"/>
    <w:rsid w:val="004D24CF"/>
    <w:rsid w:val="004D2600"/>
    <w:rsid w:val="004D3094"/>
    <w:rsid w:val="004D38A0"/>
    <w:rsid w:val="004D45D6"/>
    <w:rsid w:val="004D5CB8"/>
    <w:rsid w:val="004D7A6C"/>
    <w:rsid w:val="004E1901"/>
    <w:rsid w:val="004E1A53"/>
    <w:rsid w:val="004E2937"/>
    <w:rsid w:val="004E298E"/>
    <w:rsid w:val="004E50BC"/>
    <w:rsid w:val="004E6BC7"/>
    <w:rsid w:val="004E7362"/>
    <w:rsid w:val="004E7CD8"/>
    <w:rsid w:val="004F156D"/>
    <w:rsid w:val="004F330D"/>
    <w:rsid w:val="004F3364"/>
    <w:rsid w:val="004F38F8"/>
    <w:rsid w:val="004F405D"/>
    <w:rsid w:val="004F47A3"/>
    <w:rsid w:val="004F5DED"/>
    <w:rsid w:val="004F6811"/>
    <w:rsid w:val="004F6883"/>
    <w:rsid w:val="00501941"/>
    <w:rsid w:val="0050294B"/>
    <w:rsid w:val="0050354D"/>
    <w:rsid w:val="00505106"/>
    <w:rsid w:val="005060C2"/>
    <w:rsid w:val="00506D0C"/>
    <w:rsid w:val="0050760D"/>
    <w:rsid w:val="00507CA0"/>
    <w:rsid w:val="0051065A"/>
    <w:rsid w:val="0051124C"/>
    <w:rsid w:val="0051487C"/>
    <w:rsid w:val="0051751E"/>
    <w:rsid w:val="00517945"/>
    <w:rsid w:val="00522672"/>
    <w:rsid w:val="00523105"/>
    <w:rsid w:val="0052422D"/>
    <w:rsid w:val="00525679"/>
    <w:rsid w:val="00526557"/>
    <w:rsid w:val="0052671D"/>
    <w:rsid w:val="00532F54"/>
    <w:rsid w:val="0053356A"/>
    <w:rsid w:val="00533B2A"/>
    <w:rsid w:val="00533CE3"/>
    <w:rsid w:val="00534F2B"/>
    <w:rsid w:val="00536FD4"/>
    <w:rsid w:val="005370F9"/>
    <w:rsid w:val="005379CA"/>
    <w:rsid w:val="00540273"/>
    <w:rsid w:val="00542115"/>
    <w:rsid w:val="00542CB0"/>
    <w:rsid w:val="00543451"/>
    <w:rsid w:val="005458C9"/>
    <w:rsid w:val="0054739F"/>
    <w:rsid w:val="00547B10"/>
    <w:rsid w:val="005505BF"/>
    <w:rsid w:val="00550EF8"/>
    <w:rsid w:val="005512A8"/>
    <w:rsid w:val="005518DD"/>
    <w:rsid w:val="00553997"/>
    <w:rsid w:val="005577FB"/>
    <w:rsid w:val="00563039"/>
    <w:rsid w:val="0056387A"/>
    <w:rsid w:val="00564708"/>
    <w:rsid w:val="00564A82"/>
    <w:rsid w:val="0056510B"/>
    <w:rsid w:val="00566349"/>
    <w:rsid w:val="0056683E"/>
    <w:rsid w:val="005672E0"/>
    <w:rsid w:val="00573161"/>
    <w:rsid w:val="005739DC"/>
    <w:rsid w:val="00574F0D"/>
    <w:rsid w:val="00580E0F"/>
    <w:rsid w:val="00581236"/>
    <w:rsid w:val="00582766"/>
    <w:rsid w:val="00583746"/>
    <w:rsid w:val="005848CE"/>
    <w:rsid w:val="00585DD4"/>
    <w:rsid w:val="00586064"/>
    <w:rsid w:val="00590D59"/>
    <w:rsid w:val="00591463"/>
    <w:rsid w:val="00591835"/>
    <w:rsid w:val="005922C8"/>
    <w:rsid w:val="0059291D"/>
    <w:rsid w:val="00592A0B"/>
    <w:rsid w:val="0059432A"/>
    <w:rsid w:val="00594C6D"/>
    <w:rsid w:val="00594D93"/>
    <w:rsid w:val="005969A4"/>
    <w:rsid w:val="00596D83"/>
    <w:rsid w:val="005974BF"/>
    <w:rsid w:val="005A176D"/>
    <w:rsid w:val="005A21FF"/>
    <w:rsid w:val="005A29FE"/>
    <w:rsid w:val="005A3BBD"/>
    <w:rsid w:val="005A3F82"/>
    <w:rsid w:val="005A4E94"/>
    <w:rsid w:val="005A7EA7"/>
    <w:rsid w:val="005B1F81"/>
    <w:rsid w:val="005B2C04"/>
    <w:rsid w:val="005B35A1"/>
    <w:rsid w:val="005B48E3"/>
    <w:rsid w:val="005B4992"/>
    <w:rsid w:val="005B624C"/>
    <w:rsid w:val="005C0DD9"/>
    <w:rsid w:val="005C3A39"/>
    <w:rsid w:val="005C7835"/>
    <w:rsid w:val="005C7D8A"/>
    <w:rsid w:val="005D37FF"/>
    <w:rsid w:val="005D38A1"/>
    <w:rsid w:val="005D79B9"/>
    <w:rsid w:val="005D7AC4"/>
    <w:rsid w:val="005E0B3C"/>
    <w:rsid w:val="005E1962"/>
    <w:rsid w:val="005E1B65"/>
    <w:rsid w:val="005E5E77"/>
    <w:rsid w:val="005E6744"/>
    <w:rsid w:val="005F10DB"/>
    <w:rsid w:val="005F1EF9"/>
    <w:rsid w:val="005F347A"/>
    <w:rsid w:val="005F4A40"/>
    <w:rsid w:val="005F4BE5"/>
    <w:rsid w:val="005F4C43"/>
    <w:rsid w:val="005F6005"/>
    <w:rsid w:val="00600B3A"/>
    <w:rsid w:val="00602749"/>
    <w:rsid w:val="00603735"/>
    <w:rsid w:val="00603F2E"/>
    <w:rsid w:val="00604F64"/>
    <w:rsid w:val="00611825"/>
    <w:rsid w:val="006126AB"/>
    <w:rsid w:val="00613178"/>
    <w:rsid w:val="00613D21"/>
    <w:rsid w:val="006152A8"/>
    <w:rsid w:val="0061551B"/>
    <w:rsid w:val="0061664B"/>
    <w:rsid w:val="0061719B"/>
    <w:rsid w:val="006179C3"/>
    <w:rsid w:val="00620018"/>
    <w:rsid w:val="00620BCD"/>
    <w:rsid w:val="006212A6"/>
    <w:rsid w:val="00624A81"/>
    <w:rsid w:val="0062648E"/>
    <w:rsid w:val="0062655E"/>
    <w:rsid w:val="00627D4E"/>
    <w:rsid w:val="006320FC"/>
    <w:rsid w:val="00632F50"/>
    <w:rsid w:val="00633692"/>
    <w:rsid w:val="00633693"/>
    <w:rsid w:val="00633964"/>
    <w:rsid w:val="0063497D"/>
    <w:rsid w:val="00635B6F"/>
    <w:rsid w:val="00635E57"/>
    <w:rsid w:val="00635EB7"/>
    <w:rsid w:val="00637175"/>
    <w:rsid w:val="00643DAB"/>
    <w:rsid w:val="0064400F"/>
    <w:rsid w:val="00644AAB"/>
    <w:rsid w:val="0064568C"/>
    <w:rsid w:val="00646620"/>
    <w:rsid w:val="00647553"/>
    <w:rsid w:val="00647F41"/>
    <w:rsid w:val="00650208"/>
    <w:rsid w:val="00652E99"/>
    <w:rsid w:val="00654462"/>
    <w:rsid w:val="00655205"/>
    <w:rsid w:val="006562A4"/>
    <w:rsid w:val="00656846"/>
    <w:rsid w:val="00656F52"/>
    <w:rsid w:val="00657A14"/>
    <w:rsid w:val="0066076A"/>
    <w:rsid w:val="00660A38"/>
    <w:rsid w:val="00661C0A"/>
    <w:rsid w:val="0066209C"/>
    <w:rsid w:val="00662198"/>
    <w:rsid w:val="0066388D"/>
    <w:rsid w:val="00663A27"/>
    <w:rsid w:val="00663C12"/>
    <w:rsid w:val="006642E1"/>
    <w:rsid w:val="00665CB1"/>
    <w:rsid w:val="006665F4"/>
    <w:rsid w:val="00667C6A"/>
    <w:rsid w:val="00667F3C"/>
    <w:rsid w:val="00672E3D"/>
    <w:rsid w:val="0068157C"/>
    <w:rsid w:val="00682550"/>
    <w:rsid w:val="00683520"/>
    <w:rsid w:val="00683EA1"/>
    <w:rsid w:val="00685398"/>
    <w:rsid w:val="00685AC9"/>
    <w:rsid w:val="00687026"/>
    <w:rsid w:val="006901E4"/>
    <w:rsid w:val="00690A72"/>
    <w:rsid w:val="00690D58"/>
    <w:rsid w:val="006916DF"/>
    <w:rsid w:val="00691B24"/>
    <w:rsid w:val="006923B9"/>
    <w:rsid w:val="00692D4F"/>
    <w:rsid w:val="0069568A"/>
    <w:rsid w:val="00696CAA"/>
    <w:rsid w:val="006976C1"/>
    <w:rsid w:val="00697C6B"/>
    <w:rsid w:val="006A5799"/>
    <w:rsid w:val="006A61E1"/>
    <w:rsid w:val="006A6478"/>
    <w:rsid w:val="006A6746"/>
    <w:rsid w:val="006A7981"/>
    <w:rsid w:val="006B1B02"/>
    <w:rsid w:val="006B2ABB"/>
    <w:rsid w:val="006B56F5"/>
    <w:rsid w:val="006C146F"/>
    <w:rsid w:val="006C246B"/>
    <w:rsid w:val="006C35C9"/>
    <w:rsid w:val="006C50D4"/>
    <w:rsid w:val="006C5790"/>
    <w:rsid w:val="006C6C7C"/>
    <w:rsid w:val="006D0303"/>
    <w:rsid w:val="006D1B55"/>
    <w:rsid w:val="006D4B80"/>
    <w:rsid w:val="006D617E"/>
    <w:rsid w:val="006D7817"/>
    <w:rsid w:val="006E294C"/>
    <w:rsid w:val="006E4BF4"/>
    <w:rsid w:val="006F16AC"/>
    <w:rsid w:val="006F2DD8"/>
    <w:rsid w:val="006F3BAE"/>
    <w:rsid w:val="006F5F6D"/>
    <w:rsid w:val="0070215A"/>
    <w:rsid w:val="00703676"/>
    <w:rsid w:val="007040C3"/>
    <w:rsid w:val="0070542E"/>
    <w:rsid w:val="007065B1"/>
    <w:rsid w:val="007117CE"/>
    <w:rsid w:val="0071230B"/>
    <w:rsid w:val="0071236F"/>
    <w:rsid w:val="0071244B"/>
    <w:rsid w:val="007127A7"/>
    <w:rsid w:val="007132C5"/>
    <w:rsid w:val="00713BFB"/>
    <w:rsid w:val="00715129"/>
    <w:rsid w:val="00715D88"/>
    <w:rsid w:val="00717F84"/>
    <w:rsid w:val="00721129"/>
    <w:rsid w:val="00722189"/>
    <w:rsid w:val="00722D2A"/>
    <w:rsid w:val="00725624"/>
    <w:rsid w:val="00726AD3"/>
    <w:rsid w:val="007315D8"/>
    <w:rsid w:val="007317F5"/>
    <w:rsid w:val="00731A69"/>
    <w:rsid w:val="00732884"/>
    <w:rsid w:val="0073594D"/>
    <w:rsid w:val="00736AD3"/>
    <w:rsid w:val="00736B5A"/>
    <w:rsid w:val="0073725F"/>
    <w:rsid w:val="00740366"/>
    <w:rsid w:val="00740E09"/>
    <w:rsid w:val="0074170D"/>
    <w:rsid w:val="00744105"/>
    <w:rsid w:val="00744478"/>
    <w:rsid w:val="00745343"/>
    <w:rsid w:val="00746D1E"/>
    <w:rsid w:val="00747D33"/>
    <w:rsid w:val="0075124B"/>
    <w:rsid w:val="00754BAB"/>
    <w:rsid w:val="007555A7"/>
    <w:rsid w:val="00755B36"/>
    <w:rsid w:val="007563D6"/>
    <w:rsid w:val="007568BC"/>
    <w:rsid w:val="00757A00"/>
    <w:rsid w:val="00760149"/>
    <w:rsid w:val="007617E4"/>
    <w:rsid w:val="00765B92"/>
    <w:rsid w:val="0077116B"/>
    <w:rsid w:val="00771911"/>
    <w:rsid w:val="007733E9"/>
    <w:rsid w:val="00776690"/>
    <w:rsid w:val="00783B50"/>
    <w:rsid w:val="00783EE5"/>
    <w:rsid w:val="007869FA"/>
    <w:rsid w:val="00787488"/>
    <w:rsid w:val="007876EE"/>
    <w:rsid w:val="00787D38"/>
    <w:rsid w:val="0079043B"/>
    <w:rsid w:val="0079122C"/>
    <w:rsid w:val="007925CD"/>
    <w:rsid w:val="007928C2"/>
    <w:rsid w:val="007938D1"/>
    <w:rsid w:val="00793E58"/>
    <w:rsid w:val="00794DE6"/>
    <w:rsid w:val="007951D7"/>
    <w:rsid w:val="007A0286"/>
    <w:rsid w:val="007A107D"/>
    <w:rsid w:val="007A2382"/>
    <w:rsid w:val="007A3834"/>
    <w:rsid w:val="007A42C4"/>
    <w:rsid w:val="007A551E"/>
    <w:rsid w:val="007A5D75"/>
    <w:rsid w:val="007A6C2F"/>
    <w:rsid w:val="007A7392"/>
    <w:rsid w:val="007B16A9"/>
    <w:rsid w:val="007B18B2"/>
    <w:rsid w:val="007B546B"/>
    <w:rsid w:val="007B7407"/>
    <w:rsid w:val="007C32FC"/>
    <w:rsid w:val="007C4F60"/>
    <w:rsid w:val="007C5098"/>
    <w:rsid w:val="007C55F5"/>
    <w:rsid w:val="007C6E25"/>
    <w:rsid w:val="007D1600"/>
    <w:rsid w:val="007D29B7"/>
    <w:rsid w:val="007D2BD9"/>
    <w:rsid w:val="007D33A8"/>
    <w:rsid w:val="007D368B"/>
    <w:rsid w:val="007D3E39"/>
    <w:rsid w:val="007E23F1"/>
    <w:rsid w:val="007E5C2F"/>
    <w:rsid w:val="007E5E43"/>
    <w:rsid w:val="007E7135"/>
    <w:rsid w:val="007F044F"/>
    <w:rsid w:val="007F3070"/>
    <w:rsid w:val="007F3A78"/>
    <w:rsid w:val="007F57CF"/>
    <w:rsid w:val="007F5828"/>
    <w:rsid w:val="007F7859"/>
    <w:rsid w:val="00804012"/>
    <w:rsid w:val="008052E6"/>
    <w:rsid w:val="00805889"/>
    <w:rsid w:val="00805F92"/>
    <w:rsid w:val="008078EE"/>
    <w:rsid w:val="00807B78"/>
    <w:rsid w:val="00810114"/>
    <w:rsid w:val="00811139"/>
    <w:rsid w:val="0081299B"/>
    <w:rsid w:val="0081487A"/>
    <w:rsid w:val="00820918"/>
    <w:rsid w:val="00820C8E"/>
    <w:rsid w:val="00822120"/>
    <w:rsid w:val="00826F8D"/>
    <w:rsid w:val="00827099"/>
    <w:rsid w:val="00830F33"/>
    <w:rsid w:val="00831FE9"/>
    <w:rsid w:val="00832890"/>
    <w:rsid w:val="008333D0"/>
    <w:rsid w:val="00834CDC"/>
    <w:rsid w:val="008357CA"/>
    <w:rsid w:val="0083736A"/>
    <w:rsid w:val="008401C3"/>
    <w:rsid w:val="00842E0E"/>
    <w:rsid w:val="00851A8C"/>
    <w:rsid w:val="00855147"/>
    <w:rsid w:val="00855382"/>
    <w:rsid w:val="008558EC"/>
    <w:rsid w:val="00856F09"/>
    <w:rsid w:val="0086016E"/>
    <w:rsid w:val="0086049C"/>
    <w:rsid w:val="00861212"/>
    <w:rsid w:val="008617E3"/>
    <w:rsid w:val="00861BA0"/>
    <w:rsid w:val="00862F73"/>
    <w:rsid w:val="00862FE7"/>
    <w:rsid w:val="008640D2"/>
    <w:rsid w:val="0087149D"/>
    <w:rsid w:val="0087152F"/>
    <w:rsid w:val="0087244A"/>
    <w:rsid w:val="00872BC4"/>
    <w:rsid w:val="00873C9F"/>
    <w:rsid w:val="00874096"/>
    <w:rsid w:val="008742EE"/>
    <w:rsid w:val="0087651E"/>
    <w:rsid w:val="008774E0"/>
    <w:rsid w:val="00882A7B"/>
    <w:rsid w:val="0088381F"/>
    <w:rsid w:val="0088418F"/>
    <w:rsid w:val="00885E78"/>
    <w:rsid w:val="00886CB4"/>
    <w:rsid w:val="00894ADD"/>
    <w:rsid w:val="008976E9"/>
    <w:rsid w:val="008A149D"/>
    <w:rsid w:val="008A3446"/>
    <w:rsid w:val="008A392B"/>
    <w:rsid w:val="008A45A2"/>
    <w:rsid w:val="008A794D"/>
    <w:rsid w:val="008A7C36"/>
    <w:rsid w:val="008B1D9E"/>
    <w:rsid w:val="008B23EB"/>
    <w:rsid w:val="008B23FB"/>
    <w:rsid w:val="008B3322"/>
    <w:rsid w:val="008B4967"/>
    <w:rsid w:val="008B4FA5"/>
    <w:rsid w:val="008B6B5B"/>
    <w:rsid w:val="008B74B8"/>
    <w:rsid w:val="008C2012"/>
    <w:rsid w:val="008C2AD2"/>
    <w:rsid w:val="008C2DAA"/>
    <w:rsid w:val="008C3C62"/>
    <w:rsid w:val="008C3C89"/>
    <w:rsid w:val="008C3E29"/>
    <w:rsid w:val="008C4530"/>
    <w:rsid w:val="008C56E2"/>
    <w:rsid w:val="008C6162"/>
    <w:rsid w:val="008D4219"/>
    <w:rsid w:val="008E2EA9"/>
    <w:rsid w:val="008E5BED"/>
    <w:rsid w:val="008E60F5"/>
    <w:rsid w:val="008E67FC"/>
    <w:rsid w:val="008E765F"/>
    <w:rsid w:val="008E7F6B"/>
    <w:rsid w:val="008F41E1"/>
    <w:rsid w:val="008F58C3"/>
    <w:rsid w:val="009003AE"/>
    <w:rsid w:val="009005F0"/>
    <w:rsid w:val="00902717"/>
    <w:rsid w:val="00903468"/>
    <w:rsid w:val="009049ED"/>
    <w:rsid w:val="00904B55"/>
    <w:rsid w:val="0091051F"/>
    <w:rsid w:val="0091148C"/>
    <w:rsid w:val="00911FC3"/>
    <w:rsid w:val="009128FA"/>
    <w:rsid w:val="009134D6"/>
    <w:rsid w:val="00913797"/>
    <w:rsid w:val="00914483"/>
    <w:rsid w:val="0091485C"/>
    <w:rsid w:val="00915C79"/>
    <w:rsid w:val="00916BA2"/>
    <w:rsid w:val="00921553"/>
    <w:rsid w:val="0092269C"/>
    <w:rsid w:val="00923E75"/>
    <w:rsid w:val="00926B56"/>
    <w:rsid w:val="009275A7"/>
    <w:rsid w:val="009275FA"/>
    <w:rsid w:val="009276ED"/>
    <w:rsid w:val="00931A85"/>
    <w:rsid w:val="00931E95"/>
    <w:rsid w:val="00932BD6"/>
    <w:rsid w:val="00943AE2"/>
    <w:rsid w:val="00943D71"/>
    <w:rsid w:val="0094440A"/>
    <w:rsid w:val="00945840"/>
    <w:rsid w:val="00945D33"/>
    <w:rsid w:val="00950A9C"/>
    <w:rsid w:val="00950B45"/>
    <w:rsid w:val="00951783"/>
    <w:rsid w:val="009528C0"/>
    <w:rsid w:val="0095382F"/>
    <w:rsid w:val="0095428B"/>
    <w:rsid w:val="00954866"/>
    <w:rsid w:val="00955D04"/>
    <w:rsid w:val="00962237"/>
    <w:rsid w:val="0096329C"/>
    <w:rsid w:val="00963DE5"/>
    <w:rsid w:val="00964398"/>
    <w:rsid w:val="0096453D"/>
    <w:rsid w:val="00964B36"/>
    <w:rsid w:val="00966192"/>
    <w:rsid w:val="0097051A"/>
    <w:rsid w:val="00970E9E"/>
    <w:rsid w:val="009720EB"/>
    <w:rsid w:val="009723FA"/>
    <w:rsid w:val="00972B5C"/>
    <w:rsid w:val="00974946"/>
    <w:rsid w:val="0097530E"/>
    <w:rsid w:val="0097619D"/>
    <w:rsid w:val="00977254"/>
    <w:rsid w:val="00977C56"/>
    <w:rsid w:val="0098059F"/>
    <w:rsid w:val="00980A2C"/>
    <w:rsid w:val="00980E6A"/>
    <w:rsid w:val="0098124C"/>
    <w:rsid w:val="00983D55"/>
    <w:rsid w:val="00984137"/>
    <w:rsid w:val="00985957"/>
    <w:rsid w:val="0099148B"/>
    <w:rsid w:val="009920E7"/>
    <w:rsid w:val="0099211E"/>
    <w:rsid w:val="00992C25"/>
    <w:rsid w:val="009938F5"/>
    <w:rsid w:val="00994105"/>
    <w:rsid w:val="00995374"/>
    <w:rsid w:val="0099693A"/>
    <w:rsid w:val="00997279"/>
    <w:rsid w:val="00997C17"/>
    <w:rsid w:val="00997FE1"/>
    <w:rsid w:val="009A282B"/>
    <w:rsid w:val="009A2FAF"/>
    <w:rsid w:val="009A5937"/>
    <w:rsid w:val="009A6AEA"/>
    <w:rsid w:val="009B2DEF"/>
    <w:rsid w:val="009B36B5"/>
    <w:rsid w:val="009B38E3"/>
    <w:rsid w:val="009B4134"/>
    <w:rsid w:val="009B4498"/>
    <w:rsid w:val="009B5E4B"/>
    <w:rsid w:val="009B7F40"/>
    <w:rsid w:val="009C0328"/>
    <w:rsid w:val="009C1A01"/>
    <w:rsid w:val="009C29AC"/>
    <w:rsid w:val="009C3139"/>
    <w:rsid w:val="009C6C4B"/>
    <w:rsid w:val="009C75D5"/>
    <w:rsid w:val="009C7AAC"/>
    <w:rsid w:val="009D0DD6"/>
    <w:rsid w:val="009D13E2"/>
    <w:rsid w:val="009D1643"/>
    <w:rsid w:val="009D1F2C"/>
    <w:rsid w:val="009D5346"/>
    <w:rsid w:val="009D53B9"/>
    <w:rsid w:val="009D5B58"/>
    <w:rsid w:val="009E235B"/>
    <w:rsid w:val="009E3132"/>
    <w:rsid w:val="009E3BFD"/>
    <w:rsid w:val="009E426D"/>
    <w:rsid w:val="009E638B"/>
    <w:rsid w:val="009F0038"/>
    <w:rsid w:val="009F1BB8"/>
    <w:rsid w:val="009F2404"/>
    <w:rsid w:val="009F2457"/>
    <w:rsid w:val="009F2F55"/>
    <w:rsid w:val="009F4E91"/>
    <w:rsid w:val="009F5C0D"/>
    <w:rsid w:val="009F77F2"/>
    <w:rsid w:val="00A0003B"/>
    <w:rsid w:val="00A00B2C"/>
    <w:rsid w:val="00A04B2B"/>
    <w:rsid w:val="00A05942"/>
    <w:rsid w:val="00A05F9E"/>
    <w:rsid w:val="00A07885"/>
    <w:rsid w:val="00A07990"/>
    <w:rsid w:val="00A10B17"/>
    <w:rsid w:val="00A1268E"/>
    <w:rsid w:val="00A13A3F"/>
    <w:rsid w:val="00A16519"/>
    <w:rsid w:val="00A16E2C"/>
    <w:rsid w:val="00A219C5"/>
    <w:rsid w:val="00A22644"/>
    <w:rsid w:val="00A2699F"/>
    <w:rsid w:val="00A26BAB"/>
    <w:rsid w:val="00A27380"/>
    <w:rsid w:val="00A27586"/>
    <w:rsid w:val="00A27D86"/>
    <w:rsid w:val="00A30023"/>
    <w:rsid w:val="00A30157"/>
    <w:rsid w:val="00A30F82"/>
    <w:rsid w:val="00A31E23"/>
    <w:rsid w:val="00A31F98"/>
    <w:rsid w:val="00A3366F"/>
    <w:rsid w:val="00A34349"/>
    <w:rsid w:val="00A359E5"/>
    <w:rsid w:val="00A361FD"/>
    <w:rsid w:val="00A4031C"/>
    <w:rsid w:val="00A423AB"/>
    <w:rsid w:val="00A427D6"/>
    <w:rsid w:val="00A43F01"/>
    <w:rsid w:val="00A445BB"/>
    <w:rsid w:val="00A457E8"/>
    <w:rsid w:val="00A45DCE"/>
    <w:rsid w:val="00A54855"/>
    <w:rsid w:val="00A56415"/>
    <w:rsid w:val="00A56E26"/>
    <w:rsid w:val="00A61736"/>
    <w:rsid w:val="00A62982"/>
    <w:rsid w:val="00A62FED"/>
    <w:rsid w:val="00A638F9"/>
    <w:rsid w:val="00A64268"/>
    <w:rsid w:val="00A65CC0"/>
    <w:rsid w:val="00A66203"/>
    <w:rsid w:val="00A7099B"/>
    <w:rsid w:val="00A70CC5"/>
    <w:rsid w:val="00A72079"/>
    <w:rsid w:val="00A73D0C"/>
    <w:rsid w:val="00A73F87"/>
    <w:rsid w:val="00A74BC7"/>
    <w:rsid w:val="00A7636A"/>
    <w:rsid w:val="00A80DB7"/>
    <w:rsid w:val="00A8272F"/>
    <w:rsid w:val="00A82C22"/>
    <w:rsid w:val="00A84F12"/>
    <w:rsid w:val="00A853A1"/>
    <w:rsid w:val="00A85D83"/>
    <w:rsid w:val="00A86FAC"/>
    <w:rsid w:val="00A900C0"/>
    <w:rsid w:val="00A90F42"/>
    <w:rsid w:val="00A936AB"/>
    <w:rsid w:val="00A93C60"/>
    <w:rsid w:val="00A95361"/>
    <w:rsid w:val="00A957B7"/>
    <w:rsid w:val="00A95E11"/>
    <w:rsid w:val="00AA0BEE"/>
    <w:rsid w:val="00AA1BC3"/>
    <w:rsid w:val="00AA391F"/>
    <w:rsid w:val="00AA3A1B"/>
    <w:rsid w:val="00AA4766"/>
    <w:rsid w:val="00AA4DA9"/>
    <w:rsid w:val="00AA5796"/>
    <w:rsid w:val="00AA579D"/>
    <w:rsid w:val="00AA67E9"/>
    <w:rsid w:val="00AA7317"/>
    <w:rsid w:val="00AB09D5"/>
    <w:rsid w:val="00AB2376"/>
    <w:rsid w:val="00AB312F"/>
    <w:rsid w:val="00AB33A1"/>
    <w:rsid w:val="00AB353A"/>
    <w:rsid w:val="00AB425C"/>
    <w:rsid w:val="00AB4D07"/>
    <w:rsid w:val="00AB568A"/>
    <w:rsid w:val="00AB7197"/>
    <w:rsid w:val="00AC011E"/>
    <w:rsid w:val="00AC1EB6"/>
    <w:rsid w:val="00AC2859"/>
    <w:rsid w:val="00AC5320"/>
    <w:rsid w:val="00AC755D"/>
    <w:rsid w:val="00AC7EB8"/>
    <w:rsid w:val="00AD0D45"/>
    <w:rsid w:val="00AD51CB"/>
    <w:rsid w:val="00AE0DB9"/>
    <w:rsid w:val="00AE1516"/>
    <w:rsid w:val="00AE1B4C"/>
    <w:rsid w:val="00AE1EFF"/>
    <w:rsid w:val="00AE203C"/>
    <w:rsid w:val="00AE3FE8"/>
    <w:rsid w:val="00AE5179"/>
    <w:rsid w:val="00AE5CD7"/>
    <w:rsid w:val="00AE73B8"/>
    <w:rsid w:val="00AE7935"/>
    <w:rsid w:val="00AF1DAD"/>
    <w:rsid w:val="00AF7AB5"/>
    <w:rsid w:val="00B03270"/>
    <w:rsid w:val="00B0349A"/>
    <w:rsid w:val="00B03F92"/>
    <w:rsid w:val="00B03FDF"/>
    <w:rsid w:val="00B04D0B"/>
    <w:rsid w:val="00B05C1B"/>
    <w:rsid w:val="00B06DD0"/>
    <w:rsid w:val="00B1025F"/>
    <w:rsid w:val="00B12964"/>
    <w:rsid w:val="00B14796"/>
    <w:rsid w:val="00B21D13"/>
    <w:rsid w:val="00B233D5"/>
    <w:rsid w:val="00B25513"/>
    <w:rsid w:val="00B25DCF"/>
    <w:rsid w:val="00B25FCF"/>
    <w:rsid w:val="00B26DAC"/>
    <w:rsid w:val="00B30F9A"/>
    <w:rsid w:val="00B320A4"/>
    <w:rsid w:val="00B3274C"/>
    <w:rsid w:val="00B32A79"/>
    <w:rsid w:val="00B32FD9"/>
    <w:rsid w:val="00B338BE"/>
    <w:rsid w:val="00B3477D"/>
    <w:rsid w:val="00B353F2"/>
    <w:rsid w:val="00B3638B"/>
    <w:rsid w:val="00B3674E"/>
    <w:rsid w:val="00B36A19"/>
    <w:rsid w:val="00B379B2"/>
    <w:rsid w:val="00B4515A"/>
    <w:rsid w:val="00B45EF8"/>
    <w:rsid w:val="00B464C3"/>
    <w:rsid w:val="00B47196"/>
    <w:rsid w:val="00B47739"/>
    <w:rsid w:val="00B47A5D"/>
    <w:rsid w:val="00B50639"/>
    <w:rsid w:val="00B50895"/>
    <w:rsid w:val="00B51F55"/>
    <w:rsid w:val="00B53362"/>
    <w:rsid w:val="00B5360F"/>
    <w:rsid w:val="00B572AB"/>
    <w:rsid w:val="00B57A34"/>
    <w:rsid w:val="00B608B6"/>
    <w:rsid w:val="00B611F4"/>
    <w:rsid w:val="00B66C72"/>
    <w:rsid w:val="00B701C4"/>
    <w:rsid w:val="00B70397"/>
    <w:rsid w:val="00B71247"/>
    <w:rsid w:val="00B713B3"/>
    <w:rsid w:val="00B721D1"/>
    <w:rsid w:val="00B726B0"/>
    <w:rsid w:val="00B73586"/>
    <w:rsid w:val="00B754C8"/>
    <w:rsid w:val="00B83719"/>
    <w:rsid w:val="00B84478"/>
    <w:rsid w:val="00B8461E"/>
    <w:rsid w:val="00B852A9"/>
    <w:rsid w:val="00B917F9"/>
    <w:rsid w:val="00B92CFB"/>
    <w:rsid w:val="00B92D4F"/>
    <w:rsid w:val="00B92DF7"/>
    <w:rsid w:val="00B93581"/>
    <w:rsid w:val="00BA1E33"/>
    <w:rsid w:val="00BA2C70"/>
    <w:rsid w:val="00BA338A"/>
    <w:rsid w:val="00BA3A78"/>
    <w:rsid w:val="00BA5B5D"/>
    <w:rsid w:val="00BA6BF0"/>
    <w:rsid w:val="00BA797A"/>
    <w:rsid w:val="00BB22DC"/>
    <w:rsid w:val="00BB5E7B"/>
    <w:rsid w:val="00BB6890"/>
    <w:rsid w:val="00BB7C36"/>
    <w:rsid w:val="00BC05EB"/>
    <w:rsid w:val="00BC1469"/>
    <w:rsid w:val="00BC31AB"/>
    <w:rsid w:val="00BC4001"/>
    <w:rsid w:val="00BC7491"/>
    <w:rsid w:val="00BC7D61"/>
    <w:rsid w:val="00BD1C03"/>
    <w:rsid w:val="00BD267E"/>
    <w:rsid w:val="00BD7AA8"/>
    <w:rsid w:val="00BD7ED1"/>
    <w:rsid w:val="00BE0321"/>
    <w:rsid w:val="00BE07C8"/>
    <w:rsid w:val="00BE4400"/>
    <w:rsid w:val="00BE49CD"/>
    <w:rsid w:val="00BE516A"/>
    <w:rsid w:val="00BE53BA"/>
    <w:rsid w:val="00BE633E"/>
    <w:rsid w:val="00BE6F30"/>
    <w:rsid w:val="00BF6D22"/>
    <w:rsid w:val="00BF74D1"/>
    <w:rsid w:val="00C0031B"/>
    <w:rsid w:val="00C0336C"/>
    <w:rsid w:val="00C0735A"/>
    <w:rsid w:val="00C07C51"/>
    <w:rsid w:val="00C114BC"/>
    <w:rsid w:val="00C11C1D"/>
    <w:rsid w:val="00C12AB7"/>
    <w:rsid w:val="00C13863"/>
    <w:rsid w:val="00C13CA4"/>
    <w:rsid w:val="00C14484"/>
    <w:rsid w:val="00C15262"/>
    <w:rsid w:val="00C21A6B"/>
    <w:rsid w:val="00C22429"/>
    <w:rsid w:val="00C2469A"/>
    <w:rsid w:val="00C27392"/>
    <w:rsid w:val="00C30D0F"/>
    <w:rsid w:val="00C33C8F"/>
    <w:rsid w:val="00C33E2E"/>
    <w:rsid w:val="00C3612C"/>
    <w:rsid w:val="00C36EF4"/>
    <w:rsid w:val="00C40C01"/>
    <w:rsid w:val="00C413D1"/>
    <w:rsid w:val="00C43CD4"/>
    <w:rsid w:val="00C440C4"/>
    <w:rsid w:val="00C443D0"/>
    <w:rsid w:val="00C45B56"/>
    <w:rsid w:val="00C45EDF"/>
    <w:rsid w:val="00C45F1E"/>
    <w:rsid w:val="00C4629D"/>
    <w:rsid w:val="00C471F8"/>
    <w:rsid w:val="00C47283"/>
    <w:rsid w:val="00C47A8A"/>
    <w:rsid w:val="00C51C1B"/>
    <w:rsid w:val="00C526B1"/>
    <w:rsid w:val="00C54E2F"/>
    <w:rsid w:val="00C56505"/>
    <w:rsid w:val="00C6017D"/>
    <w:rsid w:val="00C60819"/>
    <w:rsid w:val="00C63641"/>
    <w:rsid w:val="00C63686"/>
    <w:rsid w:val="00C638E6"/>
    <w:rsid w:val="00C6763F"/>
    <w:rsid w:val="00C7124C"/>
    <w:rsid w:val="00C71AEC"/>
    <w:rsid w:val="00C71C99"/>
    <w:rsid w:val="00C72673"/>
    <w:rsid w:val="00C7346C"/>
    <w:rsid w:val="00C74782"/>
    <w:rsid w:val="00C74A99"/>
    <w:rsid w:val="00C7675C"/>
    <w:rsid w:val="00C776DE"/>
    <w:rsid w:val="00C8059C"/>
    <w:rsid w:val="00C8132A"/>
    <w:rsid w:val="00C829C8"/>
    <w:rsid w:val="00C82A71"/>
    <w:rsid w:val="00C82AEF"/>
    <w:rsid w:val="00C87C88"/>
    <w:rsid w:val="00C92956"/>
    <w:rsid w:val="00C93652"/>
    <w:rsid w:val="00C93B40"/>
    <w:rsid w:val="00C95693"/>
    <w:rsid w:val="00C97A54"/>
    <w:rsid w:val="00C97C19"/>
    <w:rsid w:val="00CA0F9C"/>
    <w:rsid w:val="00CA219F"/>
    <w:rsid w:val="00CA3C03"/>
    <w:rsid w:val="00CA4C18"/>
    <w:rsid w:val="00CA7181"/>
    <w:rsid w:val="00CB0118"/>
    <w:rsid w:val="00CB098D"/>
    <w:rsid w:val="00CB0F13"/>
    <w:rsid w:val="00CB1FEB"/>
    <w:rsid w:val="00CB240E"/>
    <w:rsid w:val="00CB292B"/>
    <w:rsid w:val="00CB38BA"/>
    <w:rsid w:val="00CC0506"/>
    <w:rsid w:val="00CC09BD"/>
    <w:rsid w:val="00CC16A6"/>
    <w:rsid w:val="00CC2495"/>
    <w:rsid w:val="00CC3E6F"/>
    <w:rsid w:val="00CC4FEA"/>
    <w:rsid w:val="00CC69B0"/>
    <w:rsid w:val="00CC6F92"/>
    <w:rsid w:val="00CC731A"/>
    <w:rsid w:val="00CC7923"/>
    <w:rsid w:val="00CD0E63"/>
    <w:rsid w:val="00CD2AC1"/>
    <w:rsid w:val="00CD3969"/>
    <w:rsid w:val="00CD3D80"/>
    <w:rsid w:val="00CD629C"/>
    <w:rsid w:val="00CD63B6"/>
    <w:rsid w:val="00CE055E"/>
    <w:rsid w:val="00CE12D7"/>
    <w:rsid w:val="00CE1676"/>
    <w:rsid w:val="00CE2116"/>
    <w:rsid w:val="00CE3811"/>
    <w:rsid w:val="00CE3815"/>
    <w:rsid w:val="00CF1B39"/>
    <w:rsid w:val="00CF37D1"/>
    <w:rsid w:val="00CF4036"/>
    <w:rsid w:val="00CF6D7E"/>
    <w:rsid w:val="00D0064F"/>
    <w:rsid w:val="00D0377A"/>
    <w:rsid w:val="00D042E2"/>
    <w:rsid w:val="00D046E1"/>
    <w:rsid w:val="00D047E5"/>
    <w:rsid w:val="00D04A9E"/>
    <w:rsid w:val="00D051C2"/>
    <w:rsid w:val="00D06878"/>
    <w:rsid w:val="00D06CF6"/>
    <w:rsid w:val="00D06EF2"/>
    <w:rsid w:val="00D12123"/>
    <w:rsid w:val="00D1261D"/>
    <w:rsid w:val="00D126E1"/>
    <w:rsid w:val="00D12BBA"/>
    <w:rsid w:val="00D14E5D"/>
    <w:rsid w:val="00D20C29"/>
    <w:rsid w:val="00D220DD"/>
    <w:rsid w:val="00D2415F"/>
    <w:rsid w:val="00D246FD"/>
    <w:rsid w:val="00D24A13"/>
    <w:rsid w:val="00D26728"/>
    <w:rsid w:val="00D26D22"/>
    <w:rsid w:val="00D31329"/>
    <w:rsid w:val="00D31A9A"/>
    <w:rsid w:val="00D32A08"/>
    <w:rsid w:val="00D34F86"/>
    <w:rsid w:val="00D36473"/>
    <w:rsid w:val="00D3724F"/>
    <w:rsid w:val="00D41DC0"/>
    <w:rsid w:val="00D432B5"/>
    <w:rsid w:val="00D445AE"/>
    <w:rsid w:val="00D44BA2"/>
    <w:rsid w:val="00D44DE7"/>
    <w:rsid w:val="00D45E29"/>
    <w:rsid w:val="00D47268"/>
    <w:rsid w:val="00D54766"/>
    <w:rsid w:val="00D54CA1"/>
    <w:rsid w:val="00D55C64"/>
    <w:rsid w:val="00D6013E"/>
    <w:rsid w:val="00D612BC"/>
    <w:rsid w:val="00D61308"/>
    <w:rsid w:val="00D62539"/>
    <w:rsid w:val="00D6332F"/>
    <w:rsid w:val="00D647BB"/>
    <w:rsid w:val="00D6486A"/>
    <w:rsid w:val="00D65F0D"/>
    <w:rsid w:val="00D6644B"/>
    <w:rsid w:val="00D66D74"/>
    <w:rsid w:val="00D67A70"/>
    <w:rsid w:val="00D73E62"/>
    <w:rsid w:val="00D7453A"/>
    <w:rsid w:val="00D74909"/>
    <w:rsid w:val="00D7529C"/>
    <w:rsid w:val="00D754D8"/>
    <w:rsid w:val="00D810CD"/>
    <w:rsid w:val="00D8278F"/>
    <w:rsid w:val="00D84527"/>
    <w:rsid w:val="00D86242"/>
    <w:rsid w:val="00D86C96"/>
    <w:rsid w:val="00D86E04"/>
    <w:rsid w:val="00D920DD"/>
    <w:rsid w:val="00D9480D"/>
    <w:rsid w:val="00D95995"/>
    <w:rsid w:val="00D96E4C"/>
    <w:rsid w:val="00DA01DE"/>
    <w:rsid w:val="00DA0C4B"/>
    <w:rsid w:val="00DA3936"/>
    <w:rsid w:val="00DA76BA"/>
    <w:rsid w:val="00DB0230"/>
    <w:rsid w:val="00DB1461"/>
    <w:rsid w:val="00DB3B4D"/>
    <w:rsid w:val="00DB50EF"/>
    <w:rsid w:val="00DB5E03"/>
    <w:rsid w:val="00DC042D"/>
    <w:rsid w:val="00DC049C"/>
    <w:rsid w:val="00DC0B59"/>
    <w:rsid w:val="00DC34E4"/>
    <w:rsid w:val="00DC4127"/>
    <w:rsid w:val="00DC5269"/>
    <w:rsid w:val="00DC57F5"/>
    <w:rsid w:val="00DC5929"/>
    <w:rsid w:val="00DD04E3"/>
    <w:rsid w:val="00DD0756"/>
    <w:rsid w:val="00DD0B90"/>
    <w:rsid w:val="00DD14D2"/>
    <w:rsid w:val="00DD15B1"/>
    <w:rsid w:val="00DD5342"/>
    <w:rsid w:val="00DE13BB"/>
    <w:rsid w:val="00DE1437"/>
    <w:rsid w:val="00DE21CD"/>
    <w:rsid w:val="00DE267D"/>
    <w:rsid w:val="00DE3C6F"/>
    <w:rsid w:val="00DE49BF"/>
    <w:rsid w:val="00DE608E"/>
    <w:rsid w:val="00DE68CA"/>
    <w:rsid w:val="00DE7EFF"/>
    <w:rsid w:val="00DF4E89"/>
    <w:rsid w:val="00DF5B85"/>
    <w:rsid w:val="00E03201"/>
    <w:rsid w:val="00E0497C"/>
    <w:rsid w:val="00E06FDE"/>
    <w:rsid w:val="00E123D3"/>
    <w:rsid w:val="00E12F3C"/>
    <w:rsid w:val="00E1439A"/>
    <w:rsid w:val="00E14932"/>
    <w:rsid w:val="00E14AE8"/>
    <w:rsid w:val="00E15D87"/>
    <w:rsid w:val="00E16144"/>
    <w:rsid w:val="00E2133C"/>
    <w:rsid w:val="00E22ABB"/>
    <w:rsid w:val="00E27019"/>
    <w:rsid w:val="00E272FD"/>
    <w:rsid w:val="00E27730"/>
    <w:rsid w:val="00E30FEE"/>
    <w:rsid w:val="00E31044"/>
    <w:rsid w:val="00E327F8"/>
    <w:rsid w:val="00E34210"/>
    <w:rsid w:val="00E4000B"/>
    <w:rsid w:val="00E4131E"/>
    <w:rsid w:val="00E42094"/>
    <w:rsid w:val="00E426FD"/>
    <w:rsid w:val="00E4671E"/>
    <w:rsid w:val="00E46EF7"/>
    <w:rsid w:val="00E50A74"/>
    <w:rsid w:val="00E511A2"/>
    <w:rsid w:val="00E55814"/>
    <w:rsid w:val="00E57193"/>
    <w:rsid w:val="00E64238"/>
    <w:rsid w:val="00E6536A"/>
    <w:rsid w:val="00E65660"/>
    <w:rsid w:val="00E66E62"/>
    <w:rsid w:val="00E6775F"/>
    <w:rsid w:val="00E679A4"/>
    <w:rsid w:val="00E7067B"/>
    <w:rsid w:val="00E71331"/>
    <w:rsid w:val="00E7161F"/>
    <w:rsid w:val="00E717D9"/>
    <w:rsid w:val="00E744E8"/>
    <w:rsid w:val="00E752DA"/>
    <w:rsid w:val="00E75735"/>
    <w:rsid w:val="00E762DA"/>
    <w:rsid w:val="00E8052B"/>
    <w:rsid w:val="00E805B3"/>
    <w:rsid w:val="00E84F9D"/>
    <w:rsid w:val="00E86321"/>
    <w:rsid w:val="00E93888"/>
    <w:rsid w:val="00E9437A"/>
    <w:rsid w:val="00E96457"/>
    <w:rsid w:val="00E97530"/>
    <w:rsid w:val="00EA00F6"/>
    <w:rsid w:val="00EA36F9"/>
    <w:rsid w:val="00EA38E9"/>
    <w:rsid w:val="00EA50CC"/>
    <w:rsid w:val="00EA64B5"/>
    <w:rsid w:val="00EA661A"/>
    <w:rsid w:val="00EB1D21"/>
    <w:rsid w:val="00EB20E6"/>
    <w:rsid w:val="00EB2789"/>
    <w:rsid w:val="00EB2C26"/>
    <w:rsid w:val="00EB369B"/>
    <w:rsid w:val="00EB374C"/>
    <w:rsid w:val="00EB5555"/>
    <w:rsid w:val="00EB6C3B"/>
    <w:rsid w:val="00EB7E44"/>
    <w:rsid w:val="00EC0693"/>
    <w:rsid w:val="00EC1B2D"/>
    <w:rsid w:val="00EC346F"/>
    <w:rsid w:val="00EC3853"/>
    <w:rsid w:val="00EC43FA"/>
    <w:rsid w:val="00EC6A90"/>
    <w:rsid w:val="00EC6F0D"/>
    <w:rsid w:val="00ED0EDE"/>
    <w:rsid w:val="00ED14C9"/>
    <w:rsid w:val="00ED1916"/>
    <w:rsid w:val="00ED3CFD"/>
    <w:rsid w:val="00ED4835"/>
    <w:rsid w:val="00ED4856"/>
    <w:rsid w:val="00ED68A4"/>
    <w:rsid w:val="00EE4846"/>
    <w:rsid w:val="00EE5328"/>
    <w:rsid w:val="00EE6566"/>
    <w:rsid w:val="00EF2E0C"/>
    <w:rsid w:val="00EF2F00"/>
    <w:rsid w:val="00EF4B24"/>
    <w:rsid w:val="00EF5A93"/>
    <w:rsid w:val="00EF70D1"/>
    <w:rsid w:val="00F0113A"/>
    <w:rsid w:val="00F067EC"/>
    <w:rsid w:val="00F0681C"/>
    <w:rsid w:val="00F0727D"/>
    <w:rsid w:val="00F07867"/>
    <w:rsid w:val="00F11943"/>
    <w:rsid w:val="00F13ADE"/>
    <w:rsid w:val="00F15E74"/>
    <w:rsid w:val="00F160AC"/>
    <w:rsid w:val="00F21274"/>
    <w:rsid w:val="00F2441C"/>
    <w:rsid w:val="00F26BBC"/>
    <w:rsid w:val="00F271E8"/>
    <w:rsid w:val="00F31708"/>
    <w:rsid w:val="00F31F0B"/>
    <w:rsid w:val="00F32028"/>
    <w:rsid w:val="00F32563"/>
    <w:rsid w:val="00F34F57"/>
    <w:rsid w:val="00F3510F"/>
    <w:rsid w:val="00F40197"/>
    <w:rsid w:val="00F40738"/>
    <w:rsid w:val="00F40825"/>
    <w:rsid w:val="00F41653"/>
    <w:rsid w:val="00F41BC5"/>
    <w:rsid w:val="00F42103"/>
    <w:rsid w:val="00F4264F"/>
    <w:rsid w:val="00F42C39"/>
    <w:rsid w:val="00F42D3D"/>
    <w:rsid w:val="00F42E2E"/>
    <w:rsid w:val="00F4545C"/>
    <w:rsid w:val="00F47548"/>
    <w:rsid w:val="00F52BE1"/>
    <w:rsid w:val="00F5342C"/>
    <w:rsid w:val="00F54411"/>
    <w:rsid w:val="00F5541C"/>
    <w:rsid w:val="00F5543C"/>
    <w:rsid w:val="00F61DA2"/>
    <w:rsid w:val="00F62EBF"/>
    <w:rsid w:val="00F65904"/>
    <w:rsid w:val="00F65A52"/>
    <w:rsid w:val="00F66E40"/>
    <w:rsid w:val="00F67590"/>
    <w:rsid w:val="00F72909"/>
    <w:rsid w:val="00F73DB6"/>
    <w:rsid w:val="00F75C9A"/>
    <w:rsid w:val="00F75E30"/>
    <w:rsid w:val="00F75E56"/>
    <w:rsid w:val="00F76DD7"/>
    <w:rsid w:val="00F814DB"/>
    <w:rsid w:val="00F817C5"/>
    <w:rsid w:val="00F82E28"/>
    <w:rsid w:val="00F83C84"/>
    <w:rsid w:val="00F87331"/>
    <w:rsid w:val="00F873EC"/>
    <w:rsid w:val="00F9001D"/>
    <w:rsid w:val="00F90D9F"/>
    <w:rsid w:val="00F93FE1"/>
    <w:rsid w:val="00F94D03"/>
    <w:rsid w:val="00F95D24"/>
    <w:rsid w:val="00F96844"/>
    <w:rsid w:val="00F97338"/>
    <w:rsid w:val="00F97B0B"/>
    <w:rsid w:val="00F97BA9"/>
    <w:rsid w:val="00FA2968"/>
    <w:rsid w:val="00FA3934"/>
    <w:rsid w:val="00FA5CF2"/>
    <w:rsid w:val="00FA687F"/>
    <w:rsid w:val="00FA77B3"/>
    <w:rsid w:val="00FA7A07"/>
    <w:rsid w:val="00FA7ED3"/>
    <w:rsid w:val="00FB5747"/>
    <w:rsid w:val="00FB6BA5"/>
    <w:rsid w:val="00FC36B4"/>
    <w:rsid w:val="00FC3821"/>
    <w:rsid w:val="00FC4F2D"/>
    <w:rsid w:val="00FC5790"/>
    <w:rsid w:val="00FC655D"/>
    <w:rsid w:val="00FC6CE2"/>
    <w:rsid w:val="00FC7813"/>
    <w:rsid w:val="00FC7A75"/>
    <w:rsid w:val="00FD0517"/>
    <w:rsid w:val="00FD0D25"/>
    <w:rsid w:val="00FD5169"/>
    <w:rsid w:val="00FD617A"/>
    <w:rsid w:val="00FD63BB"/>
    <w:rsid w:val="00FD77F7"/>
    <w:rsid w:val="00FD7D13"/>
    <w:rsid w:val="00FE1131"/>
    <w:rsid w:val="00FE1305"/>
    <w:rsid w:val="00FE1E58"/>
    <w:rsid w:val="00FE2EB9"/>
    <w:rsid w:val="00FF1DC3"/>
    <w:rsid w:val="00FF2674"/>
    <w:rsid w:val="00FF26C3"/>
    <w:rsid w:val="00FF3E36"/>
    <w:rsid w:val="00FF5CAD"/>
    <w:rsid w:val="00FF6208"/>
    <w:rsid w:val="00FF70AD"/>
    <w:rsid w:val="06EB6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unhideWhenUsed="1" w:qFormat="1"/>
    <w:lsdException w:name="annotation text" w:uiPriority="99"/>
    <w:lsdException w:name="header" w:uiPriority="99"/>
    <w:lsdException w:name="footer" w:uiPriority="99"/>
    <w:lsdException w:name="caption" w:uiPriority="35" w:unhideWhenUsed="1" w:qFormat="1"/>
    <w:lsdException w:name="table of figures" w:uiPriority="99" w:unhideWhenUsed="1" w:qFormat="1"/>
    <w:lsdException w:name="annotation reference" w:uiPriority="99"/>
    <w:lsdException w:name="endnote reference" w:uiPriority="99" w:unhideWhenUsed="1" w:qFormat="1"/>
    <w:lsdException w:name="endnote text" w:uiPriority="99" w:unhideWhenUsed="1" w:qFormat="1"/>
    <w:lsdException w:name="Title" w:uiPriority="10" w:qFormat="1"/>
    <w:lsdException w:name="Default Paragraph Font" w:semiHidden="1" w:uiPriority="1" w:unhideWhenUsed="1"/>
    <w:lsdException w:name="Body Text" w:uiPriority="1" w:qFormat="1"/>
    <w:lsdException w:name="Body Text Indent" w:uiPriority="99" w:unhideWhenUsed="1" w:qFormat="1"/>
    <w:lsdException w:name="Subtitle" w:uiPriority="11" w:qFormat="1"/>
    <w:lsdException w:name="Body Text 3" w:uiPriority="99" w:unhideWhenUsed="1" w:qFormat="1"/>
    <w:lsdException w:name="Hyperlink" w:uiPriority="99" w:unhideWhenUsed="1"/>
    <w:lsdException w:name="Followed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HTML Cite" w:uiPriority="99" w:unhideWhenUsed="1" w:qFormat="1"/>
    <w:lsdException w:name="HTML Preformatted" w:uiPriority="99"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unhideWhenUsed="1"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unhideWhenUsed="1"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unhideWhenUsed="1"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EB6"/>
    <w:pPr>
      <w:bidi/>
    </w:pPr>
    <w:rPr>
      <w:sz w:val="24"/>
      <w:szCs w:val="24"/>
      <w:lang w:eastAsia="en-US"/>
    </w:rPr>
  </w:style>
  <w:style w:type="paragraph" w:styleId="Heading1">
    <w:name w:val="heading 1"/>
    <w:basedOn w:val="Normal"/>
    <w:next w:val="Normal"/>
    <w:link w:val="Heading1Char"/>
    <w:uiPriority w:val="9"/>
    <w:qFormat/>
    <w:rsid w:val="00AC1EB6"/>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qFormat/>
    <w:rsid w:val="00AC1EB6"/>
    <w:pPr>
      <w:numPr>
        <w:ilvl w:val="1"/>
        <w:numId w:val="1"/>
      </w:numPr>
      <w:outlineLvl w:val="1"/>
    </w:pPr>
    <w:rPr>
      <w:b/>
      <w:bCs/>
      <w:lang w:bidi="ar-EG"/>
    </w:rPr>
  </w:style>
  <w:style w:type="paragraph" w:styleId="Heading3">
    <w:name w:val="heading 3"/>
    <w:basedOn w:val="Normal"/>
    <w:next w:val="Normal"/>
    <w:link w:val="Heading3Char"/>
    <w:uiPriority w:val="9"/>
    <w:unhideWhenUsed/>
    <w:qFormat/>
    <w:rsid w:val="00AC1EB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AC1EB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1EB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AC1EB6"/>
    <w:pPr>
      <w:keepNext/>
      <w:keepLines/>
      <w:spacing w:before="2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AC1EB6"/>
    <w:pPr>
      <w:keepNext/>
      <w:keepLines/>
      <w:bidi w:val="0"/>
      <w:spacing w:before="40"/>
      <w:outlineLvl w:val="6"/>
    </w:pPr>
    <w:rPr>
      <w:rFonts w:ascii="Cambria" w:eastAsia="宋体" w:hAnsi="Cambria"/>
      <w:i/>
      <w:iCs/>
      <w:color w:val="243F60"/>
      <w:sz w:val="22"/>
      <w:szCs w:val="22"/>
    </w:rPr>
  </w:style>
  <w:style w:type="paragraph" w:styleId="Heading9">
    <w:name w:val="heading 9"/>
    <w:basedOn w:val="Normal"/>
    <w:next w:val="Normal"/>
    <w:link w:val="Heading9Char"/>
    <w:unhideWhenUsed/>
    <w:qFormat/>
    <w:rsid w:val="00AC1EB6"/>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link w:val="PChar"/>
    <w:qFormat/>
    <w:rsid w:val="00AC1EB6"/>
    <w:pPr>
      <w:autoSpaceDE w:val="0"/>
      <w:autoSpaceDN w:val="0"/>
      <w:bidi w:val="0"/>
      <w:adjustRightInd w:val="0"/>
      <w:spacing w:line="480" w:lineRule="auto"/>
      <w:jc w:val="both"/>
    </w:pPr>
    <w:rPr>
      <w:color w:val="000000"/>
    </w:rPr>
  </w:style>
  <w:style w:type="paragraph" w:styleId="Caption">
    <w:name w:val="caption"/>
    <w:basedOn w:val="Normal"/>
    <w:next w:val="Normal"/>
    <w:link w:val="CaptionChar"/>
    <w:uiPriority w:val="35"/>
    <w:unhideWhenUsed/>
    <w:qFormat/>
    <w:rsid w:val="00AC1EB6"/>
    <w:pPr>
      <w:bidi w:val="0"/>
    </w:pPr>
    <w:rPr>
      <w:b/>
      <w:bCs/>
      <w:color w:val="000000"/>
      <w:szCs w:val="36"/>
    </w:rPr>
  </w:style>
  <w:style w:type="paragraph" w:styleId="CommentText">
    <w:name w:val="annotation text"/>
    <w:basedOn w:val="Normal"/>
    <w:link w:val="CommentTextChar"/>
    <w:uiPriority w:val="99"/>
    <w:rsid w:val="00AC1EB6"/>
    <w:rPr>
      <w:sz w:val="20"/>
      <w:szCs w:val="20"/>
    </w:rPr>
  </w:style>
  <w:style w:type="paragraph" w:styleId="BodyText3">
    <w:name w:val="Body Text 3"/>
    <w:basedOn w:val="Normal"/>
    <w:link w:val="BodyText3Char"/>
    <w:uiPriority w:val="99"/>
    <w:unhideWhenUsed/>
    <w:qFormat/>
    <w:rsid w:val="00AC1EB6"/>
    <w:pPr>
      <w:spacing w:after="120"/>
    </w:pPr>
    <w:rPr>
      <w:rFonts w:ascii="Calibri" w:eastAsia="Calibri" w:hAnsi="Calibri" w:cs="Arial"/>
      <w:sz w:val="16"/>
      <w:szCs w:val="16"/>
    </w:rPr>
  </w:style>
  <w:style w:type="paragraph" w:styleId="BodyText">
    <w:name w:val="Body Text"/>
    <w:basedOn w:val="Normal"/>
    <w:link w:val="BodyTextChar"/>
    <w:uiPriority w:val="1"/>
    <w:qFormat/>
    <w:rsid w:val="00AC1EB6"/>
    <w:pPr>
      <w:bidi w:val="0"/>
      <w:jc w:val="lowKashida"/>
    </w:pPr>
    <w:rPr>
      <w:snapToGrid w:val="0"/>
      <w:sz w:val="30"/>
      <w:szCs w:val="30"/>
      <w:lang w:eastAsia="ar-SA"/>
    </w:rPr>
  </w:style>
  <w:style w:type="paragraph" w:styleId="BodyTextIndent">
    <w:name w:val="Body Text Indent"/>
    <w:basedOn w:val="Normal"/>
    <w:link w:val="BodyTextIndentChar"/>
    <w:uiPriority w:val="99"/>
    <w:unhideWhenUsed/>
    <w:qFormat/>
    <w:rsid w:val="00AC1EB6"/>
    <w:pPr>
      <w:bidi w:val="0"/>
      <w:spacing w:line="348" w:lineRule="auto"/>
      <w:ind w:firstLine="720"/>
      <w:jc w:val="lowKashida"/>
    </w:pPr>
    <w:rPr>
      <w:sz w:val="28"/>
      <w:szCs w:val="28"/>
      <w:lang w:eastAsia="ar-SA"/>
    </w:rPr>
  </w:style>
  <w:style w:type="paragraph" w:styleId="EndnoteText">
    <w:name w:val="endnote text"/>
    <w:basedOn w:val="Normal"/>
    <w:link w:val="EndnoteTextChar"/>
    <w:uiPriority w:val="99"/>
    <w:unhideWhenUsed/>
    <w:qFormat/>
    <w:rsid w:val="00AC1EB6"/>
    <w:rPr>
      <w:rFonts w:ascii="Calibri" w:eastAsia="Calibri" w:hAnsi="Calibri" w:cs="Arial"/>
      <w:sz w:val="20"/>
      <w:szCs w:val="20"/>
    </w:rPr>
  </w:style>
  <w:style w:type="paragraph" w:styleId="BalloonText">
    <w:name w:val="Balloon Text"/>
    <w:basedOn w:val="Normal"/>
    <w:link w:val="BalloonTextChar"/>
    <w:uiPriority w:val="99"/>
    <w:rsid w:val="00AC1EB6"/>
    <w:rPr>
      <w:rFonts w:ascii="Tahoma" w:hAnsi="Tahoma"/>
      <w:sz w:val="16"/>
      <w:szCs w:val="16"/>
    </w:rPr>
  </w:style>
  <w:style w:type="paragraph" w:styleId="Footer">
    <w:name w:val="footer"/>
    <w:basedOn w:val="Normal"/>
    <w:link w:val="FooterChar"/>
    <w:uiPriority w:val="99"/>
    <w:rsid w:val="00AC1EB6"/>
    <w:pPr>
      <w:tabs>
        <w:tab w:val="center" w:pos="4153"/>
        <w:tab w:val="right" w:pos="8306"/>
      </w:tabs>
    </w:pPr>
  </w:style>
  <w:style w:type="paragraph" w:styleId="Header">
    <w:name w:val="header"/>
    <w:basedOn w:val="Normal"/>
    <w:link w:val="HeaderChar"/>
    <w:uiPriority w:val="99"/>
    <w:rsid w:val="00AC1EB6"/>
    <w:pPr>
      <w:tabs>
        <w:tab w:val="center" w:pos="4153"/>
        <w:tab w:val="right" w:pos="8306"/>
      </w:tabs>
    </w:pPr>
  </w:style>
  <w:style w:type="paragraph" w:styleId="Subtitle">
    <w:name w:val="Subtitle"/>
    <w:basedOn w:val="Normal"/>
    <w:next w:val="Normal"/>
    <w:link w:val="SubtitleChar"/>
    <w:uiPriority w:val="11"/>
    <w:qFormat/>
    <w:rsid w:val="00AC1EB6"/>
    <w:pPr>
      <w:bidi w:val="0"/>
      <w:spacing w:after="160"/>
    </w:pPr>
    <w:rPr>
      <w:rFonts w:ascii="Calibri" w:hAnsi="Calibri" w:cs="Arial"/>
      <w:color w:val="5A5A5A"/>
      <w:spacing w:val="15"/>
      <w:sz w:val="22"/>
      <w:szCs w:val="22"/>
    </w:rPr>
  </w:style>
  <w:style w:type="paragraph" w:styleId="TableofFigures">
    <w:name w:val="table of figures"/>
    <w:basedOn w:val="Normal"/>
    <w:next w:val="Normal"/>
    <w:uiPriority w:val="99"/>
    <w:unhideWhenUsed/>
    <w:qFormat/>
    <w:rsid w:val="00AC1EB6"/>
    <w:pPr>
      <w:bidi w:val="0"/>
      <w:spacing w:before="120" w:after="120"/>
      <w:jc w:val="both"/>
    </w:pPr>
    <w:rPr>
      <w:rFonts w:eastAsia="Calibri" w:cs="Arial"/>
      <w:sz w:val="28"/>
      <w:szCs w:val="22"/>
    </w:rPr>
  </w:style>
  <w:style w:type="paragraph" w:styleId="BodyText2">
    <w:name w:val="Body Text 2"/>
    <w:basedOn w:val="Normal"/>
    <w:link w:val="BodyText2Char"/>
    <w:rsid w:val="00AC1EB6"/>
    <w:pPr>
      <w:widowControl w:val="0"/>
      <w:bidi w:val="0"/>
      <w:spacing w:after="120" w:line="360" w:lineRule="auto"/>
      <w:jc w:val="lowKashida"/>
    </w:pPr>
    <w:rPr>
      <w:snapToGrid w:val="0"/>
      <w:sz w:val="28"/>
      <w:szCs w:val="38"/>
      <w:lang w:eastAsia="ar-SA"/>
    </w:rPr>
  </w:style>
  <w:style w:type="paragraph" w:styleId="HTMLPreformatted">
    <w:name w:val="HTML Preformatted"/>
    <w:basedOn w:val="Normal"/>
    <w:link w:val="HTMLPreformattedChar"/>
    <w:uiPriority w:val="99"/>
    <w:unhideWhenUsed/>
    <w:rsid w:val="00AC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paragraph" w:styleId="NormalWeb">
    <w:name w:val="Normal (Web)"/>
    <w:basedOn w:val="Normal"/>
    <w:link w:val="NormalWebChar"/>
    <w:unhideWhenUsed/>
    <w:rsid w:val="00AC1EB6"/>
    <w:rPr>
      <w:rFonts w:eastAsia="Calibri"/>
    </w:rPr>
  </w:style>
  <w:style w:type="paragraph" w:styleId="Title">
    <w:name w:val="Title"/>
    <w:basedOn w:val="Normal"/>
    <w:next w:val="Normal"/>
    <w:link w:val="TitleChar"/>
    <w:uiPriority w:val="10"/>
    <w:qFormat/>
    <w:rsid w:val="00AC1EB6"/>
    <w:pPr>
      <w:spacing w:before="240" w:after="60"/>
      <w:jc w:val="center"/>
      <w:outlineLvl w:val="0"/>
    </w:pPr>
    <w:rPr>
      <w:rFonts w:ascii="Cambria" w:hAnsi="Cambria"/>
      <w:spacing w:val="-10"/>
      <w:kern w:val="28"/>
      <w:sz w:val="56"/>
      <w:szCs w:val="56"/>
    </w:rPr>
  </w:style>
  <w:style w:type="paragraph" w:styleId="CommentSubject">
    <w:name w:val="annotation subject"/>
    <w:basedOn w:val="CommentText"/>
    <w:next w:val="CommentText"/>
    <w:link w:val="CommentSubjectChar"/>
    <w:uiPriority w:val="99"/>
    <w:rsid w:val="00AC1EB6"/>
    <w:rPr>
      <w:b/>
      <w:bCs/>
    </w:rPr>
  </w:style>
  <w:style w:type="table" w:styleId="TableGrid">
    <w:name w:val="Table Grid"/>
    <w:basedOn w:val="TableNormal"/>
    <w:uiPriority w:val="39"/>
    <w:rsid w:val="00AC1EB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C1EB6"/>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Shading-Accent2">
    <w:name w:val="Light Shading Accent 2"/>
    <w:basedOn w:val="TableNormal"/>
    <w:uiPriority w:val="60"/>
    <w:qFormat/>
    <w:rsid w:val="00AC1EB6"/>
    <w:rPr>
      <w:color w:val="C4591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4">
    <w:name w:val="Light Shading Accent 4"/>
    <w:basedOn w:val="TableNormal"/>
    <w:uiPriority w:val="60"/>
    <w:rsid w:val="00AC1EB6"/>
    <w:rPr>
      <w:rFonts w:ascii="Calibri" w:eastAsia="Calibri" w:hAnsi="Calibri" w:cs="Arial"/>
      <w:color w:val="5F497A"/>
      <w:sz w:val="22"/>
      <w:szCs w:val="22"/>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qFormat/>
    <w:rsid w:val="00AC1EB6"/>
    <w:rPr>
      <w:color w:val="538135"/>
    </w:rPr>
    <w:tblPr>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2">
    <w:name w:val="Light List Accent 2"/>
    <w:basedOn w:val="TableNormal"/>
    <w:uiPriority w:val="61"/>
    <w:qFormat/>
    <w:rsid w:val="00AC1EB6"/>
    <w:tblPr>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qFormat/>
    <w:rsid w:val="00AC1EB6"/>
    <w:tblPr>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AC1EB6"/>
    <w:rPr>
      <w:rFonts w:ascii="Calibri" w:eastAsia="Calibri" w:hAnsi="Calibri" w:cs="Arial"/>
      <w:sz w:val="22"/>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2">
    <w:name w:val="Light Grid Accent 2"/>
    <w:basedOn w:val="TableNormal"/>
    <w:uiPriority w:val="62"/>
    <w:qFormat/>
    <w:rsid w:val="00AC1EB6"/>
    <w:tblPr>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LightGrid-Accent4">
    <w:name w:val="Light Grid Accent 4"/>
    <w:basedOn w:val="TableNormal"/>
    <w:uiPriority w:val="62"/>
    <w:qFormat/>
    <w:rsid w:val="00AC1EB6"/>
    <w:tblPr>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LightGrid-Accent5">
    <w:name w:val="Light Grid Accent 5"/>
    <w:basedOn w:val="TableNormal"/>
    <w:uiPriority w:val="62"/>
    <w:rsid w:val="00AC1EB6"/>
    <w:rPr>
      <w:rFonts w:ascii="Calibri" w:eastAsia="Calibri" w:hAnsi="Calibri" w:cs="Arial"/>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等线" w:eastAsia="Times New Roman"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Times New Roman"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Times New Roman" w:hAnsi="等线" w:cs="Times New Roman"/>
        <w:b/>
        <w:bCs/>
      </w:rPr>
    </w:tblStylePr>
    <w:tblStylePr w:type="lastCol">
      <w:rPr>
        <w:rFonts w:ascii="等线" w:eastAsia="Times New Roman"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unhideWhenUsed/>
    <w:qFormat/>
    <w:rsid w:val="00AC1EB6"/>
    <w:rPr>
      <w:rFonts w:ascii="Calibri" w:eastAsia="宋体" w:hAnsi="Calibri" w:cs="Arial"/>
      <w:sz w:val="22"/>
      <w:szCs w:val="22"/>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1" w:afterLines="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Shading2-Accent2">
    <w:name w:val="Medium Shading 2 Accent 2"/>
    <w:basedOn w:val="TableNormal"/>
    <w:uiPriority w:val="64"/>
    <w:qFormat/>
    <w:rsid w:val="00AC1EB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C1EB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qFormat/>
    <w:rsid w:val="00AC1EB6"/>
    <w:rPr>
      <w:color w:val="000000"/>
    </w:rPr>
    <w:tblPr>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Grid1-Accent2">
    <w:name w:val="Medium Grid 1 Accent 2"/>
    <w:basedOn w:val="TableNormal"/>
    <w:uiPriority w:val="67"/>
    <w:qFormat/>
    <w:rsid w:val="00AC1EB6"/>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3-Accent2">
    <w:name w:val="Medium Grid 3 Accent 2"/>
    <w:basedOn w:val="TableNormal"/>
    <w:uiPriority w:val="69"/>
    <w:rsid w:val="00AC1EB6"/>
    <w:rPr>
      <w:rFonts w:ascii="Calibri" w:eastAsia="Calibri" w:hAnsi="Calibri" w:cs="Arial"/>
      <w:sz w:val="22"/>
      <w:szCs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5">
    <w:name w:val="Medium Grid 3 Accent 5"/>
    <w:basedOn w:val="TableNormal"/>
    <w:uiPriority w:val="69"/>
    <w:unhideWhenUsed/>
    <w:qFormat/>
    <w:rsid w:val="00AC1EB6"/>
    <w:rPr>
      <w:rFonts w:ascii="Calibri" w:eastAsia="Calibri" w:hAnsi="Calibri" w:cs="Arial"/>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unhideWhenUsed/>
    <w:qFormat/>
    <w:rsid w:val="00AC1EB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character" w:styleId="Strong">
    <w:name w:val="Strong"/>
    <w:uiPriority w:val="22"/>
    <w:qFormat/>
    <w:rsid w:val="00AC1EB6"/>
    <w:rPr>
      <w:b/>
      <w:bCs/>
    </w:rPr>
  </w:style>
  <w:style w:type="character" w:styleId="EndnoteReference">
    <w:name w:val="endnote reference"/>
    <w:uiPriority w:val="99"/>
    <w:unhideWhenUsed/>
    <w:qFormat/>
    <w:rsid w:val="00AC1EB6"/>
    <w:rPr>
      <w:vertAlign w:val="superscript"/>
    </w:rPr>
  </w:style>
  <w:style w:type="character" w:styleId="PageNumber">
    <w:name w:val="page number"/>
    <w:basedOn w:val="DefaultParagraphFont"/>
    <w:rsid w:val="00AC1EB6"/>
  </w:style>
  <w:style w:type="character" w:styleId="FollowedHyperlink">
    <w:name w:val="FollowedHyperlink"/>
    <w:uiPriority w:val="99"/>
    <w:unhideWhenUsed/>
    <w:qFormat/>
    <w:rsid w:val="00AC1EB6"/>
    <w:rPr>
      <w:color w:val="800080"/>
      <w:u w:val="single"/>
    </w:rPr>
  </w:style>
  <w:style w:type="character" w:styleId="Emphasis">
    <w:name w:val="Emphasis"/>
    <w:uiPriority w:val="20"/>
    <w:qFormat/>
    <w:rsid w:val="00AC1EB6"/>
    <w:rPr>
      <w:i/>
      <w:iCs/>
    </w:rPr>
  </w:style>
  <w:style w:type="character" w:styleId="LineNumber">
    <w:name w:val="line number"/>
    <w:basedOn w:val="DefaultParagraphFont"/>
    <w:rsid w:val="00AC1EB6"/>
  </w:style>
  <w:style w:type="character" w:styleId="Hyperlink">
    <w:name w:val="Hyperlink"/>
    <w:basedOn w:val="DefaultParagraphFont"/>
    <w:uiPriority w:val="99"/>
    <w:unhideWhenUsed/>
    <w:rsid w:val="00AC1EB6"/>
    <w:rPr>
      <w:color w:val="0000FF"/>
      <w:u w:val="single"/>
    </w:rPr>
  </w:style>
  <w:style w:type="character" w:styleId="CommentReference">
    <w:name w:val="annotation reference"/>
    <w:uiPriority w:val="99"/>
    <w:rsid w:val="00AC1EB6"/>
    <w:rPr>
      <w:sz w:val="16"/>
      <w:szCs w:val="16"/>
    </w:rPr>
  </w:style>
  <w:style w:type="character" w:styleId="HTMLCite">
    <w:name w:val="HTML Cite"/>
    <w:uiPriority w:val="99"/>
    <w:unhideWhenUsed/>
    <w:qFormat/>
    <w:rsid w:val="00AC1EB6"/>
    <w:rPr>
      <w:i/>
      <w:iCs/>
    </w:rPr>
  </w:style>
  <w:style w:type="character" w:customStyle="1" w:styleId="BalloonTextChar">
    <w:name w:val="Balloon Text Char"/>
    <w:link w:val="BalloonText"/>
    <w:uiPriority w:val="99"/>
    <w:rsid w:val="00AC1EB6"/>
    <w:rPr>
      <w:rFonts w:ascii="Tahoma" w:hAnsi="Tahoma" w:cs="Tahoma"/>
      <w:sz w:val="16"/>
      <w:szCs w:val="16"/>
    </w:rPr>
  </w:style>
  <w:style w:type="character" w:customStyle="1" w:styleId="HeaderChar">
    <w:name w:val="Header Char"/>
    <w:link w:val="Header"/>
    <w:uiPriority w:val="99"/>
    <w:rsid w:val="00AC1EB6"/>
    <w:rPr>
      <w:sz w:val="24"/>
      <w:szCs w:val="24"/>
    </w:rPr>
  </w:style>
  <w:style w:type="character" w:customStyle="1" w:styleId="FooterChar">
    <w:name w:val="Footer Char"/>
    <w:link w:val="Footer"/>
    <w:uiPriority w:val="99"/>
    <w:rsid w:val="00AC1EB6"/>
    <w:rPr>
      <w:sz w:val="24"/>
      <w:szCs w:val="24"/>
    </w:rPr>
  </w:style>
  <w:style w:type="character" w:customStyle="1" w:styleId="css-133coio">
    <w:name w:val="css-133coio"/>
    <w:basedOn w:val="DefaultParagraphFont"/>
    <w:rsid w:val="00AC1EB6"/>
  </w:style>
  <w:style w:type="character" w:customStyle="1" w:styleId="CommentTextChar">
    <w:name w:val="Comment Text Char"/>
    <w:basedOn w:val="DefaultParagraphFont"/>
    <w:link w:val="CommentText"/>
    <w:uiPriority w:val="99"/>
    <w:rsid w:val="00AC1EB6"/>
  </w:style>
  <w:style w:type="character" w:customStyle="1" w:styleId="CommentSubjectChar">
    <w:name w:val="Comment Subject Char"/>
    <w:link w:val="CommentSubject"/>
    <w:uiPriority w:val="99"/>
    <w:rsid w:val="00AC1EB6"/>
    <w:rPr>
      <w:b/>
      <w:bCs/>
    </w:rPr>
  </w:style>
  <w:style w:type="character" w:customStyle="1" w:styleId="text">
    <w:name w:val="text"/>
    <w:basedOn w:val="DefaultParagraphFont"/>
    <w:rsid w:val="00AC1EB6"/>
  </w:style>
  <w:style w:type="paragraph" w:customStyle="1" w:styleId="EndNoteBibliographyTitle">
    <w:name w:val="EndNote Bibliography Title"/>
    <w:basedOn w:val="Normal"/>
    <w:link w:val="EndNoteBibliographyTitleChar"/>
    <w:rsid w:val="00AC1EB6"/>
    <w:pPr>
      <w:jc w:val="center"/>
    </w:pPr>
  </w:style>
  <w:style w:type="character" w:customStyle="1" w:styleId="EndNoteBibliographyTitleChar">
    <w:name w:val="EndNote Bibliography Title Char"/>
    <w:link w:val="EndNoteBibliographyTitle"/>
    <w:rsid w:val="00AC1EB6"/>
    <w:rPr>
      <w:sz w:val="24"/>
      <w:szCs w:val="24"/>
    </w:rPr>
  </w:style>
  <w:style w:type="paragraph" w:customStyle="1" w:styleId="EndNoteBibliography">
    <w:name w:val="EndNote Bibliography"/>
    <w:basedOn w:val="Normal"/>
    <w:link w:val="EndNoteBibliographyChar"/>
    <w:rsid w:val="00AC1EB6"/>
    <w:pPr>
      <w:spacing w:line="480" w:lineRule="auto"/>
    </w:pPr>
  </w:style>
  <w:style w:type="character" w:customStyle="1" w:styleId="EndNoteBibliographyChar">
    <w:name w:val="EndNote Bibliography Char"/>
    <w:link w:val="EndNoteBibliography"/>
    <w:rsid w:val="00AC1EB6"/>
    <w:rPr>
      <w:sz w:val="24"/>
      <w:szCs w:val="24"/>
    </w:rPr>
  </w:style>
  <w:style w:type="paragraph" w:customStyle="1" w:styleId="H40">
    <w:name w:val="H4"/>
    <w:basedOn w:val="Normal"/>
    <w:link w:val="H4Char"/>
    <w:qFormat/>
    <w:rsid w:val="00AC1EB6"/>
    <w:pPr>
      <w:autoSpaceDE w:val="0"/>
      <w:autoSpaceDN w:val="0"/>
      <w:bidi w:val="0"/>
      <w:adjustRightInd w:val="0"/>
      <w:spacing w:line="360" w:lineRule="auto"/>
      <w:jc w:val="lowKashida"/>
    </w:pPr>
    <w:rPr>
      <w:b/>
      <w:bCs/>
      <w:sz w:val="28"/>
      <w:szCs w:val="28"/>
    </w:rPr>
  </w:style>
  <w:style w:type="paragraph" w:customStyle="1" w:styleId="H5">
    <w:name w:val="H5"/>
    <w:basedOn w:val="Normal"/>
    <w:link w:val="H5Char"/>
    <w:rsid w:val="00AC1EB6"/>
    <w:pPr>
      <w:autoSpaceDE w:val="0"/>
      <w:autoSpaceDN w:val="0"/>
      <w:bidi w:val="0"/>
      <w:adjustRightInd w:val="0"/>
      <w:spacing w:line="360" w:lineRule="auto"/>
    </w:pPr>
    <w:rPr>
      <w:rFonts w:eastAsia="Calibri"/>
      <w:b/>
      <w:bCs/>
    </w:rPr>
  </w:style>
  <w:style w:type="character" w:customStyle="1" w:styleId="H4Char">
    <w:name w:val="H4 Char"/>
    <w:link w:val="H40"/>
    <w:rsid w:val="00AC1EB6"/>
    <w:rPr>
      <w:b/>
      <w:bCs/>
      <w:sz w:val="28"/>
      <w:szCs w:val="28"/>
      <w:lang w:eastAsia="en-US"/>
    </w:rPr>
  </w:style>
  <w:style w:type="character" w:customStyle="1" w:styleId="H5Char">
    <w:name w:val="H5 Char"/>
    <w:link w:val="H5"/>
    <w:rsid w:val="00AC1EB6"/>
    <w:rPr>
      <w:rFonts w:eastAsia="Calibri"/>
      <w:b/>
      <w:bCs/>
      <w:sz w:val="24"/>
      <w:szCs w:val="24"/>
      <w:lang w:eastAsia="en-US"/>
    </w:rPr>
  </w:style>
  <w:style w:type="character" w:customStyle="1" w:styleId="Heading1Char">
    <w:name w:val="Heading 1 Char"/>
    <w:link w:val="Heading1"/>
    <w:uiPriority w:val="9"/>
    <w:rsid w:val="00AC1EB6"/>
    <w:rPr>
      <w:b/>
      <w:bCs/>
      <w:color w:val="000000"/>
      <w:sz w:val="28"/>
      <w:szCs w:val="28"/>
    </w:rPr>
  </w:style>
  <w:style w:type="character" w:customStyle="1" w:styleId="PChar">
    <w:name w:val="P Char"/>
    <w:link w:val="P"/>
    <w:rsid w:val="00AC1EB6"/>
    <w:rPr>
      <w:color w:val="000000"/>
      <w:sz w:val="24"/>
      <w:szCs w:val="24"/>
      <w:lang w:eastAsia="en-US"/>
    </w:rPr>
  </w:style>
  <w:style w:type="character" w:customStyle="1" w:styleId="paragraphChar">
    <w:name w:val="paragraph Char"/>
    <w:link w:val="paragraph"/>
    <w:locked/>
    <w:rsid w:val="00AC1EB6"/>
    <w:rPr>
      <w:sz w:val="24"/>
      <w:szCs w:val="24"/>
      <w:lang w:bidi="ar-EG"/>
    </w:rPr>
  </w:style>
  <w:style w:type="paragraph" w:customStyle="1" w:styleId="paragraph">
    <w:name w:val="paragraph"/>
    <w:basedOn w:val="Normal"/>
    <w:link w:val="paragraphChar"/>
    <w:qFormat/>
    <w:rsid w:val="00AC1EB6"/>
    <w:pPr>
      <w:bidi w:val="0"/>
      <w:spacing w:after="160" w:line="360" w:lineRule="auto"/>
      <w:ind w:firstLine="720"/>
      <w:jc w:val="both"/>
    </w:pPr>
    <w:rPr>
      <w:lang w:bidi="ar-EG"/>
    </w:rPr>
  </w:style>
  <w:style w:type="table" w:customStyle="1" w:styleId="GridTable1Light">
    <w:name w:val="Grid Table 1 Light"/>
    <w:basedOn w:val="TableNormal"/>
    <w:uiPriority w:val="46"/>
    <w:rsid w:val="00AC1EB6"/>
    <w:rPr>
      <w:rFonts w:ascii="Calibri" w:eastAsia="Calibri" w:hAnsi="Calibri" w:cs="Arial"/>
      <w:sz w:val="22"/>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uiPriority w:val="64"/>
    <w:rsid w:val="00AC1EB6"/>
    <w:rPr>
      <w:rFonts w:ascii="Calibri" w:eastAsia="宋体"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uiPriority w:val="64"/>
    <w:rsid w:val="00AC1EB6"/>
    <w:rPr>
      <w:rFonts w:ascii="Calibri" w:eastAsia="宋体"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AC1EB6"/>
    <w:rPr>
      <w:rFonts w:ascii="Calibri" w:eastAsia="Times New Roman" w:hAnsi="Calibri" w:cs="Arial"/>
      <w:b/>
      <w:bCs/>
      <w:i/>
      <w:iCs/>
      <w:sz w:val="26"/>
      <w:szCs w:val="26"/>
    </w:rPr>
  </w:style>
  <w:style w:type="character" w:customStyle="1" w:styleId="Heading3Char">
    <w:name w:val="Heading 3 Char"/>
    <w:link w:val="Heading3"/>
    <w:uiPriority w:val="9"/>
    <w:rsid w:val="00AC1EB6"/>
    <w:rPr>
      <w:rFonts w:ascii="Calibri Light" w:eastAsia="Times New Roman" w:hAnsi="Calibri Light" w:cs="Times New Roman"/>
      <w:b/>
      <w:bCs/>
      <w:sz w:val="26"/>
      <w:szCs w:val="26"/>
    </w:rPr>
  </w:style>
  <w:style w:type="character" w:customStyle="1" w:styleId="Heading4Char">
    <w:name w:val="Heading 4 Char"/>
    <w:link w:val="Heading4"/>
    <w:uiPriority w:val="9"/>
    <w:rsid w:val="00AC1EB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C1EB6"/>
    <w:rPr>
      <w:rFonts w:ascii="Calibri" w:eastAsia="Calibri" w:hAnsi="Calibri" w:cs="Arial"/>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AC1EB6"/>
    <w:rPr>
      <w:b/>
      <w:bCs/>
      <w:sz w:val="24"/>
      <w:szCs w:val="24"/>
    </w:rPr>
  </w:style>
  <w:style w:type="paragraph" w:customStyle="1" w:styleId="Fig">
    <w:name w:val="Fig"/>
    <w:basedOn w:val="Normal"/>
    <w:link w:val="FigChar"/>
    <w:rsid w:val="00AC1EB6"/>
    <w:pPr>
      <w:bidi w:val="0"/>
      <w:jc w:val="center"/>
    </w:pPr>
    <w:rPr>
      <w:b/>
      <w:bCs/>
    </w:rPr>
  </w:style>
  <w:style w:type="paragraph" w:customStyle="1" w:styleId="Default">
    <w:name w:val="Default"/>
    <w:rsid w:val="00AC1EB6"/>
    <w:pPr>
      <w:autoSpaceDE w:val="0"/>
      <w:autoSpaceDN w:val="0"/>
      <w:adjustRightInd w:val="0"/>
    </w:pPr>
    <w:rPr>
      <w:rFonts w:eastAsia="Calibri"/>
      <w:color w:val="000000"/>
      <w:sz w:val="24"/>
      <w:szCs w:val="24"/>
      <w:lang w:eastAsia="en-US"/>
    </w:rPr>
  </w:style>
  <w:style w:type="paragraph" w:styleId="ListParagraph">
    <w:name w:val="List Paragraph"/>
    <w:basedOn w:val="Normal"/>
    <w:link w:val="ListParagraphChar"/>
    <w:uiPriority w:val="34"/>
    <w:qFormat/>
    <w:rsid w:val="00AC1EB6"/>
    <w:pPr>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Heading2Char">
    <w:name w:val="Heading 2 Char"/>
    <w:link w:val="Heading2"/>
    <w:uiPriority w:val="9"/>
    <w:rsid w:val="00AC1EB6"/>
    <w:rPr>
      <w:b/>
      <w:bCs/>
      <w:color w:val="000000"/>
      <w:sz w:val="24"/>
      <w:szCs w:val="24"/>
      <w:lang w:bidi="ar-EG"/>
    </w:rPr>
  </w:style>
  <w:style w:type="character" w:customStyle="1" w:styleId="Heading6Char">
    <w:name w:val="Heading 6 Char"/>
    <w:link w:val="Heading6"/>
    <w:uiPriority w:val="9"/>
    <w:rsid w:val="00AC1EB6"/>
    <w:rPr>
      <w:rFonts w:ascii="Cambria" w:hAnsi="Cambria"/>
      <w:i/>
      <w:iCs/>
      <w:color w:val="243F60"/>
      <w:sz w:val="22"/>
      <w:szCs w:val="22"/>
    </w:rPr>
  </w:style>
  <w:style w:type="character" w:customStyle="1" w:styleId="Heading9Char">
    <w:name w:val="Heading 9 Char"/>
    <w:link w:val="Heading9"/>
    <w:rsid w:val="00AC1EB6"/>
    <w:rPr>
      <w:rFonts w:ascii="Cambria" w:hAnsi="Cambria"/>
      <w:i/>
      <w:iCs/>
      <w:color w:val="404040"/>
    </w:rPr>
  </w:style>
  <w:style w:type="paragraph" w:customStyle="1" w:styleId="p0">
    <w:name w:val="p"/>
    <w:basedOn w:val="Normal"/>
    <w:rsid w:val="00AC1EB6"/>
    <w:pPr>
      <w:bidi w:val="0"/>
      <w:spacing w:before="100" w:beforeAutospacing="1" w:after="100" w:afterAutospacing="1"/>
    </w:pPr>
  </w:style>
  <w:style w:type="paragraph" w:customStyle="1" w:styleId="Body">
    <w:name w:val="Body"/>
    <w:rsid w:val="00AC1EB6"/>
    <w:rPr>
      <w:rFonts w:ascii="Helvetica Neue" w:eastAsia="Arial Unicode MS" w:hAnsi="Helvetica Neue" w:cs="Arial Unicode MS"/>
      <w:color w:val="000000"/>
      <w:sz w:val="22"/>
      <w:szCs w:val="22"/>
      <w:lang w:eastAsia="en-US"/>
    </w:rPr>
  </w:style>
  <w:style w:type="table" w:customStyle="1" w:styleId="LightShading1">
    <w:name w:val="Light Shading1"/>
    <w:basedOn w:val="TableNormal"/>
    <w:uiPriority w:val="60"/>
    <w:locked/>
    <w:rsid w:val="00AC1EB6"/>
    <w:rPr>
      <w:rFonts w:ascii="Calibri" w:eastAsia="Calibri" w:hAnsi="Calibri" w:cs="Arial"/>
      <w:color w:val="000000"/>
      <w:sz w:val="22"/>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pter-para">
    <w:name w:val="chapter-para"/>
    <w:basedOn w:val="Normal"/>
    <w:rsid w:val="00AC1EB6"/>
    <w:pPr>
      <w:bidi w:val="0"/>
      <w:spacing w:before="100" w:beforeAutospacing="1" w:after="100" w:afterAutospacing="1"/>
    </w:pPr>
  </w:style>
  <w:style w:type="character" w:customStyle="1" w:styleId="sr-only">
    <w:name w:val="sr-only"/>
    <w:rsid w:val="00AC1EB6"/>
  </w:style>
  <w:style w:type="character" w:customStyle="1" w:styleId="i">
    <w:name w:val="i"/>
    <w:rsid w:val="00AC1EB6"/>
  </w:style>
  <w:style w:type="character" w:customStyle="1" w:styleId="A8">
    <w:name w:val="A8"/>
    <w:uiPriority w:val="99"/>
    <w:rsid w:val="00AC1EB6"/>
    <w:rPr>
      <w:rFonts w:cs="Times New Roman PS"/>
      <w:color w:val="000000"/>
      <w:sz w:val="11"/>
      <w:szCs w:val="11"/>
    </w:rPr>
  </w:style>
  <w:style w:type="character" w:customStyle="1" w:styleId="A3">
    <w:name w:val="A3"/>
    <w:uiPriority w:val="99"/>
    <w:rsid w:val="00AC1EB6"/>
    <w:rPr>
      <w:rFonts w:cs="Myriad Pro"/>
      <w:color w:val="000000"/>
      <w:sz w:val="18"/>
      <w:szCs w:val="18"/>
    </w:rPr>
  </w:style>
  <w:style w:type="character" w:customStyle="1" w:styleId="A4">
    <w:name w:val="A4"/>
    <w:uiPriority w:val="99"/>
    <w:rsid w:val="00AC1EB6"/>
    <w:rPr>
      <w:rFonts w:cs="Myriad Pro"/>
      <w:color w:val="000000"/>
      <w:sz w:val="14"/>
      <w:szCs w:val="14"/>
    </w:rPr>
  </w:style>
  <w:style w:type="character" w:customStyle="1" w:styleId="A0">
    <w:name w:val="A0"/>
    <w:uiPriority w:val="99"/>
    <w:rsid w:val="00AC1EB6"/>
    <w:rPr>
      <w:rFonts w:cs="Myriad Pro"/>
      <w:color w:val="000000"/>
      <w:sz w:val="16"/>
      <w:szCs w:val="16"/>
    </w:rPr>
  </w:style>
  <w:style w:type="paragraph" w:customStyle="1" w:styleId="Pa14">
    <w:name w:val="Pa14"/>
    <w:basedOn w:val="Default"/>
    <w:next w:val="Default"/>
    <w:uiPriority w:val="99"/>
    <w:rsid w:val="00AC1EB6"/>
    <w:pPr>
      <w:spacing w:line="161" w:lineRule="atLeast"/>
    </w:pPr>
    <w:rPr>
      <w:rFonts w:ascii="CapitoliumNews" w:hAnsi="CapitoliumNews" w:cs="Arial"/>
      <w:color w:val="auto"/>
    </w:rPr>
  </w:style>
  <w:style w:type="paragraph" w:customStyle="1" w:styleId="Pa13">
    <w:name w:val="Pa13"/>
    <w:basedOn w:val="Default"/>
    <w:next w:val="Default"/>
    <w:uiPriority w:val="99"/>
    <w:rsid w:val="00AC1EB6"/>
    <w:pPr>
      <w:spacing w:line="161" w:lineRule="atLeast"/>
    </w:pPr>
    <w:rPr>
      <w:rFonts w:ascii="CapitoliumNews" w:hAnsi="CapitoliumNews" w:cs="Arial"/>
      <w:color w:val="auto"/>
    </w:rPr>
  </w:style>
  <w:style w:type="character" w:customStyle="1" w:styleId="personname">
    <w:name w:val="person_name"/>
    <w:rsid w:val="00AC1EB6"/>
  </w:style>
  <w:style w:type="paragraph" w:customStyle="1" w:styleId="Pa24">
    <w:name w:val="Pa24"/>
    <w:basedOn w:val="Default"/>
    <w:next w:val="Default"/>
    <w:uiPriority w:val="99"/>
    <w:rsid w:val="00AC1EB6"/>
    <w:pPr>
      <w:spacing w:line="181" w:lineRule="atLeast"/>
    </w:pPr>
    <w:rPr>
      <w:rFonts w:ascii="Segoe UI Light" w:hAnsi="Segoe UI Light" w:cs="Arial"/>
      <w:color w:val="auto"/>
    </w:rPr>
  </w:style>
  <w:style w:type="paragraph" w:styleId="NoSpacing">
    <w:name w:val="No Spacing"/>
    <w:link w:val="NoSpacingChar"/>
    <w:uiPriority w:val="1"/>
    <w:qFormat/>
    <w:rsid w:val="00AC1EB6"/>
    <w:pPr>
      <w:bidi/>
    </w:pPr>
    <w:rPr>
      <w:rFonts w:ascii="Calibri" w:eastAsia="Calibri" w:hAnsi="Calibri" w:cs="Arial"/>
      <w:sz w:val="22"/>
      <w:szCs w:val="22"/>
      <w:lang w:eastAsia="en-US"/>
    </w:rPr>
  </w:style>
  <w:style w:type="character" w:customStyle="1" w:styleId="BodyTextChar">
    <w:name w:val="Body Text Char"/>
    <w:link w:val="BodyText"/>
    <w:uiPriority w:val="1"/>
    <w:rsid w:val="00AC1EB6"/>
    <w:rPr>
      <w:snapToGrid/>
      <w:sz w:val="30"/>
      <w:szCs w:val="30"/>
      <w:lang w:eastAsia="ar-SA"/>
    </w:rPr>
  </w:style>
  <w:style w:type="character" w:customStyle="1" w:styleId="BodyText2Char">
    <w:name w:val="Body Text 2 Char"/>
    <w:link w:val="BodyText2"/>
    <w:rsid w:val="00AC1EB6"/>
    <w:rPr>
      <w:rFonts w:cs="Simplified Arabic"/>
      <w:snapToGrid/>
      <w:sz w:val="28"/>
      <w:szCs w:val="38"/>
      <w:lang w:eastAsia="ar-SA"/>
    </w:rPr>
  </w:style>
  <w:style w:type="table" w:customStyle="1" w:styleId="LightGrid-Accent11">
    <w:name w:val="Light Grid - Accent 11"/>
    <w:basedOn w:val="TableNormal"/>
    <w:uiPriority w:val="62"/>
    <w:rsid w:val="00AC1EB6"/>
    <w:rPr>
      <w:rFonts w:ascii="Calibri" w:eastAsia="Calibri" w:hAnsi="Calibri" w:cs="Arial"/>
      <w:sz w:val="22"/>
      <w:szCs w:val="22"/>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等线" w:eastAsia="Times New Roman"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等线" w:eastAsia="Times New Roman"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等线" w:eastAsia="Times New Roman" w:hAnsi="等线" w:cs="Times New Roman"/>
        <w:b/>
        <w:bCs/>
      </w:rPr>
    </w:tblStylePr>
    <w:tblStylePr w:type="lastCol">
      <w:rPr>
        <w:rFonts w:ascii="等线" w:eastAsia="Times New Roman"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10">
    <w:name w:val="Table Grid1"/>
    <w:basedOn w:val="TableNormal"/>
    <w:uiPriority w:val="59"/>
    <w:rsid w:val="00AC1EB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uiPriority w:val="62"/>
    <w:rsid w:val="00AC1EB6"/>
    <w:rPr>
      <w:rFonts w:ascii="Calibri" w:eastAsia="Calibri" w:hAnsi="Calibri" w:cs="Arial"/>
      <w:sz w:val="22"/>
      <w:szCs w:val="22"/>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Light" w:eastAsia="Times New Roman" w:hAnsi="Segoe U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Segoe UI Light" w:eastAsia="Times New Roman" w:hAnsi="Segoe U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Segoe UI Light" w:eastAsia="Times New Roman" w:hAnsi="Segoe UI Light" w:cs="Times New Roman"/>
        <w:b/>
        <w:bCs/>
      </w:rPr>
    </w:tblStylePr>
    <w:tblStylePr w:type="lastCol">
      <w:rPr>
        <w:rFonts w:ascii="Segoe UI Light" w:eastAsia="Times New Roman" w:hAnsi="Segoe U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MediumShading2-Accent21">
    <w:name w:val="Medium Shading 2 - Accent 21"/>
    <w:basedOn w:val="TableNormal"/>
    <w:uiPriority w:val="64"/>
    <w:rsid w:val="00AC1EB6"/>
    <w:rPr>
      <w:rFonts w:ascii="Calibri" w:eastAsia="Calibri"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uiPriority w:val="61"/>
    <w:rsid w:val="00AC1EB6"/>
    <w:rPr>
      <w:rFonts w:ascii="Calibri" w:eastAsia="Calibri" w:hAnsi="Calibri" w:cs="Arial"/>
      <w:sz w:val="22"/>
      <w:szCs w:val="22"/>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uiPriority w:val="61"/>
    <w:rsid w:val="00AC1EB6"/>
    <w:rPr>
      <w:rFonts w:ascii="Calibri" w:eastAsia="Calibri" w:hAnsi="Calibri" w:cs="Arial"/>
      <w:sz w:val="22"/>
      <w:szCs w:val="22"/>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uiPriority w:val="60"/>
    <w:locked/>
    <w:rsid w:val="00AC1EB6"/>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uiPriority w:val="60"/>
    <w:rsid w:val="00AC1EB6"/>
    <w:rPr>
      <w:rFonts w:ascii="Calibri" w:eastAsia="Calibri" w:hAnsi="Calibri" w:cs="Arial"/>
      <w:color w:val="943634"/>
      <w:sz w:val="22"/>
      <w:szCs w:val="22"/>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List1-Accent61">
    <w:name w:val="Medium List 1 - Accent 61"/>
    <w:basedOn w:val="TableNormal"/>
    <w:uiPriority w:val="65"/>
    <w:rsid w:val="00AC1EB6"/>
    <w:rPr>
      <w:rFonts w:ascii="Calibri" w:eastAsia="Calibri" w:hAnsi="Calibri" w:cs="Arial"/>
      <w:color w:val="000000"/>
      <w:sz w:val="22"/>
      <w:szCs w:val="22"/>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Segoe UI Light" w:eastAsia="Times New Roman" w:hAnsi="Segoe U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uiPriority w:val="60"/>
    <w:locked/>
    <w:rsid w:val="00AC1EB6"/>
    <w:rPr>
      <w:rFonts w:ascii="Calibri" w:eastAsia="Calibri" w:hAnsi="Calibri" w:cs="Arial"/>
      <w:color w:val="E36C0A"/>
      <w:sz w:val="22"/>
      <w:szCs w:val="22"/>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TMLPreformattedChar">
    <w:name w:val="HTML Preformatted Char"/>
    <w:link w:val="HTMLPreformatted"/>
    <w:uiPriority w:val="99"/>
    <w:rsid w:val="00AC1EB6"/>
    <w:rPr>
      <w:rFonts w:ascii="Courier New" w:hAnsi="Courier New" w:cs="Courier New"/>
    </w:rPr>
  </w:style>
  <w:style w:type="character" w:customStyle="1" w:styleId="mw-headline">
    <w:name w:val="mw-headline"/>
    <w:basedOn w:val="DefaultParagraphFont"/>
    <w:rsid w:val="00AC1EB6"/>
  </w:style>
  <w:style w:type="table" w:customStyle="1" w:styleId="LightList-Accent11">
    <w:name w:val="Light List - Accent 11"/>
    <w:basedOn w:val="TableNormal"/>
    <w:uiPriority w:val="61"/>
    <w:rsid w:val="00AC1EB6"/>
    <w:rPr>
      <w:rFonts w:ascii="Calibri" w:eastAsia="Calibri" w:hAnsi="Calibri" w:cs="Arial"/>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AC1EB6"/>
  </w:style>
  <w:style w:type="character" w:customStyle="1" w:styleId="apple-converted-space">
    <w:name w:val="apple-converted-space"/>
    <w:basedOn w:val="DefaultParagraphFont"/>
    <w:rsid w:val="00AC1EB6"/>
  </w:style>
  <w:style w:type="paragraph" w:customStyle="1" w:styleId="Title1">
    <w:name w:val="Title1"/>
    <w:basedOn w:val="Normal"/>
    <w:next w:val="Normal"/>
    <w:uiPriority w:val="10"/>
    <w:qFormat/>
    <w:rsid w:val="00AC1EB6"/>
    <w:pPr>
      <w:bidi w:val="0"/>
      <w:contextualSpacing/>
    </w:pPr>
    <w:rPr>
      <w:rFonts w:ascii="Cambria" w:hAnsi="Cambria"/>
      <w:spacing w:val="-10"/>
      <w:kern w:val="28"/>
      <w:sz w:val="56"/>
      <w:szCs w:val="56"/>
    </w:rPr>
  </w:style>
  <w:style w:type="character" w:customStyle="1" w:styleId="TitleChar">
    <w:name w:val="Title Char"/>
    <w:link w:val="Title"/>
    <w:uiPriority w:val="10"/>
    <w:rsid w:val="00AC1EB6"/>
    <w:rPr>
      <w:rFonts w:ascii="Cambria" w:eastAsia="Times New Roman" w:hAnsi="Cambria" w:cs="Times New Roman"/>
      <w:spacing w:val="-10"/>
      <w:kern w:val="28"/>
      <w:sz w:val="56"/>
      <w:szCs w:val="56"/>
    </w:rPr>
  </w:style>
  <w:style w:type="paragraph" w:customStyle="1" w:styleId="s3">
    <w:name w:val="s3"/>
    <w:basedOn w:val="Normal"/>
    <w:rsid w:val="00AC1EB6"/>
    <w:pPr>
      <w:bidi w:val="0"/>
      <w:spacing w:before="100" w:beforeAutospacing="1" w:after="100" w:afterAutospacing="1"/>
    </w:pPr>
  </w:style>
  <w:style w:type="character" w:customStyle="1" w:styleId="s6">
    <w:name w:val="s6"/>
    <w:basedOn w:val="DefaultParagraphFont"/>
    <w:rsid w:val="00AC1EB6"/>
  </w:style>
  <w:style w:type="character" w:customStyle="1" w:styleId="s8">
    <w:name w:val="s8"/>
    <w:basedOn w:val="DefaultParagraphFont"/>
    <w:rsid w:val="00AC1EB6"/>
  </w:style>
  <w:style w:type="character" w:customStyle="1" w:styleId="s9">
    <w:name w:val="s9"/>
    <w:basedOn w:val="DefaultParagraphFont"/>
    <w:rsid w:val="00AC1EB6"/>
  </w:style>
  <w:style w:type="character" w:customStyle="1" w:styleId="s4">
    <w:name w:val="s4"/>
    <w:basedOn w:val="DefaultParagraphFont"/>
    <w:rsid w:val="00AC1EB6"/>
  </w:style>
  <w:style w:type="paragraph" w:customStyle="1" w:styleId="s11">
    <w:name w:val="s11"/>
    <w:basedOn w:val="Normal"/>
    <w:rsid w:val="00AC1EB6"/>
    <w:pPr>
      <w:bidi w:val="0"/>
      <w:spacing w:before="100" w:beforeAutospacing="1" w:after="100" w:afterAutospacing="1"/>
    </w:pPr>
  </w:style>
  <w:style w:type="character" w:customStyle="1" w:styleId="display-block">
    <w:name w:val="display-block"/>
    <w:basedOn w:val="DefaultParagraphFont"/>
    <w:rsid w:val="00AC1EB6"/>
  </w:style>
  <w:style w:type="character" w:customStyle="1" w:styleId="contentauthor--name">
    <w:name w:val="content__author--name"/>
    <w:basedOn w:val="DefaultParagraphFont"/>
    <w:rsid w:val="00AC1EB6"/>
  </w:style>
  <w:style w:type="character" w:customStyle="1" w:styleId="contentauthor--date">
    <w:name w:val="content__author--date"/>
    <w:basedOn w:val="DefaultParagraphFont"/>
    <w:rsid w:val="00AC1EB6"/>
  </w:style>
  <w:style w:type="paragraph" w:customStyle="1" w:styleId="simplepara">
    <w:name w:val="simplepara"/>
    <w:basedOn w:val="Normal"/>
    <w:uiPriority w:val="99"/>
    <w:rsid w:val="00AC1EB6"/>
    <w:pPr>
      <w:bidi w:val="0"/>
      <w:spacing w:before="100" w:beforeAutospacing="1" w:after="100" w:afterAutospacing="1"/>
    </w:pPr>
  </w:style>
  <w:style w:type="character" w:customStyle="1" w:styleId="s2">
    <w:name w:val="s2"/>
    <w:basedOn w:val="DefaultParagraphFont"/>
    <w:rsid w:val="00AC1EB6"/>
  </w:style>
  <w:style w:type="table" w:customStyle="1" w:styleId="GridTable5Dark-Accent31">
    <w:name w:val="Grid Table 5 Dark - Accent 31"/>
    <w:basedOn w:val="TableNormal"/>
    <w:uiPriority w:val="50"/>
    <w:locked/>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uiPriority w:val="51"/>
    <w:rsid w:val="00AC1EB6"/>
    <w:rPr>
      <w:rFonts w:ascii="Calibri" w:eastAsia="Calibri" w:hAnsi="Calibri" w:cs="Arial"/>
      <w:color w:val="943634"/>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uiPriority w:val="52"/>
    <w:rsid w:val="00AC1EB6"/>
    <w:rPr>
      <w:rFonts w:ascii="Calibri" w:eastAsia="Calibri" w:hAnsi="Calibri" w:cs="Arial"/>
      <w:color w:val="943634"/>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uiPriority w:val="52"/>
    <w:rsid w:val="00AC1EB6"/>
    <w:rPr>
      <w:rFonts w:ascii="Calibri" w:eastAsia="Calibri" w:hAnsi="Calibri" w:cs="Arial"/>
      <w:color w:val="000000"/>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uiPriority w:val="47"/>
    <w:locked/>
    <w:rsid w:val="00AC1EB6"/>
    <w:rPr>
      <w:rFonts w:ascii="Calibri" w:eastAsia="Calibri" w:hAnsi="Calibri" w:cs="Arial"/>
      <w:sz w:val="22"/>
      <w:szCs w:val="22"/>
    </w:rPr>
    <w:tblPr>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uiPriority w:val="48"/>
    <w:rsid w:val="00AC1EB6"/>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uiPriority w:val="46"/>
    <w:locked/>
    <w:rsid w:val="00AC1EB6"/>
    <w:rPr>
      <w:rFonts w:ascii="Calibri" w:eastAsia="Calibri" w:hAnsi="Calibri" w:cs="Arial"/>
      <w:sz w:val="22"/>
      <w:szCs w:val="22"/>
    </w:r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uiPriority w:val="48"/>
    <w:rsid w:val="00AC1EB6"/>
    <w:rPr>
      <w:rFonts w:ascii="Calibri" w:eastAsia="Calibri" w:hAnsi="Calibri" w:cs="Arial"/>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uiPriority w:val="51"/>
    <w:rsid w:val="00AC1EB6"/>
    <w:rPr>
      <w:rFonts w:ascii="Calibri" w:eastAsia="Calibri"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uiPriority w:val="49"/>
    <w:rsid w:val="00AC1EB6"/>
    <w:rPr>
      <w:rFonts w:ascii="Calibri" w:eastAsia="Calibri" w:hAnsi="Calibri" w:cs="Arial"/>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uiPriority w:val="48"/>
    <w:rsid w:val="00AC1EB6"/>
    <w:rPr>
      <w:rFonts w:ascii="Calibri" w:eastAsia="Calibri" w:hAnsi="Calibri" w:cs="Arial"/>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uiPriority w:val="46"/>
    <w:rsid w:val="00AC1EB6"/>
    <w:rPr>
      <w:rFonts w:ascii="Calibri" w:eastAsia="Calibri" w:hAnsi="Calibri" w:cs="Arial"/>
      <w:sz w:val="22"/>
      <w:szCs w:val="22"/>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AC1EB6"/>
    <w:pPr>
      <w:bidi w:val="0"/>
      <w:spacing w:before="100" w:beforeAutospacing="1" w:after="100" w:afterAutospacing="1"/>
    </w:pPr>
  </w:style>
  <w:style w:type="character" w:customStyle="1" w:styleId="s84">
    <w:name w:val="s84"/>
    <w:basedOn w:val="DefaultParagraphFont"/>
    <w:rsid w:val="00AC1EB6"/>
  </w:style>
  <w:style w:type="character" w:customStyle="1" w:styleId="s12">
    <w:name w:val="s12"/>
    <w:basedOn w:val="DefaultParagraphFont"/>
    <w:rsid w:val="00AC1EB6"/>
  </w:style>
  <w:style w:type="paragraph" w:customStyle="1" w:styleId="s87">
    <w:name w:val="s87"/>
    <w:basedOn w:val="Normal"/>
    <w:rsid w:val="00AC1EB6"/>
    <w:pPr>
      <w:bidi w:val="0"/>
      <w:spacing w:before="100" w:beforeAutospacing="1" w:after="100" w:afterAutospacing="1"/>
    </w:pPr>
  </w:style>
  <w:style w:type="character" w:customStyle="1" w:styleId="s68">
    <w:name w:val="s68"/>
    <w:basedOn w:val="DefaultParagraphFont"/>
    <w:rsid w:val="00AC1EB6"/>
  </w:style>
  <w:style w:type="paragraph" w:customStyle="1" w:styleId="s88">
    <w:name w:val="s88"/>
    <w:basedOn w:val="Normal"/>
    <w:rsid w:val="00AC1EB6"/>
    <w:pPr>
      <w:bidi w:val="0"/>
      <w:spacing w:before="100" w:beforeAutospacing="1" w:after="100" w:afterAutospacing="1"/>
    </w:pPr>
  </w:style>
  <w:style w:type="character" w:customStyle="1" w:styleId="s89">
    <w:name w:val="s89"/>
    <w:basedOn w:val="DefaultParagraphFont"/>
    <w:rsid w:val="00AC1EB6"/>
  </w:style>
  <w:style w:type="character" w:customStyle="1" w:styleId="s90">
    <w:name w:val="s90"/>
    <w:basedOn w:val="DefaultParagraphFont"/>
    <w:rsid w:val="00AC1EB6"/>
  </w:style>
  <w:style w:type="table" w:customStyle="1" w:styleId="GridTable5Dark-Accent11">
    <w:name w:val="Grid Table 5 Dark - Accent 11"/>
    <w:basedOn w:val="TableNormal"/>
    <w:uiPriority w:val="50"/>
    <w:locked/>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uiPriority w:val="48"/>
    <w:rsid w:val="00AC1EB6"/>
    <w:rPr>
      <w:rFonts w:ascii="Calibri" w:eastAsia="Calibri" w:hAnsi="Calibri" w:cs="Arial"/>
      <w:sz w:val="22"/>
      <w:szCs w:val="22"/>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uiPriority w:val="46"/>
    <w:rsid w:val="00AC1EB6"/>
    <w:rPr>
      <w:rFonts w:ascii="Calibri" w:eastAsia="Calibri" w:hAnsi="Calibri" w:cs="Arial"/>
      <w:sz w:val="22"/>
      <w:szCs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C1EB6"/>
    <w:rPr>
      <w:rFonts w:ascii="Calibri" w:eastAsia="Calibri" w:hAnsi="Calibri" w:cs="Arial"/>
      <w:sz w:val="22"/>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AC1EB6"/>
    <w:rPr>
      <w:rFonts w:ascii="Calibri" w:eastAsia="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AC1EB6"/>
  </w:style>
  <w:style w:type="character" w:customStyle="1" w:styleId="bumpedfont20">
    <w:name w:val="bumpedfont20"/>
    <w:basedOn w:val="DefaultParagraphFont"/>
    <w:rsid w:val="00AC1EB6"/>
  </w:style>
  <w:style w:type="character" w:customStyle="1" w:styleId="s13">
    <w:name w:val="s13"/>
    <w:basedOn w:val="DefaultParagraphFont"/>
    <w:rsid w:val="00AC1EB6"/>
  </w:style>
  <w:style w:type="paragraph" w:customStyle="1" w:styleId="s160">
    <w:name w:val="s160"/>
    <w:basedOn w:val="Normal"/>
    <w:rsid w:val="00AC1EB6"/>
    <w:pPr>
      <w:bidi w:val="0"/>
      <w:spacing w:before="100" w:beforeAutospacing="1" w:after="100" w:afterAutospacing="1"/>
    </w:pPr>
  </w:style>
  <w:style w:type="character" w:customStyle="1" w:styleId="s97">
    <w:name w:val="s97"/>
    <w:basedOn w:val="DefaultParagraphFont"/>
    <w:rsid w:val="00AC1EB6"/>
  </w:style>
  <w:style w:type="paragraph" w:customStyle="1" w:styleId="s23">
    <w:name w:val="s23"/>
    <w:basedOn w:val="Normal"/>
    <w:rsid w:val="00AC1EB6"/>
    <w:pPr>
      <w:bidi w:val="0"/>
      <w:spacing w:before="100" w:beforeAutospacing="1" w:after="100" w:afterAutospacing="1"/>
    </w:pPr>
  </w:style>
  <w:style w:type="paragraph" w:customStyle="1" w:styleId="s151">
    <w:name w:val="s151"/>
    <w:basedOn w:val="Normal"/>
    <w:rsid w:val="00AC1EB6"/>
    <w:pPr>
      <w:bidi w:val="0"/>
      <w:spacing w:before="100" w:beforeAutospacing="1" w:after="100" w:afterAutospacing="1"/>
    </w:pPr>
  </w:style>
  <w:style w:type="character" w:customStyle="1" w:styleId="s180">
    <w:name w:val="s180"/>
    <w:basedOn w:val="DefaultParagraphFont"/>
    <w:rsid w:val="00AC1EB6"/>
  </w:style>
  <w:style w:type="character" w:customStyle="1" w:styleId="s46">
    <w:name w:val="s46"/>
    <w:basedOn w:val="DefaultParagraphFont"/>
    <w:rsid w:val="00AC1EB6"/>
  </w:style>
  <w:style w:type="character" w:customStyle="1" w:styleId="s185">
    <w:name w:val="s185"/>
    <w:basedOn w:val="DefaultParagraphFont"/>
    <w:rsid w:val="00AC1EB6"/>
  </w:style>
  <w:style w:type="paragraph" w:customStyle="1" w:styleId="s186">
    <w:name w:val="s186"/>
    <w:basedOn w:val="Normal"/>
    <w:rsid w:val="00AC1EB6"/>
    <w:pPr>
      <w:bidi w:val="0"/>
      <w:spacing w:before="100" w:beforeAutospacing="1" w:after="100" w:afterAutospacing="1"/>
    </w:pPr>
  </w:style>
  <w:style w:type="paragraph" w:customStyle="1" w:styleId="s188">
    <w:name w:val="s188"/>
    <w:basedOn w:val="Normal"/>
    <w:rsid w:val="00AC1EB6"/>
    <w:pPr>
      <w:bidi w:val="0"/>
      <w:spacing w:before="100" w:beforeAutospacing="1" w:after="100" w:afterAutospacing="1"/>
    </w:pPr>
  </w:style>
  <w:style w:type="character" w:customStyle="1" w:styleId="s187">
    <w:name w:val="s187"/>
    <w:basedOn w:val="DefaultParagraphFont"/>
    <w:rsid w:val="00AC1EB6"/>
  </w:style>
  <w:style w:type="character" w:customStyle="1" w:styleId="s189">
    <w:name w:val="s189"/>
    <w:basedOn w:val="DefaultParagraphFont"/>
    <w:rsid w:val="00AC1EB6"/>
  </w:style>
  <w:style w:type="character" w:customStyle="1" w:styleId="s193">
    <w:name w:val="s193"/>
    <w:basedOn w:val="DefaultParagraphFont"/>
    <w:rsid w:val="00AC1EB6"/>
  </w:style>
  <w:style w:type="table" w:customStyle="1" w:styleId="GridTable4-Accent21">
    <w:name w:val="Grid Table 4 - Accent 21"/>
    <w:basedOn w:val="TableNormal"/>
    <w:uiPriority w:val="49"/>
    <w:rsid w:val="00AC1EB6"/>
    <w:rPr>
      <w:rFonts w:ascii="Calibri" w:eastAsia="Calibri" w:hAnsi="Calibri" w:cs="Arial"/>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uiPriority w:val="50"/>
    <w:locked/>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uiPriority w:val="48"/>
    <w:rsid w:val="00AC1EB6"/>
    <w:rPr>
      <w:rFonts w:ascii="Calibri" w:eastAsia="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AC1EB6"/>
    <w:rPr>
      <w:rFonts w:ascii="Calibri" w:eastAsia="Calibri" w:hAnsi="Calibri" w:cs="Arial"/>
      <w:sz w:val="22"/>
      <w:szCs w:val="22"/>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uiPriority w:val="40"/>
    <w:rsid w:val="00AC1EB6"/>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AC1EB6"/>
    <w:rPr>
      <w:rFonts w:ascii="Calibri" w:eastAsia="Calibri" w:hAnsi="Calibri" w:cs="Arial"/>
      <w:sz w:val="22"/>
      <w:szCs w:val="22"/>
    </w:rPr>
    <w:tblPr>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AC1EB6"/>
  </w:style>
  <w:style w:type="paragraph" w:customStyle="1" w:styleId="s152">
    <w:name w:val="s152"/>
    <w:basedOn w:val="Normal"/>
    <w:rsid w:val="00AC1EB6"/>
    <w:pPr>
      <w:bidi w:val="0"/>
      <w:spacing w:before="100" w:beforeAutospacing="1" w:after="100" w:afterAutospacing="1"/>
    </w:pPr>
  </w:style>
  <w:style w:type="character" w:customStyle="1" w:styleId="s393">
    <w:name w:val="s393"/>
    <w:basedOn w:val="DefaultParagraphFont"/>
    <w:rsid w:val="00AC1EB6"/>
  </w:style>
  <w:style w:type="character" w:customStyle="1" w:styleId="s394">
    <w:name w:val="s394"/>
    <w:basedOn w:val="DefaultParagraphFont"/>
    <w:rsid w:val="00AC1EB6"/>
  </w:style>
  <w:style w:type="paragraph" w:customStyle="1" w:styleId="s397">
    <w:name w:val="s397"/>
    <w:basedOn w:val="Normal"/>
    <w:rsid w:val="00AC1EB6"/>
    <w:pPr>
      <w:bidi w:val="0"/>
      <w:spacing w:before="100" w:beforeAutospacing="1" w:after="100" w:afterAutospacing="1"/>
    </w:pPr>
  </w:style>
  <w:style w:type="paragraph" w:customStyle="1" w:styleId="s398">
    <w:name w:val="s398"/>
    <w:basedOn w:val="Normal"/>
    <w:rsid w:val="00AC1EB6"/>
    <w:pPr>
      <w:bidi w:val="0"/>
      <w:spacing w:before="100" w:beforeAutospacing="1" w:after="100" w:afterAutospacing="1"/>
    </w:pPr>
  </w:style>
  <w:style w:type="paragraph" w:customStyle="1" w:styleId="s402">
    <w:name w:val="s402"/>
    <w:basedOn w:val="Normal"/>
    <w:rsid w:val="00AC1EB6"/>
    <w:pPr>
      <w:bidi w:val="0"/>
      <w:spacing w:before="100" w:beforeAutospacing="1" w:after="100" w:afterAutospacing="1"/>
    </w:pPr>
  </w:style>
  <w:style w:type="paragraph" w:customStyle="1" w:styleId="s404">
    <w:name w:val="s404"/>
    <w:basedOn w:val="Normal"/>
    <w:rsid w:val="00AC1EB6"/>
    <w:pPr>
      <w:bidi w:val="0"/>
      <w:spacing w:before="100" w:beforeAutospacing="1" w:after="100" w:afterAutospacing="1"/>
    </w:pPr>
  </w:style>
  <w:style w:type="paragraph" w:customStyle="1" w:styleId="s407">
    <w:name w:val="s407"/>
    <w:basedOn w:val="Normal"/>
    <w:rsid w:val="00AC1EB6"/>
    <w:pPr>
      <w:bidi w:val="0"/>
      <w:spacing w:before="100" w:beforeAutospacing="1" w:after="100" w:afterAutospacing="1"/>
    </w:pPr>
  </w:style>
  <w:style w:type="paragraph" w:customStyle="1" w:styleId="s326">
    <w:name w:val="s326"/>
    <w:basedOn w:val="Normal"/>
    <w:rsid w:val="00AC1EB6"/>
    <w:pPr>
      <w:bidi w:val="0"/>
      <w:spacing w:before="100" w:beforeAutospacing="1" w:after="100" w:afterAutospacing="1"/>
    </w:pPr>
  </w:style>
  <w:style w:type="paragraph" w:customStyle="1" w:styleId="s139">
    <w:name w:val="s139"/>
    <w:basedOn w:val="Normal"/>
    <w:rsid w:val="00AC1EB6"/>
    <w:pPr>
      <w:bidi w:val="0"/>
      <w:spacing w:before="100" w:beforeAutospacing="1" w:after="100" w:afterAutospacing="1"/>
    </w:pPr>
  </w:style>
  <w:style w:type="paragraph" w:customStyle="1" w:styleId="s412">
    <w:name w:val="s412"/>
    <w:basedOn w:val="Normal"/>
    <w:rsid w:val="00AC1EB6"/>
    <w:pPr>
      <w:bidi w:val="0"/>
      <w:spacing w:before="100" w:beforeAutospacing="1" w:after="100" w:afterAutospacing="1"/>
    </w:pPr>
  </w:style>
  <w:style w:type="paragraph" w:customStyle="1" w:styleId="s414">
    <w:name w:val="s414"/>
    <w:basedOn w:val="Normal"/>
    <w:rsid w:val="00AC1EB6"/>
    <w:pPr>
      <w:bidi w:val="0"/>
      <w:spacing w:before="100" w:beforeAutospacing="1" w:after="100" w:afterAutospacing="1"/>
    </w:pPr>
  </w:style>
  <w:style w:type="paragraph" w:customStyle="1" w:styleId="s39">
    <w:name w:val="s39"/>
    <w:basedOn w:val="Normal"/>
    <w:rsid w:val="00AC1EB6"/>
    <w:pPr>
      <w:bidi w:val="0"/>
      <w:spacing w:before="100" w:beforeAutospacing="1" w:after="100" w:afterAutospacing="1"/>
    </w:pPr>
  </w:style>
  <w:style w:type="paragraph" w:customStyle="1" w:styleId="s416">
    <w:name w:val="s416"/>
    <w:basedOn w:val="Normal"/>
    <w:rsid w:val="00AC1EB6"/>
    <w:pPr>
      <w:bidi w:val="0"/>
      <w:spacing w:before="100" w:beforeAutospacing="1" w:after="100" w:afterAutospacing="1"/>
    </w:pPr>
  </w:style>
  <w:style w:type="paragraph" w:customStyle="1" w:styleId="s417">
    <w:name w:val="s417"/>
    <w:basedOn w:val="Normal"/>
    <w:rsid w:val="00AC1EB6"/>
    <w:pPr>
      <w:bidi w:val="0"/>
      <w:spacing w:before="100" w:beforeAutospacing="1" w:after="100" w:afterAutospacing="1"/>
    </w:pPr>
  </w:style>
  <w:style w:type="paragraph" w:customStyle="1" w:styleId="s420">
    <w:name w:val="s420"/>
    <w:basedOn w:val="Normal"/>
    <w:rsid w:val="00AC1EB6"/>
    <w:pPr>
      <w:bidi w:val="0"/>
      <w:spacing w:before="100" w:beforeAutospacing="1" w:after="100" w:afterAutospacing="1"/>
    </w:pPr>
  </w:style>
  <w:style w:type="paragraph" w:customStyle="1" w:styleId="s18">
    <w:name w:val="s18"/>
    <w:basedOn w:val="Normal"/>
    <w:rsid w:val="00AC1EB6"/>
    <w:pPr>
      <w:bidi w:val="0"/>
      <w:spacing w:before="100" w:beforeAutospacing="1" w:after="100" w:afterAutospacing="1"/>
    </w:pPr>
  </w:style>
  <w:style w:type="paragraph" w:customStyle="1" w:styleId="s428">
    <w:name w:val="s428"/>
    <w:basedOn w:val="Normal"/>
    <w:rsid w:val="00AC1EB6"/>
    <w:pPr>
      <w:bidi w:val="0"/>
      <w:spacing w:before="100" w:beforeAutospacing="1" w:after="100" w:afterAutospacing="1"/>
    </w:pPr>
  </w:style>
  <w:style w:type="character" w:customStyle="1" w:styleId="s427">
    <w:name w:val="s427"/>
    <w:basedOn w:val="DefaultParagraphFont"/>
    <w:rsid w:val="00AC1EB6"/>
  </w:style>
  <w:style w:type="character" w:customStyle="1" w:styleId="s429">
    <w:name w:val="s429"/>
    <w:basedOn w:val="DefaultParagraphFont"/>
    <w:rsid w:val="00AC1EB6"/>
  </w:style>
  <w:style w:type="paragraph" w:customStyle="1" w:styleId="s436">
    <w:name w:val="s436"/>
    <w:basedOn w:val="Normal"/>
    <w:rsid w:val="00AC1EB6"/>
    <w:pPr>
      <w:bidi w:val="0"/>
      <w:spacing w:before="100" w:beforeAutospacing="1" w:after="100" w:afterAutospacing="1"/>
    </w:pPr>
  </w:style>
  <w:style w:type="paragraph" w:customStyle="1" w:styleId="s439">
    <w:name w:val="s439"/>
    <w:basedOn w:val="Normal"/>
    <w:rsid w:val="00AC1EB6"/>
    <w:pPr>
      <w:bidi w:val="0"/>
      <w:spacing w:before="100" w:beforeAutospacing="1" w:after="100" w:afterAutospacing="1"/>
    </w:pPr>
  </w:style>
  <w:style w:type="paragraph" w:customStyle="1" w:styleId="s440">
    <w:name w:val="s440"/>
    <w:basedOn w:val="Normal"/>
    <w:rsid w:val="00AC1EB6"/>
    <w:pPr>
      <w:bidi w:val="0"/>
      <w:spacing w:before="100" w:beforeAutospacing="1" w:after="100" w:afterAutospacing="1"/>
    </w:pPr>
  </w:style>
  <w:style w:type="paragraph" w:customStyle="1" w:styleId="s442">
    <w:name w:val="s442"/>
    <w:basedOn w:val="Normal"/>
    <w:rsid w:val="00AC1EB6"/>
    <w:pPr>
      <w:bidi w:val="0"/>
      <w:spacing w:before="100" w:beforeAutospacing="1" w:after="100" w:afterAutospacing="1"/>
    </w:pPr>
  </w:style>
  <w:style w:type="paragraph" w:customStyle="1" w:styleId="s443">
    <w:name w:val="s443"/>
    <w:basedOn w:val="Normal"/>
    <w:rsid w:val="00AC1EB6"/>
    <w:pPr>
      <w:bidi w:val="0"/>
      <w:spacing w:before="100" w:beforeAutospacing="1" w:after="100" w:afterAutospacing="1"/>
    </w:pPr>
  </w:style>
  <w:style w:type="paragraph" w:customStyle="1" w:styleId="s444">
    <w:name w:val="s444"/>
    <w:basedOn w:val="Normal"/>
    <w:rsid w:val="00AC1EB6"/>
    <w:pPr>
      <w:bidi w:val="0"/>
      <w:spacing w:before="100" w:beforeAutospacing="1" w:after="100" w:afterAutospacing="1"/>
    </w:pPr>
  </w:style>
  <w:style w:type="character" w:customStyle="1" w:styleId="s445">
    <w:name w:val="s445"/>
    <w:basedOn w:val="DefaultParagraphFont"/>
    <w:rsid w:val="00AC1EB6"/>
  </w:style>
  <w:style w:type="paragraph" w:customStyle="1" w:styleId="s448">
    <w:name w:val="s448"/>
    <w:basedOn w:val="Normal"/>
    <w:rsid w:val="00AC1EB6"/>
    <w:pPr>
      <w:bidi w:val="0"/>
      <w:spacing w:before="100" w:beforeAutospacing="1" w:after="100" w:afterAutospacing="1"/>
    </w:pPr>
  </w:style>
  <w:style w:type="paragraph" w:customStyle="1" w:styleId="s31">
    <w:name w:val="s31"/>
    <w:basedOn w:val="Normal"/>
    <w:rsid w:val="00AC1EB6"/>
    <w:pPr>
      <w:bidi w:val="0"/>
      <w:spacing w:before="100" w:beforeAutospacing="1" w:after="100" w:afterAutospacing="1"/>
    </w:pPr>
  </w:style>
  <w:style w:type="character" w:customStyle="1" w:styleId="s450">
    <w:name w:val="s450"/>
    <w:basedOn w:val="DefaultParagraphFont"/>
    <w:rsid w:val="00AC1EB6"/>
  </w:style>
  <w:style w:type="table" w:customStyle="1" w:styleId="PlainTable11">
    <w:name w:val="Plain Table 11"/>
    <w:basedOn w:val="TableNormal"/>
    <w:uiPriority w:val="41"/>
    <w:rsid w:val="00AC1EB6"/>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AC1EB6"/>
    <w:pPr>
      <w:bidi w:val="0"/>
      <w:spacing w:before="100" w:beforeAutospacing="1" w:after="100" w:afterAutospacing="1"/>
    </w:pPr>
  </w:style>
  <w:style w:type="paragraph" w:customStyle="1" w:styleId="s281">
    <w:name w:val="s281"/>
    <w:basedOn w:val="Normal"/>
    <w:rsid w:val="00AC1EB6"/>
    <w:pPr>
      <w:bidi w:val="0"/>
      <w:spacing w:before="100" w:beforeAutospacing="1" w:after="100" w:afterAutospacing="1"/>
    </w:pPr>
  </w:style>
  <w:style w:type="paragraph" w:customStyle="1" w:styleId="s285">
    <w:name w:val="s285"/>
    <w:basedOn w:val="Normal"/>
    <w:rsid w:val="00AC1EB6"/>
    <w:pPr>
      <w:bidi w:val="0"/>
      <w:spacing w:before="100" w:beforeAutospacing="1" w:after="100" w:afterAutospacing="1"/>
    </w:pPr>
  </w:style>
  <w:style w:type="paragraph" w:customStyle="1" w:styleId="s42">
    <w:name w:val="s42"/>
    <w:basedOn w:val="Normal"/>
    <w:rsid w:val="00AC1EB6"/>
    <w:pPr>
      <w:bidi w:val="0"/>
      <w:spacing w:before="100" w:beforeAutospacing="1" w:after="100" w:afterAutospacing="1"/>
    </w:pPr>
  </w:style>
  <w:style w:type="paragraph" w:customStyle="1" w:styleId="s123">
    <w:name w:val="s123"/>
    <w:basedOn w:val="Normal"/>
    <w:rsid w:val="00AC1EB6"/>
    <w:pPr>
      <w:bidi w:val="0"/>
      <w:spacing w:before="100" w:beforeAutospacing="1" w:after="100" w:afterAutospacing="1"/>
    </w:pPr>
  </w:style>
  <w:style w:type="paragraph" w:customStyle="1" w:styleId="s318">
    <w:name w:val="s318"/>
    <w:basedOn w:val="Normal"/>
    <w:rsid w:val="00AC1EB6"/>
    <w:pPr>
      <w:bidi w:val="0"/>
      <w:spacing w:before="100" w:beforeAutospacing="1" w:after="100" w:afterAutospacing="1"/>
    </w:pPr>
  </w:style>
  <w:style w:type="paragraph" w:customStyle="1" w:styleId="s316">
    <w:name w:val="s316"/>
    <w:basedOn w:val="Normal"/>
    <w:rsid w:val="00AC1EB6"/>
    <w:pPr>
      <w:bidi w:val="0"/>
      <w:spacing w:before="100" w:beforeAutospacing="1" w:after="100" w:afterAutospacing="1"/>
    </w:pPr>
  </w:style>
  <w:style w:type="paragraph" w:customStyle="1" w:styleId="s320">
    <w:name w:val="s320"/>
    <w:basedOn w:val="Normal"/>
    <w:rsid w:val="00AC1EB6"/>
    <w:pPr>
      <w:bidi w:val="0"/>
      <w:spacing w:before="100" w:beforeAutospacing="1" w:after="100" w:afterAutospacing="1"/>
    </w:pPr>
  </w:style>
  <w:style w:type="paragraph" w:customStyle="1" w:styleId="s321">
    <w:name w:val="s321"/>
    <w:basedOn w:val="Normal"/>
    <w:rsid w:val="00AC1EB6"/>
    <w:pPr>
      <w:bidi w:val="0"/>
      <w:spacing w:before="100" w:beforeAutospacing="1" w:after="100" w:afterAutospacing="1"/>
    </w:pPr>
  </w:style>
  <w:style w:type="paragraph" w:customStyle="1" w:styleId="s43">
    <w:name w:val="s43"/>
    <w:basedOn w:val="Normal"/>
    <w:rsid w:val="00AC1EB6"/>
    <w:pPr>
      <w:bidi w:val="0"/>
      <w:spacing w:before="100" w:beforeAutospacing="1" w:after="100" w:afterAutospacing="1"/>
    </w:pPr>
  </w:style>
  <w:style w:type="paragraph" w:customStyle="1" w:styleId="s143">
    <w:name w:val="s143"/>
    <w:basedOn w:val="Normal"/>
    <w:rsid w:val="00AC1EB6"/>
    <w:pPr>
      <w:bidi w:val="0"/>
      <w:spacing w:before="100" w:beforeAutospacing="1" w:after="100" w:afterAutospacing="1"/>
    </w:pPr>
  </w:style>
  <w:style w:type="paragraph" w:customStyle="1" w:styleId="s410">
    <w:name w:val="s410"/>
    <w:basedOn w:val="Normal"/>
    <w:rsid w:val="00AC1EB6"/>
    <w:pPr>
      <w:bidi w:val="0"/>
      <w:spacing w:before="100" w:beforeAutospacing="1" w:after="100" w:afterAutospacing="1"/>
    </w:pPr>
  </w:style>
  <w:style w:type="paragraph" w:customStyle="1" w:styleId="s34">
    <w:name w:val="s34"/>
    <w:basedOn w:val="Normal"/>
    <w:rsid w:val="00AC1EB6"/>
    <w:pPr>
      <w:bidi w:val="0"/>
      <w:spacing w:before="100" w:beforeAutospacing="1" w:after="100" w:afterAutospacing="1"/>
    </w:pPr>
  </w:style>
  <w:style w:type="character" w:customStyle="1" w:styleId="referencesarticle-title">
    <w:name w:val="references__article-title"/>
    <w:basedOn w:val="DefaultParagraphFont"/>
    <w:rsid w:val="00AC1EB6"/>
  </w:style>
  <w:style w:type="character" w:customStyle="1" w:styleId="referencesyear">
    <w:name w:val="references__year"/>
    <w:basedOn w:val="DefaultParagraphFont"/>
    <w:rsid w:val="00AC1EB6"/>
  </w:style>
  <w:style w:type="character" w:customStyle="1" w:styleId="html-italic">
    <w:name w:val="html-italic"/>
    <w:basedOn w:val="DefaultParagraphFont"/>
    <w:rsid w:val="00AC1EB6"/>
  </w:style>
  <w:style w:type="character" w:customStyle="1" w:styleId="mi">
    <w:name w:val="mi"/>
    <w:basedOn w:val="DefaultParagraphFont"/>
    <w:rsid w:val="00AC1EB6"/>
  </w:style>
  <w:style w:type="character" w:customStyle="1" w:styleId="mo">
    <w:name w:val="mo"/>
    <w:basedOn w:val="DefaultParagraphFont"/>
    <w:rsid w:val="00AC1EB6"/>
  </w:style>
  <w:style w:type="character" w:customStyle="1" w:styleId="mn">
    <w:name w:val="mn"/>
    <w:basedOn w:val="DefaultParagraphFont"/>
    <w:rsid w:val="00AC1EB6"/>
  </w:style>
  <w:style w:type="character" w:customStyle="1" w:styleId="cit-name-surname">
    <w:name w:val="cit-name-surname"/>
    <w:basedOn w:val="DefaultParagraphFont"/>
    <w:rsid w:val="00AC1EB6"/>
  </w:style>
  <w:style w:type="character" w:customStyle="1" w:styleId="cit-name-given-names">
    <w:name w:val="cit-name-given-names"/>
    <w:basedOn w:val="DefaultParagraphFont"/>
    <w:rsid w:val="00AC1EB6"/>
  </w:style>
  <w:style w:type="character" w:customStyle="1" w:styleId="cit-etal">
    <w:name w:val="cit-etal"/>
    <w:basedOn w:val="DefaultParagraphFont"/>
    <w:rsid w:val="00AC1EB6"/>
  </w:style>
  <w:style w:type="character" w:customStyle="1" w:styleId="cit-article-title">
    <w:name w:val="cit-article-title"/>
    <w:basedOn w:val="DefaultParagraphFont"/>
    <w:qFormat/>
    <w:rsid w:val="00AC1EB6"/>
  </w:style>
  <w:style w:type="character" w:customStyle="1" w:styleId="cit-pub-date">
    <w:name w:val="cit-pub-date"/>
    <w:basedOn w:val="DefaultParagraphFont"/>
    <w:qFormat/>
    <w:rsid w:val="00AC1EB6"/>
  </w:style>
  <w:style w:type="character" w:customStyle="1" w:styleId="cit-vol">
    <w:name w:val="cit-vol"/>
    <w:basedOn w:val="DefaultParagraphFont"/>
    <w:qFormat/>
    <w:rsid w:val="00AC1EB6"/>
  </w:style>
  <w:style w:type="character" w:customStyle="1" w:styleId="cit-fpage">
    <w:name w:val="cit-fpage"/>
    <w:basedOn w:val="DefaultParagraphFont"/>
    <w:qFormat/>
    <w:rsid w:val="00AC1EB6"/>
  </w:style>
  <w:style w:type="character" w:customStyle="1" w:styleId="cit-lpage">
    <w:name w:val="cit-lpage"/>
    <w:basedOn w:val="DefaultParagraphFont"/>
    <w:qFormat/>
    <w:rsid w:val="00AC1EB6"/>
  </w:style>
  <w:style w:type="character" w:customStyle="1" w:styleId="ref-journal">
    <w:name w:val="ref-journal"/>
    <w:basedOn w:val="DefaultParagraphFont"/>
    <w:qFormat/>
    <w:rsid w:val="00AC1EB6"/>
  </w:style>
  <w:style w:type="table" w:customStyle="1" w:styleId="LightShading-Accent12">
    <w:name w:val="Light Shading - Accent 12"/>
    <w:basedOn w:val="TableNormal"/>
    <w:uiPriority w:val="60"/>
    <w:qFormat/>
    <w:rsid w:val="00AC1EB6"/>
    <w:rPr>
      <w:color w:val="2F5496"/>
    </w:rPr>
    <w:tblPr>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12">
    <w:name w:val="Light List - Accent 12"/>
    <w:basedOn w:val="TableNormal"/>
    <w:uiPriority w:val="61"/>
    <w:qFormat/>
    <w:rsid w:val="00AC1EB6"/>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TitleChar1">
    <w:name w:val="Title Char1"/>
    <w:qFormat/>
    <w:rsid w:val="00AC1EB6"/>
    <w:rPr>
      <w:rFonts w:ascii="Calibri Light" w:eastAsia="Times New Roman" w:hAnsi="Calibri Light" w:cs="Times New Roman"/>
      <w:b/>
      <w:bCs/>
      <w:kern w:val="28"/>
      <w:sz w:val="32"/>
      <w:szCs w:val="32"/>
    </w:rPr>
  </w:style>
  <w:style w:type="table" w:customStyle="1" w:styleId="GridTable5Dark-Accent3">
    <w:name w:val="Grid Table 5 Dark - Accent 3"/>
    <w:basedOn w:val="TableNormal"/>
    <w:uiPriority w:val="50"/>
    <w:qFormat/>
    <w:rsid w:val="00AC1EB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
    <w:name w:val="Grid Table 6 Colorful - Accent 2"/>
    <w:basedOn w:val="TableNormal"/>
    <w:uiPriority w:val="51"/>
    <w:qFormat/>
    <w:rsid w:val="00AC1EB6"/>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
    <w:name w:val="Grid Table 7 Colorful - Accent 2"/>
    <w:basedOn w:val="TableNormal"/>
    <w:uiPriority w:val="52"/>
    <w:qFormat/>
    <w:rsid w:val="00AC1EB6"/>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
    <w:name w:val="Grid Table 7 Colorful"/>
    <w:basedOn w:val="TableNormal"/>
    <w:uiPriority w:val="52"/>
    <w:qFormat/>
    <w:rsid w:val="00AC1EB6"/>
    <w:rPr>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
    <w:name w:val="Grid Table 2 - Accent 4"/>
    <w:basedOn w:val="TableNormal"/>
    <w:uiPriority w:val="47"/>
    <w:qFormat/>
    <w:rsid w:val="00AC1EB6"/>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
    <w:name w:val="List Table 3"/>
    <w:basedOn w:val="TableNormal"/>
    <w:uiPriority w:val="48"/>
    <w:qFormat/>
    <w:rsid w:val="00AC1EB6"/>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
    <w:name w:val="Grid Table 1 Light - Accent 4"/>
    <w:basedOn w:val="TableNormal"/>
    <w:uiPriority w:val="46"/>
    <w:qFormat/>
    <w:rsid w:val="00AC1EB6"/>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
    <w:name w:val="Grid Table 3 - Accent 3"/>
    <w:basedOn w:val="TableNormal"/>
    <w:uiPriority w:val="48"/>
    <w:qFormat/>
    <w:rsid w:val="00AC1EB6"/>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
    <w:name w:val="Grid Table 6 Colorful - Accent 3"/>
    <w:basedOn w:val="TableNormal"/>
    <w:uiPriority w:val="51"/>
    <w:qFormat/>
    <w:rsid w:val="00AC1EB6"/>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
    <w:name w:val="Grid Table 4"/>
    <w:basedOn w:val="TableNormal"/>
    <w:uiPriority w:val="49"/>
    <w:qFormat/>
    <w:rsid w:val="00AC1EB6"/>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
    <w:name w:val="Grid Table 3"/>
    <w:basedOn w:val="TableNormal"/>
    <w:uiPriority w:val="48"/>
    <w:qFormat/>
    <w:rsid w:val="00AC1EB6"/>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
    <w:name w:val="Grid Table 1 Light - Accent 1"/>
    <w:basedOn w:val="TableNormal"/>
    <w:uiPriority w:val="46"/>
    <w:qFormat/>
    <w:rsid w:val="00AC1EB6"/>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
    <w:name w:val="Grid Table 5 Dark - Accent 1"/>
    <w:basedOn w:val="TableNormal"/>
    <w:uiPriority w:val="50"/>
    <w:qFormat/>
    <w:rsid w:val="00AC1EB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
    <w:name w:val="List Table 3 - Accent 2"/>
    <w:basedOn w:val="TableNormal"/>
    <w:uiPriority w:val="48"/>
    <w:qFormat/>
    <w:rsid w:val="00AC1EB6"/>
    <w:tblPr>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
    <w:name w:val="Grid Table 1 Light - Accent 5"/>
    <w:basedOn w:val="TableNormal"/>
    <w:uiPriority w:val="46"/>
    <w:qFormat/>
    <w:rsid w:val="00AC1EB6"/>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
    <w:name w:val="Grid Table 4 - Accent 4"/>
    <w:basedOn w:val="TableNormal"/>
    <w:uiPriority w:val="49"/>
    <w:qFormat/>
    <w:rsid w:val="00AC1EB6"/>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
    <w:name w:val="Grid Table 4 - Accent 2"/>
    <w:basedOn w:val="TableNormal"/>
    <w:uiPriority w:val="49"/>
    <w:qFormat/>
    <w:rsid w:val="00AC1EB6"/>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
    <w:name w:val="Grid Table 5 Dark - Accent 2"/>
    <w:basedOn w:val="TableNormal"/>
    <w:uiPriority w:val="50"/>
    <w:qFormat/>
    <w:rsid w:val="00AC1EB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
    <w:name w:val="Grid Table 3 - Accent 4"/>
    <w:basedOn w:val="TableNormal"/>
    <w:uiPriority w:val="48"/>
    <w:qFormat/>
    <w:rsid w:val="00AC1EB6"/>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
    <w:name w:val="Grid Table 3 - Accent 5"/>
    <w:basedOn w:val="TableNormal"/>
    <w:uiPriority w:val="48"/>
    <w:qFormat/>
    <w:rsid w:val="00AC1EB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
    <w:name w:val="Table Grid Light"/>
    <w:basedOn w:val="TableNormal"/>
    <w:uiPriority w:val="40"/>
    <w:qFormat/>
    <w:rsid w:val="00AC1EB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
    <w:name w:val="Grid Table 2 - Accent 1"/>
    <w:basedOn w:val="TableNormal"/>
    <w:uiPriority w:val="47"/>
    <w:qFormat/>
    <w:rsid w:val="00AC1EB6"/>
    <w:tblPr>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
    <w:name w:val="Plain Table 1"/>
    <w:basedOn w:val="TableNormal"/>
    <w:uiPriority w:val="41"/>
    <w:qFormat/>
    <w:rsid w:val="00AC1EB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qFormat/>
    <w:rsid w:val="00AC1EB6"/>
    <w:pPr>
      <w:keepNext/>
      <w:jc w:val="center"/>
    </w:pPr>
    <w:rPr>
      <w:color w:val="auto"/>
      <w:szCs w:val="24"/>
    </w:rPr>
  </w:style>
  <w:style w:type="character" w:customStyle="1" w:styleId="figChar0">
    <w:name w:val="fig Char"/>
    <w:link w:val="fig0"/>
    <w:qFormat/>
    <w:rsid w:val="00AC1EB6"/>
    <w:rPr>
      <w:rFonts w:eastAsia="Calibri"/>
      <w:b/>
      <w:bCs/>
      <w:sz w:val="24"/>
      <w:szCs w:val="24"/>
    </w:rPr>
  </w:style>
  <w:style w:type="character" w:customStyle="1" w:styleId="CaptionChar">
    <w:name w:val="Caption Char"/>
    <w:link w:val="Caption"/>
    <w:uiPriority w:val="35"/>
    <w:qFormat/>
    <w:rsid w:val="00AC1EB6"/>
    <w:rPr>
      <w:b/>
      <w:bCs/>
      <w:color w:val="000000"/>
      <w:sz w:val="24"/>
      <w:szCs w:val="36"/>
    </w:rPr>
  </w:style>
  <w:style w:type="table" w:customStyle="1" w:styleId="GridTable5Dark-Accent512">
    <w:name w:val="Grid Table 5 Dark - Accent 512"/>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
    <w:name w:val="Unresolved Mention"/>
    <w:uiPriority w:val="99"/>
    <w:semiHidden/>
    <w:unhideWhenUsed/>
    <w:qFormat/>
    <w:rsid w:val="00AC1EB6"/>
    <w:rPr>
      <w:color w:val="605E5C"/>
      <w:shd w:val="clear" w:color="auto" w:fill="E1DFDD"/>
    </w:rPr>
  </w:style>
  <w:style w:type="paragraph" w:customStyle="1" w:styleId="ssc">
    <w:name w:val="ssc"/>
    <w:basedOn w:val="Normal"/>
    <w:qFormat/>
    <w:rsid w:val="00AC1EB6"/>
    <w:pPr>
      <w:bidi w:val="0"/>
      <w:spacing w:before="100" w:beforeAutospacing="1" w:after="100" w:afterAutospacing="1"/>
    </w:pPr>
  </w:style>
  <w:style w:type="character" w:customStyle="1" w:styleId="ParagraphChar0">
    <w:name w:val="Paragraph Char"/>
    <w:link w:val="Paragraph0"/>
    <w:qFormat/>
    <w:locked/>
    <w:rsid w:val="00AC1EB6"/>
    <w:rPr>
      <w:rFonts w:ascii="AdvOT678fd422" w:eastAsia="AdvOT678fd422" w:hAnsi="AdvOT678fd422"/>
      <w:sz w:val="28"/>
      <w:szCs w:val="22"/>
      <w:lang w:bidi="en-US"/>
    </w:rPr>
  </w:style>
  <w:style w:type="paragraph" w:customStyle="1" w:styleId="Paragraph0">
    <w:name w:val="Paragraph"/>
    <w:basedOn w:val="Normal"/>
    <w:link w:val="ParagraphChar0"/>
    <w:qFormat/>
    <w:rsid w:val="00AC1EB6"/>
    <w:pPr>
      <w:bidi w:val="0"/>
      <w:spacing w:line="360" w:lineRule="auto"/>
      <w:ind w:firstLine="720"/>
      <w:jc w:val="both"/>
    </w:pPr>
    <w:rPr>
      <w:rFonts w:ascii="AdvOT678fd422" w:eastAsia="AdvOT678fd422" w:hAnsi="AdvOT678fd422"/>
      <w:sz w:val="28"/>
      <w:szCs w:val="22"/>
      <w:lang w:bidi="en-US"/>
    </w:rPr>
  </w:style>
  <w:style w:type="paragraph" w:customStyle="1" w:styleId="msonormal0">
    <w:name w:val="msonormal"/>
    <w:basedOn w:val="Normal"/>
    <w:qFormat/>
    <w:rsid w:val="00AC1EB6"/>
    <w:pPr>
      <w:bidi w:val="0"/>
      <w:spacing w:before="100" w:beforeAutospacing="1" w:after="100" w:afterAutospacing="1"/>
    </w:pPr>
  </w:style>
  <w:style w:type="character" w:customStyle="1" w:styleId="HeaderChar1">
    <w:name w:val="Header Char1"/>
    <w:semiHidden/>
    <w:qFormat/>
    <w:rsid w:val="00AC1EB6"/>
    <w:rPr>
      <w:rFonts w:ascii="Times New Roman" w:eastAsia="Times New Roman" w:hAnsi="Times New Roman" w:cs="Times New Roman"/>
      <w:sz w:val="24"/>
      <w:szCs w:val="24"/>
    </w:rPr>
  </w:style>
  <w:style w:type="character" w:customStyle="1" w:styleId="BodyTextIndentChar">
    <w:name w:val="Body Text Indent Char"/>
    <w:link w:val="BodyTextIndent"/>
    <w:uiPriority w:val="99"/>
    <w:qFormat/>
    <w:rsid w:val="00AC1EB6"/>
    <w:rPr>
      <w:sz w:val="28"/>
      <w:szCs w:val="28"/>
      <w:lang w:eastAsia="ar-SA"/>
    </w:rPr>
  </w:style>
  <w:style w:type="character" w:customStyle="1" w:styleId="SubtitleChar">
    <w:name w:val="Subtitle Char"/>
    <w:link w:val="Subtitle"/>
    <w:uiPriority w:val="11"/>
    <w:qFormat/>
    <w:rsid w:val="00AC1EB6"/>
    <w:rPr>
      <w:rFonts w:ascii="Calibri" w:hAnsi="Calibri" w:cs="Arial"/>
      <w:color w:val="5A5A5A"/>
      <w:spacing w:val="15"/>
      <w:sz w:val="22"/>
      <w:szCs w:val="22"/>
    </w:rPr>
  </w:style>
  <w:style w:type="character" w:customStyle="1" w:styleId="NoSpacingChar">
    <w:name w:val="No Spacing Char"/>
    <w:link w:val="NoSpacing"/>
    <w:uiPriority w:val="1"/>
    <w:qFormat/>
    <w:locked/>
    <w:rsid w:val="00AC1EB6"/>
    <w:rPr>
      <w:rFonts w:ascii="Calibri" w:eastAsia="Calibri" w:hAnsi="Calibri" w:cs="Arial"/>
      <w:sz w:val="22"/>
      <w:szCs w:val="22"/>
    </w:rPr>
  </w:style>
  <w:style w:type="character" w:customStyle="1" w:styleId="ListParagraphChar">
    <w:name w:val="List Paragraph Char"/>
    <w:link w:val="ListParagraph"/>
    <w:uiPriority w:val="34"/>
    <w:qFormat/>
    <w:locked/>
    <w:rsid w:val="00AC1EB6"/>
    <w:rPr>
      <w:rFonts w:ascii="Calibri" w:eastAsia="Calibri" w:hAnsi="Calibri" w:cs="Arial"/>
      <w:sz w:val="22"/>
      <w:szCs w:val="22"/>
    </w:rPr>
  </w:style>
  <w:style w:type="paragraph" w:styleId="Quote">
    <w:name w:val="Quote"/>
    <w:basedOn w:val="Normal"/>
    <w:next w:val="Normal"/>
    <w:link w:val="QuoteChar"/>
    <w:uiPriority w:val="29"/>
    <w:qFormat/>
    <w:rsid w:val="00AC1EB6"/>
    <w:pPr>
      <w:bidi w:val="0"/>
      <w:spacing w:before="200" w:after="160"/>
      <w:ind w:left="864" w:right="864"/>
      <w:jc w:val="center"/>
    </w:pPr>
    <w:rPr>
      <w:i/>
      <w:iCs/>
      <w:color w:val="404040"/>
    </w:rPr>
  </w:style>
  <w:style w:type="character" w:customStyle="1" w:styleId="QuoteChar">
    <w:name w:val="Quote Char"/>
    <w:link w:val="Quote"/>
    <w:uiPriority w:val="29"/>
    <w:qFormat/>
    <w:rsid w:val="00AC1EB6"/>
    <w:rPr>
      <w:i/>
      <w:iCs/>
      <w:color w:val="404040"/>
      <w:sz w:val="24"/>
      <w:szCs w:val="24"/>
    </w:rPr>
  </w:style>
  <w:style w:type="character" w:customStyle="1" w:styleId="FigureChar">
    <w:name w:val="Figure Char"/>
    <w:link w:val="Figure"/>
    <w:qFormat/>
    <w:locked/>
    <w:rsid w:val="00AC1EB6"/>
    <w:rPr>
      <w:b/>
      <w:bCs/>
    </w:rPr>
  </w:style>
  <w:style w:type="paragraph" w:customStyle="1" w:styleId="Figure">
    <w:name w:val="Figure"/>
    <w:basedOn w:val="Normal"/>
    <w:link w:val="FigureChar"/>
    <w:qFormat/>
    <w:rsid w:val="00AC1EB6"/>
    <w:pPr>
      <w:autoSpaceDE w:val="0"/>
      <w:autoSpaceDN w:val="0"/>
      <w:bidi w:val="0"/>
      <w:adjustRightInd w:val="0"/>
      <w:spacing w:before="120" w:after="120" w:line="360" w:lineRule="auto"/>
      <w:jc w:val="center"/>
    </w:pPr>
    <w:rPr>
      <w:b/>
      <w:bCs/>
      <w:sz w:val="20"/>
      <w:szCs w:val="20"/>
    </w:rPr>
  </w:style>
  <w:style w:type="character" w:customStyle="1" w:styleId="H3Char">
    <w:name w:val="H3 Char"/>
    <w:link w:val="H3"/>
    <w:qFormat/>
    <w:locked/>
    <w:rsid w:val="00AC1EB6"/>
    <w:rPr>
      <w:b/>
      <w:bCs/>
      <w:color w:val="000000"/>
      <w:sz w:val="24"/>
      <w:szCs w:val="24"/>
    </w:rPr>
  </w:style>
  <w:style w:type="paragraph" w:customStyle="1" w:styleId="H3">
    <w:name w:val="H3"/>
    <w:basedOn w:val="H2"/>
    <w:link w:val="H3Char"/>
    <w:qFormat/>
    <w:rsid w:val="00AC1EB6"/>
    <w:rPr>
      <w:sz w:val="24"/>
      <w:szCs w:val="24"/>
    </w:rPr>
  </w:style>
  <w:style w:type="paragraph" w:customStyle="1" w:styleId="H2">
    <w:name w:val="H2"/>
    <w:basedOn w:val="Heading1"/>
    <w:link w:val="H2Char"/>
    <w:qFormat/>
    <w:rsid w:val="00AC1EB6"/>
  </w:style>
  <w:style w:type="character" w:customStyle="1" w:styleId="TableChar">
    <w:name w:val="Table Char"/>
    <w:link w:val="Table"/>
    <w:qFormat/>
    <w:locked/>
    <w:rsid w:val="00AC1EB6"/>
    <w:rPr>
      <w:rFonts w:eastAsia="Calibri"/>
      <w:b/>
      <w:bCs/>
      <w:sz w:val="24"/>
      <w:szCs w:val="24"/>
    </w:rPr>
  </w:style>
  <w:style w:type="paragraph" w:customStyle="1" w:styleId="Table">
    <w:name w:val="Table"/>
    <w:basedOn w:val="fig0"/>
    <w:link w:val="TableChar"/>
    <w:qFormat/>
    <w:rsid w:val="00AC1EB6"/>
    <w:pPr>
      <w:spacing w:after="0"/>
      <w:jc w:val="left"/>
    </w:pPr>
  </w:style>
  <w:style w:type="paragraph" w:customStyle="1" w:styleId="pp-first">
    <w:name w:val="p p-first"/>
    <w:basedOn w:val="Normal"/>
    <w:uiPriority w:val="99"/>
    <w:qFormat/>
    <w:rsid w:val="00AC1EB6"/>
    <w:pPr>
      <w:bidi w:val="0"/>
      <w:spacing w:before="100" w:beforeAutospacing="1" w:after="100" w:afterAutospacing="1"/>
    </w:pPr>
  </w:style>
  <w:style w:type="character" w:customStyle="1" w:styleId="H3-BulChar">
    <w:name w:val="H3-Bul Char"/>
    <w:link w:val="H3-Bul"/>
    <w:qFormat/>
    <w:locked/>
    <w:rsid w:val="00AC1EB6"/>
    <w:rPr>
      <w:b/>
      <w:bCs/>
      <w:color w:val="000000"/>
      <w:sz w:val="36"/>
      <w:szCs w:val="36"/>
    </w:rPr>
  </w:style>
  <w:style w:type="paragraph" w:customStyle="1" w:styleId="H3-Bul">
    <w:name w:val="H3-Bul"/>
    <w:basedOn w:val="H3"/>
    <w:link w:val="H3-BulChar"/>
    <w:qFormat/>
    <w:rsid w:val="00AC1EB6"/>
    <w:pPr>
      <w:numPr>
        <w:numId w:val="2"/>
      </w:numPr>
      <w:spacing w:before="240" w:after="240" w:line="240" w:lineRule="auto"/>
      <w:ind w:left="360"/>
    </w:pPr>
    <w:rPr>
      <w:sz w:val="36"/>
      <w:szCs w:val="36"/>
    </w:rPr>
  </w:style>
  <w:style w:type="character" w:customStyle="1" w:styleId="UsualChar">
    <w:name w:val="Usual Char"/>
    <w:basedOn w:val="DefaultParagraphFont"/>
    <w:link w:val="Usual"/>
    <w:uiPriority w:val="1"/>
    <w:qFormat/>
    <w:locked/>
    <w:rsid w:val="00AC1EB6"/>
  </w:style>
  <w:style w:type="paragraph" w:customStyle="1" w:styleId="Usual">
    <w:name w:val="Usual"/>
    <w:basedOn w:val="Normal"/>
    <w:link w:val="UsualChar"/>
    <w:uiPriority w:val="1"/>
    <w:qFormat/>
    <w:rsid w:val="00AC1EB6"/>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qFormat/>
    <w:rsid w:val="00AC1EB6"/>
    <w:pPr>
      <w:bidi w:val="0"/>
      <w:spacing w:before="100" w:beforeAutospacing="1" w:after="100" w:afterAutospacing="1"/>
    </w:pPr>
  </w:style>
  <w:style w:type="character" w:customStyle="1" w:styleId="Bodytext0">
    <w:name w:val="Body text_"/>
    <w:link w:val="BodyText20"/>
    <w:semiHidden/>
    <w:qFormat/>
    <w:locked/>
    <w:rsid w:val="00AC1EB6"/>
    <w:rPr>
      <w:shd w:val="clear" w:color="auto" w:fill="FFFFFF"/>
    </w:rPr>
  </w:style>
  <w:style w:type="paragraph" w:customStyle="1" w:styleId="BodyText20">
    <w:name w:val="Body Text2"/>
    <w:basedOn w:val="Normal"/>
    <w:link w:val="Bodytext0"/>
    <w:semiHidden/>
    <w:qFormat/>
    <w:rsid w:val="00AC1EB6"/>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qFormat/>
    <w:locked/>
    <w:rsid w:val="00AC1EB6"/>
    <w:rPr>
      <w:rFonts w:eastAsia="宋体"/>
      <w:b/>
      <w:bCs/>
      <w:color w:val="000000"/>
      <w:sz w:val="28"/>
      <w:szCs w:val="28"/>
      <w:lang w:val="en-US" w:eastAsia="en-US"/>
    </w:rPr>
  </w:style>
  <w:style w:type="paragraph" w:customStyle="1" w:styleId="N">
    <w:name w:val="N"/>
    <w:basedOn w:val="P"/>
    <w:link w:val="NChar"/>
    <w:qFormat/>
    <w:rsid w:val="00AC1EB6"/>
    <w:pPr>
      <w:numPr>
        <w:numId w:val="3"/>
      </w:numPr>
      <w:spacing w:line="360" w:lineRule="auto"/>
      <w:ind w:left="720" w:hanging="540"/>
    </w:pPr>
    <w:rPr>
      <w:rFonts w:eastAsia="宋体"/>
      <w:b/>
      <w:bCs/>
      <w:sz w:val="28"/>
      <w:szCs w:val="28"/>
    </w:rPr>
  </w:style>
  <w:style w:type="character" w:customStyle="1" w:styleId="LChar">
    <w:name w:val="L Char"/>
    <w:link w:val="L"/>
    <w:qFormat/>
    <w:locked/>
    <w:rsid w:val="00AC1EB6"/>
    <w:rPr>
      <w:rFonts w:eastAsia="宋体"/>
      <w:b/>
      <w:bCs/>
      <w:color w:val="000000"/>
      <w:sz w:val="28"/>
      <w:szCs w:val="28"/>
      <w:lang w:val="en-US" w:eastAsia="en-US"/>
    </w:rPr>
  </w:style>
  <w:style w:type="paragraph" w:customStyle="1" w:styleId="L">
    <w:name w:val="L"/>
    <w:basedOn w:val="P"/>
    <w:link w:val="LChar"/>
    <w:qFormat/>
    <w:rsid w:val="00AC1EB6"/>
    <w:pPr>
      <w:numPr>
        <w:numId w:val="4"/>
      </w:numPr>
      <w:spacing w:line="360" w:lineRule="auto"/>
    </w:pPr>
    <w:rPr>
      <w:rFonts w:eastAsia="宋体"/>
      <w:b/>
      <w:bCs/>
      <w:sz w:val="28"/>
      <w:szCs w:val="28"/>
    </w:rPr>
  </w:style>
  <w:style w:type="paragraph" w:customStyle="1" w:styleId="tabtext">
    <w:name w:val="tabtext"/>
    <w:basedOn w:val="Normal"/>
    <w:uiPriority w:val="99"/>
    <w:qFormat/>
    <w:rsid w:val="00AC1EB6"/>
    <w:pPr>
      <w:bidi w:val="0"/>
      <w:spacing w:before="100" w:beforeAutospacing="1" w:after="100" w:afterAutospacing="1"/>
    </w:pPr>
  </w:style>
  <w:style w:type="character" w:customStyle="1" w:styleId="H4Char0">
    <w:name w:val="H 4 Char"/>
    <w:link w:val="H4"/>
    <w:qFormat/>
    <w:locked/>
    <w:rsid w:val="00AC1EB6"/>
    <w:rPr>
      <w:rFonts w:eastAsia="Calibri"/>
      <w:b/>
      <w:bCs/>
      <w:sz w:val="32"/>
      <w:szCs w:val="32"/>
      <w:lang w:val="en-US" w:eastAsia="en-US" w:bidi="ar-EG"/>
    </w:rPr>
  </w:style>
  <w:style w:type="paragraph" w:customStyle="1" w:styleId="H4">
    <w:name w:val="H 4"/>
    <w:basedOn w:val="ListParagraph"/>
    <w:link w:val="H4Char0"/>
    <w:qFormat/>
    <w:rsid w:val="00AC1EB6"/>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qFormat/>
    <w:rsid w:val="00AC1EB6"/>
    <w:pPr>
      <w:bidi w:val="0"/>
      <w:spacing w:before="100" w:beforeAutospacing="1" w:after="100" w:afterAutospacing="1"/>
    </w:pPr>
  </w:style>
  <w:style w:type="paragraph" w:customStyle="1" w:styleId="first-child">
    <w:name w:val="first-child"/>
    <w:basedOn w:val="Normal"/>
    <w:uiPriority w:val="99"/>
    <w:qFormat/>
    <w:rsid w:val="00AC1EB6"/>
    <w:pPr>
      <w:bidi w:val="0"/>
      <w:spacing w:before="100" w:beforeAutospacing="1" w:after="100" w:afterAutospacing="1"/>
    </w:pPr>
  </w:style>
  <w:style w:type="character" w:styleId="PlaceholderText">
    <w:name w:val="Placeholder Text"/>
    <w:uiPriority w:val="99"/>
    <w:semiHidden/>
    <w:qFormat/>
    <w:rsid w:val="00AC1EB6"/>
    <w:rPr>
      <w:color w:val="808080"/>
    </w:rPr>
  </w:style>
  <w:style w:type="character" w:customStyle="1" w:styleId="SubtleEmphasis1">
    <w:name w:val="Subtle Emphasis1"/>
    <w:uiPriority w:val="19"/>
    <w:qFormat/>
    <w:rsid w:val="00AC1EB6"/>
    <w:rPr>
      <w:i/>
      <w:iCs/>
      <w:color w:val="808080"/>
    </w:rPr>
  </w:style>
  <w:style w:type="character" w:customStyle="1" w:styleId="shorttext">
    <w:name w:val="short_text"/>
    <w:basedOn w:val="DefaultParagraphFont"/>
    <w:qFormat/>
    <w:rsid w:val="00AC1EB6"/>
  </w:style>
  <w:style w:type="character" w:customStyle="1" w:styleId="highlight">
    <w:name w:val="highlight"/>
    <w:qFormat/>
    <w:rsid w:val="00AC1EB6"/>
  </w:style>
  <w:style w:type="character" w:customStyle="1" w:styleId="fontstyle01">
    <w:name w:val="fontstyle01"/>
    <w:qFormat/>
    <w:rsid w:val="00AC1EB6"/>
    <w:rPr>
      <w:rFonts w:ascii="AdvP4A0FAF" w:hAnsi="AdvP4A0FAF" w:hint="default"/>
      <w:color w:val="000000"/>
      <w:sz w:val="16"/>
      <w:szCs w:val="16"/>
    </w:rPr>
  </w:style>
  <w:style w:type="character" w:customStyle="1" w:styleId="bkciteavail">
    <w:name w:val="bk_cite_avail"/>
    <w:basedOn w:val="DefaultParagraphFont"/>
    <w:qFormat/>
    <w:rsid w:val="00AC1EB6"/>
  </w:style>
  <w:style w:type="character" w:customStyle="1" w:styleId="table-captionlabel">
    <w:name w:val="table-caption__label"/>
    <w:basedOn w:val="DefaultParagraphFont"/>
    <w:qFormat/>
    <w:rsid w:val="00AC1EB6"/>
  </w:style>
  <w:style w:type="character" w:customStyle="1" w:styleId="figpopup-sensitive-area">
    <w:name w:val="figpopup-sensitive-area"/>
    <w:basedOn w:val="DefaultParagraphFont"/>
    <w:qFormat/>
    <w:rsid w:val="00AC1EB6"/>
  </w:style>
  <w:style w:type="character" w:customStyle="1" w:styleId="captionlabel">
    <w:name w:val="captionlabel"/>
    <w:basedOn w:val="DefaultParagraphFont"/>
    <w:qFormat/>
    <w:rsid w:val="00AC1EB6"/>
  </w:style>
  <w:style w:type="character" w:customStyle="1" w:styleId="internalref">
    <w:name w:val="internalref"/>
    <w:basedOn w:val="DefaultParagraphFont"/>
    <w:qFormat/>
    <w:rsid w:val="00AC1EB6"/>
  </w:style>
  <w:style w:type="character" w:customStyle="1" w:styleId="captionnumber">
    <w:name w:val="captionnumber"/>
    <w:basedOn w:val="DefaultParagraphFont"/>
    <w:qFormat/>
    <w:rsid w:val="00AC1EB6"/>
  </w:style>
  <w:style w:type="character" w:customStyle="1" w:styleId="label">
    <w:name w:val="label"/>
    <w:basedOn w:val="DefaultParagraphFont"/>
    <w:qFormat/>
    <w:rsid w:val="00AC1EB6"/>
  </w:style>
  <w:style w:type="character" w:customStyle="1" w:styleId="table-label">
    <w:name w:val="table-label"/>
    <w:basedOn w:val="DefaultParagraphFont"/>
    <w:qFormat/>
    <w:rsid w:val="00AC1EB6"/>
  </w:style>
  <w:style w:type="table" w:customStyle="1" w:styleId="MediumGrid21">
    <w:name w:val="Medium Grid 21"/>
    <w:basedOn w:val="TableNormal"/>
    <w:uiPriority w:val="68"/>
    <w:unhideWhenUsed/>
    <w:qFormat/>
    <w:rsid w:val="00AC1EB6"/>
    <w:rPr>
      <w:rFonts w:ascii="Cambria" w:hAnsi="Cambria"/>
      <w:color w:val="000000"/>
      <w:sz w:val="24"/>
      <w:szCs w:val="24"/>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GridTable5Dark-Accent5">
    <w:name w:val="Grid Table 5 Dark - Accent 5"/>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qFormat/>
    <w:rsid w:val="00AC1EB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
    <w:name w:val="Grid Table 5 Dark - Accent 52"/>
    <w:basedOn w:val="TableNormal"/>
    <w:uiPriority w:val="50"/>
    <w:qFormat/>
    <w:rsid w:val="00AC1EB6"/>
    <w:rPr>
      <w:rFonts w:eastAsia="等线"/>
      <w:sz w:val="24"/>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qFormat/>
    <w:rsid w:val="00AC1EB6"/>
    <w:rPr>
      <w:rFonts w:ascii="Calibri" w:eastAsia="Calibri" w:hAnsi="Calibri" w:cs="Arial"/>
      <w:sz w:val="22"/>
      <w:szCs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qFormat/>
    <w:rsid w:val="00AC1EB6"/>
    <w:rPr>
      <w:sz w:val="24"/>
      <w:szCs w:val="24"/>
    </w:rPr>
    <w:tblPr>
      <w:tblInd w:w="0" w:type="dxa"/>
      <w:tblCellMar>
        <w:top w:w="0" w:type="dxa"/>
        <w:left w:w="108" w:type="dxa"/>
        <w:bottom w:w="0" w:type="dxa"/>
        <w:right w:w="108" w:type="dxa"/>
      </w:tblCellMar>
    </w:tbl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GridTable4-Accent51">
    <w:name w:val="Grid Table 4 - Accent 51"/>
    <w:basedOn w:val="TableNormal"/>
    <w:uiPriority w:val="49"/>
    <w:qFormat/>
    <w:rsid w:val="00AC1EB6"/>
    <w:rPr>
      <w:sz w:val="24"/>
      <w:szCs w:val="24"/>
    </w:rPr>
    <w:tblPr>
      <w:tblInd w:w="0" w:type="dxa"/>
      <w:tblCellMar>
        <w:top w:w="0" w:type="dxa"/>
        <w:left w:w="108" w:type="dxa"/>
        <w:bottom w:w="0" w:type="dxa"/>
        <w:right w:w="108" w:type="dxa"/>
      </w:tblCellMar>
    </w:tblPr>
    <w:tblStylePr w:type="band1Horz">
      <w:tblPr/>
      <w:tcPr>
        <w:shd w:val="clear" w:color="auto" w:fill="DAEEF3"/>
      </w:tcPr>
    </w:tblStylePr>
  </w:style>
  <w:style w:type="table" w:customStyle="1" w:styleId="GridTable5Dark-Accent53">
    <w:name w:val="Grid Table 5 Dark - Accent 53"/>
    <w:basedOn w:val="TableNormal"/>
    <w:uiPriority w:val="50"/>
    <w:qFormat/>
    <w:rsid w:val="00AC1EB6"/>
    <w:rPr>
      <w:sz w:val="24"/>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qFormat/>
    <w:rsid w:val="00AC1EB6"/>
    <w:rPr>
      <w:rFonts w:ascii="Cambria" w:eastAsia="宋体" w:hAnsi="Cambria"/>
      <w:i/>
      <w:iCs/>
      <w:color w:val="243F60"/>
      <w:sz w:val="22"/>
      <w:szCs w:val="22"/>
    </w:rPr>
  </w:style>
  <w:style w:type="paragraph" w:customStyle="1" w:styleId="TableParagraph">
    <w:name w:val="Table Paragraph"/>
    <w:basedOn w:val="Normal"/>
    <w:uiPriority w:val="1"/>
    <w:qFormat/>
    <w:rsid w:val="00AC1EB6"/>
    <w:pPr>
      <w:widowControl w:val="0"/>
      <w:autoSpaceDE w:val="0"/>
      <w:autoSpaceDN w:val="0"/>
      <w:bidi w:val="0"/>
      <w:spacing w:before="47"/>
      <w:ind w:left="51"/>
    </w:pPr>
    <w:rPr>
      <w:rFonts w:ascii="Myriad Pro" w:eastAsia="Myriad Pro" w:hAnsi="Myriad Pro" w:cs="Myriad Pro"/>
      <w:sz w:val="22"/>
      <w:szCs w:val="22"/>
    </w:rPr>
  </w:style>
  <w:style w:type="character" w:customStyle="1" w:styleId="EndnoteTextChar">
    <w:name w:val="Endnote Text Char"/>
    <w:link w:val="EndnoteText"/>
    <w:uiPriority w:val="99"/>
    <w:qFormat/>
    <w:rsid w:val="00AC1EB6"/>
    <w:rPr>
      <w:rFonts w:ascii="Calibri" w:eastAsia="Calibri" w:hAnsi="Calibri" w:cs="Arial"/>
    </w:rPr>
  </w:style>
  <w:style w:type="table" w:customStyle="1" w:styleId="GridTable5Dark1">
    <w:name w:val="Grid Table 5 Dark1"/>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
    <w:name w:val="Grid Table 5 Dark - Accent 12"/>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2-Accent31">
    <w:name w:val="Grid Table 2 - Accent 31"/>
    <w:basedOn w:val="TableNormal"/>
    <w:uiPriority w:val="47"/>
    <w:qFormat/>
    <w:rsid w:val="00AC1EB6"/>
    <w:rPr>
      <w:rFonts w:ascii="Calibri" w:eastAsia="宋体"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qFormat/>
    <w:rsid w:val="00AC1EB6"/>
  </w:style>
  <w:style w:type="character" w:customStyle="1" w:styleId="Header-Char">
    <w:name w:val="Header - Char"/>
    <w:link w:val="Header-"/>
    <w:qFormat/>
    <w:rsid w:val="00AC1EB6"/>
    <w:rPr>
      <w:rFonts w:ascii="Cambria" w:hAnsi="Cambria"/>
      <w:spacing w:val="-10"/>
      <w:kern w:val="28"/>
      <w:sz w:val="56"/>
      <w:szCs w:val="56"/>
    </w:rPr>
  </w:style>
  <w:style w:type="table" w:customStyle="1" w:styleId="GridTable4-Accent411">
    <w:name w:val="Grid Table 4 - Accent 411"/>
    <w:basedOn w:val="TableNormal"/>
    <w:uiPriority w:val="49"/>
    <w:qFormat/>
    <w:rsid w:val="00AC1EB6"/>
    <w:rPr>
      <w:rFonts w:ascii="Calibri" w:eastAsia="宋体"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uiPriority w:val="51"/>
    <w:qFormat/>
    <w:rsid w:val="00AC1EB6"/>
    <w:rPr>
      <w:rFonts w:ascii="Calibri" w:eastAsia="宋体"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uiPriority w:val="47"/>
    <w:qFormat/>
    <w:rsid w:val="00AC1EB6"/>
    <w:rPr>
      <w:rFonts w:ascii="Calibri" w:eastAsia="宋体"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qFormat/>
    <w:rsid w:val="00AC1EB6"/>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qFormat/>
    <w:rsid w:val="00AC1EB6"/>
  </w:style>
  <w:style w:type="table" w:customStyle="1" w:styleId="TableGrid2">
    <w:name w:val="Table Grid2"/>
    <w:basedOn w:val="TableNormal"/>
    <w:uiPriority w:val="59"/>
    <w:qFormat/>
    <w:rsid w:val="00AC1EB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2">
    <w:name w:val="Grid Table 4 - Accent 412"/>
    <w:basedOn w:val="TableNormal"/>
    <w:uiPriority w:val="49"/>
    <w:qFormat/>
    <w:rsid w:val="00AC1EB6"/>
    <w:rPr>
      <w:rFonts w:ascii="Calibri" w:eastAsia="宋体"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
    <w:name w:val="Grid Table 6 Colorful - Accent 32"/>
    <w:basedOn w:val="TableNormal"/>
    <w:uiPriority w:val="51"/>
    <w:qFormat/>
    <w:rsid w:val="00AC1EB6"/>
    <w:rPr>
      <w:rFonts w:ascii="Calibri" w:eastAsia="宋体"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uiPriority w:val="47"/>
    <w:qFormat/>
    <w:rsid w:val="00AC1EB6"/>
    <w:rPr>
      <w:rFonts w:ascii="Calibri" w:eastAsia="宋体"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qFormat/>
    <w:rsid w:val="00AC1EB6"/>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
    <w:name w:val="h1"/>
    <w:basedOn w:val="DefaultParagraphFont"/>
    <w:qFormat/>
    <w:rsid w:val="00AC1EB6"/>
  </w:style>
  <w:style w:type="character" w:customStyle="1" w:styleId="headingendmark">
    <w:name w:val="headingendmark"/>
    <w:basedOn w:val="DefaultParagraphFont"/>
    <w:qFormat/>
    <w:rsid w:val="00AC1EB6"/>
  </w:style>
  <w:style w:type="paragraph" w:customStyle="1" w:styleId="headinganchor">
    <w:name w:val="headinganchor"/>
    <w:basedOn w:val="Normal"/>
    <w:qFormat/>
    <w:rsid w:val="00AC1EB6"/>
    <w:pPr>
      <w:bidi w:val="0"/>
      <w:spacing w:before="100" w:beforeAutospacing="1" w:after="100" w:afterAutospacing="1"/>
    </w:pPr>
  </w:style>
  <w:style w:type="character" w:customStyle="1" w:styleId="h20">
    <w:name w:val="h2"/>
    <w:basedOn w:val="DefaultParagraphFont"/>
    <w:qFormat/>
    <w:rsid w:val="00AC1EB6"/>
  </w:style>
  <w:style w:type="character" w:customStyle="1" w:styleId="nowrap">
    <w:name w:val="nowrap"/>
    <w:basedOn w:val="DefaultParagraphFont"/>
    <w:qFormat/>
    <w:rsid w:val="00AC1EB6"/>
  </w:style>
  <w:style w:type="character" w:customStyle="1" w:styleId="h30">
    <w:name w:val="h3"/>
    <w:basedOn w:val="DefaultParagraphFont"/>
    <w:qFormat/>
    <w:rsid w:val="00AC1EB6"/>
  </w:style>
  <w:style w:type="paragraph" w:customStyle="1" w:styleId="bulletindent1">
    <w:name w:val="bulletindent1"/>
    <w:basedOn w:val="Normal"/>
    <w:qFormat/>
    <w:rsid w:val="00AC1EB6"/>
    <w:pPr>
      <w:bidi w:val="0"/>
      <w:spacing w:before="100" w:beforeAutospacing="1" w:after="100" w:afterAutospacing="1"/>
    </w:pPr>
  </w:style>
  <w:style w:type="character" w:customStyle="1" w:styleId="glyph">
    <w:name w:val="glyph"/>
    <w:basedOn w:val="DefaultParagraphFont"/>
    <w:qFormat/>
    <w:rsid w:val="00AC1EB6"/>
  </w:style>
  <w:style w:type="character" w:customStyle="1" w:styleId="UnresolvedMention1">
    <w:name w:val="Unresolved Mention1"/>
    <w:uiPriority w:val="99"/>
    <w:semiHidden/>
    <w:unhideWhenUsed/>
    <w:qFormat/>
    <w:rsid w:val="00AC1EB6"/>
    <w:rPr>
      <w:color w:val="605E5C"/>
      <w:shd w:val="clear" w:color="auto" w:fill="E1DFDD"/>
    </w:rPr>
  </w:style>
  <w:style w:type="paragraph" w:customStyle="1" w:styleId="Pa17">
    <w:name w:val="Pa17"/>
    <w:basedOn w:val="Normal"/>
    <w:next w:val="Normal"/>
    <w:uiPriority w:val="99"/>
    <w:qFormat/>
    <w:rsid w:val="00AC1EB6"/>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qFormat/>
    <w:rsid w:val="00AC1EB6"/>
    <w:pPr>
      <w:widowControl w:val="0"/>
      <w:autoSpaceDE w:val="0"/>
      <w:autoSpaceDN w:val="0"/>
      <w:bidi w:val="0"/>
      <w:jc w:val="center"/>
    </w:pPr>
    <w:rPr>
      <w:rFonts w:ascii="Jokerman" w:hAnsi="Jokerman"/>
      <w:sz w:val="36"/>
      <w:szCs w:val="36"/>
    </w:rPr>
  </w:style>
  <w:style w:type="character" w:customStyle="1" w:styleId="hChar">
    <w:name w:val="h Char"/>
    <w:link w:val="h"/>
    <w:qFormat/>
    <w:rsid w:val="00AC1EB6"/>
    <w:rPr>
      <w:rFonts w:ascii="Jokerman" w:hAnsi="Jokerman"/>
      <w:sz w:val="36"/>
      <w:szCs w:val="36"/>
    </w:rPr>
  </w:style>
  <w:style w:type="character" w:customStyle="1" w:styleId="smallcaps">
    <w:name w:val="smallcaps"/>
    <w:qFormat/>
    <w:rsid w:val="00AC1EB6"/>
    <w:rPr>
      <w:rFonts w:cs="Times New Roman"/>
    </w:rPr>
  </w:style>
  <w:style w:type="character" w:customStyle="1" w:styleId="mw-editsection">
    <w:name w:val="mw-editsection"/>
    <w:qFormat/>
    <w:rsid w:val="00AC1EB6"/>
    <w:rPr>
      <w:rFonts w:cs="Times New Roman"/>
    </w:rPr>
  </w:style>
  <w:style w:type="character" w:customStyle="1" w:styleId="mw-editsection-bracket">
    <w:name w:val="mw-editsection-bracket"/>
    <w:qFormat/>
    <w:rsid w:val="00AC1EB6"/>
    <w:rPr>
      <w:rFonts w:cs="Times New Roman"/>
    </w:rPr>
  </w:style>
  <w:style w:type="paragraph" w:customStyle="1" w:styleId="Style1">
    <w:name w:val="Style1"/>
    <w:basedOn w:val="Normal"/>
    <w:qFormat/>
    <w:rsid w:val="00AC1EB6"/>
    <w:pPr>
      <w:jc w:val="center"/>
    </w:pPr>
    <w:rPr>
      <w:rFonts w:ascii="Impact" w:eastAsia="宋体" w:hAnsi="Impact" w:cs="Impact"/>
      <w:b/>
      <w:bCs/>
      <w:sz w:val="56"/>
      <w:szCs w:val="56"/>
      <w:lang w:eastAsia="zh-CN" w:bidi="ar-EG"/>
    </w:rPr>
  </w:style>
  <w:style w:type="character" w:customStyle="1" w:styleId="BookTitle1">
    <w:name w:val="Book Title1"/>
    <w:uiPriority w:val="33"/>
    <w:qFormat/>
    <w:rsid w:val="00AC1EB6"/>
    <w:rPr>
      <w:b/>
      <w:bCs/>
      <w:i/>
      <w:iCs/>
      <w:spacing w:val="5"/>
    </w:rPr>
  </w:style>
  <w:style w:type="character" w:customStyle="1" w:styleId="tlid-translationtranslation">
    <w:name w:val="tlid-translation translation"/>
    <w:basedOn w:val="DefaultParagraphFont"/>
    <w:qFormat/>
    <w:rsid w:val="00AC1EB6"/>
  </w:style>
  <w:style w:type="character" w:customStyle="1" w:styleId="b">
    <w:name w:val="b"/>
    <w:basedOn w:val="DefaultParagraphFont"/>
    <w:qFormat/>
    <w:rsid w:val="00AC1EB6"/>
  </w:style>
  <w:style w:type="character" w:customStyle="1" w:styleId="bi">
    <w:name w:val="bi"/>
    <w:basedOn w:val="DefaultParagraphFont"/>
    <w:qFormat/>
    <w:rsid w:val="00AC1EB6"/>
  </w:style>
  <w:style w:type="paragraph" w:customStyle="1" w:styleId="alt">
    <w:name w:val="alt"/>
    <w:basedOn w:val="Normal"/>
    <w:qFormat/>
    <w:rsid w:val="00AC1EB6"/>
    <w:pPr>
      <w:bidi w:val="0"/>
      <w:spacing w:before="100" w:beforeAutospacing="1" w:after="100" w:afterAutospacing="1"/>
    </w:pPr>
  </w:style>
  <w:style w:type="character" w:customStyle="1" w:styleId="IntenseReference1">
    <w:name w:val="Intense Reference1"/>
    <w:uiPriority w:val="32"/>
    <w:qFormat/>
    <w:rsid w:val="00AC1EB6"/>
    <w:rPr>
      <w:b/>
      <w:bCs/>
      <w:smallCaps/>
      <w:color w:val="C0504D"/>
      <w:spacing w:val="5"/>
      <w:u w:val="single"/>
    </w:rPr>
  </w:style>
  <w:style w:type="character" w:customStyle="1" w:styleId="A10">
    <w:name w:val="A10"/>
    <w:uiPriority w:val="99"/>
    <w:qFormat/>
    <w:rsid w:val="00AC1EB6"/>
    <w:rPr>
      <w:rFonts w:ascii="Thieme Gulliver 2011" w:hAnsi="Thieme Gulliver 2011" w:cs="Thieme Gulliver 2011" w:hint="default"/>
      <w:color w:val="000000"/>
      <w:sz w:val="9"/>
      <w:szCs w:val="9"/>
    </w:rPr>
  </w:style>
  <w:style w:type="table" w:customStyle="1" w:styleId="TableGrid3">
    <w:name w:val="Table Grid3"/>
    <w:basedOn w:val="TableNormal"/>
    <w:uiPriority w:val="39"/>
    <w:qFormat/>
    <w:rsid w:val="00AC1EB6"/>
    <w:rPr>
      <w:rFonts w:ascii="Calibri" w:eastAsia="宋体"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AC1EB6"/>
    <w:rPr>
      <w:rFonts w:eastAsia="Calibri"/>
      <w:sz w:val="24"/>
      <w:szCs w:val="24"/>
    </w:rPr>
  </w:style>
  <w:style w:type="table" w:customStyle="1" w:styleId="TableGrid4">
    <w:name w:val="Table Grid4"/>
    <w:basedOn w:val="TableNormal"/>
    <w:uiPriority w:val="39"/>
    <w:qFormat/>
    <w:rsid w:val="00AC1EB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 Accent 1"/>
    <w:basedOn w:val="TableNormal"/>
    <w:uiPriority w:val="49"/>
    <w:qFormat/>
    <w:rsid w:val="00AC1EB6"/>
    <w:rPr>
      <w:rFonts w:ascii="Calibri" w:eastAsia="宋体"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qFormat/>
    <w:rsid w:val="00AC1EB6"/>
    <w:pPr>
      <w:keepNext/>
      <w:keepLines/>
      <w:numPr>
        <w:ilvl w:val="0"/>
        <w:numId w:val="0"/>
      </w:numPr>
      <w:autoSpaceDE/>
      <w:autoSpaceDN/>
      <w:adjustRightInd/>
      <w:spacing w:line="360" w:lineRule="auto"/>
      <w:ind w:left="360"/>
      <w:jc w:val="left"/>
    </w:pPr>
    <w:rPr>
      <w:rFonts w:eastAsia="宋体"/>
      <w:color w:val="auto"/>
      <w:sz w:val="32"/>
      <w:szCs w:val="32"/>
    </w:rPr>
  </w:style>
  <w:style w:type="paragraph" w:customStyle="1" w:styleId="Heading33">
    <w:name w:val="Heading 33"/>
    <w:basedOn w:val="Heading22"/>
    <w:link w:val="Heading33Char"/>
    <w:qFormat/>
    <w:rsid w:val="00AC1EB6"/>
    <w:pPr>
      <w:ind w:left="720"/>
    </w:pPr>
  </w:style>
  <w:style w:type="character" w:customStyle="1" w:styleId="Heading22Char">
    <w:name w:val="Heading 22 Char"/>
    <w:link w:val="Heading22"/>
    <w:qFormat/>
    <w:rsid w:val="00AC1EB6"/>
    <w:rPr>
      <w:rFonts w:eastAsia="宋体"/>
      <w:b/>
      <w:bCs/>
      <w:sz w:val="32"/>
      <w:szCs w:val="32"/>
      <w:lang w:bidi="ar-EG"/>
    </w:rPr>
  </w:style>
  <w:style w:type="character" w:customStyle="1" w:styleId="Heading33Char">
    <w:name w:val="Heading 33 Char"/>
    <w:link w:val="Heading33"/>
    <w:qFormat/>
    <w:rsid w:val="00AC1EB6"/>
    <w:rPr>
      <w:rFonts w:eastAsia="宋体"/>
      <w:b/>
      <w:bCs/>
      <w:sz w:val="32"/>
      <w:szCs w:val="32"/>
      <w:lang w:bidi="ar-EG"/>
    </w:rPr>
  </w:style>
  <w:style w:type="table" w:customStyle="1" w:styleId="GridTable5Dark-Accent13">
    <w:name w:val="Grid Table 5 Dark - Accent 13"/>
    <w:basedOn w:val="TableNormal"/>
    <w:uiPriority w:val="50"/>
    <w:qFormat/>
    <w:rsid w:val="00AC1EB6"/>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qFormat/>
    <w:rsid w:val="00AC1EB6"/>
  </w:style>
  <w:style w:type="character" w:customStyle="1" w:styleId="drugh1">
    <w:name w:val="drugh1"/>
    <w:basedOn w:val="DefaultParagraphFont"/>
    <w:qFormat/>
    <w:rsid w:val="00AC1EB6"/>
  </w:style>
  <w:style w:type="character" w:customStyle="1" w:styleId="apple-style-span">
    <w:name w:val="apple-style-span"/>
    <w:basedOn w:val="DefaultParagraphFont"/>
    <w:qFormat/>
    <w:rsid w:val="00AC1EB6"/>
  </w:style>
  <w:style w:type="paragraph" w:customStyle="1" w:styleId="Title2">
    <w:name w:val="Title2"/>
    <w:basedOn w:val="Heading1"/>
    <w:qFormat/>
    <w:rsid w:val="00AC1EB6"/>
    <w:pPr>
      <w:keepNext/>
      <w:autoSpaceDE/>
      <w:autoSpaceDN/>
      <w:adjustRightInd/>
      <w:spacing w:line="300" w:lineRule="auto"/>
      <w:contextualSpacing w:val="0"/>
      <w:jc w:val="center"/>
    </w:pPr>
    <w:rPr>
      <w:color w:val="auto"/>
      <w:sz w:val="44"/>
      <w:szCs w:val="44"/>
    </w:rPr>
  </w:style>
  <w:style w:type="table" w:customStyle="1" w:styleId="ListTable4-Accent1">
    <w:name w:val="List Table 4 - Accent 1"/>
    <w:basedOn w:val="TableNormal"/>
    <w:uiPriority w:val="49"/>
    <w:qFormat/>
    <w:rsid w:val="00AC1EB6"/>
    <w:rPr>
      <w:rFonts w:ascii="Calibri" w:eastAsia="宋体"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uiPriority w:val="59"/>
    <w:qFormat/>
    <w:rsid w:val="00AC1EB6"/>
    <w:rPr>
      <w:rFonts w:eastAsia="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link w:val="H2"/>
    <w:qFormat/>
    <w:rsid w:val="00AC1EB6"/>
    <w:rPr>
      <w:b/>
      <w:bCs/>
      <w:color w:val="000000"/>
      <w:sz w:val="28"/>
      <w:szCs w:val="28"/>
    </w:rPr>
  </w:style>
  <w:style w:type="table" w:customStyle="1" w:styleId="GridTable5Dark-Accent531">
    <w:name w:val="Grid Table 5 Dark - Accent 531"/>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qFormat/>
    <w:rsid w:val="00AC1EB6"/>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qFormat/>
    <w:rsid w:val="00AC1EB6"/>
    <w:pPr>
      <w:spacing w:after="240" w:line="336" w:lineRule="atLeast"/>
      <w:jc w:val="center"/>
    </w:pPr>
    <w:rPr>
      <w:rFonts w:eastAsia="宋体" w:cs="Arial"/>
      <w:color w:val="auto"/>
      <w:szCs w:val="22"/>
    </w:rPr>
  </w:style>
  <w:style w:type="character" w:customStyle="1" w:styleId="figureChar0">
    <w:name w:val="figure Char"/>
    <w:link w:val="figure0"/>
    <w:qFormat/>
    <w:rsid w:val="00AC1EB6"/>
    <w:rPr>
      <w:rFonts w:eastAsia="宋体" w:cs="Arial"/>
      <w:b/>
      <w:bCs/>
      <w:sz w:val="24"/>
      <w:szCs w:val="22"/>
    </w:rPr>
  </w:style>
  <w:style w:type="table" w:customStyle="1" w:styleId="TableGrid6">
    <w:name w:val="Table Grid6"/>
    <w:basedOn w:val="TableNormal"/>
    <w:uiPriority w:val="59"/>
    <w:qFormat/>
    <w:rsid w:val="00AC1EB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ink w:val="BodyText3"/>
    <w:uiPriority w:val="99"/>
    <w:qFormat/>
    <w:rsid w:val="00AC1EB6"/>
    <w:rPr>
      <w:rFonts w:ascii="Calibri" w:eastAsia="Calibri" w:hAnsi="Calibri" w:cs="Arial"/>
      <w:sz w:val="16"/>
      <w:szCs w:val="16"/>
    </w:rPr>
  </w:style>
  <w:style w:type="table" w:customStyle="1" w:styleId="GridTable4-Accent12">
    <w:name w:val="Grid Table 4 - Accent 12"/>
    <w:basedOn w:val="TableNormal"/>
    <w:uiPriority w:val="49"/>
    <w:qFormat/>
    <w:rsid w:val="00AC1EB6"/>
    <w:rPr>
      <w:rFonts w:ascii="Calibri" w:eastAsia="Calibri"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qFormat/>
    <w:rsid w:val="00AC1EB6"/>
    <w:pPr>
      <w:autoSpaceDE w:val="0"/>
      <w:autoSpaceDN w:val="0"/>
      <w:bidi w:val="0"/>
      <w:adjustRightInd w:val="0"/>
      <w:spacing w:line="200" w:lineRule="atLeast"/>
    </w:pPr>
    <w:rPr>
      <w:rFonts w:ascii="Myriad Pro" w:hAnsi="Myriad Pro" w:cs="Arial"/>
    </w:rPr>
  </w:style>
  <w:style w:type="table" w:customStyle="1" w:styleId="TableGrid8">
    <w:name w:val="Table Grid8"/>
    <w:basedOn w:val="TableNormal"/>
    <w:uiPriority w:val="59"/>
    <w:qFormat/>
    <w:rsid w:val="00AC1EB6"/>
    <w:rPr>
      <w:rFonts w:ascii="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
    <w:name w:val="Font"/>
    <w:basedOn w:val="H3"/>
    <w:link w:val="FontChar"/>
    <w:qFormat/>
    <w:rsid w:val="00AC1EB6"/>
    <w:rPr>
      <w:b w:val="0"/>
      <w:bCs w:val="0"/>
      <w:sz w:val="20"/>
      <w:szCs w:val="20"/>
    </w:rPr>
  </w:style>
  <w:style w:type="character" w:customStyle="1" w:styleId="FontChar">
    <w:name w:val="Font Char"/>
    <w:link w:val="Font"/>
    <w:qFormat/>
    <w:rsid w:val="00AC1EB6"/>
    <w:rPr>
      <w:color w:val="000000"/>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dx.doi.org/10.7537/marscbj120222.02"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ancerbio.net"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sallyoncology@gmail.com"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9C1D5-E84D-4350-9975-10D08FB8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4752</Words>
  <Characters>27088</Characters>
  <Application>Microsoft Office Word</Application>
  <DocSecurity>0</DocSecurity>
  <Lines>225</Lines>
  <Paragraphs>63</Paragraphs>
  <ScaleCrop>false</ScaleCrop>
  <Company>&lt;egyptian hak&gt;</Company>
  <LinksUpToDate>false</LinksUpToDate>
  <CharactersWithSpaces>31777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Halfawy</dc:creator>
  <cp:lastModifiedBy>Administrator</cp:lastModifiedBy>
  <cp:revision>6</cp:revision>
  <cp:lastPrinted>2022-03-30T16:40:00Z</cp:lastPrinted>
  <dcterms:created xsi:type="dcterms:W3CDTF">2022-05-22T23:58:00Z</dcterms:created>
  <dcterms:modified xsi:type="dcterms:W3CDTF">2022-05-25T22:14:00Z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