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4D3C" w14:textId="77777777" w:rsidR="007333E1" w:rsidRDefault="007333E1">
      <w:pPr>
        <w:snapToGrid w:val="0"/>
        <w:spacing w:after="0" w:line="240" w:lineRule="auto"/>
        <w:contextualSpacing/>
        <w:jc w:val="center"/>
        <w:rPr>
          <w:rFonts w:ascii="Times New Roman" w:hAnsi="Times New Roman" w:cs="Times New Roman"/>
          <w:b/>
          <w:bCs/>
          <w:iCs/>
          <w:sz w:val="20"/>
          <w:szCs w:val="20"/>
        </w:rPr>
      </w:pPr>
    </w:p>
    <w:p w14:paraId="463CD91A" w14:textId="77777777" w:rsidR="007333E1" w:rsidRDefault="00C8585E">
      <w:pPr>
        <w:snapToGrid w:val="0"/>
        <w:spacing w:after="0" w:line="240" w:lineRule="auto"/>
        <w:contextualSpacing/>
        <w:jc w:val="center"/>
        <w:rPr>
          <w:rFonts w:ascii="Times New Roman" w:hAnsi="Times New Roman" w:cs="Times New Roman"/>
          <w:b/>
          <w:bCs/>
          <w:iCs/>
          <w:sz w:val="20"/>
          <w:szCs w:val="20"/>
        </w:rPr>
      </w:pPr>
      <w:r>
        <w:rPr>
          <w:rFonts w:ascii="Times New Roman" w:hAnsi="Times New Roman" w:cs="Times New Roman"/>
          <w:b/>
          <w:bCs/>
          <w:iCs/>
          <w:sz w:val="20"/>
          <w:szCs w:val="20"/>
        </w:rPr>
        <w:t>HIV</w:t>
      </w:r>
      <w:r>
        <w:rPr>
          <w:rFonts w:ascii="Times New Roman" w:hAnsi="Times New Roman" w:cs="Times New Roman"/>
          <w:b/>
          <w:bCs/>
          <w:i/>
          <w:iCs/>
          <w:sz w:val="20"/>
          <w:szCs w:val="20"/>
        </w:rPr>
        <w:t xml:space="preserve"> </w:t>
      </w:r>
      <w:r>
        <w:rPr>
          <w:rFonts w:ascii="Times New Roman" w:hAnsi="Times New Roman" w:cs="Times New Roman"/>
          <w:b/>
          <w:bCs/>
          <w:iCs/>
          <w:sz w:val="20"/>
          <w:szCs w:val="20"/>
        </w:rPr>
        <w:t xml:space="preserve">and </w:t>
      </w:r>
      <w:r>
        <w:rPr>
          <w:rFonts w:ascii="Times New Roman" w:hAnsi="Times New Roman" w:cs="Times New Roman"/>
          <w:b/>
          <w:bCs/>
          <w:i/>
          <w:iCs/>
          <w:sz w:val="20"/>
          <w:szCs w:val="20"/>
        </w:rPr>
        <w:t>Helicobacter pylori</w:t>
      </w:r>
      <w:r>
        <w:rPr>
          <w:rFonts w:ascii="Times New Roman" w:hAnsi="Times New Roman" w:cs="Times New Roman"/>
          <w:b/>
          <w:bCs/>
          <w:iCs/>
          <w:sz w:val="20"/>
          <w:szCs w:val="20"/>
        </w:rPr>
        <w:t xml:space="preserve"> Co-infections among Patients visiting two selected medical facilities in</w:t>
      </w:r>
      <w:r>
        <w:rPr>
          <w:rFonts w:ascii="Times New Roman" w:hAnsi="Times New Roman" w:cs="Times New Roman"/>
          <w:b/>
          <w:iCs/>
          <w:sz w:val="20"/>
          <w:szCs w:val="20"/>
        </w:rPr>
        <w:t xml:space="preserve"> </w:t>
      </w:r>
      <w:r>
        <w:rPr>
          <w:rFonts w:ascii="Times New Roman" w:hAnsi="Times New Roman" w:cs="Times New Roman"/>
          <w:b/>
          <w:bCs/>
          <w:iCs/>
          <w:sz w:val="20"/>
          <w:szCs w:val="20"/>
        </w:rPr>
        <w:t>Port Harcourt, Rivers State, Nigeria</w:t>
      </w:r>
    </w:p>
    <w:p w14:paraId="2761A046" w14:textId="77777777" w:rsidR="007333E1" w:rsidRDefault="007333E1">
      <w:pPr>
        <w:snapToGrid w:val="0"/>
        <w:spacing w:after="0" w:line="240" w:lineRule="auto"/>
        <w:contextualSpacing/>
        <w:jc w:val="center"/>
        <w:rPr>
          <w:rFonts w:ascii="Times New Roman" w:hAnsi="Times New Roman" w:cs="Times New Roman"/>
          <w:b/>
          <w:iCs/>
          <w:sz w:val="20"/>
          <w:szCs w:val="20"/>
        </w:rPr>
      </w:pPr>
    </w:p>
    <w:p w14:paraId="674E717F" w14:textId="77777777" w:rsidR="007333E1" w:rsidRDefault="00C8585E">
      <w:pPr>
        <w:snapToGrid w:val="0"/>
        <w:spacing w:after="0" w:line="240" w:lineRule="auto"/>
        <w:jc w:val="center"/>
        <w:rPr>
          <w:rFonts w:ascii="Times New Roman" w:hAnsi="Times New Roman" w:cs="Times New Roman"/>
          <w:sz w:val="20"/>
          <w:szCs w:val="20"/>
          <w:vertAlign w:val="superscript"/>
          <w:lang w:val="en-GB"/>
        </w:rPr>
      </w:pPr>
      <w:proofErr w:type="spellStart"/>
      <w:r>
        <w:rPr>
          <w:rFonts w:ascii="Times New Roman" w:hAnsi="Times New Roman" w:cs="Times New Roman"/>
          <w:sz w:val="20"/>
          <w:szCs w:val="20"/>
          <w:lang w:val="en-GB"/>
        </w:rPr>
        <w:t>Okonko</w:t>
      </w:r>
      <w:proofErr w:type="spellEnd"/>
      <w:r>
        <w:rPr>
          <w:rFonts w:ascii="Times New Roman" w:hAnsi="Times New Roman" w:cs="Times New Roman"/>
          <w:sz w:val="20"/>
          <w:szCs w:val="20"/>
          <w:lang w:val="en-GB"/>
        </w:rPr>
        <w:t xml:space="preserve"> IO</w:t>
      </w:r>
      <w:r>
        <w:rPr>
          <w:rFonts w:ascii="Times New Roman" w:hAnsi="Times New Roman" w:cs="Times New Roman"/>
          <w:sz w:val="20"/>
          <w:szCs w:val="20"/>
          <w:vertAlign w:val="superscript"/>
          <w:lang w:val="en-GB"/>
        </w:rPr>
        <w:t>1*</w:t>
      </w:r>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Barine</w:t>
      </w:r>
      <w:proofErr w:type="spellEnd"/>
      <w:r>
        <w:rPr>
          <w:rFonts w:ascii="Times New Roman" w:hAnsi="Times New Roman" w:cs="Times New Roman"/>
          <w:sz w:val="20"/>
          <w:szCs w:val="20"/>
          <w:lang w:val="en-GB"/>
        </w:rPr>
        <w:t>, BM</w:t>
      </w:r>
      <w:r>
        <w:rPr>
          <w:rFonts w:ascii="Times New Roman" w:hAnsi="Times New Roman" w:cs="Times New Roman"/>
          <w:sz w:val="20"/>
          <w:szCs w:val="20"/>
          <w:vertAlign w:val="superscript"/>
          <w:lang w:val="en-GB"/>
        </w:rPr>
        <w:t>2</w:t>
      </w:r>
    </w:p>
    <w:p w14:paraId="47650DB2" w14:textId="77777777" w:rsidR="007333E1" w:rsidRDefault="007333E1">
      <w:pPr>
        <w:snapToGrid w:val="0"/>
        <w:spacing w:after="0" w:line="240" w:lineRule="auto"/>
        <w:jc w:val="center"/>
        <w:rPr>
          <w:rFonts w:ascii="Times New Roman" w:hAnsi="Times New Roman" w:cs="Times New Roman"/>
          <w:b/>
          <w:bCs/>
          <w:sz w:val="20"/>
          <w:szCs w:val="20"/>
          <w:lang w:val="en-GB"/>
        </w:rPr>
      </w:pPr>
    </w:p>
    <w:p w14:paraId="0ACB4979" w14:textId="77777777" w:rsidR="007333E1" w:rsidRDefault="00C8585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Virus Research Unit, Department of Microbiology, University of Port Harcourt, Port Harcourt, Nigeria. </w:t>
      </w:r>
    </w:p>
    <w:p w14:paraId="33CE5856" w14:textId="77777777" w:rsidR="007333E1" w:rsidRDefault="00C8585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Department of Microbiology, Faculty of Science, Ebonyi State University, </w:t>
      </w:r>
      <w:proofErr w:type="spellStart"/>
      <w:r>
        <w:rPr>
          <w:rFonts w:ascii="Times New Roman" w:hAnsi="Times New Roman" w:cs="Times New Roman"/>
          <w:sz w:val="20"/>
          <w:szCs w:val="20"/>
        </w:rPr>
        <w:t>Abakaliki</w:t>
      </w:r>
      <w:proofErr w:type="spellEnd"/>
      <w:r>
        <w:rPr>
          <w:rFonts w:ascii="Times New Roman" w:hAnsi="Times New Roman" w:cs="Times New Roman"/>
          <w:sz w:val="20"/>
          <w:szCs w:val="20"/>
        </w:rPr>
        <w:t>, Ebonyi State, Nigeria.</w:t>
      </w:r>
    </w:p>
    <w:p w14:paraId="0E1FA99F" w14:textId="77777777" w:rsidR="007333E1" w:rsidRDefault="00C8585E">
      <w:pPr>
        <w:snapToGrid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Corresponding author’s: </w:t>
      </w:r>
      <w:r>
        <w:rPr>
          <w:rFonts w:ascii="Times New Roman" w:hAnsi="Times New Roman" w:cs="Times New Roman"/>
          <w:color w:val="000000" w:themeColor="text1"/>
          <w:sz w:val="20"/>
          <w:szCs w:val="20"/>
        </w:rPr>
        <w:t>E-mail: Iheanyi.okonko@uniport.edu.ng</w:t>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Tel.: +2348035380891</w:t>
      </w:r>
    </w:p>
    <w:p w14:paraId="6FBAEC16" w14:textId="77777777" w:rsidR="007333E1" w:rsidRDefault="00C8585E">
      <w:pPr>
        <w:snapToGrid w:val="0"/>
        <w:spacing w:after="0" w:line="240" w:lineRule="auto"/>
        <w:jc w:val="both"/>
        <w:rPr>
          <w:rFonts w:ascii="Times New Roman" w:hAnsi="Times New Roman" w:cs="Times New Roman"/>
          <w:color w:val="000000"/>
          <w:sz w:val="20"/>
          <w:szCs w:val="20"/>
          <w:lang w:val="en-GB"/>
        </w:rPr>
      </w:pPr>
      <w:r>
        <w:rPr>
          <w:rFonts w:ascii="Times New Roman" w:hAnsi="Times New Roman" w:cs="Times New Roman"/>
          <w:b/>
          <w:iCs/>
          <w:sz w:val="20"/>
          <w:szCs w:val="20"/>
        </w:rPr>
        <w:t xml:space="preserve">Abstract: </w:t>
      </w:r>
      <w:r>
        <w:rPr>
          <w:rFonts w:ascii="Times New Roman" w:hAnsi="Times New Roman" w:cs="Times New Roman"/>
          <w:iCs/>
          <w:sz w:val="20"/>
          <w:szCs w:val="20"/>
        </w:rPr>
        <w:t xml:space="preserve">The co-infection of HIV and </w:t>
      </w:r>
      <w:r>
        <w:rPr>
          <w:rFonts w:ascii="Times New Roman" w:hAnsi="Times New Roman" w:cs="Times New Roman"/>
          <w:i/>
          <w:iCs/>
          <w:sz w:val="20"/>
          <w:szCs w:val="20"/>
        </w:rPr>
        <w:t xml:space="preserve">Helicobacter pylori </w:t>
      </w:r>
      <w:r>
        <w:rPr>
          <w:rFonts w:ascii="Times New Roman" w:hAnsi="Times New Roman" w:cs="Times New Roman"/>
          <w:iCs/>
          <w:sz w:val="20"/>
          <w:szCs w:val="20"/>
        </w:rPr>
        <w:t xml:space="preserve">amongst patients visiting selected medical facilities in Port Harcourt, Rivers State Nigeria </w:t>
      </w:r>
      <w:r>
        <w:rPr>
          <w:rFonts w:ascii="Times New Roman" w:hAnsi="Times New Roman" w:cs="Times New Roman"/>
          <w:sz w:val="20"/>
          <w:szCs w:val="20"/>
        </w:rPr>
        <w:t>was</w:t>
      </w:r>
      <w:r>
        <w:rPr>
          <w:rFonts w:ascii="Times New Roman" w:hAnsi="Times New Roman" w:cs="Times New Roman"/>
          <w:iCs/>
          <w:sz w:val="20"/>
          <w:szCs w:val="20"/>
        </w:rPr>
        <w:t xml:space="preserve"> investigated.</w:t>
      </w:r>
      <w:r>
        <w:rPr>
          <w:rFonts w:ascii="Times New Roman" w:eastAsia="Times New Roman" w:hAnsi="Times New Roman" w:cs="Times New Roman"/>
          <w:sz w:val="20"/>
          <w:szCs w:val="20"/>
        </w:rPr>
        <w:t xml:space="preserve"> </w:t>
      </w:r>
      <w:r>
        <w:rPr>
          <w:rFonts w:ascii="Times New Roman" w:hAnsi="Times New Roman" w:cs="Times New Roman"/>
          <w:iCs/>
          <w:sz w:val="20"/>
          <w:szCs w:val="20"/>
        </w:rPr>
        <w:t>O</w:t>
      </w:r>
      <w:r>
        <w:rPr>
          <w:rFonts w:ascii="Times New Roman" w:hAnsi="Times New Roman" w:cs="Times New Roman"/>
          <w:sz w:val="20"/>
          <w:szCs w:val="20"/>
        </w:rPr>
        <w:t>ne</w:t>
      </w:r>
      <w:r>
        <w:rPr>
          <w:rFonts w:ascii="Times New Roman" w:hAnsi="Times New Roman" w:cs="Times New Roman"/>
          <w:sz w:val="20"/>
          <w:szCs w:val="20"/>
        </w:rPr>
        <w:t xml:space="preserve"> hundred patients were recruited from selected hospitals in the city. HIV (Determine) and </w:t>
      </w:r>
      <w:r>
        <w:rPr>
          <w:rFonts w:ascii="Times New Roman" w:hAnsi="Times New Roman" w:cs="Times New Roman"/>
          <w:i/>
          <w:sz w:val="20"/>
          <w:szCs w:val="20"/>
        </w:rPr>
        <w:t>H</w:t>
      </w:r>
      <w:r>
        <w:rPr>
          <w:rFonts w:ascii="Times New Roman" w:hAnsi="Times New Roman" w:cs="Times New Roman"/>
          <w:i/>
          <w:iCs/>
          <w:sz w:val="20"/>
          <w:szCs w:val="20"/>
        </w:rPr>
        <w:t>. pylori</w:t>
      </w:r>
      <w:r>
        <w:rPr>
          <w:rFonts w:ascii="Times New Roman" w:hAnsi="Times New Roman" w:cs="Times New Roman"/>
          <w:sz w:val="20"/>
          <w:szCs w:val="20"/>
        </w:rPr>
        <w:t xml:space="preserve"> (ANTI-HP Rapid) rapid test kits were used to assay for antibodies against the virus and bacterium in the sera of participants respectively. Other demographi</w:t>
      </w:r>
      <w:r>
        <w:rPr>
          <w:rFonts w:ascii="Times New Roman" w:hAnsi="Times New Roman" w:cs="Times New Roman"/>
          <w:sz w:val="20"/>
          <w:szCs w:val="20"/>
        </w:rPr>
        <w:t xml:space="preserve">cs such as age, sex and marital status was obtained using questionnaires. The result outcomes showed a </w:t>
      </w:r>
      <w:r>
        <w:rPr>
          <w:rFonts w:ascii="Times New Roman" w:hAnsi="Times New Roman" w:cs="Times New Roman"/>
          <w:bCs/>
          <w:sz w:val="20"/>
          <w:szCs w:val="20"/>
        </w:rPr>
        <w:t xml:space="preserve">2.0% prevalence of HIV and </w:t>
      </w:r>
      <w:r>
        <w:rPr>
          <w:rFonts w:ascii="Times New Roman" w:hAnsi="Times New Roman" w:cs="Times New Roman"/>
          <w:bCs/>
          <w:i/>
          <w:sz w:val="20"/>
          <w:szCs w:val="20"/>
        </w:rPr>
        <w:t>H. pylori</w:t>
      </w:r>
      <w:r>
        <w:rPr>
          <w:rFonts w:ascii="Times New Roman" w:hAnsi="Times New Roman" w:cs="Times New Roman"/>
          <w:bCs/>
          <w:sz w:val="20"/>
          <w:szCs w:val="20"/>
        </w:rPr>
        <w:t xml:space="preserve"> coinfection specifically in those within age bracket of 17-19 years. No co-infection was observed among children and adolescent</w:t>
      </w:r>
      <w:r>
        <w:rPr>
          <w:rFonts w:ascii="Times New Roman" w:hAnsi="Times New Roman" w:cs="Times New Roman"/>
          <w:sz w:val="20"/>
          <w:szCs w:val="20"/>
        </w:rPr>
        <w:t xml:space="preserve"> signifying that significant difference (p&lt;0.05) existed in patients with both infections. Similarly, no significant difference </w:t>
      </w:r>
      <w:r>
        <w:rPr>
          <w:rFonts w:ascii="Times New Roman" w:hAnsi="Times New Roman" w:cs="Times New Roman"/>
          <w:sz w:val="20"/>
          <w:szCs w:val="20"/>
        </w:rPr>
        <w:t xml:space="preserve">(p&gt;0.05) was noted in the co-infection rates reported for males (2.4%) and females (1.7%). Conversely, no marital status-specific difference (p&gt;0.05) was noted, though HIV and </w:t>
      </w:r>
      <w:r>
        <w:rPr>
          <w:rFonts w:ascii="Times New Roman" w:hAnsi="Times New Roman" w:cs="Times New Roman"/>
          <w:i/>
          <w:sz w:val="20"/>
          <w:szCs w:val="20"/>
        </w:rPr>
        <w:t>H. pylori</w:t>
      </w:r>
      <w:r>
        <w:rPr>
          <w:rFonts w:ascii="Times New Roman" w:hAnsi="Times New Roman" w:cs="Times New Roman"/>
          <w:sz w:val="20"/>
          <w:szCs w:val="20"/>
        </w:rPr>
        <w:t xml:space="preserve"> coinfection was only detected in singles. In conclusion, the study fur</w:t>
      </w:r>
      <w:r>
        <w:rPr>
          <w:rFonts w:ascii="Times New Roman" w:hAnsi="Times New Roman" w:cs="Times New Roman"/>
          <w:sz w:val="20"/>
          <w:szCs w:val="20"/>
        </w:rPr>
        <w:t xml:space="preserve">ther confirms the presence of HIV and </w:t>
      </w:r>
      <w:r>
        <w:rPr>
          <w:rFonts w:ascii="Times New Roman" w:hAnsi="Times New Roman" w:cs="Times New Roman"/>
          <w:i/>
          <w:iCs/>
          <w:sz w:val="20"/>
          <w:szCs w:val="20"/>
        </w:rPr>
        <w:t xml:space="preserve">Helicobacter pylori </w:t>
      </w:r>
      <w:r>
        <w:rPr>
          <w:rFonts w:ascii="Times New Roman" w:hAnsi="Times New Roman" w:cs="Times New Roman"/>
          <w:iCs/>
          <w:sz w:val="20"/>
          <w:szCs w:val="20"/>
        </w:rPr>
        <w:t xml:space="preserve">coinfection </w:t>
      </w:r>
      <w:r>
        <w:rPr>
          <w:rFonts w:ascii="Times New Roman" w:hAnsi="Times New Roman" w:cs="Times New Roman"/>
          <w:sz w:val="20"/>
          <w:szCs w:val="20"/>
        </w:rPr>
        <w:t xml:space="preserve">among patients in Port Harcourt, Rivers State, Nigeria. This highlights the necessity for routine screening of blood for HIV and </w:t>
      </w:r>
      <w:r>
        <w:rPr>
          <w:rFonts w:ascii="Times New Roman" w:hAnsi="Times New Roman" w:cs="Times New Roman"/>
          <w:i/>
          <w:iCs/>
          <w:sz w:val="20"/>
          <w:szCs w:val="20"/>
        </w:rPr>
        <w:t xml:space="preserve">H. pylori </w:t>
      </w:r>
      <w:r>
        <w:rPr>
          <w:rFonts w:ascii="Times New Roman" w:hAnsi="Times New Roman" w:cs="Times New Roman"/>
          <w:iCs/>
          <w:sz w:val="20"/>
          <w:szCs w:val="20"/>
        </w:rPr>
        <w:t xml:space="preserve">coinfection </w:t>
      </w:r>
      <w:r>
        <w:rPr>
          <w:rFonts w:ascii="Times New Roman" w:hAnsi="Times New Roman" w:cs="Times New Roman"/>
          <w:sz w:val="20"/>
          <w:szCs w:val="20"/>
        </w:rPr>
        <w:t>to minimize their transmission amon</w:t>
      </w:r>
      <w:r>
        <w:rPr>
          <w:rFonts w:ascii="Times New Roman" w:hAnsi="Times New Roman" w:cs="Times New Roman"/>
          <w:sz w:val="20"/>
          <w:szCs w:val="20"/>
        </w:rPr>
        <w:t xml:space="preserve">g the general population. The need for intensive health education to enlighten the public on the risk factors associated with both infections and possible control measures. Further studies of larger numbers of HIV-1 patients with and without </w:t>
      </w:r>
      <w:r>
        <w:rPr>
          <w:rFonts w:ascii="Times New Roman" w:hAnsi="Times New Roman" w:cs="Times New Roman"/>
          <w:i/>
          <w:sz w:val="20"/>
          <w:szCs w:val="20"/>
        </w:rPr>
        <w:t>H. pylori</w:t>
      </w:r>
      <w:r>
        <w:rPr>
          <w:rFonts w:ascii="Times New Roman" w:hAnsi="Times New Roman" w:cs="Times New Roman"/>
          <w:sz w:val="20"/>
          <w:szCs w:val="20"/>
        </w:rPr>
        <w:t xml:space="preserve"> co-i</w:t>
      </w:r>
      <w:r>
        <w:rPr>
          <w:rFonts w:ascii="Times New Roman" w:hAnsi="Times New Roman" w:cs="Times New Roman"/>
          <w:sz w:val="20"/>
          <w:szCs w:val="20"/>
        </w:rPr>
        <w:t xml:space="preserve">nfection for a prolonged period of time are needed in order to define the role of </w:t>
      </w:r>
      <w:r>
        <w:rPr>
          <w:rFonts w:ascii="Times New Roman" w:hAnsi="Times New Roman" w:cs="Times New Roman"/>
          <w:i/>
          <w:sz w:val="20"/>
          <w:szCs w:val="20"/>
        </w:rPr>
        <w:t>H. pylori</w:t>
      </w:r>
      <w:r>
        <w:rPr>
          <w:rFonts w:ascii="Times New Roman" w:hAnsi="Times New Roman" w:cs="Times New Roman"/>
          <w:sz w:val="20"/>
          <w:szCs w:val="20"/>
        </w:rPr>
        <w:t xml:space="preserve"> co-infection and eradication in immune reconstitution of HAART-treated HIV-1- infected patients</w:t>
      </w:r>
      <w:r>
        <w:rPr>
          <w:rFonts w:ascii="Times New Roman" w:hAnsi="Times New Roman" w:cs="Times New Roman"/>
          <w:color w:val="000000"/>
          <w:sz w:val="20"/>
          <w:szCs w:val="20"/>
          <w:lang w:val="en-GB"/>
        </w:rPr>
        <w:t xml:space="preserve"> </w:t>
      </w:r>
    </w:p>
    <w:p w14:paraId="70FFF217" w14:textId="21867662" w:rsidR="007333E1" w:rsidRDefault="00C8585E">
      <w:pPr>
        <w:snapToGrid w:val="0"/>
        <w:spacing w:after="0" w:line="240" w:lineRule="auto"/>
        <w:jc w:val="both"/>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proofErr w:type="spellStart"/>
      <w:r>
        <w:rPr>
          <w:rFonts w:ascii="Times New Roman" w:hAnsi="Times New Roman" w:cs="Times New Roman"/>
          <w:bCs/>
          <w:sz w:val="20"/>
          <w:szCs w:val="20"/>
          <w:lang w:val="en-GB"/>
        </w:rPr>
        <w:t>Okonko</w:t>
      </w:r>
      <w:proofErr w:type="spellEnd"/>
      <w:r>
        <w:rPr>
          <w:rFonts w:ascii="Times New Roman" w:hAnsi="Times New Roman" w:cs="Times New Roman"/>
          <w:bCs/>
          <w:sz w:val="20"/>
          <w:szCs w:val="20"/>
          <w:lang w:val="en-GB"/>
        </w:rPr>
        <w:t xml:space="preserve"> IO and </w:t>
      </w:r>
      <w:proofErr w:type="spellStart"/>
      <w:r>
        <w:rPr>
          <w:rFonts w:ascii="Times New Roman" w:hAnsi="Times New Roman" w:cs="Times New Roman"/>
          <w:bCs/>
          <w:sz w:val="20"/>
          <w:szCs w:val="20"/>
          <w:lang w:val="en-GB"/>
        </w:rPr>
        <w:t>Barine</w:t>
      </w:r>
      <w:proofErr w:type="spellEnd"/>
      <w:r>
        <w:rPr>
          <w:rFonts w:ascii="Times New Roman" w:hAnsi="Times New Roman" w:cs="Times New Roman"/>
          <w:bCs/>
          <w:sz w:val="20"/>
          <w:szCs w:val="20"/>
          <w:lang w:val="en-GB"/>
        </w:rPr>
        <w:t>, BM</w:t>
      </w:r>
      <w:r>
        <w:rPr>
          <w:rFonts w:ascii="Times New Roman" w:hAnsi="Times New Roman" w:cs="Times New Roman"/>
          <w:color w:val="000000"/>
          <w:sz w:val="20"/>
          <w:szCs w:val="20"/>
          <w:lang w:val="en-GB"/>
        </w:rPr>
        <w:t xml:space="preserve">. </w:t>
      </w:r>
      <w:r>
        <w:rPr>
          <w:rFonts w:ascii="Times New Roman" w:hAnsi="Times New Roman" w:cs="Times New Roman"/>
          <w:b/>
          <w:color w:val="000000"/>
          <w:sz w:val="20"/>
          <w:szCs w:val="20"/>
          <w:lang w:val="en-GB"/>
        </w:rPr>
        <w:t>HIV and</w:t>
      </w:r>
      <w:r>
        <w:rPr>
          <w:rFonts w:ascii="Times New Roman" w:hAnsi="Times New Roman" w:cs="Times New Roman"/>
          <w:color w:val="000000"/>
          <w:sz w:val="20"/>
          <w:szCs w:val="20"/>
          <w:lang w:val="en-GB"/>
        </w:rPr>
        <w:t xml:space="preserve"> </w:t>
      </w:r>
      <w:r>
        <w:rPr>
          <w:rFonts w:ascii="Times New Roman" w:hAnsi="Times New Roman" w:cs="Times New Roman"/>
          <w:b/>
          <w:bCs/>
          <w:i/>
          <w:iCs/>
          <w:color w:val="000000"/>
          <w:sz w:val="20"/>
          <w:szCs w:val="20"/>
          <w:lang w:val="en-GB"/>
        </w:rPr>
        <w:t xml:space="preserve">Helicobacter pylori </w:t>
      </w:r>
      <w:r>
        <w:rPr>
          <w:rFonts w:ascii="Times New Roman" w:hAnsi="Times New Roman" w:cs="Times New Roman"/>
          <w:b/>
          <w:bCs/>
          <w:color w:val="000000"/>
          <w:sz w:val="20"/>
          <w:szCs w:val="20"/>
          <w:lang w:val="en-GB"/>
        </w:rPr>
        <w:t>Coinfections</w:t>
      </w:r>
      <w:r>
        <w:rPr>
          <w:rFonts w:ascii="Times New Roman" w:hAnsi="Times New Roman" w:cs="Times New Roman"/>
          <w:b/>
          <w:bCs/>
          <w:color w:val="000000"/>
          <w:sz w:val="20"/>
          <w:szCs w:val="20"/>
          <w:lang w:val="en-GB"/>
        </w:rPr>
        <w:t xml:space="preserve"> among Patients in Port Harcourt, Rivers State, Nigeria</w:t>
      </w:r>
      <w:r>
        <w:rPr>
          <w:rFonts w:ascii="Times New Roman" w:hAnsi="Times New Roman" w:cs="Times New Roman"/>
          <w:color w:val="000000"/>
          <w:sz w:val="20"/>
          <w:szCs w:val="20"/>
          <w:lang w:val="en-GB"/>
        </w:rPr>
        <w:t>.</w:t>
      </w:r>
      <w:r w:rsidR="00067D8C">
        <w:rPr>
          <w:rFonts w:ascii="Times New Roman" w:hAnsi="Times New Roman" w:cs="Times New Roman"/>
          <w:color w:val="000000"/>
          <w:sz w:val="20"/>
          <w:szCs w:val="20"/>
          <w:lang w:val="en-GB"/>
        </w:rPr>
        <w:t xml:space="preserve"> </w:t>
      </w:r>
      <w:r>
        <w:rPr>
          <w:rFonts w:ascii="Times New Roman" w:hAnsi="Times New Roman" w:cs="Times New Roman"/>
          <w:sz w:val="20"/>
          <w:szCs w:val="20"/>
        </w:rPr>
        <w:t>Cancer Biology 202</w:t>
      </w:r>
      <w:r>
        <w:rPr>
          <w:rFonts w:ascii="Times New Roman" w:hAnsi="Times New Roman" w:cs="Times New Roman"/>
          <w:sz w:val="20"/>
          <w:szCs w:val="20"/>
          <w:lang w:eastAsia="zh-CN"/>
        </w:rPr>
        <w:t>3</w:t>
      </w:r>
      <w:r>
        <w:rPr>
          <w:rFonts w:ascii="Times New Roman" w:hAnsi="Times New Roman" w:cs="Times New Roman"/>
          <w:sz w:val="20"/>
          <w:szCs w:val="20"/>
        </w:rPr>
        <w:t>;1</w:t>
      </w:r>
      <w:r>
        <w:rPr>
          <w:rFonts w:ascii="Times New Roman" w:hAnsi="Times New Roman" w:cs="Times New Roman"/>
          <w:sz w:val="20"/>
          <w:szCs w:val="20"/>
          <w:lang w:eastAsia="zh-CN"/>
        </w:rPr>
        <w:t>3</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sz w:val="20"/>
          <w:szCs w:val="20"/>
        </w:rPr>
        <w:t>):</w:t>
      </w:r>
      <w:r>
        <w:rPr>
          <w:rFonts w:ascii="Times New Roman" w:hAnsi="Times New Roman" w:cs="Times New Roman"/>
          <w:sz w:val="20"/>
          <w:szCs w:val="20"/>
          <w:lang w:eastAsia="zh-CN"/>
        </w:rPr>
        <w:t>13</w:t>
      </w:r>
      <w:r>
        <w:rPr>
          <w:rFonts w:ascii="Times New Roman" w:hAnsi="Times New Roman" w:cs="Times New Roman"/>
          <w:sz w:val="20"/>
          <w:szCs w:val="20"/>
        </w:rPr>
        <w:t>-</w:t>
      </w:r>
      <w:r>
        <w:rPr>
          <w:rFonts w:ascii="Times New Roman" w:eastAsia="宋体" w:hAnsi="Times New Roman" w:cs="Times New Roman"/>
          <w:sz w:val="20"/>
          <w:szCs w:val="20"/>
          <w:lang w:eastAsia="zh-CN"/>
        </w:rPr>
        <w:t>1</w:t>
      </w:r>
      <w:r>
        <w:rPr>
          <w:rFonts w:ascii="Times New Roman" w:hAnsi="Times New Roman" w:cs="Times New Roman" w:hint="eastAsia"/>
          <w:sz w:val="20"/>
          <w:szCs w:val="20"/>
          <w:lang w:eastAsia="zh-CN"/>
        </w:rPr>
        <w:t>7</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sz w:val="20"/>
          <w:szCs w:val="20"/>
        </w:rPr>
        <w:t>ISSN:</w:t>
      </w:r>
      <w:r>
        <w:rPr>
          <w:rFonts w:ascii="Times New Roman" w:hAnsi="Times New Roman" w:cs="Times New Roman"/>
          <w:sz w:val="20"/>
          <w:szCs w:val="20"/>
          <w:lang w:eastAsia="zh-CN"/>
        </w:rPr>
        <w:t xml:space="preserve"> </w:t>
      </w:r>
      <w:r>
        <w:rPr>
          <w:rFonts w:ascii="Times New Roman" w:hAnsi="Times New Roman" w:cs="Times New Roman"/>
          <w:sz w:val="20"/>
          <w:szCs w:val="20"/>
        </w:rPr>
        <w:t>2150-1041</w:t>
      </w:r>
      <w:r>
        <w:rPr>
          <w:rFonts w:ascii="Times New Roman" w:hAnsi="Times New Roman" w:cs="Times New Roman"/>
          <w:sz w:val="20"/>
          <w:szCs w:val="20"/>
          <w:lang w:eastAsia="zh-CN"/>
        </w:rPr>
        <w:t xml:space="preserve"> </w:t>
      </w:r>
      <w:r>
        <w:rPr>
          <w:rFonts w:ascii="Times New Roman" w:hAnsi="Times New Roman" w:cs="Times New Roman"/>
          <w:sz w:val="20"/>
          <w:szCs w:val="20"/>
        </w:rPr>
        <w:t>(print);</w:t>
      </w:r>
      <w:r>
        <w:rPr>
          <w:rFonts w:ascii="Times New Roman" w:hAnsi="Times New Roman" w:cs="Times New Roman"/>
          <w:sz w:val="20"/>
          <w:szCs w:val="20"/>
          <w:lang w:eastAsia="zh-CN"/>
        </w:rPr>
        <w:t xml:space="preserve"> </w:t>
      </w:r>
      <w:r>
        <w:rPr>
          <w:rFonts w:ascii="Times New Roman" w:hAnsi="Times New Roman" w:cs="Times New Roman"/>
          <w:sz w:val="20"/>
          <w:szCs w:val="20"/>
        </w:rPr>
        <w:t>ISSN:</w:t>
      </w:r>
      <w:r>
        <w:rPr>
          <w:rFonts w:ascii="Times New Roman" w:hAnsi="Times New Roman" w:cs="Times New Roman"/>
          <w:sz w:val="20"/>
          <w:szCs w:val="20"/>
          <w:lang w:eastAsia="zh-CN"/>
        </w:rPr>
        <w:t xml:space="preserve"> </w:t>
      </w:r>
      <w:r>
        <w:rPr>
          <w:rFonts w:ascii="Times New Roman" w:hAnsi="Times New Roman" w:cs="Times New Roman"/>
          <w:sz w:val="20"/>
          <w:szCs w:val="20"/>
        </w:rPr>
        <w:t>2150-105X</w:t>
      </w:r>
      <w:r>
        <w:rPr>
          <w:rFonts w:ascii="Times New Roman" w:hAnsi="Times New Roman" w:cs="Times New Roman"/>
          <w:sz w:val="20"/>
          <w:szCs w:val="20"/>
          <w:lang w:eastAsia="zh-CN"/>
        </w:rPr>
        <w:t xml:space="preserve"> </w:t>
      </w:r>
      <w:r>
        <w:rPr>
          <w:rFonts w:ascii="Times New Roman" w:hAnsi="Times New Roman" w:cs="Times New Roman"/>
          <w:sz w:val="20"/>
          <w:szCs w:val="20"/>
        </w:rPr>
        <w:t>(online).</w:t>
      </w:r>
      <w:r>
        <w:rPr>
          <w:rFonts w:ascii="Times New Roman" w:hAnsi="Times New Roman" w:cs="Times New Roman"/>
          <w:color w:val="355F91"/>
          <w:sz w:val="20"/>
          <w:szCs w:val="20"/>
        </w:rPr>
        <w:t xml:space="preserve"> </w:t>
      </w:r>
      <w:hyperlink r:id="rId8" w:history="1">
        <w:r>
          <w:rPr>
            <w:rStyle w:val="Hyperlink"/>
            <w:rFonts w:ascii="Times New Roman" w:hAnsi="Times New Roman" w:cs="Times New Roman"/>
            <w:sz w:val="20"/>
            <w:szCs w:val="20"/>
          </w:rPr>
          <w:t>http://www.cancerbio.net</w:t>
        </w:r>
      </w:hyperlink>
      <w:r>
        <w:rPr>
          <w:rFonts w:ascii="Times New Roman" w:hAnsi="Times New Roman" w:cs="Times New Roman"/>
          <w:color w:val="0000FF"/>
          <w:sz w:val="20"/>
          <w:szCs w:val="20"/>
          <w:u w:val="single" w:color="0000FF"/>
          <w:lang w:eastAsia="zh-CN"/>
        </w:rPr>
        <w:t xml:space="preserve"> </w:t>
      </w:r>
      <w:hyperlink r:id="rId9" w:history="1">
        <w:r>
          <w:rPr>
            <w:rStyle w:val="Hyperlink"/>
            <w:rFonts w:ascii="Times New Roman" w:eastAsia="宋体" w:hAnsi="Times New Roman" w:cs="Times New Roman"/>
            <w:sz w:val="20"/>
            <w:szCs w:val="20"/>
          </w:rPr>
          <w:t xml:space="preserve"> </w:t>
        </w:r>
        <w:r>
          <w:rPr>
            <w:rStyle w:val="Hyperlink"/>
            <w:rFonts w:ascii="Times New Roman" w:hAnsi="Times New Roman" w:cs="Times New Roman"/>
            <w:color w:val="auto"/>
            <w:sz w:val="20"/>
            <w:szCs w:val="20"/>
            <w:u w:val="none"/>
            <w:lang w:eastAsia="zh-CN"/>
          </w:rPr>
          <w:t>02</w:t>
        </w:r>
        <w:r>
          <w:rPr>
            <w:rStyle w:val="Hyperlink"/>
            <w:rFonts w:ascii="Times New Roman" w:hAnsi="Times New Roman" w:cs="Times New Roman"/>
            <w:color w:val="auto"/>
            <w:sz w:val="20"/>
            <w:szCs w:val="20"/>
            <w:u w:val="none"/>
          </w:rPr>
          <w:t>.</w:t>
        </w:r>
        <w:r>
          <w:rPr>
            <w:rStyle w:val="Hyperlink"/>
            <w:rFonts w:ascii="Times New Roman" w:eastAsia="宋体" w:hAnsi="Times New Roman" w:cs="Times New Roman"/>
            <w:color w:val="auto"/>
            <w:sz w:val="20"/>
            <w:szCs w:val="20"/>
            <w:u w:val="none"/>
            <w:shd w:val="clear" w:color="auto" w:fill="FFFFFF"/>
          </w:rPr>
          <w:t>doi</w:t>
        </w:r>
      </w:hyperlink>
      <w:r>
        <w:rPr>
          <w:rFonts w:ascii="Times New Roman" w:eastAsia="宋体" w:hAnsi="Times New Roman" w:cs="Times New Roman"/>
          <w:sz w:val="20"/>
          <w:szCs w:val="20"/>
          <w:shd w:val="clear" w:color="auto" w:fill="FFFFFF"/>
        </w:rPr>
        <w:t>:</w:t>
      </w:r>
      <w:hyperlink r:id="rId10" w:history="1">
        <w:r>
          <w:rPr>
            <w:rStyle w:val="Hyperlink"/>
            <w:rFonts w:ascii="Times New Roman" w:eastAsia="宋体" w:hAnsi="Times New Roman" w:cs="Times New Roman"/>
            <w:sz w:val="20"/>
            <w:szCs w:val="20"/>
            <w:shd w:val="clear" w:color="auto" w:fill="FFFFFF"/>
          </w:rPr>
          <w:t>10.7537/marscbj130123.02.</w:t>
        </w:r>
      </w:hyperlink>
    </w:p>
    <w:p w14:paraId="25F73DFD" w14:textId="77777777" w:rsidR="007333E1" w:rsidRDefault="007333E1">
      <w:pPr>
        <w:snapToGrid w:val="0"/>
        <w:spacing w:after="0" w:line="240" w:lineRule="auto"/>
        <w:contextualSpacing/>
        <w:jc w:val="both"/>
        <w:rPr>
          <w:rFonts w:ascii="Times New Roman" w:eastAsia="Times New Roman" w:hAnsi="Times New Roman" w:cs="Times New Roman"/>
          <w:sz w:val="20"/>
          <w:szCs w:val="20"/>
        </w:rPr>
      </w:pPr>
    </w:p>
    <w:p w14:paraId="1911E077" w14:textId="77777777" w:rsidR="007333E1" w:rsidRDefault="00C8585E">
      <w:pPr>
        <w:snapToGrid w:val="0"/>
        <w:spacing w:after="0" w:line="240" w:lineRule="auto"/>
        <w:contextualSpacing/>
        <w:jc w:val="both"/>
        <w:rPr>
          <w:rFonts w:ascii="Times New Roman" w:hAnsi="Times New Roman" w:cs="Times New Roman"/>
          <w:i/>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 xml:space="preserve">Prevalence, antibodies, </w:t>
      </w:r>
      <w:r>
        <w:rPr>
          <w:rFonts w:ascii="Times New Roman" w:hAnsi="Times New Roman" w:cs="Times New Roman"/>
          <w:i/>
          <w:sz w:val="20"/>
          <w:szCs w:val="20"/>
        </w:rPr>
        <w:t>Helicobacter pylori, Coinfection</w:t>
      </w:r>
    </w:p>
    <w:p w14:paraId="5DDCE8A1" w14:textId="77777777" w:rsidR="007333E1" w:rsidRDefault="007333E1">
      <w:pPr>
        <w:snapToGrid w:val="0"/>
        <w:spacing w:after="0" w:line="240" w:lineRule="auto"/>
        <w:contextualSpacing/>
        <w:jc w:val="both"/>
        <w:rPr>
          <w:rFonts w:ascii="Times New Roman" w:hAnsi="Times New Roman" w:cs="Times New Roman"/>
          <w:b/>
          <w:i/>
          <w:sz w:val="20"/>
          <w:szCs w:val="20"/>
        </w:rPr>
      </w:pPr>
    </w:p>
    <w:p w14:paraId="7ED5598D" w14:textId="77777777" w:rsidR="007333E1" w:rsidRDefault="007333E1">
      <w:pPr>
        <w:snapToGrid w:val="0"/>
        <w:spacing w:after="0" w:line="240" w:lineRule="auto"/>
        <w:contextualSpacing/>
        <w:jc w:val="both"/>
        <w:rPr>
          <w:rFonts w:ascii="Times New Roman" w:hAnsi="Times New Roman" w:cs="Times New Roman"/>
          <w:b/>
          <w:i/>
          <w:sz w:val="20"/>
          <w:szCs w:val="20"/>
        </w:rPr>
        <w:sectPr w:rsidR="007333E1">
          <w:headerReference w:type="default" r:id="rId11"/>
          <w:footerReference w:type="default" r:id="rId12"/>
          <w:headerReference w:type="first" r:id="rId13"/>
          <w:footerReference w:type="first" r:id="rId14"/>
          <w:pgSz w:w="12240" w:h="15839"/>
          <w:pgMar w:top="1440" w:right="1440" w:bottom="1440" w:left="1440" w:header="720" w:footer="720" w:gutter="0"/>
          <w:pgNumType w:start="13"/>
          <w:cols w:space="720"/>
          <w:titlePg/>
          <w:docGrid w:linePitch="360"/>
        </w:sectPr>
      </w:pPr>
    </w:p>
    <w:p w14:paraId="59D97A18" w14:textId="77777777" w:rsidR="007333E1" w:rsidRDefault="00C8585E">
      <w:pPr>
        <w:snapToGrid w:val="0"/>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1. Introduction</w:t>
      </w:r>
    </w:p>
    <w:p w14:paraId="072DDEF0" w14:textId="77777777" w:rsidR="007333E1" w:rsidRDefault="00C8585E">
      <w:pPr>
        <w:snapToGrid w:val="0"/>
        <w:spacing w:after="0" w:line="240" w:lineRule="auto"/>
        <w:ind w:firstLine="720"/>
        <w:contextualSpacing/>
        <w:jc w:val="both"/>
        <w:rPr>
          <w:rFonts w:ascii="Times New Roman" w:hAnsi="Times New Roman" w:cs="Times New Roman"/>
          <w:iCs/>
          <w:sz w:val="20"/>
          <w:szCs w:val="20"/>
        </w:rPr>
      </w:pPr>
      <w:r>
        <w:rPr>
          <w:rFonts w:ascii="Times New Roman" w:hAnsi="Times New Roman" w:cs="Times New Roman"/>
          <w:iCs/>
          <w:sz w:val="20"/>
          <w:szCs w:val="20"/>
        </w:rPr>
        <w:t xml:space="preserve">Human immune deficiency virus (HIV) is a retrovirus belonging to group VI of Baltimore’s classification that houses single-stranded RNA viruses that encodes reverse transcriptase. The virus has been implicated to cause continuous destruction of the body’s </w:t>
      </w:r>
      <w:r>
        <w:rPr>
          <w:rFonts w:ascii="Times New Roman" w:hAnsi="Times New Roman" w:cs="Times New Roman"/>
          <w:iCs/>
          <w:sz w:val="20"/>
          <w:szCs w:val="20"/>
        </w:rPr>
        <w:t xml:space="preserve">cellular </w:t>
      </w:r>
      <w:proofErr w:type="spellStart"/>
      <w:r>
        <w:rPr>
          <w:rFonts w:ascii="Times New Roman" w:hAnsi="Times New Roman" w:cs="Times New Roman"/>
          <w:iCs/>
          <w:sz w:val="20"/>
          <w:szCs w:val="20"/>
        </w:rPr>
        <w:t>defence</w:t>
      </w:r>
      <w:proofErr w:type="spellEnd"/>
      <w:r>
        <w:rPr>
          <w:rFonts w:ascii="Times New Roman" w:hAnsi="Times New Roman" w:cs="Times New Roman"/>
          <w:iCs/>
          <w:sz w:val="20"/>
          <w:szCs w:val="20"/>
        </w:rPr>
        <w:t xml:space="preserve"> mechanisms by infecting CD4+ T helper cells resulting in an increased vulnerability to infections, </w:t>
      </w:r>
      <w:proofErr w:type="spellStart"/>
      <w:r>
        <w:rPr>
          <w:rFonts w:ascii="Times New Roman" w:hAnsi="Times New Roman" w:cs="Times New Roman"/>
          <w:iCs/>
          <w:sz w:val="20"/>
          <w:szCs w:val="20"/>
        </w:rPr>
        <w:t>tumours</w:t>
      </w:r>
      <w:proofErr w:type="spellEnd"/>
      <w:r>
        <w:rPr>
          <w:rFonts w:ascii="Times New Roman" w:hAnsi="Times New Roman" w:cs="Times New Roman"/>
          <w:iCs/>
          <w:sz w:val="20"/>
          <w:szCs w:val="20"/>
        </w:rPr>
        <w:t xml:space="preserve"> and acquired immune deficiency syndrome (AIDS) (</w:t>
      </w:r>
      <w:proofErr w:type="spellStart"/>
      <w:r>
        <w:rPr>
          <w:rFonts w:ascii="Times New Roman" w:hAnsi="Times New Roman" w:cs="Times New Roman"/>
          <w:iCs/>
          <w:sz w:val="20"/>
          <w:szCs w:val="20"/>
        </w:rPr>
        <w:t>Cheesbrough</w:t>
      </w:r>
      <w:proofErr w:type="spellEnd"/>
      <w:r>
        <w:rPr>
          <w:rFonts w:ascii="Times New Roman" w:hAnsi="Times New Roman" w:cs="Times New Roman"/>
          <w:iCs/>
          <w:sz w:val="20"/>
          <w:szCs w:val="20"/>
        </w:rPr>
        <w:t xml:space="preserve">, 2004). </w:t>
      </w:r>
    </w:p>
    <w:p w14:paraId="05CE461A"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HIV/AIDS is a disease with worldwide distribution (Cohen </w:t>
      </w:r>
      <w:r>
        <w:rPr>
          <w:rFonts w:ascii="Times New Roman" w:hAnsi="Times New Roman" w:cs="Times New Roman"/>
          <w:i/>
          <w:sz w:val="20"/>
          <w:szCs w:val="20"/>
        </w:rPr>
        <w:t>et al.</w:t>
      </w:r>
      <w:r>
        <w:rPr>
          <w:rFonts w:ascii="Times New Roman" w:hAnsi="Times New Roman" w:cs="Times New Roman"/>
          <w:i/>
          <w:sz w:val="20"/>
          <w:szCs w:val="20"/>
        </w:rPr>
        <w:t xml:space="preserve">, </w:t>
      </w:r>
      <w:r>
        <w:rPr>
          <w:rFonts w:ascii="Times New Roman" w:hAnsi="Times New Roman" w:cs="Times New Roman"/>
          <w:sz w:val="20"/>
          <w:szCs w:val="20"/>
        </w:rPr>
        <w:t>2008)</w:t>
      </w:r>
      <w:r>
        <w:rPr>
          <w:rStyle w:val="citation"/>
          <w:rFonts w:ascii="Times New Roman" w:hAnsi="Times New Roman" w:cs="Times New Roman"/>
          <w:sz w:val="20"/>
          <w:szCs w:val="20"/>
        </w:rPr>
        <w:t>.</w:t>
      </w:r>
      <w:r>
        <w:rPr>
          <w:rFonts w:ascii="Times New Roman" w:hAnsi="Times New Roman" w:cs="Times New Roman"/>
          <w:sz w:val="20"/>
          <w:szCs w:val="20"/>
        </w:rPr>
        <w:t xml:space="preserve"> In, 2011 about 34 million people were reported to have HIV infection worldwide (UNAIDS, 2011). Of these, approximately 17.2 million were men, 16.8 million were women and 3.4 million were less than 15 years old. There was about 1.8 million </w:t>
      </w:r>
      <w:proofErr w:type="gramStart"/>
      <w:r>
        <w:rPr>
          <w:rFonts w:ascii="Times New Roman" w:hAnsi="Times New Roman" w:cs="Times New Roman"/>
          <w:sz w:val="20"/>
          <w:szCs w:val="20"/>
        </w:rPr>
        <w:t>mortalit</w:t>
      </w:r>
      <w:r>
        <w:rPr>
          <w:rFonts w:ascii="Times New Roman" w:hAnsi="Times New Roman" w:cs="Times New Roman"/>
          <w:sz w:val="20"/>
          <w:szCs w:val="20"/>
        </w:rPr>
        <w:t>y</w:t>
      </w:r>
      <w:proofErr w:type="gramEnd"/>
      <w:r>
        <w:rPr>
          <w:rFonts w:ascii="Times New Roman" w:hAnsi="Times New Roman" w:cs="Times New Roman"/>
          <w:sz w:val="20"/>
          <w:szCs w:val="20"/>
        </w:rPr>
        <w:t xml:space="preserve"> from AIDS in 2010, down from 2.2 million in 2005 (UNAIDS, 2011). Sub- Saharan Africa is the most affected region. In 2010, an about sixty-eight per cent (68.0%) (22.9 million) of all HIV occurrence and sixty-six per cent (66.0%) of all </w:t>
      </w:r>
      <w:r>
        <w:rPr>
          <w:rFonts w:ascii="Times New Roman" w:hAnsi="Times New Roman" w:cs="Times New Roman"/>
          <w:sz w:val="20"/>
          <w:szCs w:val="20"/>
        </w:rPr>
        <w:t>mortality (1.2 mil</w:t>
      </w:r>
      <w:r>
        <w:rPr>
          <w:rFonts w:ascii="Times New Roman" w:hAnsi="Times New Roman" w:cs="Times New Roman"/>
          <w:sz w:val="20"/>
          <w:szCs w:val="20"/>
        </w:rPr>
        <w:t xml:space="preserve">lion) were reported in this Sub- Saharan region of Africa. </w:t>
      </w:r>
    </w:p>
    <w:p w14:paraId="55640DAA"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This suggests that around 5.0% of the adult populations are infected. Here in dissimilarity to other regions women compose nearly 60.0% of cases.  </w:t>
      </w:r>
      <w:r>
        <w:rPr>
          <w:rFonts w:ascii="Times New Roman" w:hAnsi="Times New Roman" w:cs="Times New Roman"/>
          <w:i/>
          <w:iCs/>
          <w:sz w:val="20"/>
          <w:szCs w:val="20"/>
        </w:rPr>
        <w:t xml:space="preserve">Helicobacter pylori </w:t>
      </w:r>
      <w:r>
        <w:rPr>
          <w:rFonts w:ascii="Times New Roman" w:hAnsi="Times New Roman" w:cs="Times New Roman"/>
          <w:sz w:val="20"/>
          <w:szCs w:val="20"/>
        </w:rPr>
        <w:t>is a bacterium that is implic</w:t>
      </w:r>
      <w:r>
        <w:rPr>
          <w:rFonts w:ascii="Times New Roman" w:hAnsi="Times New Roman" w:cs="Times New Roman"/>
          <w:sz w:val="20"/>
          <w:szCs w:val="20"/>
        </w:rPr>
        <w:t xml:space="preserve">ated in the widespread infection of the linings of the stomach making them ulcerate. With over 50.0% of the total population on earth infected, although about 80.0% of the people infected are asymptomatic.  </w:t>
      </w:r>
      <w:r>
        <w:rPr>
          <w:rFonts w:ascii="Times New Roman" w:hAnsi="Times New Roman" w:cs="Times New Roman"/>
          <w:i/>
          <w:iCs/>
          <w:sz w:val="20"/>
          <w:szCs w:val="20"/>
        </w:rPr>
        <w:t>H. pylori</w:t>
      </w:r>
      <w:r>
        <w:rPr>
          <w:rFonts w:ascii="Times New Roman" w:hAnsi="Times New Roman" w:cs="Times New Roman"/>
          <w:sz w:val="20"/>
          <w:szCs w:val="20"/>
        </w:rPr>
        <w:t xml:space="preserve"> infection has been linked with low-grad</w:t>
      </w:r>
      <w:r>
        <w:rPr>
          <w:rFonts w:ascii="Times New Roman" w:hAnsi="Times New Roman" w:cs="Times New Roman"/>
          <w:sz w:val="20"/>
          <w:szCs w:val="20"/>
        </w:rPr>
        <w:t xml:space="preserve">e inflammation of the duodenum and stomach. The bacterium can adapt the acidic nature of the stomach where digestion of food is facilitated by enzymatic actions. </w:t>
      </w:r>
      <w:r>
        <w:rPr>
          <w:rFonts w:ascii="Times New Roman" w:hAnsi="Times New Roman" w:cs="Times New Roman"/>
          <w:i/>
          <w:iCs/>
          <w:sz w:val="20"/>
          <w:szCs w:val="20"/>
        </w:rPr>
        <w:t>H. pylori are</w:t>
      </w:r>
      <w:r>
        <w:rPr>
          <w:rFonts w:ascii="Times New Roman" w:hAnsi="Times New Roman" w:cs="Times New Roman"/>
          <w:sz w:val="20"/>
          <w:szCs w:val="20"/>
        </w:rPr>
        <w:t xml:space="preserve"> considered the most implicated organism that causes gastritis. A percentage of p</w:t>
      </w:r>
      <w:r>
        <w:rPr>
          <w:rFonts w:ascii="Times New Roman" w:hAnsi="Times New Roman" w:cs="Times New Roman"/>
          <w:sz w:val="20"/>
          <w:szCs w:val="20"/>
        </w:rPr>
        <w:t xml:space="preserve">eople diagnosed to </w:t>
      </w:r>
      <w:proofErr w:type="spellStart"/>
      <w:r>
        <w:rPr>
          <w:rFonts w:ascii="Times New Roman" w:hAnsi="Times New Roman" w:cs="Times New Roman"/>
          <w:sz w:val="20"/>
          <w:szCs w:val="20"/>
        </w:rPr>
        <w:t>harbour</w:t>
      </w:r>
      <w:proofErr w:type="spellEnd"/>
      <w:r>
        <w:rPr>
          <w:rFonts w:ascii="Times New Roman" w:hAnsi="Times New Roman" w:cs="Times New Roman"/>
          <w:sz w:val="20"/>
          <w:szCs w:val="20"/>
        </w:rPr>
        <w:t xml:space="preserve"> the bacterium may develop an ulcer and have a higher risk of stomach ulcer. </w:t>
      </w:r>
    </w:p>
    <w:p w14:paraId="7A6D11C3"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The occurrence of </w:t>
      </w:r>
      <w:r>
        <w:rPr>
          <w:rFonts w:ascii="Times New Roman" w:hAnsi="Times New Roman" w:cs="Times New Roman"/>
          <w:i/>
          <w:sz w:val="20"/>
          <w:szCs w:val="20"/>
        </w:rPr>
        <w:t>Helicobacter pylori</w:t>
      </w:r>
      <w:r>
        <w:rPr>
          <w:rFonts w:ascii="Times New Roman" w:hAnsi="Times New Roman" w:cs="Times New Roman"/>
          <w:sz w:val="20"/>
          <w:szCs w:val="20"/>
        </w:rPr>
        <w:t xml:space="preserve"> infection in a community may be directly related to some factors such as the rate of acquisition of infection with</w:t>
      </w:r>
      <w:r>
        <w:rPr>
          <w:rFonts w:ascii="Times New Roman" w:hAnsi="Times New Roman" w:cs="Times New Roman"/>
          <w:sz w:val="20"/>
          <w:szCs w:val="20"/>
        </w:rPr>
        <w:t xml:space="preserve"> </w:t>
      </w:r>
      <w:r>
        <w:rPr>
          <w:rFonts w:ascii="Times New Roman" w:hAnsi="Times New Roman" w:cs="Times New Roman"/>
          <w:i/>
          <w:sz w:val="20"/>
          <w:szCs w:val="20"/>
        </w:rPr>
        <w:t>H. pylori</w:t>
      </w:r>
      <w:r>
        <w:rPr>
          <w:rFonts w:ascii="Times New Roman" w:hAnsi="Times New Roman" w:cs="Times New Roman"/>
          <w:sz w:val="20"/>
          <w:szCs w:val="20"/>
        </w:rPr>
        <w:t xml:space="preserve">- that is, incidence; the rate of loss of the </w:t>
      </w:r>
      <w:r>
        <w:rPr>
          <w:rFonts w:ascii="Times New Roman" w:hAnsi="Times New Roman" w:cs="Times New Roman"/>
          <w:sz w:val="20"/>
          <w:szCs w:val="20"/>
        </w:rPr>
        <w:lastRenderedPageBreak/>
        <w:t>infection and the prolonged persistence of the bacterium in the gastroduodenal mucosa between infection and eradication.</w:t>
      </w:r>
    </w:p>
    <w:p w14:paraId="454F7255"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At least half the world's population is infected by the bacterium, making it th</w:t>
      </w:r>
      <w:r>
        <w:rPr>
          <w:rFonts w:ascii="Times New Roman" w:hAnsi="Times New Roman" w:cs="Times New Roman"/>
          <w:sz w:val="20"/>
          <w:szCs w:val="20"/>
        </w:rPr>
        <w:t>e most widespread infection in the world (Pounder and Ng, 1995)</w:t>
      </w:r>
      <w:r>
        <w:rPr>
          <w:rStyle w:val="citation"/>
          <w:rFonts w:ascii="Times New Roman" w:hAnsi="Times New Roman" w:cs="Times New Roman"/>
          <w:sz w:val="20"/>
          <w:szCs w:val="20"/>
        </w:rPr>
        <w:t xml:space="preserve">. </w:t>
      </w:r>
      <w:r>
        <w:rPr>
          <w:rFonts w:ascii="Times New Roman" w:hAnsi="Times New Roman" w:cs="Times New Roman"/>
          <w:i/>
          <w:iCs/>
          <w:sz w:val="20"/>
          <w:szCs w:val="20"/>
        </w:rPr>
        <w:t>Helicobacter pylori</w:t>
      </w:r>
      <w:r>
        <w:rPr>
          <w:rFonts w:ascii="Times New Roman" w:hAnsi="Times New Roman" w:cs="Times New Roman"/>
          <w:sz w:val="20"/>
          <w:szCs w:val="20"/>
        </w:rPr>
        <w:t xml:space="preserve"> infections occurring among individuals infected with HIV have been reported. The co-infection of </w:t>
      </w:r>
      <w:r>
        <w:rPr>
          <w:rFonts w:ascii="Times New Roman" w:hAnsi="Times New Roman" w:cs="Times New Roman"/>
          <w:i/>
          <w:sz w:val="20"/>
          <w:szCs w:val="20"/>
        </w:rPr>
        <w:t xml:space="preserve">Helicobacter pylori and </w:t>
      </w:r>
      <w:r>
        <w:rPr>
          <w:rFonts w:ascii="Times New Roman" w:hAnsi="Times New Roman" w:cs="Times New Roman"/>
          <w:sz w:val="20"/>
          <w:szCs w:val="20"/>
        </w:rPr>
        <w:t>HIV can degrade the humoral immunity of the indivi</w:t>
      </w:r>
      <w:r>
        <w:rPr>
          <w:rFonts w:ascii="Times New Roman" w:hAnsi="Times New Roman" w:cs="Times New Roman"/>
          <w:sz w:val="20"/>
          <w:szCs w:val="20"/>
        </w:rPr>
        <w:t xml:space="preserve">duals infected and increases their risk of falling sick and mortality over a short period of time. Adults infected with HIV and/or showing low CD4+ T cells count would lose the tropic mechanism by which </w:t>
      </w:r>
      <w:r>
        <w:rPr>
          <w:rFonts w:ascii="Times New Roman" w:hAnsi="Times New Roman" w:cs="Times New Roman"/>
          <w:i/>
          <w:iCs/>
          <w:sz w:val="20"/>
          <w:szCs w:val="20"/>
        </w:rPr>
        <w:t>H. pylori</w:t>
      </w:r>
      <w:r>
        <w:rPr>
          <w:rFonts w:ascii="Times New Roman" w:hAnsi="Times New Roman" w:cs="Times New Roman"/>
          <w:sz w:val="20"/>
          <w:szCs w:val="20"/>
        </w:rPr>
        <w:t xml:space="preserve"> colonization is sustained, and severity of </w:t>
      </w:r>
      <w:r>
        <w:rPr>
          <w:rFonts w:ascii="Times New Roman" w:hAnsi="Times New Roman" w:cs="Times New Roman"/>
          <w:sz w:val="20"/>
          <w:szCs w:val="20"/>
        </w:rPr>
        <w:t xml:space="preserve">the infection which would lessen with adequate antibiotic treatment with a useful decrease of gastric acidity (Lee </w:t>
      </w:r>
      <w:r>
        <w:rPr>
          <w:rFonts w:ascii="Times New Roman" w:hAnsi="Times New Roman" w:cs="Times New Roman"/>
          <w:i/>
          <w:sz w:val="20"/>
          <w:szCs w:val="20"/>
        </w:rPr>
        <w:t xml:space="preserve">et al., </w:t>
      </w:r>
      <w:r>
        <w:rPr>
          <w:rFonts w:ascii="Times New Roman" w:hAnsi="Times New Roman" w:cs="Times New Roman"/>
          <w:sz w:val="20"/>
          <w:szCs w:val="20"/>
        </w:rPr>
        <w:t xml:space="preserve">2003). </w:t>
      </w:r>
    </w:p>
    <w:p w14:paraId="13E1F089"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Consequently, the co-infection of HIV and </w:t>
      </w:r>
      <w:r>
        <w:rPr>
          <w:rFonts w:ascii="Times New Roman" w:hAnsi="Times New Roman" w:cs="Times New Roman"/>
          <w:i/>
          <w:iCs/>
          <w:sz w:val="20"/>
          <w:szCs w:val="20"/>
        </w:rPr>
        <w:t>H. pylori</w:t>
      </w:r>
      <w:r>
        <w:rPr>
          <w:rFonts w:ascii="Times New Roman" w:hAnsi="Times New Roman" w:cs="Times New Roman"/>
          <w:iCs/>
          <w:sz w:val="20"/>
          <w:szCs w:val="20"/>
        </w:rPr>
        <w:t xml:space="preserve"> interferes with humoral immunity</w:t>
      </w:r>
      <w:r>
        <w:rPr>
          <w:rFonts w:ascii="Times New Roman" w:hAnsi="Times New Roman" w:cs="Times New Roman"/>
          <w:sz w:val="20"/>
          <w:szCs w:val="20"/>
        </w:rPr>
        <w:t xml:space="preserve"> of patients making them susceptible to other opportunistic infections. </w:t>
      </w:r>
      <w:r>
        <w:rPr>
          <w:rFonts w:ascii="Times New Roman" w:eastAsia="Times New Roman" w:hAnsi="Times New Roman" w:cs="Times New Roman"/>
          <w:sz w:val="20"/>
          <w:szCs w:val="20"/>
        </w:rPr>
        <w:t xml:space="preserve">We embarked on this study to evaluate the </w:t>
      </w:r>
      <w:r>
        <w:rPr>
          <w:rFonts w:ascii="Times New Roman" w:hAnsi="Times New Roman" w:cs="Times New Roman"/>
          <w:sz w:val="20"/>
          <w:szCs w:val="20"/>
        </w:rPr>
        <w:t xml:space="preserve">co-infection of </w:t>
      </w:r>
      <w:r>
        <w:rPr>
          <w:rFonts w:ascii="Times New Roman" w:eastAsia="Times New Roman" w:hAnsi="Times New Roman" w:cs="Times New Roman"/>
          <w:sz w:val="20"/>
          <w:szCs w:val="20"/>
        </w:rPr>
        <w:t xml:space="preserve">HIV and </w:t>
      </w:r>
      <w:r>
        <w:rPr>
          <w:rFonts w:ascii="Times New Roman" w:hAnsi="Times New Roman" w:cs="Times New Roman"/>
          <w:i/>
          <w:sz w:val="20"/>
          <w:szCs w:val="20"/>
        </w:rPr>
        <w:t>H</w:t>
      </w:r>
      <w:r>
        <w:rPr>
          <w:rFonts w:ascii="Times New Roman" w:eastAsia="Times New Roman" w:hAnsi="Times New Roman" w:cs="Times New Roman"/>
          <w:i/>
          <w:iCs/>
          <w:sz w:val="20"/>
          <w:szCs w:val="20"/>
        </w:rPr>
        <w:t xml:space="preserve">elicobacter pylori </w:t>
      </w:r>
      <w:r>
        <w:rPr>
          <w:rFonts w:ascii="Times New Roman" w:hAnsi="Times New Roman" w:cs="Times New Roman"/>
          <w:sz w:val="20"/>
          <w:szCs w:val="20"/>
        </w:rPr>
        <w:t xml:space="preserve">antibodies </w:t>
      </w:r>
      <w:r>
        <w:rPr>
          <w:rFonts w:ascii="Times New Roman" w:hAnsi="Times New Roman" w:cs="Times New Roman"/>
          <w:bCs/>
          <w:iCs/>
          <w:sz w:val="20"/>
          <w:szCs w:val="20"/>
        </w:rPr>
        <w:t>among patients in Port Harcourt, Rivers State, Nigeria.</w:t>
      </w:r>
      <w:r>
        <w:rPr>
          <w:rFonts w:ascii="Times New Roman" w:hAnsi="Times New Roman" w:cs="Times New Roman"/>
          <w:b/>
          <w:iCs/>
          <w:sz w:val="20"/>
          <w:szCs w:val="20"/>
        </w:rPr>
        <w:t xml:space="preserve"> </w:t>
      </w:r>
    </w:p>
    <w:p w14:paraId="5DD58073" w14:textId="77777777" w:rsidR="007333E1" w:rsidRDefault="007333E1">
      <w:pPr>
        <w:snapToGrid w:val="0"/>
        <w:spacing w:after="0" w:line="240" w:lineRule="auto"/>
        <w:contextualSpacing/>
        <w:jc w:val="both"/>
        <w:rPr>
          <w:rFonts w:ascii="Times New Roman" w:hAnsi="Times New Roman" w:cs="Times New Roman"/>
          <w:sz w:val="20"/>
          <w:szCs w:val="20"/>
        </w:rPr>
      </w:pPr>
    </w:p>
    <w:p w14:paraId="62AD9CF5" w14:textId="77777777" w:rsidR="007333E1" w:rsidRDefault="00C8585E">
      <w:pPr>
        <w:snapToGrid w:val="0"/>
        <w:spacing w:after="0" w:line="240" w:lineRule="auto"/>
        <w:ind w:hanging="270"/>
        <w:contextualSpacing/>
        <w:jc w:val="both"/>
        <w:rPr>
          <w:rFonts w:ascii="Times New Roman" w:hAnsi="Times New Roman" w:cs="Times New Roman"/>
          <w:b/>
          <w:sz w:val="20"/>
          <w:szCs w:val="20"/>
        </w:rPr>
      </w:pPr>
      <w:r>
        <w:rPr>
          <w:rFonts w:ascii="Times New Roman" w:hAnsi="Times New Roman" w:cs="Times New Roman"/>
          <w:b/>
          <w:sz w:val="20"/>
          <w:szCs w:val="20"/>
        </w:rPr>
        <w:t>2.  Materials and Methods</w:t>
      </w:r>
    </w:p>
    <w:p w14:paraId="396B5366" w14:textId="77777777" w:rsidR="007333E1" w:rsidRDefault="00C8585E">
      <w:pPr>
        <w:tabs>
          <w:tab w:val="left" w:pos="-90"/>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rPr>
        <w:t>2.1</w:t>
      </w:r>
      <w:r>
        <w:rPr>
          <w:rFonts w:ascii="Times New Roman" w:hAnsi="Times New Roman" w:cs="Times New Roman"/>
          <w:b/>
          <w:sz w:val="20"/>
          <w:szCs w:val="20"/>
        </w:rPr>
        <w:t xml:space="preserve"> Sample collection</w:t>
      </w:r>
      <w:r>
        <w:rPr>
          <w:rFonts w:ascii="Times New Roman" w:hAnsi="Times New Roman" w:cs="Times New Roman"/>
          <w:sz w:val="20"/>
          <w:szCs w:val="20"/>
        </w:rPr>
        <w:tab/>
      </w:r>
    </w:p>
    <w:p w14:paraId="656B3536" w14:textId="77777777" w:rsidR="007333E1" w:rsidRDefault="00C8585E">
      <w:pPr>
        <w:tabs>
          <w:tab w:val="left" w:pos="-90"/>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t>One hundred samples were sourced from the University of Port Harcourt Medical Center (UPTH) and Braithwaite Memorial Specialist Hospital (BMSH), Port Harcourt. The population recruited for the study included 100 volunteers collected at</w:t>
      </w:r>
      <w:r>
        <w:rPr>
          <w:rFonts w:ascii="Times New Roman" w:hAnsi="Times New Roman" w:cs="Times New Roman"/>
          <w:sz w:val="20"/>
          <w:szCs w:val="20"/>
        </w:rPr>
        <w:t xml:space="preserve"> random from the two medical facilities. About 3-5ml of samples was collected aseptically participants by vein puncture into EDTA bottles. A </w:t>
      </w:r>
      <w:proofErr w:type="gramStart"/>
      <w:r>
        <w:rPr>
          <w:rFonts w:ascii="Times New Roman" w:hAnsi="Times New Roman" w:cs="Times New Roman"/>
          <w:sz w:val="20"/>
          <w:szCs w:val="20"/>
        </w:rPr>
        <w:t>short ended</w:t>
      </w:r>
      <w:proofErr w:type="gramEnd"/>
      <w:r>
        <w:rPr>
          <w:rFonts w:ascii="Times New Roman" w:hAnsi="Times New Roman" w:cs="Times New Roman"/>
          <w:sz w:val="20"/>
          <w:szCs w:val="20"/>
        </w:rPr>
        <w:t xml:space="preserve"> questionnaire requiring the participants to provide their demographic information (age, sex and marital</w:t>
      </w:r>
      <w:r>
        <w:rPr>
          <w:rFonts w:ascii="Times New Roman" w:hAnsi="Times New Roman" w:cs="Times New Roman"/>
          <w:sz w:val="20"/>
          <w:szCs w:val="20"/>
        </w:rPr>
        <w:t xml:space="preserve"> status) were given to the patients to fill after which they were documented appropriately.</w:t>
      </w:r>
    </w:p>
    <w:p w14:paraId="5CE54B8E" w14:textId="77777777" w:rsidR="007333E1" w:rsidRDefault="007333E1">
      <w:pPr>
        <w:snapToGrid w:val="0"/>
        <w:spacing w:after="0" w:line="240" w:lineRule="auto"/>
        <w:contextualSpacing/>
        <w:jc w:val="both"/>
        <w:rPr>
          <w:rFonts w:ascii="Times New Roman" w:hAnsi="Times New Roman" w:cs="Times New Roman"/>
          <w:b/>
          <w:sz w:val="20"/>
          <w:szCs w:val="20"/>
        </w:rPr>
      </w:pPr>
    </w:p>
    <w:p w14:paraId="639078DA" w14:textId="77777777" w:rsidR="007333E1" w:rsidRDefault="00C8585E">
      <w:pPr>
        <w:snapToGrid w:val="0"/>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2.2 Serological Assay</w:t>
      </w:r>
    </w:p>
    <w:p w14:paraId="38791D1C"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Serum was separated from whole blood by centrifugation for 10minutes at 2000rpm and left at </w:t>
      </w:r>
      <w:r>
        <w:rPr>
          <w:rFonts w:ascii="Times New Roman" w:hAnsi="Times New Roman" w:cs="Times New Roman"/>
          <w:sz w:val="20"/>
          <w:szCs w:val="20"/>
        </w:rPr>
        <w:t>room temperature (25 ±8</w:t>
      </w:r>
      <w:r>
        <w:rPr>
          <w:rFonts w:ascii="Times New Roman" w:hAnsi="Times New Roman" w:cs="Times New Roman"/>
          <w:sz w:val="20"/>
          <w:szCs w:val="20"/>
          <w:vertAlign w:val="superscript"/>
        </w:rPr>
        <w:t>0</w:t>
      </w:r>
      <w:r>
        <w:rPr>
          <w:rFonts w:ascii="Times New Roman" w:hAnsi="Times New Roman" w:cs="Times New Roman"/>
          <w:sz w:val="20"/>
          <w:szCs w:val="20"/>
        </w:rPr>
        <w:t>C) in properly labelled p</w:t>
      </w:r>
      <w:r>
        <w:rPr>
          <w:rFonts w:ascii="Times New Roman" w:hAnsi="Times New Roman" w:cs="Times New Roman"/>
          <w:sz w:val="20"/>
          <w:szCs w:val="20"/>
        </w:rPr>
        <w:t xml:space="preserve">lain bottles until the samples were assayed same day. Each serum sample was analyzed for HIV and </w:t>
      </w:r>
      <w:r>
        <w:rPr>
          <w:rFonts w:ascii="Times New Roman" w:hAnsi="Times New Roman" w:cs="Times New Roman"/>
          <w:i/>
          <w:sz w:val="20"/>
          <w:szCs w:val="20"/>
        </w:rPr>
        <w:t>H. pylori</w:t>
      </w:r>
      <w:r>
        <w:rPr>
          <w:rFonts w:ascii="Times New Roman" w:hAnsi="Times New Roman" w:cs="Times New Roman"/>
          <w:sz w:val="20"/>
          <w:szCs w:val="20"/>
        </w:rPr>
        <w:t xml:space="preserve"> antibody using Determine and ANTI-HP rapid test kits for the qualitative detection of antibodies to both infections in serum samples. Recommended qua</w:t>
      </w:r>
      <w:r>
        <w:rPr>
          <w:rFonts w:ascii="Times New Roman" w:hAnsi="Times New Roman" w:cs="Times New Roman"/>
          <w:sz w:val="20"/>
          <w:szCs w:val="20"/>
        </w:rPr>
        <w:t xml:space="preserve">lity control measures and precautions were observed in the course of the analysis in adhering manufacturer’s instructions; repetitive freezing was not a case as samples were </w:t>
      </w:r>
      <w:proofErr w:type="spellStart"/>
      <w:r>
        <w:rPr>
          <w:rFonts w:ascii="Times New Roman" w:hAnsi="Times New Roman" w:cs="Times New Roman"/>
          <w:sz w:val="20"/>
          <w:szCs w:val="20"/>
        </w:rPr>
        <w:t>analysed</w:t>
      </w:r>
      <w:proofErr w:type="spellEnd"/>
      <w:r>
        <w:rPr>
          <w:rFonts w:ascii="Times New Roman" w:hAnsi="Times New Roman" w:cs="Times New Roman"/>
          <w:sz w:val="20"/>
          <w:szCs w:val="20"/>
        </w:rPr>
        <w:t xml:space="preserve"> the same day. We also ensured the test kits were valid (Stainer </w:t>
      </w:r>
      <w:r>
        <w:rPr>
          <w:rFonts w:ascii="Times New Roman" w:hAnsi="Times New Roman" w:cs="Times New Roman"/>
          <w:i/>
          <w:sz w:val="20"/>
          <w:szCs w:val="20"/>
        </w:rPr>
        <w:t xml:space="preserve">et al., </w:t>
      </w:r>
      <w:r>
        <w:rPr>
          <w:rFonts w:ascii="Times New Roman" w:hAnsi="Times New Roman" w:cs="Times New Roman"/>
          <w:sz w:val="20"/>
          <w:szCs w:val="20"/>
        </w:rPr>
        <w:t>1</w:t>
      </w:r>
      <w:r>
        <w:rPr>
          <w:rFonts w:ascii="Times New Roman" w:hAnsi="Times New Roman" w:cs="Times New Roman"/>
          <w:sz w:val="20"/>
          <w:szCs w:val="20"/>
        </w:rPr>
        <w:t xml:space="preserve">987; </w:t>
      </w:r>
      <w:proofErr w:type="spellStart"/>
      <w:r>
        <w:rPr>
          <w:rFonts w:ascii="Times New Roman" w:hAnsi="Times New Roman" w:cs="Times New Roman"/>
          <w:sz w:val="20"/>
          <w:szCs w:val="20"/>
        </w:rPr>
        <w:t>Talaro</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Talaro</w:t>
      </w:r>
      <w:proofErr w:type="spellEnd"/>
      <w:r>
        <w:rPr>
          <w:rFonts w:ascii="Times New Roman" w:hAnsi="Times New Roman" w:cs="Times New Roman"/>
          <w:sz w:val="20"/>
          <w:szCs w:val="20"/>
        </w:rPr>
        <w:t>, 2002).</w:t>
      </w:r>
    </w:p>
    <w:p w14:paraId="195E93D1" w14:textId="77777777" w:rsidR="007333E1" w:rsidRDefault="007333E1">
      <w:pPr>
        <w:snapToGrid w:val="0"/>
        <w:spacing w:after="0" w:line="240" w:lineRule="auto"/>
        <w:contextualSpacing/>
        <w:jc w:val="both"/>
        <w:rPr>
          <w:rFonts w:ascii="Times New Roman" w:hAnsi="Times New Roman" w:cs="Times New Roman"/>
          <w:b/>
          <w:sz w:val="20"/>
          <w:szCs w:val="20"/>
        </w:rPr>
      </w:pPr>
    </w:p>
    <w:p w14:paraId="5C5967D4" w14:textId="77777777" w:rsidR="007333E1" w:rsidRDefault="00C8585E">
      <w:pPr>
        <w:snapToGrid w:val="0"/>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2.3 Interpretation of result</w:t>
      </w:r>
    </w:p>
    <w:p w14:paraId="6CF124FA"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Results obtained were interpreted based on the rules contained in the kits manufacturer’s instruction. </w:t>
      </w:r>
    </w:p>
    <w:p w14:paraId="7A247969" w14:textId="77777777" w:rsidR="007333E1" w:rsidRDefault="007333E1">
      <w:pPr>
        <w:snapToGrid w:val="0"/>
        <w:spacing w:after="0" w:line="240" w:lineRule="auto"/>
        <w:contextualSpacing/>
        <w:jc w:val="both"/>
        <w:rPr>
          <w:rFonts w:ascii="Times New Roman" w:hAnsi="Times New Roman" w:cs="Times New Roman"/>
          <w:b/>
          <w:sz w:val="20"/>
          <w:szCs w:val="20"/>
        </w:rPr>
      </w:pPr>
    </w:p>
    <w:p w14:paraId="6452B53E" w14:textId="77777777" w:rsidR="007333E1" w:rsidRDefault="00C8585E">
      <w:pPr>
        <w:snapToGrid w:val="0"/>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2.4 Statistical analysis</w:t>
      </w:r>
    </w:p>
    <w:p w14:paraId="53FFEE5A"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Results from the analysis were subjected to statistical analyses using the SPSS statistical package for Windows; 95% C.I for k</w:t>
      </w:r>
      <w:r>
        <w:rPr>
          <w:rFonts w:ascii="Times New Roman" w:hAnsi="Times New Roman" w:cs="Times New Roman"/>
          <w:sz w:val="20"/>
          <w:szCs w:val="20"/>
        </w:rPr>
        <w:t>ey proportions was done using the actual binomial distribution. The chi-square test was used to test the differences in proportion when appropriate; differences with P&gt;0.05 were deemed significant.</w:t>
      </w:r>
    </w:p>
    <w:p w14:paraId="1C67E2F1" w14:textId="77777777" w:rsidR="007333E1" w:rsidRDefault="007333E1">
      <w:pPr>
        <w:snapToGrid w:val="0"/>
        <w:spacing w:after="0" w:line="240" w:lineRule="auto"/>
        <w:ind w:firstLine="720"/>
        <w:contextualSpacing/>
        <w:jc w:val="both"/>
        <w:rPr>
          <w:rFonts w:ascii="Times New Roman" w:hAnsi="Times New Roman" w:cs="Times New Roman"/>
          <w:sz w:val="20"/>
          <w:szCs w:val="20"/>
        </w:rPr>
      </w:pPr>
    </w:p>
    <w:p w14:paraId="5879EEC6" w14:textId="77777777" w:rsidR="007333E1" w:rsidRDefault="00C8585E">
      <w:pPr>
        <w:snapToGrid w:val="0"/>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3. Results</w:t>
      </w:r>
    </w:p>
    <w:p w14:paraId="58C9F6BF" w14:textId="77777777" w:rsidR="007333E1" w:rsidRDefault="00C8585E">
      <w:pPr>
        <w:snapToGrid w:val="0"/>
        <w:spacing w:after="0" w:line="240" w:lineRule="auto"/>
        <w:ind w:firstLine="720"/>
        <w:contextualSpacing/>
        <w:jc w:val="both"/>
        <w:rPr>
          <w:rFonts w:ascii="Times New Roman" w:hAnsi="Times New Roman" w:cs="Times New Roman"/>
          <w:i/>
          <w:iCs/>
          <w:sz w:val="20"/>
          <w:szCs w:val="20"/>
        </w:rPr>
      </w:pPr>
      <w:r>
        <w:rPr>
          <w:rFonts w:ascii="Times New Roman" w:hAnsi="Times New Roman" w:cs="Times New Roman"/>
          <w:sz w:val="20"/>
          <w:szCs w:val="20"/>
        </w:rPr>
        <w:t>The results are presented in Tables 1 to 3. Th</w:t>
      </w:r>
      <w:r>
        <w:rPr>
          <w:rFonts w:ascii="Times New Roman" w:hAnsi="Times New Roman" w:cs="Times New Roman"/>
          <w:sz w:val="20"/>
          <w:szCs w:val="20"/>
        </w:rPr>
        <w:t xml:space="preserve">ese included the prevalence in relation to sex, age group and marital status. This study showed that only 2.0% of the subjects were positive for both anti-HIV and </w:t>
      </w:r>
      <w:r>
        <w:rPr>
          <w:rFonts w:ascii="Times New Roman" w:hAnsi="Times New Roman" w:cs="Times New Roman"/>
          <w:i/>
          <w:iCs/>
          <w:sz w:val="20"/>
          <w:szCs w:val="20"/>
        </w:rPr>
        <w:t>H. pylori</w:t>
      </w:r>
      <w:r>
        <w:rPr>
          <w:rFonts w:ascii="Times New Roman" w:hAnsi="Times New Roman" w:cs="Times New Roman"/>
          <w:sz w:val="20"/>
          <w:szCs w:val="20"/>
        </w:rPr>
        <w:t xml:space="preserve"> antibodies</w:t>
      </w:r>
      <w:r>
        <w:rPr>
          <w:rFonts w:ascii="Times New Roman" w:hAnsi="Times New Roman" w:cs="Times New Roman"/>
          <w:i/>
          <w:iCs/>
          <w:sz w:val="20"/>
          <w:szCs w:val="20"/>
        </w:rPr>
        <w:t>.</w:t>
      </w:r>
    </w:p>
    <w:p w14:paraId="570BEEE7" w14:textId="77777777" w:rsidR="007333E1" w:rsidRDefault="007333E1">
      <w:pPr>
        <w:snapToGrid w:val="0"/>
        <w:spacing w:after="0" w:line="240" w:lineRule="auto"/>
        <w:ind w:firstLine="720"/>
        <w:contextualSpacing/>
        <w:jc w:val="both"/>
        <w:rPr>
          <w:rFonts w:ascii="Times New Roman" w:hAnsi="Times New Roman" w:cs="Times New Roman"/>
          <w:i/>
          <w:iCs/>
          <w:sz w:val="20"/>
          <w:szCs w:val="20"/>
        </w:rPr>
      </w:pPr>
    </w:p>
    <w:p w14:paraId="7FD8F4DF" w14:textId="77777777" w:rsidR="007333E1" w:rsidRDefault="00C8585E">
      <w:pPr>
        <w:snapToGrid w:val="0"/>
        <w:spacing w:after="0" w:line="240" w:lineRule="auto"/>
        <w:contextualSpacing/>
        <w:jc w:val="both"/>
        <w:rPr>
          <w:rFonts w:ascii="Times New Roman" w:hAnsi="Times New Roman" w:cs="Times New Roman"/>
          <w:iCs/>
          <w:sz w:val="20"/>
          <w:szCs w:val="20"/>
          <w:lang w:val="en-GB"/>
        </w:rPr>
      </w:pPr>
      <w:r>
        <w:rPr>
          <w:rFonts w:ascii="Times New Roman" w:hAnsi="Times New Roman" w:cs="Times New Roman"/>
          <w:b/>
          <w:bCs/>
          <w:iCs/>
          <w:sz w:val="20"/>
          <w:szCs w:val="20"/>
        </w:rPr>
        <w:t>3.1</w:t>
      </w:r>
      <w:r>
        <w:rPr>
          <w:rFonts w:ascii="Times New Roman" w:hAnsi="Times New Roman" w:cs="Times New Roman"/>
          <w:b/>
          <w:bCs/>
          <w:iCs/>
          <w:sz w:val="20"/>
          <w:szCs w:val="20"/>
        </w:rPr>
        <w:tab/>
        <w:t xml:space="preserve">Prevalence of </w:t>
      </w:r>
      <w:r>
        <w:rPr>
          <w:rFonts w:ascii="Times New Roman" w:hAnsi="Times New Roman" w:cs="Times New Roman"/>
          <w:b/>
          <w:bCs/>
          <w:i/>
          <w:iCs/>
          <w:sz w:val="20"/>
          <w:szCs w:val="20"/>
        </w:rPr>
        <w:t>H. pylori</w:t>
      </w:r>
      <w:r>
        <w:rPr>
          <w:rFonts w:ascii="Times New Roman" w:hAnsi="Times New Roman" w:cs="Times New Roman"/>
          <w:b/>
          <w:bCs/>
          <w:iCs/>
          <w:sz w:val="20"/>
          <w:szCs w:val="20"/>
        </w:rPr>
        <w:t>/HIV co-infection in relation to Age</w:t>
      </w:r>
      <w:r>
        <w:rPr>
          <w:rFonts w:ascii="Times New Roman" w:hAnsi="Times New Roman" w:cs="Times New Roman"/>
          <w:iCs/>
          <w:sz w:val="20"/>
          <w:szCs w:val="20"/>
          <w:lang w:val="en-GB"/>
        </w:rPr>
        <w:t xml:space="preserve"> </w:t>
      </w:r>
    </w:p>
    <w:p w14:paraId="413710DD"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Thirty-nine of the 100 samples tested were within the age group 1-18 years, of these, none tested positive for HIV but a few tested positive for </w:t>
      </w:r>
      <w:r>
        <w:rPr>
          <w:rFonts w:ascii="Times New Roman" w:hAnsi="Times New Roman" w:cs="Times New Roman"/>
          <w:i/>
          <w:sz w:val="20"/>
          <w:szCs w:val="20"/>
        </w:rPr>
        <w:t>H. pylori.</w:t>
      </w:r>
      <w:r>
        <w:rPr>
          <w:rFonts w:ascii="Times New Roman" w:hAnsi="Times New Roman" w:cs="Times New Roman"/>
          <w:sz w:val="20"/>
          <w:szCs w:val="20"/>
        </w:rPr>
        <w:t xml:space="preserve"> Hence, there was no coinfection recorded among the age bracket. A co-infection of </w:t>
      </w:r>
      <w:r>
        <w:rPr>
          <w:rFonts w:ascii="Times New Roman" w:hAnsi="Times New Roman" w:cs="Times New Roman"/>
          <w:bCs/>
          <w:sz w:val="20"/>
          <w:szCs w:val="20"/>
        </w:rPr>
        <w:t>2.0%</w:t>
      </w:r>
      <w:r>
        <w:rPr>
          <w:rFonts w:ascii="Times New Roman" w:hAnsi="Times New Roman" w:cs="Times New Roman"/>
          <w:sz w:val="20"/>
          <w:szCs w:val="20"/>
        </w:rPr>
        <w:t xml:space="preserve"> was however r</w:t>
      </w:r>
      <w:r>
        <w:rPr>
          <w:rFonts w:ascii="Times New Roman" w:hAnsi="Times New Roman" w:cs="Times New Roman"/>
          <w:sz w:val="20"/>
          <w:szCs w:val="20"/>
        </w:rPr>
        <w:t xml:space="preserve">ecorded amongst the 61 participants that were between the ages of 19-37 years as shown in Table 1. </w:t>
      </w:r>
    </w:p>
    <w:p w14:paraId="788EBFE1" w14:textId="77777777" w:rsidR="007333E1" w:rsidRDefault="007333E1">
      <w:pPr>
        <w:snapToGrid w:val="0"/>
        <w:spacing w:after="0" w:line="240" w:lineRule="auto"/>
        <w:contextualSpacing/>
        <w:jc w:val="both"/>
        <w:rPr>
          <w:rFonts w:ascii="Times New Roman" w:hAnsi="Times New Roman" w:cs="Times New Roman"/>
          <w:b/>
          <w:bCs/>
          <w:iCs/>
          <w:sz w:val="20"/>
          <w:szCs w:val="20"/>
          <w:lang w:val="en-GB"/>
        </w:rPr>
      </w:pPr>
    </w:p>
    <w:p w14:paraId="17641387" w14:textId="77777777" w:rsidR="007333E1" w:rsidRDefault="007333E1">
      <w:pPr>
        <w:snapToGrid w:val="0"/>
        <w:spacing w:after="0" w:line="240" w:lineRule="auto"/>
        <w:contextualSpacing/>
        <w:jc w:val="both"/>
        <w:rPr>
          <w:rFonts w:ascii="Times New Roman" w:hAnsi="Times New Roman" w:cs="Times New Roman"/>
          <w:b/>
          <w:bCs/>
          <w:iCs/>
          <w:sz w:val="20"/>
          <w:szCs w:val="20"/>
          <w:lang w:val="en-GB"/>
        </w:rPr>
        <w:sectPr w:rsidR="007333E1">
          <w:type w:val="continuous"/>
          <w:pgSz w:w="12240" w:h="15839"/>
          <w:pgMar w:top="1440" w:right="1440" w:bottom="1440" w:left="1440" w:header="720" w:footer="720" w:gutter="0"/>
          <w:cols w:num="2" w:space="720"/>
          <w:docGrid w:linePitch="360"/>
        </w:sectPr>
      </w:pPr>
    </w:p>
    <w:p w14:paraId="754DCE06" w14:textId="3E784546" w:rsidR="007333E1" w:rsidRDefault="007333E1">
      <w:pPr>
        <w:snapToGrid w:val="0"/>
        <w:spacing w:after="0" w:line="240" w:lineRule="auto"/>
        <w:contextualSpacing/>
        <w:jc w:val="both"/>
        <w:rPr>
          <w:rFonts w:ascii="Times New Roman" w:hAnsi="Times New Roman" w:cs="Times New Roman"/>
          <w:b/>
          <w:bCs/>
          <w:iCs/>
          <w:sz w:val="20"/>
          <w:szCs w:val="20"/>
          <w:lang w:val="en-GB"/>
        </w:rPr>
      </w:pPr>
    </w:p>
    <w:p w14:paraId="270666B2" w14:textId="77777777" w:rsidR="00067D8C" w:rsidRDefault="00067D8C">
      <w:pPr>
        <w:snapToGrid w:val="0"/>
        <w:spacing w:after="0" w:line="240" w:lineRule="auto"/>
        <w:contextualSpacing/>
        <w:jc w:val="both"/>
        <w:rPr>
          <w:rFonts w:ascii="Times New Roman" w:hAnsi="Times New Roman" w:cs="Times New Roman"/>
          <w:b/>
          <w:bCs/>
          <w:iCs/>
          <w:sz w:val="20"/>
          <w:szCs w:val="20"/>
          <w:lang w:val="en-GB"/>
        </w:rPr>
      </w:pPr>
    </w:p>
    <w:p w14:paraId="44E5ADEC"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iCs/>
          <w:sz w:val="20"/>
          <w:szCs w:val="20"/>
          <w:lang w:val="en-GB"/>
        </w:rPr>
        <w:t xml:space="preserve">Table 1: </w:t>
      </w:r>
      <w:r>
        <w:rPr>
          <w:rFonts w:ascii="Times New Roman" w:hAnsi="Times New Roman" w:cs="Times New Roman"/>
          <w:b/>
          <w:bCs/>
          <w:iCs/>
          <w:sz w:val="20"/>
          <w:szCs w:val="20"/>
        </w:rPr>
        <w:t>Prevalence of HIV/</w:t>
      </w:r>
      <w:r>
        <w:rPr>
          <w:rFonts w:ascii="Times New Roman" w:hAnsi="Times New Roman" w:cs="Times New Roman"/>
          <w:b/>
          <w:bCs/>
          <w:i/>
          <w:iCs/>
          <w:sz w:val="20"/>
          <w:szCs w:val="20"/>
        </w:rPr>
        <w:t xml:space="preserve"> H. pylori</w:t>
      </w:r>
      <w:r>
        <w:rPr>
          <w:rFonts w:ascii="Times New Roman" w:hAnsi="Times New Roman" w:cs="Times New Roman"/>
          <w:b/>
          <w:bCs/>
          <w:iCs/>
          <w:sz w:val="20"/>
          <w:szCs w:val="20"/>
        </w:rPr>
        <w:t xml:space="preserve"> co-infection in relation to Age</w:t>
      </w:r>
      <w:r>
        <w:rPr>
          <w:rFonts w:ascii="Times New Roman" w:hAnsi="Times New Roman" w:cs="Times New Roman"/>
          <w:iCs/>
          <w:sz w:val="20"/>
          <w:szCs w:val="20"/>
          <w:lang w:val="en-GB"/>
        </w:rPr>
        <w:t xml:space="preserve"> </w:t>
      </w:r>
    </w:p>
    <w:tbl>
      <w:tblPr>
        <w:tblW w:w="9458"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175"/>
        <w:gridCol w:w="3141"/>
        <w:gridCol w:w="3142"/>
      </w:tblGrid>
      <w:tr w:rsidR="007333E1" w14:paraId="4344CAE5" w14:textId="77777777">
        <w:trPr>
          <w:trHeight w:val="154"/>
          <w:jc w:val="center"/>
        </w:trPr>
        <w:tc>
          <w:tcPr>
            <w:tcW w:w="3175" w:type="dxa"/>
            <w:tcBorders>
              <w:top w:val="single" w:sz="4" w:space="0" w:color="auto"/>
              <w:bottom w:val="single" w:sz="4" w:space="0" w:color="auto"/>
            </w:tcBorders>
            <w:shd w:val="clear" w:color="auto" w:fill="auto"/>
            <w:tcMar>
              <w:top w:w="15" w:type="dxa"/>
              <w:left w:w="108" w:type="dxa"/>
              <w:bottom w:w="0" w:type="dxa"/>
              <w:right w:w="108" w:type="dxa"/>
            </w:tcMar>
          </w:tcPr>
          <w:p w14:paraId="3A4E0662"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Age groups (years)</w:t>
            </w:r>
            <w:r>
              <w:rPr>
                <w:rFonts w:ascii="Times New Roman" w:hAnsi="Times New Roman" w:cs="Times New Roman"/>
                <w:sz w:val="20"/>
                <w:szCs w:val="20"/>
              </w:rPr>
              <w:t xml:space="preserve"> </w:t>
            </w:r>
          </w:p>
        </w:tc>
        <w:tc>
          <w:tcPr>
            <w:tcW w:w="3141" w:type="dxa"/>
            <w:tcBorders>
              <w:top w:val="single" w:sz="4" w:space="0" w:color="auto"/>
              <w:bottom w:val="single" w:sz="4" w:space="0" w:color="auto"/>
            </w:tcBorders>
            <w:shd w:val="clear" w:color="auto" w:fill="auto"/>
            <w:tcMar>
              <w:top w:w="15" w:type="dxa"/>
              <w:left w:w="108" w:type="dxa"/>
              <w:bottom w:w="0" w:type="dxa"/>
              <w:right w:w="108" w:type="dxa"/>
            </w:tcMar>
          </w:tcPr>
          <w:p w14:paraId="5E57BAA9"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No. Tested (%)</w:t>
            </w:r>
            <w:r>
              <w:rPr>
                <w:rFonts w:ascii="Times New Roman" w:hAnsi="Times New Roman" w:cs="Times New Roman"/>
                <w:sz w:val="20"/>
                <w:szCs w:val="20"/>
              </w:rPr>
              <w:t xml:space="preserve"> </w:t>
            </w:r>
          </w:p>
        </w:tc>
        <w:tc>
          <w:tcPr>
            <w:tcW w:w="3142" w:type="dxa"/>
            <w:tcBorders>
              <w:top w:val="single" w:sz="4" w:space="0" w:color="auto"/>
              <w:bottom w:val="single" w:sz="4" w:space="0" w:color="auto"/>
            </w:tcBorders>
            <w:shd w:val="clear" w:color="auto" w:fill="auto"/>
            <w:tcMar>
              <w:top w:w="15" w:type="dxa"/>
              <w:left w:w="108" w:type="dxa"/>
              <w:bottom w:w="0" w:type="dxa"/>
              <w:right w:w="108" w:type="dxa"/>
            </w:tcMar>
          </w:tcPr>
          <w:p w14:paraId="66A0D629"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HIV/</w:t>
            </w:r>
            <w:r>
              <w:rPr>
                <w:rFonts w:ascii="Times New Roman" w:hAnsi="Times New Roman" w:cs="Times New Roman"/>
                <w:b/>
                <w:bCs/>
                <w:i/>
                <w:iCs/>
                <w:sz w:val="20"/>
                <w:szCs w:val="20"/>
              </w:rPr>
              <w:t>H. pylori</w:t>
            </w:r>
            <w:r>
              <w:rPr>
                <w:rFonts w:ascii="Times New Roman" w:hAnsi="Times New Roman" w:cs="Times New Roman"/>
                <w:b/>
                <w:bCs/>
                <w:sz w:val="20"/>
                <w:szCs w:val="20"/>
              </w:rPr>
              <w:t xml:space="preserve"> co-infection (%)</w:t>
            </w:r>
            <w:r>
              <w:rPr>
                <w:rFonts w:ascii="Times New Roman" w:hAnsi="Times New Roman" w:cs="Times New Roman"/>
                <w:sz w:val="20"/>
                <w:szCs w:val="20"/>
              </w:rPr>
              <w:t xml:space="preserve"> </w:t>
            </w:r>
          </w:p>
        </w:tc>
      </w:tr>
      <w:tr w:rsidR="007333E1" w14:paraId="2DA108EC" w14:textId="77777777">
        <w:trPr>
          <w:trHeight w:val="154"/>
          <w:jc w:val="center"/>
        </w:trPr>
        <w:tc>
          <w:tcPr>
            <w:tcW w:w="3175" w:type="dxa"/>
            <w:tcBorders>
              <w:top w:val="single" w:sz="4" w:space="0" w:color="auto"/>
              <w:bottom w:val="nil"/>
            </w:tcBorders>
            <w:shd w:val="clear" w:color="auto" w:fill="auto"/>
            <w:tcMar>
              <w:top w:w="15" w:type="dxa"/>
              <w:left w:w="108" w:type="dxa"/>
              <w:bottom w:w="0" w:type="dxa"/>
              <w:right w:w="108" w:type="dxa"/>
            </w:tcMar>
          </w:tcPr>
          <w:p w14:paraId="41289187"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0-18 </w:t>
            </w:r>
          </w:p>
        </w:tc>
        <w:tc>
          <w:tcPr>
            <w:tcW w:w="3141" w:type="dxa"/>
            <w:tcBorders>
              <w:top w:val="single" w:sz="4" w:space="0" w:color="auto"/>
              <w:bottom w:val="nil"/>
            </w:tcBorders>
            <w:shd w:val="clear" w:color="auto" w:fill="auto"/>
            <w:tcMar>
              <w:top w:w="15" w:type="dxa"/>
              <w:left w:w="108" w:type="dxa"/>
              <w:bottom w:w="0" w:type="dxa"/>
              <w:right w:w="108" w:type="dxa"/>
            </w:tcMar>
          </w:tcPr>
          <w:p w14:paraId="4C63B5D1"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39 (39.0) </w:t>
            </w:r>
          </w:p>
        </w:tc>
        <w:tc>
          <w:tcPr>
            <w:tcW w:w="3142" w:type="dxa"/>
            <w:tcBorders>
              <w:top w:val="single" w:sz="4" w:space="0" w:color="auto"/>
              <w:bottom w:val="nil"/>
            </w:tcBorders>
            <w:shd w:val="clear" w:color="auto" w:fill="auto"/>
            <w:tcMar>
              <w:top w:w="15" w:type="dxa"/>
              <w:left w:w="108" w:type="dxa"/>
              <w:bottom w:w="0" w:type="dxa"/>
              <w:right w:w="108" w:type="dxa"/>
            </w:tcMar>
          </w:tcPr>
          <w:p w14:paraId="28430199"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proofErr w:type="gramStart"/>
            <w:r>
              <w:rPr>
                <w:rFonts w:ascii="Times New Roman" w:hAnsi="Times New Roman" w:cs="Times New Roman"/>
                <w:sz w:val="20"/>
                <w:szCs w:val="20"/>
              </w:rPr>
              <w:t>0  (</w:t>
            </w:r>
            <w:proofErr w:type="gramEnd"/>
            <w:r>
              <w:rPr>
                <w:rFonts w:ascii="Times New Roman" w:hAnsi="Times New Roman" w:cs="Times New Roman"/>
                <w:sz w:val="20"/>
                <w:szCs w:val="20"/>
              </w:rPr>
              <w:t xml:space="preserve">0.0) </w:t>
            </w:r>
          </w:p>
        </w:tc>
      </w:tr>
      <w:tr w:rsidR="007333E1" w14:paraId="1975BE73" w14:textId="77777777">
        <w:trPr>
          <w:trHeight w:val="148"/>
          <w:jc w:val="center"/>
        </w:trPr>
        <w:tc>
          <w:tcPr>
            <w:tcW w:w="3175" w:type="dxa"/>
            <w:tcBorders>
              <w:top w:val="nil"/>
              <w:bottom w:val="single" w:sz="4" w:space="0" w:color="auto"/>
            </w:tcBorders>
            <w:shd w:val="clear" w:color="auto" w:fill="auto"/>
            <w:tcMar>
              <w:top w:w="15" w:type="dxa"/>
              <w:left w:w="108" w:type="dxa"/>
              <w:bottom w:w="0" w:type="dxa"/>
              <w:right w:w="108" w:type="dxa"/>
            </w:tcMar>
          </w:tcPr>
          <w:p w14:paraId="15E0245F"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19-37 </w:t>
            </w:r>
          </w:p>
        </w:tc>
        <w:tc>
          <w:tcPr>
            <w:tcW w:w="3141" w:type="dxa"/>
            <w:tcBorders>
              <w:top w:val="nil"/>
              <w:bottom w:val="single" w:sz="4" w:space="0" w:color="auto"/>
            </w:tcBorders>
            <w:shd w:val="clear" w:color="auto" w:fill="auto"/>
            <w:tcMar>
              <w:top w:w="15" w:type="dxa"/>
              <w:left w:w="108" w:type="dxa"/>
              <w:bottom w:w="0" w:type="dxa"/>
              <w:right w:w="108" w:type="dxa"/>
            </w:tcMar>
          </w:tcPr>
          <w:p w14:paraId="52E013CC"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61 (61.0) </w:t>
            </w:r>
          </w:p>
        </w:tc>
        <w:tc>
          <w:tcPr>
            <w:tcW w:w="3142" w:type="dxa"/>
            <w:tcBorders>
              <w:top w:val="nil"/>
              <w:bottom w:val="single" w:sz="4" w:space="0" w:color="auto"/>
            </w:tcBorders>
            <w:shd w:val="clear" w:color="auto" w:fill="auto"/>
            <w:tcMar>
              <w:top w:w="15" w:type="dxa"/>
              <w:left w:w="108" w:type="dxa"/>
              <w:bottom w:w="0" w:type="dxa"/>
              <w:right w:w="108" w:type="dxa"/>
            </w:tcMar>
          </w:tcPr>
          <w:p w14:paraId="7964574B"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2 (3.3) </w:t>
            </w:r>
          </w:p>
        </w:tc>
      </w:tr>
      <w:tr w:rsidR="007333E1" w14:paraId="677C5C8A" w14:textId="77777777">
        <w:trPr>
          <w:trHeight w:val="160"/>
          <w:jc w:val="center"/>
        </w:trPr>
        <w:tc>
          <w:tcPr>
            <w:tcW w:w="3175" w:type="dxa"/>
            <w:tcBorders>
              <w:top w:val="single" w:sz="4" w:space="0" w:color="auto"/>
            </w:tcBorders>
            <w:shd w:val="clear" w:color="auto" w:fill="auto"/>
            <w:tcMar>
              <w:top w:w="15" w:type="dxa"/>
              <w:left w:w="108" w:type="dxa"/>
              <w:bottom w:w="0" w:type="dxa"/>
              <w:right w:w="108" w:type="dxa"/>
            </w:tcMar>
          </w:tcPr>
          <w:p w14:paraId="55181253"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Total</w:t>
            </w:r>
            <w:r>
              <w:rPr>
                <w:rFonts w:ascii="Times New Roman" w:hAnsi="Times New Roman" w:cs="Times New Roman"/>
                <w:sz w:val="20"/>
                <w:szCs w:val="20"/>
              </w:rPr>
              <w:t xml:space="preserve"> </w:t>
            </w:r>
          </w:p>
        </w:tc>
        <w:tc>
          <w:tcPr>
            <w:tcW w:w="3141" w:type="dxa"/>
            <w:tcBorders>
              <w:top w:val="single" w:sz="4" w:space="0" w:color="auto"/>
            </w:tcBorders>
            <w:shd w:val="clear" w:color="auto" w:fill="auto"/>
            <w:tcMar>
              <w:top w:w="15" w:type="dxa"/>
              <w:left w:w="108" w:type="dxa"/>
              <w:bottom w:w="0" w:type="dxa"/>
              <w:right w:w="108" w:type="dxa"/>
            </w:tcMar>
          </w:tcPr>
          <w:p w14:paraId="1783DE1C"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100(100.0)</w:t>
            </w:r>
            <w:r>
              <w:rPr>
                <w:rFonts w:ascii="Times New Roman" w:hAnsi="Times New Roman" w:cs="Times New Roman"/>
                <w:sz w:val="20"/>
                <w:szCs w:val="20"/>
              </w:rPr>
              <w:t xml:space="preserve"> </w:t>
            </w:r>
          </w:p>
        </w:tc>
        <w:tc>
          <w:tcPr>
            <w:tcW w:w="3142" w:type="dxa"/>
            <w:tcBorders>
              <w:top w:val="single" w:sz="4" w:space="0" w:color="auto"/>
            </w:tcBorders>
            <w:shd w:val="clear" w:color="auto" w:fill="auto"/>
            <w:tcMar>
              <w:top w:w="15" w:type="dxa"/>
              <w:left w:w="108" w:type="dxa"/>
              <w:bottom w:w="0" w:type="dxa"/>
              <w:right w:w="108" w:type="dxa"/>
            </w:tcMar>
          </w:tcPr>
          <w:p w14:paraId="38EC977D"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b/>
                <w:bCs/>
                <w:sz w:val="20"/>
                <w:szCs w:val="20"/>
              </w:rPr>
              <w:t>2 (2.0)</w:t>
            </w:r>
            <w:r>
              <w:rPr>
                <w:rFonts w:ascii="Times New Roman" w:hAnsi="Times New Roman" w:cs="Times New Roman"/>
                <w:sz w:val="20"/>
                <w:szCs w:val="20"/>
              </w:rPr>
              <w:t xml:space="preserve"> </w:t>
            </w:r>
          </w:p>
        </w:tc>
      </w:tr>
    </w:tbl>
    <w:p w14:paraId="28F71AF0" w14:textId="77777777" w:rsidR="007333E1" w:rsidRDefault="007333E1">
      <w:pPr>
        <w:snapToGrid w:val="0"/>
        <w:spacing w:after="0" w:line="240" w:lineRule="auto"/>
        <w:contextualSpacing/>
        <w:jc w:val="both"/>
        <w:rPr>
          <w:rFonts w:ascii="Times New Roman" w:hAnsi="Times New Roman" w:cs="Times New Roman"/>
          <w:b/>
          <w:sz w:val="20"/>
          <w:szCs w:val="20"/>
        </w:rPr>
      </w:pPr>
    </w:p>
    <w:p w14:paraId="2AD125E2" w14:textId="77777777" w:rsidR="007333E1" w:rsidRDefault="007333E1">
      <w:pPr>
        <w:snapToGrid w:val="0"/>
        <w:spacing w:after="0" w:line="240" w:lineRule="auto"/>
        <w:contextualSpacing/>
        <w:jc w:val="both"/>
        <w:rPr>
          <w:rFonts w:ascii="Times New Roman" w:hAnsi="Times New Roman" w:cs="Times New Roman"/>
          <w:b/>
          <w:sz w:val="20"/>
          <w:szCs w:val="20"/>
        </w:rPr>
      </w:pPr>
    </w:p>
    <w:p w14:paraId="34A70786" w14:textId="77777777" w:rsidR="007333E1" w:rsidRDefault="007333E1">
      <w:pPr>
        <w:snapToGrid w:val="0"/>
        <w:spacing w:after="0" w:line="240" w:lineRule="auto"/>
        <w:contextualSpacing/>
        <w:jc w:val="both"/>
        <w:rPr>
          <w:rFonts w:ascii="Times New Roman" w:hAnsi="Times New Roman" w:cs="Times New Roman"/>
          <w:b/>
          <w:sz w:val="20"/>
          <w:szCs w:val="20"/>
        </w:rPr>
      </w:pPr>
    </w:p>
    <w:p w14:paraId="06D870E8" w14:textId="77777777" w:rsidR="007333E1" w:rsidRDefault="007333E1">
      <w:pPr>
        <w:snapToGrid w:val="0"/>
        <w:spacing w:after="0" w:line="240" w:lineRule="auto"/>
        <w:contextualSpacing/>
        <w:jc w:val="both"/>
        <w:rPr>
          <w:rFonts w:ascii="Times New Roman" w:hAnsi="Times New Roman" w:cs="Times New Roman"/>
          <w:b/>
          <w:sz w:val="20"/>
          <w:szCs w:val="20"/>
        </w:rPr>
      </w:pPr>
    </w:p>
    <w:p w14:paraId="387023DD" w14:textId="77777777" w:rsidR="007333E1" w:rsidRDefault="00C8585E">
      <w:pPr>
        <w:snapToGrid w:val="0"/>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Table 2: Prevalence of </w:t>
      </w:r>
      <w:r>
        <w:rPr>
          <w:rFonts w:ascii="Times New Roman" w:hAnsi="Times New Roman" w:cs="Times New Roman"/>
          <w:b/>
          <w:bCs/>
          <w:iCs/>
          <w:sz w:val="20"/>
          <w:szCs w:val="20"/>
        </w:rPr>
        <w:t>HIV/</w:t>
      </w:r>
      <w:r>
        <w:rPr>
          <w:rFonts w:ascii="Times New Roman" w:hAnsi="Times New Roman" w:cs="Times New Roman"/>
          <w:b/>
          <w:bCs/>
          <w:i/>
          <w:iCs/>
          <w:sz w:val="20"/>
          <w:szCs w:val="20"/>
        </w:rPr>
        <w:t>H. pylori</w:t>
      </w:r>
      <w:r>
        <w:rPr>
          <w:rFonts w:ascii="Times New Roman" w:hAnsi="Times New Roman" w:cs="Times New Roman"/>
          <w:b/>
          <w:sz w:val="20"/>
          <w:szCs w:val="20"/>
        </w:rPr>
        <w:t xml:space="preserve"> co-infection in relation to marital status</w:t>
      </w:r>
    </w:p>
    <w:tbl>
      <w:tblPr>
        <w:tblStyle w:val="TableGrid"/>
        <w:tblW w:w="93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9"/>
        <w:gridCol w:w="2954"/>
        <w:gridCol w:w="3425"/>
      </w:tblGrid>
      <w:tr w:rsidR="007333E1" w14:paraId="047812E6" w14:textId="77777777">
        <w:trPr>
          <w:trHeight w:val="90"/>
          <w:jc w:val="center"/>
        </w:trPr>
        <w:tc>
          <w:tcPr>
            <w:tcW w:w="2959" w:type="dxa"/>
            <w:tcBorders>
              <w:bottom w:val="single" w:sz="4" w:space="0" w:color="auto"/>
            </w:tcBorders>
          </w:tcPr>
          <w:p w14:paraId="411C95E0" w14:textId="77777777" w:rsidR="007333E1" w:rsidRDefault="00C8585E">
            <w:pPr>
              <w:pStyle w:val="NormalWeb"/>
              <w:snapToGrid w:val="0"/>
              <w:spacing w:before="0" w:beforeAutospacing="0" w:afterAutospacing="0"/>
              <w:jc w:val="both"/>
              <w:rPr>
                <w:b/>
                <w:sz w:val="20"/>
                <w:szCs w:val="20"/>
              </w:rPr>
            </w:pPr>
            <w:r>
              <w:rPr>
                <w:b/>
                <w:sz w:val="20"/>
                <w:szCs w:val="20"/>
              </w:rPr>
              <w:t>Marital status</w:t>
            </w:r>
          </w:p>
        </w:tc>
        <w:tc>
          <w:tcPr>
            <w:tcW w:w="2954" w:type="dxa"/>
            <w:tcBorders>
              <w:bottom w:val="single" w:sz="4" w:space="0" w:color="auto"/>
            </w:tcBorders>
          </w:tcPr>
          <w:p w14:paraId="00AE7BE2" w14:textId="77777777" w:rsidR="007333E1" w:rsidRDefault="00C8585E">
            <w:pPr>
              <w:pStyle w:val="NormalWeb"/>
              <w:snapToGrid w:val="0"/>
              <w:spacing w:before="0" w:beforeAutospacing="0" w:afterAutospacing="0"/>
              <w:jc w:val="both"/>
              <w:rPr>
                <w:b/>
                <w:sz w:val="20"/>
                <w:szCs w:val="20"/>
              </w:rPr>
            </w:pPr>
            <w:r>
              <w:rPr>
                <w:b/>
                <w:sz w:val="20"/>
                <w:szCs w:val="20"/>
              </w:rPr>
              <w:t>No. Tested (%)</w:t>
            </w:r>
          </w:p>
        </w:tc>
        <w:tc>
          <w:tcPr>
            <w:tcW w:w="3425" w:type="dxa"/>
            <w:tcBorders>
              <w:bottom w:val="single" w:sz="4" w:space="0" w:color="auto"/>
            </w:tcBorders>
          </w:tcPr>
          <w:p w14:paraId="40D347D8" w14:textId="77777777" w:rsidR="007333E1" w:rsidRDefault="00C8585E">
            <w:pPr>
              <w:pStyle w:val="NormalWeb"/>
              <w:snapToGrid w:val="0"/>
              <w:spacing w:before="0" w:beforeAutospacing="0" w:afterAutospacing="0"/>
              <w:jc w:val="both"/>
              <w:rPr>
                <w:b/>
                <w:sz w:val="20"/>
                <w:szCs w:val="20"/>
              </w:rPr>
            </w:pPr>
            <w:r>
              <w:rPr>
                <w:b/>
                <w:sz w:val="20"/>
                <w:szCs w:val="20"/>
              </w:rPr>
              <w:t>HIV/</w:t>
            </w:r>
            <w:r>
              <w:rPr>
                <w:b/>
                <w:i/>
                <w:sz w:val="20"/>
                <w:szCs w:val="20"/>
              </w:rPr>
              <w:t>H. pylori</w:t>
            </w:r>
            <w:r>
              <w:rPr>
                <w:b/>
                <w:sz w:val="20"/>
                <w:szCs w:val="20"/>
              </w:rPr>
              <w:t xml:space="preserve"> </w:t>
            </w:r>
            <w:r>
              <w:rPr>
                <w:b/>
                <w:i/>
                <w:sz w:val="20"/>
                <w:szCs w:val="20"/>
              </w:rPr>
              <w:t>Co-infection</w:t>
            </w:r>
            <w:r>
              <w:rPr>
                <w:b/>
                <w:sz w:val="20"/>
                <w:szCs w:val="20"/>
              </w:rPr>
              <w:t xml:space="preserve"> (%)</w:t>
            </w:r>
          </w:p>
        </w:tc>
      </w:tr>
      <w:tr w:rsidR="007333E1" w14:paraId="644EB6F7" w14:textId="77777777">
        <w:trPr>
          <w:trHeight w:val="90"/>
          <w:jc w:val="center"/>
        </w:trPr>
        <w:tc>
          <w:tcPr>
            <w:tcW w:w="2959" w:type="dxa"/>
            <w:tcBorders>
              <w:bottom w:val="nil"/>
            </w:tcBorders>
          </w:tcPr>
          <w:p w14:paraId="0D79AFF0" w14:textId="77777777" w:rsidR="007333E1" w:rsidRDefault="00C8585E">
            <w:pPr>
              <w:pStyle w:val="NormalWeb"/>
              <w:snapToGrid w:val="0"/>
              <w:spacing w:before="0" w:beforeAutospacing="0" w:afterAutospacing="0"/>
              <w:jc w:val="both"/>
              <w:rPr>
                <w:b/>
                <w:sz w:val="20"/>
                <w:szCs w:val="20"/>
              </w:rPr>
            </w:pPr>
            <w:r>
              <w:rPr>
                <w:b/>
                <w:sz w:val="20"/>
                <w:szCs w:val="20"/>
              </w:rPr>
              <w:t>Single</w:t>
            </w:r>
          </w:p>
        </w:tc>
        <w:tc>
          <w:tcPr>
            <w:tcW w:w="2954" w:type="dxa"/>
            <w:tcBorders>
              <w:bottom w:val="nil"/>
            </w:tcBorders>
          </w:tcPr>
          <w:p w14:paraId="105F4E60" w14:textId="77777777" w:rsidR="007333E1" w:rsidRDefault="00C8585E">
            <w:pPr>
              <w:pStyle w:val="NormalWeb"/>
              <w:snapToGrid w:val="0"/>
              <w:spacing w:before="0" w:beforeAutospacing="0" w:afterAutospacing="0"/>
              <w:jc w:val="both"/>
              <w:rPr>
                <w:b/>
                <w:sz w:val="20"/>
                <w:szCs w:val="20"/>
              </w:rPr>
            </w:pPr>
            <w:r>
              <w:rPr>
                <w:b/>
                <w:sz w:val="20"/>
                <w:szCs w:val="20"/>
              </w:rPr>
              <w:t>77(77.0)</w:t>
            </w:r>
          </w:p>
        </w:tc>
        <w:tc>
          <w:tcPr>
            <w:tcW w:w="3425" w:type="dxa"/>
            <w:tcBorders>
              <w:bottom w:val="nil"/>
            </w:tcBorders>
          </w:tcPr>
          <w:p w14:paraId="334E7797" w14:textId="77777777" w:rsidR="007333E1" w:rsidRDefault="00C8585E">
            <w:pPr>
              <w:pStyle w:val="NormalWeb"/>
              <w:snapToGrid w:val="0"/>
              <w:spacing w:before="0" w:beforeAutospacing="0" w:afterAutospacing="0"/>
              <w:jc w:val="both"/>
              <w:rPr>
                <w:b/>
                <w:sz w:val="20"/>
                <w:szCs w:val="20"/>
              </w:rPr>
            </w:pPr>
            <w:r>
              <w:rPr>
                <w:b/>
                <w:sz w:val="20"/>
                <w:szCs w:val="20"/>
              </w:rPr>
              <w:t>2(2.6)</w:t>
            </w:r>
          </w:p>
        </w:tc>
      </w:tr>
      <w:tr w:rsidR="007333E1" w14:paraId="5F9F904A" w14:textId="77777777">
        <w:trPr>
          <w:trHeight w:val="90"/>
          <w:jc w:val="center"/>
        </w:trPr>
        <w:tc>
          <w:tcPr>
            <w:tcW w:w="2959" w:type="dxa"/>
            <w:tcBorders>
              <w:top w:val="nil"/>
              <w:bottom w:val="single" w:sz="4" w:space="0" w:color="auto"/>
            </w:tcBorders>
          </w:tcPr>
          <w:p w14:paraId="3ACE1D23" w14:textId="77777777" w:rsidR="007333E1" w:rsidRDefault="00C8585E">
            <w:pPr>
              <w:pStyle w:val="NormalWeb"/>
              <w:snapToGrid w:val="0"/>
              <w:spacing w:before="0" w:beforeAutospacing="0" w:afterAutospacing="0"/>
              <w:jc w:val="both"/>
              <w:rPr>
                <w:b/>
                <w:sz w:val="20"/>
                <w:szCs w:val="20"/>
              </w:rPr>
            </w:pPr>
            <w:r>
              <w:rPr>
                <w:b/>
                <w:sz w:val="20"/>
                <w:szCs w:val="20"/>
              </w:rPr>
              <w:t>Married</w:t>
            </w:r>
          </w:p>
        </w:tc>
        <w:tc>
          <w:tcPr>
            <w:tcW w:w="2954" w:type="dxa"/>
            <w:tcBorders>
              <w:top w:val="nil"/>
              <w:bottom w:val="single" w:sz="4" w:space="0" w:color="auto"/>
            </w:tcBorders>
          </w:tcPr>
          <w:p w14:paraId="1040A7C7" w14:textId="77777777" w:rsidR="007333E1" w:rsidRDefault="00C8585E">
            <w:pPr>
              <w:pStyle w:val="NormalWeb"/>
              <w:snapToGrid w:val="0"/>
              <w:spacing w:before="0" w:beforeAutospacing="0" w:afterAutospacing="0"/>
              <w:jc w:val="both"/>
              <w:rPr>
                <w:b/>
                <w:sz w:val="20"/>
                <w:szCs w:val="20"/>
              </w:rPr>
            </w:pPr>
            <w:r>
              <w:rPr>
                <w:b/>
                <w:sz w:val="20"/>
                <w:szCs w:val="20"/>
              </w:rPr>
              <w:t>23(23.0)</w:t>
            </w:r>
          </w:p>
        </w:tc>
        <w:tc>
          <w:tcPr>
            <w:tcW w:w="3425" w:type="dxa"/>
            <w:tcBorders>
              <w:top w:val="nil"/>
              <w:bottom w:val="single" w:sz="4" w:space="0" w:color="auto"/>
            </w:tcBorders>
          </w:tcPr>
          <w:p w14:paraId="1B712B87" w14:textId="77777777" w:rsidR="007333E1" w:rsidRDefault="00C8585E">
            <w:pPr>
              <w:pStyle w:val="NormalWeb"/>
              <w:snapToGrid w:val="0"/>
              <w:spacing w:before="0" w:beforeAutospacing="0" w:afterAutospacing="0"/>
              <w:jc w:val="both"/>
              <w:rPr>
                <w:b/>
                <w:sz w:val="20"/>
                <w:szCs w:val="20"/>
              </w:rPr>
            </w:pPr>
            <w:r>
              <w:rPr>
                <w:b/>
                <w:sz w:val="20"/>
                <w:szCs w:val="20"/>
              </w:rPr>
              <w:t>0(0.0)</w:t>
            </w:r>
          </w:p>
        </w:tc>
      </w:tr>
      <w:tr w:rsidR="007333E1" w14:paraId="43E67BEF" w14:textId="77777777">
        <w:trPr>
          <w:trHeight w:val="90"/>
          <w:jc w:val="center"/>
        </w:trPr>
        <w:tc>
          <w:tcPr>
            <w:tcW w:w="2959" w:type="dxa"/>
            <w:tcBorders>
              <w:top w:val="single" w:sz="4" w:space="0" w:color="auto"/>
            </w:tcBorders>
          </w:tcPr>
          <w:p w14:paraId="076F5435" w14:textId="77777777" w:rsidR="007333E1" w:rsidRDefault="00C8585E">
            <w:pPr>
              <w:pStyle w:val="NormalWeb"/>
              <w:snapToGrid w:val="0"/>
              <w:spacing w:before="0" w:beforeAutospacing="0" w:afterAutospacing="0"/>
              <w:jc w:val="both"/>
              <w:rPr>
                <w:b/>
                <w:sz w:val="20"/>
                <w:szCs w:val="20"/>
              </w:rPr>
            </w:pPr>
            <w:r>
              <w:rPr>
                <w:b/>
                <w:sz w:val="20"/>
                <w:szCs w:val="20"/>
              </w:rPr>
              <w:t>Total</w:t>
            </w:r>
          </w:p>
        </w:tc>
        <w:tc>
          <w:tcPr>
            <w:tcW w:w="2954" w:type="dxa"/>
            <w:tcBorders>
              <w:top w:val="single" w:sz="4" w:space="0" w:color="auto"/>
            </w:tcBorders>
          </w:tcPr>
          <w:p w14:paraId="54FE2941" w14:textId="77777777" w:rsidR="007333E1" w:rsidRDefault="00C8585E">
            <w:pPr>
              <w:pStyle w:val="NormalWeb"/>
              <w:snapToGrid w:val="0"/>
              <w:spacing w:before="0" w:beforeAutospacing="0" w:afterAutospacing="0"/>
              <w:jc w:val="both"/>
              <w:rPr>
                <w:b/>
                <w:sz w:val="20"/>
                <w:szCs w:val="20"/>
              </w:rPr>
            </w:pPr>
            <w:r>
              <w:rPr>
                <w:b/>
                <w:sz w:val="20"/>
                <w:szCs w:val="20"/>
              </w:rPr>
              <w:t>100 (100)</w:t>
            </w:r>
          </w:p>
        </w:tc>
        <w:tc>
          <w:tcPr>
            <w:tcW w:w="3425" w:type="dxa"/>
            <w:tcBorders>
              <w:top w:val="single" w:sz="4" w:space="0" w:color="auto"/>
            </w:tcBorders>
          </w:tcPr>
          <w:p w14:paraId="35817EB3" w14:textId="77777777" w:rsidR="007333E1" w:rsidRDefault="00C8585E">
            <w:pPr>
              <w:pStyle w:val="NormalWeb"/>
              <w:snapToGrid w:val="0"/>
              <w:spacing w:before="0" w:beforeAutospacing="0" w:afterAutospacing="0"/>
              <w:jc w:val="both"/>
              <w:rPr>
                <w:b/>
                <w:sz w:val="20"/>
                <w:szCs w:val="20"/>
              </w:rPr>
            </w:pPr>
            <w:r>
              <w:rPr>
                <w:b/>
                <w:sz w:val="20"/>
                <w:szCs w:val="20"/>
              </w:rPr>
              <w:t>2(2.0)</w:t>
            </w:r>
          </w:p>
        </w:tc>
      </w:tr>
    </w:tbl>
    <w:p w14:paraId="7C2D50AB" w14:textId="77777777" w:rsidR="007333E1" w:rsidRDefault="007333E1">
      <w:pPr>
        <w:snapToGrid w:val="0"/>
        <w:spacing w:after="0" w:line="240" w:lineRule="auto"/>
        <w:contextualSpacing/>
        <w:jc w:val="both"/>
        <w:rPr>
          <w:rFonts w:ascii="Times New Roman" w:hAnsi="Times New Roman" w:cs="Times New Roman"/>
          <w:b/>
          <w:sz w:val="20"/>
          <w:szCs w:val="20"/>
        </w:rPr>
      </w:pPr>
    </w:p>
    <w:p w14:paraId="717CAFF2" w14:textId="77777777" w:rsidR="007333E1" w:rsidRDefault="007333E1">
      <w:pPr>
        <w:snapToGrid w:val="0"/>
        <w:spacing w:after="0" w:line="240" w:lineRule="auto"/>
        <w:contextualSpacing/>
        <w:jc w:val="both"/>
        <w:rPr>
          <w:rFonts w:ascii="Times New Roman" w:hAnsi="Times New Roman" w:cs="Times New Roman"/>
          <w:b/>
          <w:sz w:val="20"/>
          <w:szCs w:val="20"/>
        </w:rPr>
        <w:sectPr w:rsidR="007333E1">
          <w:type w:val="continuous"/>
          <w:pgSz w:w="12240" w:h="15839"/>
          <w:pgMar w:top="1440" w:right="1440" w:bottom="1440" w:left="1440" w:header="720" w:footer="720" w:gutter="0"/>
          <w:cols w:space="720"/>
          <w:docGrid w:linePitch="360"/>
        </w:sectPr>
      </w:pPr>
    </w:p>
    <w:p w14:paraId="5776D29F"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rPr>
        <w:t xml:space="preserve">3.2 Prevalence of </w:t>
      </w:r>
      <w:r>
        <w:rPr>
          <w:rFonts w:ascii="Times New Roman" w:hAnsi="Times New Roman" w:cs="Times New Roman"/>
          <w:b/>
          <w:bCs/>
          <w:iCs/>
          <w:sz w:val="20"/>
          <w:szCs w:val="20"/>
        </w:rPr>
        <w:t>HIV/</w:t>
      </w:r>
      <w:r>
        <w:rPr>
          <w:rFonts w:ascii="Times New Roman" w:hAnsi="Times New Roman" w:cs="Times New Roman"/>
          <w:b/>
          <w:bCs/>
          <w:i/>
          <w:iCs/>
          <w:sz w:val="20"/>
          <w:szCs w:val="20"/>
        </w:rPr>
        <w:t xml:space="preserve"> H. pylori</w:t>
      </w:r>
      <w:r>
        <w:rPr>
          <w:rFonts w:ascii="Times New Roman" w:hAnsi="Times New Roman" w:cs="Times New Roman"/>
          <w:b/>
          <w:bCs/>
          <w:iCs/>
          <w:sz w:val="20"/>
          <w:szCs w:val="20"/>
        </w:rPr>
        <w:t xml:space="preserve"> </w:t>
      </w:r>
      <w:r>
        <w:rPr>
          <w:rFonts w:ascii="Times New Roman" w:hAnsi="Times New Roman" w:cs="Times New Roman"/>
          <w:b/>
          <w:sz w:val="20"/>
          <w:szCs w:val="20"/>
        </w:rPr>
        <w:t>co-infection in relation to marital status</w:t>
      </w:r>
    </w:p>
    <w:p w14:paraId="047AF369"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Seventy-seven (77) serum of the 100 tested participants was single, of these, 2(2.6%) tested positive to the co-infection of </w:t>
      </w:r>
      <w:r>
        <w:rPr>
          <w:rFonts w:ascii="Times New Roman" w:hAnsi="Times New Roman" w:cs="Times New Roman"/>
          <w:i/>
          <w:sz w:val="20"/>
          <w:szCs w:val="20"/>
        </w:rPr>
        <w:t xml:space="preserve">H. pylori </w:t>
      </w:r>
      <w:r>
        <w:rPr>
          <w:rFonts w:ascii="Times New Roman" w:hAnsi="Times New Roman" w:cs="Times New Roman"/>
          <w:sz w:val="20"/>
          <w:szCs w:val="20"/>
        </w:rPr>
        <w:t xml:space="preserve">and HIV. Twenty-three were married from which none was positive for HIV though, a few were positive for </w:t>
      </w:r>
      <w:r>
        <w:rPr>
          <w:rFonts w:ascii="Times New Roman" w:hAnsi="Times New Roman" w:cs="Times New Roman"/>
          <w:i/>
          <w:sz w:val="20"/>
          <w:szCs w:val="20"/>
        </w:rPr>
        <w:t>H. pylori</w:t>
      </w:r>
      <w:r>
        <w:rPr>
          <w:rFonts w:ascii="Times New Roman" w:hAnsi="Times New Roman" w:cs="Times New Roman"/>
          <w:sz w:val="20"/>
          <w:szCs w:val="20"/>
        </w:rPr>
        <w:t xml:space="preserve"> antibodies as seen in Table 2.</w:t>
      </w:r>
    </w:p>
    <w:p w14:paraId="7BD8A7DB" w14:textId="77777777" w:rsidR="007333E1" w:rsidRDefault="00C8585E">
      <w:pPr>
        <w:snapToGrid w:val="0"/>
        <w:spacing w:after="0" w:line="240" w:lineRule="auto"/>
        <w:contextualSpacing/>
        <w:jc w:val="both"/>
        <w:rPr>
          <w:rFonts w:ascii="Times New Roman" w:hAnsi="Times New Roman" w:cs="Times New Roman"/>
          <w:b/>
          <w:i/>
          <w:sz w:val="20"/>
          <w:szCs w:val="20"/>
        </w:rPr>
      </w:pPr>
      <w:r>
        <w:rPr>
          <w:rFonts w:ascii="Times New Roman" w:hAnsi="Times New Roman" w:cs="Times New Roman"/>
          <w:b/>
          <w:sz w:val="20"/>
          <w:szCs w:val="20"/>
        </w:rPr>
        <w:t>3.3 Prevalence in relation to sex</w:t>
      </w:r>
    </w:p>
    <w:p w14:paraId="1140D655" w14:textId="0A6EA081" w:rsidR="007333E1" w:rsidRDefault="00C8585E" w:rsidP="00067D8C">
      <w:pPr>
        <w:snapToGrid w:val="0"/>
        <w:spacing w:after="0" w:line="240" w:lineRule="auto"/>
        <w:ind w:firstLine="720"/>
        <w:contextualSpacing/>
        <w:jc w:val="both"/>
        <w:rPr>
          <w:rFonts w:ascii="Times New Roman" w:hAnsi="Times New Roman" w:cs="Times New Roman"/>
          <w:b/>
          <w:sz w:val="20"/>
          <w:szCs w:val="20"/>
        </w:rPr>
      </w:pPr>
      <w:r>
        <w:rPr>
          <w:rFonts w:ascii="Times New Roman" w:hAnsi="Times New Roman" w:cs="Times New Roman"/>
          <w:sz w:val="20"/>
          <w:szCs w:val="20"/>
        </w:rPr>
        <w:t>Forty-two (42) of the 100 tested samples were male, out of which a coinfection of 2.4% was reported and 58 were female, out of which 1(1.7%) tested positive to HIV/</w:t>
      </w:r>
      <w:r>
        <w:rPr>
          <w:rFonts w:ascii="Times New Roman" w:hAnsi="Times New Roman" w:cs="Times New Roman"/>
          <w:i/>
          <w:sz w:val="20"/>
          <w:szCs w:val="20"/>
        </w:rPr>
        <w:t>H. pylori</w:t>
      </w:r>
      <w:r>
        <w:rPr>
          <w:rFonts w:ascii="Times New Roman" w:hAnsi="Times New Roman" w:cs="Times New Roman"/>
          <w:sz w:val="20"/>
          <w:szCs w:val="20"/>
        </w:rPr>
        <w:t xml:space="preserve"> antibodies as sh</w:t>
      </w:r>
      <w:r>
        <w:rPr>
          <w:rFonts w:ascii="Times New Roman" w:hAnsi="Times New Roman" w:cs="Times New Roman"/>
          <w:sz w:val="20"/>
          <w:szCs w:val="20"/>
        </w:rPr>
        <w:t>own in Table 3.</w:t>
      </w:r>
    </w:p>
    <w:p w14:paraId="7F6B2CA1" w14:textId="77777777" w:rsidR="007333E1" w:rsidRDefault="007333E1">
      <w:pPr>
        <w:snapToGrid w:val="0"/>
        <w:spacing w:after="0" w:line="240" w:lineRule="auto"/>
        <w:contextualSpacing/>
        <w:jc w:val="both"/>
        <w:rPr>
          <w:rFonts w:ascii="Times New Roman" w:hAnsi="Times New Roman" w:cs="Times New Roman"/>
          <w:b/>
          <w:sz w:val="20"/>
          <w:szCs w:val="20"/>
        </w:rPr>
        <w:sectPr w:rsidR="007333E1">
          <w:type w:val="continuous"/>
          <w:pgSz w:w="12240" w:h="15839"/>
          <w:pgMar w:top="1440" w:right="1440" w:bottom="1440" w:left="1440" w:header="720" w:footer="720" w:gutter="0"/>
          <w:cols w:num="2" w:space="720"/>
          <w:docGrid w:linePitch="360"/>
        </w:sectPr>
      </w:pPr>
    </w:p>
    <w:p w14:paraId="4D9C0DB4" w14:textId="51101F32" w:rsidR="007333E1" w:rsidRDefault="007333E1">
      <w:pPr>
        <w:snapToGrid w:val="0"/>
        <w:spacing w:after="0" w:line="240" w:lineRule="auto"/>
        <w:contextualSpacing/>
        <w:jc w:val="both"/>
        <w:rPr>
          <w:rFonts w:ascii="Times New Roman" w:hAnsi="Times New Roman" w:cs="Times New Roman"/>
          <w:b/>
          <w:sz w:val="20"/>
          <w:szCs w:val="20"/>
        </w:rPr>
      </w:pPr>
    </w:p>
    <w:p w14:paraId="7289B30D" w14:textId="77777777" w:rsidR="00067D8C" w:rsidRDefault="00067D8C">
      <w:pPr>
        <w:snapToGrid w:val="0"/>
        <w:spacing w:after="0" w:line="240" w:lineRule="auto"/>
        <w:contextualSpacing/>
        <w:jc w:val="both"/>
        <w:rPr>
          <w:rFonts w:ascii="Times New Roman" w:hAnsi="Times New Roman" w:cs="Times New Roman"/>
          <w:b/>
          <w:sz w:val="20"/>
          <w:szCs w:val="20"/>
        </w:rPr>
      </w:pPr>
    </w:p>
    <w:p w14:paraId="76C69DE9"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rPr>
        <w:t xml:space="preserve">Table 3: Prevalence of </w:t>
      </w:r>
      <w:r>
        <w:rPr>
          <w:rFonts w:ascii="Times New Roman" w:hAnsi="Times New Roman" w:cs="Times New Roman"/>
          <w:b/>
          <w:bCs/>
          <w:iCs/>
          <w:sz w:val="20"/>
          <w:szCs w:val="20"/>
        </w:rPr>
        <w:t>HIV/</w:t>
      </w:r>
      <w:r>
        <w:rPr>
          <w:rFonts w:ascii="Times New Roman" w:hAnsi="Times New Roman" w:cs="Times New Roman"/>
          <w:b/>
          <w:bCs/>
          <w:i/>
          <w:iCs/>
          <w:sz w:val="20"/>
          <w:szCs w:val="20"/>
        </w:rPr>
        <w:t xml:space="preserve"> H. pylori</w:t>
      </w:r>
      <w:r>
        <w:rPr>
          <w:rFonts w:ascii="Times New Roman" w:hAnsi="Times New Roman" w:cs="Times New Roman"/>
          <w:b/>
          <w:bCs/>
          <w:iCs/>
          <w:sz w:val="20"/>
          <w:szCs w:val="20"/>
        </w:rPr>
        <w:t xml:space="preserve"> coinfection </w:t>
      </w:r>
      <w:r>
        <w:rPr>
          <w:rFonts w:ascii="Times New Roman" w:hAnsi="Times New Roman" w:cs="Times New Roman"/>
          <w:b/>
          <w:sz w:val="20"/>
          <w:szCs w:val="20"/>
        </w:rPr>
        <w:t>in relation to sex</w:t>
      </w:r>
    </w:p>
    <w:tbl>
      <w:tblPr>
        <w:tblW w:w="9358"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071"/>
        <w:gridCol w:w="2777"/>
        <w:gridCol w:w="3510"/>
      </w:tblGrid>
      <w:tr w:rsidR="007333E1" w14:paraId="208BE6BB" w14:textId="77777777">
        <w:trPr>
          <w:trHeight w:val="255"/>
          <w:jc w:val="center"/>
        </w:trPr>
        <w:tc>
          <w:tcPr>
            <w:tcW w:w="3071" w:type="dxa"/>
            <w:tcBorders>
              <w:top w:val="single" w:sz="4" w:space="0" w:color="auto"/>
              <w:bottom w:val="single" w:sz="4" w:space="0" w:color="auto"/>
            </w:tcBorders>
            <w:shd w:val="clear" w:color="auto" w:fill="auto"/>
            <w:tcMar>
              <w:top w:w="19" w:type="dxa"/>
              <w:left w:w="108" w:type="dxa"/>
              <w:bottom w:w="0" w:type="dxa"/>
              <w:right w:w="108" w:type="dxa"/>
            </w:tcMar>
          </w:tcPr>
          <w:p w14:paraId="3CA4E696"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Sex</w:t>
            </w:r>
            <w:r>
              <w:rPr>
                <w:rFonts w:ascii="Times New Roman" w:hAnsi="Times New Roman" w:cs="Times New Roman"/>
                <w:sz w:val="20"/>
                <w:szCs w:val="20"/>
              </w:rPr>
              <w:t xml:space="preserve"> </w:t>
            </w:r>
          </w:p>
        </w:tc>
        <w:tc>
          <w:tcPr>
            <w:tcW w:w="2777" w:type="dxa"/>
            <w:tcBorders>
              <w:top w:val="single" w:sz="4" w:space="0" w:color="auto"/>
              <w:bottom w:val="single" w:sz="4" w:space="0" w:color="auto"/>
            </w:tcBorders>
            <w:shd w:val="clear" w:color="auto" w:fill="auto"/>
            <w:tcMar>
              <w:top w:w="19" w:type="dxa"/>
              <w:left w:w="108" w:type="dxa"/>
              <w:bottom w:w="0" w:type="dxa"/>
              <w:right w:w="108" w:type="dxa"/>
            </w:tcMar>
          </w:tcPr>
          <w:p w14:paraId="1D2ED48C"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No. Tested (%)</w:t>
            </w:r>
            <w:r>
              <w:rPr>
                <w:rFonts w:ascii="Times New Roman" w:hAnsi="Times New Roman" w:cs="Times New Roman"/>
                <w:sz w:val="20"/>
                <w:szCs w:val="20"/>
              </w:rPr>
              <w:t xml:space="preserve"> </w:t>
            </w:r>
          </w:p>
        </w:tc>
        <w:tc>
          <w:tcPr>
            <w:tcW w:w="3510" w:type="dxa"/>
            <w:tcBorders>
              <w:top w:val="single" w:sz="4" w:space="0" w:color="auto"/>
              <w:bottom w:val="single" w:sz="4" w:space="0" w:color="auto"/>
            </w:tcBorders>
            <w:shd w:val="clear" w:color="auto" w:fill="auto"/>
            <w:tcMar>
              <w:top w:w="19" w:type="dxa"/>
              <w:left w:w="108" w:type="dxa"/>
              <w:bottom w:w="0" w:type="dxa"/>
              <w:right w:w="108" w:type="dxa"/>
            </w:tcMar>
          </w:tcPr>
          <w:p w14:paraId="289CC059"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HIV/</w:t>
            </w:r>
            <w:r>
              <w:rPr>
                <w:rFonts w:ascii="Times New Roman" w:hAnsi="Times New Roman" w:cs="Times New Roman"/>
                <w:b/>
                <w:bCs/>
                <w:i/>
                <w:iCs/>
                <w:sz w:val="20"/>
                <w:szCs w:val="20"/>
              </w:rPr>
              <w:t>H. pylori</w:t>
            </w:r>
            <w:r>
              <w:rPr>
                <w:rFonts w:ascii="Times New Roman" w:hAnsi="Times New Roman" w:cs="Times New Roman"/>
                <w:b/>
                <w:bCs/>
                <w:sz w:val="20"/>
                <w:szCs w:val="20"/>
              </w:rPr>
              <w:t xml:space="preserve"> Co-infection</w:t>
            </w:r>
            <w:r>
              <w:rPr>
                <w:rFonts w:ascii="Times New Roman" w:hAnsi="Times New Roman" w:cs="Times New Roman"/>
                <w:sz w:val="20"/>
                <w:szCs w:val="20"/>
              </w:rPr>
              <w:t xml:space="preserve"> (%)</w:t>
            </w:r>
          </w:p>
        </w:tc>
      </w:tr>
      <w:tr w:rsidR="007333E1" w14:paraId="788B1646" w14:textId="77777777">
        <w:trPr>
          <w:trHeight w:val="255"/>
          <w:jc w:val="center"/>
        </w:trPr>
        <w:tc>
          <w:tcPr>
            <w:tcW w:w="3071" w:type="dxa"/>
            <w:tcBorders>
              <w:top w:val="single" w:sz="4" w:space="0" w:color="auto"/>
              <w:bottom w:val="nil"/>
            </w:tcBorders>
            <w:shd w:val="clear" w:color="auto" w:fill="auto"/>
            <w:tcMar>
              <w:top w:w="19" w:type="dxa"/>
              <w:left w:w="108" w:type="dxa"/>
              <w:bottom w:w="0" w:type="dxa"/>
              <w:right w:w="108" w:type="dxa"/>
            </w:tcMar>
          </w:tcPr>
          <w:p w14:paraId="321F69F4"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Males </w:t>
            </w:r>
          </w:p>
        </w:tc>
        <w:tc>
          <w:tcPr>
            <w:tcW w:w="2777" w:type="dxa"/>
            <w:tcBorders>
              <w:top w:val="single" w:sz="4" w:space="0" w:color="auto"/>
              <w:bottom w:val="nil"/>
            </w:tcBorders>
            <w:shd w:val="clear" w:color="auto" w:fill="auto"/>
            <w:tcMar>
              <w:top w:w="19" w:type="dxa"/>
              <w:left w:w="108" w:type="dxa"/>
              <w:bottom w:w="0" w:type="dxa"/>
              <w:right w:w="108" w:type="dxa"/>
            </w:tcMar>
          </w:tcPr>
          <w:p w14:paraId="7A307D32"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42(42.0) </w:t>
            </w:r>
          </w:p>
        </w:tc>
        <w:tc>
          <w:tcPr>
            <w:tcW w:w="3510" w:type="dxa"/>
            <w:tcBorders>
              <w:top w:val="single" w:sz="4" w:space="0" w:color="auto"/>
              <w:bottom w:val="nil"/>
            </w:tcBorders>
            <w:shd w:val="clear" w:color="auto" w:fill="auto"/>
            <w:tcMar>
              <w:top w:w="19" w:type="dxa"/>
              <w:left w:w="108" w:type="dxa"/>
              <w:bottom w:w="0" w:type="dxa"/>
              <w:right w:w="108" w:type="dxa"/>
            </w:tcMar>
          </w:tcPr>
          <w:p w14:paraId="313FD2EA"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1(2.4) </w:t>
            </w:r>
          </w:p>
        </w:tc>
      </w:tr>
      <w:tr w:rsidR="007333E1" w14:paraId="38135817" w14:textId="77777777">
        <w:trPr>
          <w:trHeight w:val="245"/>
          <w:jc w:val="center"/>
        </w:trPr>
        <w:tc>
          <w:tcPr>
            <w:tcW w:w="3071" w:type="dxa"/>
            <w:tcBorders>
              <w:top w:val="nil"/>
              <w:bottom w:val="single" w:sz="4" w:space="0" w:color="auto"/>
            </w:tcBorders>
            <w:shd w:val="clear" w:color="auto" w:fill="auto"/>
            <w:tcMar>
              <w:top w:w="19" w:type="dxa"/>
              <w:left w:w="108" w:type="dxa"/>
              <w:bottom w:w="0" w:type="dxa"/>
              <w:right w:w="108" w:type="dxa"/>
            </w:tcMar>
          </w:tcPr>
          <w:p w14:paraId="0AE26F46"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Females </w:t>
            </w:r>
          </w:p>
        </w:tc>
        <w:tc>
          <w:tcPr>
            <w:tcW w:w="2777" w:type="dxa"/>
            <w:tcBorders>
              <w:top w:val="nil"/>
              <w:bottom w:val="single" w:sz="4" w:space="0" w:color="auto"/>
            </w:tcBorders>
            <w:shd w:val="clear" w:color="auto" w:fill="auto"/>
            <w:tcMar>
              <w:top w:w="19" w:type="dxa"/>
              <w:left w:w="108" w:type="dxa"/>
              <w:bottom w:w="0" w:type="dxa"/>
              <w:right w:w="108" w:type="dxa"/>
            </w:tcMar>
          </w:tcPr>
          <w:p w14:paraId="2BD37D03"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58(58.0) </w:t>
            </w:r>
          </w:p>
        </w:tc>
        <w:tc>
          <w:tcPr>
            <w:tcW w:w="3510" w:type="dxa"/>
            <w:tcBorders>
              <w:top w:val="nil"/>
              <w:bottom w:val="single" w:sz="4" w:space="0" w:color="auto"/>
            </w:tcBorders>
            <w:shd w:val="clear" w:color="auto" w:fill="auto"/>
            <w:tcMar>
              <w:top w:w="19" w:type="dxa"/>
              <w:left w:w="108" w:type="dxa"/>
              <w:bottom w:w="0" w:type="dxa"/>
              <w:right w:w="108" w:type="dxa"/>
            </w:tcMar>
          </w:tcPr>
          <w:p w14:paraId="6B6FB8D9"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1(1.7) </w:t>
            </w:r>
          </w:p>
        </w:tc>
      </w:tr>
      <w:tr w:rsidR="007333E1" w14:paraId="7E06ABE4" w14:textId="77777777">
        <w:trPr>
          <w:trHeight w:val="265"/>
          <w:jc w:val="center"/>
        </w:trPr>
        <w:tc>
          <w:tcPr>
            <w:tcW w:w="3071" w:type="dxa"/>
            <w:tcBorders>
              <w:top w:val="single" w:sz="4" w:space="0" w:color="auto"/>
            </w:tcBorders>
            <w:shd w:val="clear" w:color="auto" w:fill="auto"/>
            <w:tcMar>
              <w:top w:w="19" w:type="dxa"/>
              <w:left w:w="108" w:type="dxa"/>
              <w:bottom w:w="0" w:type="dxa"/>
              <w:right w:w="108" w:type="dxa"/>
            </w:tcMar>
          </w:tcPr>
          <w:p w14:paraId="59273C8D"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Total</w:t>
            </w:r>
            <w:r>
              <w:rPr>
                <w:rFonts w:ascii="Times New Roman" w:hAnsi="Times New Roman" w:cs="Times New Roman"/>
                <w:sz w:val="20"/>
                <w:szCs w:val="20"/>
              </w:rPr>
              <w:t xml:space="preserve"> </w:t>
            </w:r>
          </w:p>
        </w:tc>
        <w:tc>
          <w:tcPr>
            <w:tcW w:w="2777" w:type="dxa"/>
            <w:tcBorders>
              <w:top w:val="single" w:sz="4" w:space="0" w:color="auto"/>
            </w:tcBorders>
            <w:shd w:val="clear" w:color="auto" w:fill="auto"/>
            <w:tcMar>
              <w:top w:w="19" w:type="dxa"/>
              <w:left w:w="108" w:type="dxa"/>
              <w:bottom w:w="0" w:type="dxa"/>
              <w:right w:w="108" w:type="dxa"/>
            </w:tcMar>
          </w:tcPr>
          <w:p w14:paraId="514AD107"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100(100.0)</w:t>
            </w:r>
            <w:r>
              <w:rPr>
                <w:rFonts w:ascii="Times New Roman" w:hAnsi="Times New Roman" w:cs="Times New Roman"/>
                <w:sz w:val="20"/>
                <w:szCs w:val="20"/>
              </w:rPr>
              <w:t xml:space="preserve"> </w:t>
            </w:r>
          </w:p>
        </w:tc>
        <w:tc>
          <w:tcPr>
            <w:tcW w:w="3510" w:type="dxa"/>
            <w:tcBorders>
              <w:top w:val="single" w:sz="4" w:space="0" w:color="auto"/>
            </w:tcBorders>
            <w:shd w:val="clear" w:color="auto" w:fill="auto"/>
            <w:tcMar>
              <w:top w:w="19" w:type="dxa"/>
              <w:left w:w="108" w:type="dxa"/>
              <w:bottom w:w="0" w:type="dxa"/>
              <w:right w:w="108" w:type="dxa"/>
            </w:tcMar>
          </w:tcPr>
          <w:p w14:paraId="3E41D149"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2(2.0)</w:t>
            </w:r>
            <w:r>
              <w:rPr>
                <w:rFonts w:ascii="Times New Roman" w:hAnsi="Times New Roman" w:cs="Times New Roman"/>
                <w:sz w:val="20"/>
                <w:szCs w:val="20"/>
              </w:rPr>
              <w:t xml:space="preserve"> </w:t>
            </w:r>
          </w:p>
        </w:tc>
      </w:tr>
    </w:tbl>
    <w:p w14:paraId="60FD49E1" w14:textId="77777777" w:rsidR="007333E1" w:rsidRDefault="007333E1">
      <w:pPr>
        <w:snapToGrid w:val="0"/>
        <w:spacing w:after="0" w:line="240" w:lineRule="auto"/>
        <w:ind w:firstLine="720"/>
        <w:contextualSpacing/>
        <w:jc w:val="both"/>
        <w:rPr>
          <w:rFonts w:ascii="Times New Roman" w:hAnsi="Times New Roman" w:cs="Times New Roman"/>
          <w:sz w:val="20"/>
          <w:szCs w:val="20"/>
        </w:rPr>
      </w:pPr>
    </w:p>
    <w:p w14:paraId="700826E9" w14:textId="77777777" w:rsidR="007333E1" w:rsidRDefault="007333E1">
      <w:pPr>
        <w:snapToGrid w:val="0"/>
        <w:spacing w:after="0" w:line="240" w:lineRule="auto"/>
        <w:contextualSpacing/>
        <w:jc w:val="both"/>
        <w:rPr>
          <w:rFonts w:ascii="Times New Roman" w:hAnsi="Times New Roman" w:cs="Times New Roman"/>
          <w:b/>
          <w:sz w:val="20"/>
          <w:szCs w:val="20"/>
        </w:rPr>
        <w:sectPr w:rsidR="007333E1">
          <w:type w:val="continuous"/>
          <w:pgSz w:w="12240" w:h="15839"/>
          <w:pgMar w:top="1440" w:right="1440" w:bottom="1440" w:left="1440" w:header="720" w:footer="720" w:gutter="0"/>
          <w:cols w:space="720"/>
          <w:docGrid w:linePitch="360"/>
        </w:sectPr>
      </w:pPr>
    </w:p>
    <w:p w14:paraId="03C9A140" w14:textId="77777777" w:rsidR="007333E1" w:rsidRDefault="00C8585E">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rPr>
        <w:t xml:space="preserve">4. Discussions </w:t>
      </w:r>
    </w:p>
    <w:p w14:paraId="693BB73D"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The International Agency for Research on Cancer (IARC) reported that </w:t>
      </w:r>
      <w:r>
        <w:rPr>
          <w:rFonts w:ascii="Times New Roman" w:hAnsi="Times New Roman" w:cs="Times New Roman"/>
          <w:i/>
          <w:sz w:val="20"/>
          <w:szCs w:val="20"/>
        </w:rPr>
        <w:t>H. pylori</w:t>
      </w:r>
      <w:r>
        <w:rPr>
          <w:rFonts w:ascii="Times New Roman" w:hAnsi="Times New Roman" w:cs="Times New Roman"/>
          <w:sz w:val="20"/>
          <w:szCs w:val="20"/>
        </w:rPr>
        <w:t xml:space="preserve"> are a type I carcinogen (Atlas, 1995; Magdy </w:t>
      </w:r>
      <w:r>
        <w:rPr>
          <w:rFonts w:ascii="Times New Roman" w:hAnsi="Times New Roman" w:cs="Times New Roman"/>
          <w:i/>
          <w:sz w:val="20"/>
          <w:szCs w:val="20"/>
        </w:rPr>
        <w:t xml:space="preserve">et al., </w:t>
      </w:r>
      <w:r>
        <w:rPr>
          <w:rFonts w:ascii="Times New Roman" w:hAnsi="Times New Roman" w:cs="Times New Roman"/>
          <w:sz w:val="20"/>
          <w:szCs w:val="20"/>
        </w:rPr>
        <w:t xml:space="preserve">2012; </w:t>
      </w:r>
      <w:proofErr w:type="spellStart"/>
      <w:r>
        <w:rPr>
          <w:rFonts w:ascii="Times New Roman" w:hAnsi="Times New Roman" w:cs="Times New Roman"/>
          <w:sz w:val="20"/>
          <w:szCs w:val="20"/>
        </w:rPr>
        <w:t>Abdolvahab</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et al., </w:t>
      </w:r>
      <w:r>
        <w:rPr>
          <w:rFonts w:ascii="Times New Roman" w:hAnsi="Times New Roman" w:cs="Times New Roman"/>
          <w:sz w:val="20"/>
          <w:szCs w:val="20"/>
        </w:rPr>
        <w:t xml:space="preserve">2006). This report was based on epidemiological evidence. It has been argued that </w:t>
      </w:r>
      <w:r>
        <w:rPr>
          <w:rFonts w:ascii="Times New Roman" w:hAnsi="Times New Roman" w:cs="Times New Roman"/>
          <w:i/>
          <w:sz w:val="20"/>
          <w:szCs w:val="20"/>
        </w:rPr>
        <w:t>H.</w:t>
      </w:r>
      <w:r>
        <w:rPr>
          <w:rFonts w:ascii="Times New Roman" w:hAnsi="Times New Roman" w:cs="Times New Roman"/>
          <w:i/>
          <w:sz w:val="20"/>
          <w:szCs w:val="20"/>
        </w:rPr>
        <w:t xml:space="preserve"> pylori</w:t>
      </w:r>
      <w:r>
        <w:rPr>
          <w:rFonts w:ascii="Times New Roman" w:hAnsi="Times New Roman" w:cs="Times New Roman"/>
          <w:sz w:val="20"/>
          <w:szCs w:val="20"/>
        </w:rPr>
        <w:t xml:space="preserve"> are only a risk factor in some regions. The study </w:t>
      </w:r>
      <w:proofErr w:type="spellStart"/>
      <w:r>
        <w:rPr>
          <w:rFonts w:ascii="Times New Roman" w:hAnsi="Times New Roman" w:cs="Times New Roman"/>
          <w:sz w:val="20"/>
          <w:szCs w:val="20"/>
        </w:rPr>
        <w:t>centred</w:t>
      </w:r>
      <w:proofErr w:type="spellEnd"/>
      <w:r>
        <w:rPr>
          <w:rFonts w:ascii="Times New Roman" w:hAnsi="Times New Roman" w:cs="Times New Roman"/>
          <w:sz w:val="20"/>
          <w:szCs w:val="20"/>
        </w:rPr>
        <w:t xml:space="preserve"> on the co-infection</w:t>
      </w:r>
      <w:r>
        <w:rPr>
          <w:rFonts w:ascii="Times New Roman" w:hAnsi="Times New Roman" w:cs="Times New Roman"/>
          <w:iCs/>
          <w:sz w:val="20"/>
          <w:szCs w:val="20"/>
        </w:rPr>
        <w:t xml:space="preserve"> of Human immunodeficiency virus and </w:t>
      </w:r>
      <w:r>
        <w:rPr>
          <w:rFonts w:ascii="Times New Roman" w:hAnsi="Times New Roman" w:cs="Times New Roman"/>
          <w:i/>
          <w:iCs/>
          <w:sz w:val="20"/>
          <w:szCs w:val="20"/>
        </w:rPr>
        <w:t>Helicobacter pylori</w:t>
      </w:r>
      <w:r>
        <w:rPr>
          <w:rFonts w:ascii="Times New Roman" w:hAnsi="Times New Roman" w:cs="Times New Roman"/>
          <w:iCs/>
          <w:sz w:val="20"/>
          <w:szCs w:val="20"/>
        </w:rPr>
        <w:t xml:space="preserve"> among patients attending selected </w:t>
      </w:r>
      <w:r>
        <w:rPr>
          <w:rFonts w:ascii="Times New Roman" w:hAnsi="Times New Roman" w:cs="Times New Roman"/>
          <w:sz w:val="20"/>
          <w:szCs w:val="20"/>
        </w:rPr>
        <w:t xml:space="preserve">Hospital in Port Harcourt, Rivers State, Nigeria. </w:t>
      </w:r>
      <w:r>
        <w:rPr>
          <w:rFonts w:ascii="Times New Roman" w:hAnsi="Times New Roman" w:cs="Times New Roman"/>
          <w:i/>
          <w:sz w:val="20"/>
          <w:szCs w:val="20"/>
        </w:rPr>
        <w:t xml:space="preserve">H. pylori </w:t>
      </w:r>
      <w:r>
        <w:rPr>
          <w:rFonts w:ascii="Times New Roman" w:hAnsi="Times New Roman" w:cs="Times New Roman"/>
          <w:sz w:val="20"/>
          <w:szCs w:val="20"/>
        </w:rPr>
        <w:t>have been reported t</w:t>
      </w:r>
      <w:r>
        <w:rPr>
          <w:rFonts w:ascii="Times New Roman" w:hAnsi="Times New Roman" w:cs="Times New Roman"/>
          <w:sz w:val="20"/>
          <w:szCs w:val="20"/>
        </w:rPr>
        <w:t xml:space="preserve">o be distributed in developing countries with high occurrence (Brown, 2000; </w:t>
      </w:r>
      <w:proofErr w:type="spellStart"/>
      <w:r>
        <w:rPr>
          <w:rFonts w:ascii="Times New Roman" w:hAnsi="Times New Roman" w:cs="Times New Roman"/>
          <w:sz w:val="20"/>
          <w:szCs w:val="20"/>
        </w:rPr>
        <w:t>Bontem</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2003; </w:t>
      </w:r>
      <w:proofErr w:type="spellStart"/>
      <w:r>
        <w:rPr>
          <w:rFonts w:ascii="Times New Roman" w:hAnsi="Times New Roman" w:cs="Times New Roman"/>
          <w:sz w:val="20"/>
          <w:szCs w:val="20"/>
        </w:rPr>
        <w:t>Joav</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et al., </w:t>
      </w:r>
      <w:r>
        <w:rPr>
          <w:rFonts w:ascii="Times New Roman" w:hAnsi="Times New Roman" w:cs="Times New Roman"/>
          <w:sz w:val="20"/>
          <w:szCs w:val="20"/>
        </w:rPr>
        <w:t>2004; Blaser, 2005). Reported data on HIV/</w:t>
      </w:r>
      <w:r>
        <w:rPr>
          <w:rFonts w:ascii="Times New Roman" w:hAnsi="Times New Roman" w:cs="Times New Roman"/>
          <w:i/>
          <w:sz w:val="20"/>
          <w:szCs w:val="20"/>
        </w:rPr>
        <w:t>H. pylori</w:t>
      </w:r>
      <w:r>
        <w:rPr>
          <w:rFonts w:ascii="Times New Roman" w:hAnsi="Times New Roman" w:cs="Times New Roman"/>
          <w:sz w:val="20"/>
          <w:szCs w:val="20"/>
        </w:rPr>
        <w:t xml:space="preserve"> co-infection are mainly based on adults and from endemic areas using serological methods. Ther</w:t>
      </w:r>
      <w:r>
        <w:rPr>
          <w:rFonts w:ascii="Times New Roman" w:hAnsi="Times New Roman" w:cs="Times New Roman"/>
          <w:sz w:val="20"/>
          <w:szCs w:val="20"/>
        </w:rPr>
        <w:t xml:space="preserve">e are conflicting prevalent patterns of </w:t>
      </w:r>
      <w:r>
        <w:rPr>
          <w:rFonts w:ascii="Times New Roman" w:hAnsi="Times New Roman" w:cs="Times New Roman"/>
          <w:i/>
          <w:sz w:val="20"/>
          <w:szCs w:val="20"/>
        </w:rPr>
        <w:t>H. pylori</w:t>
      </w:r>
      <w:r>
        <w:rPr>
          <w:rFonts w:ascii="Times New Roman" w:hAnsi="Times New Roman" w:cs="Times New Roman"/>
          <w:sz w:val="20"/>
          <w:szCs w:val="20"/>
        </w:rPr>
        <w:t xml:space="preserve"> in HIV infected patients using various methods of detection (</w:t>
      </w:r>
      <w:proofErr w:type="spellStart"/>
      <w:r>
        <w:rPr>
          <w:rFonts w:ascii="Times New Roman" w:hAnsi="Times New Roman" w:cs="Times New Roman"/>
          <w:sz w:val="20"/>
          <w:szCs w:val="20"/>
        </w:rPr>
        <w:t>Konturek</w:t>
      </w:r>
      <w:proofErr w:type="spellEnd"/>
      <w:r>
        <w:rPr>
          <w:rFonts w:ascii="Times New Roman" w:hAnsi="Times New Roman" w:cs="Times New Roman"/>
          <w:sz w:val="20"/>
          <w:szCs w:val="20"/>
        </w:rPr>
        <w:t xml:space="preserve">, 2003; Kusters </w:t>
      </w:r>
      <w:r>
        <w:rPr>
          <w:rFonts w:ascii="Times New Roman" w:hAnsi="Times New Roman" w:cs="Times New Roman"/>
          <w:i/>
          <w:sz w:val="20"/>
          <w:szCs w:val="20"/>
        </w:rPr>
        <w:t xml:space="preserve">et al., </w:t>
      </w:r>
      <w:r>
        <w:rPr>
          <w:rFonts w:ascii="Times New Roman" w:hAnsi="Times New Roman" w:cs="Times New Roman"/>
          <w:sz w:val="20"/>
          <w:szCs w:val="20"/>
        </w:rPr>
        <w:t xml:space="preserve">2006; </w:t>
      </w:r>
      <w:proofErr w:type="spellStart"/>
      <w:r>
        <w:rPr>
          <w:rFonts w:ascii="Times New Roman" w:hAnsi="Times New Roman" w:cs="Times New Roman"/>
          <w:sz w:val="20"/>
          <w:szCs w:val="20"/>
        </w:rPr>
        <w:t>Malaty</w:t>
      </w:r>
      <w:proofErr w:type="spellEnd"/>
      <w:r>
        <w:rPr>
          <w:rFonts w:ascii="Times New Roman" w:hAnsi="Times New Roman" w:cs="Times New Roman"/>
          <w:sz w:val="20"/>
          <w:szCs w:val="20"/>
        </w:rPr>
        <w:t xml:space="preserve">, 2007). However, significant differences </w:t>
      </w:r>
      <w:r>
        <w:rPr>
          <w:rFonts w:ascii="Times New Roman" w:eastAsia="Times New Roman" w:hAnsi="Times New Roman" w:cs="Times New Roman"/>
          <w:sz w:val="20"/>
          <w:szCs w:val="20"/>
        </w:rPr>
        <w:t>(p&lt;0.05)</w:t>
      </w:r>
      <w:r>
        <w:rPr>
          <w:rFonts w:ascii="Times New Roman" w:hAnsi="Times New Roman" w:cs="Times New Roman"/>
          <w:sz w:val="20"/>
          <w:szCs w:val="20"/>
        </w:rPr>
        <w:t xml:space="preserve"> have been observed in the </w:t>
      </w:r>
      <w:proofErr w:type="spellStart"/>
      <w:r>
        <w:rPr>
          <w:rFonts w:ascii="Times New Roman" w:hAnsi="Times New Roman" w:cs="Times New Roman"/>
          <w:sz w:val="20"/>
          <w:szCs w:val="20"/>
        </w:rPr>
        <w:t>prevalences</w:t>
      </w:r>
      <w:proofErr w:type="spellEnd"/>
      <w:r>
        <w:rPr>
          <w:rFonts w:ascii="Times New Roman" w:hAnsi="Times New Roman" w:cs="Times New Roman"/>
          <w:sz w:val="20"/>
          <w:szCs w:val="20"/>
        </w:rPr>
        <w:t xml:space="preserve"> globally. </w:t>
      </w:r>
    </w:p>
    <w:p w14:paraId="32F198B2"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 xml:space="preserve">n our study, no participant below 19 years of age tested positive for both HIV and </w:t>
      </w:r>
      <w:r>
        <w:rPr>
          <w:rFonts w:ascii="Times New Roman" w:hAnsi="Times New Roman" w:cs="Times New Roman"/>
          <w:i/>
          <w:sz w:val="20"/>
          <w:szCs w:val="20"/>
        </w:rPr>
        <w:t>H. pylori.</w:t>
      </w:r>
      <w:r>
        <w:rPr>
          <w:rFonts w:ascii="Times New Roman" w:hAnsi="Times New Roman" w:cs="Times New Roman"/>
          <w:sz w:val="20"/>
          <w:szCs w:val="20"/>
        </w:rPr>
        <w:t xml:space="preserve"> Hence, there was no co-infection recorded among the age bracket. A co-infection of </w:t>
      </w:r>
      <w:r>
        <w:rPr>
          <w:rFonts w:ascii="Times New Roman" w:hAnsi="Times New Roman" w:cs="Times New Roman"/>
          <w:bCs/>
          <w:sz w:val="20"/>
          <w:szCs w:val="20"/>
        </w:rPr>
        <w:t>2 (2.0%)</w:t>
      </w:r>
      <w:r>
        <w:rPr>
          <w:rFonts w:ascii="Times New Roman" w:hAnsi="Times New Roman" w:cs="Times New Roman"/>
          <w:sz w:val="20"/>
          <w:szCs w:val="20"/>
        </w:rPr>
        <w:t xml:space="preserve"> was recorded amongst the 61 participants that were between the age of </w:t>
      </w:r>
      <w:r>
        <w:rPr>
          <w:rFonts w:ascii="Times New Roman" w:hAnsi="Times New Roman" w:cs="Times New Roman"/>
          <w:sz w:val="20"/>
          <w:szCs w:val="20"/>
        </w:rPr>
        <w:t xml:space="preserve">19-37 years, of this age group, 2(2.6%) had co-infection of HIV and </w:t>
      </w:r>
      <w:r>
        <w:rPr>
          <w:rFonts w:ascii="Times New Roman" w:hAnsi="Times New Roman" w:cs="Times New Roman"/>
          <w:i/>
          <w:sz w:val="20"/>
          <w:szCs w:val="20"/>
        </w:rPr>
        <w:t>H. pylori</w:t>
      </w:r>
      <w:r>
        <w:rPr>
          <w:rFonts w:ascii="Times New Roman" w:hAnsi="Times New Roman" w:cs="Times New Roman"/>
          <w:sz w:val="20"/>
          <w:szCs w:val="20"/>
        </w:rPr>
        <w:t xml:space="preserve">. </w:t>
      </w:r>
    </w:p>
    <w:p w14:paraId="797BAFF7"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Also in this study, 23 participants were married, of which none was positive for HIV though, a few were positive </w:t>
      </w:r>
      <w:r>
        <w:rPr>
          <w:rFonts w:ascii="Times New Roman" w:hAnsi="Times New Roman" w:cs="Times New Roman"/>
          <w:i/>
          <w:sz w:val="20"/>
          <w:szCs w:val="20"/>
        </w:rPr>
        <w:t>H. pylori</w:t>
      </w:r>
      <w:r>
        <w:rPr>
          <w:rFonts w:ascii="Times New Roman" w:hAnsi="Times New Roman" w:cs="Times New Roman"/>
          <w:sz w:val="20"/>
          <w:szCs w:val="20"/>
        </w:rPr>
        <w:t xml:space="preserve"> antibodies. In relation to sex, 1(2.4%) of the 42 males had coinfection of HIV and</w:t>
      </w:r>
      <w:r>
        <w:rPr>
          <w:rFonts w:ascii="Times New Roman" w:hAnsi="Times New Roman" w:cs="Times New Roman"/>
          <w:i/>
          <w:sz w:val="20"/>
          <w:szCs w:val="20"/>
        </w:rPr>
        <w:t xml:space="preserve"> H. pylori</w:t>
      </w:r>
      <w:r>
        <w:rPr>
          <w:rFonts w:ascii="Times New Roman" w:hAnsi="Times New Roman" w:cs="Times New Roman"/>
          <w:sz w:val="20"/>
          <w:szCs w:val="20"/>
        </w:rPr>
        <w:t xml:space="preserve"> and of the 58 females, 1(1.7%) was to bo</w:t>
      </w:r>
      <w:r>
        <w:rPr>
          <w:rFonts w:ascii="Times New Roman" w:hAnsi="Times New Roman" w:cs="Times New Roman"/>
          <w:sz w:val="20"/>
          <w:szCs w:val="20"/>
        </w:rPr>
        <w:t xml:space="preserve">th HIV and </w:t>
      </w:r>
      <w:r>
        <w:rPr>
          <w:rFonts w:ascii="Times New Roman" w:hAnsi="Times New Roman" w:cs="Times New Roman"/>
          <w:i/>
          <w:sz w:val="20"/>
          <w:szCs w:val="20"/>
        </w:rPr>
        <w:t>H. pylori</w:t>
      </w:r>
      <w:r>
        <w:rPr>
          <w:rFonts w:ascii="Times New Roman" w:hAnsi="Times New Roman" w:cs="Times New Roman"/>
          <w:sz w:val="20"/>
          <w:szCs w:val="20"/>
        </w:rPr>
        <w:t xml:space="preserve"> antibodies.  </w:t>
      </w:r>
    </w:p>
    <w:p w14:paraId="191A85A1"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Our study which revealed a coinfection rate of 2.0% for HIV and </w:t>
      </w:r>
      <w:r>
        <w:rPr>
          <w:rFonts w:ascii="Times New Roman" w:hAnsi="Times New Roman" w:cs="Times New Roman"/>
          <w:i/>
          <w:sz w:val="20"/>
          <w:szCs w:val="20"/>
        </w:rPr>
        <w:t>H. pylori</w:t>
      </w:r>
      <w:r>
        <w:rPr>
          <w:rFonts w:ascii="Times New Roman" w:hAnsi="Times New Roman" w:cs="Times New Roman"/>
          <w:sz w:val="20"/>
          <w:szCs w:val="20"/>
        </w:rPr>
        <w:t xml:space="preserve"> further confirmed the presence of both infections and their coexistence in Nigeria. This study agrees with that of Olmos </w:t>
      </w:r>
      <w:r>
        <w:rPr>
          <w:rFonts w:ascii="Times New Roman" w:hAnsi="Times New Roman" w:cs="Times New Roman"/>
          <w:i/>
          <w:sz w:val="20"/>
          <w:szCs w:val="20"/>
        </w:rPr>
        <w:t xml:space="preserve">et al. </w:t>
      </w:r>
      <w:r>
        <w:rPr>
          <w:rFonts w:ascii="Times New Roman" w:hAnsi="Times New Roman" w:cs="Times New Roman"/>
          <w:sz w:val="20"/>
          <w:szCs w:val="20"/>
        </w:rPr>
        <w:t>(2004) who reported</w:t>
      </w:r>
      <w:r>
        <w:rPr>
          <w:rFonts w:ascii="Times New Roman" w:hAnsi="Times New Roman" w:cs="Times New Roman"/>
          <w:sz w:val="20"/>
          <w:szCs w:val="20"/>
        </w:rPr>
        <w:t xml:space="preserve"> coinfection rate of 41.1%, stating that the frequency of </w:t>
      </w:r>
      <w:r>
        <w:rPr>
          <w:rFonts w:ascii="Times New Roman" w:hAnsi="Times New Roman" w:cs="Times New Roman"/>
          <w:i/>
          <w:sz w:val="20"/>
          <w:szCs w:val="20"/>
        </w:rPr>
        <w:t xml:space="preserve">H. pylori </w:t>
      </w:r>
      <w:r>
        <w:rPr>
          <w:rFonts w:ascii="Times New Roman" w:hAnsi="Times New Roman" w:cs="Times New Roman"/>
          <w:sz w:val="20"/>
          <w:szCs w:val="20"/>
        </w:rPr>
        <w:t xml:space="preserve">in gastric mucosa in HIV-patients and non-HIV patients were similar. </w:t>
      </w:r>
    </w:p>
    <w:p w14:paraId="29851E5F"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Also, this study showed similar outcomes as reported by Ali </w:t>
      </w:r>
      <w:r>
        <w:rPr>
          <w:rFonts w:ascii="Times New Roman" w:hAnsi="Times New Roman" w:cs="Times New Roman"/>
          <w:i/>
          <w:sz w:val="20"/>
          <w:szCs w:val="20"/>
        </w:rPr>
        <w:t xml:space="preserve">et al. </w:t>
      </w:r>
      <w:r>
        <w:rPr>
          <w:rFonts w:ascii="Times New Roman" w:hAnsi="Times New Roman" w:cs="Times New Roman"/>
          <w:sz w:val="20"/>
          <w:szCs w:val="20"/>
        </w:rPr>
        <w:t xml:space="preserve">(2002) who concluded that </w:t>
      </w:r>
      <w:r>
        <w:rPr>
          <w:rFonts w:ascii="Times New Roman" w:hAnsi="Times New Roman" w:cs="Times New Roman"/>
          <w:i/>
          <w:sz w:val="20"/>
          <w:szCs w:val="20"/>
        </w:rPr>
        <w:t>H. pylori</w:t>
      </w:r>
      <w:r>
        <w:rPr>
          <w:rFonts w:ascii="Times New Roman" w:hAnsi="Times New Roman" w:cs="Times New Roman"/>
          <w:sz w:val="20"/>
          <w:szCs w:val="20"/>
        </w:rPr>
        <w:t xml:space="preserve"> prevalence was </w:t>
      </w:r>
      <w:r>
        <w:rPr>
          <w:rFonts w:ascii="Times New Roman" w:hAnsi="Times New Roman" w:cs="Times New Roman"/>
          <w:sz w:val="20"/>
          <w:szCs w:val="20"/>
        </w:rPr>
        <w:t xml:space="preserve">not significantly different between HIV-positive and HIV-negative subjects and a decrease in HIV positive subjects with decreasing CD4+ cell counts. </w:t>
      </w:r>
    </w:p>
    <w:p w14:paraId="72EAF4C8"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Some studies have however reported results that differ from the present study. Waleed </w:t>
      </w:r>
      <w:r>
        <w:rPr>
          <w:rFonts w:ascii="Times New Roman" w:hAnsi="Times New Roman" w:cs="Times New Roman"/>
          <w:i/>
          <w:sz w:val="20"/>
          <w:szCs w:val="20"/>
        </w:rPr>
        <w:t xml:space="preserve">et al. </w:t>
      </w:r>
      <w:r>
        <w:rPr>
          <w:rFonts w:ascii="Times New Roman" w:hAnsi="Times New Roman" w:cs="Times New Roman"/>
          <w:sz w:val="20"/>
          <w:szCs w:val="20"/>
        </w:rPr>
        <w:t>(2004) had ea</w:t>
      </w:r>
      <w:r>
        <w:rPr>
          <w:rFonts w:ascii="Times New Roman" w:hAnsi="Times New Roman" w:cs="Times New Roman"/>
          <w:sz w:val="20"/>
          <w:szCs w:val="20"/>
        </w:rPr>
        <w:t xml:space="preserve">rlier reported the overall prevalence of </w:t>
      </w:r>
      <w:r>
        <w:rPr>
          <w:rFonts w:ascii="Times New Roman" w:hAnsi="Times New Roman" w:cs="Times New Roman"/>
          <w:i/>
          <w:sz w:val="20"/>
          <w:szCs w:val="20"/>
        </w:rPr>
        <w:t>H. pylori</w:t>
      </w:r>
      <w:r>
        <w:rPr>
          <w:rFonts w:ascii="Times New Roman" w:hAnsi="Times New Roman" w:cs="Times New Roman"/>
          <w:sz w:val="20"/>
          <w:szCs w:val="20"/>
        </w:rPr>
        <w:t xml:space="preserve"> in HIV-infected children to be 22.5%. This value is understandable as </w:t>
      </w:r>
      <w:r>
        <w:rPr>
          <w:rFonts w:ascii="Times New Roman" w:hAnsi="Times New Roman" w:cs="Times New Roman"/>
          <w:i/>
          <w:sz w:val="20"/>
          <w:szCs w:val="20"/>
        </w:rPr>
        <w:t>H. pylori</w:t>
      </w:r>
      <w:r>
        <w:rPr>
          <w:rFonts w:ascii="Times New Roman" w:hAnsi="Times New Roman" w:cs="Times New Roman"/>
          <w:sz w:val="20"/>
          <w:szCs w:val="20"/>
        </w:rPr>
        <w:t xml:space="preserve"> are not common in children as in adults. Their report also stated a lower prevalence of </w:t>
      </w:r>
      <w:r>
        <w:rPr>
          <w:rFonts w:ascii="Times New Roman" w:hAnsi="Times New Roman" w:cs="Times New Roman"/>
          <w:i/>
          <w:sz w:val="20"/>
          <w:szCs w:val="20"/>
        </w:rPr>
        <w:t>H. pylori</w:t>
      </w:r>
      <w:r>
        <w:rPr>
          <w:rFonts w:ascii="Times New Roman" w:hAnsi="Times New Roman" w:cs="Times New Roman"/>
          <w:sz w:val="20"/>
          <w:szCs w:val="20"/>
        </w:rPr>
        <w:t xml:space="preserve"> in HAART-naïve children com</w:t>
      </w:r>
      <w:r>
        <w:rPr>
          <w:rFonts w:ascii="Times New Roman" w:hAnsi="Times New Roman" w:cs="Times New Roman"/>
          <w:sz w:val="20"/>
          <w:szCs w:val="20"/>
        </w:rPr>
        <w:t>pared to healthy children (44.3%).</w:t>
      </w:r>
      <w:r>
        <w:rPr>
          <w:rFonts w:ascii="Times New Roman" w:hAnsi="Times New Roman" w:cs="Times New Roman"/>
          <w:i/>
          <w:sz w:val="20"/>
          <w:szCs w:val="20"/>
        </w:rPr>
        <w:t xml:space="preserve"> </w:t>
      </w:r>
      <w:r>
        <w:rPr>
          <w:rFonts w:ascii="Times New Roman" w:hAnsi="Times New Roman" w:cs="Times New Roman"/>
          <w:sz w:val="20"/>
          <w:szCs w:val="20"/>
        </w:rPr>
        <w:t xml:space="preserve">Previous studies carried out had aired a different opinion that </w:t>
      </w:r>
      <w:r>
        <w:rPr>
          <w:rFonts w:ascii="Times New Roman" w:hAnsi="Times New Roman" w:cs="Times New Roman"/>
          <w:i/>
          <w:sz w:val="20"/>
          <w:szCs w:val="20"/>
        </w:rPr>
        <w:t>H. pylori</w:t>
      </w:r>
      <w:r>
        <w:rPr>
          <w:rFonts w:ascii="Times New Roman" w:hAnsi="Times New Roman" w:cs="Times New Roman"/>
          <w:sz w:val="20"/>
          <w:szCs w:val="20"/>
        </w:rPr>
        <w:t xml:space="preserve"> prevalence was low in HIV-patients compared </w:t>
      </w:r>
      <w:r>
        <w:rPr>
          <w:rFonts w:ascii="Times New Roman" w:hAnsi="Times New Roman" w:cs="Times New Roman"/>
          <w:sz w:val="20"/>
          <w:szCs w:val="20"/>
        </w:rPr>
        <w:lastRenderedPageBreak/>
        <w:t xml:space="preserve">to healthy members of the population (Nester, </w:t>
      </w:r>
      <w:r>
        <w:rPr>
          <w:rFonts w:ascii="Times New Roman" w:hAnsi="Times New Roman" w:cs="Times New Roman"/>
          <w:i/>
          <w:sz w:val="20"/>
          <w:szCs w:val="20"/>
        </w:rPr>
        <w:t xml:space="preserve">et al., </w:t>
      </w:r>
      <w:r>
        <w:rPr>
          <w:rFonts w:ascii="Times New Roman" w:hAnsi="Times New Roman" w:cs="Times New Roman"/>
          <w:sz w:val="20"/>
          <w:szCs w:val="20"/>
        </w:rPr>
        <w:t xml:space="preserve">1998; Prescott </w:t>
      </w:r>
      <w:r>
        <w:rPr>
          <w:rFonts w:ascii="Times New Roman" w:hAnsi="Times New Roman" w:cs="Times New Roman"/>
          <w:i/>
          <w:sz w:val="20"/>
          <w:szCs w:val="20"/>
        </w:rPr>
        <w:t xml:space="preserve">et al., </w:t>
      </w:r>
      <w:r>
        <w:rPr>
          <w:rFonts w:ascii="Times New Roman" w:hAnsi="Times New Roman" w:cs="Times New Roman"/>
          <w:sz w:val="20"/>
          <w:szCs w:val="20"/>
        </w:rPr>
        <w:t xml:space="preserve">2005; Ramadas </w:t>
      </w:r>
      <w:r>
        <w:rPr>
          <w:rFonts w:ascii="Times New Roman" w:hAnsi="Times New Roman" w:cs="Times New Roman"/>
          <w:i/>
          <w:sz w:val="20"/>
          <w:szCs w:val="20"/>
        </w:rPr>
        <w:t xml:space="preserve">et al., </w:t>
      </w:r>
      <w:r>
        <w:rPr>
          <w:rFonts w:ascii="Times New Roman" w:hAnsi="Times New Roman" w:cs="Times New Roman"/>
          <w:sz w:val="20"/>
          <w:szCs w:val="20"/>
        </w:rPr>
        <w:t>1995</w:t>
      </w:r>
      <w:r>
        <w:rPr>
          <w:rFonts w:ascii="Times New Roman" w:hAnsi="Times New Roman" w:cs="Times New Roman"/>
          <w:sz w:val="20"/>
          <w:szCs w:val="20"/>
        </w:rPr>
        <w:t>).</w:t>
      </w:r>
    </w:p>
    <w:p w14:paraId="3ABD876E" w14:textId="77777777" w:rsidR="007333E1" w:rsidRDefault="007333E1">
      <w:pPr>
        <w:autoSpaceDE w:val="0"/>
        <w:autoSpaceDN w:val="0"/>
        <w:adjustRightInd w:val="0"/>
        <w:snapToGrid w:val="0"/>
        <w:spacing w:after="0" w:line="240" w:lineRule="auto"/>
        <w:contextualSpacing/>
        <w:jc w:val="both"/>
        <w:rPr>
          <w:rFonts w:ascii="Times New Roman" w:hAnsi="Times New Roman" w:cs="Times New Roman"/>
          <w:b/>
          <w:sz w:val="20"/>
          <w:szCs w:val="20"/>
        </w:rPr>
      </w:pPr>
    </w:p>
    <w:p w14:paraId="14015AA9" w14:textId="77777777" w:rsidR="007333E1" w:rsidRDefault="00C8585E">
      <w:p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rPr>
        <w:t xml:space="preserve">Conclusion </w:t>
      </w:r>
    </w:p>
    <w:p w14:paraId="12FFB4C1" w14:textId="77777777" w:rsidR="007333E1" w:rsidRDefault="00C8585E">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This study further confirms the presence of HIV and </w:t>
      </w:r>
      <w:r>
        <w:rPr>
          <w:rFonts w:ascii="Times New Roman" w:hAnsi="Times New Roman" w:cs="Times New Roman"/>
          <w:i/>
          <w:iCs/>
          <w:sz w:val="20"/>
          <w:szCs w:val="20"/>
        </w:rPr>
        <w:t xml:space="preserve">Helicobacter pylori </w:t>
      </w:r>
      <w:r>
        <w:rPr>
          <w:rFonts w:ascii="Times New Roman" w:hAnsi="Times New Roman" w:cs="Times New Roman"/>
          <w:iCs/>
          <w:sz w:val="20"/>
          <w:szCs w:val="20"/>
        </w:rPr>
        <w:t xml:space="preserve">coinfection </w:t>
      </w:r>
      <w:r>
        <w:rPr>
          <w:rFonts w:ascii="Times New Roman" w:hAnsi="Times New Roman" w:cs="Times New Roman"/>
          <w:sz w:val="20"/>
          <w:szCs w:val="20"/>
        </w:rPr>
        <w:t xml:space="preserve">among patients in Port Harcourt, Rivers State, Nigeria. This highlights the necessity for routine screening of blood for HIV and </w:t>
      </w:r>
      <w:r>
        <w:rPr>
          <w:rFonts w:ascii="Times New Roman" w:hAnsi="Times New Roman" w:cs="Times New Roman"/>
          <w:i/>
          <w:iCs/>
          <w:sz w:val="20"/>
          <w:szCs w:val="20"/>
        </w:rPr>
        <w:t xml:space="preserve">H. pylori </w:t>
      </w:r>
      <w:r>
        <w:rPr>
          <w:rFonts w:ascii="Times New Roman" w:hAnsi="Times New Roman" w:cs="Times New Roman"/>
          <w:iCs/>
          <w:sz w:val="20"/>
          <w:szCs w:val="20"/>
        </w:rPr>
        <w:t xml:space="preserve">coinfection </w:t>
      </w:r>
      <w:r>
        <w:rPr>
          <w:rFonts w:ascii="Times New Roman" w:hAnsi="Times New Roman" w:cs="Times New Roman"/>
          <w:sz w:val="20"/>
          <w:szCs w:val="20"/>
        </w:rPr>
        <w:t>to minimize their transmission among the general population. The need for intensive health education to e</w:t>
      </w:r>
      <w:r>
        <w:rPr>
          <w:rFonts w:ascii="Times New Roman" w:hAnsi="Times New Roman" w:cs="Times New Roman"/>
          <w:sz w:val="20"/>
          <w:szCs w:val="20"/>
        </w:rPr>
        <w:t xml:space="preserve">nlighten the public on the risk factors associated with both infections and possible control measures. Further studies of larger numbers of HIV-1 patients with and without </w:t>
      </w:r>
      <w:r>
        <w:rPr>
          <w:rFonts w:ascii="Times New Roman" w:hAnsi="Times New Roman" w:cs="Times New Roman"/>
          <w:i/>
          <w:sz w:val="20"/>
          <w:szCs w:val="20"/>
        </w:rPr>
        <w:t>H. pylori</w:t>
      </w:r>
      <w:r>
        <w:rPr>
          <w:rFonts w:ascii="Times New Roman" w:hAnsi="Times New Roman" w:cs="Times New Roman"/>
          <w:sz w:val="20"/>
          <w:szCs w:val="20"/>
        </w:rPr>
        <w:t xml:space="preserve"> co-infection for a prolonged period of time are needed in order to define </w:t>
      </w:r>
      <w:r>
        <w:rPr>
          <w:rFonts w:ascii="Times New Roman" w:hAnsi="Times New Roman" w:cs="Times New Roman"/>
          <w:sz w:val="20"/>
          <w:szCs w:val="20"/>
        </w:rPr>
        <w:t xml:space="preserve">the role of </w:t>
      </w:r>
      <w:r>
        <w:rPr>
          <w:rFonts w:ascii="Times New Roman" w:hAnsi="Times New Roman" w:cs="Times New Roman"/>
          <w:i/>
          <w:sz w:val="20"/>
          <w:szCs w:val="20"/>
        </w:rPr>
        <w:t>H. pylori</w:t>
      </w:r>
      <w:r>
        <w:rPr>
          <w:rFonts w:ascii="Times New Roman" w:hAnsi="Times New Roman" w:cs="Times New Roman"/>
          <w:sz w:val="20"/>
          <w:szCs w:val="20"/>
        </w:rPr>
        <w:t xml:space="preserve"> co-infection and eradication in immune reconstitution of HAART-treated HIV-1- infected patients.</w:t>
      </w:r>
    </w:p>
    <w:p w14:paraId="76C5FBCB" w14:textId="77777777" w:rsidR="007333E1" w:rsidRDefault="007333E1">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p>
    <w:p w14:paraId="245996FB" w14:textId="77777777" w:rsidR="007333E1" w:rsidRDefault="00C8585E">
      <w:pPr>
        <w:snapToGrid w:val="0"/>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Acknowledgement</w:t>
      </w:r>
    </w:p>
    <w:p w14:paraId="1C01D4F5" w14:textId="77777777" w:rsidR="007333E1" w:rsidRDefault="00C8585E">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Authors are grateful to the management of the </w:t>
      </w:r>
      <w:r>
        <w:rPr>
          <w:rFonts w:ascii="Times New Roman" w:hAnsi="Times New Roman" w:cs="Times New Roman"/>
          <w:iCs/>
          <w:sz w:val="20"/>
          <w:szCs w:val="20"/>
        </w:rPr>
        <w:t xml:space="preserve">University of Port Harcourt Medical Center (UPMC) and </w:t>
      </w:r>
      <w:r>
        <w:rPr>
          <w:rFonts w:ascii="Times New Roman" w:hAnsi="Times New Roman" w:cs="Times New Roman"/>
          <w:sz w:val="20"/>
          <w:szCs w:val="20"/>
        </w:rPr>
        <w:t xml:space="preserve">Braithwaite Memorial Specialist Hospital (BMSH), Port Harcourt for their cooperation and support. </w:t>
      </w:r>
    </w:p>
    <w:p w14:paraId="0D537035" w14:textId="77777777" w:rsidR="007333E1" w:rsidRDefault="007333E1">
      <w:pPr>
        <w:snapToGrid w:val="0"/>
        <w:spacing w:after="0" w:line="240" w:lineRule="auto"/>
        <w:contextualSpacing/>
        <w:jc w:val="both"/>
        <w:rPr>
          <w:rFonts w:ascii="Times New Roman" w:hAnsi="Times New Roman" w:cs="Times New Roman"/>
          <w:sz w:val="20"/>
          <w:szCs w:val="20"/>
        </w:rPr>
      </w:pPr>
    </w:p>
    <w:p w14:paraId="55045361" w14:textId="77777777" w:rsidR="007333E1" w:rsidRDefault="00C8585E">
      <w:pPr>
        <w:snapToGrid w:val="0"/>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References</w:t>
      </w:r>
    </w:p>
    <w:p w14:paraId="21FF9DEF" w14:textId="77777777" w:rsidR="007333E1" w:rsidRDefault="00C8585E" w:rsidP="00067D8C">
      <w:pPr>
        <w:pStyle w:val="ListParagraph"/>
        <w:numPr>
          <w:ilvl w:val="0"/>
          <w:numId w:val="1"/>
        </w:numPr>
        <w:snapToGrid w:val="0"/>
        <w:spacing w:after="0" w:line="240" w:lineRule="auto"/>
        <w:ind w:hanging="630"/>
        <w:jc w:val="both"/>
        <w:rPr>
          <w:rStyle w:val="citation"/>
          <w:rFonts w:ascii="Times New Roman" w:hAnsi="Times New Roman" w:cs="Times New Roman"/>
          <w:sz w:val="20"/>
          <w:szCs w:val="20"/>
        </w:rPr>
      </w:pPr>
      <w:proofErr w:type="spellStart"/>
      <w:r>
        <w:rPr>
          <w:rStyle w:val="citation"/>
          <w:rFonts w:ascii="Times New Roman" w:hAnsi="Times New Roman" w:cs="Times New Roman"/>
          <w:sz w:val="20"/>
          <w:szCs w:val="20"/>
        </w:rPr>
        <w:t>Abdolvahab</w:t>
      </w:r>
      <w:proofErr w:type="spellEnd"/>
      <w:r>
        <w:rPr>
          <w:rStyle w:val="citation"/>
          <w:rFonts w:ascii="Times New Roman" w:hAnsi="Times New Roman" w:cs="Times New Roman"/>
          <w:sz w:val="20"/>
          <w:szCs w:val="20"/>
        </w:rPr>
        <w:t xml:space="preserve">, A., </w:t>
      </w:r>
      <w:proofErr w:type="spellStart"/>
      <w:r>
        <w:rPr>
          <w:rStyle w:val="citation"/>
          <w:rFonts w:ascii="Times New Roman" w:hAnsi="Times New Roman" w:cs="Times New Roman"/>
          <w:sz w:val="20"/>
          <w:szCs w:val="20"/>
        </w:rPr>
        <w:t>Jafar</w:t>
      </w:r>
      <w:proofErr w:type="spellEnd"/>
      <w:r>
        <w:rPr>
          <w:rStyle w:val="citation"/>
          <w:rFonts w:ascii="Times New Roman" w:hAnsi="Times New Roman" w:cs="Times New Roman"/>
          <w:sz w:val="20"/>
          <w:szCs w:val="20"/>
        </w:rPr>
        <w:t xml:space="preserve">, S. and Mahmood, R. (2006). Prevalence of </w:t>
      </w:r>
      <w:r>
        <w:rPr>
          <w:rStyle w:val="citation"/>
          <w:rFonts w:ascii="Times New Roman" w:hAnsi="Times New Roman" w:cs="Times New Roman"/>
          <w:i/>
          <w:sz w:val="20"/>
          <w:szCs w:val="20"/>
        </w:rPr>
        <w:t xml:space="preserve">Helicobacter pylori </w:t>
      </w:r>
      <w:r>
        <w:rPr>
          <w:rStyle w:val="citation"/>
          <w:rFonts w:ascii="Times New Roman" w:hAnsi="Times New Roman" w:cs="Times New Roman"/>
          <w:sz w:val="20"/>
          <w:szCs w:val="20"/>
        </w:rPr>
        <w:t>in chil</w:t>
      </w:r>
      <w:r>
        <w:rPr>
          <w:rStyle w:val="citation"/>
          <w:rFonts w:ascii="Times New Roman" w:hAnsi="Times New Roman" w:cs="Times New Roman"/>
          <w:sz w:val="20"/>
          <w:szCs w:val="20"/>
        </w:rPr>
        <w:t>dren (South of Iran),</w:t>
      </w:r>
      <w:r>
        <w:rPr>
          <w:rStyle w:val="citation"/>
          <w:rFonts w:ascii="Times New Roman" w:hAnsi="Times New Roman" w:cs="Times New Roman"/>
          <w:i/>
          <w:sz w:val="20"/>
          <w:szCs w:val="20"/>
        </w:rPr>
        <w:t xml:space="preserve"> Diagnostic Microbiology and Infectious Diseases, </w:t>
      </w:r>
      <w:r>
        <w:rPr>
          <w:rStyle w:val="citation"/>
          <w:rFonts w:ascii="Times New Roman" w:hAnsi="Times New Roman" w:cs="Times New Roman"/>
          <w:sz w:val="20"/>
          <w:szCs w:val="20"/>
        </w:rPr>
        <w:t>54(4):259-261.</w:t>
      </w:r>
    </w:p>
    <w:p w14:paraId="665AB0AA"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i/>
          <w:sz w:val="20"/>
          <w:szCs w:val="20"/>
        </w:rPr>
      </w:pPr>
      <w:r>
        <w:rPr>
          <w:rFonts w:ascii="Times New Roman" w:hAnsi="Times New Roman" w:cs="Times New Roman"/>
          <w:sz w:val="20"/>
          <w:szCs w:val="20"/>
        </w:rPr>
        <w:t xml:space="preserve">Ali M. F., </w:t>
      </w:r>
      <w:proofErr w:type="spellStart"/>
      <w:r>
        <w:rPr>
          <w:rFonts w:ascii="Times New Roman" w:hAnsi="Times New Roman" w:cs="Times New Roman"/>
          <w:sz w:val="20"/>
          <w:szCs w:val="20"/>
        </w:rPr>
        <w:t>Lule</w:t>
      </w:r>
      <w:proofErr w:type="spellEnd"/>
      <w:r>
        <w:rPr>
          <w:rFonts w:ascii="Times New Roman" w:hAnsi="Times New Roman" w:cs="Times New Roman"/>
          <w:sz w:val="20"/>
          <w:szCs w:val="20"/>
        </w:rPr>
        <w:t xml:space="preserve"> F., </w:t>
      </w:r>
      <w:proofErr w:type="spellStart"/>
      <w:r>
        <w:rPr>
          <w:rFonts w:ascii="Times New Roman" w:hAnsi="Times New Roman" w:cs="Times New Roman"/>
          <w:sz w:val="20"/>
          <w:szCs w:val="20"/>
        </w:rPr>
        <w:t>Nyongo</w:t>
      </w:r>
      <w:proofErr w:type="spellEnd"/>
      <w:r>
        <w:rPr>
          <w:rFonts w:ascii="Times New Roman" w:hAnsi="Times New Roman" w:cs="Times New Roman"/>
          <w:sz w:val="20"/>
          <w:szCs w:val="20"/>
        </w:rPr>
        <w:t xml:space="preserve"> O., </w:t>
      </w:r>
      <w:proofErr w:type="spellStart"/>
      <w:r>
        <w:rPr>
          <w:rFonts w:ascii="Times New Roman" w:hAnsi="Times New Roman" w:cs="Times New Roman"/>
          <w:sz w:val="20"/>
          <w:szCs w:val="20"/>
        </w:rPr>
        <w:t>Bwayo</w:t>
      </w:r>
      <w:proofErr w:type="spellEnd"/>
      <w:r>
        <w:rPr>
          <w:rFonts w:ascii="Times New Roman" w:hAnsi="Times New Roman" w:cs="Times New Roman"/>
          <w:sz w:val="20"/>
          <w:szCs w:val="20"/>
        </w:rPr>
        <w:t xml:space="preserve"> J., Rana F., (2002). Prevalence of </w:t>
      </w:r>
      <w:r>
        <w:rPr>
          <w:rFonts w:ascii="Times New Roman" w:hAnsi="Times New Roman" w:cs="Times New Roman"/>
          <w:i/>
          <w:sz w:val="20"/>
          <w:szCs w:val="20"/>
        </w:rPr>
        <w:t xml:space="preserve">Helicobacter pylori </w:t>
      </w:r>
      <w:r>
        <w:rPr>
          <w:rFonts w:ascii="Times New Roman" w:hAnsi="Times New Roman" w:cs="Times New Roman"/>
          <w:sz w:val="20"/>
          <w:szCs w:val="20"/>
        </w:rPr>
        <w:t xml:space="preserve">and endoscopic findings in HIV positive patients with upper GI tract symptoms </w:t>
      </w:r>
      <w:r>
        <w:rPr>
          <w:rFonts w:ascii="Times New Roman" w:hAnsi="Times New Roman" w:cs="Times New Roman"/>
          <w:sz w:val="20"/>
          <w:szCs w:val="20"/>
        </w:rPr>
        <w:t xml:space="preserve">at Kenyan National Hospital Nairobi. </w:t>
      </w:r>
      <w:r>
        <w:rPr>
          <w:rFonts w:ascii="Times New Roman" w:hAnsi="Times New Roman" w:cs="Times New Roman"/>
          <w:i/>
          <w:sz w:val="20"/>
          <w:szCs w:val="20"/>
        </w:rPr>
        <w:t xml:space="preserve">East Afr. Med. J. </w:t>
      </w:r>
      <w:r>
        <w:rPr>
          <w:rFonts w:ascii="Times New Roman" w:hAnsi="Times New Roman" w:cs="Times New Roman"/>
          <w:sz w:val="20"/>
          <w:szCs w:val="20"/>
        </w:rPr>
        <w:t>79 (5): 226-231.</w:t>
      </w:r>
    </w:p>
    <w:p w14:paraId="4038579A" w14:textId="77777777" w:rsidR="007333E1" w:rsidRDefault="00C8585E" w:rsidP="00067D8C">
      <w:pPr>
        <w:pStyle w:val="ListParagraph"/>
        <w:numPr>
          <w:ilvl w:val="0"/>
          <w:numId w:val="1"/>
        </w:numPr>
        <w:snapToGrid w:val="0"/>
        <w:spacing w:after="0" w:line="240" w:lineRule="auto"/>
        <w:ind w:hanging="630"/>
        <w:jc w:val="both"/>
        <w:rPr>
          <w:rStyle w:val="citation"/>
          <w:rFonts w:ascii="Times New Roman" w:hAnsi="Times New Roman" w:cs="Times New Roman"/>
          <w:sz w:val="20"/>
          <w:szCs w:val="20"/>
        </w:rPr>
      </w:pPr>
      <w:r>
        <w:rPr>
          <w:rStyle w:val="citation"/>
          <w:rFonts w:ascii="Times New Roman" w:hAnsi="Times New Roman" w:cs="Times New Roman"/>
          <w:sz w:val="20"/>
          <w:szCs w:val="20"/>
        </w:rPr>
        <w:t xml:space="preserve">Atlas, R.M. (1995). </w:t>
      </w:r>
      <w:r>
        <w:rPr>
          <w:rStyle w:val="citation"/>
          <w:rFonts w:ascii="Times New Roman" w:hAnsi="Times New Roman" w:cs="Times New Roman"/>
          <w:i/>
          <w:sz w:val="20"/>
          <w:szCs w:val="20"/>
        </w:rPr>
        <w:t>Microorganisms in our world</w:t>
      </w:r>
      <w:r>
        <w:rPr>
          <w:rStyle w:val="citation"/>
          <w:rFonts w:ascii="Times New Roman" w:hAnsi="Times New Roman" w:cs="Times New Roman"/>
          <w:sz w:val="20"/>
          <w:szCs w:val="20"/>
        </w:rPr>
        <w:t>. Mosby-Year Book Inc., St. Louis, Missouri.</w:t>
      </w:r>
    </w:p>
    <w:p w14:paraId="4C8593B9" w14:textId="77777777" w:rsidR="007333E1" w:rsidRDefault="00C8585E" w:rsidP="00067D8C">
      <w:pPr>
        <w:pStyle w:val="ListParagraph"/>
        <w:numPr>
          <w:ilvl w:val="0"/>
          <w:numId w:val="1"/>
        </w:numPr>
        <w:snapToGrid w:val="0"/>
        <w:spacing w:after="0" w:line="240" w:lineRule="auto"/>
        <w:ind w:hanging="630"/>
        <w:jc w:val="both"/>
        <w:rPr>
          <w:rStyle w:val="citation"/>
          <w:rFonts w:ascii="Times New Roman" w:hAnsi="Times New Roman" w:cs="Times New Roman"/>
          <w:sz w:val="20"/>
          <w:szCs w:val="20"/>
        </w:rPr>
      </w:pPr>
      <w:proofErr w:type="spellStart"/>
      <w:r>
        <w:rPr>
          <w:rFonts w:ascii="Times New Roman" w:hAnsi="Times New Roman" w:cs="Times New Roman"/>
          <w:bCs/>
          <w:sz w:val="20"/>
          <w:szCs w:val="20"/>
          <w:lang w:val="en-GB"/>
        </w:rPr>
        <w:t>Barisisia</w:t>
      </w:r>
      <w:proofErr w:type="spellEnd"/>
      <w:r>
        <w:rPr>
          <w:rFonts w:ascii="Times New Roman" w:hAnsi="Times New Roman" w:cs="Times New Roman"/>
          <w:bCs/>
          <w:sz w:val="20"/>
          <w:szCs w:val="20"/>
          <w:lang w:val="en-GB"/>
        </w:rPr>
        <w:t xml:space="preserve"> Maxwell </w:t>
      </w:r>
      <w:proofErr w:type="spellStart"/>
      <w:r>
        <w:rPr>
          <w:rFonts w:ascii="Times New Roman" w:hAnsi="Times New Roman" w:cs="Times New Roman"/>
          <w:bCs/>
          <w:sz w:val="20"/>
          <w:szCs w:val="20"/>
          <w:lang w:val="en-GB"/>
        </w:rPr>
        <w:t>Barine</w:t>
      </w:r>
      <w:proofErr w:type="spellEnd"/>
      <w:r>
        <w:rPr>
          <w:rFonts w:ascii="Times New Roman" w:hAnsi="Times New Roman" w:cs="Times New Roman"/>
          <w:bCs/>
          <w:sz w:val="20"/>
          <w:szCs w:val="20"/>
          <w:lang w:val="en-GB"/>
        </w:rPr>
        <w:t xml:space="preserve">, Bright </w:t>
      </w:r>
      <w:proofErr w:type="spellStart"/>
      <w:r>
        <w:rPr>
          <w:rFonts w:ascii="Times New Roman" w:hAnsi="Times New Roman" w:cs="Times New Roman"/>
          <w:bCs/>
          <w:sz w:val="20"/>
          <w:szCs w:val="20"/>
          <w:lang w:val="en-GB"/>
        </w:rPr>
        <w:t>Fegenyie</w:t>
      </w:r>
      <w:proofErr w:type="spellEnd"/>
      <w:r>
        <w:rPr>
          <w:rFonts w:ascii="Times New Roman" w:hAnsi="Times New Roman" w:cs="Times New Roman"/>
          <w:bCs/>
          <w:sz w:val="20"/>
          <w:szCs w:val="20"/>
          <w:lang w:val="en-GB"/>
        </w:rPr>
        <w:t xml:space="preserve"> </w:t>
      </w:r>
      <w:proofErr w:type="spellStart"/>
      <w:r>
        <w:rPr>
          <w:rFonts w:ascii="Times New Roman" w:hAnsi="Times New Roman" w:cs="Times New Roman"/>
          <w:bCs/>
          <w:sz w:val="20"/>
          <w:szCs w:val="20"/>
          <w:lang w:val="en-GB"/>
        </w:rPr>
        <w:t>Erenee</w:t>
      </w:r>
      <w:proofErr w:type="spellEnd"/>
      <w:r>
        <w:rPr>
          <w:rFonts w:ascii="Times New Roman" w:hAnsi="Times New Roman" w:cs="Times New Roman"/>
          <w:bCs/>
          <w:sz w:val="20"/>
          <w:szCs w:val="20"/>
          <w:lang w:val="en-GB"/>
        </w:rPr>
        <w:t xml:space="preserve">, </w:t>
      </w:r>
      <w:proofErr w:type="spellStart"/>
      <w:r>
        <w:rPr>
          <w:rFonts w:ascii="Times New Roman" w:hAnsi="Times New Roman" w:cs="Times New Roman"/>
          <w:bCs/>
          <w:sz w:val="20"/>
          <w:szCs w:val="20"/>
          <w:lang w:val="en-GB"/>
        </w:rPr>
        <w:t>Leera</w:t>
      </w:r>
      <w:proofErr w:type="spellEnd"/>
      <w:r>
        <w:rPr>
          <w:rFonts w:ascii="Times New Roman" w:hAnsi="Times New Roman" w:cs="Times New Roman"/>
          <w:bCs/>
          <w:sz w:val="20"/>
          <w:szCs w:val="20"/>
          <w:lang w:val="en-GB"/>
        </w:rPr>
        <w:t xml:space="preserve"> Solomon (2016). </w:t>
      </w:r>
      <w:r>
        <w:rPr>
          <w:rFonts w:ascii="Times New Roman" w:hAnsi="Times New Roman" w:cs="Times New Roman"/>
          <w:iCs/>
          <w:sz w:val="20"/>
          <w:szCs w:val="20"/>
        </w:rPr>
        <w:t xml:space="preserve">Prevalence of </w:t>
      </w:r>
      <w:r>
        <w:rPr>
          <w:rFonts w:ascii="Times New Roman" w:hAnsi="Times New Roman" w:cs="Times New Roman"/>
          <w:i/>
          <w:iCs/>
          <w:sz w:val="20"/>
          <w:szCs w:val="20"/>
        </w:rPr>
        <w:t>Helico</w:t>
      </w:r>
      <w:r>
        <w:rPr>
          <w:rFonts w:ascii="Times New Roman" w:hAnsi="Times New Roman" w:cs="Times New Roman"/>
          <w:i/>
          <w:iCs/>
          <w:sz w:val="20"/>
          <w:szCs w:val="20"/>
        </w:rPr>
        <w:t>bacter pylori</w:t>
      </w:r>
      <w:r>
        <w:rPr>
          <w:rFonts w:ascii="Times New Roman" w:hAnsi="Times New Roman" w:cs="Times New Roman"/>
          <w:iCs/>
          <w:sz w:val="20"/>
          <w:szCs w:val="20"/>
        </w:rPr>
        <w:t xml:space="preserve"> antibodies among patients in the University of Port Harcourt Medical Center and </w:t>
      </w:r>
      <w:r>
        <w:rPr>
          <w:rFonts w:ascii="Times New Roman" w:hAnsi="Times New Roman" w:cs="Times New Roman"/>
          <w:sz w:val="20"/>
          <w:szCs w:val="20"/>
        </w:rPr>
        <w:t>Braithwaite Memorial Specialist Hospital, Port Harcourt.</w:t>
      </w:r>
      <w:r>
        <w:rPr>
          <w:rFonts w:ascii="Times New Roman" w:hAnsi="Times New Roman" w:cs="Times New Roman"/>
          <w:i/>
          <w:sz w:val="20"/>
          <w:szCs w:val="20"/>
        </w:rPr>
        <w:t xml:space="preserve"> Journal of American Science</w:t>
      </w:r>
      <w:r>
        <w:rPr>
          <w:rFonts w:ascii="Times New Roman" w:hAnsi="Times New Roman" w:cs="Times New Roman"/>
          <w:i/>
          <w:iCs/>
          <w:sz w:val="20"/>
          <w:szCs w:val="20"/>
        </w:rPr>
        <w:t xml:space="preserve">, </w:t>
      </w:r>
      <w:r>
        <w:rPr>
          <w:rFonts w:ascii="Times New Roman" w:hAnsi="Times New Roman" w:cs="Times New Roman"/>
          <w:iCs/>
          <w:sz w:val="20"/>
          <w:szCs w:val="20"/>
        </w:rPr>
        <w:t>8(6):1-4.</w:t>
      </w:r>
    </w:p>
    <w:p w14:paraId="3B8105CF" w14:textId="77777777" w:rsidR="007333E1" w:rsidRDefault="00C8585E" w:rsidP="00067D8C">
      <w:pPr>
        <w:pStyle w:val="ListParagraph"/>
        <w:numPr>
          <w:ilvl w:val="0"/>
          <w:numId w:val="1"/>
        </w:numPr>
        <w:snapToGrid w:val="0"/>
        <w:spacing w:after="0" w:line="240" w:lineRule="auto"/>
        <w:ind w:hanging="630"/>
        <w:jc w:val="both"/>
        <w:rPr>
          <w:rStyle w:val="citation"/>
          <w:rFonts w:ascii="Times New Roman" w:hAnsi="Times New Roman" w:cs="Times New Roman"/>
          <w:sz w:val="20"/>
          <w:szCs w:val="20"/>
        </w:rPr>
      </w:pPr>
      <w:proofErr w:type="spellStart"/>
      <w:r>
        <w:rPr>
          <w:rStyle w:val="citation"/>
          <w:rFonts w:ascii="Times New Roman" w:hAnsi="Times New Roman" w:cs="Times New Roman"/>
          <w:sz w:val="20"/>
          <w:szCs w:val="20"/>
        </w:rPr>
        <w:t>Blasér</w:t>
      </w:r>
      <w:proofErr w:type="spellEnd"/>
      <w:r>
        <w:rPr>
          <w:rStyle w:val="citation"/>
          <w:rFonts w:ascii="Times New Roman" w:hAnsi="Times New Roman" w:cs="Times New Roman"/>
          <w:sz w:val="20"/>
          <w:szCs w:val="20"/>
        </w:rPr>
        <w:t xml:space="preserve">, M.J. (2005). An endangered species in the stomach. </w:t>
      </w:r>
      <w:r>
        <w:rPr>
          <w:rStyle w:val="citation"/>
          <w:rFonts w:ascii="Times New Roman" w:hAnsi="Times New Roman" w:cs="Times New Roman"/>
          <w:i/>
          <w:iCs/>
          <w:sz w:val="20"/>
          <w:szCs w:val="20"/>
        </w:rPr>
        <w:t xml:space="preserve">Scientific Americana, </w:t>
      </w:r>
      <w:r>
        <w:rPr>
          <w:rStyle w:val="citation"/>
          <w:rFonts w:ascii="Times New Roman" w:hAnsi="Times New Roman" w:cs="Times New Roman"/>
          <w:bCs/>
          <w:sz w:val="20"/>
          <w:szCs w:val="20"/>
        </w:rPr>
        <w:t>292</w:t>
      </w:r>
      <w:r>
        <w:rPr>
          <w:rStyle w:val="citation"/>
          <w:rFonts w:ascii="Times New Roman" w:hAnsi="Times New Roman" w:cs="Times New Roman"/>
          <w:sz w:val="20"/>
          <w:szCs w:val="20"/>
        </w:rPr>
        <w:t xml:space="preserve"> (2): 38–45.</w:t>
      </w:r>
    </w:p>
    <w:p w14:paraId="5FC8BBBA"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proofErr w:type="spellStart"/>
      <w:r>
        <w:rPr>
          <w:rFonts w:ascii="Times New Roman" w:eastAsia="Arial Unicode MS" w:hAnsi="Times New Roman" w:cs="Times New Roman"/>
          <w:w w:val="101"/>
          <w:sz w:val="20"/>
          <w:szCs w:val="20"/>
        </w:rPr>
        <w:t>Bontems</w:t>
      </w:r>
      <w:proofErr w:type="spellEnd"/>
      <w:r>
        <w:rPr>
          <w:rFonts w:ascii="Times New Roman" w:eastAsia="Arial Unicode MS" w:hAnsi="Times New Roman" w:cs="Times New Roman"/>
          <w:w w:val="101"/>
          <w:sz w:val="20"/>
          <w:szCs w:val="20"/>
        </w:rPr>
        <w:t xml:space="preserve">, P., Fabienne. R, Van </w:t>
      </w:r>
      <w:proofErr w:type="spellStart"/>
      <w:r>
        <w:rPr>
          <w:rFonts w:ascii="Times New Roman" w:eastAsia="Arial Unicode MS" w:hAnsi="Times New Roman" w:cs="Times New Roman"/>
          <w:w w:val="101"/>
          <w:sz w:val="20"/>
          <w:szCs w:val="20"/>
        </w:rPr>
        <w:t>Gossum</w:t>
      </w:r>
      <w:proofErr w:type="spellEnd"/>
      <w:r>
        <w:rPr>
          <w:rFonts w:ascii="Times New Roman" w:eastAsia="Arial Unicode MS" w:hAnsi="Times New Roman" w:cs="Times New Roman"/>
          <w:w w:val="101"/>
          <w:sz w:val="20"/>
          <w:szCs w:val="20"/>
        </w:rPr>
        <w:t xml:space="preserve"> A, </w:t>
      </w:r>
      <w:proofErr w:type="spellStart"/>
      <w:r>
        <w:rPr>
          <w:rFonts w:ascii="Times New Roman" w:eastAsia="Arial Unicode MS" w:hAnsi="Times New Roman" w:cs="Times New Roman"/>
          <w:w w:val="101"/>
          <w:sz w:val="20"/>
          <w:szCs w:val="20"/>
        </w:rPr>
        <w:t>Cadranel</w:t>
      </w:r>
      <w:proofErr w:type="spellEnd"/>
      <w:r>
        <w:rPr>
          <w:rFonts w:ascii="Times New Roman" w:eastAsia="Arial Unicode MS" w:hAnsi="Times New Roman" w:cs="Times New Roman"/>
          <w:w w:val="101"/>
          <w:sz w:val="20"/>
          <w:szCs w:val="20"/>
        </w:rPr>
        <w:t xml:space="preserve">, S. and </w:t>
      </w:r>
      <w:proofErr w:type="spellStart"/>
      <w:r>
        <w:rPr>
          <w:rFonts w:ascii="Times New Roman" w:eastAsia="Arial Unicode MS" w:hAnsi="Times New Roman" w:cs="Times New Roman"/>
          <w:w w:val="101"/>
          <w:sz w:val="20"/>
          <w:szCs w:val="20"/>
        </w:rPr>
        <w:t>Mascart</w:t>
      </w:r>
      <w:proofErr w:type="spellEnd"/>
      <w:r>
        <w:rPr>
          <w:rFonts w:ascii="Times New Roman" w:eastAsia="Arial Unicode MS" w:hAnsi="Times New Roman" w:cs="Times New Roman"/>
          <w:w w:val="101"/>
          <w:sz w:val="20"/>
          <w:szCs w:val="20"/>
        </w:rPr>
        <w:t>, F. (</w:t>
      </w:r>
      <w:r>
        <w:rPr>
          <w:rFonts w:ascii="Times New Roman" w:eastAsia="Arial Unicode MS" w:hAnsi="Times New Roman" w:cs="Times New Roman"/>
          <w:spacing w:val="-1"/>
          <w:sz w:val="20"/>
          <w:szCs w:val="20"/>
        </w:rPr>
        <w:t>2003).</w:t>
      </w:r>
      <w:r>
        <w:rPr>
          <w:rFonts w:ascii="Times New Roman" w:eastAsia="Arial Unicode MS" w:hAnsi="Times New Roman" w:cs="Times New Roman"/>
          <w:spacing w:val="-4"/>
          <w:sz w:val="20"/>
          <w:szCs w:val="20"/>
        </w:rPr>
        <w:t xml:space="preserve"> </w:t>
      </w:r>
      <w:r>
        <w:rPr>
          <w:rFonts w:ascii="Times New Roman" w:eastAsia="Arial Unicode MS" w:hAnsi="Times New Roman" w:cs="Times New Roman"/>
          <w:i/>
          <w:w w:val="101"/>
          <w:sz w:val="20"/>
          <w:szCs w:val="20"/>
        </w:rPr>
        <w:t>Helicobacter pylori</w:t>
      </w:r>
      <w:r>
        <w:rPr>
          <w:rFonts w:ascii="Times New Roman" w:eastAsia="Arial Unicode MS" w:hAnsi="Times New Roman" w:cs="Times New Roman"/>
          <w:w w:val="101"/>
          <w:sz w:val="20"/>
          <w:szCs w:val="20"/>
        </w:rPr>
        <w:t xml:space="preserve"> modulation of gastric and duodenal mucosal </w:t>
      </w:r>
      <w:r>
        <w:rPr>
          <w:rFonts w:ascii="Times New Roman" w:eastAsia="Arial Unicode MS" w:hAnsi="Times New Roman" w:cs="Times New Roman"/>
          <w:sz w:val="20"/>
          <w:szCs w:val="20"/>
        </w:rPr>
        <w:t>T cell cytokine sec</w:t>
      </w:r>
      <w:r>
        <w:rPr>
          <w:rFonts w:ascii="Times New Roman" w:eastAsia="Arial Unicode MS" w:hAnsi="Times New Roman" w:cs="Times New Roman"/>
          <w:sz w:val="20"/>
          <w:szCs w:val="20"/>
        </w:rPr>
        <w:t xml:space="preserve">retions </w:t>
      </w:r>
      <w:r>
        <w:rPr>
          <w:rFonts w:ascii="Times New Roman" w:eastAsia="Arial Unicode MS" w:hAnsi="Times New Roman" w:cs="Times New Roman"/>
          <w:sz w:val="20"/>
          <w:szCs w:val="20"/>
        </w:rPr>
        <w:t xml:space="preserve">in children compared with adults. </w:t>
      </w:r>
      <w:r>
        <w:rPr>
          <w:rFonts w:ascii="Times New Roman" w:eastAsia="Arial Unicode MS" w:hAnsi="Times New Roman" w:cs="Times New Roman"/>
          <w:i/>
          <w:sz w:val="20"/>
          <w:szCs w:val="20"/>
        </w:rPr>
        <w:t>Heli</w:t>
      </w:r>
      <w:r>
        <w:rPr>
          <w:rFonts w:ascii="Times New Roman" w:eastAsia="Arial Unicode MS" w:hAnsi="Times New Roman" w:cs="Times New Roman"/>
          <w:i/>
          <w:spacing w:val="-1"/>
          <w:sz w:val="20"/>
          <w:szCs w:val="20"/>
        </w:rPr>
        <w:t>cobacter,</w:t>
      </w:r>
      <w:r>
        <w:rPr>
          <w:rFonts w:ascii="Times New Roman" w:eastAsia="Arial Unicode MS" w:hAnsi="Times New Roman" w:cs="Times New Roman"/>
          <w:b/>
          <w:spacing w:val="-1"/>
          <w:sz w:val="20"/>
          <w:szCs w:val="20"/>
        </w:rPr>
        <w:t xml:space="preserve"> </w:t>
      </w:r>
      <w:r>
        <w:rPr>
          <w:rFonts w:ascii="Times New Roman" w:eastAsia="Arial Unicode MS" w:hAnsi="Times New Roman" w:cs="Times New Roman"/>
          <w:spacing w:val="-1"/>
          <w:sz w:val="20"/>
          <w:szCs w:val="20"/>
        </w:rPr>
        <w:t>8 (3):216-226.</w:t>
      </w:r>
    </w:p>
    <w:p w14:paraId="32D6AD22"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r>
        <w:rPr>
          <w:rStyle w:val="citation"/>
          <w:rFonts w:ascii="Times New Roman" w:hAnsi="Times New Roman" w:cs="Times New Roman"/>
          <w:sz w:val="20"/>
          <w:szCs w:val="20"/>
        </w:rPr>
        <w:t xml:space="preserve">Brown, L.M. (2000). </w:t>
      </w:r>
      <w:hyperlink r:id="rId15" w:history="1">
        <w:r>
          <w:rPr>
            <w:rStyle w:val="Hyperlink"/>
            <w:rFonts w:ascii="Times New Roman" w:hAnsi="Times New Roman" w:cs="Times New Roman"/>
            <w:i/>
            <w:iCs/>
            <w:color w:val="auto"/>
            <w:sz w:val="20"/>
            <w:szCs w:val="20"/>
            <w:u w:val="none"/>
          </w:rPr>
          <w:t>Helicobacter pylori</w:t>
        </w:r>
        <w:r>
          <w:rPr>
            <w:rStyle w:val="Hyperlink"/>
            <w:rFonts w:ascii="Times New Roman" w:hAnsi="Times New Roman" w:cs="Times New Roman"/>
            <w:color w:val="auto"/>
            <w:sz w:val="20"/>
            <w:szCs w:val="20"/>
            <w:u w:val="none"/>
          </w:rPr>
          <w:t xml:space="preserve"> epidemiology and routes of transmission</w:t>
        </w:r>
      </w:hyperlink>
      <w:r>
        <w:rPr>
          <w:rStyle w:val="citation"/>
          <w:rFonts w:ascii="Times New Roman" w:hAnsi="Times New Roman" w:cs="Times New Roman"/>
          <w:sz w:val="20"/>
          <w:szCs w:val="20"/>
        </w:rPr>
        <w:t xml:space="preserve"> </w:t>
      </w:r>
      <w:r>
        <w:rPr>
          <w:rStyle w:val="citation"/>
          <w:rFonts w:ascii="Times New Roman" w:hAnsi="Times New Roman" w:cs="Times New Roman"/>
          <w:i/>
          <w:iCs/>
          <w:sz w:val="20"/>
          <w:szCs w:val="20"/>
        </w:rPr>
        <w:t>Epidemiol Rev</w:t>
      </w:r>
      <w:r>
        <w:rPr>
          <w:rStyle w:val="citation"/>
          <w:rFonts w:ascii="Times New Roman" w:hAnsi="Times New Roman" w:cs="Times New Roman"/>
          <w:sz w:val="20"/>
          <w:szCs w:val="20"/>
        </w:rPr>
        <w:t>.</w:t>
      </w:r>
      <w:r>
        <w:rPr>
          <w:rStyle w:val="citation"/>
          <w:rFonts w:ascii="Times New Roman" w:hAnsi="Times New Roman" w:cs="Times New Roman"/>
          <w:bCs/>
          <w:sz w:val="20"/>
          <w:szCs w:val="20"/>
        </w:rPr>
        <w:t>22</w:t>
      </w:r>
      <w:r>
        <w:rPr>
          <w:rStyle w:val="citation"/>
          <w:rFonts w:ascii="Times New Roman" w:hAnsi="Times New Roman" w:cs="Times New Roman"/>
          <w:sz w:val="20"/>
          <w:szCs w:val="20"/>
        </w:rPr>
        <w:t xml:space="preserve"> (2): 283-297</w:t>
      </w:r>
    </w:p>
    <w:p w14:paraId="70BCADAB"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proofErr w:type="spellStart"/>
      <w:r>
        <w:rPr>
          <w:rFonts w:ascii="Times New Roman" w:eastAsia="Arial Unicode MS" w:hAnsi="Times New Roman" w:cs="Times New Roman"/>
          <w:spacing w:val="-1"/>
          <w:sz w:val="20"/>
          <w:szCs w:val="20"/>
        </w:rPr>
        <w:t>Cheesbrough</w:t>
      </w:r>
      <w:proofErr w:type="spellEnd"/>
      <w:r>
        <w:rPr>
          <w:rFonts w:ascii="Times New Roman" w:eastAsia="Arial Unicode MS" w:hAnsi="Times New Roman" w:cs="Times New Roman"/>
          <w:spacing w:val="-1"/>
          <w:sz w:val="20"/>
          <w:szCs w:val="20"/>
        </w:rPr>
        <w:t xml:space="preserve">, M. (2004). </w:t>
      </w:r>
      <w:r>
        <w:rPr>
          <w:rFonts w:ascii="Times New Roman" w:eastAsia="Arial Unicode MS" w:hAnsi="Times New Roman" w:cs="Times New Roman"/>
          <w:i/>
          <w:spacing w:val="-1"/>
          <w:sz w:val="20"/>
          <w:szCs w:val="20"/>
        </w:rPr>
        <w:t xml:space="preserve">District Laboratory Practice in Tropical Countries, </w:t>
      </w:r>
      <w:r>
        <w:rPr>
          <w:rFonts w:ascii="Times New Roman" w:eastAsia="Arial Unicode MS" w:hAnsi="Times New Roman" w:cs="Times New Roman"/>
          <w:spacing w:val="-1"/>
          <w:sz w:val="20"/>
          <w:szCs w:val="20"/>
        </w:rPr>
        <w:t>Part 1, LP ed. Cambridge University Press, London.</w:t>
      </w:r>
    </w:p>
    <w:p w14:paraId="115F5B6E"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r>
        <w:rPr>
          <w:rFonts w:ascii="Times New Roman" w:eastAsia="Arial Unicode MS" w:hAnsi="Times New Roman" w:cs="Times New Roman"/>
          <w:spacing w:val="-1"/>
          <w:sz w:val="20"/>
          <w:szCs w:val="20"/>
        </w:rPr>
        <w:t xml:space="preserve">Cohen M.S., Hellmann N., </w:t>
      </w:r>
      <w:proofErr w:type="spellStart"/>
      <w:r>
        <w:rPr>
          <w:rFonts w:ascii="Times New Roman" w:eastAsia="Arial Unicode MS" w:hAnsi="Times New Roman" w:cs="Times New Roman"/>
          <w:spacing w:val="-1"/>
          <w:sz w:val="20"/>
          <w:szCs w:val="20"/>
        </w:rPr>
        <w:t>DeCock</w:t>
      </w:r>
      <w:proofErr w:type="spellEnd"/>
      <w:r>
        <w:rPr>
          <w:rFonts w:ascii="Times New Roman" w:eastAsia="Arial Unicode MS" w:hAnsi="Times New Roman" w:cs="Times New Roman"/>
          <w:spacing w:val="-1"/>
          <w:sz w:val="20"/>
          <w:szCs w:val="20"/>
        </w:rPr>
        <w:t xml:space="preserve"> K., Lange J., (2008). T</w:t>
      </w:r>
      <w:r>
        <w:rPr>
          <w:rFonts w:ascii="Times New Roman" w:eastAsia="Arial Unicode MS" w:hAnsi="Times New Roman" w:cs="Times New Roman"/>
          <w:spacing w:val="-1"/>
          <w:sz w:val="20"/>
          <w:szCs w:val="20"/>
        </w:rPr>
        <w:t xml:space="preserve">he spread, treatment and prevention of HIV—1: evolution of a global epidemic. </w:t>
      </w:r>
      <w:r>
        <w:rPr>
          <w:rFonts w:ascii="Times New Roman" w:eastAsia="Arial Unicode MS" w:hAnsi="Times New Roman" w:cs="Times New Roman"/>
          <w:i/>
          <w:spacing w:val="-1"/>
          <w:sz w:val="20"/>
          <w:szCs w:val="20"/>
        </w:rPr>
        <w:t xml:space="preserve">The Journal of Clinical Investigation </w:t>
      </w:r>
      <w:r>
        <w:rPr>
          <w:rFonts w:ascii="Times New Roman" w:eastAsia="Arial Unicode MS" w:hAnsi="Times New Roman" w:cs="Times New Roman"/>
          <w:spacing w:val="-1"/>
          <w:sz w:val="20"/>
          <w:szCs w:val="20"/>
        </w:rPr>
        <w:t>118 (4): 1244-1254.</w:t>
      </w:r>
    </w:p>
    <w:p w14:paraId="12434A6E"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proofErr w:type="spellStart"/>
      <w:r>
        <w:rPr>
          <w:rFonts w:ascii="Times New Roman" w:hAnsi="Times New Roman" w:cs="Times New Roman"/>
          <w:sz w:val="20"/>
          <w:szCs w:val="20"/>
        </w:rPr>
        <w:t>Joav</w:t>
      </w:r>
      <w:proofErr w:type="spellEnd"/>
      <w:r>
        <w:rPr>
          <w:rFonts w:ascii="Times New Roman" w:hAnsi="Times New Roman" w:cs="Times New Roman"/>
          <w:sz w:val="20"/>
          <w:szCs w:val="20"/>
        </w:rPr>
        <w:t xml:space="preserve">, M., Mohammed, M., </w:t>
      </w:r>
      <w:proofErr w:type="spellStart"/>
      <w:r>
        <w:rPr>
          <w:rFonts w:ascii="Times New Roman" w:hAnsi="Times New Roman" w:cs="Times New Roman"/>
          <w:sz w:val="20"/>
          <w:szCs w:val="20"/>
        </w:rPr>
        <w:t>Isack</w:t>
      </w:r>
      <w:proofErr w:type="spellEnd"/>
      <w:r>
        <w:rPr>
          <w:rFonts w:ascii="Times New Roman" w:hAnsi="Times New Roman" w:cs="Times New Roman"/>
          <w:sz w:val="20"/>
          <w:szCs w:val="20"/>
        </w:rPr>
        <w:t xml:space="preserve">, K. and </w:t>
      </w:r>
      <w:proofErr w:type="spellStart"/>
      <w:r>
        <w:rPr>
          <w:rFonts w:ascii="Times New Roman" w:hAnsi="Times New Roman" w:cs="Times New Roman"/>
          <w:sz w:val="20"/>
          <w:szCs w:val="20"/>
        </w:rPr>
        <w:t>Søren</w:t>
      </w:r>
      <w:proofErr w:type="spellEnd"/>
      <w:r>
        <w:rPr>
          <w:rFonts w:ascii="Times New Roman" w:hAnsi="Times New Roman" w:cs="Times New Roman"/>
          <w:sz w:val="20"/>
          <w:szCs w:val="20"/>
        </w:rPr>
        <w:t>, V. (2004). Prevalence of</w:t>
      </w:r>
      <w:r>
        <w:rPr>
          <w:rFonts w:ascii="Times New Roman" w:hAnsi="Times New Roman" w:cs="Times New Roman"/>
          <w:i/>
          <w:sz w:val="20"/>
          <w:szCs w:val="20"/>
        </w:rPr>
        <w:t xml:space="preserve"> Helicobacter pylori</w:t>
      </w:r>
      <w:r>
        <w:rPr>
          <w:rFonts w:ascii="Times New Roman" w:hAnsi="Times New Roman" w:cs="Times New Roman"/>
          <w:sz w:val="20"/>
          <w:szCs w:val="20"/>
        </w:rPr>
        <w:t xml:space="preserve"> infection in residential care </w:t>
      </w:r>
      <w:proofErr w:type="spellStart"/>
      <w:r>
        <w:rPr>
          <w:rFonts w:ascii="Times New Roman" w:hAnsi="Times New Roman" w:cs="Times New Roman"/>
          <w:sz w:val="20"/>
          <w:szCs w:val="20"/>
        </w:rPr>
        <w:t>centres</w:t>
      </w:r>
      <w:proofErr w:type="spellEnd"/>
      <w:r>
        <w:rPr>
          <w:rFonts w:ascii="Times New Roman" w:hAnsi="Times New Roman" w:cs="Times New Roman"/>
          <w:sz w:val="20"/>
          <w:szCs w:val="20"/>
        </w:rPr>
        <w:t xml:space="preserve"> for people with intellectual disability, </w:t>
      </w:r>
      <w:r>
        <w:rPr>
          <w:rFonts w:ascii="Times New Roman" w:hAnsi="Times New Roman" w:cs="Times New Roman"/>
          <w:i/>
          <w:sz w:val="20"/>
          <w:szCs w:val="20"/>
        </w:rPr>
        <w:t>BMJ Rapid Responses</w:t>
      </w:r>
      <w:r>
        <w:rPr>
          <w:rFonts w:ascii="Times New Roman" w:hAnsi="Times New Roman" w:cs="Times New Roman"/>
          <w:sz w:val="20"/>
          <w:szCs w:val="20"/>
        </w:rPr>
        <w:t>.435.</w:t>
      </w:r>
    </w:p>
    <w:p w14:paraId="3A8B0BAB" w14:textId="77777777" w:rsidR="007333E1" w:rsidRDefault="00C8585E" w:rsidP="00067D8C">
      <w:pPr>
        <w:pStyle w:val="ListParagraph"/>
        <w:numPr>
          <w:ilvl w:val="0"/>
          <w:numId w:val="1"/>
        </w:numPr>
        <w:snapToGrid w:val="0"/>
        <w:spacing w:after="0" w:line="240" w:lineRule="auto"/>
        <w:ind w:hanging="630"/>
        <w:jc w:val="both"/>
        <w:rPr>
          <w:rStyle w:val="citation"/>
          <w:rFonts w:ascii="Times New Roman" w:hAnsi="Times New Roman" w:cs="Times New Roman"/>
          <w:sz w:val="20"/>
          <w:szCs w:val="20"/>
        </w:rPr>
      </w:pPr>
      <w:proofErr w:type="spellStart"/>
      <w:r>
        <w:rPr>
          <w:rStyle w:val="citation"/>
          <w:rFonts w:ascii="Times New Roman" w:hAnsi="Times New Roman" w:cs="Times New Roman"/>
          <w:sz w:val="20"/>
          <w:szCs w:val="20"/>
        </w:rPr>
        <w:t>Konturek</w:t>
      </w:r>
      <w:proofErr w:type="spellEnd"/>
      <w:r>
        <w:rPr>
          <w:rStyle w:val="citation"/>
          <w:rFonts w:ascii="Times New Roman" w:hAnsi="Times New Roman" w:cs="Times New Roman"/>
          <w:sz w:val="20"/>
          <w:szCs w:val="20"/>
        </w:rPr>
        <w:t xml:space="preserve">, J.W. (2003). </w:t>
      </w:r>
      <w:r>
        <w:rPr>
          <w:rFonts w:ascii="Times New Roman" w:hAnsi="Times New Roman" w:cs="Times New Roman"/>
          <w:sz w:val="20"/>
          <w:szCs w:val="20"/>
        </w:rPr>
        <w:t xml:space="preserve">Discovery by Jaworski of </w:t>
      </w:r>
      <w:r>
        <w:rPr>
          <w:rFonts w:ascii="Times New Roman" w:hAnsi="Times New Roman" w:cs="Times New Roman"/>
          <w:i/>
          <w:iCs/>
          <w:sz w:val="20"/>
          <w:szCs w:val="20"/>
        </w:rPr>
        <w:t>Helicobacter pylori</w:t>
      </w:r>
      <w:r>
        <w:rPr>
          <w:rFonts w:ascii="Times New Roman" w:hAnsi="Times New Roman" w:cs="Times New Roman"/>
          <w:sz w:val="20"/>
          <w:szCs w:val="20"/>
        </w:rPr>
        <w:t xml:space="preserve"> and its pathogenetic role in peptic ulcer, gastritis and gastric cancer,</w:t>
      </w:r>
      <w:r>
        <w:rPr>
          <w:rStyle w:val="citation"/>
          <w:rFonts w:ascii="Times New Roman" w:hAnsi="Times New Roman" w:cs="Times New Roman"/>
          <w:sz w:val="20"/>
          <w:szCs w:val="20"/>
        </w:rPr>
        <w:t xml:space="preserve"> J</w:t>
      </w:r>
      <w:r>
        <w:rPr>
          <w:rStyle w:val="citation"/>
          <w:rFonts w:ascii="Times New Roman" w:hAnsi="Times New Roman" w:cs="Times New Roman"/>
          <w:i/>
          <w:iCs/>
          <w:sz w:val="20"/>
          <w:szCs w:val="20"/>
        </w:rPr>
        <w:t>. Physiol</w:t>
      </w:r>
      <w:r>
        <w:rPr>
          <w:rStyle w:val="citation"/>
          <w:rFonts w:ascii="Times New Roman" w:hAnsi="Times New Roman" w:cs="Times New Roman"/>
          <w:i/>
          <w:iCs/>
          <w:sz w:val="20"/>
          <w:szCs w:val="20"/>
        </w:rPr>
        <w:t xml:space="preserve">. </w:t>
      </w:r>
      <w:proofErr w:type="spellStart"/>
      <w:r>
        <w:rPr>
          <w:rStyle w:val="citation"/>
          <w:rFonts w:ascii="Times New Roman" w:hAnsi="Times New Roman" w:cs="Times New Roman"/>
          <w:i/>
          <w:iCs/>
          <w:sz w:val="20"/>
          <w:szCs w:val="20"/>
        </w:rPr>
        <w:t>Pharmacol</w:t>
      </w:r>
      <w:proofErr w:type="spellEnd"/>
      <w:r>
        <w:rPr>
          <w:rStyle w:val="citation"/>
          <w:rFonts w:ascii="Times New Roman" w:hAnsi="Times New Roman" w:cs="Times New Roman"/>
          <w:i/>
          <w:iCs/>
          <w:sz w:val="20"/>
          <w:szCs w:val="20"/>
        </w:rPr>
        <w:t>.</w:t>
      </w:r>
      <w:r>
        <w:rPr>
          <w:rStyle w:val="citation"/>
          <w:rFonts w:ascii="Times New Roman" w:hAnsi="Times New Roman" w:cs="Times New Roman"/>
          <w:sz w:val="20"/>
          <w:szCs w:val="20"/>
        </w:rPr>
        <w:t xml:space="preserve"> </w:t>
      </w:r>
      <w:r>
        <w:rPr>
          <w:rStyle w:val="citation"/>
          <w:rFonts w:ascii="Times New Roman" w:hAnsi="Times New Roman" w:cs="Times New Roman"/>
          <w:bCs/>
          <w:sz w:val="20"/>
          <w:szCs w:val="20"/>
        </w:rPr>
        <w:t>54</w:t>
      </w:r>
      <w:r>
        <w:rPr>
          <w:rStyle w:val="citation"/>
          <w:rFonts w:ascii="Times New Roman" w:hAnsi="Times New Roman" w:cs="Times New Roman"/>
          <w:sz w:val="20"/>
          <w:szCs w:val="20"/>
        </w:rPr>
        <w:t xml:space="preserve"> (3): 23–41.</w:t>
      </w:r>
    </w:p>
    <w:p w14:paraId="034B7152" w14:textId="77777777" w:rsidR="007333E1" w:rsidRDefault="00C8585E" w:rsidP="00067D8C">
      <w:pPr>
        <w:pStyle w:val="ListParagraph"/>
        <w:numPr>
          <w:ilvl w:val="0"/>
          <w:numId w:val="1"/>
        </w:numPr>
        <w:snapToGrid w:val="0"/>
        <w:spacing w:after="0" w:line="240" w:lineRule="auto"/>
        <w:ind w:hanging="630"/>
        <w:jc w:val="both"/>
        <w:rPr>
          <w:rStyle w:val="citation"/>
          <w:rFonts w:ascii="Times New Roman" w:hAnsi="Times New Roman" w:cs="Times New Roman"/>
          <w:sz w:val="20"/>
          <w:szCs w:val="20"/>
        </w:rPr>
      </w:pPr>
      <w:r>
        <w:rPr>
          <w:rFonts w:ascii="Times New Roman" w:hAnsi="Times New Roman" w:cs="Times New Roman"/>
          <w:sz w:val="20"/>
          <w:szCs w:val="20"/>
          <w:shd w:val="clear" w:color="auto" w:fill="FFFFFF"/>
        </w:rPr>
        <w:t xml:space="preserve">Kusters, J. G., van Vliet, A. H., and </w:t>
      </w:r>
      <w:proofErr w:type="spellStart"/>
      <w:r>
        <w:rPr>
          <w:rFonts w:ascii="Times New Roman" w:hAnsi="Times New Roman" w:cs="Times New Roman"/>
          <w:sz w:val="20"/>
          <w:szCs w:val="20"/>
          <w:shd w:val="clear" w:color="auto" w:fill="FFFFFF"/>
        </w:rPr>
        <w:t>Kuipers</w:t>
      </w:r>
      <w:proofErr w:type="spellEnd"/>
      <w:r>
        <w:rPr>
          <w:rFonts w:ascii="Times New Roman" w:hAnsi="Times New Roman" w:cs="Times New Roman"/>
          <w:sz w:val="20"/>
          <w:szCs w:val="20"/>
          <w:shd w:val="clear" w:color="auto" w:fill="FFFFFF"/>
        </w:rPr>
        <w:t>, E. J. (2006). Pathogenesis of Helicobacter pylori infection. </w:t>
      </w:r>
      <w:r>
        <w:rPr>
          <w:rFonts w:ascii="Times New Roman" w:hAnsi="Times New Roman" w:cs="Times New Roman"/>
          <w:i/>
          <w:iCs/>
          <w:sz w:val="20"/>
          <w:szCs w:val="20"/>
          <w:shd w:val="clear" w:color="auto" w:fill="FFFFFF"/>
        </w:rPr>
        <w:t>Clinical microbiology reviews</w:t>
      </w:r>
      <w:r>
        <w:rPr>
          <w:rFonts w:ascii="Times New Roman" w:hAnsi="Times New Roman" w:cs="Times New Roman"/>
          <w:sz w:val="20"/>
          <w:szCs w:val="20"/>
          <w:shd w:val="clear" w:color="auto" w:fill="FFFFFF"/>
        </w:rPr>
        <w:t>, </w:t>
      </w:r>
      <w:r>
        <w:rPr>
          <w:rFonts w:ascii="Times New Roman" w:hAnsi="Times New Roman" w:cs="Times New Roman"/>
          <w:i/>
          <w:iCs/>
          <w:sz w:val="20"/>
          <w:szCs w:val="20"/>
          <w:shd w:val="clear" w:color="auto" w:fill="FFFFFF"/>
        </w:rPr>
        <w:t>19</w:t>
      </w:r>
      <w:r>
        <w:rPr>
          <w:rFonts w:ascii="Times New Roman" w:hAnsi="Times New Roman" w:cs="Times New Roman"/>
          <w:sz w:val="20"/>
          <w:szCs w:val="20"/>
          <w:shd w:val="clear" w:color="auto" w:fill="FFFFFF"/>
        </w:rPr>
        <w:t>(3), 449–490. doi:10.1128/CMR.00054-05</w:t>
      </w:r>
    </w:p>
    <w:p w14:paraId="0047143C"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r>
        <w:rPr>
          <w:rFonts w:ascii="Times New Roman" w:hAnsi="Times New Roman" w:cs="Times New Roman"/>
          <w:sz w:val="20"/>
          <w:szCs w:val="20"/>
        </w:rPr>
        <w:t xml:space="preserve">Lee, C. S., Kim, D., Jung, C. W. and Park, J.Y. (2003). </w:t>
      </w:r>
      <w:r>
        <w:rPr>
          <w:rFonts w:ascii="Times New Roman" w:hAnsi="Times New Roman" w:cs="Times New Roman"/>
          <w:bCs/>
          <w:sz w:val="20"/>
          <w:szCs w:val="20"/>
        </w:rPr>
        <w:t xml:space="preserve">Prevalence of </w:t>
      </w:r>
      <w:r>
        <w:rPr>
          <w:rFonts w:ascii="Times New Roman" w:hAnsi="Times New Roman" w:cs="Times New Roman"/>
          <w:bCs/>
          <w:i/>
          <w:sz w:val="20"/>
          <w:szCs w:val="20"/>
        </w:rPr>
        <w:t>Helicobacter pylori</w:t>
      </w:r>
      <w:r>
        <w:rPr>
          <w:rFonts w:ascii="Times New Roman" w:hAnsi="Times New Roman" w:cs="Times New Roman"/>
          <w:bCs/>
          <w:sz w:val="20"/>
          <w:szCs w:val="20"/>
        </w:rPr>
        <w:t xml:space="preserve"> in Bangladesh: Rapid urease test.</w:t>
      </w:r>
      <w:r>
        <w:rPr>
          <w:rFonts w:ascii="Times New Roman" w:hAnsi="Times New Roman" w:cs="Times New Roman"/>
          <w:sz w:val="20"/>
          <w:szCs w:val="20"/>
        </w:rPr>
        <w:t xml:space="preserve"> </w:t>
      </w:r>
      <w:r>
        <w:rPr>
          <w:rFonts w:ascii="Times New Roman" w:hAnsi="Times New Roman" w:cs="Times New Roman"/>
          <w:i/>
          <w:sz w:val="20"/>
          <w:szCs w:val="20"/>
        </w:rPr>
        <w:t>The ORION Medical Journal</w:t>
      </w:r>
      <w:r>
        <w:rPr>
          <w:rFonts w:ascii="Times New Roman" w:hAnsi="Times New Roman" w:cs="Times New Roman"/>
          <w:sz w:val="20"/>
          <w:szCs w:val="20"/>
        </w:rPr>
        <w:t>, 16:104-105.</w:t>
      </w:r>
    </w:p>
    <w:p w14:paraId="41DFF32D" w14:textId="77777777" w:rsidR="007333E1" w:rsidRDefault="00C8585E" w:rsidP="00067D8C">
      <w:pPr>
        <w:pStyle w:val="ListParagraph"/>
        <w:numPr>
          <w:ilvl w:val="0"/>
          <w:numId w:val="1"/>
        </w:numPr>
        <w:snapToGrid w:val="0"/>
        <w:spacing w:after="0" w:line="240" w:lineRule="auto"/>
        <w:ind w:hanging="630"/>
        <w:jc w:val="both"/>
        <w:rPr>
          <w:rStyle w:val="citation"/>
          <w:rFonts w:ascii="Times New Roman" w:hAnsi="Times New Roman" w:cs="Times New Roman"/>
          <w:sz w:val="20"/>
          <w:szCs w:val="20"/>
        </w:rPr>
      </w:pPr>
      <w:proofErr w:type="spellStart"/>
      <w:r>
        <w:rPr>
          <w:rStyle w:val="citation"/>
          <w:rFonts w:ascii="Times New Roman" w:hAnsi="Times New Roman" w:cs="Times New Roman"/>
          <w:sz w:val="20"/>
          <w:szCs w:val="20"/>
        </w:rPr>
        <w:t>Malaty</w:t>
      </w:r>
      <w:proofErr w:type="spellEnd"/>
      <w:r>
        <w:rPr>
          <w:rStyle w:val="citation"/>
          <w:rFonts w:ascii="Times New Roman" w:hAnsi="Times New Roman" w:cs="Times New Roman"/>
          <w:sz w:val="20"/>
          <w:szCs w:val="20"/>
        </w:rPr>
        <w:t>, H.M. (2007</w:t>
      </w:r>
      <w:proofErr w:type="gramStart"/>
      <w:r>
        <w:rPr>
          <w:rStyle w:val="citation"/>
          <w:rFonts w:ascii="Times New Roman" w:hAnsi="Times New Roman" w:cs="Times New Roman"/>
          <w:sz w:val="20"/>
          <w:szCs w:val="20"/>
        </w:rPr>
        <w:t>).Epidemiology</w:t>
      </w:r>
      <w:proofErr w:type="gramEnd"/>
      <w:r>
        <w:rPr>
          <w:rStyle w:val="citation"/>
          <w:rFonts w:ascii="Times New Roman" w:hAnsi="Times New Roman" w:cs="Times New Roman"/>
          <w:sz w:val="20"/>
          <w:szCs w:val="20"/>
        </w:rPr>
        <w:t xml:space="preserve"> of </w:t>
      </w:r>
      <w:r>
        <w:rPr>
          <w:rStyle w:val="citation"/>
          <w:rFonts w:ascii="Times New Roman" w:hAnsi="Times New Roman" w:cs="Times New Roman"/>
          <w:i/>
          <w:iCs/>
          <w:sz w:val="20"/>
          <w:szCs w:val="20"/>
        </w:rPr>
        <w:t>Helicobacter pylori</w:t>
      </w:r>
      <w:r>
        <w:rPr>
          <w:rStyle w:val="citation"/>
          <w:rFonts w:ascii="Times New Roman" w:hAnsi="Times New Roman" w:cs="Times New Roman"/>
          <w:sz w:val="20"/>
          <w:szCs w:val="20"/>
        </w:rPr>
        <w:t xml:space="preserve"> infection. </w:t>
      </w:r>
      <w:r>
        <w:rPr>
          <w:rStyle w:val="citation"/>
          <w:rFonts w:ascii="Times New Roman" w:hAnsi="Times New Roman" w:cs="Times New Roman"/>
          <w:i/>
          <w:iCs/>
          <w:sz w:val="20"/>
          <w:szCs w:val="20"/>
        </w:rPr>
        <w:t xml:space="preserve">Best </w:t>
      </w:r>
      <w:proofErr w:type="spellStart"/>
      <w:r>
        <w:rPr>
          <w:rStyle w:val="citation"/>
          <w:rFonts w:ascii="Times New Roman" w:hAnsi="Times New Roman" w:cs="Times New Roman"/>
          <w:i/>
          <w:iCs/>
          <w:sz w:val="20"/>
          <w:szCs w:val="20"/>
        </w:rPr>
        <w:t>Pract</w:t>
      </w:r>
      <w:proofErr w:type="spellEnd"/>
      <w:r>
        <w:rPr>
          <w:rStyle w:val="citation"/>
          <w:rFonts w:ascii="Times New Roman" w:hAnsi="Times New Roman" w:cs="Times New Roman"/>
          <w:i/>
          <w:iCs/>
          <w:sz w:val="20"/>
          <w:szCs w:val="20"/>
        </w:rPr>
        <w:t xml:space="preserve">. Res. </w:t>
      </w:r>
      <w:r>
        <w:rPr>
          <w:rStyle w:val="citation"/>
          <w:rFonts w:ascii="Times New Roman" w:hAnsi="Times New Roman" w:cs="Times New Roman"/>
          <w:i/>
          <w:iCs/>
          <w:sz w:val="20"/>
          <w:szCs w:val="20"/>
        </w:rPr>
        <w:t>Clin.     Gastroenterol.</w:t>
      </w:r>
      <w:r>
        <w:rPr>
          <w:rStyle w:val="citation"/>
          <w:rFonts w:ascii="Times New Roman" w:hAnsi="Times New Roman" w:cs="Times New Roman"/>
          <w:sz w:val="20"/>
          <w:szCs w:val="20"/>
        </w:rPr>
        <w:t xml:space="preserve"> </w:t>
      </w:r>
      <w:r>
        <w:rPr>
          <w:rStyle w:val="citation"/>
          <w:rFonts w:ascii="Times New Roman" w:hAnsi="Times New Roman" w:cs="Times New Roman"/>
          <w:bCs/>
          <w:sz w:val="20"/>
          <w:szCs w:val="20"/>
        </w:rPr>
        <w:t>21</w:t>
      </w:r>
      <w:r>
        <w:rPr>
          <w:rStyle w:val="citation"/>
          <w:rFonts w:ascii="Times New Roman" w:hAnsi="Times New Roman" w:cs="Times New Roman"/>
          <w:sz w:val="20"/>
          <w:szCs w:val="20"/>
        </w:rPr>
        <w:t xml:space="preserve"> (2): 205–214.</w:t>
      </w:r>
    </w:p>
    <w:p w14:paraId="4780EAB8"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r>
        <w:rPr>
          <w:rFonts w:ascii="Times New Roman" w:hAnsi="Times New Roman" w:cs="Times New Roman"/>
          <w:bCs/>
          <w:sz w:val="20"/>
          <w:szCs w:val="20"/>
        </w:rPr>
        <w:t xml:space="preserve">Magdy, M. S., Mohamed, A. S., Hany, A. E., Heba, E. B. and </w:t>
      </w:r>
      <w:proofErr w:type="spellStart"/>
      <w:r>
        <w:rPr>
          <w:rFonts w:ascii="Times New Roman" w:hAnsi="Times New Roman" w:cs="Times New Roman"/>
          <w:bCs/>
          <w:sz w:val="20"/>
          <w:szCs w:val="20"/>
        </w:rPr>
        <w:t>Mekky</w:t>
      </w:r>
      <w:proofErr w:type="spellEnd"/>
      <w:r>
        <w:rPr>
          <w:rFonts w:ascii="Times New Roman" w:hAnsi="Times New Roman" w:cs="Times New Roman"/>
          <w:bCs/>
          <w:sz w:val="20"/>
          <w:szCs w:val="20"/>
        </w:rPr>
        <w:t xml:space="preserve">, A. M. (2012). Prevalence of </w:t>
      </w:r>
      <w:r>
        <w:rPr>
          <w:rFonts w:ascii="Times New Roman" w:hAnsi="Times New Roman" w:cs="Times New Roman"/>
          <w:bCs/>
          <w:i/>
          <w:sz w:val="20"/>
          <w:szCs w:val="20"/>
        </w:rPr>
        <w:t>Helicobacter pylori</w:t>
      </w:r>
      <w:r>
        <w:rPr>
          <w:rFonts w:ascii="Times New Roman" w:hAnsi="Times New Roman" w:cs="Times New Roman"/>
          <w:bCs/>
          <w:sz w:val="20"/>
          <w:szCs w:val="20"/>
        </w:rPr>
        <w:t xml:space="preserve"> infection among primary school children with iron deficiency </w:t>
      </w:r>
      <w:proofErr w:type="spellStart"/>
      <w:r>
        <w:rPr>
          <w:rFonts w:ascii="Times New Roman" w:hAnsi="Times New Roman" w:cs="Times New Roman"/>
          <w:bCs/>
          <w:sz w:val="20"/>
          <w:szCs w:val="20"/>
        </w:rPr>
        <w:t>anaemia</w:t>
      </w:r>
      <w:proofErr w:type="spellEnd"/>
      <w:r>
        <w:rPr>
          <w:rFonts w:ascii="Times New Roman" w:hAnsi="Times New Roman" w:cs="Times New Roman"/>
          <w:bCs/>
          <w:sz w:val="20"/>
          <w:szCs w:val="20"/>
        </w:rPr>
        <w:t xml:space="preserve"> in </w:t>
      </w:r>
      <w:proofErr w:type="spellStart"/>
      <w:r>
        <w:rPr>
          <w:rFonts w:ascii="Times New Roman" w:hAnsi="Times New Roman" w:cs="Times New Roman"/>
          <w:bCs/>
          <w:sz w:val="20"/>
          <w:szCs w:val="20"/>
        </w:rPr>
        <w:t>Elrekabia</w:t>
      </w:r>
      <w:proofErr w:type="spellEnd"/>
      <w:r>
        <w:rPr>
          <w:rFonts w:ascii="Times New Roman" w:hAnsi="Times New Roman" w:cs="Times New Roman"/>
          <w:bCs/>
          <w:sz w:val="20"/>
          <w:szCs w:val="20"/>
        </w:rPr>
        <w:t xml:space="preserve"> village. </w:t>
      </w:r>
      <w:r>
        <w:rPr>
          <w:rFonts w:ascii="Times New Roman" w:hAnsi="Times New Roman" w:cs="Times New Roman"/>
          <w:bCs/>
          <w:i/>
          <w:iCs/>
          <w:sz w:val="20"/>
          <w:szCs w:val="20"/>
        </w:rPr>
        <w:t xml:space="preserve">AAMJ, </w:t>
      </w:r>
      <w:r>
        <w:rPr>
          <w:rFonts w:ascii="Times New Roman" w:hAnsi="Times New Roman" w:cs="Times New Roman"/>
          <w:bCs/>
          <w:iCs/>
          <w:sz w:val="20"/>
          <w:szCs w:val="20"/>
        </w:rPr>
        <w:t xml:space="preserve">10 </w:t>
      </w:r>
      <w:r>
        <w:rPr>
          <w:rFonts w:ascii="Times New Roman" w:hAnsi="Times New Roman" w:cs="Times New Roman"/>
          <w:bCs/>
          <w:iCs/>
          <w:sz w:val="20"/>
          <w:szCs w:val="20"/>
        </w:rPr>
        <w:t>(3): l-2.</w:t>
      </w:r>
    </w:p>
    <w:p w14:paraId="37B97B92"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r>
        <w:rPr>
          <w:rFonts w:ascii="Times New Roman" w:hAnsi="Times New Roman" w:cs="Times New Roman"/>
          <w:sz w:val="20"/>
          <w:szCs w:val="20"/>
        </w:rPr>
        <w:t xml:space="preserve">Nester, E, W., Roberts, C.E, Anderson, D.G. and Nester, M.T. (1998). </w:t>
      </w:r>
      <w:r>
        <w:rPr>
          <w:rFonts w:ascii="Times New Roman" w:hAnsi="Times New Roman" w:cs="Times New Roman"/>
          <w:i/>
          <w:sz w:val="20"/>
          <w:szCs w:val="20"/>
        </w:rPr>
        <w:t xml:space="preserve">Microbiology: A human perspective. </w:t>
      </w: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sz w:val="20"/>
          <w:szCs w:val="20"/>
        </w:rPr>
        <w:t>edn</w:t>
      </w:r>
      <w:proofErr w:type="spellEnd"/>
      <w:r>
        <w:rPr>
          <w:rFonts w:ascii="Times New Roman" w:hAnsi="Times New Roman" w:cs="Times New Roman"/>
          <w:sz w:val="20"/>
          <w:szCs w:val="20"/>
        </w:rPr>
        <w:t>. WCB/Mc Graw-Hill. USA.</w:t>
      </w:r>
    </w:p>
    <w:p w14:paraId="61C66B00"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i/>
          <w:sz w:val="20"/>
          <w:szCs w:val="20"/>
        </w:rPr>
      </w:pPr>
      <w:r>
        <w:rPr>
          <w:rFonts w:ascii="Times New Roman" w:hAnsi="Times New Roman" w:cs="Times New Roman"/>
          <w:sz w:val="20"/>
          <w:szCs w:val="20"/>
        </w:rPr>
        <w:t xml:space="preserve">Olmos M., Araya V., </w:t>
      </w:r>
      <w:proofErr w:type="spellStart"/>
      <w:r>
        <w:rPr>
          <w:rFonts w:ascii="Times New Roman" w:hAnsi="Times New Roman" w:cs="Times New Roman"/>
          <w:sz w:val="20"/>
          <w:szCs w:val="20"/>
        </w:rPr>
        <w:t>Pskorz</w:t>
      </w:r>
      <w:proofErr w:type="spellEnd"/>
      <w:r>
        <w:rPr>
          <w:rFonts w:ascii="Times New Roman" w:hAnsi="Times New Roman" w:cs="Times New Roman"/>
          <w:sz w:val="20"/>
          <w:szCs w:val="20"/>
        </w:rPr>
        <w:t xml:space="preserve"> E., Quesada E.C., </w:t>
      </w:r>
      <w:proofErr w:type="spellStart"/>
      <w:r>
        <w:rPr>
          <w:rFonts w:ascii="Times New Roman" w:hAnsi="Times New Roman" w:cs="Times New Roman"/>
          <w:sz w:val="20"/>
          <w:szCs w:val="20"/>
        </w:rPr>
        <w:t>Concetti</w:t>
      </w:r>
      <w:proofErr w:type="spellEnd"/>
      <w:r>
        <w:rPr>
          <w:rFonts w:ascii="Times New Roman" w:hAnsi="Times New Roman" w:cs="Times New Roman"/>
          <w:sz w:val="20"/>
          <w:szCs w:val="20"/>
        </w:rPr>
        <w:t xml:space="preserve"> H., Perez H., Cahn P., (2004). Co-infection: </w:t>
      </w:r>
      <w:r>
        <w:rPr>
          <w:rFonts w:ascii="Times New Roman" w:hAnsi="Times New Roman" w:cs="Times New Roman"/>
          <w:i/>
          <w:sz w:val="20"/>
          <w:szCs w:val="20"/>
        </w:rPr>
        <w:t>Helicobacte</w:t>
      </w:r>
      <w:r>
        <w:rPr>
          <w:rFonts w:ascii="Times New Roman" w:hAnsi="Times New Roman" w:cs="Times New Roman"/>
          <w:i/>
          <w:sz w:val="20"/>
          <w:szCs w:val="20"/>
        </w:rPr>
        <w:t xml:space="preserve">r pylori / </w:t>
      </w:r>
      <w:r>
        <w:rPr>
          <w:rFonts w:ascii="Times New Roman" w:hAnsi="Times New Roman" w:cs="Times New Roman"/>
          <w:sz w:val="20"/>
          <w:szCs w:val="20"/>
        </w:rPr>
        <w:t xml:space="preserve">Human immunodeficiency Virus. </w:t>
      </w:r>
      <w:r>
        <w:rPr>
          <w:rFonts w:ascii="Times New Roman" w:hAnsi="Times New Roman" w:cs="Times New Roman"/>
          <w:i/>
          <w:sz w:val="20"/>
          <w:szCs w:val="20"/>
        </w:rPr>
        <w:t xml:space="preserve">Dig. Dis. Sci. </w:t>
      </w:r>
      <w:r>
        <w:rPr>
          <w:rFonts w:ascii="Times New Roman" w:hAnsi="Times New Roman" w:cs="Times New Roman"/>
          <w:sz w:val="20"/>
          <w:szCs w:val="20"/>
        </w:rPr>
        <w:t>49 (11-12): 1836-1883.</w:t>
      </w:r>
    </w:p>
    <w:p w14:paraId="1403CC79" w14:textId="77777777" w:rsidR="007333E1" w:rsidRDefault="00C8585E" w:rsidP="00067D8C">
      <w:pPr>
        <w:pStyle w:val="ListParagraph"/>
        <w:numPr>
          <w:ilvl w:val="0"/>
          <w:numId w:val="1"/>
        </w:numPr>
        <w:snapToGrid w:val="0"/>
        <w:spacing w:after="0" w:line="240" w:lineRule="auto"/>
        <w:ind w:hanging="630"/>
        <w:jc w:val="both"/>
        <w:rPr>
          <w:rStyle w:val="citation"/>
          <w:rFonts w:ascii="Times New Roman" w:hAnsi="Times New Roman" w:cs="Times New Roman"/>
          <w:sz w:val="20"/>
          <w:szCs w:val="20"/>
        </w:rPr>
      </w:pPr>
      <w:r>
        <w:rPr>
          <w:rStyle w:val="citation"/>
          <w:rFonts w:ascii="Times New Roman" w:hAnsi="Times New Roman" w:cs="Times New Roman"/>
          <w:sz w:val="20"/>
          <w:szCs w:val="20"/>
        </w:rPr>
        <w:t xml:space="preserve">Pounder, R.E. and Ng, D. (1995). The prevalence of </w:t>
      </w:r>
      <w:r>
        <w:rPr>
          <w:rStyle w:val="citation"/>
          <w:rFonts w:ascii="Times New Roman" w:hAnsi="Times New Roman" w:cs="Times New Roman"/>
          <w:i/>
          <w:iCs/>
          <w:sz w:val="20"/>
          <w:szCs w:val="20"/>
        </w:rPr>
        <w:t>Helicobacter pylori</w:t>
      </w:r>
      <w:r>
        <w:rPr>
          <w:rStyle w:val="citation"/>
          <w:rFonts w:ascii="Times New Roman" w:hAnsi="Times New Roman" w:cs="Times New Roman"/>
          <w:sz w:val="20"/>
          <w:szCs w:val="20"/>
        </w:rPr>
        <w:t xml:space="preserve"> infection in different countries. </w:t>
      </w:r>
      <w:r>
        <w:rPr>
          <w:rStyle w:val="citation"/>
          <w:rFonts w:ascii="Times New Roman" w:hAnsi="Times New Roman" w:cs="Times New Roman"/>
          <w:i/>
          <w:iCs/>
          <w:sz w:val="20"/>
          <w:szCs w:val="20"/>
        </w:rPr>
        <w:t xml:space="preserve">Aliment. </w:t>
      </w:r>
      <w:proofErr w:type="spellStart"/>
      <w:r>
        <w:rPr>
          <w:rStyle w:val="citation"/>
          <w:rFonts w:ascii="Times New Roman" w:hAnsi="Times New Roman" w:cs="Times New Roman"/>
          <w:i/>
          <w:iCs/>
          <w:sz w:val="20"/>
          <w:szCs w:val="20"/>
        </w:rPr>
        <w:t>Pharmacol</w:t>
      </w:r>
      <w:proofErr w:type="spellEnd"/>
      <w:r>
        <w:rPr>
          <w:rStyle w:val="citation"/>
          <w:rFonts w:ascii="Times New Roman" w:hAnsi="Times New Roman" w:cs="Times New Roman"/>
          <w:i/>
          <w:iCs/>
          <w:sz w:val="20"/>
          <w:szCs w:val="20"/>
        </w:rPr>
        <w:t xml:space="preserve">. </w:t>
      </w:r>
      <w:proofErr w:type="spellStart"/>
      <w:r>
        <w:rPr>
          <w:rStyle w:val="citation"/>
          <w:rFonts w:ascii="Times New Roman" w:hAnsi="Times New Roman" w:cs="Times New Roman"/>
          <w:i/>
          <w:iCs/>
          <w:sz w:val="20"/>
          <w:szCs w:val="20"/>
        </w:rPr>
        <w:t>Ther</w:t>
      </w:r>
      <w:proofErr w:type="spellEnd"/>
      <w:r>
        <w:rPr>
          <w:rStyle w:val="citation"/>
          <w:rFonts w:ascii="Times New Roman" w:hAnsi="Times New Roman" w:cs="Times New Roman"/>
          <w:i/>
          <w:iCs/>
          <w:sz w:val="20"/>
          <w:szCs w:val="20"/>
        </w:rPr>
        <w:t>.</w:t>
      </w:r>
      <w:r>
        <w:rPr>
          <w:rStyle w:val="citation"/>
          <w:rFonts w:ascii="Times New Roman" w:hAnsi="Times New Roman" w:cs="Times New Roman"/>
          <w:sz w:val="20"/>
          <w:szCs w:val="20"/>
        </w:rPr>
        <w:t xml:space="preserve"> </w:t>
      </w:r>
      <w:r>
        <w:rPr>
          <w:rStyle w:val="citation"/>
          <w:rFonts w:ascii="Times New Roman" w:hAnsi="Times New Roman" w:cs="Times New Roman"/>
          <w:bCs/>
          <w:sz w:val="20"/>
          <w:szCs w:val="20"/>
        </w:rPr>
        <w:t>9</w:t>
      </w:r>
      <w:r>
        <w:rPr>
          <w:rStyle w:val="citation"/>
          <w:rFonts w:ascii="Times New Roman" w:hAnsi="Times New Roman" w:cs="Times New Roman"/>
          <w:sz w:val="20"/>
          <w:szCs w:val="20"/>
        </w:rPr>
        <w:t xml:space="preserve"> (2): 33–9.</w:t>
      </w:r>
    </w:p>
    <w:p w14:paraId="70C7FFE4" w14:textId="77777777" w:rsidR="007333E1" w:rsidRDefault="00C8585E" w:rsidP="00067D8C">
      <w:pPr>
        <w:pStyle w:val="ListParagraph"/>
        <w:numPr>
          <w:ilvl w:val="0"/>
          <w:numId w:val="1"/>
        </w:numPr>
        <w:snapToGrid w:val="0"/>
        <w:spacing w:after="0" w:line="240" w:lineRule="auto"/>
        <w:ind w:hanging="630"/>
        <w:jc w:val="both"/>
        <w:rPr>
          <w:rStyle w:val="citation"/>
          <w:rFonts w:ascii="Times New Roman" w:hAnsi="Times New Roman" w:cs="Times New Roman"/>
          <w:sz w:val="20"/>
          <w:szCs w:val="20"/>
        </w:rPr>
      </w:pPr>
      <w:r>
        <w:rPr>
          <w:rStyle w:val="citation"/>
          <w:rFonts w:ascii="Times New Roman" w:hAnsi="Times New Roman" w:cs="Times New Roman"/>
          <w:sz w:val="20"/>
          <w:szCs w:val="20"/>
        </w:rPr>
        <w:lastRenderedPageBreak/>
        <w:t xml:space="preserve">Prescott, L.M., Harley, J.P. and Klein, D.A. (2005). </w:t>
      </w:r>
      <w:r>
        <w:rPr>
          <w:rStyle w:val="citation"/>
          <w:rFonts w:ascii="Times New Roman" w:hAnsi="Times New Roman" w:cs="Times New Roman"/>
          <w:i/>
          <w:sz w:val="20"/>
          <w:szCs w:val="20"/>
        </w:rPr>
        <w:t xml:space="preserve">Microbiology, </w:t>
      </w:r>
      <w:r>
        <w:rPr>
          <w:rStyle w:val="citation"/>
          <w:rFonts w:ascii="Times New Roman" w:hAnsi="Times New Roman" w:cs="Times New Roman"/>
          <w:sz w:val="20"/>
          <w:szCs w:val="20"/>
        </w:rPr>
        <w:t>6</w:t>
      </w:r>
      <w:r>
        <w:rPr>
          <w:rStyle w:val="citation"/>
          <w:rFonts w:ascii="Times New Roman" w:hAnsi="Times New Roman" w:cs="Times New Roman"/>
          <w:sz w:val="20"/>
          <w:szCs w:val="20"/>
          <w:vertAlign w:val="superscript"/>
        </w:rPr>
        <w:t>th</w:t>
      </w:r>
      <w:r>
        <w:rPr>
          <w:rStyle w:val="citation"/>
          <w:rFonts w:ascii="Times New Roman" w:hAnsi="Times New Roman" w:cs="Times New Roman"/>
          <w:sz w:val="20"/>
          <w:szCs w:val="20"/>
        </w:rPr>
        <w:t xml:space="preserve"> </w:t>
      </w:r>
      <w:proofErr w:type="spellStart"/>
      <w:r>
        <w:rPr>
          <w:rStyle w:val="citation"/>
          <w:rFonts w:ascii="Times New Roman" w:hAnsi="Times New Roman" w:cs="Times New Roman"/>
          <w:sz w:val="20"/>
          <w:szCs w:val="20"/>
        </w:rPr>
        <w:t>edn</w:t>
      </w:r>
      <w:proofErr w:type="spellEnd"/>
      <w:r>
        <w:rPr>
          <w:rStyle w:val="citation"/>
          <w:rFonts w:ascii="Times New Roman" w:hAnsi="Times New Roman" w:cs="Times New Roman"/>
          <w:sz w:val="20"/>
          <w:szCs w:val="20"/>
        </w:rPr>
        <w:t>. McGraw Hill Co. New York, U.S.A.</w:t>
      </w:r>
    </w:p>
    <w:p w14:paraId="43B0C809"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r>
        <w:rPr>
          <w:rFonts w:ascii="Times New Roman" w:hAnsi="Times New Roman" w:cs="Times New Roman"/>
          <w:sz w:val="20"/>
          <w:szCs w:val="20"/>
        </w:rPr>
        <w:t>Ramadas, K., Jehad Al-</w:t>
      </w:r>
      <w:proofErr w:type="spellStart"/>
      <w:r>
        <w:rPr>
          <w:rFonts w:ascii="Times New Roman" w:hAnsi="Times New Roman" w:cs="Times New Roman"/>
          <w:sz w:val="20"/>
          <w:szCs w:val="20"/>
        </w:rPr>
        <w:t>Qamish</w:t>
      </w:r>
      <w:proofErr w:type="spellEnd"/>
      <w:r>
        <w:rPr>
          <w:rFonts w:ascii="Times New Roman" w:hAnsi="Times New Roman" w:cs="Times New Roman"/>
          <w:sz w:val="20"/>
          <w:szCs w:val="20"/>
        </w:rPr>
        <w:t xml:space="preserve">., Aziz, Y, Abdul, R. </w:t>
      </w:r>
      <w:proofErr w:type="spellStart"/>
      <w:r>
        <w:rPr>
          <w:rFonts w:ascii="Times New Roman" w:hAnsi="Times New Roman" w:cs="Times New Roman"/>
          <w:sz w:val="20"/>
          <w:szCs w:val="20"/>
        </w:rPr>
        <w:t>Fakro</w:t>
      </w:r>
      <w:proofErr w:type="spellEnd"/>
      <w:r>
        <w:rPr>
          <w:rFonts w:ascii="Times New Roman" w:hAnsi="Times New Roman" w:cs="Times New Roman"/>
          <w:sz w:val="20"/>
          <w:szCs w:val="20"/>
        </w:rPr>
        <w:t xml:space="preserve"> and Sunil, J. (1995).   </w:t>
      </w:r>
      <w:r>
        <w:rPr>
          <w:rFonts w:ascii="Times New Roman" w:hAnsi="Times New Roman" w:cs="Times New Roman"/>
          <w:bCs/>
          <w:sz w:val="20"/>
          <w:szCs w:val="20"/>
        </w:rPr>
        <w:t xml:space="preserve">Prevalence of </w:t>
      </w:r>
      <w:r>
        <w:rPr>
          <w:rFonts w:ascii="Times New Roman" w:hAnsi="Times New Roman" w:cs="Times New Roman"/>
          <w:bCs/>
          <w:i/>
          <w:sz w:val="20"/>
          <w:szCs w:val="20"/>
        </w:rPr>
        <w:t>Helicobacter pylori</w:t>
      </w:r>
      <w:r>
        <w:rPr>
          <w:rFonts w:ascii="Times New Roman" w:hAnsi="Times New Roman" w:cs="Times New Roman"/>
          <w:bCs/>
          <w:sz w:val="20"/>
          <w:szCs w:val="20"/>
        </w:rPr>
        <w:t xml:space="preserve"> Among Dyspeptic Patients in Bahra</w:t>
      </w:r>
      <w:r>
        <w:rPr>
          <w:rFonts w:ascii="Times New Roman" w:hAnsi="Times New Roman" w:cs="Times New Roman"/>
          <w:bCs/>
          <w:sz w:val="20"/>
          <w:szCs w:val="20"/>
        </w:rPr>
        <w:t xml:space="preserve">in </w:t>
      </w:r>
      <w:proofErr w:type="spellStart"/>
      <w:r>
        <w:rPr>
          <w:rFonts w:ascii="Times New Roman" w:hAnsi="Times New Roman" w:cs="Times New Roman"/>
          <w:i/>
          <w:iCs/>
          <w:sz w:val="20"/>
          <w:szCs w:val="20"/>
        </w:rPr>
        <w:t>Bahrain</w:t>
      </w:r>
      <w:proofErr w:type="spellEnd"/>
      <w:r>
        <w:rPr>
          <w:rFonts w:ascii="Times New Roman" w:hAnsi="Times New Roman" w:cs="Times New Roman"/>
          <w:i/>
          <w:iCs/>
          <w:sz w:val="20"/>
          <w:szCs w:val="20"/>
        </w:rPr>
        <w:t xml:space="preserve"> Medical Bulletin, 17:2.</w:t>
      </w:r>
    </w:p>
    <w:p w14:paraId="6FF6E4FF"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r>
        <w:rPr>
          <w:rFonts w:ascii="Times New Roman" w:hAnsi="Times New Roman" w:cs="Times New Roman"/>
          <w:iCs/>
          <w:sz w:val="20"/>
          <w:szCs w:val="20"/>
        </w:rPr>
        <w:t xml:space="preserve">Stanier, R.Y., Ingraham, J.L. and Painter, P.R. (1987). </w:t>
      </w:r>
      <w:r>
        <w:rPr>
          <w:rFonts w:ascii="Times New Roman" w:hAnsi="Times New Roman" w:cs="Times New Roman"/>
          <w:i/>
          <w:iCs/>
          <w:sz w:val="20"/>
          <w:szCs w:val="20"/>
        </w:rPr>
        <w:t>General Microbiology</w:t>
      </w:r>
      <w:r>
        <w:rPr>
          <w:rFonts w:ascii="Times New Roman" w:hAnsi="Times New Roman" w:cs="Times New Roman"/>
          <w:iCs/>
          <w:sz w:val="20"/>
          <w:szCs w:val="20"/>
        </w:rPr>
        <w:t>, 5</w:t>
      </w:r>
      <w:r>
        <w:rPr>
          <w:rFonts w:ascii="Times New Roman" w:hAnsi="Times New Roman" w:cs="Times New Roman"/>
          <w:iCs/>
          <w:sz w:val="20"/>
          <w:szCs w:val="20"/>
          <w:vertAlign w:val="superscript"/>
        </w:rPr>
        <w:t>th</w:t>
      </w:r>
      <w:r>
        <w:rPr>
          <w:rFonts w:ascii="Times New Roman" w:hAnsi="Times New Roman" w:cs="Times New Roman"/>
          <w:iCs/>
          <w:sz w:val="20"/>
          <w:szCs w:val="20"/>
        </w:rPr>
        <w:t xml:space="preserve"> ed. Macmillan Press Ltd., London.</w:t>
      </w:r>
    </w:p>
    <w:p w14:paraId="6DBC01C5"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proofErr w:type="spellStart"/>
      <w:r>
        <w:rPr>
          <w:rFonts w:ascii="Times New Roman" w:hAnsi="Times New Roman" w:cs="Times New Roman"/>
          <w:iCs/>
          <w:sz w:val="20"/>
          <w:szCs w:val="20"/>
        </w:rPr>
        <w:t>Talaro</w:t>
      </w:r>
      <w:proofErr w:type="spellEnd"/>
      <w:r>
        <w:rPr>
          <w:rFonts w:ascii="Times New Roman" w:hAnsi="Times New Roman" w:cs="Times New Roman"/>
          <w:iCs/>
          <w:sz w:val="20"/>
          <w:szCs w:val="20"/>
        </w:rPr>
        <w:t xml:space="preserve">, K.P., and </w:t>
      </w:r>
      <w:proofErr w:type="spellStart"/>
      <w:r>
        <w:rPr>
          <w:rFonts w:ascii="Times New Roman" w:hAnsi="Times New Roman" w:cs="Times New Roman"/>
          <w:iCs/>
          <w:sz w:val="20"/>
          <w:szCs w:val="20"/>
        </w:rPr>
        <w:t>Talaro</w:t>
      </w:r>
      <w:proofErr w:type="spellEnd"/>
      <w:r>
        <w:rPr>
          <w:rFonts w:ascii="Times New Roman" w:hAnsi="Times New Roman" w:cs="Times New Roman"/>
          <w:iCs/>
          <w:sz w:val="20"/>
          <w:szCs w:val="20"/>
        </w:rPr>
        <w:t xml:space="preserve">, A. (2002). </w:t>
      </w:r>
      <w:r>
        <w:rPr>
          <w:rFonts w:ascii="Times New Roman" w:hAnsi="Times New Roman" w:cs="Times New Roman"/>
          <w:i/>
          <w:iCs/>
          <w:sz w:val="20"/>
          <w:szCs w:val="20"/>
        </w:rPr>
        <w:t>Foundations in Microbiology</w:t>
      </w:r>
      <w:r>
        <w:rPr>
          <w:rFonts w:ascii="Times New Roman" w:hAnsi="Times New Roman" w:cs="Times New Roman"/>
          <w:iCs/>
          <w:sz w:val="20"/>
          <w:szCs w:val="20"/>
        </w:rPr>
        <w:t>, 4</w:t>
      </w:r>
      <w:r>
        <w:rPr>
          <w:rFonts w:ascii="Times New Roman" w:hAnsi="Times New Roman" w:cs="Times New Roman"/>
          <w:iCs/>
          <w:sz w:val="20"/>
          <w:szCs w:val="20"/>
          <w:vertAlign w:val="superscript"/>
        </w:rPr>
        <w:t>th</w:t>
      </w:r>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edn</w:t>
      </w:r>
      <w:proofErr w:type="spellEnd"/>
      <w:r>
        <w:rPr>
          <w:rFonts w:ascii="Times New Roman" w:hAnsi="Times New Roman" w:cs="Times New Roman"/>
          <w:iCs/>
          <w:sz w:val="20"/>
          <w:szCs w:val="20"/>
        </w:rPr>
        <w:t>. McGraw Hill Co., New York. 345.</w:t>
      </w:r>
    </w:p>
    <w:p w14:paraId="609CDB93"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r>
        <w:rPr>
          <w:rFonts w:ascii="Times New Roman" w:eastAsia="Arial Unicode MS" w:hAnsi="Times New Roman" w:cs="Times New Roman"/>
          <w:spacing w:val="-1"/>
          <w:sz w:val="20"/>
          <w:szCs w:val="20"/>
        </w:rPr>
        <w:t>UNAIDS (2011), Report on the global AIDS epidemics.</w:t>
      </w:r>
    </w:p>
    <w:p w14:paraId="7CA07DBA" w14:textId="77777777" w:rsidR="007333E1" w:rsidRDefault="00C8585E" w:rsidP="00067D8C">
      <w:pPr>
        <w:pStyle w:val="ListParagraph"/>
        <w:numPr>
          <w:ilvl w:val="0"/>
          <w:numId w:val="1"/>
        </w:numPr>
        <w:snapToGrid w:val="0"/>
        <w:spacing w:after="0" w:line="240" w:lineRule="auto"/>
        <w:ind w:hanging="630"/>
        <w:jc w:val="both"/>
        <w:rPr>
          <w:rFonts w:ascii="Times New Roman" w:hAnsi="Times New Roman" w:cs="Times New Roman"/>
          <w:sz w:val="20"/>
          <w:szCs w:val="20"/>
        </w:rPr>
      </w:pPr>
      <w:r>
        <w:rPr>
          <w:rFonts w:ascii="Times New Roman" w:hAnsi="Times New Roman" w:cs="Times New Roman"/>
          <w:sz w:val="20"/>
          <w:szCs w:val="20"/>
        </w:rPr>
        <w:t xml:space="preserve">Waleed, M. A., Iqbal, S., Nabeel, A. and Basil, A. (2010). Prevalence of Helicobacter pylori infection among new outpatients with dyspepsia in Kuwait. </w:t>
      </w:r>
      <w:r>
        <w:rPr>
          <w:rFonts w:ascii="Times New Roman" w:hAnsi="Times New Roman" w:cs="Times New Roman"/>
          <w:i/>
          <w:sz w:val="20"/>
          <w:szCs w:val="20"/>
        </w:rPr>
        <w:t>BMC Gastroenter</w:t>
      </w:r>
      <w:r>
        <w:rPr>
          <w:rFonts w:ascii="Times New Roman" w:hAnsi="Times New Roman" w:cs="Times New Roman"/>
          <w:i/>
          <w:sz w:val="20"/>
          <w:szCs w:val="20"/>
        </w:rPr>
        <w:t>ology</w:t>
      </w:r>
      <w:r>
        <w:rPr>
          <w:rFonts w:ascii="Times New Roman" w:hAnsi="Times New Roman" w:cs="Times New Roman"/>
          <w:sz w:val="20"/>
          <w:szCs w:val="20"/>
        </w:rPr>
        <w:t>, 10:14.</w:t>
      </w:r>
    </w:p>
    <w:p w14:paraId="340434EB" w14:textId="77777777" w:rsidR="007333E1" w:rsidRDefault="007333E1">
      <w:pPr>
        <w:pStyle w:val="ListParagraph"/>
        <w:snapToGrid w:val="0"/>
        <w:spacing w:after="0" w:line="240" w:lineRule="auto"/>
        <w:ind w:left="360"/>
        <w:jc w:val="both"/>
        <w:rPr>
          <w:rFonts w:ascii="Times New Roman" w:hAnsi="Times New Roman" w:cs="Times New Roman"/>
          <w:sz w:val="20"/>
          <w:szCs w:val="20"/>
        </w:rPr>
      </w:pPr>
    </w:p>
    <w:p w14:paraId="206EE806" w14:textId="77777777" w:rsidR="007333E1" w:rsidRDefault="007333E1">
      <w:pPr>
        <w:pStyle w:val="ListParagraph"/>
        <w:snapToGrid w:val="0"/>
        <w:spacing w:after="0" w:line="240" w:lineRule="auto"/>
        <w:ind w:left="360"/>
        <w:jc w:val="both"/>
        <w:rPr>
          <w:rFonts w:ascii="Times New Roman" w:hAnsi="Times New Roman" w:cs="Times New Roman"/>
          <w:sz w:val="20"/>
          <w:szCs w:val="20"/>
        </w:rPr>
      </w:pPr>
    </w:p>
    <w:p w14:paraId="59C8010D" w14:textId="77777777" w:rsidR="007333E1" w:rsidRDefault="007333E1">
      <w:pPr>
        <w:pStyle w:val="ListParagraph"/>
        <w:snapToGrid w:val="0"/>
        <w:spacing w:after="0" w:line="240" w:lineRule="auto"/>
        <w:ind w:left="360"/>
        <w:jc w:val="both"/>
        <w:rPr>
          <w:rFonts w:ascii="Times New Roman" w:hAnsi="Times New Roman" w:cs="Times New Roman"/>
          <w:sz w:val="20"/>
          <w:szCs w:val="20"/>
        </w:rPr>
      </w:pPr>
    </w:p>
    <w:p w14:paraId="68DD2583" w14:textId="77777777" w:rsidR="007333E1" w:rsidRDefault="00C8585E">
      <w:pPr>
        <w:snapToGrid w:val="0"/>
        <w:spacing w:line="240" w:lineRule="auto"/>
        <w:jc w:val="right"/>
        <w:rPr>
          <w:rFonts w:ascii="Times New Roman" w:hAnsi="Times New Roman" w:cs="Times New Roman"/>
          <w:bCs/>
          <w:sz w:val="20"/>
          <w:szCs w:val="20"/>
        </w:rPr>
      </w:pPr>
      <w:r>
        <w:rPr>
          <w:rFonts w:ascii="Times New Roman" w:hAnsi="Times New Roman" w:cs="Times New Roman"/>
          <w:bCs/>
          <w:color w:val="000000" w:themeColor="text1"/>
          <w:sz w:val="20"/>
          <w:szCs w:val="20"/>
        </w:rPr>
        <w:t>3/16/2023</w:t>
      </w:r>
    </w:p>
    <w:p w14:paraId="06F511F9" w14:textId="77777777" w:rsidR="007333E1" w:rsidRDefault="007333E1">
      <w:pPr>
        <w:pStyle w:val="ListParagraph"/>
        <w:snapToGrid w:val="0"/>
        <w:spacing w:after="0" w:line="240" w:lineRule="auto"/>
        <w:ind w:left="360"/>
        <w:jc w:val="both"/>
        <w:rPr>
          <w:rFonts w:ascii="Times New Roman" w:hAnsi="Times New Roman" w:cs="Times New Roman"/>
          <w:sz w:val="20"/>
          <w:szCs w:val="20"/>
        </w:rPr>
      </w:pPr>
    </w:p>
    <w:sectPr w:rsidR="007333E1">
      <w:type w:val="continuous"/>
      <w:pgSz w:w="12240" w:h="1583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40D0" w14:textId="77777777" w:rsidR="00C8585E" w:rsidRDefault="00C8585E">
      <w:pPr>
        <w:spacing w:line="240" w:lineRule="auto"/>
      </w:pPr>
      <w:r>
        <w:separator/>
      </w:r>
    </w:p>
  </w:endnote>
  <w:endnote w:type="continuationSeparator" w:id="0">
    <w:p w14:paraId="013D3C71" w14:textId="77777777" w:rsidR="00C8585E" w:rsidRDefault="00C85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A454" w14:textId="77777777" w:rsidR="007333E1" w:rsidRDefault="00C8585E">
    <w:pPr>
      <w:pStyle w:val="Footer"/>
      <w:jc w:val="center"/>
    </w:pPr>
    <w:r>
      <w:rPr>
        <w:noProof/>
      </w:rPr>
      <mc:AlternateContent>
        <mc:Choice Requires="wps">
          <w:drawing>
            <wp:anchor distT="0" distB="0" distL="114300" distR="114300" simplePos="0" relativeHeight="251659264" behindDoc="0" locked="0" layoutInCell="1" allowOverlap="1" wp14:anchorId="3C902775" wp14:editId="07BF7E9C">
              <wp:simplePos x="0" y="0"/>
              <wp:positionH relativeFrom="margin">
                <wp:posOffset>2902226</wp:posOffset>
              </wp:positionH>
              <wp:positionV relativeFrom="paragraph">
                <wp:posOffset>3700</wp:posOffset>
              </wp:positionV>
              <wp:extent cx="675861" cy="1828800"/>
              <wp:effectExtent l="0" t="0" r="10160" b="635"/>
              <wp:wrapNone/>
              <wp:docPr id="1" name="文本框 1"/>
              <wp:cNvGraphicFramePr/>
              <a:graphic xmlns:a="http://schemas.openxmlformats.org/drawingml/2006/main">
                <a:graphicData uri="http://schemas.microsoft.com/office/word/2010/wordprocessingShape">
                  <wps:wsp>
                    <wps:cNvSpPr txBox="1"/>
                    <wps:spPr>
                      <a:xfrm>
                        <a:off x="0" y="0"/>
                        <a:ext cx="675861"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64816087"/>
                          </w:sdtPr>
                          <w:sdtEndPr/>
                          <w:sdtContent>
                            <w:p w14:paraId="773D4486" w14:textId="77777777" w:rsidR="007333E1" w:rsidRDefault="00C8585E">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p>
                          </w:sdtContent>
                        </w:sdt>
                        <w:p w14:paraId="047ABDDF" w14:textId="77777777" w:rsidR="007333E1" w:rsidRDefault="007333E1"/>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3C902775" id="_x0000_t202" coordsize="21600,21600" o:spt="202" path="m,l,21600r21600,l21600,xe">
              <v:stroke joinstyle="miter"/>
              <v:path gradientshapeok="t" o:connecttype="rect"/>
            </v:shapetype>
            <v:shape id="文本框 1" o:spid="_x0000_s1026" type="#_x0000_t202" style="position:absolute;left:0;text-align:left;margin-left:228.5pt;margin-top:.3pt;width:53.2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" filled="f" fillcolor="white [3201]" stroked="f" strokeweight=".5pt">
              <v:textbox style="mso-fit-shape-to-text:t" inset="0,0,0,0">
                <w:txbxContent>
                  <w:sdt>
                    <w:sdtPr>
                      <w:id w:val="764816087"/>
                    </w:sdtPr>
                    <w:sdtEndPr/>
                    <w:sdtContent>
                      <w:p w14:paraId="773D4486" w14:textId="77777777" w:rsidR="007333E1" w:rsidRDefault="00C8585E">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p>
                    </w:sdtContent>
                  </w:sdt>
                  <w:p w14:paraId="047ABDDF" w14:textId="77777777" w:rsidR="007333E1" w:rsidRDefault="007333E1"/>
                </w:txbxContent>
              </v:textbox>
              <w10:wrap anchorx="margin"/>
            </v:shape>
          </w:pict>
        </mc:Fallback>
      </mc:AlternateContent>
    </w:r>
  </w:p>
  <w:p w14:paraId="5FD2028E" w14:textId="77777777" w:rsidR="007333E1" w:rsidRDefault="00733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4922" w14:textId="77777777" w:rsidR="007333E1" w:rsidRDefault="00C8585E">
    <w:pPr>
      <w:pStyle w:val="Footer"/>
      <w:snapToGrid w:val="0"/>
    </w:pPr>
    <w:r>
      <w:rPr>
        <w:noProof/>
      </w:rPr>
      <mc:AlternateContent>
        <mc:Choice Requires="wps">
          <w:drawing>
            <wp:anchor distT="0" distB="0" distL="114300" distR="114300" simplePos="0" relativeHeight="251660288" behindDoc="0" locked="0" layoutInCell="1" allowOverlap="1" wp14:anchorId="742F7733" wp14:editId="5BFCDE0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DF2DA2" w14:textId="77777777" w:rsidR="007333E1" w:rsidRDefault="00C8585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2F7733"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0EDF2DA2" w14:textId="77777777" w:rsidR="007333E1" w:rsidRDefault="00C8585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4AB6" w14:textId="77777777" w:rsidR="00C8585E" w:rsidRDefault="00C8585E">
      <w:pPr>
        <w:spacing w:after="0"/>
      </w:pPr>
      <w:r>
        <w:separator/>
      </w:r>
    </w:p>
  </w:footnote>
  <w:footnote w:type="continuationSeparator" w:id="0">
    <w:p w14:paraId="33CDADB2" w14:textId="77777777" w:rsidR="00C8585E" w:rsidRDefault="00C85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650C" w14:textId="77777777" w:rsidR="007333E1" w:rsidRDefault="00C8585E">
    <w:pPr>
      <w:pBdr>
        <w:bottom w:val="thinThickMediumGap" w:sz="12" w:space="1" w:color="auto"/>
      </w:pBdr>
      <w:tabs>
        <w:tab w:val="left" w:pos="851"/>
        <w:tab w:val="right" w:pos="8364"/>
      </w:tabs>
      <w:adjustRightInd w:val="0"/>
      <w:snapToGrid w:val="0"/>
      <w:jc w:val="both"/>
      <w:rPr>
        <w:rFonts w:asciiTheme="majorHAnsi" w:eastAsiaTheme="majorEastAsia" w:hAnsiTheme="majorHAnsi" w:cstheme="majorBidi"/>
        <w:sz w:val="16"/>
        <w:szCs w:val="16"/>
      </w:rPr>
    </w:pPr>
    <w:r>
      <w:rPr>
        <w:rFonts w:ascii="Times New Roman" w:eastAsia="Calibri" w:hAnsi="Times New Roman" w:cs="Times New Roman"/>
        <w:iCs/>
        <w:color w:val="000000"/>
        <w:sz w:val="20"/>
        <w:szCs w:val="20"/>
      </w:rPr>
      <w:tab/>
    </w:r>
    <w:r>
      <w:rPr>
        <w:rFonts w:ascii="Times New Roman" w:eastAsia="Calibri" w:hAnsi="Times New Roman" w:cs="Times New Roman"/>
        <w:color w:val="000000"/>
        <w:sz w:val="20"/>
        <w:szCs w:val="20"/>
      </w:rPr>
      <w:t xml:space="preserve"> </w:t>
    </w:r>
    <w:r>
      <w:rPr>
        <w:rFonts w:ascii="Times New Roman" w:eastAsia="宋体" w:hAnsi="Times New Roman" w:cs="Times New Roman"/>
        <w:color w:val="000000"/>
        <w:sz w:val="20"/>
        <w:szCs w:val="20"/>
        <w:lang w:eastAsia="zh-CN"/>
      </w:rPr>
      <w:t xml:space="preserve"> </w:t>
    </w:r>
    <w:r>
      <w:rPr>
        <w:rFonts w:ascii="Times New Roman" w:eastAsia="Calibri" w:hAnsi="Times New Roman" w:cs="Times New Roman"/>
        <w:sz w:val="20"/>
        <w:szCs w:val="20"/>
      </w:rPr>
      <w:t>Cancer Biology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w:t>
    </w:r>
    <w:r>
      <w:rPr>
        <w:rFonts w:ascii="Times New Roman" w:eastAsia="Calibri" w:hAnsi="Times New Roman" w:cs="Times New Roman" w:hint="eastAsia"/>
        <w:sz w:val="20"/>
        <w:szCs w:val="20"/>
        <w:lang w:eastAsia="zh-CN"/>
      </w:rPr>
      <w:t>1</w:t>
    </w:r>
    <w:r>
      <w:rPr>
        <w:rFonts w:ascii="Times New Roman" w:eastAsia="Calibri" w:hAnsi="Times New Roman" w:cs="Times New Roman"/>
        <w:sz w:val="20"/>
        <w:szCs w:val="20"/>
      </w:rPr>
      <w:t xml:space="preserve">) </w:t>
    </w:r>
    <w:r>
      <w:rPr>
        <w:rFonts w:ascii="Times New Roman" w:hAnsi="Times New Roman" w:cs="Times New Roman" w:hint="eastAsia"/>
        <w:sz w:val="20"/>
        <w:szCs w:val="20"/>
        <w:lang w:eastAsia="zh-CN"/>
      </w:rPr>
      <w:t xml:space="preserve">                                                      </w:t>
    </w:r>
    <w:r>
      <w:rPr>
        <w:rFonts w:ascii="Times New Roman" w:eastAsia="Calibri" w:hAnsi="Times New Roman" w:cs="Times New Roman"/>
        <w:color w:val="0000FF"/>
        <w:sz w:val="20"/>
        <w:szCs w:val="20"/>
        <w:u w:val="single" w:color="0000FF"/>
      </w:rPr>
      <w:t>http://www.cancerbio.net</w:t>
    </w:r>
    <w:r>
      <w:rPr>
        <w:rFonts w:ascii="Times New Roman" w:eastAsia="Calibri" w:hAnsi="Times New Roman" w:cs="Times New Roman"/>
        <w:b/>
        <w:i/>
        <w:color w:val="FF0000"/>
        <w:sz w:val="20"/>
        <w:szCs w:val="20"/>
        <w:bdr w:val="single" w:sz="8" w:space="0" w:color="FF0000"/>
      </w:rPr>
      <w:t>CBJ</w:t>
    </w:r>
  </w:p>
  <w:p w14:paraId="4AD06955" w14:textId="77777777" w:rsidR="007333E1" w:rsidRDefault="00733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39F2" w14:textId="77777777" w:rsidR="007333E1" w:rsidRDefault="00C8585E">
    <w:pPr>
      <w:pStyle w:val="Header"/>
    </w:pPr>
    <w:r>
      <w:rPr>
        <w:noProof/>
        <w:lang w:eastAsia="zh-CN"/>
      </w:rPr>
      <w:drawing>
        <wp:inline distT="0" distB="0" distL="0" distR="0" wp14:anchorId="0B66F21C" wp14:editId="0762CBC2">
          <wp:extent cx="5961380" cy="7620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659F34"/>
    <w:multiLevelType w:val="multilevel"/>
    <w:tmpl w:val="D0659F34"/>
    <w:lvl w:ilvl="0">
      <w:start w:val="1"/>
      <w:numFmt w:val="decimal"/>
      <w:lvlText w:val="[%1]."/>
      <w:lvlJc w:val="left"/>
      <w:pPr>
        <w:ind w:left="630" w:hanging="360"/>
      </w:pPr>
      <w:rPr>
        <w:rFonts w:ascii="宋体" w:eastAsia="宋体" w:hAnsi="宋体" w:cs="宋体"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zMjcxMzA3tzSyMDFS0lEKTi0uzszPAykwrgUAgJaH+SwAAAA="/>
    <w:docVar w:name="commondata" w:val="eyJoZGlkIjoiYTdkYmE0MzY4NGFlMTBiZDlmNThmODdlODkwMTdiNjIifQ=="/>
  </w:docVars>
  <w:rsids>
    <w:rsidRoot w:val="007D4093"/>
    <w:rsid w:val="00004686"/>
    <w:rsid w:val="000422B6"/>
    <w:rsid w:val="00067D8C"/>
    <w:rsid w:val="0007565C"/>
    <w:rsid w:val="00075929"/>
    <w:rsid w:val="00080099"/>
    <w:rsid w:val="0008319C"/>
    <w:rsid w:val="000C37A9"/>
    <w:rsid w:val="000D10AB"/>
    <w:rsid w:val="0010765B"/>
    <w:rsid w:val="001076E7"/>
    <w:rsid w:val="001260F0"/>
    <w:rsid w:val="00131950"/>
    <w:rsid w:val="0014239C"/>
    <w:rsid w:val="0014592E"/>
    <w:rsid w:val="0018285E"/>
    <w:rsid w:val="001959B7"/>
    <w:rsid w:val="001B6AB1"/>
    <w:rsid w:val="001C4005"/>
    <w:rsid w:val="001F4FE3"/>
    <w:rsid w:val="00200F72"/>
    <w:rsid w:val="00210EFE"/>
    <w:rsid w:val="00216DB6"/>
    <w:rsid w:val="00220F01"/>
    <w:rsid w:val="00241187"/>
    <w:rsid w:val="00242478"/>
    <w:rsid w:val="002424FA"/>
    <w:rsid w:val="00276365"/>
    <w:rsid w:val="0028018C"/>
    <w:rsid w:val="002871F0"/>
    <w:rsid w:val="00287704"/>
    <w:rsid w:val="002D1621"/>
    <w:rsid w:val="002E61C3"/>
    <w:rsid w:val="002F0D2F"/>
    <w:rsid w:val="002F2396"/>
    <w:rsid w:val="00307E74"/>
    <w:rsid w:val="00317C2D"/>
    <w:rsid w:val="003339A1"/>
    <w:rsid w:val="00337A89"/>
    <w:rsid w:val="0035034A"/>
    <w:rsid w:val="003C4164"/>
    <w:rsid w:val="003C7F8D"/>
    <w:rsid w:val="00407F7C"/>
    <w:rsid w:val="00411B5A"/>
    <w:rsid w:val="00444020"/>
    <w:rsid w:val="00450424"/>
    <w:rsid w:val="004524EC"/>
    <w:rsid w:val="004653C2"/>
    <w:rsid w:val="00473271"/>
    <w:rsid w:val="00474569"/>
    <w:rsid w:val="00475A53"/>
    <w:rsid w:val="00492D4E"/>
    <w:rsid w:val="004B1003"/>
    <w:rsid w:val="004B5B7F"/>
    <w:rsid w:val="004B6A61"/>
    <w:rsid w:val="004C24FC"/>
    <w:rsid w:val="004E0648"/>
    <w:rsid w:val="004F1687"/>
    <w:rsid w:val="00503833"/>
    <w:rsid w:val="00506B39"/>
    <w:rsid w:val="00516250"/>
    <w:rsid w:val="00552539"/>
    <w:rsid w:val="00554DDE"/>
    <w:rsid w:val="005800C2"/>
    <w:rsid w:val="00591C10"/>
    <w:rsid w:val="005959FD"/>
    <w:rsid w:val="005976AC"/>
    <w:rsid w:val="005B3785"/>
    <w:rsid w:val="005B5C4F"/>
    <w:rsid w:val="005D737C"/>
    <w:rsid w:val="0060353A"/>
    <w:rsid w:val="0061586B"/>
    <w:rsid w:val="006166F9"/>
    <w:rsid w:val="006300EA"/>
    <w:rsid w:val="00650631"/>
    <w:rsid w:val="0066272E"/>
    <w:rsid w:val="0069010C"/>
    <w:rsid w:val="006A7BCE"/>
    <w:rsid w:val="006B5781"/>
    <w:rsid w:val="006C51BD"/>
    <w:rsid w:val="006F1769"/>
    <w:rsid w:val="006F3E64"/>
    <w:rsid w:val="00700A82"/>
    <w:rsid w:val="007333E1"/>
    <w:rsid w:val="00734918"/>
    <w:rsid w:val="007444F1"/>
    <w:rsid w:val="007501A0"/>
    <w:rsid w:val="00751C92"/>
    <w:rsid w:val="007555BA"/>
    <w:rsid w:val="007743F2"/>
    <w:rsid w:val="00783546"/>
    <w:rsid w:val="00786CF2"/>
    <w:rsid w:val="007C29D7"/>
    <w:rsid w:val="007D4093"/>
    <w:rsid w:val="00800299"/>
    <w:rsid w:val="008017D1"/>
    <w:rsid w:val="008139E9"/>
    <w:rsid w:val="00827EC8"/>
    <w:rsid w:val="00860809"/>
    <w:rsid w:val="008668FA"/>
    <w:rsid w:val="0087477C"/>
    <w:rsid w:val="00887B0A"/>
    <w:rsid w:val="00890CDC"/>
    <w:rsid w:val="00893E31"/>
    <w:rsid w:val="0089613B"/>
    <w:rsid w:val="00896ED6"/>
    <w:rsid w:val="008A5048"/>
    <w:rsid w:val="008A6E19"/>
    <w:rsid w:val="008B794D"/>
    <w:rsid w:val="008C346D"/>
    <w:rsid w:val="008D2358"/>
    <w:rsid w:val="008E4CE4"/>
    <w:rsid w:val="00902883"/>
    <w:rsid w:val="0092264B"/>
    <w:rsid w:val="0094545D"/>
    <w:rsid w:val="00952AE7"/>
    <w:rsid w:val="00963651"/>
    <w:rsid w:val="0097120C"/>
    <w:rsid w:val="0097314E"/>
    <w:rsid w:val="00990697"/>
    <w:rsid w:val="009B5FA4"/>
    <w:rsid w:val="009D6D52"/>
    <w:rsid w:val="009F6603"/>
    <w:rsid w:val="00A12FBB"/>
    <w:rsid w:val="00A23A4A"/>
    <w:rsid w:val="00A40AA0"/>
    <w:rsid w:val="00A65A33"/>
    <w:rsid w:val="00A67953"/>
    <w:rsid w:val="00A71A27"/>
    <w:rsid w:val="00A73783"/>
    <w:rsid w:val="00A80567"/>
    <w:rsid w:val="00AB6224"/>
    <w:rsid w:val="00AD249E"/>
    <w:rsid w:val="00AE5666"/>
    <w:rsid w:val="00B1708A"/>
    <w:rsid w:val="00B3561E"/>
    <w:rsid w:val="00B368EB"/>
    <w:rsid w:val="00B36A9F"/>
    <w:rsid w:val="00B51CDF"/>
    <w:rsid w:val="00B6071C"/>
    <w:rsid w:val="00B637D9"/>
    <w:rsid w:val="00B71BE5"/>
    <w:rsid w:val="00B8407F"/>
    <w:rsid w:val="00B923C9"/>
    <w:rsid w:val="00BA6820"/>
    <w:rsid w:val="00BA7220"/>
    <w:rsid w:val="00BB2702"/>
    <w:rsid w:val="00BB5780"/>
    <w:rsid w:val="00BD295B"/>
    <w:rsid w:val="00BE158C"/>
    <w:rsid w:val="00BE7323"/>
    <w:rsid w:val="00BF65DA"/>
    <w:rsid w:val="00C07B7F"/>
    <w:rsid w:val="00C30B2E"/>
    <w:rsid w:val="00C31C52"/>
    <w:rsid w:val="00C43628"/>
    <w:rsid w:val="00C458C6"/>
    <w:rsid w:val="00C45D28"/>
    <w:rsid w:val="00C52A62"/>
    <w:rsid w:val="00C7237E"/>
    <w:rsid w:val="00C72C4E"/>
    <w:rsid w:val="00C8585E"/>
    <w:rsid w:val="00C85C7D"/>
    <w:rsid w:val="00C96C03"/>
    <w:rsid w:val="00CE590E"/>
    <w:rsid w:val="00CE6414"/>
    <w:rsid w:val="00CF7B3C"/>
    <w:rsid w:val="00D008DB"/>
    <w:rsid w:val="00D04801"/>
    <w:rsid w:val="00D12286"/>
    <w:rsid w:val="00D24ECF"/>
    <w:rsid w:val="00D33EEA"/>
    <w:rsid w:val="00D43622"/>
    <w:rsid w:val="00D55FC1"/>
    <w:rsid w:val="00D72129"/>
    <w:rsid w:val="00D97586"/>
    <w:rsid w:val="00DA52C6"/>
    <w:rsid w:val="00DF3020"/>
    <w:rsid w:val="00E1599A"/>
    <w:rsid w:val="00E47CC8"/>
    <w:rsid w:val="00E6546D"/>
    <w:rsid w:val="00E737EB"/>
    <w:rsid w:val="00EB204A"/>
    <w:rsid w:val="00EB6616"/>
    <w:rsid w:val="00EB73C0"/>
    <w:rsid w:val="00EC5652"/>
    <w:rsid w:val="00ED5682"/>
    <w:rsid w:val="00EE1F04"/>
    <w:rsid w:val="00EE422B"/>
    <w:rsid w:val="00EE7B7A"/>
    <w:rsid w:val="00EF65C8"/>
    <w:rsid w:val="00F00D30"/>
    <w:rsid w:val="00F011D4"/>
    <w:rsid w:val="00F05A76"/>
    <w:rsid w:val="00F1640F"/>
    <w:rsid w:val="00F22BFC"/>
    <w:rsid w:val="00F3231D"/>
    <w:rsid w:val="00F45608"/>
    <w:rsid w:val="00F96479"/>
    <w:rsid w:val="00FA166B"/>
    <w:rsid w:val="00FA5B3E"/>
    <w:rsid w:val="00FB25E7"/>
    <w:rsid w:val="00FD0A4C"/>
    <w:rsid w:val="00FD4EC2"/>
    <w:rsid w:val="00FD781B"/>
    <w:rsid w:val="00FF32B7"/>
    <w:rsid w:val="00FF4F53"/>
    <w:rsid w:val="61F2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F51C8"/>
  <w15:docId w15:val="{448475C8-AE8A-4362-AF48-9BBCF21E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mw-headline">
    <w:name w:val="mw-headline"/>
    <w:basedOn w:val="DefaultParagraphFont"/>
  </w:style>
  <w:style w:type="paragraph" w:styleId="ListParagraph">
    <w:name w:val="List Paragraph"/>
    <w:basedOn w:val="Normal"/>
    <w:uiPriority w:val="34"/>
    <w:qFormat/>
    <w:pPr>
      <w:ind w:left="720"/>
      <w:contextualSpacing/>
    </w:pPr>
  </w:style>
  <w:style w:type="character" w:customStyle="1" w:styleId="citation">
    <w:name w:val="citation"/>
    <w:basedOn w:val="DefaultParagraphFont"/>
  </w:style>
  <w:style w:type="character" w:customStyle="1" w:styleId="HeaderChar">
    <w:name w:val="Header Char"/>
    <w:basedOn w:val="DefaultParagraphFont"/>
    <w:link w:val="Head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pirev.oxfordjournals.org/content/22/2/283.full.pdf" TargetMode="External"/><Relationship Id="rId10" Type="http://schemas.openxmlformats.org/officeDocument/2006/relationships/hyperlink" Target="http://www.dx.doi.org/10.7537/marscbj130123.02" TargetMode="External"/><Relationship Id="rId4" Type="http://schemas.openxmlformats.org/officeDocument/2006/relationships/settings" Target="settings.xml"/><Relationship Id="rId9" Type="http://schemas.openxmlformats.org/officeDocument/2006/relationships/hyperlink" Target="http://www.sciencepub.net/nature.%20%20x.do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2617</Words>
  <Characters>14923</Characters>
  <Application>Microsoft Office Word</Application>
  <DocSecurity>0</DocSecurity>
  <Lines>124</Lines>
  <Paragraphs>35</Paragraphs>
  <ScaleCrop>false</ScaleCrop>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SHEGE4MIEIBI</dc:creator>
  <cp:lastModifiedBy>17184045362</cp:lastModifiedBy>
  <cp:revision>16</cp:revision>
  <cp:lastPrinted>2019-04-13T13:07:00Z</cp:lastPrinted>
  <dcterms:created xsi:type="dcterms:W3CDTF">2019-04-13T11:52:00Z</dcterms:created>
  <dcterms:modified xsi:type="dcterms:W3CDTF">2023-03-20T23:33:00Z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0D697AE8F8AE46D28B189AA4F42993EA</vt:lpwstr>
  </property>
</Properties>
</file>