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10" w:rsidRDefault="00145110">
      <w:pPr>
        <w:widowControl w:val="0"/>
        <w:autoSpaceDE w:val="0"/>
        <w:autoSpaceDN w:val="0"/>
        <w:snapToGrid w:val="0"/>
        <w:spacing w:after="0" w:line="240" w:lineRule="auto"/>
        <w:ind w:right="4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</w:p>
    <w:p w:rsidR="00145110" w:rsidRDefault="00B325BC">
      <w:pPr>
        <w:widowControl w:val="0"/>
        <w:autoSpaceDE w:val="0"/>
        <w:autoSpaceDN w:val="0"/>
        <w:snapToGrid w:val="0"/>
        <w:spacing w:after="0" w:line="240" w:lineRule="auto"/>
        <w:ind w:right="4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Clinicopathological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Features of</w:t>
      </w:r>
      <w:r>
        <w:rPr>
          <w:rFonts w:ascii="Times New Roman" w:eastAsia="Calibri" w:hAnsi="Times New Roman" w:cs="Times New Roman"/>
          <w:b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Non Hodgkin’s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Lymphoma Patients</w:t>
      </w:r>
      <w:r>
        <w:rPr>
          <w:rFonts w:ascii="Times New Roman" w:eastAsia="Calibri" w:hAnsi="Times New Roman" w:cs="Times New Roman"/>
          <w:b/>
          <w:spacing w:val="1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Treated in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Kasr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Al-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Ainy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Centre of</w:t>
      </w:r>
      <w:r>
        <w:rPr>
          <w:rFonts w:ascii="Times New Roman" w:eastAsia="Calibri" w:hAnsi="Times New Roman" w:cs="Times New Roman"/>
          <w:b/>
          <w:spacing w:val="-12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Clinical Oncology (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Nemrock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) from</w:t>
      </w:r>
      <w:r>
        <w:rPr>
          <w:rFonts w:ascii="Times New Roman" w:eastAsia="Calibri" w:hAnsi="Times New Roman" w:cs="Times New Roman"/>
          <w:b/>
          <w:spacing w:val="-120"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b/>
          <w:sz w:val="20"/>
          <w:szCs w:val="20"/>
        </w:rPr>
        <w:t>2015</w:t>
      </w:r>
      <w:r>
        <w:rPr>
          <w:rFonts w:ascii="Times New Roman" w:eastAsia="Calibri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to</w:t>
      </w:r>
      <w:r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2020</w:t>
      </w:r>
    </w:p>
    <w:p w:rsidR="00145110" w:rsidRDefault="00145110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145110" w:rsidRDefault="00B325BC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bidi="en-US"/>
        </w:rPr>
        <w:t>Wedad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B. Hashem, MD,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bidi="en-US"/>
        </w:rPr>
        <w:t>Rasha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bidi="en-US"/>
        </w:rPr>
        <w:t>Salama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MD,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bidi="en-US"/>
        </w:rPr>
        <w:t>Hadir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Habib,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bidi="en-US"/>
        </w:rPr>
        <w:t>Msc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bidi="en-US"/>
        </w:rPr>
        <w:t>Hamdy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bidi="en-US"/>
        </w:rPr>
        <w:t>Zawam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MD</w:t>
      </w:r>
    </w:p>
    <w:p w:rsidR="00145110" w:rsidRDefault="00145110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145110" w:rsidRDefault="00B325BC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Department of Clinical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Oncology,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Kasr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Al-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Ainy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School of medicine, Cairo University, Egypt</w:t>
      </w:r>
    </w:p>
    <w:p w:rsidR="00145110" w:rsidRDefault="00B325BC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ar-EG"/>
        </w:rPr>
      </w:pPr>
      <w:r>
        <w:rPr>
          <w:rFonts w:ascii="Times New Roman" w:eastAsia="Calibri" w:hAnsi="Times New Roman" w:cs="Times New Roman"/>
          <w:sz w:val="20"/>
          <w:szCs w:val="20"/>
          <w:lang w:bidi="ar-EG"/>
        </w:rPr>
        <w:t xml:space="preserve">E-mail: </w:t>
      </w:r>
      <w:hyperlink r:id="rId8" w:history="1">
        <w:r>
          <w:rPr>
            <w:rStyle w:val="Hyperlink"/>
            <w:rFonts w:ascii="Times New Roman" w:eastAsia="Calibri" w:hAnsi="Times New Roman" w:cs="Times New Roman"/>
            <w:sz w:val="20"/>
            <w:szCs w:val="20"/>
            <w:u w:val="none"/>
            <w:lang w:bidi="ar-EG"/>
          </w:rPr>
          <w:t>weedo_82@hotmail.com</w:t>
        </w:r>
      </w:hyperlink>
    </w:p>
    <w:p w:rsidR="00145110" w:rsidRDefault="00145110">
      <w:pPr>
        <w:snapToGri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145110" w:rsidRDefault="00B325B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Abstract: Background: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Worldwide, non-Hodgkin lymphoma (NHL) is the most prevalent hematologic cancer. It has more than 40 major subtypes. The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primary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objective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study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evaluate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prevalence</w:t>
      </w:r>
      <w:r>
        <w:rPr>
          <w:rFonts w:ascii="Times New Roman" w:eastAsia="Times New Roman" w:hAnsi="Times New Roman" w:cs="Times New Roman"/>
          <w:spacing w:val="-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clinicopathological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features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different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types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NHL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study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impact 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cycles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Rituximab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progression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survival of DLBCL patients. Our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secondary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objective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incidence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CNS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relapse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DLBCL.</w:t>
      </w:r>
    </w:p>
    <w:p w:rsidR="00145110" w:rsidRDefault="00B325B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Methods: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This is a five-year retrospective (from January 2015 till January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2020) </w:t>
      </w:r>
      <w:r>
        <w:rPr>
          <w:rFonts w:ascii="Times New Roman" w:eastAsia="Times New Roman" w:hAnsi="Times New Roman" w:cs="Times New Roman"/>
          <w:sz w:val="20"/>
          <w:szCs w:val="20"/>
        </w:rPr>
        <w:t>study of clinic-pathological features of NHL patients</w:t>
      </w:r>
      <w:r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Kasr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Clinical Oncology department, Cairo University. Final analysis of DLBCL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patients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data was done.</w:t>
      </w:r>
    </w:p>
    <w:p w:rsidR="00145110" w:rsidRDefault="00B325B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Results: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During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period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January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January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lymphoid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malignancies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retrieved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cases.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Meanwhile among NHL, the diffuse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large B cell lymphoma (DLBCL) was the commonest subtype forming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43% (251 patients). Only 186 patients of DLBCL were eligible for the final analysis. In our cohort, the median age at diagnosis was 5</w:t>
      </w:r>
      <w:r>
        <w:rPr>
          <w:rFonts w:ascii="Times New Roman" w:eastAsia="Times New Roman" w:hAnsi="Times New Roman" w:cs="Times New Roman"/>
          <w:sz w:val="20"/>
          <w:szCs w:val="20"/>
        </w:rPr>
        <w:t>0 years. We have found that patients with intermediate or high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CNS-IPI were more likely to develop CNS relapse with a trend toward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statistical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significance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(p=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0.08). Complete remission (CR) also increased to 60.1% of the patients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after adding rituximab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CHOP. Median PFS for patients who achieved CR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after first line of treatment was 13.5 months, while those who failed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achieve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response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median PFS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months,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&lt;0.0001. Overall survival was significantly affected by the response after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chemotherapy;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achieved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favorable response was 20.8 versus 8.1 months for those who achieved no</w:t>
      </w:r>
      <w:r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response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chemotherapy.</w:t>
      </w:r>
    </w:p>
    <w:p w:rsidR="00145110" w:rsidRDefault="00B325B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Conclusion: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 most prevalent lymphoma subtype in our study, accounting for 43% of the patients, was DLBCL. When added to chemotherapy, rituximab improved both CR and ORR. Furthermore, Rituximab plus chemotherapy had a noticeably longer overall survival.</w:t>
      </w:r>
    </w:p>
    <w:p w:rsidR="00145110" w:rsidRDefault="00B325BC">
      <w:pPr>
        <w:snapToGri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Regarding C</w:t>
      </w:r>
      <w:r>
        <w:rPr>
          <w:rFonts w:ascii="Times New Roman" w:eastAsia="Times New Roman" w:hAnsi="Times New Roman" w:cs="Times New Roman"/>
          <w:sz w:val="20"/>
          <w:szCs w:val="20"/>
        </w:rPr>
        <w:t>NS relapse and the impact of CNS IPI, we noticed that patients with intermediate or high CNS-IPI were at a higher risk of experiencing CNS relapse.</w:t>
      </w:r>
    </w:p>
    <w:p w:rsidR="00145110" w:rsidRDefault="00B325B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>
        <w:rPr>
          <w:rFonts w:ascii="Times New Roman" w:eastAsia="SimSun" w:hAnsi="Times New Roman" w:cs="Times New Roman" w:hint="eastAsia"/>
          <w:sz w:val="20"/>
          <w:szCs w:val="20"/>
          <w:lang w:eastAsia="zh-CN" w:bidi="en-US"/>
        </w:rPr>
        <w:t>[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bidi="en-US"/>
        </w:rPr>
        <w:t>Wedad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B. Hashem,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bidi="en-US"/>
        </w:rPr>
        <w:t>Rasha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bidi="en-US"/>
        </w:rPr>
        <w:t>Salama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bidi="en-US"/>
        </w:rPr>
        <w:t>Hadir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Habib,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bidi="en-US"/>
        </w:rPr>
        <w:t>Hamdy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bidi="en-US"/>
        </w:rPr>
        <w:t>Zawam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Clinicopathological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Features of</w:t>
      </w:r>
      <w:r>
        <w:rPr>
          <w:rFonts w:ascii="Times New Roman" w:eastAsia="Calibri" w:hAnsi="Times New Roman" w:cs="Times New Roman"/>
          <w:b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Non Hodgkin’s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Lymp</w:t>
      </w:r>
      <w:r>
        <w:rPr>
          <w:rFonts w:ascii="Times New Roman" w:eastAsia="Calibri" w:hAnsi="Times New Roman" w:cs="Times New Roman"/>
          <w:b/>
          <w:sz w:val="20"/>
          <w:szCs w:val="20"/>
        </w:rPr>
        <w:t>homa Patients</w:t>
      </w:r>
      <w:r>
        <w:rPr>
          <w:rFonts w:ascii="Times New Roman" w:eastAsia="Calibri" w:hAnsi="Times New Roman" w:cs="Times New Roman"/>
          <w:b/>
          <w:spacing w:val="1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Treated in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Kasr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Al-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Ainy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Centre of</w:t>
      </w:r>
      <w:r>
        <w:rPr>
          <w:rFonts w:ascii="Times New Roman" w:eastAsia="Calibri" w:hAnsi="Times New Roman" w:cs="Times New Roman"/>
          <w:b/>
          <w:spacing w:val="-12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Clinical Oncology (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Nemrock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) from</w:t>
      </w:r>
      <w:r>
        <w:rPr>
          <w:rFonts w:ascii="Times New Roman" w:eastAsia="Calibri" w:hAnsi="Times New Roman" w:cs="Times New Roman"/>
          <w:b/>
          <w:spacing w:val="-120"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b/>
          <w:sz w:val="20"/>
          <w:szCs w:val="20"/>
        </w:rPr>
        <w:t>2015</w:t>
      </w:r>
      <w:r>
        <w:rPr>
          <w:rFonts w:ascii="Times New Roman" w:eastAsia="Calibri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to</w:t>
      </w:r>
      <w:r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2020. </w:t>
      </w:r>
      <w:r>
        <w:rPr>
          <w:rFonts w:ascii="Times New Roman" w:hAnsi="Times New Roman" w:cs="Times New Roman"/>
          <w:sz w:val="20"/>
          <w:szCs w:val="20"/>
        </w:rPr>
        <w:t>Cancer Biology 202</w:t>
      </w:r>
      <w:r>
        <w:rPr>
          <w:rFonts w:ascii="Times New Roman" w:hAnsi="Times New Roman" w:cs="Times New Roman"/>
          <w:sz w:val="20"/>
          <w:szCs w:val="20"/>
          <w:lang w:eastAsia="zh-CN"/>
        </w:rPr>
        <w:t>3</w:t>
      </w:r>
      <w:r>
        <w:rPr>
          <w:rFonts w:ascii="Times New Roman" w:hAnsi="Times New Roman" w:cs="Times New Roman"/>
          <w:sz w:val="20"/>
          <w:szCs w:val="20"/>
        </w:rPr>
        <w:t>;1</w:t>
      </w:r>
      <w:r>
        <w:rPr>
          <w:rFonts w:ascii="Times New Roman" w:hAnsi="Times New Roman" w:cs="Times New Roman"/>
          <w:sz w:val="20"/>
          <w:szCs w:val="20"/>
          <w:lang w:eastAsia="zh-CN"/>
        </w:rPr>
        <w:t>3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4</w:t>
      </w:r>
      <w:r>
        <w:rPr>
          <w:rFonts w:ascii="Times New Roman" w:hAnsi="Times New Roman" w:cs="Times New Roman"/>
          <w:sz w:val="20"/>
          <w:szCs w:val="20"/>
        </w:rPr>
        <w:t>):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86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93</w:t>
      </w:r>
      <w:r>
        <w:rPr>
          <w:rFonts w:ascii="Times New Roman" w:hAnsi="Times New Roman" w:cs="Times New Roman"/>
          <w:sz w:val="20"/>
          <w:szCs w:val="20"/>
        </w:rPr>
        <w:t>].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ISSN: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2150-1041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(print);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ISSN: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2150-105X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(online).</w:t>
      </w:r>
      <w:r>
        <w:rPr>
          <w:rFonts w:ascii="Times New Roman" w:hAnsi="Times New Roman" w:cs="Times New Roman"/>
          <w:color w:val="355F91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http://www.cancerbio.net</w:t>
        </w:r>
      </w:hyperlink>
      <w:r>
        <w:rPr>
          <w:rFonts w:ascii="Times New Roman" w:hAnsi="Times New Roman" w:cs="Times New Roman"/>
          <w:color w:val="0000FF"/>
          <w:sz w:val="20"/>
          <w:szCs w:val="20"/>
          <w:u w:val="single" w:color="0000FF"/>
          <w:lang w:eastAsia="zh-CN"/>
        </w:rPr>
        <w:t xml:space="preserve"> </w:t>
      </w:r>
      <w:hyperlink r:id="rId10" w:history="1">
        <w:r>
          <w:rPr>
            <w:rStyle w:val="Hyperlink"/>
            <w:rFonts w:ascii="Times New Roman" w:eastAsia="SimSun" w:hAnsi="Times New Roman" w:cs="Times New Roman"/>
            <w:sz w:val="20"/>
            <w:szCs w:val="20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eastAsia="zh-CN"/>
          </w:rPr>
          <w:t>0</w:t>
        </w:r>
        <w:r>
          <w:rPr>
            <w:rStyle w:val="Hyperlink"/>
            <w:rFonts w:ascii="Times New Roman" w:hAnsi="Times New Roman" w:cs="Times New Roman" w:hint="eastAsia"/>
            <w:color w:val="auto"/>
            <w:sz w:val="20"/>
            <w:szCs w:val="20"/>
            <w:u w:val="none"/>
            <w:lang w:eastAsia="zh-CN"/>
          </w:rPr>
          <w:t>4</w:t>
        </w:r>
        <w:r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>
          <w:rPr>
            <w:rStyle w:val="Hyperlink"/>
            <w:rFonts w:ascii="Times New Roman" w:eastAsia="SimSu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doi</w:t>
        </w:r>
      </w:hyperlink>
      <w:r>
        <w:rPr>
          <w:rFonts w:ascii="Times New Roman" w:eastAsia="SimSun" w:hAnsi="Times New Roman" w:cs="Times New Roman"/>
          <w:sz w:val="20"/>
          <w:szCs w:val="20"/>
          <w:shd w:val="clear" w:color="auto" w:fill="FFFFFF"/>
        </w:rPr>
        <w:t>:</w:t>
      </w:r>
      <w:hyperlink r:id="rId11" w:history="1">
        <w:r>
          <w:rPr>
            <w:rStyle w:val="Hyperlink"/>
            <w:rFonts w:ascii="Times New Roman" w:eastAsia="SimSun" w:hAnsi="Times New Roman" w:cs="Times New Roman"/>
            <w:sz w:val="20"/>
            <w:szCs w:val="20"/>
            <w:shd w:val="clear" w:color="auto" w:fill="FFFFFF"/>
          </w:rPr>
          <w:t>10.7537/marscbj130423.04.</w:t>
        </w:r>
      </w:hyperlink>
    </w:p>
    <w:p w:rsidR="00145110" w:rsidRDefault="00145110">
      <w:p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145110" w:rsidRDefault="00B325B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Keyword: </w:t>
      </w:r>
      <w:r>
        <w:rPr>
          <w:rFonts w:ascii="Times New Roman" w:eastAsia="Times New Roman" w:hAnsi="Times New Roman" w:cs="Times New Roman"/>
          <w:sz w:val="20"/>
          <w:szCs w:val="20"/>
        </w:rPr>
        <w:t>DLBCL, Rituximab, CNS prophylaxis.</w:t>
      </w:r>
    </w:p>
    <w:p w:rsidR="00145110" w:rsidRDefault="00145110">
      <w:pPr>
        <w:widowControl w:val="0"/>
        <w:autoSpaceDE w:val="0"/>
        <w:autoSpaceDN w:val="0"/>
        <w:snapToGrid w:val="0"/>
        <w:spacing w:after="0" w:line="240" w:lineRule="auto"/>
        <w:ind w:right="4"/>
        <w:jc w:val="both"/>
        <w:outlineLvl w:val="1"/>
        <w:rPr>
          <w:rFonts w:ascii="Times New Roman" w:eastAsia="Bookman Old Style" w:hAnsi="Times New Roman" w:cs="Times New Roman"/>
          <w:b/>
          <w:sz w:val="20"/>
          <w:szCs w:val="20"/>
        </w:rPr>
      </w:pPr>
    </w:p>
    <w:p w:rsidR="00145110" w:rsidRDefault="00145110">
      <w:pPr>
        <w:widowControl w:val="0"/>
        <w:autoSpaceDE w:val="0"/>
        <w:autoSpaceDN w:val="0"/>
        <w:snapToGrid w:val="0"/>
        <w:spacing w:after="0" w:line="240" w:lineRule="auto"/>
        <w:ind w:right="4"/>
        <w:jc w:val="both"/>
        <w:outlineLvl w:val="1"/>
        <w:rPr>
          <w:rFonts w:ascii="Times New Roman" w:eastAsia="Bookman Old Style" w:hAnsi="Times New Roman" w:cs="Times New Roman"/>
          <w:b/>
          <w:sz w:val="20"/>
          <w:szCs w:val="20"/>
        </w:rPr>
        <w:sectPr w:rsidR="00145110">
          <w:headerReference w:type="default" r:id="rId12"/>
          <w:footerReference w:type="default" r:id="rId13"/>
          <w:headerReference w:type="first" r:id="rId14"/>
          <w:footerReference w:type="first" r:id="rId15"/>
          <w:type w:val="nextColumn"/>
          <w:pgSz w:w="12240" w:h="15840"/>
          <w:pgMar w:top="1440" w:right="1440" w:bottom="1440" w:left="1440" w:header="708" w:footer="708" w:gutter="0"/>
          <w:pgNumType w:start="86"/>
          <w:cols w:space="708"/>
          <w:titlePg/>
          <w:docGrid w:linePitch="360"/>
        </w:sectPr>
      </w:pPr>
    </w:p>
    <w:p w:rsidR="00145110" w:rsidRDefault="00B325BC">
      <w:pPr>
        <w:widowControl w:val="0"/>
        <w:autoSpaceDE w:val="0"/>
        <w:autoSpaceDN w:val="0"/>
        <w:snapToGrid w:val="0"/>
        <w:spacing w:after="0" w:line="240" w:lineRule="auto"/>
        <w:ind w:right="4"/>
        <w:jc w:val="both"/>
        <w:outlineLvl w:val="1"/>
        <w:rPr>
          <w:rFonts w:ascii="Times New Roman" w:eastAsia="Bookman Old Style" w:hAnsi="Times New Roman" w:cs="Times New Roman"/>
          <w:b/>
          <w:sz w:val="20"/>
          <w:szCs w:val="20"/>
        </w:rPr>
      </w:pPr>
      <w:r>
        <w:rPr>
          <w:rFonts w:ascii="Times New Roman" w:eastAsia="Bookman Old Style" w:hAnsi="Times New Roman" w:cs="Times New Roman"/>
          <w:b/>
          <w:sz w:val="20"/>
          <w:szCs w:val="20"/>
        </w:rPr>
        <w:lastRenderedPageBreak/>
        <w:t>1. Background: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Non-Hodgkin’s Lymphoma (NHL) is considered the most common hematologic malignancy all over the world. In United States, it represents around 4.3% of all cancers</w:t>
      </w:r>
      <w:r>
        <w:rPr>
          <w:spacing w:val="-67"/>
          <w:sz w:val="20"/>
          <w:szCs w:val="20"/>
        </w:rPr>
        <w:t>,</w:t>
      </w:r>
      <w:r>
        <w:rPr>
          <w:sz w:val="20"/>
          <w:szCs w:val="20"/>
        </w:rPr>
        <w:t xml:space="preserve"> being the 7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most common malignancy between males and</w:t>
      </w:r>
      <w:r>
        <w:rPr>
          <w:spacing w:val="1"/>
          <w:sz w:val="20"/>
          <w:szCs w:val="20"/>
        </w:rPr>
        <w:t xml:space="preserve"> ranked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>
        <w:rPr>
          <w:sz w:val="20"/>
          <w:szCs w:val="20"/>
          <w:vertAlign w:val="superscript"/>
        </w:rPr>
        <w:t>th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among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females.</w:t>
      </w:r>
      <w:r>
        <w:rPr>
          <w:spacing w:val="1"/>
          <w:sz w:val="20"/>
          <w:szCs w:val="20"/>
        </w:rPr>
        <w:t xml:space="preserve"> NHL has several subtypes, which</w:t>
      </w:r>
      <w:r>
        <w:rPr>
          <w:sz w:val="20"/>
          <w:szCs w:val="20"/>
        </w:rPr>
        <w:t xml:space="preserve"> varies to a great extent to age, difference in gender, as well as geographic region [1].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NHL</w:t>
      </w:r>
      <w:r>
        <w:rPr>
          <w:spacing w:val="65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65"/>
          <w:sz w:val="20"/>
          <w:szCs w:val="20"/>
        </w:rPr>
        <w:t xml:space="preserve"> </w:t>
      </w:r>
      <w:r>
        <w:rPr>
          <w:sz w:val="20"/>
          <w:szCs w:val="20"/>
        </w:rPr>
        <w:t>characterized</w:t>
      </w:r>
      <w:r>
        <w:rPr>
          <w:spacing w:val="67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66"/>
          <w:sz w:val="20"/>
          <w:szCs w:val="20"/>
        </w:rPr>
        <w:t xml:space="preserve"> </w:t>
      </w:r>
      <w:r>
        <w:rPr>
          <w:sz w:val="20"/>
          <w:szCs w:val="20"/>
        </w:rPr>
        <w:t>numerous</w:t>
      </w:r>
      <w:r>
        <w:rPr>
          <w:spacing w:val="65"/>
          <w:sz w:val="20"/>
          <w:szCs w:val="20"/>
        </w:rPr>
        <w:t xml:space="preserve"> </w:t>
      </w:r>
      <w:r>
        <w:rPr>
          <w:sz w:val="20"/>
          <w:szCs w:val="20"/>
        </w:rPr>
        <w:t>age-related</w:t>
      </w:r>
      <w:r>
        <w:rPr>
          <w:spacing w:val="65"/>
          <w:sz w:val="20"/>
          <w:szCs w:val="20"/>
        </w:rPr>
        <w:t xml:space="preserve"> </w:t>
      </w:r>
      <w:r>
        <w:rPr>
          <w:sz w:val="20"/>
          <w:szCs w:val="20"/>
        </w:rPr>
        <w:t>distinctions</w:t>
      </w:r>
      <w:r>
        <w:rPr>
          <w:spacing w:val="66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65"/>
          <w:sz w:val="20"/>
          <w:szCs w:val="20"/>
        </w:rPr>
        <w:t xml:space="preserve"> </w:t>
      </w:r>
      <w:r>
        <w:rPr>
          <w:sz w:val="20"/>
          <w:szCs w:val="20"/>
        </w:rPr>
        <w:t>clinical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picture,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biology,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as well as </w:t>
      </w:r>
      <w:r>
        <w:rPr>
          <w:sz w:val="20"/>
          <w:szCs w:val="20"/>
        </w:rPr>
        <w:t>therapeutic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outcome.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Children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under the age of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16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years are named the “pediatric” group, whereas patients between 16 to 39 years, are defined as the “adolescent and young adult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(AYA)” group. The </w:t>
      </w:r>
      <w:r>
        <w:rPr>
          <w:sz w:val="20"/>
          <w:szCs w:val="20"/>
        </w:rPr>
        <w:lastRenderedPageBreak/>
        <w:t>incidence of newly diagnosed patients increases in higher age</w:t>
      </w:r>
      <w:r>
        <w:rPr>
          <w:sz w:val="20"/>
          <w:szCs w:val="20"/>
        </w:rPr>
        <w:t>. The annual incidence in the US - extracted from SEER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database - is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0.5-1.2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100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000,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1.8-7.2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100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000,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10.5</w:t>
      </w:r>
      <w:r>
        <w:rPr>
          <w:spacing w:val="4"/>
          <w:sz w:val="20"/>
          <w:szCs w:val="20"/>
        </w:rPr>
        <w:t>-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116.4 per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100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000, for the pediatric, AYA, and older adult (&gt;40 years) age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groups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respectively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[2].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Egypt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between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2000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2011,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histopathology department in the national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cancer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institute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(NCI)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evaluated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total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5690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cases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diagnosed 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malignant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lymphoma; 71.84% were diagnosed as NHL, while 28.16% presented by Hodgkin lymphoma. There was a clear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predominance of B-cell type NHL o</w:t>
      </w:r>
      <w:r>
        <w:rPr>
          <w:sz w:val="20"/>
          <w:szCs w:val="20"/>
        </w:rPr>
        <w:t>f around 83.7%. Diffuse large b-cell lymphoma (DLBCL) was the most frequently recorded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subtype of all B-cell lymphomas, </w:t>
      </w:r>
      <w:r>
        <w:rPr>
          <w:sz w:val="20"/>
          <w:szCs w:val="20"/>
        </w:rPr>
        <w:lastRenderedPageBreak/>
        <w:t>representing about half of the cases (50.17%) [3].</w:t>
      </w:r>
    </w:p>
    <w:p w:rsidR="00145110" w:rsidRDefault="00B325BC">
      <w:pPr>
        <w:widowControl w:val="0"/>
        <w:autoSpaceDE w:val="0"/>
        <w:autoSpaceDN w:val="0"/>
        <w:snapToGrid w:val="0"/>
        <w:spacing w:after="0" w:line="240" w:lineRule="auto"/>
        <w:ind w:right="4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CNS relapse is considered a highly serious and most life threatening event in aggress</w:t>
      </w:r>
      <w:r>
        <w:rPr>
          <w:rFonts w:ascii="Times New Roman" w:hAnsi="Times New Roman" w:cs="Times New Roman"/>
          <w:sz w:val="20"/>
          <w:szCs w:val="20"/>
        </w:rPr>
        <w:t>ive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Lymphoma cases [4, 5].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Properly identifying the high-risk patients will definitely aid CNS-dedicated diagnostic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work-up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early find out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disease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select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cases that need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therapeutic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 maybe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prophylactic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measures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[6].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In 1975, the trial for mono</w:t>
      </w:r>
      <w:r>
        <w:rPr>
          <w:sz w:val="20"/>
          <w:szCs w:val="20"/>
        </w:rPr>
        <w:t>clonal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antibodies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mAbs</w:t>
      </w:r>
      <w:proofErr w:type="spellEnd"/>
      <w:r>
        <w:rPr>
          <w:sz w:val="20"/>
          <w:szCs w:val="20"/>
        </w:rPr>
        <w:t>)</w:t>
      </w:r>
      <w:r>
        <w:rPr>
          <w:spacing w:val="1"/>
          <w:sz w:val="20"/>
          <w:szCs w:val="20"/>
        </w:rPr>
        <w:t xml:space="preserve"> to be used </w:t>
      </w:r>
      <w:r>
        <w:rPr>
          <w:sz w:val="20"/>
          <w:szCs w:val="20"/>
        </w:rPr>
        <w:t>as</w:t>
      </w:r>
      <w:r>
        <w:rPr>
          <w:spacing w:val="7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therapeutic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treatment option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began</w:t>
      </w:r>
      <w:r>
        <w:rPr>
          <w:spacing w:val="1"/>
          <w:sz w:val="20"/>
          <w:szCs w:val="20"/>
        </w:rPr>
        <w:t xml:space="preserve">. </w:t>
      </w:r>
      <w:r>
        <w:rPr>
          <w:sz w:val="20"/>
          <w:szCs w:val="20"/>
        </w:rPr>
        <w:t>Researchers at that time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described the </w:t>
      </w:r>
      <w:proofErr w:type="spellStart"/>
      <w:r>
        <w:rPr>
          <w:sz w:val="20"/>
          <w:szCs w:val="20"/>
        </w:rPr>
        <w:t>hybridomas</w:t>
      </w:r>
      <w:proofErr w:type="spellEnd"/>
      <w:r>
        <w:rPr>
          <w:sz w:val="20"/>
          <w:szCs w:val="20"/>
        </w:rPr>
        <w:t xml:space="preserve"> formation to save and produce a limitless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amount of</w:t>
      </w:r>
      <w:r>
        <w:rPr>
          <w:spacing w:val="-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mAbs</w:t>
      </w:r>
      <w:proofErr w:type="spellEnd"/>
      <w:r>
        <w:rPr>
          <w:sz w:val="20"/>
          <w:szCs w:val="20"/>
        </w:rPr>
        <w:t xml:space="preserve"> from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just one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single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cell [7].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Rituximab is a </w:t>
      </w:r>
      <w:proofErr w:type="spellStart"/>
      <w:r>
        <w:rPr>
          <w:sz w:val="20"/>
          <w:szCs w:val="20"/>
        </w:rPr>
        <w:t>mAb</w:t>
      </w:r>
      <w:proofErr w:type="spellEnd"/>
      <w:r>
        <w:rPr>
          <w:sz w:val="20"/>
          <w:szCs w:val="20"/>
        </w:rPr>
        <w:t xml:space="preserve"> that has the capability of specifically binding with high affinity to the CD20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antigen. CD20 is expressed on the preponderance of malignant B cells. Binding 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the fragment </w:t>
      </w:r>
      <w:proofErr w:type="spellStart"/>
      <w:r>
        <w:rPr>
          <w:sz w:val="20"/>
          <w:szCs w:val="20"/>
        </w:rPr>
        <w:t>crystallizable</w:t>
      </w:r>
      <w:proofErr w:type="spellEnd"/>
      <w:r>
        <w:rPr>
          <w:sz w:val="20"/>
          <w:szCs w:val="20"/>
        </w:rPr>
        <w:t xml:space="preserve"> (Fc) portion of the rituximab </w:t>
      </w:r>
      <w:proofErr w:type="spellStart"/>
      <w:r>
        <w:rPr>
          <w:sz w:val="20"/>
          <w:szCs w:val="20"/>
        </w:rPr>
        <w:t>mAb</w:t>
      </w:r>
      <w:proofErr w:type="spellEnd"/>
      <w:r>
        <w:rPr>
          <w:sz w:val="20"/>
          <w:szCs w:val="20"/>
        </w:rPr>
        <w:t xml:space="preserve"> to the CD2</w:t>
      </w:r>
      <w:r>
        <w:rPr>
          <w:sz w:val="20"/>
          <w:szCs w:val="20"/>
        </w:rPr>
        <w:t>0</w:t>
      </w:r>
      <w:proofErr w:type="gramStart"/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tumor</w:t>
      </w:r>
      <w:proofErr w:type="gram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cells leads to its elimination by at least 4 pathways: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antibody-dependent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cellular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cytotoxicity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(ADCC),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antibody-dependent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cellular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phagocytosis,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complement-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dependent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cytotoxicity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(CDC),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direct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antitumor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effects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[8, 9].</w:t>
      </w:r>
    </w:p>
    <w:p w:rsidR="00145110" w:rsidRDefault="00145110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:rsidR="00145110" w:rsidRDefault="00B325BC">
      <w:pPr>
        <w:pStyle w:val="Heading2"/>
        <w:snapToGrid w:val="0"/>
        <w:spacing w:before="0"/>
        <w:ind w:left="0" w:right="4"/>
        <w:jc w:val="both"/>
        <w:rPr>
          <w:rFonts w:ascii="Times New Roman" w:hAnsi="Times New Roman" w:cs="Times New Roman"/>
          <w:b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sz w:val="20"/>
          <w:szCs w:val="20"/>
          <w:u w:val="none"/>
        </w:rPr>
        <w:t>Aim of work: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primary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objective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study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evaluate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prevalence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3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clinicopathological</w:t>
      </w:r>
      <w:proofErr w:type="spellEnd"/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features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different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types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NHL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study 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impact 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number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cycles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Rituximab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progression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free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survival of DLBCL patients.</w:t>
      </w:r>
    </w:p>
    <w:p w:rsidR="00145110" w:rsidRDefault="00B325BC">
      <w:pPr>
        <w:pStyle w:val="BodyText"/>
        <w:tabs>
          <w:tab w:val="right" w:pos="567"/>
        </w:tabs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Our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main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secondary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objective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study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assess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incidence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 CNS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relapse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 DLBCL.</w:t>
      </w:r>
    </w:p>
    <w:p w:rsidR="00145110" w:rsidRDefault="00145110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:rsidR="00145110" w:rsidRDefault="00B325BC">
      <w:pPr>
        <w:pStyle w:val="Heading2"/>
        <w:snapToGrid w:val="0"/>
        <w:spacing w:before="0"/>
        <w:ind w:left="0" w:right="4"/>
        <w:jc w:val="both"/>
        <w:rPr>
          <w:rFonts w:ascii="Times New Roman" w:hAnsi="Times New Roman" w:cs="Times New Roman"/>
          <w:b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sz w:val="20"/>
          <w:szCs w:val="20"/>
          <w:u w:val="none"/>
        </w:rPr>
        <w:t>2. Patients and Methods: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This is a five-year retrospective (from January 2015 till January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2020) study of clinic-pathological features of Non-Hodgkin’s Lymphoma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 xml:space="preserve">in </w:t>
      </w:r>
      <w:proofErr w:type="spellStart"/>
      <w:r>
        <w:rPr>
          <w:sz w:val="20"/>
          <w:szCs w:val="20"/>
        </w:rPr>
        <w:t>Kasr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Aini</w:t>
      </w:r>
      <w:proofErr w:type="spellEnd"/>
      <w:r>
        <w:rPr>
          <w:sz w:val="20"/>
          <w:szCs w:val="20"/>
        </w:rPr>
        <w:t xml:space="preserve"> Clinical </w:t>
      </w:r>
      <w:r>
        <w:rPr>
          <w:sz w:val="20"/>
          <w:szCs w:val="20"/>
        </w:rPr>
        <w:t>Oncology department. We accessed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database 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extract 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file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numbers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patients. Final data analysis was done on DLBCL patients.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retrieved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patient’s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records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including: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age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diagnosis, year of diagnosis, gender, virology, ECOG </w:t>
      </w:r>
      <w:r>
        <w:rPr>
          <w:sz w:val="20"/>
          <w:szCs w:val="20"/>
        </w:rPr>
        <w:t>performance score,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LDH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level,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and clinical stage, size of tumor, </w:t>
      </w:r>
      <w:proofErr w:type="spellStart"/>
      <w:r>
        <w:rPr>
          <w:sz w:val="20"/>
          <w:szCs w:val="20"/>
        </w:rPr>
        <w:t>extranodal</w:t>
      </w:r>
      <w:proofErr w:type="spellEnd"/>
      <w:r>
        <w:rPr>
          <w:sz w:val="20"/>
          <w:szCs w:val="20"/>
        </w:rPr>
        <w:t xml:space="preserve"> site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involvement, number of Rituximab cycles,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outcome, and survival.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Overall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survival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(OS)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outcome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interest.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calculated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months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elapsed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between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z w:val="20"/>
          <w:szCs w:val="20"/>
        </w:rPr>
        <w:t>he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date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diagnosis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and the date of death, date last known to be alive, or date of the study cut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off. [10]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PFS was calculated as the time in months elapsed between the date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complete response</w:t>
      </w:r>
      <w:r>
        <w:rPr>
          <w:spacing w:val="-1"/>
          <w:sz w:val="20"/>
          <w:szCs w:val="20"/>
        </w:rPr>
        <w:t xml:space="preserve"> until first evidence of disease relapse</w:t>
      </w:r>
      <w:r>
        <w:rPr>
          <w:sz w:val="20"/>
          <w:szCs w:val="20"/>
        </w:rPr>
        <w:t xml:space="preserve">. Objective response </w:t>
      </w:r>
      <w:r>
        <w:rPr>
          <w:sz w:val="20"/>
          <w:szCs w:val="20"/>
        </w:rPr>
        <w:t>rate (ORR) is the proportion of patients who had responded either partially or completely to therapy. [10]</w:t>
      </w:r>
    </w:p>
    <w:p w:rsidR="00145110" w:rsidRDefault="00145110">
      <w:pPr>
        <w:pStyle w:val="Heading6"/>
        <w:snapToGrid w:val="0"/>
        <w:ind w:left="0" w:right="4"/>
        <w:rPr>
          <w:sz w:val="20"/>
          <w:szCs w:val="20"/>
        </w:rPr>
      </w:pPr>
    </w:p>
    <w:p w:rsidR="00145110" w:rsidRDefault="00B325BC">
      <w:pPr>
        <w:pStyle w:val="Heading6"/>
        <w:snapToGrid w:val="0"/>
        <w:ind w:left="0" w:right="4"/>
        <w:rPr>
          <w:sz w:val="20"/>
          <w:szCs w:val="20"/>
        </w:rPr>
      </w:pPr>
      <w:r>
        <w:rPr>
          <w:sz w:val="20"/>
          <w:szCs w:val="20"/>
        </w:rPr>
        <w:lastRenderedPageBreak/>
        <w:t>Inclusion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criteria:</w:t>
      </w:r>
    </w:p>
    <w:p w:rsidR="00145110" w:rsidRDefault="00B325BC">
      <w:pPr>
        <w:pStyle w:val="ListParagraph"/>
        <w:numPr>
          <w:ilvl w:val="0"/>
          <w:numId w:val="1"/>
        </w:numPr>
        <w:tabs>
          <w:tab w:val="left" w:pos="426"/>
        </w:tabs>
        <w:snapToGrid w:val="0"/>
        <w:ind w:left="426" w:right="4"/>
        <w:rPr>
          <w:sz w:val="20"/>
          <w:szCs w:val="20"/>
        </w:rPr>
      </w:pPr>
      <w:r>
        <w:rPr>
          <w:sz w:val="20"/>
          <w:szCs w:val="20"/>
        </w:rPr>
        <w:t>Adults’ patients with age ≥18 years diagnosed with Non-Hodgkin’s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Lymphoma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namely: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Diffuse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Large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>
        <w:rPr>
          <w:spacing w:val="1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cell</w:t>
      </w:r>
      <w:proofErr w:type="gram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Lymphoma,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cell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Lymphoma</w:t>
      </w:r>
      <w:r>
        <w:rPr>
          <w:spacing w:val="-3"/>
          <w:sz w:val="20"/>
          <w:szCs w:val="20"/>
        </w:rPr>
        <w:t>, Mantle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Cell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lymphoma,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Marginal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Zone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Lymphoma.</w:t>
      </w:r>
    </w:p>
    <w:p w:rsidR="00145110" w:rsidRDefault="00B325BC">
      <w:pPr>
        <w:pStyle w:val="ListParagraph"/>
        <w:numPr>
          <w:ilvl w:val="0"/>
          <w:numId w:val="1"/>
        </w:numPr>
        <w:tabs>
          <w:tab w:val="left" w:pos="426"/>
        </w:tabs>
        <w:snapToGrid w:val="0"/>
        <w:ind w:left="426" w:right="4"/>
        <w:rPr>
          <w:sz w:val="20"/>
          <w:szCs w:val="20"/>
        </w:rPr>
      </w:pPr>
      <w:r>
        <w:rPr>
          <w:sz w:val="20"/>
          <w:szCs w:val="20"/>
        </w:rPr>
        <w:t>Patients with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controlled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co-morbidities such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as diabetes</w:t>
      </w:r>
      <w:r>
        <w:rPr>
          <w:spacing w:val="70"/>
          <w:sz w:val="20"/>
          <w:szCs w:val="20"/>
        </w:rPr>
        <w:t xml:space="preserve"> </w:t>
      </w:r>
      <w:r>
        <w:rPr>
          <w:sz w:val="20"/>
          <w:szCs w:val="20"/>
        </w:rPr>
        <w:t>mellitus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were enrolled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 this study.</w:t>
      </w:r>
    </w:p>
    <w:p w:rsidR="00145110" w:rsidRDefault="00B325BC">
      <w:pPr>
        <w:pStyle w:val="Heading6"/>
        <w:snapToGrid w:val="0"/>
        <w:ind w:left="0" w:right="4"/>
        <w:rPr>
          <w:sz w:val="20"/>
          <w:szCs w:val="20"/>
        </w:rPr>
      </w:pPr>
      <w:r>
        <w:rPr>
          <w:sz w:val="20"/>
          <w:szCs w:val="20"/>
        </w:rPr>
        <w:t>Exclusion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criteria:</w:t>
      </w:r>
    </w:p>
    <w:p w:rsidR="00145110" w:rsidRDefault="00B325BC">
      <w:pPr>
        <w:pStyle w:val="ListParagraph"/>
        <w:numPr>
          <w:ilvl w:val="1"/>
          <w:numId w:val="1"/>
        </w:numPr>
        <w:tabs>
          <w:tab w:val="left" w:pos="1675"/>
        </w:tabs>
        <w:snapToGrid w:val="0"/>
        <w:ind w:left="284" w:right="4" w:hanging="360"/>
        <w:rPr>
          <w:sz w:val="20"/>
          <w:szCs w:val="20"/>
        </w:rPr>
      </w:pPr>
      <w:r>
        <w:rPr>
          <w:sz w:val="20"/>
          <w:szCs w:val="20"/>
        </w:rPr>
        <w:t>Patients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inadequate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incomplete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their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treatment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outcomes</w:t>
      </w:r>
    </w:p>
    <w:p w:rsidR="00145110" w:rsidRDefault="00B325BC">
      <w:pPr>
        <w:pStyle w:val="ListParagraph"/>
        <w:numPr>
          <w:ilvl w:val="1"/>
          <w:numId w:val="1"/>
        </w:numPr>
        <w:tabs>
          <w:tab w:val="left" w:pos="1675"/>
        </w:tabs>
        <w:snapToGrid w:val="0"/>
        <w:ind w:left="426" w:right="4"/>
        <w:rPr>
          <w:b/>
          <w:sz w:val="20"/>
          <w:szCs w:val="20"/>
        </w:rPr>
      </w:pPr>
      <w:r>
        <w:rPr>
          <w:sz w:val="20"/>
          <w:szCs w:val="20"/>
        </w:rPr>
        <w:t>Patients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secondary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active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cancers.</w:t>
      </w:r>
    </w:p>
    <w:p w:rsidR="00145110" w:rsidRDefault="00145110">
      <w:pPr>
        <w:pStyle w:val="BodyText"/>
        <w:snapToGrid w:val="0"/>
        <w:ind w:right="4"/>
        <w:jc w:val="both"/>
        <w:rPr>
          <w:sz w:val="20"/>
          <w:szCs w:val="20"/>
        </w:rPr>
      </w:pPr>
    </w:p>
    <w:p w:rsidR="00145110" w:rsidRDefault="00B325BC">
      <w:pPr>
        <w:pStyle w:val="Heading4"/>
        <w:snapToGrid w:val="0"/>
        <w:spacing w:before="0"/>
        <w:ind w:left="0" w:right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Methods of evaluation: </w:t>
      </w:r>
    </w:p>
    <w:p w:rsidR="00145110" w:rsidRDefault="00B325BC">
      <w:pPr>
        <w:pStyle w:val="Heading6"/>
        <w:snapToGrid w:val="0"/>
        <w:ind w:left="0" w:right="4"/>
        <w:rPr>
          <w:sz w:val="20"/>
          <w:szCs w:val="20"/>
        </w:rPr>
      </w:pPr>
      <w:r>
        <w:rPr>
          <w:sz w:val="20"/>
          <w:szCs w:val="20"/>
        </w:rPr>
        <w:t>Patients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staging: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Patients included in the study were newly diagnosed with no prior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chemotherapy or radiotherapy. Their ages ranged from 18 to 89 years.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Standard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staging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work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up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included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thoracic,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abdo</w:t>
      </w:r>
      <w:r>
        <w:rPr>
          <w:sz w:val="20"/>
          <w:szCs w:val="20"/>
        </w:rPr>
        <w:t>minal,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pelvic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computed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tomography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scans,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well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bone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marrow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biopsy</w:t>
      </w:r>
      <w:r>
        <w:rPr>
          <w:spacing w:val="70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aspiration. We used the international prognostic index (IPI) to stratify 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patients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into prognostic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groups.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Patients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baseline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characteristics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including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ECOG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performance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status </w:t>
      </w:r>
      <w:r>
        <w:rPr>
          <w:sz w:val="20"/>
          <w:szCs w:val="20"/>
        </w:rPr>
        <w:t>(PS) between grade 0 and 4, routine labs, chemistry profile, full electrolytes panel, LDH,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clinical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stage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according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Lugano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classification,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international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prognostic index (IPI), site and number of extra nodal involvement, CNS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IPI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score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recorded.</w:t>
      </w:r>
    </w:p>
    <w:p w:rsidR="00145110" w:rsidRDefault="00B325BC">
      <w:pPr>
        <w:pStyle w:val="Heading6"/>
        <w:snapToGrid w:val="0"/>
        <w:ind w:left="0" w:right="4"/>
        <w:rPr>
          <w:sz w:val="20"/>
          <w:szCs w:val="20"/>
        </w:rPr>
      </w:pPr>
      <w:r>
        <w:rPr>
          <w:sz w:val="20"/>
          <w:szCs w:val="20"/>
        </w:rPr>
        <w:t>Tre</w:t>
      </w:r>
      <w:r>
        <w:rPr>
          <w:sz w:val="20"/>
          <w:szCs w:val="20"/>
        </w:rPr>
        <w:t>atment:</w:t>
      </w:r>
    </w:p>
    <w:p w:rsidR="00145110" w:rsidRDefault="00B325BC">
      <w:pPr>
        <w:pStyle w:val="BodyText"/>
        <w:snapToGrid w:val="0"/>
        <w:ind w:right="4" w:firstLine="629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total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152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patients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received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CHOP (cyclophosphamide,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doxorubicin, vincristine, and prednisone). Rituximab was given in 1st line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treatment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protocols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144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patients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R-CHOP/R-CHOP like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regimens.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Response to treatment was evaluated after </w:t>
      </w:r>
      <w:r>
        <w:rPr>
          <w:sz w:val="20"/>
          <w:szCs w:val="20"/>
        </w:rPr>
        <w:t>completing 6 or 8 cycles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prognostic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factors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univariate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multivariate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analysis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 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therapeutic response.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results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interim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assessment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chemotherapy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post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chemotherapy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-1"/>
          <w:sz w:val="20"/>
          <w:szCs w:val="20"/>
        </w:rPr>
        <w:t xml:space="preserve"> done based on </w:t>
      </w:r>
      <w:r>
        <w:rPr>
          <w:sz w:val="20"/>
          <w:szCs w:val="20"/>
        </w:rPr>
        <w:t>clinical examination,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laboratory</w:t>
      </w:r>
      <w:r>
        <w:rPr>
          <w:sz w:val="20"/>
          <w:szCs w:val="20"/>
        </w:rPr>
        <w:t xml:space="preserve"> assessment (CBC, kidney function tests, Liver function tests, LDH, ESR),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as well as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radiological evaluation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(Computed tomography and PET CT scans).</w:t>
      </w:r>
    </w:p>
    <w:p w:rsidR="00145110" w:rsidRDefault="00B325BC">
      <w:pPr>
        <w:pStyle w:val="BodyText"/>
        <w:snapToGrid w:val="0"/>
        <w:ind w:right="4" w:firstLine="42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Complete remission was characterized by the disappearance of all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tumor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sites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confirmed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results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assessment.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Partial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remission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corresponded to a partial regression of the tumor and failure to an absence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remission. [10]</w:t>
      </w:r>
    </w:p>
    <w:p w:rsidR="00145110" w:rsidRDefault="00B325BC">
      <w:pPr>
        <w:pStyle w:val="Heading6"/>
        <w:snapToGrid w:val="0"/>
        <w:ind w:left="0" w:right="4"/>
        <w:rPr>
          <w:sz w:val="20"/>
          <w:szCs w:val="20"/>
        </w:rPr>
      </w:pPr>
      <w:r>
        <w:rPr>
          <w:sz w:val="20"/>
          <w:szCs w:val="20"/>
        </w:rPr>
        <w:t>CNS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Prophylaxis:</w:t>
      </w:r>
    </w:p>
    <w:p w:rsidR="00145110" w:rsidRDefault="00B325BC">
      <w:pPr>
        <w:pStyle w:val="BodyText"/>
        <w:snapToGrid w:val="0"/>
        <w:ind w:right="4" w:firstLine="720"/>
        <w:jc w:val="both"/>
        <w:rPr>
          <w:sz w:val="20"/>
          <w:szCs w:val="20"/>
        </w:rPr>
      </w:pPr>
      <w:r>
        <w:rPr>
          <w:sz w:val="20"/>
          <w:szCs w:val="20"/>
        </w:rPr>
        <w:t>CNS involvement screening was performed if the patient had any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neurological signs or symptoms or had a more accura</w:t>
      </w:r>
      <w:r>
        <w:rPr>
          <w:sz w:val="20"/>
          <w:szCs w:val="20"/>
        </w:rPr>
        <w:t xml:space="preserve">te approach from the beginning, by incorporating with (MRI) and flow cytometry on </w:t>
      </w:r>
      <w:r>
        <w:rPr>
          <w:sz w:val="20"/>
          <w:szCs w:val="20"/>
        </w:rPr>
        <w:lastRenderedPageBreak/>
        <w:t>(CSF) in the initial work up of the high risk patients. Patients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classified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according to CNS IPI score, in which patients were treated with either high dose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methotrexate</w:t>
      </w:r>
      <w:r>
        <w:rPr>
          <w:sz w:val="20"/>
          <w:szCs w:val="20"/>
        </w:rPr>
        <w:t xml:space="preserve"> or intrathecal methotrexate. The high risk of CNS relapse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defined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any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following: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high-risk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International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Prognostic</w:t>
      </w:r>
    </w:p>
    <w:p w:rsidR="00145110" w:rsidRDefault="00B325BC">
      <w:pPr>
        <w:pStyle w:val="BodyText"/>
        <w:snapToGrid w:val="0"/>
        <w:ind w:right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Index score (IPI) ≥ 3, elevated LDH and more than one </w:t>
      </w:r>
      <w:proofErr w:type="spellStart"/>
      <w:r>
        <w:rPr>
          <w:sz w:val="20"/>
          <w:szCs w:val="20"/>
        </w:rPr>
        <w:t>extranodal</w:t>
      </w:r>
      <w:proofErr w:type="spellEnd"/>
      <w:r>
        <w:rPr>
          <w:sz w:val="20"/>
          <w:szCs w:val="20"/>
        </w:rPr>
        <w:t xml:space="preserve"> site or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specific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extranodal</w:t>
      </w:r>
      <w:proofErr w:type="spell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sites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being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renal,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testicular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breast.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also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calculated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CNS-IPI,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consisting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individual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IPI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factors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involvement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renal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and/or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adrenal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glands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total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six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factors.</w:t>
      </w:r>
    </w:p>
    <w:p w:rsidR="00145110" w:rsidRDefault="00145110">
      <w:pPr>
        <w:pStyle w:val="Heading3"/>
        <w:snapToGrid w:val="0"/>
        <w:spacing w:before="0" w:line="240" w:lineRule="auto"/>
        <w:ind w:right="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45110" w:rsidRDefault="00B325BC">
      <w:pPr>
        <w:pStyle w:val="Heading3"/>
        <w:snapToGrid w:val="0"/>
        <w:spacing w:before="0" w:line="240" w:lineRule="auto"/>
        <w:ind w:right="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Statistical</w:t>
      </w:r>
      <w:r>
        <w:rPr>
          <w:rFonts w:ascii="Times New Roman" w:hAnsi="Times New Roman" w:cs="Times New Roman"/>
          <w:color w:val="auto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methodology:</w:t>
      </w:r>
    </w:p>
    <w:p w:rsidR="00145110" w:rsidRDefault="00B325BC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napToGrid w:val="0"/>
        <w:ind w:left="426" w:right="4" w:hanging="360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analysis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packages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SPSS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version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21.</w:t>
      </w:r>
    </w:p>
    <w:p w:rsidR="00145110" w:rsidRDefault="00B325BC">
      <w:pPr>
        <w:pStyle w:val="ListParagraph"/>
        <w:numPr>
          <w:ilvl w:val="1"/>
          <w:numId w:val="2"/>
        </w:numPr>
        <w:tabs>
          <w:tab w:val="left" w:pos="960"/>
        </w:tabs>
        <w:snapToGrid w:val="0"/>
        <w:ind w:left="426" w:right="4" w:hanging="360"/>
        <w:rPr>
          <w:sz w:val="20"/>
          <w:szCs w:val="20"/>
        </w:rPr>
      </w:pPr>
      <w:r>
        <w:rPr>
          <w:sz w:val="20"/>
          <w:szCs w:val="20"/>
        </w:rPr>
        <w:t>Qualitative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presented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number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percentage;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quantitative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presented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mean,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standard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deviation,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median and interquartile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range.</w:t>
      </w:r>
    </w:p>
    <w:p w:rsidR="00145110" w:rsidRDefault="00B325BC">
      <w:pPr>
        <w:pStyle w:val="ListParagraph"/>
        <w:numPr>
          <w:ilvl w:val="1"/>
          <w:numId w:val="2"/>
        </w:numPr>
        <w:tabs>
          <w:tab w:val="left" w:pos="960"/>
        </w:tabs>
        <w:snapToGrid w:val="0"/>
        <w:ind w:left="426" w:right="4" w:hanging="360"/>
        <w:rPr>
          <w:sz w:val="20"/>
          <w:szCs w:val="20"/>
        </w:rPr>
      </w:pPr>
      <w:r>
        <w:rPr>
          <w:sz w:val="20"/>
          <w:szCs w:val="20"/>
        </w:rPr>
        <w:t>Parametric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1"/>
          <w:sz w:val="20"/>
          <w:szCs w:val="20"/>
        </w:rPr>
        <w:t>-</w:t>
      </w:r>
      <w:r>
        <w:rPr>
          <w:sz w:val="20"/>
          <w:szCs w:val="20"/>
        </w:rPr>
        <w:t>parametric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tests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significant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done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according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type.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Student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test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Manwhitney</w:t>
      </w:r>
      <w:proofErr w:type="spell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test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deployed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based on data distribution.</w:t>
      </w:r>
    </w:p>
    <w:p w:rsidR="00145110" w:rsidRDefault="00B325BC">
      <w:pPr>
        <w:pStyle w:val="ListParagraph"/>
        <w:numPr>
          <w:ilvl w:val="1"/>
          <w:numId w:val="2"/>
        </w:numPr>
        <w:tabs>
          <w:tab w:val="left" w:pos="960"/>
        </w:tabs>
        <w:snapToGrid w:val="0"/>
        <w:ind w:left="426" w:right="4" w:hanging="360"/>
        <w:rPr>
          <w:sz w:val="20"/>
          <w:szCs w:val="20"/>
        </w:rPr>
      </w:pPr>
      <w:r>
        <w:rPr>
          <w:sz w:val="20"/>
          <w:szCs w:val="20"/>
        </w:rPr>
        <w:t>Correlations were done between the independent variables and 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significant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variables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selected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conduct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multivariate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regression analysis. Level 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significance was set at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 equal to</w:t>
      </w:r>
      <w:r>
        <w:rPr>
          <w:spacing w:val="70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below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0.05.</w:t>
      </w:r>
    </w:p>
    <w:p w:rsidR="00145110" w:rsidRDefault="00145110">
      <w:pPr>
        <w:pStyle w:val="Heading6"/>
        <w:snapToGrid w:val="0"/>
        <w:ind w:left="0" w:right="4"/>
        <w:rPr>
          <w:sz w:val="20"/>
          <w:szCs w:val="20"/>
        </w:rPr>
      </w:pPr>
    </w:p>
    <w:p w:rsidR="00145110" w:rsidRDefault="00B325BC">
      <w:pPr>
        <w:pStyle w:val="Heading6"/>
        <w:snapToGrid w:val="0"/>
        <w:ind w:left="0" w:right="4"/>
        <w:rPr>
          <w:sz w:val="20"/>
          <w:szCs w:val="20"/>
        </w:rPr>
      </w:pPr>
      <w:r>
        <w:rPr>
          <w:sz w:val="20"/>
          <w:szCs w:val="20"/>
        </w:rPr>
        <w:t>Funding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approvals: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This study was self-funded and investigators didn't receive funding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from external sources during the study conduction, analysis or publishing.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study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subjects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offered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financial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compensation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participation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study.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</w:t>
      </w:r>
      <w:r>
        <w:rPr>
          <w:sz w:val="20"/>
          <w:szCs w:val="20"/>
        </w:rPr>
        <w:t>udy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design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documents</w:t>
      </w:r>
      <w:r>
        <w:rPr>
          <w:spacing w:val="70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approved by the institutional review board of the </w:t>
      </w:r>
      <w:proofErr w:type="spellStart"/>
      <w:r>
        <w:rPr>
          <w:sz w:val="20"/>
          <w:szCs w:val="20"/>
        </w:rPr>
        <w:t>Kasr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Aini</w:t>
      </w:r>
      <w:proofErr w:type="spellEnd"/>
      <w:r>
        <w:rPr>
          <w:sz w:val="20"/>
          <w:szCs w:val="20"/>
        </w:rPr>
        <w:t xml:space="preserve"> Centre 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Clinical Oncology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nuclear medicine (NEMROCK). Faculty of Medicine ethical committee approval was received on 4/10/2020.</w:t>
      </w:r>
    </w:p>
    <w:p w:rsidR="00145110" w:rsidRDefault="00145110">
      <w:pPr>
        <w:pStyle w:val="BodyText"/>
        <w:snapToGrid w:val="0"/>
        <w:ind w:right="4" w:firstLine="719"/>
        <w:jc w:val="both"/>
        <w:rPr>
          <w:sz w:val="20"/>
          <w:szCs w:val="20"/>
        </w:rPr>
      </w:pPr>
    </w:p>
    <w:p w:rsidR="00145110" w:rsidRDefault="00B325BC">
      <w:pPr>
        <w:pStyle w:val="Heading2"/>
        <w:snapToGrid w:val="0"/>
        <w:spacing w:before="0"/>
        <w:ind w:left="0" w:right="4"/>
        <w:jc w:val="both"/>
        <w:rPr>
          <w:rFonts w:ascii="Times New Roman" w:hAnsi="Times New Roman" w:cs="Times New Roman"/>
          <w:b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sz w:val="20"/>
          <w:szCs w:val="20"/>
          <w:u w:val="none"/>
        </w:rPr>
        <w:t>3. Results:</w:t>
      </w:r>
    </w:p>
    <w:p w:rsidR="00145110" w:rsidRDefault="00B325BC">
      <w:pPr>
        <w:pStyle w:val="Heading4"/>
        <w:snapToGrid w:val="0"/>
        <w:spacing w:before="0"/>
        <w:ind w:left="0" w:right="4"/>
        <w:jc w:val="both"/>
        <w:rPr>
          <w:sz w:val="20"/>
          <w:szCs w:val="20"/>
        </w:rPr>
      </w:pPr>
      <w:bookmarkStart w:id="0" w:name="_Hlk72993043"/>
      <w:proofErr w:type="spellStart"/>
      <w:r>
        <w:rPr>
          <w:sz w:val="20"/>
          <w:szCs w:val="20"/>
        </w:rPr>
        <w:t>Clinico</w:t>
      </w:r>
      <w:proofErr w:type="spellEnd"/>
      <w:r>
        <w:rPr>
          <w:sz w:val="20"/>
          <w:szCs w:val="20"/>
        </w:rPr>
        <w:t>-pathological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features:</w:t>
      </w:r>
    </w:p>
    <w:p w:rsidR="00145110" w:rsidRDefault="00B325BC">
      <w:pPr>
        <w:pStyle w:val="Heading4"/>
        <w:snapToGrid w:val="0"/>
        <w:spacing w:before="0"/>
        <w:ind w:left="0" w:right="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Pathology:</w:t>
      </w:r>
    </w:p>
    <w:p w:rsidR="00145110" w:rsidRDefault="00B325BC">
      <w:pPr>
        <w:pStyle w:val="BodyText"/>
        <w:snapToGrid w:val="0"/>
        <w:ind w:right="4" w:firstLine="426"/>
        <w:jc w:val="both"/>
        <w:rPr>
          <w:b/>
          <w:i/>
          <w:iCs/>
          <w:sz w:val="20"/>
          <w:szCs w:val="20"/>
        </w:rPr>
      </w:pPr>
      <w:r>
        <w:rPr>
          <w:sz w:val="20"/>
          <w:szCs w:val="20"/>
        </w:rPr>
        <w:t>During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period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January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2015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January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2020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7"/>
          <w:sz w:val="20"/>
          <w:szCs w:val="20"/>
        </w:rPr>
        <w:t xml:space="preserve">   </w:t>
      </w:r>
      <w:r>
        <w:rPr>
          <w:sz w:val="20"/>
          <w:szCs w:val="20"/>
        </w:rPr>
        <w:t>lymphoid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malignancies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retrieved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719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cases.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Non-Hodgkin’s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lymphoma and plasma cell disorders constituted the largest fraction 74%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(580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patients),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while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Hodgkin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lymphoma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only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constitutes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26%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(139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patients). Meanwhile among NHL, the diffuse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large B cell lymphoma (DLBCL) was the commonest subtype forming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43% (251 patients), CLL/SLL represented 10% (60 patients), mycosis </w:t>
      </w:r>
      <w:proofErr w:type="spellStart"/>
      <w:r>
        <w:rPr>
          <w:sz w:val="20"/>
          <w:szCs w:val="20"/>
        </w:rPr>
        <w:t>fungoids</w:t>
      </w:r>
      <w:proofErr w:type="spellEnd"/>
      <w:r>
        <w:rPr>
          <w:sz w:val="20"/>
          <w:szCs w:val="20"/>
        </w:rPr>
        <w:t xml:space="preserve"> was 8% (45 patients) wh</w:t>
      </w:r>
      <w:r>
        <w:rPr>
          <w:sz w:val="20"/>
          <w:szCs w:val="20"/>
        </w:rPr>
        <w:t xml:space="preserve">ile follicular lymphoma &amp; marginal zone lymphoma each </w:t>
      </w:r>
      <w:r>
        <w:rPr>
          <w:sz w:val="20"/>
          <w:szCs w:val="20"/>
        </w:rPr>
        <w:lastRenderedPageBreak/>
        <w:t>represented 4% (24 patients).</w:t>
      </w:r>
      <w:bookmarkEnd w:id="0"/>
    </w:p>
    <w:p w:rsidR="00145110" w:rsidRDefault="00145110">
      <w:pPr>
        <w:pStyle w:val="BodyText"/>
        <w:snapToGrid w:val="0"/>
        <w:ind w:right="4"/>
        <w:jc w:val="both"/>
        <w:rPr>
          <w:b/>
          <w:i/>
          <w:iCs/>
          <w:sz w:val="20"/>
          <w:szCs w:val="20"/>
        </w:rPr>
      </w:pPr>
    </w:p>
    <w:p w:rsidR="00145110" w:rsidRDefault="00B325BC">
      <w:pPr>
        <w:pStyle w:val="BodyText"/>
        <w:snapToGrid w:val="0"/>
        <w:ind w:right="4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Patient</w:t>
      </w:r>
      <w:r>
        <w:rPr>
          <w:b/>
          <w:i/>
          <w:iCs/>
          <w:spacing w:val="-1"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characteristics: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Only 186 patients of DLBCL were eligible for the final analysis.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In our cohort, the median age at diagnosis was 50 years. ECOG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performance score w</w:t>
      </w:r>
      <w:r>
        <w:rPr>
          <w:sz w:val="20"/>
          <w:szCs w:val="20"/>
        </w:rPr>
        <w:t>as 0-1 in 65.6% of the patients (122 patients</w:t>
      </w:r>
      <w:proofErr w:type="gramStart"/>
      <w:r>
        <w:rPr>
          <w:sz w:val="20"/>
          <w:szCs w:val="20"/>
        </w:rPr>
        <w:t>) .Virology</w:t>
      </w:r>
      <w:proofErr w:type="gram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screening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Hepatitis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positive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44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patients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(23.6%).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other hand, Hepatitis B was positive in 7 patients (3.7%). Hypertension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commonest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comorbidity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reported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included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patients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was reported in 27 patients followed with Diabetes mellitus in 21 patients (Table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1).</w:t>
      </w:r>
    </w:p>
    <w:p w:rsidR="00145110" w:rsidRDefault="00145110">
      <w:pPr>
        <w:pStyle w:val="Heading6"/>
        <w:snapToGrid w:val="0"/>
        <w:ind w:left="0" w:right="4"/>
        <w:rPr>
          <w:sz w:val="20"/>
          <w:szCs w:val="20"/>
        </w:rPr>
      </w:pPr>
    </w:p>
    <w:p w:rsidR="00145110" w:rsidRDefault="00B325BC">
      <w:pPr>
        <w:pStyle w:val="Heading6"/>
        <w:snapToGrid w:val="0"/>
        <w:ind w:left="0" w:right="4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Table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(1):</w:t>
      </w:r>
      <w:r>
        <w:rPr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Patient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characteristics</w:t>
      </w:r>
    </w:p>
    <w:tbl>
      <w:tblPr>
        <w:tblW w:w="42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198"/>
      </w:tblGrid>
      <w:tr w:rsidR="00145110">
        <w:trPr>
          <w:trHeight w:val="231"/>
          <w:jc w:val="center"/>
        </w:trPr>
        <w:tc>
          <w:tcPr>
            <w:tcW w:w="2098" w:type="dxa"/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Variables</w:t>
            </w:r>
          </w:p>
        </w:tc>
        <w:tc>
          <w:tcPr>
            <w:tcW w:w="2198" w:type="dxa"/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(%)</w:t>
            </w:r>
          </w:p>
        </w:tc>
      </w:tr>
      <w:tr w:rsidR="00145110">
        <w:trPr>
          <w:trHeight w:val="230"/>
          <w:jc w:val="center"/>
        </w:trPr>
        <w:tc>
          <w:tcPr>
            <w:tcW w:w="4296" w:type="dxa"/>
            <w:gridSpan w:val="2"/>
            <w:shd w:val="clear" w:color="auto" w:fill="D1E8FF"/>
          </w:tcPr>
          <w:p w:rsidR="00145110" w:rsidRDefault="00B325BC">
            <w:pPr>
              <w:pStyle w:val="TableParagraph"/>
              <w:tabs>
                <w:tab w:val="left" w:pos="4062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                              Mean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50</w:t>
            </w:r>
          </w:p>
        </w:tc>
      </w:tr>
      <w:tr w:rsidR="00145110">
        <w:trPr>
          <w:trHeight w:val="241"/>
          <w:jc w:val="center"/>
        </w:trPr>
        <w:tc>
          <w:tcPr>
            <w:tcW w:w="2098" w:type="dxa"/>
            <w:shd w:val="clear" w:color="auto" w:fill="D1E8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&lt;60</w:t>
            </w:r>
          </w:p>
        </w:tc>
        <w:tc>
          <w:tcPr>
            <w:tcW w:w="2198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(72)</w:t>
            </w:r>
          </w:p>
        </w:tc>
      </w:tr>
      <w:tr w:rsidR="00145110">
        <w:trPr>
          <w:trHeight w:val="241"/>
          <w:jc w:val="center"/>
        </w:trPr>
        <w:tc>
          <w:tcPr>
            <w:tcW w:w="2098" w:type="dxa"/>
            <w:shd w:val="clear" w:color="auto" w:fill="D1E8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≥60</w:t>
            </w:r>
          </w:p>
        </w:tc>
        <w:tc>
          <w:tcPr>
            <w:tcW w:w="2198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52(28)</w:t>
            </w:r>
          </w:p>
        </w:tc>
      </w:tr>
      <w:tr w:rsidR="00145110">
        <w:trPr>
          <w:trHeight w:val="231"/>
          <w:jc w:val="center"/>
        </w:trPr>
        <w:tc>
          <w:tcPr>
            <w:tcW w:w="4296" w:type="dxa"/>
            <w:gridSpan w:val="2"/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left="360" w:right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</w:t>
            </w:r>
          </w:p>
        </w:tc>
      </w:tr>
      <w:tr w:rsidR="00145110">
        <w:trPr>
          <w:trHeight w:val="241"/>
          <w:jc w:val="center"/>
        </w:trPr>
        <w:tc>
          <w:tcPr>
            <w:tcW w:w="2098" w:type="dxa"/>
            <w:shd w:val="clear" w:color="auto" w:fill="D1E8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2198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(52.7)</w:t>
            </w:r>
          </w:p>
        </w:tc>
      </w:tr>
      <w:tr w:rsidR="00145110">
        <w:trPr>
          <w:trHeight w:val="240"/>
          <w:jc w:val="center"/>
        </w:trPr>
        <w:tc>
          <w:tcPr>
            <w:tcW w:w="2098" w:type="dxa"/>
            <w:shd w:val="clear" w:color="auto" w:fill="D1E8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2198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(47.3)</w:t>
            </w:r>
          </w:p>
        </w:tc>
      </w:tr>
      <w:tr w:rsidR="00145110">
        <w:trPr>
          <w:trHeight w:val="231"/>
          <w:jc w:val="center"/>
        </w:trPr>
        <w:tc>
          <w:tcPr>
            <w:tcW w:w="4296" w:type="dxa"/>
            <w:gridSpan w:val="2"/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left="360" w:right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ECOG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PS</w:t>
            </w:r>
          </w:p>
        </w:tc>
      </w:tr>
      <w:tr w:rsidR="00145110">
        <w:trPr>
          <w:trHeight w:val="241"/>
          <w:jc w:val="center"/>
        </w:trPr>
        <w:tc>
          <w:tcPr>
            <w:tcW w:w="2098" w:type="dxa"/>
            <w:shd w:val="clear" w:color="auto" w:fill="D1E8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</w:t>
            </w:r>
          </w:p>
        </w:tc>
        <w:tc>
          <w:tcPr>
            <w:tcW w:w="2198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122(65.6)</w:t>
            </w:r>
          </w:p>
        </w:tc>
      </w:tr>
      <w:tr w:rsidR="00145110">
        <w:trPr>
          <w:trHeight w:val="241"/>
          <w:jc w:val="center"/>
        </w:trPr>
        <w:tc>
          <w:tcPr>
            <w:tcW w:w="2098" w:type="dxa"/>
            <w:shd w:val="clear" w:color="auto" w:fill="D1E8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  <w:tc>
          <w:tcPr>
            <w:tcW w:w="2198" w:type="dxa"/>
            <w:tcBorders>
              <w:bottom w:val="single" w:sz="8" w:space="0" w:color="000000"/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(34.4)</w:t>
            </w:r>
          </w:p>
        </w:tc>
      </w:tr>
    </w:tbl>
    <w:p w:rsidR="00145110" w:rsidRDefault="00145110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110" w:rsidRDefault="00B325BC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Stage</w:t>
      </w:r>
      <w:r>
        <w:rPr>
          <w:rFonts w:ascii="Times New Roman" w:hAnsi="Times New Roman" w:cs="Times New Roman"/>
          <w:b/>
          <w:i/>
          <w:i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and</w:t>
      </w:r>
      <w:r>
        <w:rPr>
          <w:rFonts w:ascii="Times New Roman" w:hAnsi="Times New Roman" w:cs="Times New Roman"/>
          <w:b/>
          <w:i/>
          <w:i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risk</w:t>
      </w:r>
      <w:r>
        <w:rPr>
          <w:rFonts w:ascii="Times New Roman" w:hAnsi="Times New Roman" w:cs="Times New Roman"/>
          <w:b/>
          <w:i/>
          <w:i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stratification: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Patients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presented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early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Arbor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stage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(I-II)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110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patients (59.1%), while those who presented with the advanced stage (III-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IV) were 76 (40.9%). A total of 68 </w:t>
      </w:r>
      <w:r>
        <w:rPr>
          <w:sz w:val="20"/>
          <w:szCs w:val="20"/>
        </w:rPr>
        <w:t>patients (36.6%) had bulky tumors 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presentation (≥7.5cm). On the other hand, International prognostic index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(IPI)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score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showed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majority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cases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categorized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intermediate risk (44.6%), followed by low risk (39.9%), and high risk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(15.6%)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</w:rPr>
        <w:t>Table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2).</w:t>
      </w:r>
    </w:p>
    <w:p w:rsidR="00145110" w:rsidRDefault="00145110">
      <w:pPr>
        <w:pStyle w:val="Heading4"/>
        <w:snapToGrid w:val="0"/>
        <w:spacing w:before="0"/>
        <w:ind w:left="0" w:right="4"/>
        <w:jc w:val="both"/>
        <w:rPr>
          <w:i/>
          <w:iCs/>
          <w:sz w:val="20"/>
          <w:szCs w:val="20"/>
        </w:rPr>
      </w:pPr>
    </w:p>
    <w:p w:rsidR="00145110" w:rsidRDefault="00B325BC">
      <w:pPr>
        <w:pStyle w:val="Heading4"/>
        <w:snapToGrid w:val="0"/>
        <w:spacing w:before="0"/>
        <w:ind w:left="0" w:right="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Extra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nodal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involvement</w:t>
      </w:r>
    </w:p>
    <w:p w:rsidR="00145110" w:rsidRDefault="00B325BC">
      <w:pPr>
        <w:pStyle w:val="BodyText"/>
        <w:tabs>
          <w:tab w:val="right" w:pos="426"/>
        </w:tabs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Out of 186 patients, 41 patients (22%) had </w:t>
      </w:r>
      <w:proofErr w:type="spellStart"/>
      <w:r>
        <w:rPr>
          <w:sz w:val="20"/>
          <w:szCs w:val="20"/>
        </w:rPr>
        <w:t>extranodal</w:t>
      </w:r>
      <w:proofErr w:type="spellEnd"/>
      <w:r>
        <w:rPr>
          <w:sz w:val="20"/>
          <w:szCs w:val="20"/>
        </w:rPr>
        <w:t xml:space="preserve"> involvement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presentation.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most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common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site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involvement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Gastrointestinal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tract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(GIT)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patients.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b/>
          <w:sz w:val="20"/>
          <w:szCs w:val="20"/>
        </w:rPr>
        <w:t>Figure 1</w:t>
      </w:r>
      <w:r>
        <w:rPr>
          <w:sz w:val="20"/>
          <w:szCs w:val="20"/>
        </w:rPr>
        <w:t xml:space="preserve">). </w:t>
      </w:r>
      <w:r>
        <w:rPr>
          <w:bCs/>
          <w:sz w:val="20"/>
          <w:szCs w:val="20"/>
        </w:rPr>
        <w:t xml:space="preserve">All patients in the </w:t>
      </w:r>
      <w:proofErr w:type="spellStart"/>
      <w:r>
        <w:rPr>
          <w:bCs/>
          <w:sz w:val="20"/>
          <w:szCs w:val="20"/>
        </w:rPr>
        <w:t>extranodal</w:t>
      </w:r>
      <w:proofErr w:type="spellEnd"/>
      <w:r>
        <w:rPr>
          <w:bCs/>
          <w:sz w:val="20"/>
          <w:szCs w:val="20"/>
        </w:rPr>
        <w:t xml:space="preserve"> group showed noticeably worse performance status (ECOG PS 2-4) when compared to the nodal group.</w:t>
      </w:r>
    </w:p>
    <w:p w:rsidR="00145110" w:rsidRDefault="00B325BC">
      <w:pPr>
        <w:pStyle w:val="Heading6"/>
        <w:snapToGrid w:val="0"/>
        <w:ind w:left="0" w:right="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Characteristics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of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patients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with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CNS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Relapse: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Out of 184 patients not initially diagnosed with CNS disease, 11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patients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(6%)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developed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CNS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relapse.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Out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184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patients,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only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patients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(9.8%)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received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CNS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prophylaxis (High dose intravenous Methotrexate and/or </w:t>
      </w:r>
      <w:proofErr w:type="spellStart"/>
      <w:r>
        <w:rPr>
          <w:sz w:val="20"/>
          <w:szCs w:val="20"/>
        </w:rPr>
        <w:t>intracecal</w:t>
      </w:r>
      <w:proofErr w:type="spellEnd"/>
      <w:r>
        <w:rPr>
          <w:sz w:val="20"/>
          <w:szCs w:val="20"/>
        </w:rPr>
        <w:t xml:space="preserve"> Methotrexate).</w:t>
      </w:r>
    </w:p>
    <w:p w:rsidR="00145110" w:rsidRDefault="00145110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110" w:rsidRDefault="00145110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110" w:rsidRDefault="00B325BC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Table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(2):</w:t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Clinical</w:t>
      </w:r>
      <w:r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parameters</w:t>
      </w:r>
      <w:r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of</w:t>
      </w:r>
      <w:r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disease</w:t>
      </w:r>
      <w:r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characteristics</w:t>
      </w:r>
    </w:p>
    <w:tbl>
      <w:tblPr>
        <w:tblW w:w="425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</w:tblGrid>
      <w:tr w:rsidR="00145110">
        <w:trPr>
          <w:trHeight w:val="184"/>
        </w:trPr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4EAFF"/>
          </w:tcPr>
          <w:p w:rsidR="00145110" w:rsidRDefault="00B325BC">
            <w:pPr>
              <w:pStyle w:val="TableParagraph"/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Variable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4EAFF"/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Number (%)</w:t>
            </w:r>
          </w:p>
        </w:tc>
      </w:tr>
      <w:tr w:rsidR="00145110">
        <w:trPr>
          <w:trHeight w:val="185"/>
        </w:trPr>
        <w:tc>
          <w:tcPr>
            <w:tcW w:w="425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DE6FF"/>
          </w:tcPr>
          <w:p w:rsidR="00145110" w:rsidRDefault="00B325BC">
            <w:pPr>
              <w:pStyle w:val="TableParagraph"/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</w:t>
            </w:r>
          </w:p>
        </w:tc>
      </w:tr>
      <w:tr w:rsidR="00145110">
        <w:trPr>
          <w:trHeight w:val="192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E6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Early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(I/II)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(59.1)</w:t>
            </w:r>
          </w:p>
        </w:tc>
      </w:tr>
      <w:tr w:rsidR="00145110">
        <w:trPr>
          <w:trHeight w:val="192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E6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(III/IV)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(40.9)</w:t>
            </w:r>
          </w:p>
        </w:tc>
      </w:tr>
      <w:tr w:rsidR="00145110">
        <w:trPr>
          <w:trHeight w:val="184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E6FF"/>
          </w:tcPr>
          <w:p w:rsidR="00145110" w:rsidRDefault="00B325BC">
            <w:pPr>
              <w:pStyle w:val="TableParagraph"/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Bulky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disease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5110" w:rsidRDefault="00145110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</w:p>
        </w:tc>
      </w:tr>
      <w:tr w:rsidR="00145110">
        <w:trPr>
          <w:trHeight w:val="192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E6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&lt;7.5cm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(63.4)</w:t>
            </w:r>
          </w:p>
        </w:tc>
      </w:tr>
      <w:tr w:rsidR="00145110">
        <w:trPr>
          <w:trHeight w:val="192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E6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≥7.5cm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(36.6)</w:t>
            </w:r>
          </w:p>
        </w:tc>
      </w:tr>
      <w:tr w:rsidR="00145110">
        <w:trPr>
          <w:trHeight w:val="184"/>
        </w:trPr>
        <w:tc>
          <w:tcPr>
            <w:tcW w:w="425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DE6FF"/>
          </w:tcPr>
          <w:p w:rsidR="00145110" w:rsidRDefault="00B325BC">
            <w:pPr>
              <w:pStyle w:val="TableParagraph"/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Serum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LDH</w:t>
            </w:r>
          </w:p>
        </w:tc>
      </w:tr>
      <w:tr w:rsidR="00145110">
        <w:trPr>
          <w:trHeight w:val="192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E6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(34.6)</w:t>
            </w:r>
          </w:p>
        </w:tc>
      </w:tr>
      <w:tr w:rsidR="00145110">
        <w:trPr>
          <w:trHeight w:val="192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E6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(65.4)</w:t>
            </w:r>
          </w:p>
        </w:tc>
      </w:tr>
      <w:tr w:rsidR="00145110">
        <w:trPr>
          <w:trHeight w:val="184"/>
        </w:trPr>
        <w:tc>
          <w:tcPr>
            <w:tcW w:w="425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DE6FF"/>
          </w:tcPr>
          <w:p w:rsidR="00145110" w:rsidRDefault="00B325BC">
            <w:pPr>
              <w:pStyle w:val="TableParagraph"/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Score</w:t>
            </w:r>
          </w:p>
        </w:tc>
      </w:tr>
      <w:tr w:rsidR="00145110">
        <w:trPr>
          <w:trHeight w:val="192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E6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(39.8)</w:t>
            </w:r>
          </w:p>
        </w:tc>
      </w:tr>
      <w:tr w:rsidR="00145110">
        <w:trPr>
          <w:trHeight w:val="192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E6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(44.6)</w:t>
            </w:r>
          </w:p>
        </w:tc>
      </w:tr>
      <w:tr w:rsidR="00145110">
        <w:trPr>
          <w:trHeight w:val="192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E6FF"/>
          </w:tcPr>
          <w:p w:rsidR="00145110" w:rsidRDefault="00B325BC">
            <w:pPr>
              <w:pStyle w:val="TableParagraph"/>
              <w:tabs>
                <w:tab w:val="left" w:pos="827"/>
                <w:tab w:val="left" w:pos="828"/>
              </w:tabs>
              <w:snapToGrid w:val="0"/>
              <w:ind w:left="360"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(15.6)</w:t>
            </w:r>
          </w:p>
        </w:tc>
      </w:tr>
    </w:tbl>
    <w:p w:rsidR="00145110" w:rsidRDefault="00145110">
      <w:pPr>
        <w:pStyle w:val="Heading4"/>
        <w:snapToGrid w:val="0"/>
        <w:spacing w:before="0"/>
        <w:ind w:left="0" w:right="4"/>
        <w:jc w:val="both"/>
        <w:rPr>
          <w:sz w:val="20"/>
          <w:szCs w:val="20"/>
        </w:rPr>
      </w:pPr>
    </w:p>
    <w:p w:rsidR="00145110" w:rsidRDefault="00B325BC">
      <w:pPr>
        <w:pStyle w:val="BodyText"/>
        <w:snapToGrid w:val="0"/>
        <w:ind w:right="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>
            <wp:extent cx="2676525" cy="1563370"/>
            <wp:effectExtent l="0" t="0" r="0" b="0"/>
            <wp:docPr id="29" name="image46.png" descr="P110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6.png" descr="P110#yIS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784" cy="156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10" w:rsidRDefault="00B325BC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Figure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(1):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Bar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chart</w:t>
      </w:r>
      <w:r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for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extra</w:t>
      </w:r>
      <w:r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nodal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involvement</w:t>
      </w:r>
    </w:p>
    <w:p w:rsidR="00145110" w:rsidRDefault="00145110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CNS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intermediate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IPI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score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commonest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(43.5%).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CNS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relapse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not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significantly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associated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CNS-IPI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p-value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of 0.30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b/>
          <w:sz w:val="20"/>
          <w:szCs w:val="20"/>
        </w:rPr>
        <w:t>Table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>).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In a bivariate logistic regression analysis accounting for the CNS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prophylaxis status, we have found that patients</w:t>
      </w:r>
      <w:r>
        <w:rPr>
          <w:sz w:val="20"/>
          <w:szCs w:val="20"/>
        </w:rPr>
        <w:t xml:space="preserve"> with intermediate or high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CNS-IPI were more likely to develop CNS relapse with a trend toward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statistical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significance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(Odds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ratio: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6.2,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95%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Confidence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Interval: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0.80- 50,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p=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0.08).</w:t>
      </w:r>
    </w:p>
    <w:p w:rsidR="00145110" w:rsidRDefault="00145110">
      <w:pPr>
        <w:pStyle w:val="Heading6"/>
        <w:snapToGrid w:val="0"/>
        <w:ind w:left="0" w:right="4"/>
        <w:rPr>
          <w:sz w:val="20"/>
          <w:szCs w:val="20"/>
        </w:rPr>
      </w:pPr>
    </w:p>
    <w:p w:rsidR="00145110" w:rsidRDefault="00B325BC">
      <w:pPr>
        <w:pStyle w:val="Heading6"/>
        <w:snapToGrid w:val="0"/>
        <w:ind w:left="0" w:right="4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Table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(3):</w:t>
      </w:r>
      <w:r>
        <w:rPr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Correlation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between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the</w:t>
      </w:r>
      <w:r>
        <w:rPr>
          <w:b w:val="0"/>
          <w:bCs w:val="0"/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CNS-IPI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category</w:t>
      </w:r>
      <w:r>
        <w:rPr>
          <w:b w:val="0"/>
          <w:bCs w:val="0"/>
          <w:spacing w:val="-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and</w:t>
      </w:r>
      <w:r>
        <w:rPr>
          <w:b w:val="0"/>
          <w:bCs w:val="0"/>
          <w:spacing w:val="-5"/>
          <w:sz w:val="20"/>
          <w:szCs w:val="20"/>
        </w:rPr>
        <w:t xml:space="preserve"> </w:t>
      </w:r>
      <w:proofErr w:type="gramStart"/>
      <w:r>
        <w:rPr>
          <w:b w:val="0"/>
          <w:bCs w:val="0"/>
          <w:sz w:val="20"/>
          <w:szCs w:val="20"/>
        </w:rPr>
        <w:t xml:space="preserve">CNS </w:t>
      </w:r>
      <w:r>
        <w:rPr>
          <w:b w:val="0"/>
          <w:bCs w:val="0"/>
          <w:spacing w:val="-67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relapse</w:t>
      </w:r>
      <w:proofErr w:type="gramEnd"/>
    </w:p>
    <w:tbl>
      <w:tblPr>
        <w:tblW w:w="437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850"/>
        <w:gridCol w:w="1134"/>
        <w:gridCol w:w="851"/>
        <w:gridCol w:w="497"/>
      </w:tblGrid>
      <w:tr w:rsidR="00145110">
        <w:trPr>
          <w:trHeight w:val="213"/>
          <w:jc w:val="right"/>
        </w:trPr>
        <w:tc>
          <w:tcPr>
            <w:tcW w:w="1044" w:type="dxa"/>
            <w:vMerge w:val="restart"/>
            <w:tcBorders>
              <w:left w:val="single" w:sz="8" w:space="0" w:color="000000"/>
            </w:tcBorders>
            <w:shd w:val="clear" w:color="auto" w:fill="D1E8FF"/>
          </w:tcPr>
          <w:p w:rsidR="00145110" w:rsidRDefault="00145110">
            <w:pPr>
              <w:pStyle w:val="TableParagraph"/>
              <w:snapToGrid w:val="0"/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4"/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(%)</w:t>
            </w:r>
          </w:p>
        </w:tc>
      </w:tr>
      <w:tr w:rsidR="00145110">
        <w:trPr>
          <w:trHeight w:val="213"/>
          <w:jc w:val="right"/>
        </w:trPr>
        <w:tc>
          <w:tcPr>
            <w:tcW w:w="1044" w:type="dxa"/>
            <w:vMerge/>
            <w:tcBorders>
              <w:top w:val="nil"/>
              <w:left w:val="single" w:sz="8" w:space="0" w:color="000000"/>
            </w:tcBorders>
            <w:shd w:val="clear" w:color="auto" w:fill="D1E8FF"/>
          </w:tcPr>
          <w:p w:rsidR="00145110" w:rsidRDefault="00145110">
            <w:pPr>
              <w:snapToGri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</w:t>
            </w:r>
          </w:p>
        </w:tc>
        <w:tc>
          <w:tcPr>
            <w:tcW w:w="1134" w:type="dxa"/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</w:t>
            </w:r>
          </w:p>
        </w:tc>
        <w:tc>
          <w:tcPr>
            <w:tcW w:w="851" w:type="dxa"/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497" w:type="dxa"/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145110">
        <w:trPr>
          <w:trHeight w:val="213"/>
          <w:jc w:val="right"/>
        </w:trPr>
        <w:tc>
          <w:tcPr>
            <w:tcW w:w="1044" w:type="dxa"/>
            <w:tcBorders>
              <w:left w:val="single" w:sz="8" w:space="0" w:color="000000"/>
            </w:tcBorders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CNS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IPI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850" w:type="dxa"/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(40.2)</w:t>
            </w:r>
          </w:p>
        </w:tc>
        <w:tc>
          <w:tcPr>
            <w:tcW w:w="1134" w:type="dxa"/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80(43.5)</w:t>
            </w:r>
          </w:p>
        </w:tc>
        <w:tc>
          <w:tcPr>
            <w:tcW w:w="851" w:type="dxa"/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30(16.3)</w:t>
            </w:r>
          </w:p>
        </w:tc>
        <w:tc>
          <w:tcPr>
            <w:tcW w:w="497" w:type="dxa"/>
            <w:tcBorders>
              <w:right w:val="single" w:sz="8" w:space="0" w:color="000000"/>
            </w:tcBorders>
          </w:tcPr>
          <w:p w:rsidR="00145110" w:rsidRDefault="00145110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</w:p>
        </w:tc>
      </w:tr>
      <w:tr w:rsidR="00145110">
        <w:trPr>
          <w:trHeight w:val="213"/>
          <w:jc w:val="right"/>
        </w:trPr>
        <w:tc>
          <w:tcPr>
            <w:tcW w:w="1044" w:type="dxa"/>
            <w:tcBorders>
              <w:left w:val="single" w:sz="8" w:space="0" w:color="000000"/>
            </w:tcBorders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CNS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prophylaxis</w:t>
            </w:r>
          </w:p>
        </w:tc>
        <w:tc>
          <w:tcPr>
            <w:tcW w:w="850" w:type="dxa"/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(2.7)</w:t>
            </w:r>
          </w:p>
        </w:tc>
        <w:tc>
          <w:tcPr>
            <w:tcW w:w="1134" w:type="dxa"/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(11.4)</w:t>
            </w:r>
          </w:p>
        </w:tc>
        <w:tc>
          <w:tcPr>
            <w:tcW w:w="851" w:type="dxa"/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(26.7)</w:t>
            </w:r>
          </w:p>
        </w:tc>
        <w:tc>
          <w:tcPr>
            <w:tcW w:w="497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</w:t>
            </w:r>
          </w:p>
        </w:tc>
      </w:tr>
      <w:tr w:rsidR="00145110">
        <w:trPr>
          <w:trHeight w:val="212"/>
          <w:jc w:val="right"/>
        </w:trPr>
        <w:tc>
          <w:tcPr>
            <w:tcW w:w="1044" w:type="dxa"/>
            <w:tcBorders>
              <w:left w:val="single" w:sz="8" w:space="0" w:color="000000"/>
            </w:tcBorders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CNS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relapse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(2.7)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(7.5)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(10)</w:t>
            </w:r>
          </w:p>
        </w:tc>
        <w:tc>
          <w:tcPr>
            <w:tcW w:w="497" w:type="dxa"/>
            <w:tcBorders>
              <w:bottom w:val="single" w:sz="8" w:space="0" w:color="000000"/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</w:t>
            </w:r>
          </w:p>
        </w:tc>
      </w:tr>
    </w:tbl>
    <w:p w:rsidR="00145110" w:rsidRDefault="00145110">
      <w:pPr>
        <w:pStyle w:val="Heading6"/>
        <w:snapToGrid w:val="0"/>
        <w:ind w:left="0" w:right="4"/>
        <w:rPr>
          <w:sz w:val="20"/>
          <w:szCs w:val="20"/>
        </w:rPr>
      </w:pPr>
    </w:p>
    <w:p w:rsidR="00145110" w:rsidRDefault="00B325BC">
      <w:pPr>
        <w:pStyle w:val="Heading6"/>
        <w:snapToGrid w:val="0"/>
        <w:ind w:left="0" w:right="4"/>
        <w:rPr>
          <w:sz w:val="20"/>
          <w:szCs w:val="20"/>
        </w:rPr>
      </w:pPr>
      <w:r>
        <w:rPr>
          <w:sz w:val="20"/>
          <w:szCs w:val="20"/>
        </w:rPr>
        <w:t>Treatment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outcomes: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CHOP</w:t>
      </w:r>
      <w:r>
        <w:rPr>
          <w:spacing w:val="66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6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6"/>
          <w:sz w:val="20"/>
          <w:szCs w:val="20"/>
        </w:rPr>
        <w:t xml:space="preserve"> </w:t>
      </w:r>
      <w:r>
        <w:rPr>
          <w:sz w:val="20"/>
          <w:szCs w:val="20"/>
        </w:rPr>
        <w:t>most</w:t>
      </w:r>
      <w:r>
        <w:rPr>
          <w:spacing w:val="65"/>
          <w:sz w:val="20"/>
          <w:szCs w:val="20"/>
        </w:rPr>
        <w:t xml:space="preserve"> </w:t>
      </w:r>
      <w:r>
        <w:rPr>
          <w:sz w:val="20"/>
          <w:szCs w:val="20"/>
        </w:rPr>
        <w:t>commonly</w:t>
      </w:r>
      <w:r>
        <w:rPr>
          <w:spacing w:val="66"/>
          <w:sz w:val="20"/>
          <w:szCs w:val="20"/>
        </w:rPr>
        <w:t xml:space="preserve"> </w:t>
      </w:r>
      <w:r>
        <w:rPr>
          <w:sz w:val="20"/>
          <w:szCs w:val="20"/>
        </w:rPr>
        <w:t>used</w:t>
      </w:r>
      <w:r>
        <w:rPr>
          <w:spacing w:val="65"/>
          <w:sz w:val="20"/>
          <w:szCs w:val="20"/>
        </w:rPr>
        <w:t xml:space="preserve"> </w:t>
      </w:r>
      <w:r>
        <w:rPr>
          <w:sz w:val="20"/>
          <w:szCs w:val="20"/>
        </w:rPr>
        <w:t>chemotherapy</w:t>
      </w:r>
      <w:r>
        <w:rPr>
          <w:spacing w:val="65"/>
          <w:sz w:val="20"/>
          <w:szCs w:val="20"/>
        </w:rPr>
        <w:t xml:space="preserve"> </w:t>
      </w:r>
      <w:r>
        <w:rPr>
          <w:sz w:val="20"/>
          <w:szCs w:val="20"/>
        </w:rPr>
        <w:t>protocol.</w:t>
      </w:r>
      <w:r>
        <w:rPr>
          <w:spacing w:val="6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total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151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patients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>(81.2%)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received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CHOP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(with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without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rituximab). Rituximab was given in 1st line treatment protocols in 144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patients. It was combined with CHOP (R-CHOP) in 121 (65.1%) patients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23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patients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70"/>
          <w:sz w:val="20"/>
          <w:szCs w:val="20"/>
        </w:rPr>
        <w:t xml:space="preserve"> </w:t>
      </w:r>
      <w:r>
        <w:rPr>
          <w:sz w:val="20"/>
          <w:szCs w:val="20"/>
        </w:rPr>
        <w:t>CHOP-like</w:t>
      </w:r>
      <w:r>
        <w:rPr>
          <w:spacing w:val="70"/>
          <w:sz w:val="20"/>
          <w:szCs w:val="20"/>
        </w:rPr>
        <w:t xml:space="preserve"> </w:t>
      </w:r>
      <w:r>
        <w:rPr>
          <w:sz w:val="20"/>
          <w:szCs w:val="20"/>
        </w:rPr>
        <w:t>regimens</w:t>
      </w:r>
      <w:r>
        <w:rPr>
          <w:spacing w:val="70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70"/>
          <w:sz w:val="20"/>
          <w:szCs w:val="20"/>
        </w:rPr>
        <w:t xml:space="preserve"> </w:t>
      </w:r>
      <w:r>
        <w:rPr>
          <w:sz w:val="20"/>
          <w:szCs w:val="20"/>
        </w:rPr>
        <w:t>other</w:t>
      </w:r>
      <w:r>
        <w:rPr>
          <w:spacing w:val="70"/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>
        <w:rPr>
          <w:sz w:val="20"/>
          <w:szCs w:val="20"/>
        </w:rPr>
        <w:t>egimens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b/>
          <w:sz w:val="20"/>
          <w:szCs w:val="20"/>
        </w:rPr>
        <w:t>Table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4</w:t>
      </w:r>
      <w:r>
        <w:rPr>
          <w:sz w:val="20"/>
          <w:szCs w:val="20"/>
        </w:rPr>
        <w:t>).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CHOP only (without rituximab) regimen showed ORR in 35.7% of the patients, where CR was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seen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21.4%.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 patients who received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rituximab</w:t>
      </w:r>
      <w:r>
        <w:rPr>
          <w:spacing w:val="1"/>
          <w:sz w:val="20"/>
          <w:szCs w:val="20"/>
        </w:rPr>
        <w:t xml:space="preserve">, </w:t>
      </w:r>
      <w:r>
        <w:rPr>
          <w:sz w:val="20"/>
          <w:szCs w:val="20"/>
        </w:rPr>
        <w:t>ORR</w:t>
      </w:r>
      <w:r>
        <w:rPr>
          <w:spacing w:val="1"/>
          <w:sz w:val="20"/>
          <w:szCs w:val="20"/>
        </w:rPr>
        <w:t xml:space="preserve"> was </w:t>
      </w:r>
      <w:r>
        <w:rPr>
          <w:sz w:val="20"/>
          <w:szCs w:val="20"/>
        </w:rPr>
        <w:t>up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71"/>
          <w:sz w:val="20"/>
          <w:szCs w:val="20"/>
        </w:rPr>
        <w:t xml:space="preserve"> </w:t>
      </w:r>
      <w:r>
        <w:rPr>
          <w:sz w:val="20"/>
          <w:szCs w:val="20"/>
        </w:rPr>
        <w:t>82%.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Furthermore, complete remission also increased to 60.1% of the patients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after adding rituximab to CHOP. 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Furthermore, patients who received at least three cycles of Rituximab significantly experienced complete response (CR) in 65% of cases, compared to 20% of patients who received fewer than three cycles.</w:t>
      </w:r>
    </w:p>
    <w:p w:rsidR="00145110" w:rsidRDefault="00145110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110" w:rsidRDefault="00B325BC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Table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(4):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Treatment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protocols</w:t>
      </w:r>
    </w:p>
    <w:tbl>
      <w:tblPr>
        <w:tblW w:w="41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351"/>
        <w:gridCol w:w="1271"/>
      </w:tblGrid>
      <w:tr w:rsidR="00145110">
        <w:trPr>
          <w:trHeight w:val="262"/>
          <w:jc w:val="center"/>
        </w:trPr>
        <w:tc>
          <w:tcPr>
            <w:tcW w:w="1550" w:type="dxa"/>
            <w:tcBorders>
              <w:left w:val="single" w:sz="8" w:space="0" w:color="000000"/>
            </w:tcBorders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Treatment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regimen</w:t>
            </w:r>
          </w:p>
        </w:tc>
        <w:tc>
          <w:tcPr>
            <w:tcW w:w="1351" w:type="dxa"/>
            <w:shd w:val="clear" w:color="auto" w:fill="D1E8FF"/>
          </w:tcPr>
          <w:p w:rsidR="00145110" w:rsidRDefault="00145110">
            <w:pPr>
              <w:pStyle w:val="TableParagraph"/>
              <w:snapToGrid w:val="0"/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single" w:sz="8" w:space="0" w:color="000000"/>
            </w:tcBorders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(%)</w:t>
            </w:r>
          </w:p>
        </w:tc>
      </w:tr>
      <w:tr w:rsidR="00145110">
        <w:trPr>
          <w:trHeight w:val="65"/>
          <w:jc w:val="center"/>
        </w:trPr>
        <w:tc>
          <w:tcPr>
            <w:tcW w:w="1550" w:type="dxa"/>
            <w:vMerge w:val="restart"/>
            <w:tcBorders>
              <w:left w:val="single" w:sz="8" w:space="0" w:color="000000"/>
            </w:tcBorders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First-line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chemotherapy</w:t>
            </w:r>
          </w:p>
        </w:tc>
        <w:tc>
          <w:tcPr>
            <w:tcW w:w="1351" w:type="dxa"/>
          </w:tcPr>
          <w:p w:rsidR="00145110" w:rsidRDefault="00B325BC">
            <w:pPr>
              <w:pStyle w:val="TableParagraph"/>
              <w:snapToGrid w:val="0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CHOP</w:t>
            </w:r>
          </w:p>
        </w:tc>
        <w:tc>
          <w:tcPr>
            <w:tcW w:w="1271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(16.1)</w:t>
            </w:r>
          </w:p>
        </w:tc>
      </w:tr>
      <w:tr w:rsidR="00145110">
        <w:trPr>
          <w:trHeight w:val="261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000000"/>
            </w:tcBorders>
            <w:shd w:val="clear" w:color="auto" w:fill="D1E8FF"/>
          </w:tcPr>
          <w:p w:rsidR="00145110" w:rsidRDefault="00145110">
            <w:pPr>
              <w:snapToGri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45110" w:rsidRDefault="00B325BC">
            <w:pPr>
              <w:pStyle w:val="TableParagraph"/>
              <w:snapToGrid w:val="0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CHOP-like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regimen</w:t>
            </w:r>
          </w:p>
        </w:tc>
        <w:tc>
          <w:tcPr>
            <w:tcW w:w="1271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(2.2)</w:t>
            </w:r>
          </w:p>
        </w:tc>
      </w:tr>
      <w:tr w:rsidR="00145110">
        <w:trPr>
          <w:trHeight w:val="262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000000"/>
            </w:tcBorders>
            <w:shd w:val="clear" w:color="auto" w:fill="D1E8FF"/>
          </w:tcPr>
          <w:p w:rsidR="00145110" w:rsidRDefault="00145110">
            <w:pPr>
              <w:snapToGri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45110" w:rsidRDefault="00B325BC">
            <w:pPr>
              <w:pStyle w:val="TableParagraph"/>
              <w:snapToGrid w:val="0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1271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(4.3)</w:t>
            </w:r>
          </w:p>
        </w:tc>
      </w:tr>
      <w:tr w:rsidR="00145110">
        <w:trPr>
          <w:trHeight w:val="261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000000"/>
            </w:tcBorders>
            <w:shd w:val="clear" w:color="auto" w:fill="D1E8FF"/>
          </w:tcPr>
          <w:p w:rsidR="00145110" w:rsidRDefault="00145110">
            <w:pPr>
              <w:snapToGri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45110" w:rsidRDefault="00B325BC">
            <w:pPr>
              <w:pStyle w:val="TableParagraph"/>
              <w:snapToGrid w:val="0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R-CHOP</w:t>
            </w:r>
          </w:p>
        </w:tc>
        <w:tc>
          <w:tcPr>
            <w:tcW w:w="1271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(65.1)</w:t>
            </w:r>
          </w:p>
        </w:tc>
      </w:tr>
      <w:tr w:rsidR="00145110">
        <w:trPr>
          <w:trHeight w:val="262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000000"/>
            </w:tcBorders>
            <w:shd w:val="clear" w:color="auto" w:fill="D1E8FF"/>
          </w:tcPr>
          <w:p w:rsidR="00145110" w:rsidRDefault="00145110">
            <w:pPr>
              <w:snapToGri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45110" w:rsidRDefault="00B325BC">
            <w:pPr>
              <w:pStyle w:val="TableParagraph"/>
              <w:snapToGrid w:val="0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R-CHOP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like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regimens</w:t>
            </w:r>
          </w:p>
        </w:tc>
        <w:tc>
          <w:tcPr>
            <w:tcW w:w="1271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(12.3)</w:t>
            </w:r>
          </w:p>
        </w:tc>
      </w:tr>
      <w:tr w:rsidR="00145110">
        <w:trPr>
          <w:trHeight w:val="261"/>
          <w:jc w:val="center"/>
        </w:trPr>
        <w:tc>
          <w:tcPr>
            <w:tcW w:w="1550" w:type="dxa"/>
            <w:vMerge w:val="restart"/>
            <w:tcBorders>
              <w:left w:val="single" w:sz="8" w:space="0" w:color="000000"/>
            </w:tcBorders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of</w:t>
            </w:r>
          </w:p>
          <w:p w:rsidR="00145110" w:rsidRDefault="00B325BC">
            <w:pPr>
              <w:pStyle w:val="TableParagraph"/>
              <w:snapToGrid w:val="0"/>
              <w:ind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chemotherapy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cycles</w:t>
            </w:r>
          </w:p>
        </w:tc>
        <w:tc>
          <w:tcPr>
            <w:tcW w:w="1351" w:type="dxa"/>
          </w:tcPr>
          <w:p w:rsidR="00145110" w:rsidRDefault="00B325BC">
            <w:pPr>
              <w:pStyle w:val="TableParagraph"/>
              <w:snapToGrid w:val="0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&lt;6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cycles</w:t>
            </w:r>
          </w:p>
        </w:tc>
        <w:tc>
          <w:tcPr>
            <w:tcW w:w="1271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(7.5)</w:t>
            </w:r>
          </w:p>
        </w:tc>
      </w:tr>
      <w:tr w:rsidR="00145110">
        <w:trPr>
          <w:trHeight w:val="262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000000"/>
            </w:tcBorders>
            <w:shd w:val="clear" w:color="auto" w:fill="D1E8FF"/>
          </w:tcPr>
          <w:p w:rsidR="00145110" w:rsidRDefault="00145110">
            <w:pPr>
              <w:snapToGri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45110" w:rsidRDefault="00B325BC">
            <w:pPr>
              <w:pStyle w:val="TableParagraph"/>
              <w:snapToGrid w:val="0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cycles</w:t>
            </w:r>
          </w:p>
        </w:tc>
        <w:tc>
          <w:tcPr>
            <w:tcW w:w="1271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(92.5)</w:t>
            </w:r>
          </w:p>
        </w:tc>
      </w:tr>
      <w:tr w:rsidR="00145110">
        <w:trPr>
          <w:trHeight w:val="261"/>
          <w:jc w:val="center"/>
        </w:trPr>
        <w:tc>
          <w:tcPr>
            <w:tcW w:w="1550" w:type="dxa"/>
            <w:vMerge w:val="restart"/>
            <w:tcBorders>
              <w:left w:val="single" w:sz="8" w:space="0" w:color="000000"/>
            </w:tcBorders>
            <w:shd w:val="clear" w:color="auto" w:fill="D1E8FF"/>
          </w:tcPr>
          <w:p w:rsidR="00145110" w:rsidRDefault="00B325BC">
            <w:pPr>
              <w:pStyle w:val="TableParagraph"/>
              <w:snapToGrid w:val="0"/>
              <w:ind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Rituximab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plus</w:t>
            </w:r>
          </w:p>
          <w:p w:rsidR="00145110" w:rsidRDefault="00B325BC">
            <w:pPr>
              <w:pStyle w:val="TableParagraph"/>
              <w:snapToGrid w:val="0"/>
              <w:ind w:righ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Chemotherapy</w:t>
            </w:r>
          </w:p>
        </w:tc>
        <w:tc>
          <w:tcPr>
            <w:tcW w:w="1351" w:type="dxa"/>
          </w:tcPr>
          <w:p w:rsidR="00145110" w:rsidRDefault="00B325BC">
            <w:pPr>
              <w:pStyle w:val="TableParagraph"/>
              <w:snapToGrid w:val="0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1" w:type="dxa"/>
            <w:tcBorders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(22.6)</w:t>
            </w:r>
          </w:p>
        </w:tc>
      </w:tr>
      <w:tr w:rsidR="00145110">
        <w:trPr>
          <w:trHeight w:val="261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000000"/>
            </w:tcBorders>
            <w:shd w:val="clear" w:color="auto" w:fill="D1E8FF"/>
          </w:tcPr>
          <w:p w:rsidR="00145110" w:rsidRDefault="00145110">
            <w:pPr>
              <w:snapToGri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</w:tcPr>
          <w:p w:rsidR="00145110" w:rsidRDefault="00B325BC">
            <w:pPr>
              <w:pStyle w:val="TableParagraph"/>
              <w:snapToGrid w:val="0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(77.4)</w:t>
            </w:r>
          </w:p>
        </w:tc>
      </w:tr>
    </w:tbl>
    <w:p w:rsidR="00145110" w:rsidRDefault="00145110">
      <w:pPr>
        <w:pStyle w:val="Heading4"/>
        <w:snapToGrid w:val="0"/>
        <w:spacing w:before="0"/>
        <w:ind w:left="0" w:right="4"/>
        <w:jc w:val="both"/>
        <w:rPr>
          <w:i/>
          <w:iCs/>
          <w:sz w:val="20"/>
          <w:szCs w:val="20"/>
        </w:rPr>
      </w:pPr>
    </w:p>
    <w:p w:rsidR="00145110" w:rsidRDefault="00B325BC">
      <w:pPr>
        <w:pStyle w:val="Heading4"/>
        <w:snapToGrid w:val="0"/>
        <w:spacing w:before="0"/>
        <w:ind w:left="0" w:right="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Factors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affecting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response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of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treatment: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stage,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bulky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disease,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serum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LDH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not have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impact 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response status significantly (p-values 0.089, 0.79, and 0.50, respectively).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Meanwhile,</w:t>
      </w:r>
      <w:r>
        <w:rPr>
          <w:sz w:val="20"/>
          <w:szCs w:val="20"/>
        </w:rPr>
        <w:t xml:space="preserve"> patients with good ECOG PS (0-1) achieved higher CR rates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compared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those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poor PS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(≥2) (p-value = 0.002)</w:t>
      </w:r>
      <w:r>
        <w:rPr>
          <w:spacing w:val="7"/>
          <w:sz w:val="20"/>
          <w:szCs w:val="20"/>
        </w:rPr>
        <w:t>.</w:t>
      </w:r>
    </w:p>
    <w:p w:rsidR="00145110" w:rsidRDefault="00145110">
      <w:pPr>
        <w:pStyle w:val="Heading5"/>
        <w:snapToGrid w:val="0"/>
        <w:spacing w:before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:rsidR="00145110" w:rsidRDefault="00B325BC">
      <w:pPr>
        <w:pStyle w:val="Heading5"/>
        <w:snapToGrid w:val="0"/>
        <w:spacing w:before="0" w:line="240" w:lineRule="auto"/>
        <w:ind w:right="4"/>
        <w:jc w:val="both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Survival</w:t>
      </w:r>
      <w:r>
        <w:rPr>
          <w:rFonts w:ascii="Times New Roman" w:hAnsi="Times New Roman" w:cs="Times New Roman"/>
          <w:b/>
          <w:bCs/>
          <w:i/>
          <w:iCs/>
          <w:color w:val="auto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analysis:</w:t>
      </w:r>
    </w:p>
    <w:p w:rsidR="00145110" w:rsidRDefault="00B325BC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Progression-free</w:t>
      </w:r>
      <w:r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survival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analysis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(PFS):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Median PFS for patients who achieved CR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after first line of treatment was 13.5 </w:t>
      </w:r>
      <w:r>
        <w:rPr>
          <w:sz w:val="20"/>
          <w:szCs w:val="20"/>
        </w:rPr>
        <w:t>months, while those who failed 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achieve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response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had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median PFS 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months,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&lt;0.0001.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Also a numerically higher PFS in patients who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received at least ≥3 of Rituximab 10.5 months versus 5 months in those who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didn’t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complete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3 cycles (p </w:t>
      </w:r>
      <w:r>
        <w:rPr>
          <w:sz w:val="20"/>
          <w:szCs w:val="20"/>
        </w:rPr>
        <w:t>value = 0.11) (Figure 3).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However,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 IPI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score did not have a significant impact on PFS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 value</w:t>
      </w:r>
      <w:r>
        <w:rPr>
          <w:spacing w:val="-2"/>
          <w:sz w:val="20"/>
          <w:szCs w:val="20"/>
        </w:rPr>
        <w:t xml:space="preserve"> of</w:t>
      </w:r>
      <w:r>
        <w:rPr>
          <w:sz w:val="20"/>
          <w:szCs w:val="20"/>
        </w:rPr>
        <w:t xml:space="preserve"> 0.69 (Figure 4).</w:t>
      </w:r>
    </w:p>
    <w:p w:rsidR="00145110" w:rsidRDefault="00145110">
      <w:pPr>
        <w:pStyle w:val="BodyText"/>
        <w:snapToGrid w:val="0"/>
        <w:ind w:right="4" w:firstLine="426"/>
        <w:jc w:val="both"/>
        <w:rPr>
          <w:sz w:val="20"/>
          <w:szCs w:val="20"/>
        </w:rPr>
      </w:pPr>
    </w:p>
    <w:p w:rsidR="00145110" w:rsidRDefault="00B325BC">
      <w:pPr>
        <w:pStyle w:val="BodyText"/>
        <w:snapToGrid w:val="0"/>
        <w:ind w:right="4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2400300" cy="1917700"/>
            <wp:effectExtent l="0" t="0" r="0" b="6350"/>
            <wp:docPr id="33" name="image48.png" descr="P393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8.png" descr="P393#yIS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170" cy="192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10" w:rsidRDefault="00B325BC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Figure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(2):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Kaplan</w:t>
      </w:r>
      <w:r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Meier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curve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showing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PFS</w:t>
      </w:r>
      <w:r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in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months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based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ORR</w:t>
      </w:r>
    </w:p>
    <w:p w:rsidR="00145110" w:rsidRDefault="00145110">
      <w:pPr>
        <w:pStyle w:val="BodyText"/>
        <w:snapToGrid w:val="0"/>
        <w:ind w:right="4"/>
        <w:jc w:val="both"/>
        <w:rPr>
          <w:b/>
          <w:sz w:val="20"/>
          <w:szCs w:val="20"/>
        </w:rPr>
      </w:pPr>
    </w:p>
    <w:p w:rsidR="00145110" w:rsidRDefault="00B325BC">
      <w:pPr>
        <w:pStyle w:val="BodyText"/>
        <w:snapToGrid w:val="0"/>
        <w:ind w:right="4"/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>
            <wp:extent cx="2362200" cy="2008505"/>
            <wp:effectExtent l="0" t="0" r="0" b="0"/>
            <wp:docPr id="35" name="image49.png" descr="P398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49.png" descr="P398#yIS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880" cy="201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10" w:rsidRDefault="00B325BC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Figure (3): </w:t>
      </w:r>
      <w:r>
        <w:rPr>
          <w:rFonts w:ascii="Times New Roman" w:hAnsi="Times New Roman" w:cs="Times New Roman"/>
          <w:bCs/>
          <w:sz w:val="20"/>
          <w:szCs w:val="20"/>
        </w:rPr>
        <w:t xml:space="preserve">Kaplan Meier curve showing PFS in months based on </w:t>
      </w:r>
      <w:r>
        <w:rPr>
          <w:rFonts w:ascii="Times New Roman" w:hAnsi="Times New Roman" w:cs="Times New Roman"/>
          <w:bCs/>
          <w:sz w:val="20"/>
          <w:szCs w:val="20"/>
        </w:rPr>
        <w:t>the number of cycles</w:t>
      </w:r>
    </w:p>
    <w:p w:rsidR="00145110" w:rsidRDefault="00145110">
      <w:pPr>
        <w:pStyle w:val="BodyText"/>
        <w:tabs>
          <w:tab w:val="left" w:pos="1236"/>
        </w:tabs>
        <w:snapToGrid w:val="0"/>
        <w:ind w:right="4"/>
        <w:jc w:val="both"/>
        <w:rPr>
          <w:b/>
          <w:sz w:val="20"/>
          <w:szCs w:val="20"/>
        </w:rPr>
      </w:pPr>
    </w:p>
    <w:p w:rsidR="00145110" w:rsidRDefault="00B325BC">
      <w:pPr>
        <w:pStyle w:val="BodyText"/>
        <w:snapToGrid w:val="0"/>
        <w:ind w:right="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>
            <wp:extent cx="2552700" cy="2045970"/>
            <wp:effectExtent l="0" t="0" r="0" b="0"/>
            <wp:docPr id="37" name="image50.png" descr="P405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50.png" descr="P405#yIS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569" cy="20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10" w:rsidRDefault="00B325BC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Figure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(4)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Kaplan</w:t>
      </w:r>
      <w:r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Meier</w:t>
      </w:r>
      <w:r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curve</w:t>
      </w:r>
      <w:r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showing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PFS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in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months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based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on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IPI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score</w:t>
      </w:r>
    </w:p>
    <w:p w:rsidR="00145110" w:rsidRDefault="00145110">
      <w:pPr>
        <w:pStyle w:val="Heading4"/>
        <w:snapToGrid w:val="0"/>
        <w:spacing w:before="0"/>
        <w:ind w:left="0" w:right="4"/>
        <w:jc w:val="both"/>
        <w:rPr>
          <w:b w:val="0"/>
          <w:bCs w:val="0"/>
          <w:i/>
          <w:iCs/>
          <w:sz w:val="20"/>
          <w:szCs w:val="20"/>
        </w:rPr>
      </w:pPr>
    </w:p>
    <w:p w:rsidR="00145110" w:rsidRDefault="00B325BC">
      <w:pPr>
        <w:pStyle w:val="Heading4"/>
        <w:snapToGrid w:val="0"/>
        <w:spacing w:before="0"/>
        <w:ind w:left="0" w:right="4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Overall</w:t>
      </w:r>
      <w:r>
        <w:rPr>
          <w:b w:val="0"/>
          <w:bCs w:val="0"/>
          <w:i/>
          <w:iCs/>
          <w:spacing w:val="-4"/>
          <w:sz w:val="20"/>
          <w:szCs w:val="20"/>
        </w:rPr>
        <w:t xml:space="preserve"> </w:t>
      </w:r>
      <w:r>
        <w:rPr>
          <w:b w:val="0"/>
          <w:bCs w:val="0"/>
          <w:i/>
          <w:iCs/>
          <w:sz w:val="20"/>
          <w:szCs w:val="20"/>
        </w:rPr>
        <w:t>survival</w:t>
      </w:r>
      <w:r>
        <w:rPr>
          <w:b w:val="0"/>
          <w:bCs w:val="0"/>
          <w:i/>
          <w:iCs/>
          <w:spacing w:val="-4"/>
          <w:sz w:val="20"/>
          <w:szCs w:val="20"/>
        </w:rPr>
        <w:t xml:space="preserve"> </w:t>
      </w:r>
      <w:r>
        <w:rPr>
          <w:b w:val="0"/>
          <w:bCs w:val="0"/>
          <w:i/>
          <w:iCs/>
          <w:sz w:val="20"/>
          <w:szCs w:val="20"/>
        </w:rPr>
        <w:t>analysis</w:t>
      </w:r>
      <w:r>
        <w:rPr>
          <w:b w:val="0"/>
          <w:bCs w:val="0"/>
          <w:i/>
          <w:iCs/>
          <w:spacing w:val="-2"/>
          <w:sz w:val="20"/>
          <w:szCs w:val="20"/>
        </w:rPr>
        <w:t xml:space="preserve"> </w:t>
      </w:r>
      <w:r>
        <w:rPr>
          <w:b w:val="0"/>
          <w:bCs w:val="0"/>
          <w:i/>
          <w:iCs/>
          <w:sz w:val="20"/>
          <w:szCs w:val="20"/>
        </w:rPr>
        <w:t>(OS):</w:t>
      </w:r>
    </w:p>
    <w:p w:rsidR="00145110" w:rsidRDefault="00B325BC">
      <w:pPr>
        <w:pStyle w:val="BodyText"/>
        <w:snapToGrid w:val="0"/>
        <w:ind w:right="4" w:firstLine="720"/>
        <w:jc w:val="both"/>
        <w:rPr>
          <w:sz w:val="20"/>
          <w:szCs w:val="20"/>
        </w:rPr>
      </w:pPr>
      <w:r>
        <w:rPr>
          <w:sz w:val="20"/>
          <w:szCs w:val="20"/>
        </w:rPr>
        <w:t>Overall survival was significantly affected by the response after 1</w:t>
      </w:r>
      <w:r>
        <w:rPr>
          <w:sz w:val="20"/>
          <w:szCs w:val="20"/>
          <w:vertAlign w:val="superscript"/>
        </w:rPr>
        <w:t>st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line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chemotherapy;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median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those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who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achieved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CR was 20.8 versus 8.1 months for those who achieved no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response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after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completion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first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line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of chemotherapy </w:t>
      </w:r>
      <w:r>
        <w:rPr>
          <w:sz w:val="20"/>
          <w:szCs w:val="20"/>
        </w:rPr>
        <w:lastRenderedPageBreak/>
        <w:t>(Figure 5).</w:t>
      </w:r>
    </w:p>
    <w:p w:rsidR="00145110" w:rsidRDefault="00B325BC">
      <w:pPr>
        <w:pStyle w:val="BodyText"/>
        <w:snapToGrid w:val="0"/>
        <w:ind w:right="4" w:firstLine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In addition, rituximab plus chemotherapy had significantly longer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OS with a median of 16.6 versus 13.2 months in chemot</w:t>
      </w:r>
      <w:r>
        <w:rPr>
          <w:sz w:val="20"/>
          <w:szCs w:val="20"/>
        </w:rPr>
        <w:t>herapy alone arm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with a p-value of 0.001. However, the IPI score did not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significantly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impact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OS with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 p-value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of 0.12 (Figure 6, Figure 7).</w:t>
      </w:r>
    </w:p>
    <w:p w:rsidR="00145110" w:rsidRDefault="00B325BC">
      <w:pPr>
        <w:pStyle w:val="BodyText"/>
        <w:snapToGrid w:val="0"/>
        <w:ind w:right="4"/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>
            <wp:extent cx="2409825" cy="1917700"/>
            <wp:effectExtent l="0" t="0" r="0" b="6350"/>
            <wp:docPr id="41" name="image52.png" descr="P464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52.png" descr="P464#yIS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751" cy="192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10" w:rsidRDefault="00B325BC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Figure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(5):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Kaplan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Meier</w:t>
      </w:r>
      <w:r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curve</w:t>
      </w:r>
      <w:r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showing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OS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in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months</w:t>
      </w:r>
      <w:r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based</w:t>
      </w:r>
      <w:r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on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ORR</w:t>
      </w:r>
    </w:p>
    <w:p w:rsidR="00145110" w:rsidRDefault="00145110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110" w:rsidRDefault="00B325BC">
      <w:pPr>
        <w:pStyle w:val="BodyText"/>
        <w:snapToGrid w:val="0"/>
        <w:ind w:right="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>
            <wp:extent cx="2390775" cy="1929765"/>
            <wp:effectExtent l="0" t="0" r="0" b="0"/>
            <wp:docPr id="39" name="image51.png" descr="P459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51.png" descr="P459#yIS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166" cy="193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10" w:rsidRDefault="00B325BC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Figure (6): </w:t>
      </w:r>
      <w:r>
        <w:rPr>
          <w:rFonts w:ascii="Times New Roman" w:hAnsi="Times New Roman" w:cs="Times New Roman"/>
          <w:bCs/>
          <w:sz w:val="20"/>
          <w:szCs w:val="20"/>
        </w:rPr>
        <w:t xml:space="preserve">Kaplan Meier curve showing </w:t>
      </w:r>
      <w:r>
        <w:rPr>
          <w:rFonts w:ascii="Times New Roman" w:hAnsi="Times New Roman" w:cs="Times New Roman"/>
          <w:bCs/>
          <w:sz w:val="20"/>
          <w:szCs w:val="20"/>
        </w:rPr>
        <w:t>OS in months based on the treatment regimen</w:t>
      </w:r>
    </w:p>
    <w:p w:rsidR="00145110" w:rsidRDefault="00B325BC">
      <w:pPr>
        <w:pStyle w:val="BodyText"/>
        <w:snapToGrid w:val="0"/>
        <w:ind w:right="4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>
            <wp:extent cx="2533650" cy="2028190"/>
            <wp:effectExtent l="0" t="0" r="0" b="0"/>
            <wp:docPr id="43" name="image53.png" descr="P474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53.png" descr="P474#yIS1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885" cy="203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10" w:rsidRDefault="00B325BC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Figure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(7):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Kaplan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Meier</w:t>
      </w:r>
      <w:r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curve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showing</w:t>
      </w:r>
      <w:r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OS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in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months</w:t>
      </w:r>
      <w:r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based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on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IPI</w:t>
      </w:r>
      <w:r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score</w:t>
      </w:r>
    </w:p>
    <w:p w:rsidR="00894E03" w:rsidRDefault="00894E03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94E03" w:rsidRDefault="00894E03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:rsidR="00145110" w:rsidRDefault="00B325BC">
      <w:pPr>
        <w:pStyle w:val="Heading2"/>
        <w:snapToGrid w:val="0"/>
        <w:spacing w:before="0"/>
        <w:ind w:left="0" w:right="4"/>
        <w:jc w:val="both"/>
        <w:rPr>
          <w:rFonts w:ascii="Times New Roman" w:hAnsi="Times New Roman" w:cs="Times New Roman"/>
          <w:b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sz w:val="20"/>
          <w:szCs w:val="20"/>
          <w:u w:val="none"/>
        </w:rPr>
        <w:lastRenderedPageBreak/>
        <w:t>4. Discussion: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Worldwide, non-Hodgkin lymphoma (NHL) is the most prevalent hematologic cancer. With a projected 70,800 new cases in the United States (U.S.) in 2014, it is more prevalent in industrialized nations. NHL is the seventh most frequent disease in men and the s</w:t>
      </w:r>
      <w:r>
        <w:rPr>
          <w:bCs/>
          <w:sz w:val="20"/>
          <w:szCs w:val="20"/>
        </w:rPr>
        <w:t xml:space="preserve">ixth most prevalent in women, making up 4.3% of all cancer cases in the United States. More than 40 primary subtypes of NHL exist, each with unique morphologic, genetic, and clinical characteristics [1].      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Meanwhile, NHL is the fourth most frequent dis</w:t>
      </w:r>
      <w:r>
        <w:rPr>
          <w:bCs/>
          <w:sz w:val="20"/>
          <w:szCs w:val="20"/>
        </w:rPr>
        <w:t xml:space="preserve">ease in Egypt, following breast, gastrointestinal, and bladder cancers, according to the National </w:t>
      </w:r>
      <w:proofErr w:type="gramStart"/>
      <w:r>
        <w:rPr>
          <w:bCs/>
          <w:sz w:val="20"/>
          <w:szCs w:val="20"/>
        </w:rPr>
        <w:t>disease</w:t>
      </w:r>
      <w:proofErr w:type="gramEnd"/>
      <w:r>
        <w:rPr>
          <w:bCs/>
          <w:sz w:val="20"/>
          <w:szCs w:val="20"/>
        </w:rPr>
        <w:t xml:space="preserve"> Institute (NCI) [3].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current study is significant because it provides information on the relative distribution of different lymphoma types at our </w:t>
      </w:r>
      <w:r>
        <w:rPr>
          <w:bCs/>
          <w:sz w:val="20"/>
          <w:szCs w:val="20"/>
        </w:rPr>
        <w:t>facility and the impact of the number of Rituximab cycles on progression-free survival.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Hodgkin lymphoma accounts for 26% of the patients in our analysis, which retrieved 719 cases of lymphoid malignancy from our medical data between 2015 and 2020; non-Hod</w:t>
      </w:r>
      <w:r>
        <w:rPr>
          <w:bCs/>
          <w:sz w:val="20"/>
          <w:szCs w:val="20"/>
        </w:rPr>
        <w:t>gkin's lymphoma makes up the majority of the cases (74%).</w:t>
      </w:r>
    </w:p>
    <w:p w:rsidR="00145110" w:rsidRDefault="00B325BC">
      <w:pPr>
        <w:snapToGrid w:val="0"/>
        <w:spacing w:after="0" w:line="240" w:lineRule="auto"/>
        <w:ind w:right="4"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DLBCL was the most prevalent subtype of lymphoma in our study, accounting for 43% of lymphoid malignancies, which is higher than the range seen in western countries, which is between 25% and 30%, ac</w:t>
      </w:r>
      <w:r>
        <w:rPr>
          <w:rFonts w:ascii="Times New Roman" w:hAnsi="Times New Roman" w:cs="Times New Roman"/>
          <w:bCs/>
          <w:sz w:val="20"/>
          <w:szCs w:val="20"/>
        </w:rPr>
        <w:t xml:space="preserve">cording to the WHO Classification of Tumors of Hematopoietic and Lymphoid Tissues Health &amp; Environmental Research Online (HERO) US EPA,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n.d.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[11]; While myeloma cells and plasma cell diseases represent 27% and constitute the second most common subtype. In </w:t>
      </w:r>
      <w:r>
        <w:rPr>
          <w:rFonts w:ascii="Times New Roman" w:hAnsi="Times New Roman" w:cs="Times New Roman"/>
          <w:bCs/>
          <w:sz w:val="20"/>
          <w:szCs w:val="20"/>
        </w:rPr>
        <w:t>contrast to the high rates of DLBCL, FL was shown to account for about 4% of our NHL. This is noted in contrast, the prevalence of NHL in Western research is between 28 and 32% [1].</w:t>
      </w:r>
    </w:p>
    <w:p w:rsidR="00145110" w:rsidRDefault="00B325BC">
      <w:pPr>
        <w:snapToGrid w:val="0"/>
        <w:spacing w:after="0" w:line="240" w:lineRule="auto"/>
        <w:ind w:right="4"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The primary emphasis of our data's final analysis was on DLBCL patients.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>n our study, the patients' median age was 50 years old, with extremes of 21 and 89 years old. This is lower than what has been shown in other research (</w:t>
      </w:r>
      <w:proofErr w:type="spellStart"/>
      <w:r>
        <w:rPr>
          <w:bCs/>
          <w:sz w:val="20"/>
          <w:szCs w:val="20"/>
        </w:rPr>
        <w:t>Sant</w:t>
      </w:r>
      <w:proofErr w:type="spellEnd"/>
      <w:r>
        <w:rPr>
          <w:bCs/>
          <w:sz w:val="20"/>
          <w:szCs w:val="20"/>
        </w:rPr>
        <w:t xml:space="preserve"> et al., 2010), where the median age at diagnosis was in the 70s. The incidence of DLBCL in patients</w:t>
      </w:r>
      <w:r>
        <w:rPr>
          <w:bCs/>
          <w:sz w:val="20"/>
          <w:szCs w:val="20"/>
        </w:rPr>
        <w:t xml:space="preserve"> was greater in men (53.1%). In addition, 22% of patients had </w:t>
      </w:r>
      <w:proofErr w:type="spellStart"/>
      <w:r>
        <w:rPr>
          <w:bCs/>
          <w:sz w:val="20"/>
          <w:szCs w:val="20"/>
        </w:rPr>
        <w:t>extranodal</w:t>
      </w:r>
      <w:proofErr w:type="spellEnd"/>
      <w:r>
        <w:rPr>
          <w:bCs/>
          <w:sz w:val="20"/>
          <w:szCs w:val="20"/>
        </w:rPr>
        <w:t xml:space="preserve"> involvement, which was more common in men. Most other investigations support this as well [12,13].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Our study's lower median age and higher DLBCL predominance may be related to epidemi</w:t>
      </w:r>
      <w:r>
        <w:rPr>
          <w:bCs/>
          <w:sz w:val="20"/>
          <w:szCs w:val="20"/>
        </w:rPr>
        <w:t xml:space="preserve">ological factors like the prevalence of viral infections. A higher risk of developing lymphomas is linked to immunosuppressive diseases such as autoimmune diseases, organ transplants, and primary or acquired </w:t>
      </w:r>
      <w:proofErr w:type="spellStart"/>
      <w:r>
        <w:rPr>
          <w:bCs/>
          <w:sz w:val="20"/>
          <w:szCs w:val="20"/>
        </w:rPr>
        <w:t>immunodeficiencies</w:t>
      </w:r>
      <w:proofErr w:type="spellEnd"/>
      <w:r>
        <w:rPr>
          <w:bCs/>
          <w:sz w:val="20"/>
          <w:szCs w:val="20"/>
        </w:rPr>
        <w:t>, as well as chronic viral inf</w:t>
      </w:r>
      <w:r>
        <w:rPr>
          <w:bCs/>
          <w:sz w:val="20"/>
          <w:szCs w:val="20"/>
        </w:rPr>
        <w:t xml:space="preserve">ections. Helicobacter pylori, Epstein-Barr </w:t>
      </w:r>
      <w:r>
        <w:rPr>
          <w:bCs/>
          <w:sz w:val="20"/>
          <w:szCs w:val="20"/>
        </w:rPr>
        <w:lastRenderedPageBreak/>
        <w:t>virus (EBV), and hepatitis C virus (HCV) are among the infectious agents that have been connected to the risk of lymphoma [14].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This was noted in our study, where 23.6% of patients tested positive for HCV, a rate </w:t>
      </w:r>
      <w:r>
        <w:rPr>
          <w:bCs/>
          <w:sz w:val="20"/>
          <w:szCs w:val="20"/>
        </w:rPr>
        <w:t>significantly higher in the west where a sizable epidemiological study had reinforced the association between HCV and B-NHL. The prevalence of HCV infection in B-NHL was found in 5542 patients in 48 studies, with a mean HCV infection rate of 13%, according</w:t>
      </w:r>
      <w:r>
        <w:rPr>
          <w:bCs/>
          <w:sz w:val="20"/>
          <w:szCs w:val="20"/>
        </w:rPr>
        <w:t xml:space="preserve"> to a systematic review published by </w:t>
      </w:r>
      <w:proofErr w:type="spellStart"/>
      <w:r>
        <w:rPr>
          <w:bCs/>
          <w:sz w:val="20"/>
          <w:szCs w:val="20"/>
        </w:rPr>
        <w:t>Gisbert</w:t>
      </w:r>
      <w:proofErr w:type="spellEnd"/>
      <w:r>
        <w:rPr>
          <w:bCs/>
          <w:sz w:val="20"/>
          <w:szCs w:val="20"/>
        </w:rPr>
        <w:t xml:space="preserve"> et al. HCV prevalence in B-NHL was 17% in another ten case-control series, while it was 1.5% in healthy controls [15].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In terms of performance status, our findings indicate that 65.6% of our patients had good EC</w:t>
      </w:r>
      <w:r>
        <w:rPr>
          <w:bCs/>
          <w:sz w:val="20"/>
          <w:szCs w:val="20"/>
        </w:rPr>
        <w:t>OG performance scores (≤1), and that their CR rates were significantly higher than those of patients with poor PS (≥2).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According to numerous studies, the most common site was the GIT, and in our study, the percentage of patients with </w:t>
      </w:r>
      <w:proofErr w:type="spellStart"/>
      <w:r>
        <w:rPr>
          <w:bCs/>
          <w:sz w:val="20"/>
          <w:szCs w:val="20"/>
        </w:rPr>
        <w:t>extranodal</w:t>
      </w:r>
      <w:proofErr w:type="spellEnd"/>
      <w:r>
        <w:rPr>
          <w:bCs/>
          <w:sz w:val="20"/>
          <w:szCs w:val="20"/>
        </w:rPr>
        <w:t xml:space="preserve"> involvemen</w:t>
      </w:r>
      <w:r>
        <w:rPr>
          <w:bCs/>
          <w:sz w:val="20"/>
          <w:szCs w:val="20"/>
        </w:rPr>
        <w:t xml:space="preserve">t accounted for 22% of all patients (12). In our study, patients in the </w:t>
      </w:r>
      <w:proofErr w:type="spellStart"/>
      <w:r>
        <w:rPr>
          <w:bCs/>
          <w:sz w:val="20"/>
          <w:szCs w:val="20"/>
        </w:rPr>
        <w:t>extranodal</w:t>
      </w:r>
      <w:proofErr w:type="spellEnd"/>
      <w:r>
        <w:rPr>
          <w:bCs/>
          <w:sz w:val="20"/>
          <w:szCs w:val="20"/>
        </w:rPr>
        <w:t xml:space="preserve"> group showed noticeably worse performance status when compared to the nodal group. This is consistent with findings from </w:t>
      </w:r>
      <w:proofErr w:type="spellStart"/>
      <w:r>
        <w:rPr>
          <w:bCs/>
          <w:sz w:val="20"/>
          <w:szCs w:val="20"/>
        </w:rPr>
        <w:t>Shuna</w:t>
      </w:r>
      <w:proofErr w:type="spellEnd"/>
      <w:r>
        <w:rPr>
          <w:bCs/>
          <w:sz w:val="20"/>
          <w:szCs w:val="20"/>
        </w:rPr>
        <w:t xml:space="preserve"> Yao et </w:t>
      </w:r>
      <w:proofErr w:type="spellStart"/>
      <w:r>
        <w:rPr>
          <w:bCs/>
          <w:sz w:val="20"/>
          <w:szCs w:val="20"/>
        </w:rPr>
        <w:t>al's</w:t>
      </w:r>
      <w:proofErr w:type="spellEnd"/>
      <w:r>
        <w:rPr>
          <w:bCs/>
          <w:sz w:val="20"/>
          <w:szCs w:val="20"/>
        </w:rPr>
        <w:t xml:space="preserve"> study (16). However, other researc</w:t>
      </w:r>
      <w:r>
        <w:rPr>
          <w:bCs/>
          <w:sz w:val="20"/>
          <w:szCs w:val="20"/>
        </w:rPr>
        <w:t>h revealed no statistically significant difference in the performance scores of the two groups [12, 13].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percentage of CNS relapse in our patients was 6%, which is consistent with a meta-analysis by C. </w:t>
      </w:r>
      <w:proofErr w:type="spellStart"/>
      <w:r>
        <w:rPr>
          <w:bCs/>
          <w:sz w:val="20"/>
          <w:szCs w:val="20"/>
        </w:rPr>
        <w:t>Meert</w:t>
      </w:r>
      <w:proofErr w:type="spellEnd"/>
      <w:r>
        <w:rPr>
          <w:bCs/>
          <w:sz w:val="20"/>
          <w:szCs w:val="20"/>
        </w:rPr>
        <w:t xml:space="preserve"> et al. that found that the incidence of CNS </w:t>
      </w:r>
      <w:r>
        <w:rPr>
          <w:bCs/>
          <w:sz w:val="20"/>
          <w:szCs w:val="20"/>
        </w:rPr>
        <w:t>relapse ranged between 2-6% based on the results of five studies and the impact of CNS prophylaxis [17]. However, the frequency of CNS disease in DLBCL cases with MYC rearrangement varies from 9% to 45%, especially when linked to either BCL-2 or BCL-6 gene</w:t>
      </w:r>
      <w:r>
        <w:rPr>
          <w:bCs/>
          <w:sz w:val="20"/>
          <w:szCs w:val="20"/>
        </w:rPr>
        <w:t xml:space="preserve"> rearrangements [18].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Our research revealed a trend toward statistical significance in the likelihood of CNS relapse in patients with intermediate or high CNS-IPI. There were conflicting findings regarding the reduction of CNS relapse incidence through CNS</w:t>
      </w:r>
      <w:r>
        <w:rPr>
          <w:bCs/>
          <w:sz w:val="20"/>
          <w:szCs w:val="20"/>
        </w:rPr>
        <w:t xml:space="preserve"> prophylaxis. Actually, some research has not demonstrated any benefit in terms of prevention [4, 17, 18].</w:t>
      </w:r>
    </w:p>
    <w:p w:rsidR="00145110" w:rsidRDefault="00B325BC">
      <w:pPr>
        <w:snapToGrid w:val="0"/>
        <w:spacing w:after="0" w:line="240" w:lineRule="auto"/>
        <w:ind w:right="4"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 our study, 21.4% of patients experienced complete remission following CHOP treatment (p-value = 0.001). Additionally, the response rate was 35.7%,</w:t>
      </w:r>
      <w:r>
        <w:rPr>
          <w:rFonts w:ascii="Times New Roman" w:hAnsi="Times New Roman" w:cs="Times New Roman"/>
          <w:bCs/>
          <w:sz w:val="20"/>
          <w:szCs w:val="20"/>
        </w:rPr>
        <w:t xml:space="preserve"> which is comparable to the majority of outcomes (30–35%) reported in trials using first-generation regimens [19].</w:t>
      </w:r>
    </w:p>
    <w:p w:rsidR="00145110" w:rsidRDefault="00B325BC">
      <w:pPr>
        <w:snapToGrid w:val="0"/>
        <w:spacing w:after="0" w:line="240" w:lineRule="auto"/>
        <w:ind w:right="4"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According to our findings, adding rituximab to CHOP (R-CHOP) greatly raised the CR to 60.1%. Moreover, response rates increased, with R-CHOP </w:t>
      </w:r>
      <w:r>
        <w:rPr>
          <w:rFonts w:ascii="Times New Roman" w:hAnsi="Times New Roman" w:cs="Times New Roman"/>
          <w:bCs/>
          <w:sz w:val="20"/>
          <w:szCs w:val="20"/>
        </w:rPr>
        <w:t>rising to 82%. Nearly all of the studies highlighting the impact of rituximab show this increase [20, 21, 22,23].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bookmarkStart w:id="2" w:name="_Hlk72919628"/>
      <w:r>
        <w:rPr>
          <w:bCs/>
          <w:sz w:val="20"/>
          <w:szCs w:val="20"/>
        </w:rPr>
        <w:t xml:space="preserve">Furthermore, in our investigation, patients who </w:t>
      </w:r>
      <w:r>
        <w:rPr>
          <w:bCs/>
          <w:sz w:val="20"/>
          <w:szCs w:val="20"/>
        </w:rPr>
        <w:lastRenderedPageBreak/>
        <w:t>received at least three cycles of Rituximab significantly experienced complete response (CR) i</w:t>
      </w:r>
      <w:r>
        <w:rPr>
          <w:bCs/>
          <w:sz w:val="20"/>
          <w:szCs w:val="20"/>
        </w:rPr>
        <w:t>n 65% of cases, compared to 20% of patients who received fewer than three cycles.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PFS data showed that patients who experienced complete remission (CR) following first line of treatment had a median PFS of 13.5 months, while patients who did not show any r</w:t>
      </w:r>
      <w:r>
        <w:rPr>
          <w:bCs/>
          <w:sz w:val="20"/>
          <w:szCs w:val="20"/>
        </w:rPr>
        <w:t>esponse had a median PFS of 5 months (p value &lt;0.0001).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Based on our analysis, patients who received at least three cycles of Rituximab had a PFS that was numerically higher (10.5 months) compared to those who did not complete three cycles (5 months)</w:t>
      </w:r>
      <w:bookmarkEnd w:id="2"/>
      <w:r>
        <w:rPr>
          <w:bCs/>
          <w:sz w:val="20"/>
          <w:szCs w:val="20"/>
        </w:rPr>
        <w:t>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However, the response following the first round of chemotherapy had a significant impact on overall survival (OS); the median OS for patients who experienced a favorable response was 20.8 months, while the median OS for patients who did not experience any </w:t>
      </w:r>
      <w:r>
        <w:rPr>
          <w:bCs/>
          <w:sz w:val="20"/>
          <w:szCs w:val="20"/>
        </w:rPr>
        <w:t>response was 8.1 months.</w:t>
      </w:r>
    </w:p>
    <w:p w:rsidR="00145110" w:rsidRDefault="00B325BC">
      <w:pPr>
        <w:pStyle w:val="BodyText"/>
        <w:snapToGrid w:val="0"/>
        <w:ind w:right="4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Furthermore, the OS for the Rituximab plus chemotherapy group was significantly longer, with a median of 16.6 months, compared to 13.2 months for the chemotherapy alone arm.</w:t>
      </w:r>
    </w:p>
    <w:p w:rsidR="00145110" w:rsidRDefault="00145110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19._Conclusions"/>
      <w:bookmarkEnd w:id="3"/>
    </w:p>
    <w:p w:rsidR="00145110" w:rsidRDefault="00B325BC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Conclusion:</w:t>
      </w:r>
    </w:p>
    <w:p w:rsidR="00145110" w:rsidRDefault="00B325BC">
      <w:pPr>
        <w:pStyle w:val="BodyText"/>
        <w:snapToGrid w:val="0"/>
        <w:ind w:right="4" w:firstLine="426"/>
        <w:jc w:val="both"/>
        <w:rPr>
          <w:sz w:val="20"/>
          <w:szCs w:val="20"/>
        </w:rPr>
      </w:pPr>
      <w:r>
        <w:rPr>
          <w:sz w:val="20"/>
          <w:szCs w:val="20"/>
        </w:rPr>
        <w:t>Worldwide, non-Hodgkin lymphoma (NHL) is the</w:t>
      </w:r>
      <w:r>
        <w:rPr>
          <w:sz w:val="20"/>
          <w:szCs w:val="20"/>
        </w:rPr>
        <w:t xml:space="preserve"> most prevalent hematologic cancer. It has more than 40 major subtypes, each with unique morphological, genetic, and clinical characteristics. The most prevalent lymphoma subtype in our study, accounting for 43% of the patients, was DLBCL.</w:t>
      </w:r>
    </w:p>
    <w:p w:rsidR="00145110" w:rsidRDefault="00B325BC">
      <w:pPr>
        <w:snapToGrid w:val="0"/>
        <w:spacing w:after="0" w:line="240" w:lineRule="auto"/>
        <w:ind w:right="4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Twenty-two perce</w:t>
      </w:r>
      <w:r>
        <w:rPr>
          <w:rFonts w:ascii="Times New Roman" w:eastAsia="Times New Roman" w:hAnsi="Times New Roman" w:cs="Times New Roman"/>
          <w:sz w:val="20"/>
          <w:szCs w:val="20"/>
        </w:rPr>
        <w:t>nt of our patients had extra nodal involvement, with the GIT being the most common site.</w:t>
      </w:r>
    </w:p>
    <w:p w:rsidR="00145110" w:rsidRDefault="00B325BC">
      <w:pPr>
        <w:snapToGrid w:val="0"/>
        <w:spacing w:after="0" w:line="240" w:lineRule="auto"/>
        <w:ind w:right="4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Patients who had received Rituximab, especially with three or more cycles, along with chemotherapy regimens had improved both CR and ORR. Furthermore, compared to chem</w:t>
      </w:r>
      <w:r>
        <w:rPr>
          <w:rFonts w:ascii="Times New Roman" w:eastAsia="Times New Roman" w:hAnsi="Times New Roman" w:cs="Times New Roman"/>
          <w:sz w:val="20"/>
          <w:szCs w:val="20"/>
        </w:rPr>
        <w:t>otherapy alone, Rituximab plus chemotherapy had a noticeably longer overall survival.</w:t>
      </w:r>
    </w:p>
    <w:p w:rsidR="00145110" w:rsidRDefault="00B325BC">
      <w:pPr>
        <w:snapToGrid w:val="0"/>
        <w:spacing w:after="0" w:line="240" w:lineRule="auto"/>
        <w:ind w:right="4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Regarding CNS relapse and the impact of CNS IPI, we found that patients with intermediate or high CNS-IPI were at a higher risk of experiencing CNS relapse, with 6% of ou</w:t>
      </w:r>
      <w:r>
        <w:rPr>
          <w:rFonts w:ascii="Times New Roman" w:eastAsia="Times New Roman" w:hAnsi="Times New Roman" w:cs="Times New Roman"/>
          <w:sz w:val="20"/>
          <w:szCs w:val="20"/>
        </w:rPr>
        <w:t>r patients experiencing CNS relapse.</w:t>
      </w:r>
    </w:p>
    <w:p w:rsidR="00145110" w:rsidRDefault="00145110">
      <w:pPr>
        <w:pStyle w:val="Heading2"/>
        <w:snapToGrid w:val="0"/>
        <w:spacing w:before="0"/>
        <w:jc w:val="both"/>
        <w:rPr>
          <w:rFonts w:ascii="Times New Roman" w:hAnsi="Times New Roman" w:cs="Times New Roman"/>
          <w:b/>
          <w:sz w:val="20"/>
          <w:szCs w:val="20"/>
          <w:u w:val="none"/>
        </w:rPr>
      </w:pPr>
    </w:p>
    <w:p w:rsidR="00145110" w:rsidRDefault="00B325BC">
      <w:pPr>
        <w:pStyle w:val="Heading2"/>
        <w:snapToGrid w:val="0"/>
        <w:spacing w:before="0"/>
        <w:ind w:left="0"/>
        <w:jc w:val="both"/>
        <w:rPr>
          <w:rFonts w:ascii="Times New Roman" w:hAnsi="Times New Roman" w:cs="Times New Roman"/>
          <w:b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sz w:val="20"/>
          <w:szCs w:val="20"/>
          <w:u w:val="none"/>
        </w:rPr>
        <w:t>References: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Krishana</w:t>
      </w:r>
      <w:proofErr w:type="spellEnd"/>
      <w:r>
        <w:rPr>
          <w:bCs/>
          <w:sz w:val="20"/>
          <w:szCs w:val="20"/>
        </w:rPr>
        <w:t xml:space="preserve"> C, Adam B, </w:t>
      </w:r>
      <w:proofErr w:type="spellStart"/>
      <w:r>
        <w:rPr>
          <w:bCs/>
          <w:sz w:val="20"/>
          <w:szCs w:val="20"/>
        </w:rPr>
        <w:t>sandeep</w:t>
      </w:r>
      <w:proofErr w:type="spellEnd"/>
      <w:r>
        <w:rPr>
          <w:bCs/>
          <w:sz w:val="20"/>
          <w:szCs w:val="20"/>
        </w:rPr>
        <w:t xml:space="preserve"> A, Alexander B, and </w:t>
      </w:r>
      <w:proofErr w:type="spellStart"/>
      <w:r>
        <w:rPr>
          <w:bCs/>
          <w:sz w:val="20"/>
          <w:szCs w:val="20"/>
        </w:rPr>
        <w:t>Prashanth</w:t>
      </w:r>
      <w:proofErr w:type="spellEnd"/>
      <w:r>
        <w:rPr>
          <w:bCs/>
          <w:sz w:val="20"/>
          <w:szCs w:val="20"/>
        </w:rPr>
        <w:t xml:space="preserve"> R. Epidemiology of the non-Hodgkin’s lymphomas. Med </w:t>
      </w:r>
      <w:proofErr w:type="spellStart"/>
      <w:r>
        <w:rPr>
          <w:bCs/>
          <w:sz w:val="20"/>
          <w:szCs w:val="20"/>
        </w:rPr>
        <w:t>sci</w:t>
      </w:r>
      <w:proofErr w:type="spellEnd"/>
      <w:r>
        <w:rPr>
          <w:bCs/>
          <w:sz w:val="20"/>
          <w:szCs w:val="20"/>
        </w:rPr>
        <w:t xml:space="preserve"> (Basel); 2021 Mar; 9 (1):5. 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Hochberg J, El-</w:t>
      </w:r>
      <w:proofErr w:type="spellStart"/>
      <w:r>
        <w:rPr>
          <w:bCs/>
          <w:sz w:val="20"/>
          <w:szCs w:val="20"/>
        </w:rPr>
        <w:t>Mallawany</w:t>
      </w:r>
      <w:proofErr w:type="spellEnd"/>
      <w:r>
        <w:rPr>
          <w:bCs/>
          <w:sz w:val="20"/>
          <w:szCs w:val="20"/>
        </w:rPr>
        <w:t xml:space="preserve"> N.K. &amp; </w:t>
      </w:r>
      <w:proofErr w:type="spellStart"/>
      <w:r>
        <w:rPr>
          <w:bCs/>
          <w:sz w:val="20"/>
          <w:szCs w:val="20"/>
        </w:rPr>
        <w:t>Abla</w:t>
      </w:r>
      <w:proofErr w:type="spellEnd"/>
      <w:r>
        <w:rPr>
          <w:bCs/>
          <w:sz w:val="20"/>
          <w:szCs w:val="20"/>
        </w:rPr>
        <w:t xml:space="preserve"> O. Adolescent and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young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ad</w:t>
      </w:r>
      <w:r>
        <w:rPr>
          <w:bCs/>
          <w:sz w:val="20"/>
          <w:szCs w:val="20"/>
        </w:rPr>
        <w:t>ult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non-Hodgkin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lymphoma.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In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British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Journal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of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Haematology</w:t>
      </w:r>
      <w:proofErr w:type="spellEnd"/>
      <w:r>
        <w:rPr>
          <w:bCs/>
          <w:sz w:val="20"/>
          <w:szCs w:val="20"/>
        </w:rPr>
        <w:t>; 2018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(Vol.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173,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Issue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4,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pp.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637–650).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Blackwell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Publishing</w:t>
      </w:r>
      <w:r>
        <w:rPr>
          <w:bCs/>
          <w:spacing w:val="-2"/>
          <w:sz w:val="20"/>
          <w:szCs w:val="20"/>
        </w:rPr>
        <w:t xml:space="preserve"> </w:t>
      </w:r>
      <w:r>
        <w:rPr>
          <w:bCs/>
          <w:sz w:val="20"/>
          <w:szCs w:val="20"/>
        </w:rPr>
        <w:t>Ltd.</w:t>
      </w:r>
      <w:r>
        <w:rPr>
          <w:bCs/>
          <w:spacing w:val="-2"/>
          <w:sz w:val="20"/>
          <w:szCs w:val="20"/>
        </w:rPr>
        <w:t xml:space="preserve"> </w:t>
      </w:r>
      <w:r>
        <w:rPr>
          <w:bCs/>
          <w:sz w:val="20"/>
          <w:szCs w:val="20"/>
        </w:rPr>
        <w:t>https://doi.org/10.1111/bjh.14074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lastRenderedPageBreak/>
        <w:t>Amal</w:t>
      </w:r>
      <w:proofErr w:type="spellEnd"/>
      <w:r>
        <w:rPr>
          <w:bCs/>
          <w:sz w:val="20"/>
          <w:szCs w:val="20"/>
        </w:rPr>
        <w:t xml:space="preserve"> S., Hussein M., </w:t>
      </w:r>
      <w:proofErr w:type="spellStart"/>
      <w:r>
        <w:rPr>
          <w:bCs/>
          <w:sz w:val="20"/>
          <w:szCs w:val="20"/>
        </w:rPr>
        <w:t>Nabiel</w:t>
      </w:r>
      <w:proofErr w:type="spellEnd"/>
      <w:r>
        <w:rPr>
          <w:bCs/>
          <w:sz w:val="20"/>
          <w:szCs w:val="20"/>
        </w:rPr>
        <w:t xml:space="preserve"> M., </w:t>
      </w:r>
      <w:proofErr w:type="spellStart"/>
      <w:r>
        <w:rPr>
          <w:bCs/>
          <w:sz w:val="20"/>
          <w:szCs w:val="20"/>
        </w:rPr>
        <w:t>Hoda</w:t>
      </w:r>
      <w:proofErr w:type="spellEnd"/>
      <w:r>
        <w:rPr>
          <w:bCs/>
          <w:sz w:val="20"/>
          <w:szCs w:val="20"/>
        </w:rPr>
        <w:t xml:space="preserve"> B. and </w:t>
      </w:r>
      <w:proofErr w:type="spellStart"/>
      <w:r>
        <w:rPr>
          <w:bCs/>
          <w:sz w:val="20"/>
          <w:szCs w:val="20"/>
        </w:rPr>
        <w:t>Hossam</w:t>
      </w:r>
      <w:proofErr w:type="spellEnd"/>
      <w:r>
        <w:rPr>
          <w:bCs/>
          <w:sz w:val="20"/>
          <w:szCs w:val="20"/>
        </w:rPr>
        <w:t xml:space="preserve"> K. Cancer incidence in Egypt: results of the </w:t>
      </w:r>
      <w:r>
        <w:rPr>
          <w:bCs/>
          <w:sz w:val="20"/>
          <w:szCs w:val="20"/>
        </w:rPr>
        <w:t xml:space="preserve">national population- based cancer registry program. J Cancer </w:t>
      </w:r>
      <w:proofErr w:type="spellStart"/>
      <w:r>
        <w:rPr>
          <w:bCs/>
          <w:sz w:val="20"/>
          <w:szCs w:val="20"/>
        </w:rPr>
        <w:t>Epidemiol</w:t>
      </w:r>
      <w:proofErr w:type="spellEnd"/>
      <w:r>
        <w:rPr>
          <w:bCs/>
          <w:sz w:val="20"/>
          <w:szCs w:val="20"/>
        </w:rPr>
        <w:t xml:space="preserve">. 2014; 2014: 437971. </w:t>
      </w:r>
      <w:proofErr w:type="spellStart"/>
      <w:r>
        <w:rPr>
          <w:bCs/>
          <w:sz w:val="20"/>
          <w:szCs w:val="20"/>
        </w:rPr>
        <w:t>Doi</w:t>
      </w:r>
      <w:proofErr w:type="spellEnd"/>
      <w:r>
        <w:rPr>
          <w:bCs/>
          <w:sz w:val="20"/>
          <w:szCs w:val="20"/>
        </w:rPr>
        <w:t>: 10.1155/2014/437971.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Boehme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V,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Zeynalova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S,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Lengfelder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E,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Franke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A,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Reiser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M,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Steinhauer</w:t>
      </w:r>
      <w:proofErr w:type="spellEnd"/>
      <w:r>
        <w:rPr>
          <w:bCs/>
          <w:sz w:val="20"/>
          <w:szCs w:val="20"/>
        </w:rPr>
        <w:t xml:space="preserve"> H, Clemens M, </w:t>
      </w:r>
      <w:proofErr w:type="spellStart"/>
      <w:r>
        <w:rPr>
          <w:bCs/>
          <w:sz w:val="20"/>
          <w:szCs w:val="20"/>
        </w:rPr>
        <w:t>Nickenig</w:t>
      </w:r>
      <w:proofErr w:type="spellEnd"/>
      <w:r>
        <w:rPr>
          <w:bCs/>
          <w:sz w:val="20"/>
          <w:szCs w:val="20"/>
        </w:rPr>
        <w:t xml:space="preserve"> C, Witt M, </w:t>
      </w:r>
      <w:proofErr w:type="spellStart"/>
      <w:r>
        <w:rPr>
          <w:bCs/>
          <w:sz w:val="20"/>
          <w:szCs w:val="20"/>
        </w:rPr>
        <w:t>Loeffler</w:t>
      </w:r>
      <w:proofErr w:type="spellEnd"/>
      <w:r>
        <w:rPr>
          <w:bCs/>
          <w:sz w:val="20"/>
          <w:szCs w:val="20"/>
        </w:rPr>
        <w:t xml:space="preserve"> M,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Pfreundschuh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M.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&amp;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Schmit</w:t>
      </w:r>
      <w:r>
        <w:rPr>
          <w:bCs/>
          <w:sz w:val="20"/>
          <w:szCs w:val="20"/>
        </w:rPr>
        <w:t>z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N.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(2007).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CNS-Disease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in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elderly patients treated with modern chemotherapy (CHOP-14)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with or without rituximab: an analysis of CNS events in the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RICOVER-60 trial of the </w:t>
      </w:r>
      <w:proofErr w:type="spellStart"/>
      <w:r>
        <w:rPr>
          <w:bCs/>
          <w:sz w:val="20"/>
          <w:szCs w:val="20"/>
        </w:rPr>
        <w:t>Gerrman</w:t>
      </w:r>
      <w:proofErr w:type="spellEnd"/>
      <w:r>
        <w:rPr>
          <w:bCs/>
          <w:sz w:val="20"/>
          <w:szCs w:val="20"/>
        </w:rPr>
        <w:t xml:space="preserve"> high-grade non-</w:t>
      </w:r>
      <w:proofErr w:type="spellStart"/>
      <w:r>
        <w:rPr>
          <w:bCs/>
          <w:sz w:val="20"/>
          <w:szCs w:val="20"/>
        </w:rPr>
        <w:t>Hodgkins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lymphoma study group (DSHNHL) [Abstract No. 519]. Bl</w:t>
      </w:r>
      <w:r>
        <w:rPr>
          <w:bCs/>
          <w:sz w:val="20"/>
          <w:szCs w:val="20"/>
        </w:rPr>
        <w:t>ood,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110(11).</w:t>
      </w:r>
      <w:r>
        <w:rPr>
          <w:bCs/>
          <w:spacing w:val="-5"/>
          <w:sz w:val="20"/>
          <w:szCs w:val="20"/>
        </w:rPr>
        <w:t xml:space="preserve"> </w:t>
      </w:r>
      <w:hyperlink r:id="rId23" w:history="1">
        <w:r>
          <w:rPr>
            <w:rStyle w:val="Hyperlink"/>
            <w:rFonts w:eastAsia="Bookman Old Style"/>
            <w:bCs/>
            <w:sz w:val="20"/>
            <w:szCs w:val="20"/>
            <w:u w:val="none"/>
          </w:rPr>
          <w:t>https://doi.org/10.1182/blood-2008-10-182253</w:t>
        </w:r>
      </w:hyperlink>
      <w:r>
        <w:rPr>
          <w:bCs/>
          <w:sz w:val="20"/>
          <w:szCs w:val="20"/>
        </w:rPr>
        <w:t>.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Steven B, Joseph U, Michel L., Jonathan f., Thomas M. and Richer F. Natural history of CNS relapse in patients with aggressive </w:t>
      </w:r>
      <w:r>
        <w:rPr>
          <w:bCs/>
          <w:sz w:val="20"/>
          <w:szCs w:val="20"/>
        </w:rPr>
        <w:t>non-</w:t>
      </w:r>
      <w:proofErr w:type="spellStart"/>
      <w:r>
        <w:rPr>
          <w:bCs/>
          <w:sz w:val="20"/>
          <w:szCs w:val="20"/>
        </w:rPr>
        <w:t>hodgkin’s</w:t>
      </w:r>
      <w:proofErr w:type="spellEnd"/>
      <w:r>
        <w:rPr>
          <w:bCs/>
          <w:sz w:val="20"/>
          <w:szCs w:val="20"/>
        </w:rPr>
        <w:t xml:space="preserve"> lymphoma: a 20-year follow up analysis SWOG 8516--- the Southwest Oncology Group: J </w:t>
      </w:r>
      <w:proofErr w:type="spellStart"/>
      <w:r>
        <w:rPr>
          <w:bCs/>
          <w:sz w:val="20"/>
          <w:szCs w:val="20"/>
        </w:rPr>
        <w:t>Clin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Oncol</w:t>
      </w:r>
      <w:proofErr w:type="spellEnd"/>
      <w:r>
        <w:rPr>
          <w:bCs/>
          <w:sz w:val="20"/>
          <w:szCs w:val="20"/>
        </w:rPr>
        <w:t xml:space="preserve">. 2009 Jan1; 27 (1): 114-9. </w:t>
      </w:r>
      <w:proofErr w:type="spellStart"/>
      <w:r>
        <w:rPr>
          <w:bCs/>
          <w:sz w:val="20"/>
          <w:szCs w:val="20"/>
        </w:rPr>
        <w:t>Doi</w:t>
      </w:r>
      <w:proofErr w:type="spellEnd"/>
      <w:r>
        <w:rPr>
          <w:bCs/>
          <w:sz w:val="20"/>
          <w:szCs w:val="20"/>
        </w:rPr>
        <w:t>: 10.1200/jco.2008.16.8021.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Sandra Q., Antonio P., Juan M, et al: Identification of leptomeningeal disease in aggress</w:t>
      </w:r>
      <w:r>
        <w:rPr>
          <w:bCs/>
          <w:sz w:val="20"/>
          <w:szCs w:val="20"/>
        </w:rPr>
        <w:t>ive B-cell non-</w:t>
      </w:r>
      <w:proofErr w:type="spellStart"/>
      <w:r>
        <w:rPr>
          <w:bCs/>
          <w:sz w:val="20"/>
          <w:szCs w:val="20"/>
        </w:rPr>
        <w:t>hodgkin’s</w:t>
      </w:r>
      <w:proofErr w:type="spellEnd"/>
      <w:r>
        <w:rPr>
          <w:bCs/>
          <w:sz w:val="20"/>
          <w:szCs w:val="20"/>
        </w:rPr>
        <w:t xml:space="preserve"> lymphoma: improve sensitivity of flow cytometry: J </w:t>
      </w:r>
      <w:proofErr w:type="spellStart"/>
      <w:r>
        <w:rPr>
          <w:bCs/>
          <w:sz w:val="20"/>
          <w:szCs w:val="20"/>
        </w:rPr>
        <w:t>Clin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Oncol</w:t>
      </w:r>
      <w:proofErr w:type="spellEnd"/>
      <w:r>
        <w:rPr>
          <w:bCs/>
          <w:sz w:val="20"/>
          <w:szCs w:val="20"/>
        </w:rPr>
        <w:t xml:space="preserve">. 2009 March; 27(9). </w:t>
      </w:r>
      <w:proofErr w:type="spellStart"/>
      <w:r>
        <w:rPr>
          <w:bCs/>
          <w:sz w:val="20"/>
          <w:szCs w:val="20"/>
        </w:rPr>
        <w:t>Doi</w:t>
      </w:r>
      <w:proofErr w:type="spellEnd"/>
      <w:r>
        <w:rPr>
          <w:bCs/>
          <w:sz w:val="20"/>
          <w:szCs w:val="20"/>
        </w:rPr>
        <w:t xml:space="preserve">: 10.1200/JCO.2008.17.7089. </w:t>
      </w:r>
    </w:p>
    <w:p w:rsidR="00145110" w:rsidRDefault="00B325BC">
      <w:pPr>
        <w:pStyle w:val="BodyText"/>
        <w:numPr>
          <w:ilvl w:val="0"/>
          <w:numId w:val="3"/>
        </w:numPr>
        <w:snapToGrid w:val="0"/>
        <w:ind w:left="363" w:hanging="363"/>
        <w:jc w:val="both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Köhler</w:t>
      </w:r>
      <w:proofErr w:type="spellEnd"/>
      <w:r>
        <w:rPr>
          <w:bCs/>
          <w:sz w:val="20"/>
          <w:szCs w:val="20"/>
        </w:rPr>
        <w:t xml:space="preserve"> G. &amp; Milstein C. (1975). Continuous cultures of fused cells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secreting antibody of predefined specificity. </w:t>
      </w:r>
      <w:r>
        <w:rPr>
          <w:bCs/>
          <w:sz w:val="20"/>
          <w:szCs w:val="20"/>
        </w:rPr>
        <w:t>Nature, 256(5517),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495–497.</w:t>
      </w:r>
      <w:r>
        <w:rPr>
          <w:bCs/>
          <w:spacing w:val="-3"/>
          <w:sz w:val="20"/>
          <w:szCs w:val="20"/>
        </w:rPr>
        <w:t xml:space="preserve"> </w:t>
      </w:r>
      <w:r>
        <w:rPr>
          <w:bCs/>
          <w:sz w:val="20"/>
          <w:szCs w:val="20"/>
        </w:rPr>
        <w:t>https://doi.org/10.1038/256495a0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Maloney D.G, Smith B. &amp; Rose A. (2002). Rituximab: Mechanism of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action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and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resistance.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Seminars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in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Oncology,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29(1S2),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2–9.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https://doi.org/10.1053/sonc.2002.30156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Abulayha</w:t>
      </w:r>
      <w:proofErr w:type="spellEnd"/>
      <w:r>
        <w:rPr>
          <w:bCs/>
          <w:spacing w:val="66"/>
          <w:sz w:val="20"/>
          <w:szCs w:val="20"/>
        </w:rPr>
        <w:t xml:space="preserve"> </w:t>
      </w:r>
      <w:r>
        <w:rPr>
          <w:bCs/>
          <w:sz w:val="20"/>
          <w:szCs w:val="20"/>
        </w:rPr>
        <w:t>A,</w:t>
      </w:r>
      <w:r>
        <w:rPr>
          <w:bCs/>
          <w:spacing w:val="67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Bredan</w:t>
      </w:r>
      <w:proofErr w:type="spellEnd"/>
      <w:r>
        <w:rPr>
          <w:bCs/>
          <w:spacing w:val="67"/>
          <w:sz w:val="20"/>
          <w:szCs w:val="20"/>
        </w:rPr>
        <w:t xml:space="preserve"> </w:t>
      </w:r>
      <w:r>
        <w:rPr>
          <w:bCs/>
          <w:sz w:val="20"/>
          <w:szCs w:val="20"/>
        </w:rPr>
        <w:t>A,</w:t>
      </w:r>
      <w:r>
        <w:rPr>
          <w:bCs/>
          <w:spacing w:val="66"/>
          <w:sz w:val="20"/>
          <w:szCs w:val="20"/>
        </w:rPr>
        <w:t xml:space="preserve"> </w:t>
      </w:r>
      <w:r>
        <w:rPr>
          <w:bCs/>
          <w:sz w:val="20"/>
          <w:szCs w:val="20"/>
        </w:rPr>
        <w:t>El-</w:t>
      </w:r>
      <w:proofErr w:type="spellStart"/>
      <w:r>
        <w:rPr>
          <w:bCs/>
          <w:sz w:val="20"/>
          <w:szCs w:val="20"/>
        </w:rPr>
        <w:t>Enshasy</w:t>
      </w:r>
      <w:proofErr w:type="spellEnd"/>
      <w:r>
        <w:rPr>
          <w:bCs/>
          <w:spacing w:val="67"/>
          <w:sz w:val="20"/>
          <w:szCs w:val="20"/>
        </w:rPr>
        <w:t xml:space="preserve"> </w:t>
      </w:r>
      <w:r>
        <w:rPr>
          <w:bCs/>
          <w:sz w:val="20"/>
          <w:szCs w:val="20"/>
        </w:rPr>
        <w:t>H.</w:t>
      </w:r>
      <w:r>
        <w:rPr>
          <w:bCs/>
          <w:spacing w:val="66"/>
          <w:sz w:val="20"/>
          <w:szCs w:val="20"/>
        </w:rPr>
        <w:t xml:space="preserve"> </w:t>
      </w:r>
      <w:r>
        <w:rPr>
          <w:bCs/>
          <w:sz w:val="20"/>
          <w:szCs w:val="20"/>
        </w:rPr>
        <w:t>&amp;</w:t>
      </w:r>
      <w:r>
        <w:rPr>
          <w:bCs/>
          <w:spacing w:val="67"/>
          <w:sz w:val="20"/>
          <w:szCs w:val="20"/>
        </w:rPr>
        <w:t xml:space="preserve"> </w:t>
      </w:r>
      <w:r>
        <w:rPr>
          <w:bCs/>
          <w:sz w:val="20"/>
          <w:szCs w:val="20"/>
        </w:rPr>
        <w:t>Daniels,</w:t>
      </w:r>
      <w:r>
        <w:rPr>
          <w:bCs/>
          <w:spacing w:val="66"/>
          <w:sz w:val="20"/>
          <w:szCs w:val="20"/>
        </w:rPr>
        <w:t xml:space="preserve"> </w:t>
      </w:r>
      <w:r>
        <w:rPr>
          <w:bCs/>
          <w:sz w:val="20"/>
          <w:szCs w:val="20"/>
        </w:rPr>
        <w:t>I.</w:t>
      </w:r>
      <w:r>
        <w:rPr>
          <w:bCs/>
          <w:spacing w:val="66"/>
          <w:sz w:val="20"/>
          <w:szCs w:val="20"/>
        </w:rPr>
        <w:t xml:space="preserve"> </w:t>
      </w:r>
      <w:r>
        <w:rPr>
          <w:bCs/>
          <w:sz w:val="20"/>
          <w:szCs w:val="20"/>
        </w:rPr>
        <w:t>(2014).</w:t>
      </w:r>
      <w:r>
        <w:rPr>
          <w:bCs/>
          <w:spacing w:val="-68"/>
          <w:sz w:val="20"/>
          <w:szCs w:val="20"/>
        </w:rPr>
        <w:t xml:space="preserve"> </w:t>
      </w:r>
      <w:r>
        <w:rPr>
          <w:bCs/>
          <w:sz w:val="20"/>
          <w:szCs w:val="20"/>
        </w:rPr>
        <w:t>Rituximab: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Modes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of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action,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remaining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dispute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and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future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perspective. In Future Oncology (Vol. 10, Issue 15, pp. 2481–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2492).</w:t>
      </w:r>
      <w:r>
        <w:rPr>
          <w:bCs/>
          <w:spacing w:val="-5"/>
          <w:sz w:val="20"/>
          <w:szCs w:val="20"/>
        </w:rPr>
        <w:t xml:space="preserve"> </w:t>
      </w:r>
      <w:r>
        <w:rPr>
          <w:bCs/>
          <w:sz w:val="20"/>
          <w:szCs w:val="20"/>
        </w:rPr>
        <w:t>Future</w:t>
      </w:r>
      <w:r>
        <w:rPr>
          <w:bCs/>
          <w:spacing w:val="-5"/>
          <w:sz w:val="20"/>
          <w:szCs w:val="20"/>
        </w:rPr>
        <w:t xml:space="preserve"> </w:t>
      </w:r>
      <w:r>
        <w:rPr>
          <w:bCs/>
          <w:sz w:val="20"/>
          <w:szCs w:val="20"/>
        </w:rPr>
        <w:t>Medicine</w:t>
      </w:r>
      <w:r>
        <w:rPr>
          <w:bCs/>
          <w:spacing w:val="-5"/>
          <w:sz w:val="20"/>
          <w:szCs w:val="20"/>
        </w:rPr>
        <w:t xml:space="preserve"> </w:t>
      </w:r>
      <w:r>
        <w:rPr>
          <w:bCs/>
          <w:sz w:val="20"/>
          <w:szCs w:val="20"/>
        </w:rPr>
        <w:t>Ltd.</w:t>
      </w:r>
      <w:r>
        <w:rPr>
          <w:bCs/>
          <w:spacing w:val="-4"/>
          <w:sz w:val="20"/>
          <w:szCs w:val="20"/>
        </w:rPr>
        <w:t xml:space="preserve"> </w:t>
      </w:r>
      <w:hyperlink r:id="rId24" w:history="1">
        <w:r>
          <w:rPr>
            <w:rStyle w:val="Hyperlink"/>
            <w:bCs/>
            <w:sz w:val="20"/>
            <w:szCs w:val="20"/>
            <w:u w:val="none"/>
          </w:rPr>
          <w:t>https://doi.org/10.2217/fon.14.146</w:t>
        </w:r>
      </w:hyperlink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Amanda D. and </w:t>
      </w:r>
      <w:proofErr w:type="spellStart"/>
      <w:r>
        <w:rPr>
          <w:bCs/>
          <w:sz w:val="20"/>
          <w:szCs w:val="20"/>
        </w:rPr>
        <w:t>Achuta</w:t>
      </w:r>
      <w:proofErr w:type="spellEnd"/>
      <w:r>
        <w:rPr>
          <w:bCs/>
          <w:sz w:val="20"/>
          <w:szCs w:val="20"/>
        </w:rPr>
        <w:t xml:space="preserve"> K. Clinical </w:t>
      </w:r>
      <w:proofErr w:type="spellStart"/>
      <w:r>
        <w:rPr>
          <w:bCs/>
          <w:sz w:val="20"/>
          <w:szCs w:val="20"/>
        </w:rPr>
        <w:t>endpointd</w:t>
      </w:r>
      <w:proofErr w:type="spellEnd"/>
      <w:r>
        <w:rPr>
          <w:bCs/>
          <w:sz w:val="20"/>
          <w:szCs w:val="20"/>
        </w:rPr>
        <w:t xml:space="preserve"> in oncology – a primer. Am J Cancer Res. 2021; 11(4): 1121-1131.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Rita A., Catalina A., </w:t>
      </w:r>
      <w:proofErr w:type="spellStart"/>
      <w:r>
        <w:rPr>
          <w:bCs/>
          <w:sz w:val="20"/>
          <w:szCs w:val="20"/>
        </w:rPr>
        <w:t>Loannis</w:t>
      </w:r>
      <w:proofErr w:type="spellEnd"/>
      <w:r>
        <w:rPr>
          <w:bCs/>
          <w:sz w:val="20"/>
          <w:szCs w:val="20"/>
        </w:rPr>
        <w:t xml:space="preserve"> A. et al. The fifth edition of the WHO classification of </w:t>
      </w:r>
      <w:proofErr w:type="spellStart"/>
      <w:r>
        <w:rPr>
          <w:bCs/>
          <w:sz w:val="20"/>
          <w:szCs w:val="20"/>
        </w:rPr>
        <w:t>haemapoetic</w:t>
      </w:r>
      <w:proofErr w:type="spellEnd"/>
      <w:r>
        <w:rPr>
          <w:bCs/>
          <w:sz w:val="20"/>
          <w:szCs w:val="20"/>
        </w:rPr>
        <w:t xml:space="preserve"> tumors: lymphoid neoplasms. LYMPHOMA; June 202</w:t>
      </w:r>
      <w:r>
        <w:rPr>
          <w:bCs/>
          <w:sz w:val="20"/>
          <w:szCs w:val="20"/>
        </w:rPr>
        <w:t>2, 36, 1720-1748.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Castillo J.J, Winer E.S. &amp; </w:t>
      </w:r>
      <w:proofErr w:type="spellStart"/>
      <w:r>
        <w:rPr>
          <w:bCs/>
          <w:sz w:val="20"/>
          <w:szCs w:val="20"/>
        </w:rPr>
        <w:t>Olszewsk</w:t>
      </w:r>
      <w:proofErr w:type="spellEnd"/>
      <w:r>
        <w:rPr>
          <w:bCs/>
          <w:sz w:val="20"/>
          <w:szCs w:val="20"/>
        </w:rPr>
        <w:t xml:space="preserve">, A.J. (2014). Sites of </w:t>
      </w:r>
      <w:proofErr w:type="spellStart"/>
      <w:r>
        <w:rPr>
          <w:bCs/>
          <w:sz w:val="20"/>
          <w:szCs w:val="20"/>
        </w:rPr>
        <w:t>extranodal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involvement are prognostic in patients with diffuse large B-cell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lymphoma</w:t>
      </w:r>
      <w:r>
        <w:rPr>
          <w:bCs/>
          <w:spacing w:val="3"/>
          <w:sz w:val="20"/>
          <w:szCs w:val="20"/>
        </w:rPr>
        <w:t xml:space="preserve"> </w:t>
      </w:r>
      <w:r>
        <w:rPr>
          <w:bCs/>
          <w:sz w:val="20"/>
          <w:szCs w:val="20"/>
        </w:rPr>
        <w:t>in</w:t>
      </w:r>
      <w:r>
        <w:rPr>
          <w:bCs/>
          <w:spacing w:val="4"/>
          <w:sz w:val="20"/>
          <w:szCs w:val="20"/>
        </w:rPr>
        <w:t xml:space="preserve"> </w:t>
      </w:r>
      <w:r>
        <w:rPr>
          <w:bCs/>
          <w:sz w:val="20"/>
          <w:szCs w:val="20"/>
        </w:rPr>
        <w:t>the</w:t>
      </w:r>
      <w:r>
        <w:rPr>
          <w:bCs/>
          <w:spacing w:val="3"/>
          <w:sz w:val="20"/>
          <w:szCs w:val="20"/>
        </w:rPr>
        <w:t xml:space="preserve"> </w:t>
      </w:r>
      <w:r>
        <w:rPr>
          <w:bCs/>
          <w:sz w:val="20"/>
          <w:szCs w:val="20"/>
        </w:rPr>
        <w:t>rituximab</w:t>
      </w:r>
      <w:r>
        <w:rPr>
          <w:bCs/>
          <w:spacing w:val="4"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era</w:t>
      </w:r>
      <w:r>
        <w:rPr>
          <w:bCs/>
          <w:spacing w:val="-15"/>
          <w:sz w:val="20"/>
          <w:szCs w:val="20"/>
        </w:rPr>
        <w:t xml:space="preserve"> </w:t>
      </w:r>
      <w:r>
        <w:rPr>
          <w:bCs/>
          <w:sz w:val="20"/>
          <w:szCs w:val="20"/>
        </w:rPr>
        <w:t>:</w:t>
      </w:r>
      <w:proofErr w:type="gramEnd"/>
      <w:r>
        <w:rPr>
          <w:bCs/>
          <w:spacing w:val="3"/>
          <w:sz w:val="20"/>
          <w:szCs w:val="20"/>
        </w:rPr>
        <w:t xml:space="preserve"> </w:t>
      </w:r>
      <w:r>
        <w:rPr>
          <w:bCs/>
          <w:sz w:val="20"/>
          <w:szCs w:val="20"/>
        </w:rPr>
        <w:t>An</w:t>
      </w:r>
      <w:r>
        <w:rPr>
          <w:bCs/>
          <w:spacing w:val="5"/>
          <w:sz w:val="20"/>
          <w:szCs w:val="20"/>
        </w:rPr>
        <w:t xml:space="preserve"> </w:t>
      </w:r>
      <w:r>
        <w:rPr>
          <w:bCs/>
          <w:sz w:val="20"/>
          <w:szCs w:val="20"/>
        </w:rPr>
        <w:t>analysis</w:t>
      </w:r>
      <w:r>
        <w:rPr>
          <w:bCs/>
          <w:spacing w:val="4"/>
          <w:sz w:val="20"/>
          <w:szCs w:val="20"/>
        </w:rPr>
        <w:t xml:space="preserve"> </w:t>
      </w:r>
      <w:r>
        <w:rPr>
          <w:bCs/>
          <w:sz w:val="20"/>
          <w:szCs w:val="20"/>
        </w:rPr>
        <w:t>of</w:t>
      </w:r>
      <w:r>
        <w:rPr>
          <w:bCs/>
          <w:spacing w:val="4"/>
          <w:sz w:val="20"/>
          <w:szCs w:val="20"/>
        </w:rPr>
        <w:t xml:space="preserve"> </w:t>
      </w:r>
      <w:r>
        <w:rPr>
          <w:bCs/>
          <w:sz w:val="20"/>
          <w:szCs w:val="20"/>
        </w:rPr>
        <w:t>the</w:t>
      </w:r>
      <w:r>
        <w:rPr>
          <w:bCs/>
          <w:spacing w:val="3"/>
          <w:sz w:val="20"/>
          <w:szCs w:val="20"/>
        </w:rPr>
        <w:t xml:space="preserve"> </w:t>
      </w:r>
      <w:r>
        <w:rPr>
          <w:bCs/>
          <w:sz w:val="20"/>
          <w:szCs w:val="20"/>
        </w:rPr>
        <w:t>Surveillance,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Epidemiology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and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End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Results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database.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89(3),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310–314.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https://doi.org/10.1002/ajh.23638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Takahashi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H,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Tomita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N,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Yokoyama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M,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Tsunoda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S,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Yano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T,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Murayama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K,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Hashimoto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C,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Tamura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K,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Sato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K.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&amp;</w:t>
      </w:r>
      <w:r>
        <w:rPr>
          <w:bCs/>
          <w:spacing w:val="-67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Ishigatsubo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Y.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(2012).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Prognostic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impact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of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extranodal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involvement in diffuse large B-cell lymphoma in the</w:t>
      </w:r>
      <w:r>
        <w:rPr>
          <w:bCs/>
          <w:sz w:val="20"/>
          <w:szCs w:val="20"/>
        </w:rPr>
        <w:t xml:space="preserve"> rituximab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era.</w:t>
      </w:r>
      <w:r>
        <w:rPr>
          <w:bCs/>
          <w:spacing w:val="-1"/>
          <w:sz w:val="20"/>
          <w:szCs w:val="20"/>
        </w:rPr>
        <w:t xml:space="preserve"> </w:t>
      </w:r>
      <w:r>
        <w:rPr>
          <w:bCs/>
          <w:sz w:val="20"/>
          <w:szCs w:val="20"/>
        </w:rPr>
        <w:t>Cancer.</w:t>
      </w:r>
      <w:r>
        <w:rPr>
          <w:bCs/>
          <w:spacing w:val="-2"/>
          <w:sz w:val="20"/>
          <w:szCs w:val="20"/>
        </w:rPr>
        <w:t xml:space="preserve"> </w:t>
      </w:r>
      <w:r>
        <w:rPr>
          <w:bCs/>
          <w:sz w:val="20"/>
          <w:szCs w:val="20"/>
        </w:rPr>
        <w:t>https://doi.org/10.1002/cncr.27381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Flowers C.R, Sinha R. &amp; </w:t>
      </w:r>
      <w:proofErr w:type="spellStart"/>
      <w:r>
        <w:rPr>
          <w:bCs/>
          <w:sz w:val="20"/>
          <w:szCs w:val="20"/>
        </w:rPr>
        <w:t>Vose</w:t>
      </w:r>
      <w:proofErr w:type="spellEnd"/>
      <w:r>
        <w:rPr>
          <w:bCs/>
          <w:sz w:val="20"/>
          <w:szCs w:val="20"/>
        </w:rPr>
        <w:t xml:space="preserve"> J.M. (2010). Improving Outcomes for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Patients </w:t>
      </w:r>
      <w:proofErr w:type="gramStart"/>
      <w:r>
        <w:rPr>
          <w:bCs/>
          <w:sz w:val="20"/>
          <w:szCs w:val="20"/>
        </w:rPr>
        <w:t>With</w:t>
      </w:r>
      <w:proofErr w:type="gramEnd"/>
      <w:r>
        <w:rPr>
          <w:bCs/>
          <w:sz w:val="20"/>
          <w:szCs w:val="20"/>
        </w:rPr>
        <w:t xml:space="preserve"> Diffuse Large B-Cell Lymphoma. CA: A Cancer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Journal</w:t>
      </w:r>
      <w:r>
        <w:rPr>
          <w:bCs/>
          <w:spacing w:val="-7"/>
          <w:sz w:val="20"/>
          <w:szCs w:val="20"/>
        </w:rPr>
        <w:t xml:space="preserve"> </w:t>
      </w:r>
      <w:r>
        <w:rPr>
          <w:bCs/>
          <w:sz w:val="20"/>
          <w:szCs w:val="20"/>
        </w:rPr>
        <w:t>for</w:t>
      </w:r>
      <w:r>
        <w:rPr>
          <w:bCs/>
          <w:spacing w:val="-7"/>
          <w:sz w:val="20"/>
          <w:szCs w:val="20"/>
        </w:rPr>
        <w:t xml:space="preserve"> </w:t>
      </w:r>
      <w:r>
        <w:rPr>
          <w:bCs/>
          <w:sz w:val="20"/>
          <w:szCs w:val="20"/>
        </w:rPr>
        <w:t>Clinicians,</w:t>
      </w:r>
      <w:r>
        <w:rPr>
          <w:bCs/>
          <w:spacing w:val="-7"/>
          <w:sz w:val="20"/>
          <w:szCs w:val="20"/>
        </w:rPr>
        <w:t xml:space="preserve"> </w:t>
      </w:r>
      <w:r>
        <w:rPr>
          <w:bCs/>
          <w:sz w:val="20"/>
          <w:szCs w:val="20"/>
        </w:rPr>
        <w:t>60(6).</w:t>
      </w:r>
      <w:r>
        <w:rPr>
          <w:bCs/>
          <w:spacing w:val="-7"/>
          <w:sz w:val="20"/>
          <w:szCs w:val="20"/>
        </w:rPr>
        <w:t xml:space="preserve"> </w:t>
      </w:r>
      <w:r>
        <w:rPr>
          <w:bCs/>
          <w:sz w:val="20"/>
          <w:szCs w:val="20"/>
        </w:rPr>
        <w:t>https://doi.org/10.3322/caac.20087</w:t>
      </w:r>
    </w:p>
    <w:p w:rsidR="00145110" w:rsidRDefault="00B325BC">
      <w:pPr>
        <w:pStyle w:val="Heading6"/>
        <w:numPr>
          <w:ilvl w:val="0"/>
          <w:numId w:val="3"/>
        </w:numPr>
        <w:snapToGrid w:val="0"/>
        <w:ind w:left="363" w:hanging="363"/>
        <w:rPr>
          <w:b w:val="0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Gisbert</w:t>
      </w:r>
      <w:proofErr w:type="spellEnd"/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J.P, </w:t>
      </w:r>
      <w:proofErr w:type="spellStart"/>
      <w:r>
        <w:rPr>
          <w:b w:val="0"/>
          <w:sz w:val="20"/>
          <w:szCs w:val="20"/>
        </w:rPr>
        <w:t>García-Buey</w:t>
      </w:r>
      <w:proofErr w:type="spellEnd"/>
      <w:r>
        <w:rPr>
          <w:b w:val="0"/>
          <w:sz w:val="20"/>
          <w:szCs w:val="20"/>
        </w:rPr>
        <w:t xml:space="preserve"> L, </w:t>
      </w:r>
      <w:proofErr w:type="spellStart"/>
      <w:r>
        <w:rPr>
          <w:b w:val="0"/>
          <w:sz w:val="20"/>
          <w:szCs w:val="20"/>
        </w:rPr>
        <w:t>Arranz</w:t>
      </w:r>
      <w:proofErr w:type="spellEnd"/>
      <w:r>
        <w:rPr>
          <w:b w:val="0"/>
          <w:sz w:val="20"/>
          <w:szCs w:val="20"/>
        </w:rPr>
        <w:t xml:space="preserve"> R., Blas C, Pinilla I, </w:t>
      </w:r>
      <w:proofErr w:type="spellStart"/>
      <w:r>
        <w:rPr>
          <w:b w:val="0"/>
          <w:sz w:val="20"/>
          <w:szCs w:val="20"/>
        </w:rPr>
        <w:t>Khorrami</w:t>
      </w:r>
      <w:proofErr w:type="spellEnd"/>
      <w:r>
        <w:rPr>
          <w:b w:val="0"/>
          <w:sz w:val="20"/>
          <w:szCs w:val="20"/>
        </w:rPr>
        <w:t xml:space="preserve"> S,</w:t>
      </w:r>
      <w:r>
        <w:rPr>
          <w:b w:val="0"/>
          <w:spacing w:val="-67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Acevedo,</w:t>
      </w:r>
      <w:r>
        <w:rPr>
          <w:b w:val="0"/>
          <w:spacing w:val="19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A.,</w:t>
      </w:r>
      <w:r>
        <w:rPr>
          <w:b w:val="0"/>
          <w:spacing w:val="19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Borque</w:t>
      </w:r>
      <w:proofErr w:type="spellEnd"/>
      <w:r>
        <w:rPr>
          <w:b w:val="0"/>
          <w:sz w:val="20"/>
          <w:szCs w:val="20"/>
        </w:rPr>
        <w:t>,</w:t>
      </w:r>
      <w:r>
        <w:rPr>
          <w:b w:val="0"/>
          <w:spacing w:val="18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M.J,</w:t>
      </w:r>
      <w:r>
        <w:rPr>
          <w:b w:val="0"/>
          <w:spacing w:val="19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Pajares</w:t>
      </w:r>
      <w:proofErr w:type="spellEnd"/>
      <w:r>
        <w:rPr>
          <w:b w:val="0"/>
          <w:spacing w:val="18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J.M,</w:t>
      </w:r>
      <w:r>
        <w:rPr>
          <w:b w:val="0"/>
          <w:spacing w:val="17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Fernândez-Rañada</w:t>
      </w:r>
      <w:proofErr w:type="spellEnd"/>
      <w:r>
        <w:rPr>
          <w:b w:val="0"/>
          <w:sz w:val="20"/>
          <w:szCs w:val="20"/>
        </w:rPr>
        <w:t xml:space="preserve"> J.M. &amp; Moreno-Otero, R. (2004). The prevalence of hepatitis</w:t>
      </w:r>
      <w:r>
        <w:rPr>
          <w:b w:val="0"/>
          <w:spacing w:val="1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C virus infection in patients with non-Hodgkin’s lymphoma.</w:t>
      </w:r>
      <w:r>
        <w:rPr>
          <w:b w:val="0"/>
          <w:spacing w:val="1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European Journal of</w:t>
      </w:r>
      <w:r>
        <w:rPr>
          <w:b w:val="0"/>
          <w:sz w:val="20"/>
          <w:szCs w:val="20"/>
        </w:rPr>
        <w:t xml:space="preserve"> Gastroenterology and </w:t>
      </w:r>
      <w:proofErr w:type="spellStart"/>
      <w:r>
        <w:rPr>
          <w:b w:val="0"/>
          <w:sz w:val="20"/>
          <w:szCs w:val="20"/>
        </w:rPr>
        <w:t>Hepatology</w:t>
      </w:r>
      <w:proofErr w:type="spellEnd"/>
      <w:r>
        <w:rPr>
          <w:b w:val="0"/>
          <w:sz w:val="20"/>
          <w:szCs w:val="20"/>
        </w:rPr>
        <w:t>, 16(2),</w:t>
      </w:r>
      <w:r>
        <w:rPr>
          <w:b w:val="0"/>
          <w:spacing w:val="1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135–138.</w:t>
      </w:r>
      <w:r>
        <w:rPr>
          <w:b w:val="0"/>
          <w:spacing w:val="-8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https://doi.org/10.</w:t>
      </w:r>
      <w:r>
        <w:rPr>
          <w:b w:val="0"/>
          <w:spacing w:val="-7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1097/</w:t>
      </w:r>
      <w:r>
        <w:rPr>
          <w:b w:val="0"/>
          <w:spacing w:val="-7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00042737-200402000-00003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Yao S, Li J, Yao Z, Xu Y, Chu J, Zhang J, </w:t>
      </w:r>
      <w:proofErr w:type="spellStart"/>
      <w:r>
        <w:rPr>
          <w:bCs/>
          <w:sz w:val="20"/>
          <w:szCs w:val="20"/>
        </w:rPr>
        <w:t>Jin</w:t>
      </w:r>
      <w:proofErr w:type="spellEnd"/>
      <w:r>
        <w:rPr>
          <w:bCs/>
          <w:sz w:val="20"/>
          <w:szCs w:val="20"/>
        </w:rPr>
        <w:t xml:space="preserve"> S, Huang Y, Zhang J,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Ma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J,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Zhao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Y,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Yang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S.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&amp;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Liu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Y.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(2017).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Extranodal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involvement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in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young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patients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with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diffuse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large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B-cell</w:t>
      </w:r>
      <w:r>
        <w:rPr>
          <w:bCs/>
          <w:spacing w:val="-67"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lymphoma :</w:t>
      </w:r>
      <w:proofErr w:type="gram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distribution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prognostic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value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and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treatment</w:t>
      </w:r>
      <w:r>
        <w:rPr>
          <w:bCs/>
          <w:spacing w:val="-67"/>
          <w:sz w:val="20"/>
          <w:szCs w:val="20"/>
        </w:rPr>
        <w:t xml:space="preserve"> </w:t>
      </w:r>
      <w:r>
        <w:rPr>
          <w:bCs/>
          <w:sz w:val="20"/>
          <w:szCs w:val="20"/>
        </w:rPr>
        <w:t>options.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Chinese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Journal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of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Cancer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Research,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29(1),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57–65.</w:t>
      </w:r>
      <w:r>
        <w:rPr>
          <w:bCs/>
          <w:spacing w:val="-67"/>
          <w:sz w:val="20"/>
          <w:szCs w:val="20"/>
        </w:rPr>
        <w:t xml:space="preserve"> </w:t>
      </w:r>
      <w:hyperlink r:id="rId25" w:history="1">
        <w:r>
          <w:rPr>
            <w:rStyle w:val="Hyperlink"/>
            <w:rFonts w:eastAsia="Bookman Old Style"/>
            <w:bCs/>
            <w:sz w:val="20"/>
            <w:szCs w:val="20"/>
            <w:u w:val="none"/>
          </w:rPr>
          <w:t>https://doi.org/10.21147/j.issn.1000-9604.2017.01.07</w:t>
        </w:r>
      </w:hyperlink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Meert</w:t>
      </w:r>
      <w:proofErr w:type="spellEnd"/>
      <w:r>
        <w:rPr>
          <w:bCs/>
          <w:sz w:val="20"/>
          <w:szCs w:val="20"/>
        </w:rPr>
        <w:t xml:space="preserve"> C, </w:t>
      </w:r>
      <w:proofErr w:type="spellStart"/>
      <w:r>
        <w:rPr>
          <w:bCs/>
          <w:sz w:val="20"/>
          <w:szCs w:val="20"/>
        </w:rPr>
        <w:t>Dierickx</w:t>
      </w:r>
      <w:proofErr w:type="spellEnd"/>
      <w:r>
        <w:rPr>
          <w:bCs/>
          <w:sz w:val="20"/>
          <w:szCs w:val="20"/>
        </w:rPr>
        <w:t xml:space="preserve"> D, </w:t>
      </w:r>
      <w:proofErr w:type="spellStart"/>
      <w:r>
        <w:rPr>
          <w:bCs/>
          <w:sz w:val="20"/>
          <w:szCs w:val="20"/>
        </w:rPr>
        <w:t>Vergote</w:t>
      </w:r>
      <w:proofErr w:type="spellEnd"/>
      <w:r>
        <w:rPr>
          <w:bCs/>
          <w:sz w:val="20"/>
          <w:szCs w:val="20"/>
        </w:rPr>
        <w:t xml:space="preserve"> V, </w:t>
      </w:r>
      <w:proofErr w:type="spellStart"/>
      <w:r>
        <w:rPr>
          <w:bCs/>
          <w:sz w:val="20"/>
          <w:szCs w:val="20"/>
        </w:rPr>
        <w:t>Verhoef</w:t>
      </w:r>
      <w:proofErr w:type="spellEnd"/>
      <w:r>
        <w:rPr>
          <w:bCs/>
          <w:sz w:val="20"/>
          <w:szCs w:val="20"/>
        </w:rPr>
        <w:t xml:space="preserve"> G. &amp; </w:t>
      </w:r>
      <w:proofErr w:type="spellStart"/>
      <w:r>
        <w:rPr>
          <w:bCs/>
          <w:sz w:val="20"/>
          <w:szCs w:val="20"/>
        </w:rPr>
        <w:t>Janssens</w:t>
      </w:r>
      <w:proofErr w:type="spellEnd"/>
      <w:r>
        <w:rPr>
          <w:bCs/>
          <w:sz w:val="20"/>
          <w:szCs w:val="20"/>
        </w:rPr>
        <w:t xml:space="preserve"> A. (2017).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CNS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prophylaxis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in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aggressive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non-Hodgkin’s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lymphoma.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Belgian</w:t>
      </w:r>
      <w:r>
        <w:rPr>
          <w:bCs/>
          <w:spacing w:val="-1"/>
          <w:sz w:val="20"/>
          <w:szCs w:val="20"/>
        </w:rPr>
        <w:t xml:space="preserve"> </w:t>
      </w:r>
      <w:r>
        <w:rPr>
          <w:bCs/>
          <w:sz w:val="20"/>
          <w:szCs w:val="20"/>
        </w:rPr>
        <w:t>Journal</w:t>
      </w:r>
      <w:r>
        <w:rPr>
          <w:bCs/>
          <w:spacing w:val="-1"/>
          <w:sz w:val="20"/>
          <w:szCs w:val="20"/>
        </w:rPr>
        <w:t xml:space="preserve"> </w:t>
      </w:r>
      <w:r>
        <w:rPr>
          <w:bCs/>
          <w:sz w:val="20"/>
          <w:szCs w:val="20"/>
        </w:rPr>
        <w:t>of</w:t>
      </w:r>
      <w:r>
        <w:rPr>
          <w:bCs/>
          <w:spacing w:val="-1"/>
          <w:sz w:val="20"/>
          <w:szCs w:val="20"/>
        </w:rPr>
        <w:t xml:space="preserve"> </w:t>
      </w:r>
      <w:r>
        <w:rPr>
          <w:bCs/>
          <w:sz w:val="20"/>
          <w:szCs w:val="20"/>
        </w:rPr>
        <w:t>Hematology,</w:t>
      </w:r>
      <w:r>
        <w:rPr>
          <w:bCs/>
          <w:spacing w:val="-1"/>
          <w:sz w:val="20"/>
          <w:szCs w:val="20"/>
        </w:rPr>
        <w:t xml:space="preserve"> </w:t>
      </w:r>
      <w:r>
        <w:rPr>
          <w:bCs/>
          <w:sz w:val="20"/>
          <w:szCs w:val="20"/>
        </w:rPr>
        <w:t>6,</w:t>
      </w:r>
      <w:r>
        <w:rPr>
          <w:bCs/>
          <w:spacing w:val="-1"/>
          <w:sz w:val="20"/>
          <w:szCs w:val="20"/>
        </w:rPr>
        <w:t xml:space="preserve"> </w:t>
      </w:r>
      <w:r>
        <w:rPr>
          <w:bCs/>
          <w:sz w:val="20"/>
          <w:szCs w:val="20"/>
        </w:rPr>
        <w:t>232–238.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Savage K.J, Slack G.W, </w:t>
      </w:r>
      <w:proofErr w:type="spellStart"/>
      <w:r>
        <w:rPr>
          <w:bCs/>
          <w:sz w:val="20"/>
          <w:szCs w:val="20"/>
        </w:rPr>
        <w:t>Mottok</w:t>
      </w:r>
      <w:proofErr w:type="spellEnd"/>
      <w:r>
        <w:rPr>
          <w:bCs/>
          <w:sz w:val="20"/>
          <w:szCs w:val="20"/>
        </w:rPr>
        <w:t xml:space="preserve"> A, </w:t>
      </w:r>
      <w:proofErr w:type="spellStart"/>
      <w:r>
        <w:rPr>
          <w:bCs/>
          <w:sz w:val="20"/>
          <w:szCs w:val="20"/>
        </w:rPr>
        <w:t>Sehn</w:t>
      </w:r>
      <w:proofErr w:type="spellEnd"/>
      <w:r>
        <w:rPr>
          <w:bCs/>
          <w:sz w:val="20"/>
          <w:szCs w:val="20"/>
        </w:rPr>
        <w:t xml:space="preserve"> L.H, Villa D, </w:t>
      </w:r>
      <w:proofErr w:type="spellStart"/>
      <w:r>
        <w:rPr>
          <w:bCs/>
          <w:sz w:val="20"/>
          <w:szCs w:val="20"/>
        </w:rPr>
        <w:t>Kansara</w:t>
      </w:r>
      <w:proofErr w:type="spellEnd"/>
      <w:r>
        <w:rPr>
          <w:bCs/>
          <w:sz w:val="20"/>
          <w:szCs w:val="20"/>
        </w:rPr>
        <w:t xml:space="preserve"> R,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Kridel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R,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Steidl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C,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Ennishi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D,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Tan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K.L,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Ben-</w:t>
      </w:r>
      <w:proofErr w:type="spellStart"/>
      <w:r>
        <w:rPr>
          <w:bCs/>
          <w:sz w:val="20"/>
          <w:szCs w:val="20"/>
        </w:rPr>
        <w:t>neriah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S,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Johnson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N.A,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Connors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J.M,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Farinha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P,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Scott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D.W.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&amp;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Gascoyne R.D. </w:t>
      </w:r>
      <w:r>
        <w:rPr>
          <w:bCs/>
          <w:sz w:val="20"/>
          <w:szCs w:val="20"/>
        </w:rPr>
        <w:lastRenderedPageBreak/>
        <w:t>(2018). Impact of dual expression of MYC and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BCL2 by immunohistochemistry on the risk of CNS relapse in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DLBCL.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127(18),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2182–2189.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https://doi.org/10.1182/blood-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2015-10-676700.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Fisher R.I. (2000). Diffuse large-cell lymphoma. In Annals of Oncology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(Vol.</w:t>
      </w:r>
      <w:r>
        <w:rPr>
          <w:bCs/>
          <w:spacing w:val="-2"/>
          <w:sz w:val="20"/>
          <w:szCs w:val="20"/>
        </w:rPr>
        <w:t xml:space="preserve"> </w:t>
      </w:r>
      <w:r>
        <w:rPr>
          <w:bCs/>
          <w:sz w:val="20"/>
          <w:szCs w:val="20"/>
        </w:rPr>
        <w:t>11).</w:t>
      </w:r>
    </w:p>
    <w:p w:rsidR="00145110" w:rsidRDefault="00B325BC">
      <w:pPr>
        <w:pStyle w:val="BodyText"/>
        <w:numPr>
          <w:ilvl w:val="0"/>
          <w:numId w:val="3"/>
        </w:numPr>
        <w:snapToGrid w:val="0"/>
        <w:ind w:left="363" w:hanging="36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Fang C,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Xu W. &amp;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Li J. (2010). A systematic review and</w:t>
      </w:r>
      <w:r>
        <w:rPr>
          <w:bCs/>
          <w:spacing w:val="70"/>
          <w:sz w:val="20"/>
          <w:szCs w:val="20"/>
        </w:rPr>
        <w:t xml:space="preserve"> </w:t>
      </w:r>
      <w:r>
        <w:rPr>
          <w:bCs/>
          <w:sz w:val="20"/>
          <w:szCs w:val="20"/>
        </w:rPr>
        <w:t>meta-analysis</w:t>
      </w:r>
      <w:r>
        <w:rPr>
          <w:bCs/>
          <w:spacing w:val="-67"/>
          <w:sz w:val="20"/>
          <w:szCs w:val="20"/>
        </w:rPr>
        <w:t xml:space="preserve"> </w:t>
      </w:r>
      <w:r>
        <w:rPr>
          <w:bCs/>
          <w:sz w:val="20"/>
          <w:szCs w:val="20"/>
        </w:rPr>
        <w:t>of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rituximab-based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immunochemotherapy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for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subtypes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of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diffuse large B cell lymphoma. Ann </w:t>
      </w:r>
      <w:proofErr w:type="spellStart"/>
      <w:r>
        <w:rPr>
          <w:bCs/>
          <w:sz w:val="20"/>
          <w:szCs w:val="20"/>
        </w:rPr>
        <w:t>H</w:t>
      </w:r>
      <w:r>
        <w:rPr>
          <w:bCs/>
          <w:sz w:val="20"/>
          <w:szCs w:val="20"/>
        </w:rPr>
        <w:t>ematol</w:t>
      </w:r>
      <w:proofErr w:type="spellEnd"/>
      <w:r>
        <w:rPr>
          <w:bCs/>
          <w:sz w:val="20"/>
          <w:szCs w:val="20"/>
        </w:rPr>
        <w:t>, 89, 1107–1113.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https://doi.org/10.1007/s00277-010-0990-5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Olszewski</w:t>
      </w:r>
      <w:proofErr w:type="spellEnd"/>
      <w:r>
        <w:rPr>
          <w:bCs/>
          <w:sz w:val="20"/>
          <w:szCs w:val="20"/>
        </w:rPr>
        <w:t xml:space="preserve"> A.J, Winer E.S. &amp; Castillo J.J. (2014). Improved survival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with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rituximab-based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chemoimmunotherapy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in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older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patients</w:t>
      </w:r>
      <w:r>
        <w:rPr>
          <w:bCs/>
          <w:spacing w:val="-67"/>
          <w:sz w:val="20"/>
          <w:szCs w:val="20"/>
        </w:rPr>
        <w:t xml:space="preserve"> </w:t>
      </w:r>
      <w:r>
        <w:rPr>
          <w:bCs/>
          <w:sz w:val="20"/>
          <w:szCs w:val="20"/>
        </w:rPr>
        <w:t>with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extranodal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diffuse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large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B-cell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lymphoma.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Leukemia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Research,</w:t>
      </w:r>
      <w:r>
        <w:rPr>
          <w:bCs/>
          <w:spacing w:val="3"/>
          <w:sz w:val="20"/>
          <w:szCs w:val="20"/>
        </w:rPr>
        <w:t xml:space="preserve"> </w:t>
      </w:r>
      <w:r>
        <w:rPr>
          <w:bCs/>
          <w:sz w:val="20"/>
          <w:szCs w:val="20"/>
        </w:rPr>
        <w:t>38(8),</w:t>
      </w:r>
      <w:r>
        <w:rPr>
          <w:bCs/>
          <w:spacing w:val="2"/>
          <w:sz w:val="20"/>
          <w:szCs w:val="20"/>
        </w:rPr>
        <w:t xml:space="preserve"> </w:t>
      </w:r>
      <w:r>
        <w:rPr>
          <w:bCs/>
          <w:sz w:val="20"/>
          <w:szCs w:val="20"/>
        </w:rPr>
        <w:t>866–873.</w:t>
      </w:r>
      <w:r>
        <w:rPr>
          <w:bCs/>
          <w:spacing w:val="2"/>
          <w:sz w:val="20"/>
          <w:szCs w:val="20"/>
        </w:rPr>
        <w:t xml:space="preserve"> </w:t>
      </w:r>
      <w:r>
        <w:rPr>
          <w:bCs/>
          <w:sz w:val="20"/>
          <w:szCs w:val="20"/>
        </w:rPr>
        <w:t>https://doi.org/10.</w:t>
      </w:r>
      <w:r>
        <w:rPr>
          <w:bCs/>
          <w:spacing w:val="2"/>
          <w:sz w:val="20"/>
          <w:szCs w:val="20"/>
        </w:rPr>
        <w:t xml:space="preserve"> </w:t>
      </w:r>
      <w:r>
        <w:rPr>
          <w:bCs/>
          <w:sz w:val="20"/>
          <w:szCs w:val="20"/>
        </w:rPr>
        <w:t>1016/j.</w:t>
      </w:r>
      <w:r>
        <w:rPr>
          <w:bCs/>
          <w:spacing w:val="2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leukres</w:t>
      </w:r>
      <w:proofErr w:type="spellEnd"/>
      <w:r>
        <w:rPr>
          <w:bCs/>
          <w:sz w:val="20"/>
          <w:szCs w:val="20"/>
        </w:rPr>
        <w:t>. 2014.04.009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Pfreundschuh</w:t>
      </w:r>
      <w:proofErr w:type="spellEnd"/>
      <w:r>
        <w:rPr>
          <w:bCs/>
          <w:sz w:val="20"/>
          <w:szCs w:val="20"/>
        </w:rPr>
        <w:t xml:space="preserve"> M, </w:t>
      </w:r>
      <w:proofErr w:type="spellStart"/>
      <w:r>
        <w:rPr>
          <w:bCs/>
          <w:sz w:val="20"/>
          <w:szCs w:val="20"/>
        </w:rPr>
        <w:t>Trumper</w:t>
      </w:r>
      <w:proofErr w:type="spellEnd"/>
      <w:r>
        <w:rPr>
          <w:bCs/>
          <w:sz w:val="20"/>
          <w:szCs w:val="20"/>
        </w:rPr>
        <w:t xml:space="preserve"> L, </w:t>
      </w:r>
      <w:proofErr w:type="spellStart"/>
      <w:r>
        <w:rPr>
          <w:bCs/>
          <w:sz w:val="20"/>
          <w:szCs w:val="20"/>
        </w:rPr>
        <w:t>Osterborg</w:t>
      </w:r>
      <w:proofErr w:type="spellEnd"/>
      <w:r>
        <w:rPr>
          <w:bCs/>
          <w:sz w:val="20"/>
          <w:szCs w:val="20"/>
        </w:rPr>
        <w:t xml:space="preserve"> A, </w:t>
      </w:r>
      <w:proofErr w:type="spellStart"/>
      <w:r>
        <w:rPr>
          <w:bCs/>
          <w:sz w:val="20"/>
          <w:szCs w:val="20"/>
        </w:rPr>
        <w:t>Pettengell</w:t>
      </w:r>
      <w:proofErr w:type="spellEnd"/>
      <w:r>
        <w:rPr>
          <w:bCs/>
          <w:sz w:val="20"/>
          <w:szCs w:val="20"/>
        </w:rPr>
        <w:t xml:space="preserve">, R, </w:t>
      </w:r>
      <w:proofErr w:type="spellStart"/>
      <w:r>
        <w:rPr>
          <w:bCs/>
          <w:sz w:val="20"/>
          <w:szCs w:val="20"/>
        </w:rPr>
        <w:t>Trneny</w:t>
      </w:r>
      <w:proofErr w:type="spellEnd"/>
      <w:r>
        <w:rPr>
          <w:bCs/>
          <w:sz w:val="20"/>
          <w:szCs w:val="20"/>
        </w:rPr>
        <w:t xml:space="preserve"> M,</w:t>
      </w:r>
      <w:r>
        <w:rPr>
          <w:bCs/>
          <w:spacing w:val="-67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Imrie</w:t>
      </w:r>
      <w:proofErr w:type="spellEnd"/>
      <w:r>
        <w:rPr>
          <w:bCs/>
          <w:sz w:val="20"/>
          <w:szCs w:val="20"/>
        </w:rPr>
        <w:t xml:space="preserve"> K, Ma D, Gill, D, </w:t>
      </w:r>
      <w:proofErr w:type="spellStart"/>
      <w:r>
        <w:rPr>
          <w:bCs/>
          <w:sz w:val="20"/>
          <w:szCs w:val="20"/>
        </w:rPr>
        <w:t>Walewski</w:t>
      </w:r>
      <w:proofErr w:type="spellEnd"/>
      <w:r>
        <w:rPr>
          <w:bCs/>
          <w:sz w:val="20"/>
          <w:szCs w:val="20"/>
        </w:rPr>
        <w:t xml:space="preserve"> J, </w:t>
      </w:r>
      <w:proofErr w:type="spellStart"/>
      <w:r>
        <w:rPr>
          <w:bCs/>
          <w:sz w:val="20"/>
          <w:szCs w:val="20"/>
        </w:rPr>
        <w:t>Zinzani</w:t>
      </w:r>
      <w:proofErr w:type="spellEnd"/>
      <w:r>
        <w:rPr>
          <w:bCs/>
          <w:sz w:val="20"/>
          <w:szCs w:val="20"/>
        </w:rPr>
        <w:t xml:space="preserve"> P.L, </w:t>
      </w:r>
      <w:proofErr w:type="spellStart"/>
      <w:r>
        <w:rPr>
          <w:bCs/>
          <w:sz w:val="20"/>
          <w:szCs w:val="20"/>
        </w:rPr>
        <w:t>Stahel</w:t>
      </w:r>
      <w:proofErr w:type="spellEnd"/>
      <w:r>
        <w:rPr>
          <w:bCs/>
          <w:sz w:val="20"/>
          <w:szCs w:val="20"/>
        </w:rPr>
        <w:t xml:space="preserve"> R,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Kvaloy</w:t>
      </w:r>
      <w:proofErr w:type="spellEnd"/>
      <w:r>
        <w:rPr>
          <w:bCs/>
          <w:sz w:val="20"/>
          <w:szCs w:val="20"/>
        </w:rPr>
        <w:t xml:space="preserve"> S, </w:t>
      </w:r>
      <w:proofErr w:type="spellStart"/>
      <w:r>
        <w:rPr>
          <w:bCs/>
          <w:sz w:val="20"/>
          <w:szCs w:val="20"/>
        </w:rPr>
        <w:t>Shpilberg</w:t>
      </w:r>
      <w:proofErr w:type="spellEnd"/>
      <w:r>
        <w:rPr>
          <w:bCs/>
          <w:sz w:val="20"/>
          <w:szCs w:val="20"/>
        </w:rPr>
        <w:t xml:space="preserve"> O, Jaeger U, Hansen M, </w:t>
      </w:r>
      <w:proofErr w:type="spellStart"/>
      <w:r>
        <w:rPr>
          <w:bCs/>
          <w:sz w:val="20"/>
          <w:szCs w:val="20"/>
        </w:rPr>
        <w:t>Lehtinen</w:t>
      </w:r>
      <w:proofErr w:type="spellEnd"/>
      <w:r>
        <w:rPr>
          <w:bCs/>
          <w:sz w:val="20"/>
          <w:szCs w:val="20"/>
        </w:rPr>
        <w:t xml:space="preserve"> T,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Lopez-Guill</w:t>
      </w:r>
      <w:r>
        <w:rPr>
          <w:bCs/>
          <w:sz w:val="20"/>
          <w:szCs w:val="20"/>
        </w:rPr>
        <w:t>ermo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A,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Corrado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C,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Scheliga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A,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oeffler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M.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(2006). CHOP-like chemotherapy plus rituximab versus CHOP-</w:t>
      </w:r>
      <w:r>
        <w:rPr>
          <w:bCs/>
          <w:spacing w:val="-67"/>
          <w:sz w:val="20"/>
          <w:szCs w:val="20"/>
        </w:rPr>
        <w:t xml:space="preserve"> </w:t>
      </w:r>
      <w:r>
        <w:rPr>
          <w:bCs/>
          <w:sz w:val="20"/>
          <w:szCs w:val="20"/>
        </w:rPr>
        <w:t>like chemotherapy alone in young patients with good-prognosis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diffuse </w:t>
      </w:r>
      <w:proofErr w:type="gramStart"/>
      <w:r>
        <w:rPr>
          <w:bCs/>
          <w:sz w:val="20"/>
          <w:szCs w:val="20"/>
        </w:rPr>
        <w:t>large</w:t>
      </w:r>
      <w:proofErr w:type="gramEnd"/>
      <w:r>
        <w:rPr>
          <w:bCs/>
          <w:sz w:val="20"/>
          <w:szCs w:val="20"/>
        </w:rPr>
        <w:t xml:space="preserve">-B-cell lymphoma: a </w:t>
      </w:r>
      <w:proofErr w:type="spellStart"/>
      <w:r>
        <w:rPr>
          <w:bCs/>
          <w:sz w:val="20"/>
          <w:szCs w:val="20"/>
        </w:rPr>
        <w:t>randomised</w:t>
      </w:r>
      <w:proofErr w:type="spellEnd"/>
      <w:r>
        <w:rPr>
          <w:bCs/>
          <w:sz w:val="20"/>
          <w:szCs w:val="20"/>
        </w:rPr>
        <w:t xml:space="preserve"> controlled trial by</w:t>
      </w:r>
      <w:r>
        <w:rPr>
          <w:bCs/>
          <w:spacing w:val="-67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the </w:t>
      </w:r>
      <w:proofErr w:type="spellStart"/>
      <w:r>
        <w:rPr>
          <w:bCs/>
          <w:sz w:val="20"/>
          <w:szCs w:val="20"/>
        </w:rPr>
        <w:t>MabThera</w:t>
      </w:r>
      <w:proofErr w:type="spellEnd"/>
      <w:r>
        <w:rPr>
          <w:bCs/>
          <w:sz w:val="20"/>
          <w:szCs w:val="20"/>
        </w:rPr>
        <w:t xml:space="preserve"> International Tr</w:t>
      </w:r>
      <w:r>
        <w:rPr>
          <w:bCs/>
          <w:sz w:val="20"/>
          <w:szCs w:val="20"/>
        </w:rPr>
        <w:t>ial (</w:t>
      </w:r>
      <w:proofErr w:type="spellStart"/>
      <w:r>
        <w:rPr>
          <w:bCs/>
          <w:sz w:val="20"/>
          <w:szCs w:val="20"/>
        </w:rPr>
        <w:t>MInT</w:t>
      </w:r>
      <w:proofErr w:type="spellEnd"/>
      <w:r>
        <w:rPr>
          <w:bCs/>
          <w:sz w:val="20"/>
          <w:szCs w:val="20"/>
        </w:rPr>
        <w:t>) Group. The Lancet.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Oncology,</w:t>
      </w:r>
      <w:r>
        <w:rPr>
          <w:bCs/>
          <w:spacing w:val="50"/>
          <w:sz w:val="20"/>
          <w:szCs w:val="20"/>
        </w:rPr>
        <w:t xml:space="preserve"> </w:t>
      </w:r>
      <w:r>
        <w:rPr>
          <w:bCs/>
          <w:sz w:val="20"/>
          <w:szCs w:val="20"/>
        </w:rPr>
        <w:t>7(5),</w:t>
      </w:r>
      <w:r>
        <w:rPr>
          <w:bCs/>
          <w:spacing w:val="50"/>
          <w:sz w:val="20"/>
          <w:szCs w:val="20"/>
        </w:rPr>
        <w:t xml:space="preserve"> </w:t>
      </w:r>
      <w:r>
        <w:rPr>
          <w:bCs/>
          <w:sz w:val="20"/>
          <w:szCs w:val="20"/>
        </w:rPr>
        <w:t>379–391.</w:t>
      </w:r>
      <w:r>
        <w:rPr>
          <w:bCs/>
          <w:spacing w:val="49"/>
          <w:sz w:val="20"/>
          <w:szCs w:val="20"/>
        </w:rPr>
        <w:t xml:space="preserve"> </w:t>
      </w:r>
      <w:hyperlink r:id="rId26" w:history="1">
        <w:r>
          <w:rPr>
            <w:rStyle w:val="Hyperlink"/>
            <w:rFonts w:eastAsia="Bookman Old Style"/>
            <w:bCs/>
            <w:sz w:val="20"/>
            <w:szCs w:val="20"/>
            <w:u w:val="none"/>
          </w:rPr>
          <w:t>https://doi.org/10.1016/S1470-</w:t>
        </w:r>
      </w:hyperlink>
      <w:r>
        <w:rPr>
          <w:bCs/>
          <w:sz w:val="20"/>
          <w:szCs w:val="20"/>
        </w:rPr>
        <w:t xml:space="preserve"> 2045(06)70664-7</w:t>
      </w:r>
    </w:p>
    <w:p w:rsidR="00145110" w:rsidRDefault="00B325BC">
      <w:pPr>
        <w:pStyle w:val="ListParagraph"/>
        <w:numPr>
          <w:ilvl w:val="0"/>
          <w:numId w:val="3"/>
        </w:numPr>
        <w:snapToGrid w:val="0"/>
        <w:ind w:left="363" w:hanging="363"/>
        <w:contextualSpacing/>
        <w:rPr>
          <w:bCs/>
          <w:sz w:val="20"/>
          <w:szCs w:val="20"/>
        </w:rPr>
        <w:sectPr w:rsidR="00145110">
          <w:type w:val="continuous"/>
          <w:pgSz w:w="12240" w:h="15840"/>
          <w:pgMar w:top="1440" w:right="1440" w:bottom="1440" w:left="1440" w:header="708" w:footer="708" w:gutter="0"/>
          <w:cols w:num="2" w:space="709"/>
          <w:titlePg/>
          <w:docGrid w:linePitch="360"/>
        </w:sectPr>
      </w:pPr>
      <w:proofErr w:type="spellStart"/>
      <w:r>
        <w:rPr>
          <w:bCs/>
          <w:sz w:val="20"/>
          <w:szCs w:val="20"/>
        </w:rPr>
        <w:t>Pfreundshcuh</w:t>
      </w:r>
      <w:proofErr w:type="spellEnd"/>
      <w:r>
        <w:rPr>
          <w:bCs/>
          <w:sz w:val="20"/>
          <w:szCs w:val="20"/>
        </w:rPr>
        <w:t xml:space="preserve"> M, </w:t>
      </w:r>
      <w:proofErr w:type="spellStart"/>
      <w:r>
        <w:rPr>
          <w:bCs/>
          <w:sz w:val="20"/>
          <w:szCs w:val="20"/>
        </w:rPr>
        <w:t>Trümper</w:t>
      </w:r>
      <w:proofErr w:type="spellEnd"/>
      <w:r>
        <w:rPr>
          <w:bCs/>
          <w:sz w:val="20"/>
          <w:szCs w:val="20"/>
        </w:rPr>
        <w:t xml:space="preserve"> L, </w:t>
      </w:r>
      <w:proofErr w:type="spellStart"/>
      <w:r>
        <w:rPr>
          <w:bCs/>
          <w:sz w:val="20"/>
          <w:szCs w:val="20"/>
        </w:rPr>
        <w:t>Österborg</w:t>
      </w:r>
      <w:proofErr w:type="spellEnd"/>
      <w:r>
        <w:rPr>
          <w:bCs/>
          <w:sz w:val="20"/>
          <w:szCs w:val="20"/>
        </w:rPr>
        <w:t xml:space="preserve"> A, </w:t>
      </w:r>
      <w:proofErr w:type="spellStart"/>
      <w:r>
        <w:rPr>
          <w:bCs/>
          <w:sz w:val="20"/>
          <w:szCs w:val="20"/>
        </w:rPr>
        <w:t>Pettengell</w:t>
      </w:r>
      <w:proofErr w:type="spellEnd"/>
      <w:r>
        <w:rPr>
          <w:bCs/>
          <w:sz w:val="20"/>
          <w:szCs w:val="20"/>
        </w:rPr>
        <w:t xml:space="preserve"> R, </w:t>
      </w:r>
      <w:proofErr w:type="spellStart"/>
      <w:r>
        <w:rPr>
          <w:bCs/>
          <w:sz w:val="20"/>
          <w:szCs w:val="20"/>
        </w:rPr>
        <w:t>Trneny</w:t>
      </w:r>
      <w:proofErr w:type="spellEnd"/>
      <w:r>
        <w:rPr>
          <w:bCs/>
          <w:sz w:val="20"/>
          <w:szCs w:val="20"/>
        </w:rPr>
        <w:t xml:space="preserve"> M,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Imrie</w:t>
      </w:r>
      <w:proofErr w:type="spellEnd"/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K,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et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al.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(2006).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CHOP-like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chemotherapy</w:t>
      </w:r>
      <w:r>
        <w:rPr>
          <w:bCs/>
          <w:spacing w:val="70"/>
          <w:sz w:val="20"/>
          <w:szCs w:val="20"/>
        </w:rPr>
        <w:t xml:space="preserve"> </w:t>
      </w:r>
      <w:r>
        <w:rPr>
          <w:bCs/>
          <w:sz w:val="20"/>
          <w:szCs w:val="20"/>
        </w:rPr>
        <w:t>plus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rituximab versus CHOP-like chemo- therapy alone in young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patients with good prognosis diffuse large B-cell lymphoma: a</w:t>
      </w:r>
      <w:r>
        <w:rPr>
          <w:bCs/>
          <w:spacing w:val="1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randomised</w:t>
      </w:r>
      <w:proofErr w:type="spellEnd"/>
      <w:r>
        <w:rPr>
          <w:bCs/>
          <w:sz w:val="20"/>
          <w:szCs w:val="20"/>
        </w:rPr>
        <w:t xml:space="preserve"> controlled trial by the </w:t>
      </w:r>
      <w:proofErr w:type="spellStart"/>
      <w:r>
        <w:rPr>
          <w:bCs/>
          <w:sz w:val="20"/>
          <w:szCs w:val="20"/>
        </w:rPr>
        <w:t>MabThera</w:t>
      </w:r>
      <w:proofErr w:type="spellEnd"/>
      <w:r>
        <w:rPr>
          <w:bCs/>
          <w:sz w:val="20"/>
          <w:szCs w:val="20"/>
        </w:rPr>
        <w:t xml:space="preserve"> International Trial</w:t>
      </w:r>
      <w:r>
        <w:rPr>
          <w:bCs/>
          <w:spacing w:val="1"/>
          <w:sz w:val="20"/>
          <w:szCs w:val="20"/>
        </w:rPr>
        <w:t xml:space="preserve"> </w:t>
      </w:r>
      <w:r>
        <w:rPr>
          <w:bCs/>
          <w:sz w:val="20"/>
          <w:szCs w:val="20"/>
        </w:rPr>
        <w:t>(</w:t>
      </w:r>
      <w:proofErr w:type="spellStart"/>
      <w:r>
        <w:rPr>
          <w:bCs/>
          <w:sz w:val="20"/>
          <w:szCs w:val="20"/>
        </w:rPr>
        <w:t>MInT</w:t>
      </w:r>
      <w:proofErr w:type="spellEnd"/>
      <w:r>
        <w:rPr>
          <w:bCs/>
          <w:sz w:val="20"/>
          <w:szCs w:val="20"/>
        </w:rPr>
        <w:t>)</w:t>
      </w:r>
      <w:r>
        <w:rPr>
          <w:bCs/>
          <w:spacing w:val="-1"/>
          <w:sz w:val="20"/>
          <w:szCs w:val="20"/>
        </w:rPr>
        <w:t xml:space="preserve"> </w:t>
      </w:r>
      <w:r>
        <w:rPr>
          <w:bCs/>
          <w:sz w:val="20"/>
          <w:szCs w:val="20"/>
        </w:rPr>
        <w:t>Group.</w:t>
      </w:r>
      <w:r>
        <w:rPr>
          <w:bCs/>
          <w:spacing w:val="-1"/>
          <w:sz w:val="20"/>
          <w:szCs w:val="20"/>
        </w:rPr>
        <w:t xml:space="preserve"> </w:t>
      </w:r>
      <w:r>
        <w:rPr>
          <w:bCs/>
          <w:sz w:val="20"/>
          <w:szCs w:val="20"/>
        </w:rPr>
        <w:t>Lancet</w:t>
      </w:r>
      <w:r>
        <w:rPr>
          <w:bCs/>
          <w:spacing w:val="-2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Oncol</w:t>
      </w:r>
      <w:proofErr w:type="spellEnd"/>
      <w:r>
        <w:rPr>
          <w:bCs/>
          <w:sz w:val="20"/>
          <w:szCs w:val="20"/>
        </w:rPr>
        <w:t>., 7(379),</w:t>
      </w:r>
      <w:r>
        <w:rPr>
          <w:bCs/>
          <w:spacing w:val="-1"/>
          <w:sz w:val="20"/>
          <w:szCs w:val="20"/>
        </w:rPr>
        <w:t xml:space="preserve"> </w:t>
      </w:r>
      <w:r>
        <w:rPr>
          <w:bCs/>
          <w:sz w:val="20"/>
          <w:szCs w:val="20"/>
        </w:rPr>
        <w:t>91.</w:t>
      </w:r>
    </w:p>
    <w:p w:rsidR="00145110" w:rsidRDefault="00145110">
      <w:pPr>
        <w:pStyle w:val="ListParagraph"/>
        <w:numPr>
          <w:ilvl w:val="0"/>
          <w:numId w:val="4"/>
        </w:numPr>
        <w:snapToGrid w:val="0"/>
        <w:ind w:right="117"/>
        <w:contextualSpacing/>
        <w:rPr>
          <w:bCs/>
          <w:sz w:val="20"/>
          <w:szCs w:val="20"/>
        </w:rPr>
      </w:pPr>
    </w:p>
    <w:p w:rsidR="00145110" w:rsidRDefault="00145110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45110" w:rsidRDefault="00145110">
      <w:pPr>
        <w:snapToGri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5110" w:rsidRDefault="00B325BC">
      <w:pPr>
        <w:snapToGrid w:val="0"/>
        <w:spacing w:after="0" w:line="240" w:lineRule="auto"/>
        <w:ind w:right="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11/12/2023</w:t>
      </w:r>
    </w:p>
    <w:p w:rsidR="00145110" w:rsidRDefault="00145110">
      <w:pPr>
        <w:snapToGri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5110" w:rsidRDefault="00145110">
      <w:pPr>
        <w:snapToGri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sectPr w:rsidR="00145110">
      <w:type w:val="continuous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BC" w:rsidRDefault="00B325BC">
      <w:pPr>
        <w:spacing w:line="240" w:lineRule="auto"/>
      </w:pPr>
      <w:r>
        <w:separator/>
      </w:r>
    </w:p>
  </w:endnote>
  <w:endnote w:type="continuationSeparator" w:id="0">
    <w:p w:rsidR="00B325BC" w:rsidRDefault="00B32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egoe Print"/>
    <w:charset w:val="00"/>
    <w:family w:val="roman"/>
    <w:pitch w:val="default"/>
    <w:sig w:usb0="00000000" w:usb1="00000000" w:usb2="00000000" w:usb3="00000000" w:csb0="00000041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10" w:rsidRDefault="00B325BC">
    <w:pPr>
      <w:pStyle w:val="BodyText"/>
      <w:spacing w:line="14" w:lineRule="auto"/>
      <w:rPr>
        <w:sz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2847975</wp:posOffset>
              </wp:positionH>
              <wp:positionV relativeFrom="paragraph">
                <wp:posOffset>-295275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110" w:rsidRDefault="00B325BC">
                          <w:pPr>
                            <w:pStyle w:val="Footer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94E03">
                            <w:rPr>
                              <w:noProof/>
                              <w:sz w:val="20"/>
                              <w:szCs w:val="20"/>
                            </w:rPr>
                            <w:t>93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24.25pt;margin-top:-23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" filled="f" fillcolor="white [3201]" stroked="f" strokeweight=".5pt">
              <v:textbox style="mso-fit-shape-to-text:t" inset="0,0,0,0">
                <w:txbxContent>
                  <w:p w:rsidR="00145110" w:rsidRDefault="00B325BC">
                    <w:pPr>
                      <w:pStyle w:val="Footer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894E03">
                      <w:rPr>
                        <w:noProof/>
                        <w:sz w:val="20"/>
                        <w:szCs w:val="20"/>
                      </w:rPr>
                      <w:t>93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10" w:rsidRDefault="00B325BC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2886075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110" w:rsidRDefault="00B325BC">
                          <w:pPr>
                            <w:pStyle w:val="Footer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94E03">
                            <w:rPr>
                              <w:noProof/>
                              <w:sz w:val="20"/>
                              <w:szCs w:val="20"/>
                            </w:rPr>
                            <w:t>86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27.25pt;margin-top:-9.7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//BwMAANMGAAAOAAAAZHJzL2Uyb0RvYy54bWysVc1u1DAQviPxDpbvaZLddJ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" filled="f" fillcolor="white [3201]" stroked="f" strokeweight=".5pt">
              <v:textbox style="mso-fit-shape-to-text:t" inset="0,0,0,0">
                <w:txbxContent>
                  <w:p w:rsidR="00145110" w:rsidRDefault="00B325BC">
                    <w:pPr>
                      <w:pStyle w:val="Footer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894E03">
                      <w:rPr>
                        <w:noProof/>
                        <w:sz w:val="20"/>
                        <w:szCs w:val="20"/>
                      </w:rPr>
                      <w:t>86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BC" w:rsidRDefault="00B325BC">
      <w:pPr>
        <w:spacing w:after="0"/>
      </w:pPr>
      <w:r>
        <w:separator/>
      </w:r>
    </w:p>
  </w:footnote>
  <w:footnote w:type="continuationSeparator" w:id="0">
    <w:p w:rsidR="00B325BC" w:rsidRDefault="00B325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10" w:rsidRDefault="00B325B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ind w:firstLineChars="400" w:firstLine="800"/>
    </w:pPr>
    <w:r>
      <w:rPr>
        <w:rFonts w:ascii="Times New Roman" w:eastAsia="SimSun" w:hAnsi="Times New Roman" w:cs="Times New Roman"/>
        <w:color w:val="000000"/>
        <w:sz w:val="20"/>
        <w:szCs w:val="20"/>
        <w:lang w:eastAsia="zh-CN"/>
      </w:rPr>
      <w:t xml:space="preserve"> </w:t>
    </w:r>
    <w:r>
      <w:rPr>
        <w:rFonts w:ascii="Times New Roman" w:eastAsia="Calibri" w:hAnsi="Times New Roman" w:cs="Times New Roman"/>
        <w:sz w:val="20"/>
        <w:szCs w:val="20"/>
      </w:rPr>
      <w:t>Cancer Biology 202</w:t>
    </w:r>
    <w:r>
      <w:rPr>
        <w:rFonts w:ascii="Times New Roman" w:eastAsia="SimSun" w:hAnsi="Times New Roman" w:cs="Times New Roman" w:hint="eastAsia"/>
        <w:sz w:val="20"/>
        <w:szCs w:val="20"/>
        <w:lang w:eastAsia="zh-CN"/>
      </w:rPr>
      <w:t>3</w:t>
    </w:r>
    <w:r>
      <w:rPr>
        <w:rFonts w:ascii="Times New Roman" w:eastAsia="Calibri" w:hAnsi="Times New Roman" w:cs="Times New Roman"/>
        <w:sz w:val="20"/>
        <w:szCs w:val="20"/>
      </w:rPr>
      <w:t>;1</w:t>
    </w:r>
    <w:r>
      <w:rPr>
        <w:rFonts w:ascii="Times New Roman" w:eastAsia="SimSun" w:hAnsi="Times New Roman" w:cs="Times New Roman" w:hint="eastAsia"/>
        <w:sz w:val="20"/>
        <w:szCs w:val="20"/>
        <w:lang w:eastAsia="zh-CN"/>
      </w:rPr>
      <w:t>3</w:t>
    </w:r>
    <w:r>
      <w:rPr>
        <w:rFonts w:ascii="Times New Roman" w:eastAsia="Calibri" w:hAnsi="Times New Roman" w:cs="Times New Roman"/>
        <w:sz w:val="20"/>
        <w:szCs w:val="20"/>
      </w:rPr>
      <w:t>(</w:t>
    </w:r>
    <w:r>
      <w:rPr>
        <w:rFonts w:ascii="Times New Roman" w:eastAsia="Calibri" w:hAnsi="Times New Roman" w:cs="Times New Roman" w:hint="eastAsia"/>
        <w:sz w:val="20"/>
        <w:szCs w:val="20"/>
        <w:lang w:eastAsia="zh-CN"/>
      </w:rPr>
      <w:t>4</w:t>
    </w:r>
    <w:r>
      <w:rPr>
        <w:rFonts w:ascii="Times New Roman" w:eastAsia="Calibri" w:hAnsi="Times New Roman" w:cs="Times New Roman"/>
        <w:sz w:val="20"/>
        <w:szCs w:val="20"/>
      </w:rPr>
      <w:t xml:space="preserve">) </w:t>
    </w:r>
    <w:r>
      <w:rPr>
        <w:rFonts w:ascii="Times New Roman" w:hAnsi="Times New Roman" w:cs="Times New Roman" w:hint="eastAsia"/>
        <w:sz w:val="20"/>
        <w:szCs w:val="20"/>
        <w:lang w:eastAsia="zh-CN"/>
      </w:rPr>
      <w:t xml:space="preserve">                                                          </w:t>
    </w:r>
    <w:r>
      <w:rPr>
        <w:rFonts w:ascii="Times New Roman" w:eastAsia="Calibri" w:hAnsi="Times New Roman" w:cs="Times New Roman"/>
        <w:color w:val="0000FF"/>
        <w:sz w:val="20"/>
        <w:szCs w:val="20"/>
        <w:u w:val="single" w:color="0000FF"/>
      </w:rPr>
      <w:t>http://www.cancerbio.net</w:t>
    </w:r>
    <w:r>
      <w:rPr>
        <w:rFonts w:ascii="Times New Roman" w:eastAsia="Calibri" w:hAnsi="Times New Roman" w:cs="Times New Roman"/>
        <w:b/>
        <w:i/>
        <w:color w:val="FF0000"/>
        <w:sz w:val="20"/>
        <w:szCs w:val="20"/>
        <w:bdr w:val="single" w:sz="8" w:space="0" w:color="FF0000"/>
      </w:rPr>
      <w:t>CBJ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10" w:rsidRDefault="00B325BC">
    <w:pPr>
      <w:pStyle w:val="Header"/>
    </w:pPr>
    <w:r>
      <w:rPr>
        <w:noProof/>
        <w:sz w:val="24"/>
        <w:szCs w:val="24"/>
        <w:lang w:eastAsia="zh-CN"/>
      </w:rPr>
      <w:drawing>
        <wp:inline distT="0" distB="0" distL="0" distR="0">
          <wp:extent cx="5725160" cy="7315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4C69"/>
    <w:multiLevelType w:val="multilevel"/>
    <w:tmpl w:val="1BAC4C69"/>
    <w:lvl w:ilvl="0">
      <w:start w:val="1"/>
      <w:numFmt w:val="decimal"/>
      <w:lvlText w:val="%1)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361" w:hanging="361"/>
      </w:pPr>
      <w:rPr>
        <w:rFonts w:hint="default"/>
        <w:w w:val="99"/>
      </w:rPr>
    </w:lvl>
    <w:lvl w:ilvl="2">
      <w:numFmt w:val="bullet"/>
      <w:lvlText w:val="•"/>
      <w:lvlJc w:val="left"/>
      <w:pPr>
        <w:ind w:left="2551" w:hanging="361"/>
      </w:pPr>
      <w:rPr>
        <w:rFonts w:hint="default"/>
      </w:rPr>
    </w:lvl>
    <w:lvl w:ilvl="3">
      <w:numFmt w:val="bullet"/>
      <w:lvlText w:val="•"/>
      <w:lvlJc w:val="left"/>
      <w:pPr>
        <w:ind w:left="3423" w:hanging="361"/>
      </w:pPr>
      <w:rPr>
        <w:rFonts w:hint="default"/>
      </w:rPr>
    </w:lvl>
    <w:lvl w:ilvl="4">
      <w:numFmt w:val="bullet"/>
      <w:lvlText w:val="•"/>
      <w:lvlJc w:val="left"/>
      <w:pPr>
        <w:ind w:left="4295" w:hanging="361"/>
      </w:pPr>
      <w:rPr>
        <w:rFonts w:hint="default"/>
      </w:rPr>
    </w:lvl>
    <w:lvl w:ilvl="5">
      <w:numFmt w:val="bullet"/>
      <w:lvlText w:val="•"/>
      <w:lvlJc w:val="left"/>
      <w:pPr>
        <w:ind w:left="5167" w:hanging="361"/>
      </w:pPr>
      <w:rPr>
        <w:rFonts w:hint="default"/>
      </w:rPr>
    </w:lvl>
    <w:lvl w:ilvl="6">
      <w:numFmt w:val="bullet"/>
      <w:lvlText w:val="•"/>
      <w:lvlJc w:val="left"/>
      <w:pPr>
        <w:ind w:left="6039" w:hanging="361"/>
      </w:pPr>
      <w:rPr>
        <w:rFonts w:hint="default"/>
      </w:rPr>
    </w:lvl>
    <w:lvl w:ilvl="7">
      <w:numFmt w:val="bullet"/>
      <w:lvlText w:val="•"/>
      <w:lvlJc w:val="left"/>
      <w:pPr>
        <w:ind w:left="6911" w:hanging="361"/>
      </w:pPr>
      <w:rPr>
        <w:rFonts w:hint="default"/>
      </w:rPr>
    </w:lvl>
    <w:lvl w:ilvl="8">
      <w:numFmt w:val="bullet"/>
      <w:lvlText w:val="•"/>
      <w:lvlJc w:val="left"/>
      <w:pPr>
        <w:ind w:left="7783" w:hanging="361"/>
      </w:pPr>
      <w:rPr>
        <w:rFonts w:hint="default"/>
      </w:rPr>
    </w:lvl>
  </w:abstractNum>
  <w:abstractNum w:abstractNumId="1" w15:restartNumberingAfterBreak="0">
    <w:nsid w:val="2F9656FE"/>
    <w:multiLevelType w:val="multilevel"/>
    <w:tmpl w:val="2F9656FE"/>
    <w:lvl w:ilvl="0">
      <w:start w:val="1"/>
      <w:numFmt w:val="decimal"/>
      <w:lvlText w:val="%1-"/>
      <w:lvlJc w:val="left"/>
      <w:pPr>
        <w:ind w:left="4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ind w:left="959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99"/>
        <w:sz w:val="26"/>
        <w:szCs w:val="26"/>
      </w:rPr>
    </w:lvl>
    <w:lvl w:ilvl="2">
      <w:numFmt w:val="bullet"/>
      <w:lvlText w:val="•"/>
      <w:lvlJc w:val="left"/>
      <w:pPr>
        <w:ind w:left="1802" w:hanging="130"/>
      </w:pPr>
      <w:rPr>
        <w:rFonts w:hint="default"/>
      </w:rPr>
    </w:lvl>
    <w:lvl w:ilvl="3">
      <w:numFmt w:val="bullet"/>
      <w:lvlText w:val="•"/>
      <w:lvlJc w:val="left"/>
      <w:pPr>
        <w:ind w:left="2645" w:hanging="130"/>
      </w:pPr>
      <w:rPr>
        <w:rFonts w:hint="default"/>
      </w:rPr>
    </w:lvl>
    <w:lvl w:ilvl="4">
      <w:numFmt w:val="bullet"/>
      <w:lvlText w:val="•"/>
      <w:lvlJc w:val="left"/>
      <w:pPr>
        <w:ind w:left="3488" w:hanging="130"/>
      </w:pPr>
      <w:rPr>
        <w:rFonts w:hint="default"/>
      </w:rPr>
    </w:lvl>
    <w:lvl w:ilvl="5">
      <w:numFmt w:val="bullet"/>
      <w:lvlText w:val="•"/>
      <w:lvlJc w:val="left"/>
      <w:pPr>
        <w:ind w:left="4331" w:hanging="130"/>
      </w:pPr>
      <w:rPr>
        <w:rFonts w:hint="default"/>
      </w:rPr>
    </w:lvl>
    <w:lvl w:ilvl="6">
      <w:numFmt w:val="bullet"/>
      <w:lvlText w:val="•"/>
      <w:lvlJc w:val="left"/>
      <w:pPr>
        <w:ind w:left="5174" w:hanging="130"/>
      </w:pPr>
      <w:rPr>
        <w:rFonts w:hint="default"/>
      </w:rPr>
    </w:lvl>
    <w:lvl w:ilvl="7">
      <w:numFmt w:val="bullet"/>
      <w:lvlText w:val="•"/>
      <w:lvlJc w:val="left"/>
      <w:pPr>
        <w:ind w:left="6017" w:hanging="130"/>
      </w:pPr>
      <w:rPr>
        <w:rFonts w:hint="default"/>
      </w:rPr>
    </w:lvl>
    <w:lvl w:ilvl="8">
      <w:numFmt w:val="bullet"/>
      <w:lvlText w:val="•"/>
      <w:lvlJc w:val="left"/>
      <w:pPr>
        <w:ind w:left="6860" w:hanging="130"/>
      </w:pPr>
      <w:rPr>
        <w:rFonts w:hint="default"/>
      </w:rPr>
    </w:lvl>
  </w:abstractNum>
  <w:abstractNum w:abstractNumId="2" w15:restartNumberingAfterBreak="0">
    <w:nsid w:val="4A446553"/>
    <w:multiLevelType w:val="multilevel"/>
    <w:tmpl w:val="4A4465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0C2C3"/>
    <w:multiLevelType w:val="multilevel"/>
    <w:tmpl w:val="4FD0C2C3"/>
    <w:lvl w:ilvl="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kYmE0MzY4NGFlMTBiZDlmNThmODdlODkwMTdiNjIifQ=="/>
  </w:docVars>
  <w:rsids>
    <w:rsidRoot w:val="00C906D7"/>
    <w:rsid w:val="0003047A"/>
    <w:rsid w:val="00041106"/>
    <w:rsid w:val="00076514"/>
    <w:rsid w:val="000A6000"/>
    <w:rsid w:val="00141172"/>
    <w:rsid w:val="00145110"/>
    <w:rsid w:val="00183F9D"/>
    <w:rsid w:val="001A32D0"/>
    <w:rsid w:val="001A55DA"/>
    <w:rsid w:val="001C4140"/>
    <w:rsid w:val="001E1F55"/>
    <w:rsid w:val="001F2337"/>
    <w:rsid w:val="00213DF3"/>
    <w:rsid w:val="00246D47"/>
    <w:rsid w:val="00252600"/>
    <w:rsid w:val="0025596D"/>
    <w:rsid w:val="002A7541"/>
    <w:rsid w:val="002C681A"/>
    <w:rsid w:val="00366003"/>
    <w:rsid w:val="00367B93"/>
    <w:rsid w:val="003741EB"/>
    <w:rsid w:val="00380C09"/>
    <w:rsid w:val="00397B3F"/>
    <w:rsid w:val="003B5ECF"/>
    <w:rsid w:val="00441451"/>
    <w:rsid w:val="00491918"/>
    <w:rsid w:val="004A2249"/>
    <w:rsid w:val="004A25B9"/>
    <w:rsid w:val="004C410A"/>
    <w:rsid w:val="004D3F09"/>
    <w:rsid w:val="005462A9"/>
    <w:rsid w:val="005929B8"/>
    <w:rsid w:val="005D423A"/>
    <w:rsid w:val="00615A2C"/>
    <w:rsid w:val="006369DE"/>
    <w:rsid w:val="0064694C"/>
    <w:rsid w:val="00662597"/>
    <w:rsid w:val="00664F09"/>
    <w:rsid w:val="006877F4"/>
    <w:rsid w:val="00696AC6"/>
    <w:rsid w:val="006B3BF6"/>
    <w:rsid w:val="006E6408"/>
    <w:rsid w:val="006F3C36"/>
    <w:rsid w:val="00723CEA"/>
    <w:rsid w:val="00751AC2"/>
    <w:rsid w:val="00761F93"/>
    <w:rsid w:val="00786AC5"/>
    <w:rsid w:val="007A5882"/>
    <w:rsid w:val="007B0614"/>
    <w:rsid w:val="007B4801"/>
    <w:rsid w:val="008116BD"/>
    <w:rsid w:val="00814452"/>
    <w:rsid w:val="00843C27"/>
    <w:rsid w:val="008472C5"/>
    <w:rsid w:val="008530B0"/>
    <w:rsid w:val="00875671"/>
    <w:rsid w:val="0088300C"/>
    <w:rsid w:val="00886F34"/>
    <w:rsid w:val="00894E03"/>
    <w:rsid w:val="008A4428"/>
    <w:rsid w:val="00916E7D"/>
    <w:rsid w:val="0092222F"/>
    <w:rsid w:val="00953926"/>
    <w:rsid w:val="00990962"/>
    <w:rsid w:val="00993BC6"/>
    <w:rsid w:val="009B2838"/>
    <w:rsid w:val="009B38CF"/>
    <w:rsid w:val="009C263A"/>
    <w:rsid w:val="009D2B3B"/>
    <w:rsid w:val="009E2AA8"/>
    <w:rsid w:val="009E712F"/>
    <w:rsid w:val="009E794D"/>
    <w:rsid w:val="00A32409"/>
    <w:rsid w:val="00AB1413"/>
    <w:rsid w:val="00AB3F0A"/>
    <w:rsid w:val="00AD24B8"/>
    <w:rsid w:val="00AE5683"/>
    <w:rsid w:val="00B162B1"/>
    <w:rsid w:val="00B203C7"/>
    <w:rsid w:val="00B30747"/>
    <w:rsid w:val="00B325BC"/>
    <w:rsid w:val="00B70517"/>
    <w:rsid w:val="00B70B22"/>
    <w:rsid w:val="00BC5D9C"/>
    <w:rsid w:val="00BD0CA5"/>
    <w:rsid w:val="00BF0C1C"/>
    <w:rsid w:val="00C0521F"/>
    <w:rsid w:val="00C6048F"/>
    <w:rsid w:val="00C62015"/>
    <w:rsid w:val="00C72ADA"/>
    <w:rsid w:val="00C8680A"/>
    <w:rsid w:val="00C906D7"/>
    <w:rsid w:val="00CB1F78"/>
    <w:rsid w:val="00CC3B57"/>
    <w:rsid w:val="00CD0B83"/>
    <w:rsid w:val="00D538C6"/>
    <w:rsid w:val="00D81D21"/>
    <w:rsid w:val="00DB02DA"/>
    <w:rsid w:val="00DC7B10"/>
    <w:rsid w:val="00DE0229"/>
    <w:rsid w:val="00DF359B"/>
    <w:rsid w:val="00E10115"/>
    <w:rsid w:val="00EB7300"/>
    <w:rsid w:val="00ED2F9B"/>
    <w:rsid w:val="00F1530F"/>
    <w:rsid w:val="00F34726"/>
    <w:rsid w:val="00F6675B"/>
    <w:rsid w:val="00F75335"/>
    <w:rsid w:val="0B4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4425"/>
  <w15:docId w15:val="{AD62372F-C7EC-462B-875E-32322150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autoRedefine/>
    <w:uiPriority w:val="9"/>
    <w:qFormat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Simplified Arabic" w:eastAsia="Simplified Arabic" w:hAnsi="Simplified Arabic" w:cs="Simplified Arabic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pPr>
      <w:widowControl w:val="0"/>
      <w:autoSpaceDE w:val="0"/>
      <w:autoSpaceDN w:val="0"/>
      <w:spacing w:before="100" w:after="0" w:line="240" w:lineRule="auto"/>
      <w:ind w:left="132" w:right="132"/>
      <w:jc w:val="center"/>
      <w:outlineLvl w:val="1"/>
    </w:pPr>
    <w:rPr>
      <w:rFonts w:ascii="Bookman Old Style" w:eastAsia="Bookman Old Style" w:hAnsi="Bookman Old Style" w:cs="Bookman Old Style"/>
      <w:sz w:val="44"/>
      <w:szCs w:val="4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pPr>
      <w:widowControl w:val="0"/>
      <w:autoSpaceDE w:val="0"/>
      <w:autoSpaceDN w:val="0"/>
      <w:spacing w:before="1" w:after="0" w:line="240" w:lineRule="auto"/>
      <w:ind w:left="597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pPr>
      <w:widowControl w:val="0"/>
      <w:autoSpaceDE w:val="0"/>
      <w:autoSpaceDN w:val="0"/>
      <w:spacing w:after="0" w:line="240" w:lineRule="auto"/>
      <w:ind w:left="1277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67" w:after="0" w:line="240" w:lineRule="auto"/>
      <w:ind w:left="2524" w:right="2524"/>
      <w:jc w:val="center"/>
    </w:pPr>
    <w:rPr>
      <w:rFonts w:ascii="Monotype Corsiva" w:eastAsia="Monotype Corsiva" w:hAnsi="Monotype Corsiva" w:cs="Monotype Corsiva"/>
      <w:b/>
      <w:bCs/>
      <w:i/>
      <w:iCs/>
      <w:sz w:val="56"/>
      <w:szCs w:val="56"/>
    </w:r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autoRedefine/>
    <w:uiPriority w:val="9"/>
    <w:rPr>
      <w:rFonts w:ascii="Bookman Old Style" w:eastAsia="Bookman Old Style" w:hAnsi="Bookman Old Style" w:cs="Bookman Old Style"/>
      <w:sz w:val="44"/>
      <w:szCs w:val="44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autoRedefine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pPr>
      <w:widowControl w:val="0"/>
      <w:autoSpaceDE w:val="0"/>
      <w:autoSpaceDN w:val="0"/>
      <w:spacing w:after="0" w:line="240" w:lineRule="auto"/>
      <w:ind w:left="959" w:hanging="360"/>
      <w:jc w:val="both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autoRedefine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autoRedefine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Simplified Arabic" w:eastAsia="Simplified Arabic" w:hAnsi="Simplified Arabic" w:cs="Simplified Arabic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Monotype Corsiva" w:eastAsia="Monotype Corsiva" w:hAnsi="Monotype Corsiva" w:cs="Monotype Corsiva"/>
      <w:b/>
      <w:bCs/>
      <w:i/>
      <w:iCs/>
      <w:sz w:val="56"/>
      <w:szCs w:val="56"/>
    </w:rPr>
  </w:style>
  <w:style w:type="paragraph" w:customStyle="1" w:styleId="TableParagraph">
    <w:name w:val="Table Paragraph"/>
    <w:basedOn w:val="Normal"/>
    <w:autoRedefine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edo_82@hotmail.co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hyperlink" Target="https://doi.org/10.1016/S1470-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hyperlink" Target="https://doi.org/10.21147/j.issn.1000-9604.2017.01.0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x.doi.org/10.7537/marscbj130423.04" TargetMode="External"/><Relationship Id="rId24" Type="http://schemas.openxmlformats.org/officeDocument/2006/relationships/hyperlink" Target="https://doi.org/10.2217/fon.14.14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doi.org/10.1182/blood-2008-10-18225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iencepub.net/nature.%20%20x.doi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header" Target="header2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4584</Words>
  <Characters>26130</Characters>
  <Application>Microsoft Office Word</Application>
  <DocSecurity>0</DocSecurity>
  <Lines>217</Lines>
  <Paragraphs>61</Paragraphs>
  <ScaleCrop>false</ScaleCrop>
  <Company/>
  <LinksUpToDate>false</LinksUpToDate>
  <CharactersWithSpaces>30653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Wedad</dc:creator>
  <cp:lastModifiedBy>admin</cp:lastModifiedBy>
  <cp:revision>6</cp:revision>
  <dcterms:created xsi:type="dcterms:W3CDTF">2024-01-23T05:43:00Z</dcterms:created>
  <dcterms:modified xsi:type="dcterms:W3CDTF">2024-01-31T01:36:00Z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BF9ABF49714A4786874224BD89756479_12</vt:lpwstr>
  </property>
</Properties>
</file>