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1" w:rsidRPr="00943A3C" w:rsidRDefault="00943A3C" w:rsidP="00757497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757497">
      <w:pPr>
        <w:jc w:val="center"/>
        <w:rPr>
          <w:sz w:val="20"/>
        </w:rPr>
      </w:pPr>
    </w:p>
    <w:tbl>
      <w:tblPr>
        <w:tblStyle w:val="TableNormal"/>
        <w:tblW w:w="9580" w:type="dxa"/>
        <w:tblCellSpacing w:w="15" w:type="dxa"/>
        <w:tblInd w:w="0" w:type="dxa"/>
        <w:tblLayout w:type="fixed"/>
        <w:tblLook w:val="04A0"/>
      </w:tblPr>
      <w:tblGrid>
        <w:gridCol w:w="622"/>
        <w:gridCol w:w="7513"/>
        <w:gridCol w:w="286"/>
        <w:gridCol w:w="1159"/>
      </w:tblGrid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Rural Women Empowerment through Self Help Groups in Nigeria: The Role of Participation and Volunteerism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Asnarulkhadi Abu Samah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  Nobaya Ahmad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  Muhammad Ndas Ndaeji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744-754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Seasonal variations in food selectivity, condition factor and the hepatosomatic and gonadosomatic indices in the endangered killifish</w:t>
            </w:r>
            <w:r w:rsidRPr="00774371">
              <w:rPr>
                <w:b/>
                <w:bCs/>
                <w:sz w:val="20"/>
              </w:rPr>
              <w:t> 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Aphanius dispardispar</w:t>
            </w:r>
            <w:r w:rsidRPr="00774371">
              <w:rPr>
                <w:b/>
                <w:bCs/>
                <w:i/>
                <w:iCs/>
                <w:sz w:val="20"/>
              </w:rPr>
              <w:t> </w:t>
            </w:r>
            <w:r w:rsidRPr="00774371">
              <w:rPr>
                <w:b/>
                <w:bCs/>
                <w:sz w:val="20"/>
                <w:szCs w:val="20"/>
              </w:rPr>
              <w:t>(Teleostei: Cyprinodontidae) in Alhasa,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Ibrahim Mohamed Ageili., Ali Suliman Al-Akel. and El Amin Mohamed Suliman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754-761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Development of the innovation management system in organization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Bakhytzhan Seksenbayev</w:t>
            </w:r>
            <w:r w:rsidR="00510EC1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Aygerim Abeldanova</w:t>
            </w:r>
            <w:r w:rsidRPr="00774371">
              <w:rPr>
                <w:sz w:val="20"/>
              </w:rPr>
              <w:t> </w:t>
            </w:r>
            <w:r w:rsidR="00510EC1">
              <w:rPr>
                <w:color w:val="000000"/>
                <w:sz w:val="20"/>
                <w:szCs w:val="20"/>
                <w:shd w:val="clear" w:color="auto" w:fill="FFFFFF"/>
                <w:vertAlign w:val="superscript"/>
                <w:lang w:val="kk-KZ"/>
              </w:rPr>
              <w:t xml:space="preserve"> </w:t>
            </w:r>
            <w:r w:rsidRPr="00774371">
              <w:rPr>
                <w:sz w:val="20"/>
                <w:szCs w:val="20"/>
              </w:rPr>
              <w:t>, Bekaidar Nurmashev</w:t>
            </w:r>
            <w:r w:rsidR="00510EC1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Altyn Yessirkepova</w:t>
            </w:r>
            <w:r w:rsidR="00510EC1">
              <w:rPr>
                <w:color w:val="000000"/>
                <w:sz w:val="20"/>
                <w:szCs w:val="20"/>
                <w:shd w:val="clear" w:color="auto" w:fill="FFFFFF"/>
                <w:vertAlign w:val="superscript"/>
                <w:lang w:val="kk-KZ"/>
              </w:rPr>
              <w:t xml:space="preserve"> </w:t>
            </w:r>
            <w:r w:rsidRPr="00774371">
              <w:rPr>
                <w:sz w:val="20"/>
                <w:szCs w:val="20"/>
              </w:rPr>
              <w:t>, Zhanna Aliyeva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762-766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Evaluation of The effect of Propolis extract on the Tongue mucosa of an Induced toxic rabbit by Fenitrothion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Elham F.Mahmoud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Mahmoud F. Mahmoud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767-775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Preservice Teachers’ Thinking about Agency and Assessment in the Context of Personal Competencies and Structural Constraints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Jeffrey Spencer Clark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Medet Jandildinov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Roza Abitayeva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, Kulbarshin Akhmetkarimova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</w:t>
            </w:r>
            <w:r w:rsidR="00F470C6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Nursulu Algozhaeva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776-789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Financial mechanism of housing and utilities infrastructure of Russian Federation</w:t>
            </w:r>
          </w:p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Elena Mihajlovna Kryukova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Dina Rafikovna Makeeva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Marija Anatol'evna Atamanova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Irina Gennad'evna Shadskaja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790-794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Revisiting the Issue of Legislation in the Sphere of Entrepreneurial Activity in Kazakhstan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Rassul Moldabayev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795-798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Selenium containing heterocyclic: Synthesis, antimicrobial of some new selenazole Substituted phthalazin-ones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Ibrahim E. El-Shamy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A. M. Abdel-Mohsen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Moustafa M. G. Fouda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Numan Almonasy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Salem S. Al-Deyab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Maher A. El-Hashash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799-809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Histochemical and Biolchemical effects induced by LD</w:t>
            </w:r>
            <w:r w:rsidRPr="00774371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Pr="00774371">
              <w:rPr>
                <w:b/>
                <w:bCs/>
                <w:sz w:val="20"/>
                <w:vertAlign w:val="subscript"/>
              </w:rPr>
              <w:t> </w:t>
            </w:r>
            <w:r w:rsidRPr="00774371">
              <w:rPr>
                <w:b/>
                <w:bCs/>
                <w:sz w:val="20"/>
                <w:szCs w:val="20"/>
              </w:rPr>
              <w:t>of</w:t>
            </w:r>
            <w:r w:rsidRPr="00774371">
              <w:rPr>
                <w:b/>
                <w:bCs/>
                <w:sz w:val="20"/>
              </w:rPr>
              <w:t> 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Cerastes cerastes gasperetti</w:t>
            </w:r>
            <w:r w:rsidRPr="00774371">
              <w:rPr>
                <w:b/>
                <w:bCs/>
                <w:i/>
                <w:iCs/>
                <w:sz w:val="20"/>
              </w:rPr>
              <w:t> </w:t>
            </w:r>
            <w:r w:rsidRPr="00774371">
              <w:rPr>
                <w:b/>
                <w:bCs/>
                <w:sz w:val="20"/>
                <w:szCs w:val="20"/>
              </w:rPr>
              <w:t>crude venom in mice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K. Al-Sadoon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</w:t>
            </w:r>
            <w:r w:rsidR="00510EC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Ahmed E. Abdel Moneim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Amira A. Bauomy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Marwa S. M. Diab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810-817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Use of Psychotechnical Methods in Formation of Vocal Performance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Li Eryong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ru-RU"/>
              </w:rPr>
              <w:t>818-823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Main ways of attracting investments into agriculture and agro-industrial complex of Russia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tr-TR"/>
              </w:rPr>
              <w:t>Parviz</w:t>
            </w:r>
            <w:r w:rsidRPr="00774371">
              <w:rPr>
                <w:sz w:val="20"/>
                <w:lang w:val="tr-TR"/>
              </w:rPr>
              <w:t> </w:t>
            </w:r>
            <w:r w:rsidRPr="00774371">
              <w:rPr>
                <w:sz w:val="20"/>
                <w:szCs w:val="20"/>
              </w:rPr>
              <w:t> Hajiyev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Zhanna Mingaleva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824-829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Analysis of Potential of Error-correcting Capabilities of Codes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Igor Yakovlevich Lvovich, Andrey Petrovich Preobrazhenskiy, Oleg Nikolaevich Choporov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830-833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Finishing of cellulosic fabrics with Chitosan/polyethylene glycol-siloxane to improve their Performance and antibacterial properties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R. M. Abdel-Rahman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A. M. Abdel-Mohsen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Moustafa M. G. Fouda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Salem S. Al Deyab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Asmaa S. Mohamed</w:t>
            </w:r>
          </w:p>
          <w:p w:rsidR="00B20A9B" w:rsidRPr="00F470C6" w:rsidRDefault="00B20A9B" w:rsidP="006C0B1A">
            <w:pPr>
              <w:jc w:val="both"/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834-839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antibacterial activity of 3-arylidene chromen-2, 4-dione derivatives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F. K. Mohamed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A. Y. Soliman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Ramadan M. Abdel-Motaleb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R. M. Abdel-Rahman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M. Abdel-Mohsen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Moustafa M. G. Fouda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Numan Almonasy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Asmaa S. Mohamed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840-845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of new coumarin derivatives using Diels-Alder reaction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Y. Soliman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F. K. Mohamed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Ramadan M. Abdel-Motaleb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R. M. Abdel-Rahman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A. M. Abdel-Mohsen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Moustafa M. G. Fouda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Asmaa S. Mohamed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846-850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Estimating Oil Palm Yields using Vegetation Indices Derived from Quickbird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Siva K Balasundram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Hadi Memarian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Rajiv Khosla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851-860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6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Anatomical studies on the cranial nerves of fully formed embryonic stage of</w:t>
            </w:r>
            <w:r w:rsidRPr="00774371">
              <w:rPr>
                <w:b/>
                <w:bCs/>
                <w:sz w:val="20"/>
              </w:rPr>
              <w:t> 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Liza ramada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(Risso, 1827)</w:t>
            </w:r>
            <w:r w:rsidRPr="00774371">
              <w:rPr>
                <w:b/>
                <w:bCs/>
                <w:sz w:val="20"/>
                <w:szCs w:val="20"/>
              </w:rPr>
              <w:t>. I.</w:t>
            </w:r>
            <w:r w:rsidRPr="00774371">
              <w:rPr>
                <w:b/>
                <w:bCs/>
                <w:sz w:val="20"/>
              </w:rPr>
              <w:t> </w:t>
            </w:r>
            <w:r w:rsidRPr="00774371">
              <w:rPr>
                <w:b/>
                <w:bCs/>
                <w:sz w:val="20"/>
                <w:szCs w:val="20"/>
              </w:rPr>
              <w:t>The eye muscle nerves and the ciliary ganglion</w:t>
            </w:r>
          </w:p>
          <w:p w:rsidR="00B20A9B" w:rsidRPr="00774371" w:rsidRDefault="00B20A9B" w:rsidP="006C0B1A">
            <w:pPr>
              <w:ind w:right="26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Dakrory, A.I.;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Abdel-Kader, T.G. and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Ali, H.M.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861-876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Performance of Ten Imported Tree and Shrub Species Grown Under the Environmental Conditions of RiyadhRegion</w:t>
            </w:r>
            <w:r w:rsidRPr="00774371">
              <w:rPr>
                <w:b/>
                <w:bCs/>
                <w:sz w:val="20"/>
                <w:szCs w:val="20"/>
              </w:rPr>
              <w:t>, Saudi Arabia</w:t>
            </w:r>
          </w:p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Fahed A. Al-Mana and Yahia A. Ahmad</w:t>
            </w:r>
          </w:p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877-885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Examination of substance-use and its psychological signs among the spes students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tr-TR"/>
              </w:rPr>
              <w:t>Engin Gezer</w:t>
            </w:r>
          </w:p>
          <w:p w:rsidR="00B20A9B" w:rsidRPr="00774371" w:rsidRDefault="00B20A9B" w:rsidP="006C0B1A">
            <w:pPr>
              <w:ind w:left="14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tr-TR"/>
              </w:rPr>
              <w:t>886-894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Enhanced absorption of Stachydrine using a self-double-emulsifying drug delivery systems (SDEDDS): in vitro and in vivo studies</w:t>
            </w:r>
          </w:p>
          <w:p w:rsidR="00B20A9B" w:rsidRPr="00774371" w:rsidRDefault="00457E5B" w:rsidP="006C0B1A">
            <w:pPr>
              <w:ind w:firstLine="9"/>
              <w:jc w:val="both"/>
              <w:rPr>
                <w:sz w:val="20"/>
              </w:rPr>
            </w:pPr>
            <w:hyperlink r:id="rId7" w:history="1">
              <w:r w:rsidR="00B20A9B" w:rsidRPr="00774371">
                <w:rPr>
                  <w:sz w:val="20"/>
                </w:rPr>
                <w:t>Li Zhang</w:t>
              </w:r>
            </w:hyperlink>
            <w:r w:rsidR="00B20A9B" w:rsidRPr="00774371">
              <w:rPr>
                <w:sz w:val="20"/>
                <w:szCs w:val="20"/>
                <w:shd w:val="clear" w:color="auto" w:fill="FFFFFF"/>
              </w:rPr>
              <w:t>, Quan Zhang, Peng Zhou, Gong Tao,</w:t>
            </w:r>
            <w:r w:rsidR="00B20A9B" w:rsidRPr="00774371">
              <w:rPr>
                <w:sz w:val="20"/>
              </w:rPr>
              <w:t> </w:t>
            </w:r>
            <w:hyperlink r:id="rId8" w:history="1">
              <w:r w:rsidR="00B20A9B" w:rsidRPr="00774371">
                <w:rPr>
                  <w:sz w:val="20"/>
                </w:rPr>
                <w:t>Zhirong Zhong</w:t>
              </w:r>
            </w:hyperlink>
            <w:r w:rsidR="00B20A9B" w:rsidRPr="00774371">
              <w:rPr>
                <w:sz w:val="20"/>
                <w:szCs w:val="20"/>
                <w:shd w:val="clear" w:color="auto" w:fill="FFFFFF"/>
              </w:rPr>
              <w:t>,</w:t>
            </w:r>
            <w:r w:rsidR="00B20A9B" w:rsidRPr="00774371">
              <w:rPr>
                <w:sz w:val="20"/>
              </w:rPr>
              <w:t> </w:t>
            </w:r>
            <w:hyperlink r:id="rId9" w:history="1">
              <w:r w:rsidR="00B20A9B" w:rsidRPr="00774371">
                <w:rPr>
                  <w:sz w:val="20"/>
                </w:rPr>
                <w:t>Zhirong Zhang</w:t>
              </w:r>
            </w:hyperlink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801CE2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895-899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Influence of Institutional Factors on Innovations in Grain Production by the Agroindustrial Complex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Zhanna Mingaleva</w:t>
            </w:r>
            <w:r w:rsidRPr="00774371">
              <w:rPr>
                <w:b/>
                <w:bCs/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Bektur Keneshbayev</w:t>
            </w:r>
            <w:r w:rsidRPr="00774371">
              <w:rPr>
                <w:sz w:val="20"/>
              </w:rPr>
              <w:t> </w:t>
            </w:r>
            <w:r w:rsidR="00510EC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Gulmira Mombekova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900-904</w:t>
            </w:r>
          </w:p>
        </w:tc>
      </w:tr>
    </w:tbl>
    <w:p w:rsidR="00943A3C" w:rsidRDefault="00943A3C" w:rsidP="00BB7612">
      <w:pPr>
        <w:jc w:val="center"/>
        <w:rPr>
          <w:sz w:val="20"/>
        </w:rPr>
      </w:pPr>
    </w:p>
    <w:sectPr w:rsidR="00943A3C" w:rsidSect="00EB7BFF">
      <w:headerReference w:type="default" r:id="rId10"/>
      <w:footerReference w:type="default" r:id="rId1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01" w:rsidRDefault="00386901" w:rsidP="00B20A9B">
      <w:r>
        <w:separator/>
      </w:r>
    </w:p>
  </w:endnote>
  <w:endnote w:type="continuationSeparator" w:id="1">
    <w:p w:rsidR="00386901" w:rsidRDefault="00386901" w:rsidP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1" w:rsidRPr="00EB7BFF" w:rsidRDefault="00457E5B" w:rsidP="00EB7BFF">
    <w:pPr>
      <w:pStyle w:val="a5"/>
      <w:jc w:val="center"/>
      <w:rPr>
        <w:sz w:val="20"/>
      </w:rPr>
    </w:pPr>
    <w:r w:rsidRPr="00EB7BFF">
      <w:rPr>
        <w:sz w:val="20"/>
      </w:rPr>
      <w:fldChar w:fldCharType="begin"/>
    </w:r>
    <w:r w:rsidR="004D5981" w:rsidRPr="00EB7BFF">
      <w:rPr>
        <w:sz w:val="20"/>
      </w:rPr>
      <w:instrText xml:space="preserve"> PAGE   \* MERGEFORMAT </w:instrText>
    </w:r>
    <w:r w:rsidRPr="00EB7BFF">
      <w:rPr>
        <w:sz w:val="20"/>
      </w:rPr>
      <w:fldChar w:fldCharType="separate"/>
    </w:r>
    <w:r w:rsidR="007346EF" w:rsidRPr="007346EF">
      <w:rPr>
        <w:noProof/>
        <w:sz w:val="20"/>
        <w:lang w:val="zh-CN"/>
      </w:rPr>
      <w:t>II</w:t>
    </w:r>
    <w:r w:rsidRPr="00EB7BF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01" w:rsidRDefault="00386901" w:rsidP="00B20A9B">
      <w:r>
        <w:separator/>
      </w:r>
    </w:p>
  </w:footnote>
  <w:footnote w:type="continuationSeparator" w:id="1">
    <w:p w:rsidR="00386901" w:rsidRDefault="00386901" w:rsidP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1" w:rsidRPr="00EB7BFF" w:rsidRDefault="004D5981" w:rsidP="00EB7BF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a6"/>
          <w:sz w:val="20"/>
          <w:szCs w:val="20"/>
        </w:rPr>
        <w:t>http://www.lifesciencesite.com</w:t>
      </w:r>
    </w:hyperlink>
  </w:p>
  <w:p w:rsidR="004D5981" w:rsidRPr="00EB7BFF" w:rsidRDefault="004D5981" w:rsidP="00EB7BFF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2988"/>
    <w:rsid w:val="000469AA"/>
    <w:rsid w:val="00067928"/>
    <w:rsid w:val="000D481C"/>
    <w:rsid w:val="000E0E33"/>
    <w:rsid w:val="000F2277"/>
    <w:rsid w:val="000F52B9"/>
    <w:rsid w:val="001016BF"/>
    <w:rsid w:val="001028D2"/>
    <w:rsid w:val="001720E9"/>
    <w:rsid w:val="0018298E"/>
    <w:rsid w:val="001A18E9"/>
    <w:rsid w:val="00234BD9"/>
    <w:rsid w:val="00282EF0"/>
    <w:rsid w:val="003026BB"/>
    <w:rsid w:val="003062B2"/>
    <w:rsid w:val="0035391A"/>
    <w:rsid w:val="003600B0"/>
    <w:rsid w:val="0036402B"/>
    <w:rsid w:val="0036529D"/>
    <w:rsid w:val="00386901"/>
    <w:rsid w:val="003C4520"/>
    <w:rsid w:val="003D3EC7"/>
    <w:rsid w:val="003D5E18"/>
    <w:rsid w:val="003E51F4"/>
    <w:rsid w:val="003F3E81"/>
    <w:rsid w:val="00405803"/>
    <w:rsid w:val="00423666"/>
    <w:rsid w:val="004265CC"/>
    <w:rsid w:val="00457E5B"/>
    <w:rsid w:val="00462A8B"/>
    <w:rsid w:val="00464157"/>
    <w:rsid w:val="004D2F53"/>
    <w:rsid w:val="004D5981"/>
    <w:rsid w:val="00510EC1"/>
    <w:rsid w:val="005178CB"/>
    <w:rsid w:val="00522D21"/>
    <w:rsid w:val="00526626"/>
    <w:rsid w:val="00552747"/>
    <w:rsid w:val="005B5CA6"/>
    <w:rsid w:val="00642180"/>
    <w:rsid w:val="00656686"/>
    <w:rsid w:val="006A4CDF"/>
    <w:rsid w:val="006B62FE"/>
    <w:rsid w:val="006C0B1A"/>
    <w:rsid w:val="006D4A4F"/>
    <w:rsid w:val="007346EF"/>
    <w:rsid w:val="00757497"/>
    <w:rsid w:val="00774371"/>
    <w:rsid w:val="007A24E1"/>
    <w:rsid w:val="007B7312"/>
    <w:rsid w:val="007D10C6"/>
    <w:rsid w:val="007F52A5"/>
    <w:rsid w:val="00801CE2"/>
    <w:rsid w:val="00830E80"/>
    <w:rsid w:val="008312E4"/>
    <w:rsid w:val="008319CF"/>
    <w:rsid w:val="00837F4A"/>
    <w:rsid w:val="008775E9"/>
    <w:rsid w:val="00886CEC"/>
    <w:rsid w:val="008B3DB7"/>
    <w:rsid w:val="008D34E1"/>
    <w:rsid w:val="008E0C81"/>
    <w:rsid w:val="008E73B3"/>
    <w:rsid w:val="008F579F"/>
    <w:rsid w:val="00935BE8"/>
    <w:rsid w:val="00943A3C"/>
    <w:rsid w:val="00944C19"/>
    <w:rsid w:val="00971F2F"/>
    <w:rsid w:val="00974F57"/>
    <w:rsid w:val="009D548D"/>
    <w:rsid w:val="00A1087A"/>
    <w:rsid w:val="00A30474"/>
    <w:rsid w:val="00AB13C5"/>
    <w:rsid w:val="00AF0CCB"/>
    <w:rsid w:val="00B0043A"/>
    <w:rsid w:val="00B03AB4"/>
    <w:rsid w:val="00B1678F"/>
    <w:rsid w:val="00B20A9B"/>
    <w:rsid w:val="00B42AB6"/>
    <w:rsid w:val="00B9492E"/>
    <w:rsid w:val="00B94FDC"/>
    <w:rsid w:val="00BA67F1"/>
    <w:rsid w:val="00BB0DEB"/>
    <w:rsid w:val="00BB7612"/>
    <w:rsid w:val="00BE0008"/>
    <w:rsid w:val="00BF4FE8"/>
    <w:rsid w:val="00C1728F"/>
    <w:rsid w:val="00C50CA8"/>
    <w:rsid w:val="00CC72C0"/>
    <w:rsid w:val="00CF69E4"/>
    <w:rsid w:val="00D01F92"/>
    <w:rsid w:val="00D02F3D"/>
    <w:rsid w:val="00D229AF"/>
    <w:rsid w:val="00D308A4"/>
    <w:rsid w:val="00D33456"/>
    <w:rsid w:val="00D5283D"/>
    <w:rsid w:val="00D55125"/>
    <w:rsid w:val="00E06329"/>
    <w:rsid w:val="00E711E2"/>
    <w:rsid w:val="00E870CE"/>
    <w:rsid w:val="00E96FCB"/>
    <w:rsid w:val="00EA39C0"/>
    <w:rsid w:val="00EA572F"/>
    <w:rsid w:val="00EA6EF3"/>
    <w:rsid w:val="00EB7BFF"/>
    <w:rsid w:val="00EC1287"/>
    <w:rsid w:val="00F470C6"/>
    <w:rsid w:val="00F60B22"/>
    <w:rsid w:val="00F80423"/>
    <w:rsid w:val="00F85837"/>
    <w:rsid w:val="00F94E08"/>
    <w:rsid w:val="00FA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A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EB7BF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3785173070024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3785173070024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3785173070024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A7D-7F0B-4C76-AFD4-A0065A0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Company>微软中国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2013-12-06T12:56:00Z</dcterms:created>
  <dcterms:modified xsi:type="dcterms:W3CDTF">2013-12-06T12:56:00Z</dcterms:modified>
</cp:coreProperties>
</file>