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C81" w:rsidRPr="00943A3C" w:rsidRDefault="00943A3C" w:rsidP="00943A3C">
      <w:pPr>
        <w:jc w:val="center"/>
        <w:rPr>
          <w:b/>
          <w:sz w:val="32"/>
          <w:szCs w:val="32"/>
        </w:rPr>
      </w:pPr>
      <w:r w:rsidRPr="00943A3C">
        <w:rPr>
          <w:b/>
          <w:sz w:val="32"/>
          <w:szCs w:val="32"/>
        </w:rPr>
        <w:t>CONTENTS</w:t>
      </w:r>
    </w:p>
    <w:p w:rsidR="00943A3C" w:rsidRPr="00943A3C" w:rsidRDefault="00943A3C" w:rsidP="00943A3C">
      <w:pPr>
        <w:jc w:val="center"/>
        <w:rPr>
          <w:sz w:val="20"/>
        </w:rPr>
      </w:pPr>
    </w:p>
    <w:tbl>
      <w:tblPr>
        <w:tblStyle w:val="TableNormal"/>
        <w:tblW w:w="9567" w:type="dxa"/>
        <w:tblCellSpacing w:w="15" w:type="dxa"/>
        <w:tblInd w:w="0" w:type="dxa"/>
        <w:tblLook w:val="04A0"/>
      </w:tblPr>
      <w:tblGrid>
        <w:gridCol w:w="622"/>
        <w:gridCol w:w="7230"/>
        <w:gridCol w:w="286"/>
        <w:gridCol w:w="1429"/>
      </w:tblGrid>
      <w:tr w:rsidR="0085455B" w:rsidRPr="00943A3C" w:rsidTr="0085455B">
        <w:trPr>
          <w:tblCellSpacing w:w="15" w:type="dxa"/>
        </w:trPr>
        <w:tc>
          <w:tcPr>
            <w:tcW w:w="577" w:type="dxa"/>
            <w:tcMar>
              <w:top w:w="15" w:type="dxa"/>
              <w:left w:w="15" w:type="dxa"/>
              <w:bottom w:w="15" w:type="dxa"/>
              <w:right w:w="15" w:type="dxa"/>
            </w:tcMar>
            <w:hideMark/>
          </w:tcPr>
          <w:p w:rsidR="0085455B" w:rsidRPr="00C05667" w:rsidRDefault="0085455B" w:rsidP="005070EF">
            <w:pPr>
              <w:jc w:val="center"/>
              <w:rPr>
                <w:b/>
                <w:sz w:val="20"/>
              </w:rPr>
            </w:pPr>
            <w:r w:rsidRPr="00C05667">
              <w:rPr>
                <w:b/>
                <w:sz w:val="20"/>
                <w:szCs w:val="20"/>
              </w:rPr>
              <w:t>1</w:t>
            </w:r>
          </w:p>
        </w:tc>
        <w:tc>
          <w:tcPr>
            <w:tcW w:w="7200" w:type="dxa"/>
            <w:vAlign w:val="center"/>
          </w:tcPr>
          <w:p w:rsidR="0085455B" w:rsidRPr="00867591" w:rsidRDefault="0085455B" w:rsidP="005070EF">
            <w:pPr>
              <w:rPr>
                <w:sz w:val="20"/>
              </w:rPr>
            </w:pPr>
            <w:r w:rsidRPr="00867591">
              <w:rPr>
                <w:b/>
                <w:bCs/>
                <w:sz w:val="20"/>
                <w:szCs w:val="20"/>
              </w:rPr>
              <w:t>Study on avian diversity of thal desert (district jhang), punjab, pakistan</w:t>
            </w:r>
          </w:p>
          <w:p w:rsidR="0085455B" w:rsidRPr="00867591" w:rsidRDefault="0085455B" w:rsidP="005070EF">
            <w:pPr>
              <w:rPr>
                <w:sz w:val="20"/>
              </w:rPr>
            </w:pPr>
            <w:r w:rsidRPr="00867591">
              <w:rPr>
                <w:sz w:val="20"/>
                <w:szCs w:val="20"/>
              </w:rPr>
              <w:t>Shahid Mahboob</w:t>
            </w:r>
            <w:r w:rsidRPr="00867591">
              <w:rPr>
                <w:sz w:val="20"/>
              </w:rPr>
              <w:t> </w:t>
            </w:r>
            <w:r w:rsidRPr="00867591">
              <w:rPr>
                <w:sz w:val="20"/>
                <w:szCs w:val="20"/>
              </w:rPr>
              <w:t>Zaib-U-Nisa</w:t>
            </w:r>
            <w:r w:rsidRPr="00867591">
              <w:rPr>
                <w:sz w:val="20"/>
              </w:rPr>
              <w:t> </w:t>
            </w:r>
            <w:r w:rsidRPr="00867591">
              <w:rPr>
                <w:sz w:val="20"/>
                <w:szCs w:val="20"/>
              </w:rPr>
              <w:t>, Alkahem Al-Balawi, H. F</w:t>
            </w:r>
            <w:r w:rsidRPr="00867591">
              <w:rPr>
                <w:sz w:val="20"/>
              </w:rPr>
              <w:t> </w:t>
            </w:r>
            <w:r w:rsidRPr="00867591">
              <w:rPr>
                <w:sz w:val="20"/>
                <w:szCs w:val="20"/>
              </w:rPr>
              <w:t>, Fahad Al-Misned, Z. Ahmad</w:t>
            </w:r>
            <w:r>
              <w:rPr>
                <w:rFonts w:hint="eastAsia"/>
                <w:sz w:val="20"/>
                <w:szCs w:val="20"/>
              </w:rPr>
              <w:t xml:space="preserve"> </w:t>
            </w:r>
            <w:r w:rsidRPr="00867591">
              <w:rPr>
                <w:sz w:val="20"/>
                <w:szCs w:val="20"/>
              </w:rPr>
              <w:t>and S. Sultana</w:t>
            </w:r>
            <w:r w:rsidRPr="00867591">
              <w:rPr>
                <w:sz w:val="20"/>
              </w:rPr>
              <w:t> </w:t>
            </w:r>
            <w:r>
              <w:rPr>
                <w:sz w:val="20"/>
                <w:szCs w:val="20"/>
                <w:vertAlign w:val="superscript"/>
              </w:rPr>
              <w:t xml:space="preserve"> </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hideMark/>
          </w:tcPr>
          <w:p w:rsidR="0085455B" w:rsidRPr="00C05667" w:rsidRDefault="0085455B" w:rsidP="005070EF">
            <w:pPr>
              <w:jc w:val="center"/>
              <w:rPr>
                <w:b/>
                <w:sz w:val="20"/>
              </w:rPr>
            </w:pPr>
            <w:r w:rsidRPr="00C05667">
              <w:rPr>
                <w:b/>
                <w:sz w:val="20"/>
                <w:szCs w:val="20"/>
              </w:rPr>
              <w:t>1-11</w:t>
            </w:r>
          </w:p>
        </w:tc>
      </w:tr>
      <w:tr w:rsidR="0085455B" w:rsidRPr="00943A3C" w:rsidTr="0085455B">
        <w:trPr>
          <w:tblCellSpacing w:w="15" w:type="dxa"/>
        </w:trPr>
        <w:tc>
          <w:tcPr>
            <w:tcW w:w="577" w:type="dxa"/>
            <w:tcMar>
              <w:top w:w="15" w:type="dxa"/>
              <w:left w:w="15" w:type="dxa"/>
              <w:bottom w:w="15" w:type="dxa"/>
              <w:right w:w="15" w:type="dxa"/>
            </w:tcMar>
            <w:hideMark/>
          </w:tcPr>
          <w:p w:rsidR="0085455B" w:rsidRPr="00C05667" w:rsidRDefault="0085455B" w:rsidP="005070EF">
            <w:pPr>
              <w:jc w:val="center"/>
              <w:rPr>
                <w:b/>
                <w:sz w:val="20"/>
              </w:rPr>
            </w:pPr>
            <w:r w:rsidRPr="00C05667">
              <w:rPr>
                <w:b/>
                <w:sz w:val="20"/>
                <w:szCs w:val="20"/>
              </w:rPr>
              <w:t>2</w:t>
            </w:r>
          </w:p>
        </w:tc>
        <w:tc>
          <w:tcPr>
            <w:tcW w:w="7200" w:type="dxa"/>
            <w:vAlign w:val="center"/>
          </w:tcPr>
          <w:p w:rsidR="0085455B" w:rsidRPr="00867591" w:rsidRDefault="0085455B" w:rsidP="005070EF">
            <w:pPr>
              <w:rPr>
                <w:sz w:val="20"/>
              </w:rPr>
            </w:pPr>
            <w:r w:rsidRPr="00867591">
              <w:rPr>
                <w:b/>
                <w:bCs/>
                <w:sz w:val="20"/>
                <w:szCs w:val="20"/>
              </w:rPr>
              <w:t>Psychology-Pedagogical Basis of Forming Pupils Healthy</w:t>
            </w:r>
          </w:p>
          <w:p w:rsidR="0085455B" w:rsidRPr="00867591" w:rsidRDefault="0085455B" w:rsidP="005070EF">
            <w:pPr>
              <w:rPr>
                <w:sz w:val="20"/>
              </w:rPr>
            </w:pPr>
            <w:r w:rsidRPr="00867591">
              <w:rPr>
                <w:sz w:val="20"/>
                <w:szCs w:val="20"/>
              </w:rPr>
              <w:t>Talgat Abubakirovich Daniyarov,</w:t>
            </w:r>
            <w:r w:rsidRPr="00867591">
              <w:rPr>
                <w:sz w:val="20"/>
              </w:rPr>
              <w:t> </w:t>
            </w:r>
            <w:r w:rsidRPr="00867591">
              <w:rPr>
                <w:color w:val="000000"/>
                <w:sz w:val="20"/>
                <w:szCs w:val="20"/>
              </w:rPr>
              <w:t>Kamalbek Meirbekovich Berkimbaev, Alina Kuandykovna Bimaganbetova,</w:t>
            </w:r>
            <w:r w:rsidRPr="00867591">
              <w:rPr>
                <w:color w:val="000000"/>
                <w:sz w:val="20"/>
              </w:rPr>
              <w:t> </w:t>
            </w:r>
            <w:r w:rsidRPr="00867591">
              <w:rPr>
                <w:sz w:val="20"/>
                <w:szCs w:val="20"/>
              </w:rPr>
              <w:t>Maksat Suyundykovich Moldaliev, Mariya Botaevna Djazdykbaeva, Gulsara Tolebekovna Tokkulova, Malik Zhupanbekovich Sultanbek</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hideMark/>
          </w:tcPr>
          <w:p w:rsidR="0085455B" w:rsidRPr="00C05667" w:rsidRDefault="0085455B" w:rsidP="005070EF">
            <w:pPr>
              <w:jc w:val="center"/>
              <w:rPr>
                <w:b/>
                <w:sz w:val="20"/>
              </w:rPr>
            </w:pPr>
            <w:r w:rsidRPr="00C05667">
              <w:rPr>
                <w:b/>
                <w:sz w:val="20"/>
                <w:szCs w:val="20"/>
              </w:rPr>
              <w:t>9-15</w:t>
            </w:r>
          </w:p>
        </w:tc>
      </w:tr>
      <w:tr w:rsidR="0085455B" w:rsidRPr="00943A3C" w:rsidTr="0085455B">
        <w:trPr>
          <w:tblCellSpacing w:w="15" w:type="dxa"/>
        </w:trPr>
        <w:tc>
          <w:tcPr>
            <w:tcW w:w="577" w:type="dxa"/>
            <w:tcMar>
              <w:top w:w="15" w:type="dxa"/>
              <w:left w:w="15" w:type="dxa"/>
              <w:bottom w:w="15" w:type="dxa"/>
              <w:right w:w="15" w:type="dxa"/>
            </w:tcMar>
            <w:hideMark/>
          </w:tcPr>
          <w:p w:rsidR="0085455B" w:rsidRPr="00C05667" w:rsidRDefault="0085455B" w:rsidP="005070EF">
            <w:pPr>
              <w:jc w:val="center"/>
              <w:rPr>
                <w:b/>
                <w:sz w:val="20"/>
              </w:rPr>
            </w:pPr>
            <w:r w:rsidRPr="00C05667">
              <w:rPr>
                <w:b/>
                <w:sz w:val="20"/>
                <w:szCs w:val="20"/>
              </w:rPr>
              <w:t>3</w:t>
            </w:r>
          </w:p>
        </w:tc>
        <w:tc>
          <w:tcPr>
            <w:tcW w:w="7200" w:type="dxa"/>
            <w:vAlign w:val="center"/>
          </w:tcPr>
          <w:p w:rsidR="0085455B" w:rsidRPr="00867591" w:rsidRDefault="0085455B" w:rsidP="005070EF">
            <w:pPr>
              <w:rPr>
                <w:sz w:val="20"/>
              </w:rPr>
            </w:pPr>
            <w:r w:rsidRPr="00867591">
              <w:rPr>
                <w:b/>
                <w:bCs/>
                <w:sz w:val="20"/>
                <w:szCs w:val="20"/>
              </w:rPr>
              <w:t>Modification of the glassy carbon electrode with Multi-walled carbon nanotube/1, 4-dihydroxy Anthraquinone/chitosan As a potentiometric pH sensor</w:t>
            </w:r>
          </w:p>
          <w:p w:rsidR="0085455B" w:rsidRPr="00867591" w:rsidRDefault="0085455B" w:rsidP="005070EF">
            <w:pPr>
              <w:rPr>
                <w:sz w:val="20"/>
              </w:rPr>
            </w:pPr>
            <w:r w:rsidRPr="00867591">
              <w:rPr>
                <w:sz w:val="20"/>
                <w:szCs w:val="20"/>
              </w:rPr>
              <w:t>Meisam Asghari</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hideMark/>
          </w:tcPr>
          <w:p w:rsidR="0085455B" w:rsidRPr="00C05667" w:rsidRDefault="0085455B" w:rsidP="005070EF">
            <w:pPr>
              <w:jc w:val="center"/>
              <w:rPr>
                <w:b/>
                <w:sz w:val="20"/>
              </w:rPr>
            </w:pPr>
            <w:r w:rsidRPr="00C05667">
              <w:rPr>
                <w:b/>
                <w:color w:val="000000"/>
                <w:sz w:val="20"/>
                <w:szCs w:val="20"/>
              </w:rPr>
              <w:t>16-18</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4</w:t>
            </w:r>
          </w:p>
        </w:tc>
        <w:tc>
          <w:tcPr>
            <w:tcW w:w="7200" w:type="dxa"/>
            <w:vAlign w:val="center"/>
          </w:tcPr>
          <w:p w:rsidR="0085455B" w:rsidRPr="00867591" w:rsidRDefault="0085455B" w:rsidP="005070EF">
            <w:pPr>
              <w:rPr>
                <w:sz w:val="20"/>
              </w:rPr>
            </w:pPr>
            <w:r w:rsidRPr="00867591">
              <w:rPr>
                <w:b/>
                <w:bCs/>
                <w:sz w:val="20"/>
                <w:szCs w:val="20"/>
              </w:rPr>
              <w:t>Feasibility Study of</w:t>
            </w:r>
            <w:r w:rsidRPr="00867591">
              <w:rPr>
                <w:b/>
                <w:bCs/>
                <w:sz w:val="20"/>
              </w:rPr>
              <w:t> Tourism Development Impacts on Stable Regional Development Dimensions:</w:t>
            </w:r>
            <w:r>
              <w:rPr>
                <w:rFonts w:hint="eastAsia"/>
                <w:b/>
                <w:bCs/>
                <w:sz w:val="20"/>
              </w:rPr>
              <w:t xml:space="preserve"> </w:t>
            </w:r>
            <w:r w:rsidRPr="00867591">
              <w:rPr>
                <w:b/>
                <w:bCs/>
                <w:sz w:val="20"/>
              </w:rPr>
              <w:t>The Case Study</w:t>
            </w:r>
          </w:p>
          <w:p w:rsidR="0085455B" w:rsidRPr="00867591" w:rsidRDefault="0085455B" w:rsidP="005070EF">
            <w:pPr>
              <w:rPr>
                <w:sz w:val="20"/>
              </w:rPr>
            </w:pPr>
            <w:r w:rsidRPr="00867591">
              <w:rPr>
                <w:sz w:val="20"/>
              </w:rPr>
              <w:t>Rahim Abdollah Fam</w:t>
            </w:r>
            <w:r>
              <w:rPr>
                <w:sz w:val="20"/>
                <w:vertAlign w:val="superscript"/>
              </w:rPr>
              <w:t xml:space="preserve"> </w:t>
            </w:r>
            <w:r w:rsidRPr="00867591">
              <w:rPr>
                <w:sz w:val="20"/>
              </w:rPr>
              <w:t> and Parviz Kesavarz</w:t>
            </w:r>
            <w:r>
              <w:rPr>
                <w:sz w:val="20"/>
                <w:vertAlign w:val="superscript"/>
              </w:rPr>
              <w:t xml:space="preserve"> </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lang w:val="en-GB"/>
              </w:rPr>
              <w:t>19-26</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5</w:t>
            </w:r>
          </w:p>
        </w:tc>
        <w:tc>
          <w:tcPr>
            <w:tcW w:w="7200" w:type="dxa"/>
            <w:vAlign w:val="center"/>
          </w:tcPr>
          <w:p w:rsidR="0085455B" w:rsidRPr="00867591" w:rsidRDefault="0085455B" w:rsidP="005070EF">
            <w:pPr>
              <w:rPr>
                <w:sz w:val="20"/>
              </w:rPr>
            </w:pPr>
            <w:r w:rsidRPr="00867591">
              <w:rPr>
                <w:b/>
                <w:bCs/>
                <w:sz w:val="20"/>
                <w:szCs w:val="20"/>
              </w:rPr>
              <w:t>The Effects of</w:t>
            </w:r>
            <w:r w:rsidRPr="00867591">
              <w:rPr>
                <w:b/>
                <w:bCs/>
                <w:sz w:val="20"/>
              </w:rPr>
              <w:t> </w:t>
            </w:r>
            <w:r w:rsidRPr="00867591">
              <w:rPr>
                <w:b/>
                <w:bCs/>
                <w:i/>
                <w:iCs/>
                <w:sz w:val="20"/>
                <w:szCs w:val="20"/>
              </w:rPr>
              <w:t>Allium porrum</w:t>
            </w:r>
            <w:r w:rsidRPr="00867591">
              <w:rPr>
                <w:b/>
                <w:bCs/>
                <w:sz w:val="20"/>
              </w:rPr>
              <w:t> </w:t>
            </w:r>
            <w:r w:rsidRPr="00867591">
              <w:rPr>
                <w:b/>
                <w:bCs/>
                <w:sz w:val="20"/>
                <w:szCs w:val="20"/>
              </w:rPr>
              <w:t>and</w:t>
            </w:r>
            <w:r w:rsidRPr="00867591">
              <w:rPr>
                <w:b/>
                <w:bCs/>
                <w:sz w:val="20"/>
              </w:rPr>
              <w:t> </w:t>
            </w:r>
            <w:r w:rsidRPr="00867591">
              <w:rPr>
                <w:b/>
                <w:bCs/>
                <w:i/>
                <w:iCs/>
                <w:sz w:val="20"/>
                <w:szCs w:val="20"/>
              </w:rPr>
              <w:t>Medicago sativa on</w:t>
            </w:r>
            <w:r w:rsidRPr="00867591">
              <w:rPr>
                <w:b/>
                <w:bCs/>
                <w:sz w:val="20"/>
              </w:rPr>
              <w:t> </w:t>
            </w:r>
            <w:r w:rsidRPr="00867591">
              <w:rPr>
                <w:b/>
                <w:bCs/>
                <w:sz w:val="20"/>
                <w:szCs w:val="20"/>
              </w:rPr>
              <w:t>Iron Concentration in Thalassemia</w:t>
            </w:r>
            <w:r w:rsidRPr="00867591">
              <w:rPr>
                <w:b/>
                <w:bCs/>
                <w:i/>
                <w:iCs/>
                <w:sz w:val="20"/>
              </w:rPr>
              <w:t> </w:t>
            </w:r>
            <w:r w:rsidRPr="00867591">
              <w:rPr>
                <w:b/>
                <w:bCs/>
                <w:sz w:val="20"/>
                <w:szCs w:val="20"/>
              </w:rPr>
              <w:t>Serums</w:t>
            </w:r>
          </w:p>
          <w:p w:rsidR="0085455B" w:rsidRPr="00867591" w:rsidRDefault="0085455B" w:rsidP="005070EF">
            <w:pPr>
              <w:rPr>
                <w:sz w:val="20"/>
              </w:rPr>
            </w:pPr>
            <w:r w:rsidRPr="00867591">
              <w:rPr>
                <w:sz w:val="20"/>
                <w:szCs w:val="20"/>
              </w:rPr>
              <w:t>Ali Mirzaei</w:t>
            </w:r>
            <w:r>
              <w:rPr>
                <w:sz w:val="20"/>
                <w:szCs w:val="20"/>
                <w:vertAlign w:val="superscript"/>
              </w:rPr>
              <w:t xml:space="preserve"> </w:t>
            </w:r>
            <w:r w:rsidRPr="00867591">
              <w:rPr>
                <w:sz w:val="20"/>
                <w:szCs w:val="20"/>
              </w:rPr>
              <w:t>,</w:t>
            </w:r>
            <w:r w:rsidRPr="00867591">
              <w:rPr>
                <w:color w:val="000000"/>
                <w:sz w:val="20"/>
              </w:rPr>
              <w:t> </w:t>
            </w:r>
            <w:r w:rsidRPr="00867591">
              <w:rPr>
                <w:color w:val="000000"/>
                <w:sz w:val="20"/>
                <w:szCs w:val="20"/>
              </w:rPr>
              <w:t>Mojtaba Abbasi</w:t>
            </w:r>
            <w:r>
              <w:rPr>
                <w:color w:val="000000"/>
                <w:sz w:val="20"/>
                <w:szCs w:val="20"/>
                <w:vertAlign w:val="superscript"/>
              </w:rPr>
              <w:t xml:space="preserve"> </w:t>
            </w:r>
            <w:r w:rsidRPr="00867591">
              <w:rPr>
                <w:sz w:val="20"/>
                <w:szCs w:val="20"/>
              </w:rPr>
              <w:t>, Somayyeh Sepehri</w:t>
            </w:r>
            <w:r>
              <w:rPr>
                <w:sz w:val="20"/>
                <w:szCs w:val="20"/>
                <w:vertAlign w:val="superscript"/>
              </w:rPr>
              <w:t xml:space="preserve"> </w:t>
            </w:r>
            <w:r w:rsidRPr="00867591">
              <w:rPr>
                <w:sz w:val="20"/>
                <w:szCs w:val="20"/>
              </w:rPr>
              <w:t>,</w:t>
            </w:r>
            <w:r>
              <w:rPr>
                <w:sz w:val="20"/>
                <w:vertAlign w:val="superscript"/>
              </w:rPr>
              <w:t xml:space="preserve"> </w:t>
            </w:r>
            <w:r w:rsidRPr="00867591">
              <w:rPr>
                <w:sz w:val="20"/>
                <w:szCs w:val="20"/>
              </w:rPr>
              <w:t>Mahsa Mirzaei</w:t>
            </w:r>
            <w:r>
              <w:rPr>
                <w:sz w:val="20"/>
                <w:szCs w:val="20"/>
                <w:vertAlign w:val="superscript"/>
              </w:rPr>
              <w:t xml:space="preserve"> </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27-31</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6</w:t>
            </w:r>
          </w:p>
        </w:tc>
        <w:tc>
          <w:tcPr>
            <w:tcW w:w="7200" w:type="dxa"/>
            <w:vAlign w:val="center"/>
          </w:tcPr>
          <w:p w:rsidR="0085455B" w:rsidRPr="00867591" w:rsidRDefault="0085455B" w:rsidP="005070EF">
            <w:pPr>
              <w:rPr>
                <w:sz w:val="20"/>
              </w:rPr>
            </w:pPr>
            <w:r w:rsidRPr="00867591">
              <w:rPr>
                <w:b/>
                <w:bCs/>
                <w:color w:val="000000"/>
                <w:sz w:val="20"/>
                <w:szCs w:val="20"/>
              </w:rPr>
              <w:t>Assessment of pesticide residues in water, sediments and muscles of</w:t>
            </w:r>
            <w:r w:rsidRPr="00867591">
              <w:rPr>
                <w:b/>
                <w:bCs/>
                <w:color w:val="000000"/>
                <w:sz w:val="20"/>
              </w:rPr>
              <w:t> </w:t>
            </w:r>
            <w:r w:rsidRPr="00867591">
              <w:rPr>
                <w:b/>
                <w:bCs/>
                <w:i/>
                <w:iCs/>
                <w:sz w:val="20"/>
                <w:szCs w:val="20"/>
              </w:rPr>
              <w:t>Cyprinus Carpio</w:t>
            </w:r>
            <w:r w:rsidRPr="00867591">
              <w:rPr>
                <w:b/>
                <w:bCs/>
                <w:i/>
                <w:iCs/>
                <w:sz w:val="20"/>
              </w:rPr>
              <w:t> </w:t>
            </w:r>
            <w:r w:rsidRPr="00867591">
              <w:rPr>
                <w:b/>
                <w:bCs/>
                <w:color w:val="000000"/>
                <w:sz w:val="20"/>
                <w:szCs w:val="20"/>
              </w:rPr>
              <w:t>from Head Balloki in the River Ravi</w:t>
            </w:r>
          </w:p>
          <w:p w:rsidR="0085455B" w:rsidRPr="00867591" w:rsidRDefault="0085455B" w:rsidP="005070EF">
            <w:pPr>
              <w:rPr>
                <w:sz w:val="20"/>
              </w:rPr>
            </w:pPr>
            <w:r w:rsidRPr="00867591">
              <w:rPr>
                <w:color w:val="000000"/>
                <w:sz w:val="20"/>
                <w:szCs w:val="20"/>
              </w:rPr>
              <w:t>Shahid Mahboob</w:t>
            </w:r>
            <w:r>
              <w:rPr>
                <w:color w:val="000000"/>
                <w:sz w:val="20"/>
                <w:szCs w:val="20"/>
                <w:vertAlign w:val="superscript"/>
              </w:rPr>
              <w:t xml:space="preserve"> </w:t>
            </w:r>
            <w:r w:rsidRPr="00867591">
              <w:rPr>
                <w:color w:val="000000"/>
                <w:sz w:val="20"/>
                <w:szCs w:val="20"/>
              </w:rPr>
              <w:t>, Fakhra Niazi</w:t>
            </w:r>
            <w:r>
              <w:rPr>
                <w:color w:val="000000"/>
                <w:sz w:val="20"/>
                <w:szCs w:val="20"/>
                <w:vertAlign w:val="superscript"/>
              </w:rPr>
              <w:t xml:space="preserve"> </w:t>
            </w:r>
            <w:r w:rsidRPr="00867591">
              <w:rPr>
                <w:color w:val="000000"/>
                <w:sz w:val="20"/>
                <w:szCs w:val="20"/>
              </w:rPr>
              <w:t>, Salma Sultana</w:t>
            </w:r>
            <w:r>
              <w:rPr>
                <w:color w:val="000000"/>
                <w:sz w:val="20"/>
                <w:szCs w:val="20"/>
                <w:vertAlign w:val="superscript"/>
              </w:rPr>
              <w:t xml:space="preserve"> </w:t>
            </w:r>
            <w:r w:rsidRPr="00867591">
              <w:rPr>
                <w:color w:val="000000"/>
                <w:sz w:val="20"/>
              </w:rPr>
              <w:t> </w:t>
            </w:r>
            <w:r w:rsidRPr="00867591">
              <w:rPr>
                <w:color w:val="000000"/>
                <w:sz w:val="20"/>
                <w:szCs w:val="20"/>
              </w:rPr>
              <w:t>and Zubair Ahmad</w:t>
            </w:r>
            <w:r>
              <w:rPr>
                <w:color w:val="000000"/>
                <w:sz w:val="20"/>
                <w:szCs w:val="20"/>
                <w:vertAlign w:val="superscript"/>
              </w:rPr>
              <w:t xml:space="preserve"> </w:t>
            </w:r>
          </w:p>
          <w:p w:rsidR="0085455B" w:rsidRPr="00B57D5A"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32-38</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7</w:t>
            </w:r>
          </w:p>
        </w:tc>
        <w:tc>
          <w:tcPr>
            <w:tcW w:w="7200" w:type="dxa"/>
            <w:vAlign w:val="center"/>
          </w:tcPr>
          <w:p w:rsidR="0085455B" w:rsidRPr="00867591" w:rsidRDefault="0085455B" w:rsidP="005070EF">
            <w:pPr>
              <w:rPr>
                <w:sz w:val="20"/>
              </w:rPr>
            </w:pPr>
            <w:r w:rsidRPr="00867591">
              <w:rPr>
                <w:b/>
                <w:bCs/>
                <w:sz w:val="20"/>
                <w:szCs w:val="20"/>
              </w:rPr>
              <w:t>Studies on Feeding Ecology of fresh water fish</w:t>
            </w:r>
            <w:r w:rsidRPr="00867591">
              <w:rPr>
                <w:b/>
                <w:bCs/>
                <w:sz w:val="20"/>
              </w:rPr>
              <w:t> </w:t>
            </w:r>
            <w:r w:rsidRPr="00867591">
              <w:rPr>
                <w:b/>
                <w:bCs/>
                <w:i/>
                <w:iCs/>
                <w:sz w:val="20"/>
                <w:szCs w:val="20"/>
              </w:rPr>
              <w:t>(Barbus arabicus)</w:t>
            </w:r>
            <w:r w:rsidRPr="00867591">
              <w:rPr>
                <w:b/>
                <w:bCs/>
                <w:sz w:val="20"/>
                <w:szCs w:val="20"/>
              </w:rPr>
              <w:t>Dwelling in "Beesh Dam", Jazan, saudi Arabia.</w:t>
            </w:r>
          </w:p>
          <w:p w:rsidR="0085455B" w:rsidRPr="00867591" w:rsidRDefault="0085455B" w:rsidP="005070EF">
            <w:pPr>
              <w:rPr>
                <w:sz w:val="20"/>
              </w:rPr>
            </w:pPr>
            <w:r w:rsidRPr="00867591">
              <w:rPr>
                <w:sz w:val="20"/>
                <w:szCs w:val="20"/>
              </w:rPr>
              <w:t>Ali H. Hakami, Hmoud F. Alkahem Al-Balawi, Zubair Ahmad, Shahid Mahboob, Elamin M. Suliman. and K. A. Al-Ghanim</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39-45</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8</w:t>
            </w:r>
          </w:p>
        </w:tc>
        <w:tc>
          <w:tcPr>
            <w:tcW w:w="7200" w:type="dxa"/>
            <w:vAlign w:val="center"/>
          </w:tcPr>
          <w:p w:rsidR="0085455B" w:rsidRPr="00867591" w:rsidRDefault="0085455B" w:rsidP="005070EF">
            <w:pPr>
              <w:rPr>
                <w:sz w:val="20"/>
              </w:rPr>
            </w:pPr>
            <w:r w:rsidRPr="00867591">
              <w:rPr>
                <w:b/>
                <w:bCs/>
                <w:sz w:val="20"/>
                <w:szCs w:val="20"/>
              </w:rPr>
              <w:t>Stock Market Liquidity, Firm Characteristics and Dividend Payout</w:t>
            </w:r>
          </w:p>
          <w:p w:rsidR="0085455B" w:rsidRPr="00867591" w:rsidRDefault="0085455B" w:rsidP="005070EF">
            <w:pPr>
              <w:rPr>
                <w:sz w:val="20"/>
              </w:rPr>
            </w:pPr>
            <w:r w:rsidRPr="00867591">
              <w:rPr>
                <w:sz w:val="20"/>
                <w:szCs w:val="20"/>
              </w:rPr>
              <w:t>Seyedali Seyedkkhosroshahi</w:t>
            </w:r>
            <w:r>
              <w:rPr>
                <w:sz w:val="20"/>
                <w:szCs w:val="20"/>
                <w:vertAlign w:val="superscript"/>
              </w:rPr>
              <w:t xml:space="preserve"> </w:t>
            </w:r>
            <w:r w:rsidRPr="00867591">
              <w:rPr>
                <w:sz w:val="20"/>
                <w:szCs w:val="20"/>
              </w:rPr>
              <w:t>, Amirmahdi Sabaei</w:t>
            </w:r>
            <w:r>
              <w:rPr>
                <w:sz w:val="20"/>
                <w:szCs w:val="20"/>
                <w:vertAlign w:val="superscript"/>
              </w:rPr>
              <w:t xml:space="preserve"> </w:t>
            </w:r>
            <w:r w:rsidRPr="00867591">
              <w:rPr>
                <w:sz w:val="20"/>
                <w:szCs w:val="20"/>
              </w:rPr>
              <w:t>, Parisa Vatankhah</w:t>
            </w:r>
            <w:r>
              <w:rPr>
                <w:sz w:val="20"/>
                <w:szCs w:val="20"/>
                <w:vertAlign w:val="superscript"/>
              </w:rPr>
              <w:t xml:space="preserve"> </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color w:val="000000"/>
                <w:sz w:val="20"/>
                <w:szCs w:val="16"/>
                <w:shd w:val="clear" w:color="auto" w:fill="FFFFFF"/>
              </w:rPr>
              <w:t>46-51</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9</w:t>
            </w:r>
          </w:p>
        </w:tc>
        <w:tc>
          <w:tcPr>
            <w:tcW w:w="7200" w:type="dxa"/>
            <w:vAlign w:val="center"/>
          </w:tcPr>
          <w:p w:rsidR="0085455B" w:rsidRPr="00867591" w:rsidRDefault="0085455B" w:rsidP="005070EF">
            <w:pPr>
              <w:rPr>
                <w:sz w:val="20"/>
              </w:rPr>
            </w:pPr>
            <w:r w:rsidRPr="00867591">
              <w:rPr>
                <w:b/>
                <w:bCs/>
                <w:sz w:val="20"/>
                <w:szCs w:val="20"/>
              </w:rPr>
              <w:t>A Comparison of Selective Attentions in Equilibrium-oriented and Non-equilibrium-oriented Parent-Child Relationship Patterns in University Students</w:t>
            </w:r>
          </w:p>
          <w:p w:rsidR="0085455B" w:rsidRPr="00867591" w:rsidRDefault="0085455B" w:rsidP="005070EF">
            <w:pPr>
              <w:rPr>
                <w:sz w:val="20"/>
              </w:rPr>
            </w:pPr>
            <w:r w:rsidRPr="00867591">
              <w:rPr>
                <w:sz w:val="20"/>
                <w:szCs w:val="20"/>
              </w:rPr>
              <w:t>Fariborz Bagheri</w:t>
            </w:r>
            <w:r>
              <w:rPr>
                <w:sz w:val="20"/>
                <w:szCs w:val="20"/>
                <w:vertAlign w:val="superscript"/>
              </w:rPr>
              <w:t xml:space="preserve"> </w:t>
            </w:r>
            <w:r w:rsidRPr="00867591">
              <w:rPr>
                <w:sz w:val="20"/>
              </w:rPr>
              <w:t> </w:t>
            </w:r>
            <w:r w:rsidRPr="00867591">
              <w:rPr>
                <w:sz w:val="20"/>
                <w:szCs w:val="20"/>
              </w:rPr>
              <w:t>(PhD), Razieh Ashuri</w:t>
            </w:r>
            <w:r>
              <w:rPr>
                <w:sz w:val="20"/>
                <w:szCs w:val="20"/>
                <w:vertAlign w:val="superscript"/>
              </w:rPr>
              <w:t xml:space="preserve"> </w:t>
            </w:r>
            <w:r w:rsidRPr="00867591">
              <w:rPr>
                <w:sz w:val="20"/>
              </w:rPr>
              <w:t> </w:t>
            </w:r>
            <w:r w:rsidRPr="00867591">
              <w:rPr>
                <w:sz w:val="20"/>
                <w:szCs w:val="20"/>
              </w:rPr>
              <w:t>(MA)</w:t>
            </w:r>
          </w:p>
          <w:p w:rsidR="0085455B" w:rsidRPr="00B57D5A"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rFonts w:hint="eastAsia"/>
                <w:b/>
                <w:sz w:val="20"/>
              </w:rPr>
              <w:t>52-58</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color w:val="000000"/>
                <w:sz w:val="20"/>
                <w:szCs w:val="20"/>
              </w:rPr>
              <w:t>10</w:t>
            </w:r>
          </w:p>
        </w:tc>
        <w:tc>
          <w:tcPr>
            <w:tcW w:w="7200" w:type="dxa"/>
            <w:vAlign w:val="center"/>
          </w:tcPr>
          <w:p w:rsidR="0085455B" w:rsidRPr="00867591" w:rsidRDefault="0085455B" w:rsidP="005070EF">
            <w:pPr>
              <w:rPr>
                <w:sz w:val="20"/>
              </w:rPr>
            </w:pPr>
            <w:r w:rsidRPr="00867591">
              <w:rPr>
                <w:b/>
                <w:bCs/>
                <w:sz w:val="20"/>
              </w:rPr>
              <w:t>Food Groups consumption and </w:t>
            </w:r>
            <w:r w:rsidRPr="00867591">
              <w:rPr>
                <w:b/>
                <w:bCs/>
                <w:sz w:val="20"/>
                <w:szCs w:val="20"/>
              </w:rPr>
              <w:t>Macro and Micro-</w:t>
            </w:r>
            <w:r w:rsidRPr="00867591">
              <w:rPr>
                <w:b/>
                <w:bCs/>
                <w:sz w:val="20"/>
              </w:rPr>
              <w:t>Nutrients </w:t>
            </w:r>
            <w:r w:rsidRPr="00867591">
              <w:rPr>
                <w:b/>
                <w:bCs/>
                <w:sz w:val="20"/>
                <w:szCs w:val="20"/>
              </w:rPr>
              <w:t>Intake</w:t>
            </w:r>
            <w:r w:rsidRPr="00867591">
              <w:rPr>
                <w:b/>
                <w:bCs/>
                <w:sz w:val="20"/>
              </w:rPr>
              <w:t> among Primary School Students in </w:t>
            </w:r>
            <w:r w:rsidRPr="00867591">
              <w:rPr>
                <w:b/>
                <w:bCs/>
                <w:sz w:val="20"/>
                <w:szCs w:val="20"/>
              </w:rPr>
              <w:t>Torosk</w:t>
            </w:r>
            <w:r w:rsidRPr="00867591">
              <w:rPr>
                <w:b/>
                <w:bCs/>
                <w:sz w:val="20"/>
              </w:rPr>
              <w:t> Village of Sabzevar</w:t>
            </w:r>
          </w:p>
          <w:p w:rsidR="0085455B" w:rsidRPr="00867591" w:rsidRDefault="0085455B" w:rsidP="005070EF">
            <w:pPr>
              <w:rPr>
                <w:sz w:val="20"/>
              </w:rPr>
            </w:pPr>
            <w:r w:rsidRPr="00867591">
              <w:rPr>
                <w:sz w:val="20"/>
                <w:szCs w:val="20"/>
              </w:rPr>
              <w:t>Akram kooshki, Kazem HassanPour, Mohsen Hiteh, Mahmood Rivandi</w:t>
            </w:r>
            <w:r>
              <w:rPr>
                <w:sz w:val="20"/>
                <w:szCs w:val="20"/>
                <w:vertAlign w:val="superscript"/>
              </w:rPr>
              <w:t xml:space="preserve"> </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59-61</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color w:val="000000"/>
                <w:sz w:val="20"/>
                <w:szCs w:val="20"/>
              </w:rPr>
              <w:t>11</w:t>
            </w:r>
          </w:p>
        </w:tc>
        <w:tc>
          <w:tcPr>
            <w:tcW w:w="7200" w:type="dxa"/>
            <w:vAlign w:val="center"/>
          </w:tcPr>
          <w:p w:rsidR="0085455B" w:rsidRPr="00867591" w:rsidRDefault="0085455B" w:rsidP="005070EF">
            <w:pPr>
              <w:rPr>
                <w:sz w:val="20"/>
              </w:rPr>
            </w:pPr>
            <w:r w:rsidRPr="00867591">
              <w:rPr>
                <w:b/>
                <w:bCs/>
                <w:sz w:val="20"/>
                <w:szCs w:val="20"/>
              </w:rPr>
              <w:t>Presenting a conceptual model for innovation development in organizations</w:t>
            </w:r>
          </w:p>
          <w:p w:rsidR="0085455B" w:rsidRPr="00867591" w:rsidRDefault="0085455B" w:rsidP="005070EF">
            <w:pPr>
              <w:rPr>
                <w:sz w:val="20"/>
              </w:rPr>
            </w:pPr>
            <w:r w:rsidRPr="00867591">
              <w:rPr>
                <w:color w:val="000000"/>
                <w:sz w:val="20"/>
                <w:szCs w:val="20"/>
              </w:rPr>
              <w:t>Zeinab Sadeghi, Jafar Salemi</w:t>
            </w:r>
            <w:r>
              <w:rPr>
                <w:color w:val="000000"/>
                <w:sz w:val="20"/>
                <w:szCs w:val="20"/>
                <w:vertAlign w:val="superscript"/>
              </w:rPr>
              <w:t xml:space="preserve"> </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FC52A8" w:rsidP="005070EF">
            <w:pPr>
              <w:jc w:val="center"/>
              <w:rPr>
                <w:b/>
                <w:sz w:val="20"/>
              </w:rPr>
            </w:pPr>
            <w:r>
              <w:rPr>
                <w:rFonts w:hint="eastAsia"/>
                <w:b/>
                <w:sz w:val="20"/>
              </w:rPr>
              <w:t>62-70</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color w:val="000000"/>
                <w:sz w:val="20"/>
                <w:szCs w:val="20"/>
              </w:rPr>
              <w:t>12</w:t>
            </w:r>
          </w:p>
        </w:tc>
        <w:tc>
          <w:tcPr>
            <w:tcW w:w="7200" w:type="dxa"/>
            <w:vAlign w:val="center"/>
          </w:tcPr>
          <w:p w:rsidR="0085455B" w:rsidRPr="00867591" w:rsidRDefault="0085455B" w:rsidP="005070EF">
            <w:pPr>
              <w:rPr>
                <w:sz w:val="20"/>
              </w:rPr>
            </w:pPr>
            <w:r w:rsidRPr="00867591">
              <w:rPr>
                <w:b/>
                <w:bCs/>
                <w:sz w:val="20"/>
                <w:szCs w:val="20"/>
              </w:rPr>
              <w:t>Infectious lesions of oral cavity in HIV patients: A Review</w:t>
            </w:r>
          </w:p>
          <w:p w:rsidR="0085455B" w:rsidRPr="00867591" w:rsidRDefault="0085455B" w:rsidP="005070EF">
            <w:pPr>
              <w:rPr>
                <w:sz w:val="20"/>
              </w:rPr>
            </w:pPr>
            <w:r w:rsidRPr="00867591">
              <w:rPr>
                <w:sz w:val="20"/>
                <w:szCs w:val="20"/>
              </w:rPr>
              <w:t>Iman Ghasemzadeh</w:t>
            </w:r>
            <w:r>
              <w:rPr>
                <w:sz w:val="20"/>
              </w:rPr>
              <w:t>,</w:t>
            </w:r>
            <w:r w:rsidRPr="00867591">
              <w:rPr>
                <w:sz w:val="20"/>
                <w:szCs w:val="20"/>
              </w:rPr>
              <w:t xml:space="preserve"> Forugh Mahmoodi</w:t>
            </w:r>
            <w:r>
              <w:rPr>
                <w:sz w:val="20"/>
              </w:rPr>
              <w:t>,</w:t>
            </w:r>
            <w:r w:rsidRPr="00867591">
              <w:rPr>
                <w:sz w:val="20"/>
                <w:szCs w:val="20"/>
              </w:rPr>
              <w:t xml:space="preserve"> Mohammad Esmaeil Shahrzad</w:t>
            </w:r>
            <w:r>
              <w:rPr>
                <w:sz w:val="20"/>
              </w:rPr>
              <w:t>,</w:t>
            </w:r>
            <w:r w:rsidRPr="00867591">
              <w:rPr>
                <w:sz w:val="20"/>
                <w:szCs w:val="20"/>
              </w:rPr>
              <w:t xml:space="preserve"> Rokhsareh Zare Shahri</w:t>
            </w:r>
            <w:r>
              <w:rPr>
                <w:sz w:val="20"/>
                <w:vertAlign w:val="superscript"/>
              </w:rPr>
              <w:t xml:space="preserve"> </w:t>
            </w:r>
            <w:r w:rsidRPr="00867591">
              <w:rPr>
                <w:sz w:val="20"/>
                <w:szCs w:val="20"/>
              </w:rPr>
              <w:t>, Seyede Asma Namazi</w:t>
            </w:r>
            <w:r>
              <w:rPr>
                <w:sz w:val="20"/>
              </w:rPr>
              <w:t>,</w:t>
            </w:r>
            <w:r w:rsidRPr="00867591">
              <w:rPr>
                <w:sz w:val="20"/>
                <w:szCs w:val="20"/>
              </w:rPr>
              <w:t xml:space="preserve"> Payam Sadeghi</w:t>
            </w:r>
            <w:r>
              <w:rPr>
                <w:sz w:val="20"/>
              </w:rPr>
              <w:t>,</w:t>
            </w:r>
            <w:r w:rsidRPr="00867591">
              <w:rPr>
                <w:sz w:val="20"/>
                <w:szCs w:val="20"/>
              </w:rPr>
              <w:t xml:space="preserve"> Seyed Shojaeddin Namazi</w:t>
            </w:r>
            <w:r>
              <w:rPr>
                <w:sz w:val="20"/>
                <w:szCs w:val="20"/>
                <w:vertAlign w:val="superscript"/>
              </w:rPr>
              <w:t xml:space="preserve"> </w:t>
            </w:r>
            <w:r w:rsidRPr="00867591">
              <w:rPr>
                <w:sz w:val="20"/>
                <w:szCs w:val="20"/>
              </w:rPr>
              <w:t>, Abbas Paknahad</w:t>
            </w:r>
            <w:r>
              <w:rPr>
                <w:sz w:val="20"/>
                <w:szCs w:val="20"/>
                <w:vertAlign w:val="superscript"/>
              </w:rPr>
              <w:t xml:space="preserve"> </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71-77</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color w:val="000000"/>
                <w:sz w:val="20"/>
                <w:szCs w:val="20"/>
              </w:rPr>
              <w:lastRenderedPageBreak/>
              <w:t>13</w:t>
            </w:r>
          </w:p>
        </w:tc>
        <w:tc>
          <w:tcPr>
            <w:tcW w:w="7200" w:type="dxa"/>
            <w:vAlign w:val="center"/>
          </w:tcPr>
          <w:p w:rsidR="0085455B" w:rsidRPr="00867591" w:rsidRDefault="0085455B" w:rsidP="005070EF">
            <w:pPr>
              <w:rPr>
                <w:sz w:val="20"/>
              </w:rPr>
            </w:pPr>
            <w:r w:rsidRPr="00867591">
              <w:rPr>
                <w:b/>
                <w:bCs/>
                <w:sz w:val="20"/>
                <w:szCs w:val="20"/>
              </w:rPr>
              <w:t>Comparison of C-Reactive Protein Concentrations of Patients with Preeclampsia and Normal Pregnancies</w:t>
            </w:r>
          </w:p>
          <w:p w:rsidR="0085455B" w:rsidRPr="00867591" w:rsidRDefault="0085455B" w:rsidP="005070EF">
            <w:pPr>
              <w:rPr>
                <w:sz w:val="20"/>
              </w:rPr>
            </w:pPr>
            <w:r w:rsidRPr="00867591">
              <w:rPr>
                <w:sz w:val="20"/>
                <w:szCs w:val="20"/>
              </w:rPr>
              <w:t>Farzane Atighpour</w:t>
            </w:r>
            <w:r>
              <w:rPr>
                <w:sz w:val="20"/>
              </w:rPr>
              <w:t>,</w:t>
            </w:r>
            <w:r w:rsidRPr="00867591">
              <w:rPr>
                <w:sz w:val="20"/>
                <w:szCs w:val="20"/>
              </w:rPr>
              <w:t xml:space="preserve"> Minoo Rajaei</w:t>
            </w:r>
            <w:r>
              <w:rPr>
                <w:sz w:val="20"/>
              </w:rPr>
              <w:t>,</w:t>
            </w:r>
            <w:r w:rsidRPr="00867591">
              <w:rPr>
                <w:sz w:val="20"/>
                <w:szCs w:val="20"/>
              </w:rPr>
              <w:t xml:space="preserve"> Farzane Sharifi</w:t>
            </w:r>
            <w:r>
              <w:rPr>
                <w:sz w:val="20"/>
              </w:rPr>
              <w:t>,</w:t>
            </w:r>
            <w:r w:rsidRPr="00867591">
              <w:rPr>
                <w:sz w:val="20"/>
                <w:szCs w:val="20"/>
              </w:rPr>
              <w:t xml:space="preserve"> Azadeh Rahmatian</w:t>
            </w:r>
            <w:r>
              <w:rPr>
                <w:sz w:val="20"/>
              </w:rPr>
              <w:t>,</w:t>
            </w:r>
            <w:r w:rsidRPr="00867591">
              <w:rPr>
                <w:sz w:val="20"/>
                <w:szCs w:val="20"/>
              </w:rPr>
              <w:t xml:space="preserve"> Shahram Zare</w:t>
            </w:r>
            <w:r w:rsidRPr="00867591">
              <w:rPr>
                <w:sz w:val="20"/>
              </w:rPr>
              <w:t> </w:t>
            </w:r>
            <w:r>
              <w:rPr>
                <w:sz w:val="20"/>
                <w:szCs w:val="20"/>
                <w:vertAlign w:val="superscript"/>
              </w:rPr>
              <w:t xml:space="preserve"> </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78-80</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color w:val="000000"/>
                <w:sz w:val="20"/>
                <w:szCs w:val="20"/>
              </w:rPr>
              <w:t>14</w:t>
            </w:r>
          </w:p>
        </w:tc>
        <w:tc>
          <w:tcPr>
            <w:tcW w:w="7200" w:type="dxa"/>
            <w:vAlign w:val="center"/>
          </w:tcPr>
          <w:p w:rsidR="0085455B" w:rsidRPr="00867591" w:rsidRDefault="0085455B" w:rsidP="005070EF">
            <w:pPr>
              <w:rPr>
                <w:sz w:val="20"/>
              </w:rPr>
            </w:pPr>
            <w:r w:rsidRPr="00867591">
              <w:rPr>
                <w:b/>
                <w:bCs/>
                <w:sz w:val="20"/>
                <w:szCs w:val="20"/>
              </w:rPr>
              <w:t>High Troponin I Level among Patients with Severe preeclampsia</w:t>
            </w:r>
          </w:p>
          <w:p w:rsidR="0085455B" w:rsidRPr="00867591" w:rsidRDefault="0085455B" w:rsidP="005070EF">
            <w:pPr>
              <w:rPr>
                <w:sz w:val="20"/>
              </w:rPr>
            </w:pPr>
            <w:r w:rsidRPr="00867591">
              <w:rPr>
                <w:sz w:val="20"/>
                <w:szCs w:val="20"/>
              </w:rPr>
              <w:t>Aboutaleb Beigi</w:t>
            </w:r>
            <w:r>
              <w:rPr>
                <w:sz w:val="20"/>
              </w:rPr>
              <w:t>,</w:t>
            </w:r>
            <w:r w:rsidRPr="00867591">
              <w:rPr>
                <w:sz w:val="20"/>
                <w:szCs w:val="20"/>
              </w:rPr>
              <w:t xml:space="preserve"> Atefeh Khezri</w:t>
            </w:r>
            <w:r>
              <w:rPr>
                <w:sz w:val="20"/>
              </w:rPr>
              <w:t>,</w:t>
            </w:r>
            <w:r w:rsidRPr="00867591">
              <w:rPr>
                <w:sz w:val="20"/>
                <w:szCs w:val="20"/>
              </w:rPr>
              <w:t xml:space="preserve"> Abdorrahim Khezri</w:t>
            </w:r>
            <w:r>
              <w:rPr>
                <w:sz w:val="20"/>
              </w:rPr>
              <w:t>,</w:t>
            </w:r>
            <w:r w:rsidRPr="00867591">
              <w:rPr>
                <w:sz w:val="20"/>
                <w:szCs w:val="20"/>
              </w:rPr>
              <w:t xml:space="preserve"> Mehrdad Khezri</w:t>
            </w:r>
            <w:r w:rsidRPr="00867591">
              <w:rPr>
                <w:sz w:val="20"/>
              </w:rPr>
              <w:t> </w:t>
            </w:r>
            <w:r>
              <w:rPr>
                <w:sz w:val="20"/>
                <w:szCs w:val="20"/>
                <w:vertAlign w:val="superscript"/>
              </w:rPr>
              <w:t xml:space="preserve"> </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81-83</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color w:val="000000"/>
                <w:sz w:val="20"/>
                <w:szCs w:val="20"/>
              </w:rPr>
              <w:t>15</w:t>
            </w:r>
          </w:p>
        </w:tc>
        <w:tc>
          <w:tcPr>
            <w:tcW w:w="7200" w:type="dxa"/>
            <w:vAlign w:val="center"/>
          </w:tcPr>
          <w:p w:rsidR="0085455B" w:rsidRPr="00867591" w:rsidRDefault="0085455B" w:rsidP="005070EF">
            <w:pPr>
              <w:rPr>
                <w:sz w:val="20"/>
              </w:rPr>
            </w:pPr>
            <w:r w:rsidRPr="00867591">
              <w:rPr>
                <w:b/>
                <w:bCs/>
                <w:sz w:val="20"/>
                <w:szCs w:val="20"/>
              </w:rPr>
              <w:t>C-Reactive Protein and Preterm Labor, a Case-Control Study</w:t>
            </w:r>
          </w:p>
          <w:p w:rsidR="0085455B" w:rsidRPr="00867591" w:rsidRDefault="0085455B" w:rsidP="005070EF">
            <w:pPr>
              <w:rPr>
                <w:sz w:val="20"/>
              </w:rPr>
            </w:pPr>
            <w:r w:rsidRPr="00867591">
              <w:rPr>
                <w:sz w:val="20"/>
                <w:szCs w:val="20"/>
              </w:rPr>
              <w:t>Minoo Rajaei</w:t>
            </w:r>
            <w:r>
              <w:rPr>
                <w:sz w:val="20"/>
                <w:szCs w:val="20"/>
                <w:vertAlign w:val="superscript"/>
              </w:rPr>
              <w:t xml:space="preserve"> </w:t>
            </w:r>
            <w:r w:rsidRPr="00867591">
              <w:rPr>
                <w:sz w:val="20"/>
                <w:szCs w:val="20"/>
              </w:rPr>
              <w:t>, Farzane Atighpour</w:t>
            </w:r>
            <w:r>
              <w:rPr>
                <w:sz w:val="20"/>
                <w:szCs w:val="20"/>
                <w:vertAlign w:val="superscript"/>
              </w:rPr>
              <w:t xml:space="preserve"> </w:t>
            </w:r>
            <w:r w:rsidRPr="00867591">
              <w:rPr>
                <w:sz w:val="20"/>
                <w:szCs w:val="20"/>
              </w:rPr>
              <w:t>, Camellia Madani</w:t>
            </w:r>
            <w:r>
              <w:rPr>
                <w:sz w:val="20"/>
                <w:szCs w:val="20"/>
                <w:vertAlign w:val="superscript"/>
              </w:rPr>
              <w:t xml:space="preserve"> </w:t>
            </w:r>
            <w:r w:rsidRPr="00867591">
              <w:rPr>
                <w:sz w:val="20"/>
                <w:szCs w:val="20"/>
              </w:rPr>
              <w:t>, Shahram Zare, Mahboubeh Nasrollahi</w:t>
            </w:r>
            <w:r w:rsidRPr="00867591">
              <w:rPr>
                <w:sz w:val="20"/>
              </w:rPr>
              <w:t> </w:t>
            </w:r>
            <w:r>
              <w:rPr>
                <w:sz w:val="20"/>
                <w:szCs w:val="20"/>
                <w:vertAlign w:val="superscript"/>
              </w:rPr>
              <w:t xml:space="preserve"> </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84-86</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color w:val="000000"/>
                <w:sz w:val="20"/>
                <w:szCs w:val="20"/>
              </w:rPr>
              <w:t>16</w:t>
            </w:r>
          </w:p>
        </w:tc>
        <w:tc>
          <w:tcPr>
            <w:tcW w:w="7200" w:type="dxa"/>
            <w:vAlign w:val="center"/>
          </w:tcPr>
          <w:p w:rsidR="0085455B" w:rsidRPr="00867591" w:rsidRDefault="0085455B" w:rsidP="005070EF">
            <w:pPr>
              <w:rPr>
                <w:sz w:val="20"/>
              </w:rPr>
            </w:pPr>
            <w:r w:rsidRPr="00867591">
              <w:rPr>
                <w:b/>
                <w:bCs/>
                <w:sz w:val="20"/>
                <w:szCs w:val="20"/>
              </w:rPr>
              <w:t>A Note On Proper Teleparallel Homothetic Motions Of Well Known Spacetime Using Non Diagonal Tetrad</w:t>
            </w:r>
          </w:p>
          <w:p w:rsidR="0085455B" w:rsidRPr="00867591" w:rsidRDefault="0085455B" w:rsidP="005070EF">
            <w:pPr>
              <w:rPr>
                <w:sz w:val="20"/>
              </w:rPr>
            </w:pPr>
            <w:r w:rsidRPr="00867591">
              <w:rPr>
                <w:sz w:val="20"/>
                <w:szCs w:val="20"/>
              </w:rPr>
              <w:t>Suhail Khan</w:t>
            </w:r>
            <w:r>
              <w:rPr>
                <w:sz w:val="20"/>
                <w:szCs w:val="20"/>
                <w:vertAlign w:val="superscript"/>
              </w:rPr>
              <w:t xml:space="preserve"> </w:t>
            </w:r>
            <w:r w:rsidRPr="00867591">
              <w:rPr>
                <w:sz w:val="20"/>
                <w:szCs w:val="20"/>
              </w:rPr>
              <w:t>, Tahir Hussain, Gulzar Ali Khan</w:t>
            </w:r>
            <w:r w:rsidRPr="00867591">
              <w:rPr>
                <w:sz w:val="20"/>
              </w:rPr>
              <w:t> </w:t>
            </w:r>
            <w:r>
              <w:rPr>
                <w:sz w:val="20"/>
                <w:szCs w:val="20"/>
                <w:vertAlign w:val="superscript"/>
              </w:rPr>
              <w:t xml:space="preserve"> </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87-90</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color w:val="000000"/>
                <w:sz w:val="20"/>
                <w:szCs w:val="20"/>
              </w:rPr>
              <w:t>17</w:t>
            </w:r>
          </w:p>
        </w:tc>
        <w:tc>
          <w:tcPr>
            <w:tcW w:w="7200" w:type="dxa"/>
            <w:vAlign w:val="center"/>
          </w:tcPr>
          <w:p w:rsidR="0085455B" w:rsidRPr="00867591" w:rsidRDefault="0085455B" w:rsidP="005070EF">
            <w:pPr>
              <w:rPr>
                <w:sz w:val="20"/>
              </w:rPr>
            </w:pPr>
            <w:r w:rsidRPr="00867591">
              <w:rPr>
                <w:b/>
                <w:bCs/>
                <w:sz w:val="20"/>
                <w:szCs w:val="20"/>
              </w:rPr>
              <w:t>Civil society organizations: nature and their role in rural development (A case study of Hazara region of Pakistan’s Khyber Pakhtunkhwa province)</w:t>
            </w:r>
          </w:p>
          <w:p w:rsidR="0085455B" w:rsidRPr="00867591" w:rsidRDefault="0085455B" w:rsidP="005070EF">
            <w:pPr>
              <w:rPr>
                <w:sz w:val="20"/>
              </w:rPr>
            </w:pPr>
            <w:r w:rsidRPr="00867591">
              <w:rPr>
                <w:sz w:val="20"/>
                <w:szCs w:val="20"/>
              </w:rPr>
              <w:t>Muhammad Luqman</w:t>
            </w:r>
            <w:r>
              <w:rPr>
                <w:sz w:val="20"/>
                <w:szCs w:val="20"/>
                <w:vertAlign w:val="superscript"/>
              </w:rPr>
              <w:t xml:space="preserve"> </w:t>
            </w:r>
            <w:r w:rsidRPr="00867591">
              <w:rPr>
                <w:sz w:val="20"/>
                <w:szCs w:val="20"/>
              </w:rPr>
              <w:t>, Babar Shahbaz</w:t>
            </w:r>
            <w:r>
              <w:rPr>
                <w:sz w:val="20"/>
                <w:szCs w:val="20"/>
                <w:vertAlign w:val="superscript"/>
              </w:rPr>
              <w:t xml:space="preserve"> </w:t>
            </w:r>
            <w:r w:rsidRPr="00867591">
              <w:rPr>
                <w:sz w:val="20"/>
                <w:szCs w:val="20"/>
              </w:rPr>
              <w:t>, Tanvir Ali</w:t>
            </w:r>
            <w:r>
              <w:rPr>
                <w:sz w:val="20"/>
                <w:szCs w:val="20"/>
                <w:vertAlign w:val="superscript"/>
              </w:rPr>
              <w:t xml:space="preserve"> </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91-98</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color w:val="000000"/>
                <w:sz w:val="20"/>
                <w:szCs w:val="20"/>
              </w:rPr>
              <w:t>18</w:t>
            </w:r>
          </w:p>
        </w:tc>
        <w:tc>
          <w:tcPr>
            <w:tcW w:w="7200" w:type="dxa"/>
            <w:vAlign w:val="center"/>
          </w:tcPr>
          <w:p w:rsidR="0085455B" w:rsidRPr="00867591" w:rsidRDefault="0085455B" w:rsidP="005070EF">
            <w:pPr>
              <w:rPr>
                <w:sz w:val="20"/>
              </w:rPr>
            </w:pPr>
            <w:r w:rsidRPr="00867591">
              <w:rPr>
                <w:b/>
                <w:bCs/>
                <w:sz w:val="20"/>
                <w:szCs w:val="20"/>
              </w:rPr>
              <w:t>Salinity Effects on External and Internal Morphology of Rose Geranium (</w:t>
            </w:r>
            <w:r w:rsidRPr="00867591">
              <w:rPr>
                <w:b/>
                <w:bCs/>
                <w:i/>
                <w:iCs/>
                <w:sz w:val="20"/>
                <w:szCs w:val="20"/>
              </w:rPr>
              <w:t>Pelargonium graveolens</w:t>
            </w:r>
            <w:r w:rsidRPr="00867591">
              <w:rPr>
                <w:b/>
                <w:bCs/>
                <w:sz w:val="20"/>
                <w:szCs w:val="20"/>
              </w:rPr>
              <w:t>L.) Leaf</w:t>
            </w:r>
          </w:p>
          <w:p w:rsidR="0085455B" w:rsidRPr="00867591" w:rsidRDefault="0085455B" w:rsidP="005070EF">
            <w:pPr>
              <w:rPr>
                <w:sz w:val="20"/>
              </w:rPr>
            </w:pPr>
            <w:r w:rsidRPr="00867591">
              <w:rPr>
                <w:sz w:val="20"/>
                <w:szCs w:val="20"/>
              </w:rPr>
              <w:t>Moosa Mahmood Sedibe, Zenzile Peter Khetsha, Ntsoaki Malebo</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99-103</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color w:val="000000"/>
                <w:sz w:val="20"/>
                <w:szCs w:val="20"/>
              </w:rPr>
              <w:t>19</w:t>
            </w:r>
          </w:p>
        </w:tc>
        <w:tc>
          <w:tcPr>
            <w:tcW w:w="7200" w:type="dxa"/>
            <w:vAlign w:val="center"/>
          </w:tcPr>
          <w:p w:rsidR="0085455B" w:rsidRPr="00867591" w:rsidRDefault="0085455B" w:rsidP="005070EF">
            <w:pPr>
              <w:shd w:val="clear" w:color="auto" w:fill="FFFFFF"/>
              <w:rPr>
                <w:sz w:val="20"/>
              </w:rPr>
            </w:pPr>
            <w:r w:rsidRPr="00867591">
              <w:rPr>
                <w:b/>
                <w:bCs/>
                <w:color w:val="000000"/>
                <w:sz w:val="20"/>
                <w:szCs w:val="20"/>
              </w:rPr>
              <w:t>Power Indicators of Bar Abrasive Processing</w:t>
            </w:r>
          </w:p>
          <w:p w:rsidR="0085455B" w:rsidRPr="00867591" w:rsidRDefault="0085455B" w:rsidP="005070EF">
            <w:pPr>
              <w:rPr>
                <w:sz w:val="20"/>
              </w:rPr>
            </w:pPr>
            <w:r w:rsidRPr="00867591">
              <w:rPr>
                <w:color w:val="000000"/>
                <w:sz w:val="20"/>
                <w:szCs w:val="20"/>
              </w:rPr>
              <w:t>Anatoli Nikolaevich Tyurin</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104-107</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color w:val="000000"/>
                <w:sz w:val="20"/>
                <w:szCs w:val="20"/>
              </w:rPr>
              <w:t>20</w:t>
            </w:r>
          </w:p>
        </w:tc>
        <w:tc>
          <w:tcPr>
            <w:tcW w:w="7200" w:type="dxa"/>
            <w:vAlign w:val="center"/>
          </w:tcPr>
          <w:p w:rsidR="0085455B" w:rsidRPr="00867591" w:rsidRDefault="0085455B" w:rsidP="005070EF">
            <w:pPr>
              <w:rPr>
                <w:sz w:val="20"/>
              </w:rPr>
            </w:pPr>
            <w:r w:rsidRPr="00867591">
              <w:rPr>
                <w:b/>
                <w:bCs/>
                <w:sz w:val="20"/>
                <w:szCs w:val="20"/>
              </w:rPr>
              <w:t>The Concept of Universalization in the Law of the Constitution</w:t>
            </w:r>
          </w:p>
          <w:p w:rsidR="0085455B" w:rsidRPr="00867591" w:rsidRDefault="0085455B" w:rsidP="005070EF">
            <w:pPr>
              <w:rPr>
                <w:sz w:val="20"/>
              </w:rPr>
            </w:pPr>
            <w:r w:rsidRPr="00867591">
              <w:rPr>
                <w:sz w:val="20"/>
                <w:szCs w:val="20"/>
              </w:rPr>
              <w:t>Denis Valerievich</w:t>
            </w:r>
            <w:r w:rsidRPr="00867591">
              <w:rPr>
                <w:sz w:val="20"/>
              </w:rPr>
              <w:t> </w:t>
            </w:r>
            <w:r w:rsidRPr="00867591">
              <w:rPr>
                <w:color w:val="222222"/>
                <w:sz w:val="20"/>
                <w:szCs w:val="20"/>
                <w:shd w:val="clear" w:color="auto" w:fill="FFFFFF"/>
              </w:rPr>
              <w:t>Vokhmyanin</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108-112</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color w:val="000000"/>
                <w:sz w:val="20"/>
                <w:szCs w:val="20"/>
              </w:rPr>
              <w:t>21</w:t>
            </w:r>
          </w:p>
        </w:tc>
        <w:tc>
          <w:tcPr>
            <w:tcW w:w="7200" w:type="dxa"/>
            <w:vAlign w:val="center"/>
          </w:tcPr>
          <w:p w:rsidR="0085455B" w:rsidRPr="00867591" w:rsidRDefault="0085455B" w:rsidP="005070EF">
            <w:pPr>
              <w:shd w:val="clear" w:color="auto" w:fill="FFFFFF"/>
              <w:rPr>
                <w:sz w:val="20"/>
              </w:rPr>
            </w:pPr>
            <w:r w:rsidRPr="00867591">
              <w:rPr>
                <w:b/>
                <w:bCs/>
                <w:color w:val="000000"/>
                <w:sz w:val="20"/>
                <w:szCs w:val="20"/>
              </w:rPr>
              <w:t>The Lyrical Hero in the Works of Kazakh’s Poet Shakarim Kudaiberdiev</w:t>
            </w:r>
          </w:p>
          <w:p w:rsidR="0085455B" w:rsidRPr="00867591" w:rsidRDefault="0085455B" w:rsidP="005070EF">
            <w:pPr>
              <w:rPr>
                <w:sz w:val="20"/>
              </w:rPr>
            </w:pPr>
            <w:r w:rsidRPr="00867591">
              <w:rPr>
                <w:sz w:val="20"/>
                <w:szCs w:val="20"/>
              </w:rPr>
              <w:t>Aray Kanapyanovna Zhundibayeva</w:t>
            </w:r>
            <w:r>
              <w:rPr>
                <w:sz w:val="20"/>
              </w:rPr>
              <w:t>,</w:t>
            </w:r>
            <w:r w:rsidRPr="00867591">
              <w:rPr>
                <w:sz w:val="20"/>
                <w:szCs w:val="20"/>
              </w:rPr>
              <w:t xml:space="preserve"> Kulbek Sarsenovich Ergobekov</w:t>
            </w:r>
            <w:r>
              <w:rPr>
                <w:sz w:val="20"/>
                <w:szCs w:val="20"/>
                <w:vertAlign w:val="superscript"/>
              </w:rPr>
              <w:t xml:space="preserve"> </w:t>
            </w:r>
            <w:r w:rsidRPr="00867591">
              <w:rPr>
                <w:sz w:val="20"/>
                <w:szCs w:val="20"/>
              </w:rPr>
              <w:t>and</w:t>
            </w:r>
            <w:r w:rsidRPr="00867591">
              <w:rPr>
                <w:sz w:val="20"/>
              </w:rPr>
              <w:t> </w:t>
            </w:r>
            <w:r w:rsidRPr="00B57D5A">
              <w:rPr>
                <w:bCs/>
                <w:sz w:val="20"/>
              </w:rPr>
              <w:t>Arap Slamovich</w:t>
            </w:r>
            <w:r w:rsidRPr="00B57D5A">
              <w:rPr>
                <w:sz w:val="20"/>
              </w:rPr>
              <w:t> </w:t>
            </w:r>
            <w:r w:rsidRPr="00B57D5A">
              <w:rPr>
                <w:bCs/>
                <w:sz w:val="20"/>
              </w:rPr>
              <w:t>Espenbetov</w:t>
            </w:r>
          </w:p>
          <w:p w:rsidR="0085455B" w:rsidRPr="00B57D5A"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113-117</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color w:val="000000"/>
                <w:sz w:val="20"/>
                <w:szCs w:val="20"/>
              </w:rPr>
              <w:t>22</w:t>
            </w:r>
          </w:p>
        </w:tc>
        <w:tc>
          <w:tcPr>
            <w:tcW w:w="7200" w:type="dxa"/>
            <w:vAlign w:val="center"/>
          </w:tcPr>
          <w:p w:rsidR="0085455B" w:rsidRPr="00867591" w:rsidRDefault="0085455B" w:rsidP="005070EF">
            <w:pPr>
              <w:rPr>
                <w:sz w:val="20"/>
              </w:rPr>
            </w:pPr>
            <w:r w:rsidRPr="00867591">
              <w:rPr>
                <w:b/>
                <w:bCs/>
                <w:sz w:val="20"/>
                <w:szCs w:val="20"/>
              </w:rPr>
              <w:t>Development of ways of strategic management system improvement of the information and telecommunication sector companies of the Republic of Kazakhstan</w:t>
            </w:r>
          </w:p>
          <w:p w:rsidR="0085455B" w:rsidRPr="00867591" w:rsidRDefault="0085455B" w:rsidP="005070EF">
            <w:pPr>
              <w:rPr>
                <w:sz w:val="20"/>
              </w:rPr>
            </w:pPr>
            <w:r w:rsidRPr="00867591">
              <w:rPr>
                <w:sz w:val="20"/>
                <w:szCs w:val="20"/>
              </w:rPr>
              <w:t>Bolatkyzy Aigul</w:t>
            </w:r>
            <w:r>
              <w:rPr>
                <w:sz w:val="20"/>
                <w:szCs w:val="20"/>
                <w:vertAlign w:val="superscript"/>
                <w:lang w:val="ru-RU"/>
              </w:rPr>
              <w:t xml:space="preserve"> </w:t>
            </w:r>
            <w:r w:rsidRPr="00867591">
              <w:rPr>
                <w:sz w:val="20"/>
                <w:szCs w:val="20"/>
                <w:lang w:val="ru-RU"/>
              </w:rPr>
              <w:t>,</w:t>
            </w:r>
            <w:r w:rsidRPr="00867591">
              <w:rPr>
                <w:sz w:val="20"/>
                <w:lang w:val="ru-RU"/>
              </w:rPr>
              <w:t> </w:t>
            </w:r>
            <w:r w:rsidRPr="00867591">
              <w:rPr>
                <w:sz w:val="20"/>
                <w:szCs w:val="20"/>
              </w:rPr>
              <w:t>Sadvakassova Aigul</w:t>
            </w:r>
            <w:r>
              <w:rPr>
                <w:sz w:val="20"/>
                <w:szCs w:val="20"/>
                <w:vertAlign w:val="superscript"/>
                <w:lang w:val="ru-RU"/>
              </w:rPr>
              <w:t xml:space="preserve"> </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118-122</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23</w:t>
            </w:r>
          </w:p>
        </w:tc>
        <w:tc>
          <w:tcPr>
            <w:tcW w:w="7200" w:type="dxa"/>
            <w:vAlign w:val="center"/>
          </w:tcPr>
          <w:p w:rsidR="0085455B" w:rsidRPr="00867591" w:rsidRDefault="0085455B" w:rsidP="005070EF">
            <w:pPr>
              <w:rPr>
                <w:sz w:val="20"/>
              </w:rPr>
            </w:pPr>
            <w:r w:rsidRPr="00867591">
              <w:rPr>
                <w:b/>
                <w:bCs/>
                <w:sz w:val="20"/>
                <w:szCs w:val="20"/>
              </w:rPr>
              <w:t>Growth and body composition of catfish</w:t>
            </w:r>
            <w:r w:rsidRPr="00867591">
              <w:rPr>
                <w:b/>
                <w:bCs/>
                <w:sz w:val="20"/>
              </w:rPr>
              <w:t> </w:t>
            </w:r>
            <w:r w:rsidRPr="00867591">
              <w:rPr>
                <w:b/>
                <w:bCs/>
                <w:i/>
                <w:iCs/>
                <w:sz w:val="20"/>
                <w:szCs w:val="20"/>
              </w:rPr>
              <w:t>Heteropneustes fossilis</w:t>
            </w:r>
            <w:r w:rsidRPr="00867591">
              <w:rPr>
                <w:b/>
                <w:bCs/>
                <w:sz w:val="20"/>
              </w:rPr>
              <w:t> </w:t>
            </w:r>
            <w:r w:rsidRPr="00867591">
              <w:rPr>
                <w:b/>
                <w:bCs/>
                <w:sz w:val="20"/>
                <w:szCs w:val="20"/>
              </w:rPr>
              <w:t>fed testes 3X supplemented diet</w:t>
            </w:r>
          </w:p>
          <w:p w:rsidR="0085455B" w:rsidRPr="00867591" w:rsidRDefault="0085455B" w:rsidP="005070EF">
            <w:pPr>
              <w:rPr>
                <w:sz w:val="20"/>
              </w:rPr>
            </w:pPr>
            <w:r w:rsidRPr="00867591">
              <w:rPr>
                <w:sz w:val="20"/>
                <w:szCs w:val="20"/>
              </w:rPr>
              <w:t>Zubair Ahmad</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123-128</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24</w:t>
            </w:r>
          </w:p>
        </w:tc>
        <w:tc>
          <w:tcPr>
            <w:tcW w:w="7200" w:type="dxa"/>
            <w:vAlign w:val="center"/>
          </w:tcPr>
          <w:p w:rsidR="0085455B" w:rsidRPr="00867591" w:rsidRDefault="0085455B" w:rsidP="005070EF">
            <w:pPr>
              <w:rPr>
                <w:sz w:val="20"/>
              </w:rPr>
            </w:pPr>
            <w:r w:rsidRPr="00867591">
              <w:rPr>
                <w:b/>
                <w:bCs/>
                <w:color w:val="000000"/>
                <w:sz w:val="20"/>
                <w:szCs w:val="20"/>
              </w:rPr>
              <w:t>Anexiety and Agression Disorders of Children with Chronic Kidney Disease on Regular Hemodialysis</w:t>
            </w:r>
          </w:p>
          <w:p w:rsidR="0085455B" w:rsidRPr="00867591" w:rsidRDefault="0085455B" w:rsidP="005070EF">
            <w:pPr>
              <w:rPr>
                <w:sz w:val="20"/>
              </w:rPr>
            </w:pPr>
            <w:r w:rsidRPr="00867591">
              <w:rPr>
                <w:sz w:val="20"/>
                <w:szCs w:val="20"/>
              </w:rPr>
              <w:t>Sanaa. M El Sadek</w:t>
            </w:r>
            <w:r>
              <w:rPr>
                <w:sz w:val="20"/>
              </w:rPr>
              <w:t>,</w:t>
            </w:r>
            <w:r w:rsidRPr="00867591">
              <w:rPr>
                <w:sz w:val="20"/>
                <w:szCs w:val="20"/>
              </w:rPr>
              <w:t xml:space="preserve"> Taghread El Shafee</w:t>
            </w:r>
            <w:r>
              <w:rPr>
                <w:sz w:val="20"/>
                <w:szCs w:val="20"/>
                <w:vertAlign w:val="superscript"/>
              </w:rPr>
              <w:t xml:space="preserve"> </w:t>
            </w:r>
            <w:r w:rsidRPr="00867591">
              <w:rPr>
                <w:sz w:val="20"/>
                <w:szCs w:val="20"/>
              </w:rPr>
              <w:t>, Manal M Zaher</w:t>
            </w:r>
            <w:r>
              <w:rPr>
                <w:sz w:val="20"/>
                <w:szCs w:val="20"/>
                <w:vertAlign w:val="superscript"/>
              </w:rPr>
              <w:t xml:space="preserve"> </w:t>
            </w:r>
            <w:r w:rsidRPr="00867591">
              <w:rPr>
                <w:sz w:val="20"/>
                <w:szCs w:val="20"/>
              </w:rPr>
              <w:t>, Manal Abd El-Salam</w:t>
            </w:r>
            <w:r>
              <w:rPr>
                <w:sz w:val="20"/>
                <w:szCs w:val="20"/>
                <w:vertAlign w:val="superscript"/>
              </w:rPr>
              <w:t xml:space="preserve"> </w:t>
            </w:r>
            <w:r w:rsidRPr="00867591">
              <w:rPr>
                <w:sz w:val="20"/>
                <w:szCs w:val="20"/>
              </w:rPr>
              <w:t>, Maha A Nouh</w:t>
            </w:r>
            <w:r>
              <w:rPr>
                <w:sz w:val="20"/>
                <w:szCs w:val="20"/>
                <w:vertAlign w:val="superscript"/>
              </w:rPr>
              <w:t xml:space="preserve"> </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129-134</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25</w:t>
            </w:r>
          </w:p>
        </w:tc>
        <w:tc>
          <w:tcPr>
            <w:tcW w:w="7200" w:type="dxa"/>
            <w:vAlign w:val="center"/>
          </w:tcPr>
          <w:p w:rsidR="0085455B" w:rsidRPr="00867591" w:rsidRDefault="0085455B" w:rsidP="005070EF">
            <w:pPr>
              <w:rPr>
                <w:sz w:val="20"/>
              </w:rPr>
            </w:pPr>
            <w:r w:rsidRPr="00867591">
              <w:rPr>
                <w:b/>
                <w:bCs/>
                <w:sz w:val="20"/>
                <w:szCs w:val="20"/>
              </w:rPr>
              <w:t>1-</w:t>
            </w:r>
            <w:r w:rsidRPr="00867591">
              <w:rPr>
                <w:b/>
                <w:bCs/>
                <w:sz w:val="20"/>
                <w:szCs w:val="20"/>
                <w:vertAlign w:val="superscript"/>
              </w:rPr>
              <w:t>14</w:t>
            </w:r>
            <w:r w:rsidRPr="00867591">
              <w:rPr>
                <w:b/>
                <w:bCs/>
                <w:sz w:val="20"/>
                <w:szCs w:val="20"/>
              </w:rPr>
              <w:t>C Linoleoyl-COA Desaturation into Diverse Lipid Classes of</w:t>
            </w:r>
            <w:r w:rsidRPr="00867591">
              <w:rPr>
                <w:b/>
                <w:bCs/>
                <w:sz w:val="20"/>
              </w:rPr>
              <w:t> </w:t>
            </w:r>
            <w:r w:rsidRPr="00867591">
              <w:rPr>
                <w:b/>
                <w:bCs/>
                <w:i/>
                <w:iCs/>
                <w:sz w:val="20"/>
                <w:szCs w:val="20"/>
              </w:rPr>
              <w:t>Dracocephalum moldavica</w:t>
            </w:r>
            <w:r w:rsidRPr="00867591">
              <w:rPr>
                <w:b/>
                <w:bCs/>
                <w:sz w:val="20"/>
              </w:rPr>
              <w:t> </w:t>
            </w:r>
            <w:r w:rsidRPr="00867591">
              <w:rPr>
                <w:b/>
                <w:bCs/>
                <w:sz w:val="20"/>
                <w:szCs w:val="20"/>
              </w:rPr>
              <w:t>Cotyledons</w:t>
            </w:r>
          </w:p>
          <w:p w:rsidR="0085455B" w:rsidRPr="00867591" w:rsidRDefault="0085455B" w:rsidP="005070EF">
            <w:pPr>
              <w:rPr>
                <w:sz w:val="20"/>
              </w:rPr>
            </w:pPr>
            <w:r w:rsidRPr="00867591">
              <w:rPr>
                <w:color w:val="000000"/>
                <w:sz w:val="20"/>
                <w:szCs w:val="20"/>
              </w:rPr>
              <w:t>MOHAMMED ABDEL-REHEEM</w:t>
            </w:r>
            <w:r>
              <w:rPr>
                <w:color w:val="000000"/>
                <w:sz w:val="20"/>
                <w:szCs w:val="20"/>
                <w:vertAlign w:val="superscript"/>
              </w:rPr>
              <w:t xml:space="preserve"> </w:t>
            </w:r>
            <w:r w:rsidRPr="00867591">
              <w:rPr>
                <w:color w:val="000000"/>
                <w:sz w:val="20"/>
                <w:szCs w:val="20"/>
              </w:rPr>
              <w:t>, AND DAVID HILDEBRAND</w:t>
            </w:r>
            <w:r>
              <w:rPr>
                <w:color w:val="000000"/>
                <w:sz w:val="20"/>
                <w:szCs w:val="20"/>
                <w:vertAlign w:val="superscript"/>
              </w:rPr>
              <w:t xml:space="preserve"> </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135-143</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26</w:t>
            </w:r>
          </w:p>
        </w:tc>
        <w:tc>
          <w:tcPr>
            <w:tcW w:w="7200" w:type="dxa"/>
            <w:vAlign w:val="center"/>
          </w:tcPr>
          <w:p w:rsidR="0085455B" w:rsidRPr="00867591" w:rsidRDefault="0085455B" w:rsidP="005070EF">
            <w:pPr>
              <w:rPr>
                <w:sz w:val="20"/>
              </w:rPr>
            </w:pPr>
            <w:r w:rsidRPr="00867591">
              <w:rPr>
                <w:b/>
                <w:bCs/>
                <w:sz w:val="20"/>
                <w:szCs w:val="20"/>
              </w:rPr>
              <w:t>Incorporation of</w:t>
            </w:r>
            <w:r w:rsidRPr="00867591">
              <w:rPr>
                <w:b/>
                <w:bCs/>
                <w:sz w:val="20"/>
              </w:rPr>
              <w:t> </w:t>
            </w:r>
            <w:r w:rsidRPr="00867591">
              <w:rPr>
                <w:b/>
                <w:bCs/>
                <w:sz w:val="20"/>
                <w:szCs w:val="20"/>
                <w:vertAlign w:val="superscript"/>
              </w:rPr>
              <w:t>14</w:t>
            </w:r>
            <w:r w:rsidRPr="00867591">
              <w:rPr>
                <w:b/>
                <w:bCs/>
                <w:sz w:val="20"/>
                <w:szCs w:val="20"/>
              </w:rPr>
              <w:t>C 18:2 into Different Lipid fractions of</w:t>
            </w:r>
            <w:r w:rsidRPr="00867591">
              <w:rPr>
                <w:b/>
                <w:bCs/>
                <w:sz w:val="20"/>
              </w:rPr>
              <w:t> </w:t>
            </w:r>
            <w:r w:rsidRPr="00867591">
              <w:rPr>
                <w:b/>
                <w:bCs/>
                <w:i/>
                <w:iCs/>
                <w:sz w:val="20"/>
                <w:szCs w:val="20"/>
              </w:rPr>
              <w:t xml:space="preserve">Glycine </w:t>
            </w:r>
            <w:r w:rsidRPr="00867591">
              <w:rPr>
                <w:b/>
                <w:bCs/>
                <w:i/>
                <w:iCs/>
                <w:sz w:val="20"/>
                <w:szCs w:val="20"/>
              </w:rPr>
              <w:lastRenderedPageBreak/>
              <w:t>max</w:t>
            </w:r>
            <w:r w:rsidRPr="00867591">
              <w:rPr>
                <w:b/>
                <w:bCs/>
                <w:i/>
                <w:iCs/>
                <w:sz w:val="20"/>
              </w:rPr>
              <w:t> </w:t>
            </w:r>
            <w:r w:rsidRPr="00867591">
              <w:rPr>
                <w:b/>
                <w:bCs/>
                <w:sz w:val="20"/>
                <w:szCs w:val="20"/>
              </w:rPr>
              <w:t>Cotyledons</w:t>
            </w:r>
          </w:p>
          <w:p w:rsidR="0085455B" w:rsidRPr="00867591" w:rsidRDefault="0085455B" w:rsidP="005070EF">
            <w:pPr>
              <w:rPr>
                <w:sz w:val="20"/>
              </w:rPr>
            </w:pPr>
            <w:r w:rsidRPr="00867591">
              <w:rPr>
                <w:color w:val="000000"/>
                <w:sz w:val="20"/>
                <w:szCs w:val="20"/>
              </w:rPr>
              <w:t>MOHAMMED ABDEL-REHEEM</w:t>
            </w:r>
            <w:r>
              <w:rPr>
                <w:color w:val="000000"/>
                <w:sz w:val="20"/>
                <w:szCs w:val="20"/>
                <w:vertAlign w:val="superscript"/>
              </w:rPr>
              <w:t xml:space="preserve"> </w:t>
            </w:r>
            <w:r w:rsidRPr="00867591">
              <w:rPr>
                <w:color w:val="000000"/>
                <w:sz w:val="20"/>
                <w:szCs w:val="20"/>
              </w:rPr>
              <w:t>, AND DAVID HILDEBRAND</w:t>
            </w:r>
            <w:r>
              <w:rPr>
                <w:color w:val="000000"/>
                <w:sz w:val="20"/>
                <w:szCs w:val="20"/>
                <w:vertAlign w:val="superscript"/>
              </w:rPr>
              <w:t xml:space="preserve"> </w:t>
            </w:r>
          </w:p>
          <w:p w:rsidR="0085455B" w:rsidRPr="00B57D5A"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144-152</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lastRenderedPageBreak/>
              <w:t>27</w:t>
            </w:r>
          </w:p>
        </w:tc>
        <w:tc>
          <w:tcPr>
            <w:tcW w:w="7200" w:type="dxa"/>
            <w:vAlign w:val="center"/>
          </w:tcPr>
          <w:p w:rsidR="0085455B" w:rsidRPr="00867591" w:rsidRDefault="0085455B" w:rsidP="005070EF">
            <w:pPr>
              <w:rPr>
                <w:sz w:val="20"/>
              </w:rPr>
            </w:pPr>
            <w:r w:rsidRPr="00867591">
              <w:rPr>
                <w:b/>
                <w:bCs/>
                <w:sz w:val="20"/>
                <w:szCs w:val="20"/>
              </w:rPr>
              <w:t>Effect of Adding Risperidone to Fluoxetine in Treatment of Obsession Compulsion Disorder Patients</w:t>
            </w:r>
          </w:p>
          <w:p w:rsidR="0085455B" w:rsidRPr="00867591" w:rsidRDefault="0085455B" w:rsidP="005070EF">
            <w:pPr>
              <w:rPr>
                <w:sz w:val="20"/>
              </w:rPr>
            </w:pPr>
            <w:r w:rsidRPr="00867591">
              <w:rPr>
                <w:sz w:val="20"/>
                <w:szCs w:val="20"/>
              </w:rPr>
              <w:t>Faezeh Tatari</w:t>
            </w:r>
            <w:r>
              <w:rPr>
                <w:sz w:val="20"/>
                <w:szCs w:val="20"/>
                <w:vertAlign w:val="superscript"/>
              </w:rPr>
              <w:t xml:space="preserve"> </w:t>
            </w:r>
            <w:r w:rsidRPr="00867591">
              <w:rPr>
                <w:sz w:val="20"/>
                <w:szCs w:val="20"/>
              </w:rPr>
              <w:t>, Habibollah Khazaei</w:t>
            </w:r>
            <w:r>
              <w:rPr>
                <w:sz w:val="20"/>
                <w:szCs w:val="20"/>
                <w:vertAlign w:val="superscript"/>
              </w:rPr>
              <w:t xml:space="preserve"> </w:t>
            </w:r>
            <w:r w:rsidRPr="00867591">
              <w:rPr>
                <w:sz w:val="20"/>
                <w:szCs w:val="20"/>
              </w:rPr>
              <w:t>, Fahimeh Jahandar</w:t>
            </w:r>
            <w:r>
              <w:rPr>
                <w:sz w:val="20"/>
                <w:szCs w:val="20"/>
                <w:vertAlign w:val="superscript"/>
              </w:rPr>
              <w:t xml:space="preserve"> </w:t>
            </w:r>
            <w:r w:rsidRPr="00867591">
              <w:rPr>
                <w:sz w:val="20"/>
                <w:szCs w:val="20"/>
              </w:rPr>
              <w:t>, Mansour Rezaei</w:t>
            </w:r>
            <w:r>
              <w:rPr>
                <w:sz w:val="20"/>
                <w:szCs w:val="20"/>
                <w:vertAlign w:val="superscript"/>
              </w:rPr>
              <w:t xml:space="preserve"> </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color w:val="000000"/>
                <w:sz w:val="20"/>
                <w:szCs w:val="20"/>
              </w:rPr>
              <w:t>153-157</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28</w:t>
            </w:r>
          </w:p>
        </w:tc>
        <w:tc>
          <w:tcPr>
            <w:tcW w:w="7200" w:type="dxa"/>
            <w:vAlign w:val="center"/>
          </w:tcPr>
          <w:p w:rsidR="0085455B" w:rsidRPr="00867591" w:rsidRDefault="0085455B" w:rsidP="005070EF">
            <w:pPr>
              <w:rPr>
                <w:sz w:val="20"/>
              </w:rPr>
            </w:pPr>
            <w:r w:rsidRPr="00867591">
              <w:rPr>
                <w:b/>
                <w:bCs/>
                <w:sz w:val="20"/>
                <w:szCs w:val="20"/>
              </w:rPr>
              <w:t>The environmental impact on the hydrogeochemical characterization of the</w:t>
            </w:r>
          </w:p>
          <w:p w:rsidR="0085455B" w:rsidRPr="00867591" w:rsidRDefault="0085455B" w:rsidP="005070EF">
            <w:pPr>
              <w:rPr>
                <w:sz w:val="20"/>
              </w:rPr>
            </w:pPr>
            <w:r w:rsidRPr="00867591">
              <w:rPr>
                <w:b/>
                <w:bCs/>
                <w:sz w:val="20"/>
                <w:szCs w:val="20"/>
              </w:rPr>
              <w:t>Kurkar aquifer system, Gaza strip, Palestine.</w:t>
            </w:r>
          </w:p>
          <w:p w:rsidR="0085455B" w:rsidRPr="00867591" w:rsidRDefault="0085455B" w:rsidP="005070EF">
            <w:pPr>
              <w:rPr>
                <w:sz w:val="20"/>
              </w:rPr>
            </w:pPr>
            <w:r w:rsidRPr="00867591">
              <w:rPr>
                <w:sz w:val="20"/>
                <w:szCs w:val="20"/>
              </w:rPr>
              <w:t>El Kammar</w:t>
            </w:r>
            <w:r>
              <w:rPr>
                <w:sz w:val="20"/>
                <w:szCs w:val="20"/>
                <w:vertAlign w:val="superscript"/>
              </w:rPr>
              <w:t xml:space="preserve"> </w:t>
            </w:r>
            <w:r w:rsidRPr="00867591">
              <w:rPr>
                <w:sz w:val="20"/>
                <w:szCs w:val="20"/>
              </w:rPr>
              <w:t>, M.M., El Kashouty</w:t>
            </w:r>
            <w:r>
              <w:rPr>
                <w:sz w:val="20"/>
                <w:szCs w:val="20"/>
                <w:vertAlign w:val="superscript"/>
              </w:rPr>
              <w:t xml:space="preserve"> </w:t>
            </w:r>
            <w:r w:rsidRPr="00867591">
              <w:rPr>
                <w:sz w:val="20"/>
                <w:szCs w:val="20"/>
              </w:rPr>
              <w:t>, M, Al Agha</w:t>
            </w:r>
            <w:r>
              <w:rPr>
                <w:sz w:val="20"/>
                <w:szCs w:val="20"/>
                <w:vertAlign w:val="superscript"/>
              </w:rPr>
              <w:t xml:space="preserve"> </w:t>
            </w:r>
            <w:r w:rsidRPr="00867591">
              <w:rPr>
                <w:sz w:val="20"/>
                <w:szCs w:val="20"/>
              </w:rPr>
              <w:t>, M., and Arafat</w:t>
            </w:r>
            <w:r>
              <w:rPr>
                <w:sz w:val="20"/>
                <w:szCs w:val="20"/>
                <w:vertAlign w:val="superscript"/>
              </w:rPr>
              <w:t xml:space="preserve"> </w:t>
            </w:r>
            <w:r w:rsidRPr="00867591">
              <w:rPr>
                <w:sz w:val="20"/>
                <w:szCs w:val="20"/>
              </w:rPr>
              <w:t>, H.</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color w:val="000000"/>
                <w:sz w:val="20"/>
                <w:szCs w:val="20"/>
              </w:rPr>
              <w:t>158-169</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29</w:t>
            </w:r>
          </w:p>
        </w:tc>
        <w:tc>
          <w:tcPr>
            <w:tcW w:w="7200" w:type="dxa"/>
            <w:vAlign w:val="center"/>
          </w:tcPr>
          <w:p w:rsidR="0085455B" w:rsidRPr="00867591" w:rsidRDefault="0085455B" w:rsidP="005070EF">
            <w:pPr>
              <w:rPr>
                <w:sz w:val="20"/>
              </w:rPr>
            </w:pPr>
            <w:r w:rsidRPr="00867591">
              <w:rPr>
                <w:b/>
                <w:bCs/>
                <w:sz w:val="20"/>
                <w:szCs w:val="20"/>
              </w:rPr>
              <w:t>Geochemical characterization of Middle Eocene sediments in Helwan area, Greater Cairo, Egypt</w:t>
            </w:r>
          </w:p>
          <w:p w:rsidR="0085455B" w:rsidRPr="00867591" w:rsidRDefault="0085455B" w:rsidP="005070EF">
            <w:pPr>
              <w:rPr>
                <w:sz w:val="20"/>
              </w:rPr>
            </w:pPr>
            <w:r w:rsidRPr="00867591">
              <w:rPr>
                <w:sz w:val="20"/>
                <w:szCs w:val="20"/>
              </w:rPr>
              <w:t>Mohamed M. El Kammar</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color w:val="000000"/>
                <w:sz w:val="20"/>
                <w:szCs w:val="20"/>
              </w:rPr>
              <w:t>170-178</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30</w:t>
            </w:r>
          </w:p>
        </w:tc>
        <w:tc>
          <w:tcPr>
            <w:tcW w:w="7200" w:type="dxa"/>
            <w:vAlign w:val="center"/>
          </w:tcPr>
          <w:p w:rsidR="0085455B" w:rsidRDefault="0085455B" w:rsidP="005070EF">
            <w:pPr>
              <w:rPr>
                <w:sz w:val="20"/>
                <w:szCs w:val="20"/>
              </w:rPr>
            </w:pPr>
            <w:r w:rsidRPr="00867591">
              <w:rPr>
                <w:sz w:val="20"/>
                <w:szCs w:val="20"/>
              </w:rPr>
              <w:t>Withdrawn</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179-183</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31</w:t>
            </w:r>
          </w:p>
        </w:tc>
        <w:tc>
          <w:tcPr>
            <w:tcW w:w="7200" w:type="dxa"/>
            <w:vAlign w:val="center"/>
          </w:tcPr>
          <w:p w:rsidR="0085455B" w:rsidRPr="00867591" w:rsidRDefault="0085455B" w:rsidP="005070EF">
            <w:pPr>
              <w:rPr>
                <w:sz w:val="20"/>
              </w:rPr>
            </w:pPr>
            <w:r w:rsidRPr="00867591">
              <w:rPr>
                <w:b/>
                <w:bCs/>
                <w:sz w:val="20"/>
              </w:rPr>
              <w:t>Fatty acids composition </w:t>
            </w:r>
            <w:r w:rsidRPr="00867591">
              <w:rPr>
                <w:b/>
                <w:bCs/>
                <w:sz w:val="20"/>
                <w:szCs w:val="20"/>
              </w:rPr>
              <w:t>and lipid content from muscle tissue of clam</w:t>
            </w:r>
            <w:r w:rsidRPr="00867591">
              <w:rPr>
                <w:b/>
                <w:bCs/>
                <w:sz w:val="20"/>
              </w:rPr>
              <w:t> </w:t>
            </w:r>
            <w:r w:rsidRPr="00867591">
              <w:rPr>
                <w:b/>
                <w:bCs/>
                <w:i/>
                <w:iCs/>
                <w:sz w:val="20"/>
                <w:szCs w:val="20"/>
              </w:rPr>
              <w:t>Amiantis umbonella</w:t>
            </w:r>
            <w:r w:rsidRPr="00867591">
              <w:rPr>
                <w:b/>
                <w:bCs/>
                <w:sz w:val="20"/>
              </w:rPr>
              <w:t> </w:t>
            </w:r>
            <w:r w:rsidRPr="00867591">
              <w:rPr>
                <w:b/>
                <w:bCs/>
                <w:sz w:val="20"/>
                <w:szCs w:val="20"/>
              </w:rPr>
              <w:t>(Bivalve) in the Persian Gulf Coasts (Bushehr)</w:t>
            </w:r>
          </w:p>
          <w:p w:rsidR="0085455B" w:rsidRPr="00867591" w:rsidRDefault="0085455B" w:rsidP="005070EF">
            <w:pPr>
              <w:rPr>
                <w:sz w:val="20"/>
              </w:rPr>
            </w:pPr>
            <w:r w:rsidRPr="00867591">
              <w:rPr>
                <w:sz w:val="20"/>
              </w:rPr>
              <w:t>Abdolhossein Rustaiyan</w:t>
            </w:r>
            <w:r>
              <w:rPr>
                <w:sz w:val="20"/>
                <w:vertAlign w:val="superscript"/>
              </w:rPr>
              <w:t xml:space="preserve"> </w:t>
            </w:r>
            <w:r w:rsidRPr="00867591">
              <w:rPr>
                <w:sz w:val="20"/>
                <w:szCs w:val="20"/>
              </w:rPr>
              <w:t>, Keivandokht Samiee</w:t>
            </w:r>
            <w:r>
              <w:rPr>
                <w:sz w:val="20"/>
                <w:szCs w:val="20"/>
                <w:vertAlign w:val="superscript"/>
              </w:rPr>
              <w:t xml:space="preserve"> </w:t>
            </w:r>
            <w:r w:rsidRPr="00867591">
              <w:rPr>
                <w:sz w:val="20"/>
                <w:szCs w:val="20"/>
              </w:rPr>
              <w:t>,</w:t>
            </w:r>
            <w:r>
              <w:rPr>
                <w:sz w:val="20"/>
                <w:vertAlign w:val="superscript"/>
              </w:rPr>
              <w:t xml:space="preserve"> </w:t>
            </w:r>
            <w:r w:rsidRPr="00867591">
              <w:rPr>
                <w:sz w:val="20"/>
                <w:szCs w:val="20"/>
              </w:rPr>
              <w:t>Mina Ghanbary Bonjar</w:t>
            </w:r>
            <w:r>
              <w:rPr>
                <w:sz w:val="20"/>
                <w:vertAlign w:val="superscript"/>
              </w:rPr>
              <w:t xml:space="preserve"> </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rFonts w:hint="eastAsia"/>
                <w:b/>
                <w:sz w:val="20"/>
              </w:rPr>
              <w:t>184-188</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32</w:t>
            </w:r>
          </w:p>
        </w:tc>
        <w:tc>
          <w:tcPr>
            <w:tcW w:w="7200" w:type="dxa"/>
            <w:vAlign w:val="center"/>
          </w:tcPr>
          <w:p w:rsidR="0085455B" w:rsidRPr="00867591" w:rsidRDefault="0085455B" w:rsidP="005070EF">
            <w:pPr>
              <w:rPr>
                <w:sz w:val="20"/>
              </w:rPr>
            </w:pPr>
            <w:r w:rsidRPr="00867591">
              <w:rPr>
                <w:b/>
                <w:bCs/>
                <w:sz w:val="20"/>
              </w:rPr>
              <w:t>Long-term investment</w:t>
            </w:r>
            <w:r w:rsidRPr="00867591">
              <w:rPr>
                <w:b/>
                <w:bCs/>
                <w:caps/>
                <w:sz w:val="20"/>
              </w:rPr>
              <w:t> </w:t>
            </w:r>
            <w:r w:rsidRPr="00867591">
              <w:rPr>
                <w:b/>
                <w:bCs/>
                <w:sz w:val="20"/>
              </w:rPr>
              <w:t>planning in oil and gas sector</w:t>
            </w:r>
            <w:r w:rsidRPr="00867591">
              <w:rPr>
                <w:b/>
                <w:bCs/>
                <w:sz w:val="20"/>
                <w:szCs w:val="20"/>
              </w:rPr>
              <w:t>: trends,</w:t>
            </w:r>
            <w:r w:rsidRPr="00867591">
              <w:rPr>
                <w:b/>
                <w:bCs/>
                <w:sz w:val="20"/>
              </w:rPr>
              <w:t> risks and opportunities</w:t>
            </w:r>
            <w:r w:rsidRPr="00867591">
              <w:rPr>
                <w:b/>
                <w:bCs/>
                <w:caps/>
                <w:sz w:val="20"/>
              </w:rPr>
              <w:t> </w:t>
            </w:r>
            <w:r w:rsidRPr="00867591">
              <w:rPr>
                <w:b/>
                <w:bCs/>
                <w:sz w:val="20"/>
              </w:rPr>
              <w:t>(the case of</w:t>
            </w:r>
            <w:r w:rsidRPr="00867591">
              <w:rPr>
                <w:b/>
                <w:bCs/>
                <w:caps/>
                <w:sz w:val="20"/>
              </w:rPr>
              <w:t> </w:t>
            </w:r>
            <w:r w:rsidRPr="00867591">
              <w:rPr>
                <w:b/>
                <w:bCs/>
                <w:sz w:val="20"/>
              </w:rPr>
              <w:t>NOC </w:t>
            </w:r>
            <w:r w:rsidRPr="00867591">
              <w:rPr>
                <w:b/>
                <w:bCs/>
                <w:caps/>
                <w:sz w:val="20"/>
                <w:lang w:val="uk-UA"/>
              </w:rPr>
              <w:t>«</w:t>
            </w:r>
            <w:r w:rsidRPr="00867591">
              <w:rPr>
                <w:b/>
                <w:bCs/>
                <w:sz w:val="20"/>
                <w:szCs w:val="20"/>
              </w:rPr>
              <w:t>KazMunaiGas</w:t>
            </w:r>
            <w:r w:rsidRPr="00867591">
              <w:rPr>
                <w:b/>
                <w:bCs/>
                <w:caps/>
                <w:sz w:val="20"/>
                <w:szCs w:val="20"/>
                <w:lang w:val="uk-UA"/>
              </w:rPr>
              <w:t>»</w:t>
            </w:r>
            <w:r w:rsidRPr="00867591">
              <w:rPr>
                <w:b/>
                <w:bCs/>
                <w:caps/>
                <w:sz w:val="20"/>
                <w:szCs w:val="20"/>
              </w:rPr>
              <w:t>)</w:t>
            </w:r>
          </w:p>
          <w:p w:rsidR="0085455B" w:rsidRPr="00867591" w:rsidRDefault="0085455B" w:rsidP="005070EF">
            <w:pPr>
              <w:rPr>
                <w:sz w:val="20"/>
              </w:rPr>
            </w:pPr>
            <w:r w:rsidRPr="00867591">
              <w:rPr>
                <w:color w:val="000000"/>
                <w:sz w:val="20"/>
                <w:szCs w:val="20"/>
              </w:rPr>
              <w:t>Salpek Berik Serikuly</w:t>
            </w:r>
            <w:r>
              <w:rPr>
                <w:color w:val="000000"/>
                <w:sz w:val="20"/>
                <w:szCs w:val="20"/>
                <w:vertAlign w:val="superscript"/>
              </w:rPr>
              <w:t xml:space="preserve"> </w:t>
            </w:r>
            <w:r w:rsidRPr="00867591">
              <w:rPr>
                <w:color w:val="000000"/>
                <w:sz w:val="20"/>
                <w:szCs w:val="20"/>
              </w:rPr>
              <w:t>, Arystanb</w:t>
            </w:r>
            <w:r w:rsidRPr="00867591">
              <w:rPr>
                <w:color w:val="000000"/>
                <w:sz w:val="20"/>
                <w:szCs w:val="20"/>
                <w:lang w:val="kk-KZ"/>
              </w:rPr>
              <w:t>а</w:t>
            </w:r>
            <w:r w:rsidRPr="00867591">
              <w:rPr>
                <w:color w:val="000000"/>
                <w:sz w:val="20"/>
                <w:szCs w:val="20"/>
              </w:rPr>
              <w:t>yeva</w:t>
            </w:r>
            <w:r w:rsidRPr="00867591">
              <w:rPr>
                <w:color w:val="000000"/>
                <w:sz w:val="20"/>
              </w:rPr>
              <w:t> </w:t>
            </w:r>
            <w:r w:rsidRPr="00867591">
              <w:rPr>
                <w:color w:val="000000"/>
                <w:sz w:val="20"/>
                <w:szCs w:val="20"/>
              </w:rPr>
              <w:t>Saule Sabyrovna</w:t>
            </w:r>
            <w:r>
              <w:rPr>
                <w:color w:val="000000"/>
                <w:sz w:val="20"/>
                <w:szCs w:val="20"/>
                <w:vertAlign w:val="superscript"/>
              </w:rPr>
              <w:t xml:space="preserve"> </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189-192</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33</w:t>
            </w:r>
          </w:p>
        </w:tc>
        <w:tc>
          <w:tcPr>
            <w:tcW w:w="7200" w:type="dxa"/>
            <w:vAlign w:val="center"/>
          </w:tcPr>
          <w:p w:rsidR="0085455B" w:rsidRPr="00867591" w:rsidRDefault="0085455B" w:rsidP="005070EF">
            <w:pPr>
              <w:rPr>
                <w:sz w:val="20"/>
              </w:rPr>
            </w:pPr>
            <w:r w:rsidRPr="00867591">
              <w:rPr>
                <w:b/>
                <w:bCs/>
                <w:color w:val="222222"/>
                <w:sz w:val="20"/>
                <w:szCs w:val="20"/>
              </w:rPr>
              <w:t>Development of Mixed Silo for Boars and Investigation of Its Effect on Quality Indicators of Ejaculates</w:t>
            </w:r>
          </w:p>
          <w:p w:rsidR="0085455B" w:rsidRPr="00867591" w:rsidRDefault="0085455B" w:rsidP="005070EF">
            <w:pPr>
              <w:rPr>
                <w:sz w:val="20"/>
              </w:rPr>
            </w:pPr>
            <w:r w:rsidRPr="00867591">
              <w:rPr>
                <w:sz w:val="20"/>
                <w:szCs w:val="20"/>
              </w:rPr>
              <w:t>Amangeldy Rustenov</w:t>
            </w:r>
            <w:r>
              <w:rPr>
                <w:sz w:val="20"/>
              </w:rPr>
              <w:t>,</w:t>
            </w:r>
            <w:r w:rsidRPr="00867591">
              <w:rPr>
                <w:sz w:val="20"/>
                <w:szCs w:val="20"/>
              </w:rPr>
              <w:t xml:space="preserve"> Nurlygul Zhanbolatovna Eleuqalieva</w:t>
            </w:r>
            <w:r>
              <w:rPr>
                <w:sz w:val="20"/>
                <w:szCs w:val="20"/>
                <w:vertAlign w:val="superscript"/>
              </w:rPr>
              <w:t xml:space="preserve"> </w:t>
            </w:r>
            <w:r w:rsidRPr="00867591">
              <w:rPr>
                <w:sz w:val="20"/>
                <w:szCs w:val="20"/>
              </w:rPr>
              <w:t>, Zhuldyz Kayratkyzy Ibraimova</w:t>
            </w:r>
            <w:r>
              <w:rPr>
                <w:sz w:val="20"/>
                <w:szCs w:val="20"/>
                <w:vertAlign w:val="superscript"/>
              </w:rPr>
              <w:t xml:space="preserve"> </w:t>
            </w:r>
            <w:r w:rsidRPr="00867591">
              <w:rPr>
                <w:sz w:val="20"/>
                <w:szCs w:val="20"/>
              </w:rPr>
              <w:t>, Elena Amangeldievna Olexcievich</w:t>
            </w:r>
            <w:r>
              <w:rPr>
                <w:sz w:val="20"/>
                <w:szCs w:val="20"/>
                <w:vertAlign w:val="superscript"/>
              </w:rPr>
              <w:t xml:space="preserve"> </w:t>
            </w:r>
            <w:r w:rsidRPr="00867591">
              <w:rPr>
                <w:sz w:val="20"/>
                <w:szCs w:val="20"/>
              </w:rPr>
              <w:t>, Almira Amangeldievna Saparvekova</w:t>
            </w:r>
            <w:r>
              <w:rPr>
                <w:sz w:val="20"/>
                <w:szCs w:val="20"/>
                <w:vertAlign w:val="superscript"/>
              </w:rPr>
              <w:t xml:space="preserve"> </w:t>
            </w:r>
            <w:r w:rsidRPr="00867591">
              <w:rPr>
                <w:sz w:val="20"/>
                <w:szCs w:val="20"/>
              </w:rPr>
              <w:t>and Usen Kudaibergenovich Akhanov</w:t>
            </w:r>
            <w:r w:rsidRPr="00867591">
              <w:rPr>
                <w:sz w:val="20"/>
              </w:rPr>
              <w:t> </w:t>
            </w:r>
            <w:r>
              <w:rPr>
                <w:sz w:val="20"/>
                <w:szCs w:val="20"/>
                <w:vertAlign w:val="superscript"/>
              </w:rPr>
              <w:t xml:space="preserve"> </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193-198</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34</w:t>
            </w:r>
          </w:p>
        </w:tc>
        <w:tc>
          <w:tcPr>
            <w:tcW w:w="7200" w:type="dxa"/>
            <w:vAlign w:val="center"/>
          </w:tcPr>
          <w:p w:rsidR="0085455B" w:rsidRPr="00867591" w:rsidRDefault="0085455B" w:rsidP="005070EF">
            <w:pPr>
              <w:rPr>
                <w:sz w:val="20"/>
              </w:rPr>
            </w:pPr>
            <w:r w:rsidRPr="00867591">
              <w:rPr>
                <w:b/>
                <w:bCs/>
                <w:sz w:val="20"/>
                <w:szCs w:val="20"/>
              </w:rPr>
              <w:t>Theoretical and Methodological Background of Efficiency of Educational Services in the System of Higher Education</w:t>
            </w:r>
          </w:p>
          <w:p w:rsidR="0085455B" w:rsidRPr="00867591" w:rsidRDefault="0085455B" w:rsidP="005070EF">
            <w:pPr>
              <w:rPr>
                <w:sz w:val="20"/>
              </w:rPr>
            </w:pPr>
            <w:r w:rsidRPr="00867591">
              <w:rPr>
                <w:sz w:val="20"/>
                <w:szCs w:val="20"/>
              </w:rPr>
              <w:t>Julia Vyacheslavovna Ragulina</w:t>
            </w:r>
            <w:r>
              <w:rPr>
                <w:sz w:val="20"/>
                <w:szCs w:val="20"/>
                <w:vertAlign w:val="superscript"/>
              </w:rPr>
              <w:t xml:space="preserve"> </w:t>
            </w:r>
            <w:r w:rsidRPr="00867591">
              <w:rPr>
                <w:sz w:val="20"/>
              </w:rPr>
              <w:t> </w:t>
            </w:r>
            <w:r w:rsidRPr="00867591">
              <w:rPr>
                <w:sz w:val="20"/>
                <w:szCs w:val="20"/>
              </w:rPr>
              <w:t>and Natalia Aleksandrovna Zavalko</w:t>
            </w:r>
            <w:r>
              <w:rPr>
                <w:sz w:val="20"/>
                <w:szCs w:val="20"/>
                <w:vertAlign w:val="superscript"/>
              </w:rPr>
              <w:t xml:space="preserve"> </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lang w:val="ru-RU"/>
              </w:rPr>
              <w:t>199-204</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35</w:t>
            </w:r>
          </w:p>
        </w:tc>
        <w:tc>
          <w:tcPr>
            <w:tcW w:w="7200" w:type="dxa"/>
            <w:vAlign w:val="center"/>
          </w:tcPr>
          <w:p w:rsidR="0085455B" w:rsidRPr="00867591" w:rsidRDefault="0085455B" w:rsidP="005070EF">
            <w:pPr>
              <w:rPr>
                <w:sz w:val="20"/>
              </w:rPr>
            </w:pPr>
            <w:r w:rsidRPr="00867591">
              <w:rPr>
                <w:b/>
                <w:bCs/>
                <w:sz w:val="20"/>
                <w:szCs w:val="20"/>
              </w:rPr>
              <w:t>Research of Ethnopedagogical Approach in Professional Training of Teachers</w:t>
            </w:r>
          </w:p>
          <w:p w:rsidR="0085455B" w:rsidRPr="00867591" w:rsidRDefault="0085455B" w:rsidP="005070EF">
            <w:pPr>
              <w:rPr>
                <w:sz w:val="20"/>
              </w:rPr>
            </w:pPr>
            <w:r w:rsidRPr="00867591">
              <w:rPr>
                <w:sz w:val="20"/>
                <w:szCs w:val="20"/>
              </w:rPr>
              <w:t>Nina Mikhailovna Stukalenko, Saule Ashotovna Murzina, Lisa Naviyevna Navy, Sandugash Kairkhanovna Moldabekova and Almagul Doskenovna Raimbekova</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205-207</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36</w:t>
            </w:r>
          </w:p>
        </w:tc>
        <w:tc>
          <w:tcPr>
            <w:tcW w:w="7200" w:type="dxa"/>
            <w:vAlign w:val="center"/>
          </w:tcPr>
          <w:p w:rsidR="0085455B" w:rsidRPr="00867591" w:rsidRDefault="0085455B" w:rsidP="005070EF">
            <w:pPr>
              <w:rPr>
                <w:sz w:val="20"/>
              </w:rPr>
            </w:pPr>
            <w:r w:rsidRPr="00867591">
              <w:rPr>
                <w:b/>
                <w:bCs/>
                <w:color w:val="000000"/>
                <w:sz w:val="20"/>
                <w:szCs w:val="20"/>
              </w:rPr>
              <w:t>A 68-year-old man</w:t>
            </w:r>
            <w:r w:rsidRPr="00867591">
              <w:rPr>
                <w:b/>
                <w:bCs/>
                <w:sz w:val="20"/>
              </w:rPr>
              <w:t> </w:t>
            </w:r>
            <w:r w:rsidRPr="00867591">
              <w:rPr>
                <w:b/>
                <w:bCs/>
                <w:sz w:val="20"/>
                <w:szCs w:val="20"/>
              </w:rPr>
              <w:t>with</w:t>
            </w:r>
            <w:r w:rsidRPr="00867591">
              <w:rPr>
                <w:b/>
                <w:bCs/>
                <w:sz w:val="20"/>
              </w:rPr>
              <w:t> </w:t>
            </w:r>
            <w:r w:rsidRPr="00867591">
              <w:rPr>
                <w:b/>
                <w:bCs/>
                <w:color w:val="000000"/>
                <w:sz w:val="20"/>
                <w:szCs w:val="20"/>
              </w:rPr>
              <w:t>Angioedema due to</w:t>
            </w:r>
            <w:r w:rsidRPr="00867591">
              <w:rPr>
                <w:b/>
                <w:bCs/>
                <w:color w:val="000000"/>
                <w:sz w:val="20"/>
              </w:rPr>
              <w:t> </w:t>
            </w:r>
            <w:r w:rsidRPr="00867591">
              <w:rPr>
                <w:b/>
                <w:bCs/>
                <w:color w:val="000000"/>
                <w:sz w:val="20"/>
                <w:szCs w:val="20"/>
              </w:rPr>
              <w:t>Enalapril</w:t>
            </w:r>
          </w:p>
          <w:p w:rsidR="0085455B" w:rsidRPr="00867591" w:rsidRDefault="0085455B" w:rsidP="005070EF">
            <w:pPr>
              <w:rPr>
                <w:sz w:val="20"/>
              </w:rPr>
            </w:pPr>
            <w:r w:rsidRPr="00867591">
              <w:rPr>
                <w:sz w:val="20"/>
                <w:szCs w:val="20"/>
              </w:rPr>
              <w:t>Sajjad Ahmadi</w:t>
            </w:r>
            <w:r>
              <w:rPr>
                <w:sz w:val="20"/>
                <w:szCs w:val="20"/>
                <w:vertAlign w:val="superscript"/>
              </w:rPr>
              <w:t xml:space="preserve"> </w:t>
            </w:r>
            <w:r w:rsidRPr="00867591">
              <w:rPr>
                <w:sz w:val="20"/>
                <w:szCs w:val="20"/>
              </w:rPr>
              <w:t>, Hamidreza Morteza Baghi</w:t>
            </w:r>
            <w:r>
              <w:rPr>
                <w:sz w:val="20"/>
                <w:szCs w:val="20"/>
                <w:vertAlign w:val="superscript"/>
              </w:rPr>
              <w:t xml:space="preserve"> </w:t>
            </w:r>
            <w:r w:rsidRPr="00867591">
              <w:rPr>
                <w:sz w:val="20"/>
                <w:szCs w:val="20"/>
              </w:rPr>
              <w:t>, Hamidreza</w:t>
            </w:r>
            <w:r w:rsidRPr="00867591">
              <w:rPr>
                <w:color w:val="000000"/>
                <w:sz w:val="20"/>
              </w:rPr>
              <w:t> </w:t>
            </w:r>
            <w:r w:rsidRPr="00867591">
              <w:rPr>
                <w:sz w:val="20"/>
                <w:szCs w:val="20"/>
              </w:rPr>
              <w:t>Mehryar</w:t>
            </w:r>
            <w:r>
              <w:rPr>
                <w:sz w:val="20"/>
                <w:szCs w:val="20"/>
                <w:vertAlign w:val="superscript"/>
              </w:rPr>
              <w:t xml:space="preserve"> </w:t>
            </w:r>
            <w:r w:rsidRPr="00867591">
              <w:rPr>
                <w:sz w:val="20"/>
                <w:szCs w:val="20"/>
              </w:rPr>
              <w:t>, Yousef Nouri</w:t>
            </w:r>
            <w:r>
              <w:rPr>
                <w:sz w:val="20"/>
                <w:szCs w:val="20"/>
                <w:vertAlign w:val="superscript"/>
              </w:rPr>
              <w:t xml:space="preserve"> </w:t>
            </w:r>
            <w:r w:rsidRPr="00867591">
              <w:rPr>
                <w:sz w:val="20"/>
                <w:szCs w:val="20"/>
              </w:rPr>
              <w:t>, Parasto Hosseini</w:t>
            </w:r>
            <w:r>
              <w:rPr>
                <w:sz w:val="20"/>
                <w:szCs w:val="20"/>
                <w:vertAlign w:val="superscript"/>
              </w:rPr>
              <w:t xml:space="preserve"> </w:t>
            </w:r>
            <w:r w:rsidRPr="00867591">
              <w:rPr>
                <w:sz w:val="20"/>
                <w:szCs w:val="20"/>
              </w:rPr>
              <w:t>, Seyed Hesam Rahmani</w:t>
            </w:r>
            <w:r>
              <w:rPr>
                <w:sz w:val="20"/>
                <w:vertAlign w:val="superscript"/>
              </w:rPr>
              <w:t xml:space="preserve"> </w:t>
            </w:r>
            <w:r w:rsidRPr="00867591">
              <w:rPr>
                <w:sz w:val="20"/>
                <w:szCs w:val="20"/>
              </w:rPr>
              <w:t>, Gholamreza Farid Aalaee</w:t>
            </w:r>
            <w:r>
              <w:rPr>
                <w:sz w:val="20"/>
                <w:szCs w:val="20"/>
                <w:vertAlign w:val="superscript"/>
              </w:rPr>
              <w:t xml:space="preserve"> </w:t>
            </w:r>
            <w:r w:rsidRPr="00867591">
              <w:rPr>
                <w:sz w:val="20"/>
                <w:szCs w:val="20"/>
              </w:rPr>
              <w:t>, Omid Mashrabi</w:t>
            </w:r>
            <w:r>
              <w:rPr>
                <w:sz w:val="20"/>
                <w:szCs w:val="20"/>
                <w:vertAlign w:val="superscript"/>
              </w:rPr>
              <w:t xml:space="preserve"> </w:t>
            </w:r>
            <w:r w:rsidRPr="00867591">
              <w:rPr>
                <w:sz w:val="20"/>
                <w:szCs w:val="20"/>
              </w:rPr>
              <w:t>, Mohsen Nagahi</w:t>
            </w:r>
            <w:r>
              <w:rPr>
                <w:sz w:val="20"/>
                <w:szCs w:val="20"/>
                <w:vertAlign w:val="superscript"/>
              </w:rPr>
              <w:t xml:space="preserve"> </w:t>
            </w:r>
            <w:r w:rsidRPr="00867591">
              <w:rPr>
                <w:sz w:val="20"/>
                <w:szCs w:val="20"/>
              </w:rPr>
              <w:t>, Maryam Mousavi</w:t>
            </w:r>
            <w:r>
              <w:rPr>
                <w:sz w:val="20"/>
                <w:szCs w:val="20"/>
                <w:vertAlign w:val="superscript"/>
              </w:rPr>
              <w:t xml:space="preserve"> </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208-210</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37</w:t>
            </w:r>
          </w:p>
        </w:tc>
        <w:tc>
          <w:tcPr>
            <w:tcW w:w="7200" w:type="dxa"/>
            <w:vAlign w:val="center"/>
          </w:tcPr>
          <w:p w:rsidR="0085455B" w:rsidRPr="00867591" w:rsidRDefault="0085455B" w:rsidP="005070EF">
            <w:pPr>
              <w:rPr>
                <w:sz w:val="20"/>
              </w:rPr>
            </w:pPr>
            <w:r w:rsidRPr="00867591">
              <w:rPr>
                <w:b/>
                <w:bCs/>
                <w:sz w:val="20"/>
                <w:szCs w:val="20"/>
              </w:rPr>
              <w:t>The Constitutional-Legal Characteristics of Political System of the Kazakhstan Republic</w:t>
            </w:r>
          </w:p>
          <w:p w:rsidR="0085455B" w:rsidRPr="00867591" w:rsidRDefault="0085455B" w:rsidP="005070EF">
            <w:pPr>
              <w:rPr>
                <w:sz w:val="20"/>
              </w:rPr>
            </w:pPr>
            <w:r w:rsidRPr="00867591">
              <w:rPr>
                <w:sz w:val="20"/>
                <w:szCs w:val="20"/>
              </w:rPr>
              <w:t>Bakyt Ersultan uly Aitzhan and Akif Firudinovich Suleimanov</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211-216</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38</w:t>
            </w:r>
          </w:p>
        </w:tc>
        <w:tc>
          <w:tcPr>
            <w:tcW w:w="7200" w:type="dxa"/>
            <w:vAlign w:val="center"/>
          </w:tcPr>
          <w:p w:rsidR="0085455B" w:rsidRPr="00867591" w:rsidRDefault="0085455B" w:rsidP="005070EF">
            <w:pPr>
              <w:rPr>
                <w:sz w:val="20"/>
              </w:rPr>
            </w:pPr>
            <w:r w:rsidRPr="00867591">
              <w:rPr>
                <w:b/>
                <w:bCs/>
                <w:sz w:val="20"/>
                <w:szCs w:val="20"/>
              </w:rPr>
              <w:t>Stylistic and artistic peculiarities of dramatic works by Turkic nations of Central Asia and Caucasian region (based on materials of Kazakh and Azerbaijani an plays)</w:t>
            </w:r>
            <w:r w:rsidRPr="00867591">
              <w:rPr>
                <w:sz w:val="20"/>
                <w:szCs w:val="20"/>
              </w:rPr>
              <w:t>.</w:t>
            </w:r>
          </w:p>
          <w:p w:rsidR="0085455B" w:rsidRPr="00867591" w:rsidRDefault="0085455B" w:rsidP="005070EF">
            <w:pPr>
              <w:rPr>
                <w:sz w:val="20"/>
              </w:rPr>
            </w:pPr>
            <w:r w:rsidRPr="00867591">
              <w:rPr>
                <w:sz w:val="20"/>
                <w:szCs w:val="20"/>
              </w:rPr>
              <w:t>Alibi Kabykenovich Shapauov</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lang w:val="ru-RU"/>
              </w:rPr>
              <w:t>221-224</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lastRenderedPageBreak/>
              <w:t>39</w:t>
            </w:r>
          </w:p>
        </w:tc>
        <w:tc>
          <w:tcPr>
            <w:tcW w:w="7200" w:type="dxa"/>
            <w:vAlign w:val="center"/>
          </w:tcPr>
          <w:p w:rsidR="0085455B" w:rsidRPr="00867591" w:rsidRDefault="0085455B" w:rsidP="005070EF">
            <w:pPr>
              <w:rPr>
                <w:sz w:val="20"/>
                <w:szCs w:val="20"/>
              </w:rPr>
            </w:pPr>
            <w:r w:rsidRPr="00867591">
              <w:rPr>
                <w:b/>
                <w:bCs/>
                <w:sz w:val="20"/>
                <w:szCs w:val="20"/>
              </w:rPr>
              <w:t>Stylistic and artistic peculiarities of dramatic works by Turkic nations of Central Asia and Caucasian region (based on materials of Kazakh and Azerbaijani an plays)</w:t>
            </w:r>
            <w:r w:rsidRPr="00867591">
              <w:rPr>
                <w:sz w:val="20"/>
                <w:szCs w:val="20"/>
              </w:rPr>
              <w:t>.</w:t>
            </w:r>
          </w:p>
          <w:p w:rsidR="0085455B" w:rsidRPr="00867591" w:rsidRDefault="0085455B" w:rsidP="005070EF">
            <w:pPr>
              <w:rPr>
                <w:sz w:val="20"/>
              </w:rPr>
            </w:pPr>
            <w:r w:rsidRPr="00867591">
              <w:rPr>
                <w:sz w:val="20"/>
                <w:szCs w:val="20"/>
              </w:rPr>
              <w:t>Alibi Kabykenovich Shapauov</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lang w:val="ru-RU"/>
              </w:rPr>
              <w:t>221-224</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40</w:t>
            </w:r>
          </w:p>
        </w:tc>
        <w:tc>
          <w:tcPr>
            <w:tcW w:w="7200" w:type="dxa"/>
            <w:vAlign w:val="center"/>
          </w:tcPr>
          <w:p w:rsidR="0085455B" w:rsidRPr="00867591" w:rsidRDefault="0085455B" w:rsidP="005070EF">
            <w:pPr>
              <w:rPr>
                <w:sz w:val="20"/>
              </w:rPr>
            </w:pPr>
            <w:r w:rsidRPr="00867591">
              <w:rPr>
                <w:b/>
                <w:bCs/>
                <w:sz w:val="20"/>
                <w:szCs w:val="20"/>
              </w:rPr>
              <w:t>The problems of study of the genre of dramaturgy of Turkic nations of Central Asia and the Siberian region of Russia in its correlation with the European dramaturgy (from folklore to drama)</w:t>
            </w:r>
          </w:p>
          <w:p w:rsidR="0085455B" w:rsidRPr="00867591" w:rsidRDefault="0085455B" w:rsidP="005070EF">
            <w:pPr>
              <w:rPr>
                <w:sz w:val="20"/>
              </w:rPr>
            </w:pPr>
            <w:r w:rsidRPr="00867591">
              <w:rPr>
                <w:sz w:val="20"/>
                <w:szCs w:val="20"/>
              </w:rPr>
              <w:t>Alibi Kabykenovich Shapauov</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lang w:val="ru-RU"/>
              </w:rPr>
              <w:t>225-228</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41</w:t>
            </w:r>
          </w:p>
        </w:tc>
        <w:tc>
          <w:tcPr>
            <w:tcW w:w="7200" w:type="dxa"/>
            <w:vAlign w:val="center"/>
          </w:tcPr>
          <w:p w:rsidR="0085455B" w:rsidRPr="00867591" w:rsidRDefault="0085455B" w:rsidP="005070EF">
            <w:pPr>
              <w:rPr>
                <w:sz w:val="20"/>
              </w:rPr>
            </w:pPr>
            <w:r w:rsidRPr="00867591">
              <w:rPr>
                <w:b/>
                <w:bCs/>
                <w:color w:val="000000"/>
                <w:sz w:val="20"/>
                <w:szCs w:val="20"/>
              </w:rPr>
              <w:t>Peculiarities of Forming Creative Competence of Future Specialists</w:t>
            </w:r>
          </w:p>
          <w:p w:rsidR="0085455B" w:rsidRPr="00867591" w:rsidRDefault="0085455B" w:rsidP="005070EF">
            <w:pPr>
              <w:rPr>
                <w:sz w:val="20"/>
              </w:rPr>
            </w:pPr>
            <w:r w:rsidRPr="00867591">
              <w:rPr>
                <w:sz w:val="20"/>
                <w:szCs w:val="20"/>
                <w:lang w:val="kk-KZ"/>
              </w:rPr>
              <w:t>Sakhipzhamal Askarovna Uzakbaeva</w:t>
            </w:r>
            <w:r w:rsidRPr="00867591">
              <w:rPr>
                <w:color w:val="000000"/>
                <w:sz w:val="20"/>
                <w:szCs w:val="20"/>
                <w:lang w:val="kk-KZ"/>
              </w:rPr>
              <w:t>, SauleAbdrazahovna Zholdasbekova,</w:t>
            </w:r>
            <w:r w:rsidRPr="00867591">
              <w:rPr>
                <w:color w:val="000000"/>
                <w:sz w:val="20"/>
                <w:lang w:val="kk-KZ"/>
              </w:rPr>
              <w:t> </w:t>
            </w:r>
            <w:r w:rsidRPr="00867591">
              <w:rPr>
                <w:color w:val="000000"/>
                <w:sz w:val="20"/>
                <w:szCs w:val="20"/>
                <w:lang w:val="kk-KZ"/>
              </w:rPr>
              <w:t>Ulzhamal Konakbaeva Zhandaralievna</w:t>
            </w:r>
            <w:r w:rsidRPr="00867591">
              <w:rPr>
                <w:color w:val="000000"/>
                <w:sz w:val="20"/>
                <w:szCs w:val="20"/>
              </w:rPr>
              <w:t>,</w:t>
            </w:r>
            <w:r w:rsidRPr="00867591">
              <w:rPr>
                <w:sz w:val="20"/>
                <w:szCs w:val="20"/>
                <w:lang w:val="kk-KZ"/>
              </w:rPr>
              <w:t>Kamalbek Meirbekovich Berkimbaev, Saltanat Tynybekovna Nyshanova, Gulzhan Temirsharovna Abdullina</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229-236</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42</w:t>
            </w:r>
          </w:p>
        </w:tc>
        <w:tc>
          <w:tcPr>
            <w:tcW w:w="7200" w:type="dxa"/>
            <w:vAlign w:val="center"/>
          </w:tcPr>
          <w:p w:rsidR="0085455B" w:rsidRPr="00867591" w:rsidRDefault="0085455B" w:rsidP="005070EF">
            <w:pPr>
              <w:rPr>
                <w:sz w:val="20"/>
              </w:rPr>
            </w:pPr>
            <w:r w:rsidRPr="00867591">
              <w:rPr>
                <w:b/>
                <w:bCs/>
                <w:color w:val="000000"/>
                <w:sz w:val="20"/>
                <w:szCs w:val="20"/>
              </w:rPr>
              <w:t>Evaluation of Incidence of Intraventricular Hemorrhage after Blood Transfusion in Preterm Neonates</w:t>
            </w:r>
          </w:p>
          <w:p w:rsidR="0085455B" w:rsidRPr="00867591" w:rsidRDefault="0085455B" w:rsidP="005070EF">
            <w:pPr>
              <w:rPr>
                <w:sz w:val="20"/>
              </w:rPr>
            </w:pPr>
            <w:r w:rsidRPr="00867591">
              <w:rPr>
                <w:sz w:val="20"/>
                <w:szCs w:val="20"/>
              </w:rPr>
              <w:t>Rakhshaneh Goodarzi</w:t>
            </w:r>
            <w:r>
              <w:rPr>
                <w:sz w:val="20"/>
                <w:szCs w:val="20"/>
                <w:vertAlign w:val="superscript"/>
              </w:rPr>
              <w:t xml:space="preserve"> </w:t>
            </w:r>
            <w:r w:rsidRPr="00867591">
              <w:rPr>
                <w:sz w:val="20"/>
                <w:szCs w:val="20"/>
              </w:rPr>
              <w:t>, Mohamad Ali Molavi</w:t>
            </w:r>
            <w:r>
              <w:rPr>
                <w:sz w:val="20"/>
                <w:szCs w:val="20"/>
                <w:vertAlign w:val="superscript"/>
              </w:rPr>
              <w:t xml:space="preserve"> </w:t>
            </w:r>
            <w:r w:rsidRPr="00867591">
              <w:rPr>
                <w:sz w:val="20"/>
                <w:szCs w:val="20"/>
              </w:rPr>
              <w:t>, Ali Reza Moayedi</w:t>
            </w:r>
            <w:r>
              <w:rPr>
                <w:sz w:val="20"/>
                <w:szCs w:val="20"/>
                <w:vertAlign w:val="superscript"/>
              </w:rPr>
              <w:t xml:space="preserve"> </w:t>
            </w:r>
            <w:r w:rsidRPr="00867591">
              <w:rPr>
                <w:sz w:val="20"/>
                <w:szCs w:val="20"/>
              </w:rPr>
              <w:t>, Abdolbaset Khatibizadeh Sooroo</w:t>
            </w:r>
            <w:r>
              <w:rPr>
                <w:sz w:val="20"/>
                <w:szCs w:val="20"/>
                <w:vertAlign w:val="superscript"/>
              </w:rPr>
              <w:t xml:space="preserve"> </w:t>
            </w:r>
            <w:r w:rsidRPr="00867591">
              <w:rPr>
                <w:sz w:val="20"/>
              </w:rPr>
              <w:t> </w:t>
            </w:r>
            <w:r w:rsidRPr="00867591">
              <w:rPr>
                <w:sz w:val="20"/>
                <w:szCs w:val="20"/>
              </w:rPr>
              <w:t>and Abdolmajid Nazemi</w:t>
            </w:r>
            <w:r>
              <w:rPr>
                <w:sz w:val="20"/>
                <w:szCs w:val="20"/>
                <w:vertAlign w:val="superscript"/>
              </w:rPr>
              <w:t xml:space="preserve"> </w:t>
            </w:r>
          </w:p>
          <w:p w:rsidR="0085455B" w:rsidRPr="00C05667" w:rsidRDefault="0085455B" w:rsidP="005070EF">
            <w:pPr>
              <w:ind w:right="1530"/>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237-241</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43</w:t>
            </w:r>
          </w:p>
        </w:tc>
        <w:tc>
          <w:tcPr>
            <w:tcW w:w="7200" w:type="dxa"/>
            <w:vAlign w:val="center"/>
          </w:tcPr>
          <w:p w:rsidR="0085455B" w:rsidRPr="00867591" w:rsidRDefault="0085455B" w:rsidP="005070EF">
            <w:pPr>
              <w:rPr>
                <w:sz w:val="20"/>
              </w:rPr>
            </w:pPr>
            <w:r w:rsidRPr="00867591">
              <w:rPr>
                <w:b/>
                <w:bCs/>
                <w:sz w:val="20"/>
                <w:szCs w:val="20"/>
              </w:rPr>
              <w:t>Organizational Learning in a General Hospital</w:t>
            </w:r>
          </w:p>
          <w:p w:rsidR="0085455B" w:rsidRPr="00867591" w:rsidRDefault="0085455B" w:rsidP="005070EF">
            <w:pPr>
              <w:rPr>
                <w:sz w:val="20"/>
              </w:rPr>
            </w:pPr>
            <w:r w:rsidRPr="00867591">
              <w:rPr>
                <w:sz w:val="20"/>
                <w:szCs w:val="20"/>
              </w:rPr>
              <w:t>Ahmad Ahmadi Teymourlouy</w:t>
            </w:r>
            <w:r>
              <w:rPr>
                <w:sz w:val="20"/>
                <w:szCs w:val="20"/>
                <w:vertAlign w:val="superscript"/>
              </w:rPr>
              <w:t xml:space="preserve"> </w:t>
            </w:r>
            <w:r w:rsidRPr="00867591">
              <w:rPr>
                <w:sz w:val="20"/>
                <w:szCs w:val="20"/>
              </w:rPr>
              <w:t>, Hesam Seyedin</w:t>
            </w:r>
            <w:r>
              <w:rPr>
                <w:sz w:val="20"/>
                <w:szCs w:val="20"/>
                <w:vertAlign w:val="superscript"/>
              </w:rPr>
              <w:t xml:space="preserve"> </w:t>
            </w:r>
            <w:r w:rsidRPr="00867591">
              <w:rPr>
                <w:sz w:val="20"/>
                <w:szCs w:val="20"/>
              </w:rPr>
              <w:t>, Soudabeh Vatankhah</w:t>
            </w:r>
            <w:r>
              <w:rPr>
                <w:sz w:val="20"/>
                <w:szCs w:val="20"/>
                <w:vertAlign w:val="superscript"/>
              </w:rPr>
              <w:t xml:space="preserve"> </w:t>
            </w:r>
            <w:r w:rsidRPr="00867591">
              <w:rPr>
                <w:sz w:val="20"/>
                <w:szCs w:val="20"/>
              </w:rPr>
              <w:t>, Hossein Shabanineghad</w:t>
            </w:r>
            <w:r>
              <w:rPr>
                <w:sz w:val="20"/>
                <w:szCs w:val="20"/>
                <w:vertAlign w:val="superscript"/>
              </w:rPr>
              <w:t xml:space="preserve"> </w:t>
            </w:r>
            <w:r w:rsidRPr="00867591">
              <w:rPr>
                <w:sz w:val="20"/>
                <w:szCs w:val="20"/>
              </w:rPr>
              <w:t>, Mohammad Hasan Imaninasab</w:t>
            </w:r>
            <w:r>
              <w:rPr>
                <w:sz w:val="20"/>
                <w:szCs w:val="20"/>
                <w:vertAlign w:val="superscript"/>
              </w:rPr>
              <w:t xml:space="preserve"> </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242-248</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44</w:t>
            </w:r>
          </w:p>
        </w:tc>
        <w:tc>
          <w:tcPr>
            <w:tcW w:w="7200" w:type="dxa"/>
            <w:vAlign w:val="center"/>
          </w:tcPr>
          <w:p w:rsidR="0085455B" w:rsidRPr="00867591" w:rsidRDefault="0085455B" w:rsidP="005070EF">
            <w:pPr>
              <w:rPr>
                <w:sz w:val="20"/>
              </w:rPr>
            </w:pPr>
            <w:bookmarkStart w:id="0" w:name="OLE_LINK17"/>
            <w:r w:rsidRPr="00867591">
              <w:rPr>
                <w:b/>
                <w:bCs/>
                <w:sz w:val="20"/>
                <w:szCs w:val="20"/>
              </w:rPr>
              <w:t>Designing a Model for Selecting Internet Marketing Strategies</w:t>
            </w:r>
            <w:r w:rsidRPr="00867591">
              <w:rPr>
                <w:b/>
                <w:bCs/>
                <w:sz w:val="20"/>
              </w:rPr>
              <w:t> </w:t>
            </w:r>
            <w:bookmarkEnd w:id="0"/>
            <w:r w:rsidRPr="00867591">
              <w:rPr>
                <w:b/>
                <w:bCs/>
                <w:sz w:val="20"/>
                <w:szCs w:val="20"/>
              </w:rPr>
              <w:t>in the International Market</w:t>
            </w:r>
          </w:p>
          <w:p w:rsidR="0085455B" w:rsidRPr="00867591" w:rsidRDefault="0085455B" w:rsidP="005070EF">
            <w:pPr>
              <w:rPr>
                <w:sz w:val="20"/>
              </w:rPr>
            </w:pPr>
            <w:r>
              <w:rPr>
                <w:sz w:val="20"/>
                <w:szCs w:val="20"/>
                <w:vertAlign w:val="superscript"/>
              </w:rPr>
              <w:t xml:space="preserve"> </w:t>
            </w:r>
            <w:r w:rsidRPr="00867591">
              <w:rPr>
                <w:sz w:val="20"/>
                <w:szCs w:val="20"/>
              </w:rPr>
              <w:t>Firoozeh Fouladivanda,</w:t>
            </w:r>
            <w:r w:rsidRPr="00867591">
              <w:rPr>
                <w:sz w:val="20"/>
              </w:rPr>
              <w:t> </w:t>
            </w:r>
            <w:r w:rsidRPr="00867591">
              <w:rPr>
                <w:sz w:val="20"/>
                <w:szCs w:val="20"/>
              </w:rPr>
              <w:t>Aidin Barbat,</w:t>
            </w:r>
            <w:r>
              <w:rPr>
                <w:sz w:val="20"/>
                <w:szCs w:val="20"/>
                <w:vertAlign w:val="superscript"/>
              </w:rPr>
              <w:t xml:space="preserve"> </w:t>
            </w:r>
            <w:r w:rsidRPr="00867591">
              <w:rPr>
                <w:sz w:val="20"/>
              </w:rPr>
              <w:t> </w:t>
            </w:r>
            <w:r w:rsidRPr="00867591">
              <w:rPr>
                <w:sz w:val="20"/>
                <w:szCs w:val="20"/>
              </w:rPr>
              <w:t>Mani Shehni Karam Zadeh ,</w:t>
            </w:r>
            <w:r w:rsidRPr="00867591">
              <w:rPr>
                <w:sz w:val="20"/>
              </w:rPr>
              <w:t> </w:t>
            </w:r>
            <w:r>
              <w:rPr>
                <w:sz w:val="20"/>
                <w:szCs w:val="20"/>
                <w:vertAlign w:val="superscript"/>
              </w:rPr>
              <w:t xml:space="preserve"> </w:t>
            </w:r>
            <w:r w:rsidRPr="00867591">
              <w:rPr>
                <w:sz w:val="20"/>
                <w:szCs w:val="20"/>
              </w:rPr>
              <w:t>Anas Elgharyani</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color w:val="000000"/>
                <w:sz w:val="20"/>
                <w:szCs w:val="20"/>
              </w:rPr>
              <w:t>249-254</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45</w:t>
            </w:r>
          </w:p>
        </w:tc>
        <w:tc>
          <w:tcPr>
            <w:tcW w:w="7200" w:type="dxa"/>
            <w:vAlign w:val="center"/>
          </w:tcPr>
          <w:p w:rsidR="0085455B" w:rsidRPr="00867591" w:rsidRDefault="0085455B" w:rsidP="005070EF">
            <w:pPr>
              <w:rPr>
                <w:sz w:val="20"/>
              </w:rPr>
            </w:pPr>
            <w:r w:rsidRPr="00867591">
              <w:rPr>
                <w:b/>
                <w:bCs/>
                <w:sz w:val="20"/>
                <w:szCs w:val="20"/>
              </w:rPr>
              <w:t>Eye-Gaze Driven Display Power Management and Conservation System</w:t>
            </w:r>
          </w:p>
          <w:p w:rsidR="0085455B" w:rsidRPr="00867591" w:rsidRDefault="0085455B" w:rsidP="005070EF">
            <w:pPr>
              <w:rPr>
                <w:sz w:val="20"/>
              </w:rPr>
            </w:pPr>
            <w:r w:rsidRPr="00867591">
              <w:rPr>
                <w:sz w:val="20"/>
                <w:szCs w:val="20"/>
                <w:lang w:val="en-AU"/>
              </w:rPr>
              <w:t>Muhammad Shahid</w:t>
            </w:r>
            <w:r>
              <w:rPr>
                <w:sz w:val="20"/>
                <w:szCs w:val="20"/>
                <w:vertAlign w:val="superscript"/>
                <w:lang w:val="en-AU"/>
              </w:rPr>
              <w:t xml:space="preserve"> </w:t>
            </w:r>
            <w:r w:rsidRPr="00867591">
              <w:rPr>
                <w:sz w:val="20"/>
                <w:szCs w:val="20"/>
                <w:lang w:val="en-AU"/>
              </w:rPr>
              <w:t>, Tabassam Nawaz</w:t>
            </w:r>
            <w:r>
              <w:rPr>
                <w:sz w:val="20"/>
                <w:szCs w:val="20"/>
                <w:vertAlign w:val="superscript"/>
                <w:lang w:val="en-AU"/>
              </w:rPr>
              <w:t xml:space="preserve"> </w:t>
            </w:r>
            <w:r w:rsidRPr="00867591">
              <w:rPr>
                <w:sz w:val="20"/>
                <w:szCs w:val="20"/>
                <w:lang w:val="en-AU"/>
              </w:rPr>
              <w:t>, Hafiz Adnan Habib</w:t>
            </w:r>
            <w:r>
              <w:rPr>
                <w:sz w:val="20"/>
                <w:szCs w:val="20"/>
                <w:vertAlign w:val="superscript"/>
                <w:lang w:val="en-AU"/>
              </w:rPr>
              <w:t xml:space="preserve"> </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255-262</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46</w:t>
            </w:r>
          </w:p>
        </w:tc>
        <w:tc>
          <w:tcPr>
            <w:tcW w:w="7200" w:type="dxa"/>
            <w:vAlign w:val="center"/>
          </w:tcPr>
          <w:p w:rsidR="0085455B" w:rsidRPr="00867591" w:rsidRDefault="0085455B" w:rsidP="005070EF">
            <w:pPr>
              <w:rPr>
                <w:sz w:val="20"/>
              </w:rPr>
            </w:pPr>
            <w:r w:rsidRPr="00867591">
              <w:rPr>
                <w:b/>
                <w:bCs/>
                <w:sz w:val="20"/>
                <w:szCs w:val="20"/>
              </w:rPr>
              <w:t>An Indirect MSB Data Hiding Technique</w:t>
            </w:r>
          </w:p>
          <w:p w:rsidR="0085455B" w:rsidRPr="00867591" w:rsidRDefault="0085455B" w:rsidP="005070EF">
            <w:pPr>
              <w:rPr>
                <w:sz w:val="20"/>
              </w:rPr>
            </w:pPr>
            <w:r w:rsidRPr="00867591">
              <w:rPr>
                <w:sz w:val="20"/>
                <w:szCs w:val="20"/>
              </w:rPr>
              <w:t>Dr. Ban N. Dhannoon</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263-266</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47</w:t>
            </w:r>
          </w:p>
        </w:tc>
        <w:tc>
          <w:tcPr>
            <w:tcW w:w="7200" w:type="dxa"/>
            <w:vAlign w:val="center"/>
          </w:tcPr>
          <w:p w:rsidR="0085455B" w:rsidRPr="00C05667" w:rsidRDefault="0085455B" w:rsidP="005070EF">
            <w:pPr>
              <w:rPr>
                <w:b/>
                <w:sz w:val="20"/>
              </w:rPr>
            </w:pPr>
            <w:r w:rsidRPr="00C05667">
              <w:rPr>
                <w:b/>
                <w:sz w:val="20"/>
              </w:rPr>
              <w:t>Selection of high-yielding agrophytocenoses of annual crops for fodder lands of frontier zone</w:t>
            </w:r>
          </w:p>
          <w:p w:rsidR="0085455B" w:rsidRPr="00867591" w:rsidRDefault="0085455B" w:rsidP="005070EF">
            <w:pPr>
              <w:rPr>
                <w:sz w:val="20"/>
              </w:rPr>
            </w:pPr>
            <w:r w:rsidRPr="00867591">
              <w:rPr>
                <w:sz w:val="20"/>
                <w:szCs w:val="20"/>
                <w:lang w:val="kk-KZ"/>
              </w:rPr>
              <w:t>Beybit Nasiyevich Nasiyev</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267-271</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48</w:t>
            </w:r>
          </w:p>
        </w:tc>
        <w:tc>
          <w:tcPr>
            <w:tcW w:w="7200" w:type="dxa"/>
            <w:vAlign w:val="center"/>
          </w:tcPr>
          <w:p w:rsidR="0085455B" w:rsidRPr="00867591" w:rsidRDefault="0085455B" w:rsidP="005070EF">
            <w:pPr>
              <w:rPr>
                <w:sz w:val="20"/>
              </w:rPr>
            </w:pPr>
            <w:r w:rsidRPr="00867591">
              <w:rPr>
                <w:b/>
                <w:bCs/>
                <w:sz w:val="20"/>
                <w:szCs w:val="20"/>
              </w:rPr>
              <w:t>Study of Skull X-Ray and physical examination in head trauma with GCS=15</w:t>
            </w:r>
          </w:p>
          <w:p w:rsidR="0085455B" w:rsidRPr="00867591" w:rsidRDefault="0085455B" w:rsidP="005070EF">
            <w:pPr>
              <w:rPr>
                <w:sz w:val="20"/>
              </w:rPr>
            </w:pPr>
            <w:r w:rsidRPr="00867591">
              <w:rPr>
                <w:sz w:val="20"/>
                <w:szCs w:val="20"/>
              </w:rPr>
              <w:t>Hamidreza Morteza Baghi</w:t>
            </w:r>
            <w:r>
              <w:rPr>
                <w:sz w:val="20"/>
                <w:szCs w:val="20"/>
                <w:vertAlign w:val="superscript"/>
              </w:rPr>
              <w:t xml:space="preserve"> </w:t>
            </w:r>
            <w:r w:rsidRPr="00867591">
              <w:rPr>
                <w:sz w:val="20"/>
                <w:szCs w:val="20"/>
              </w:rPr>
              <w:t>, Sajjad Ahmadi</w:t>
            </w:r>
            <w:r>
              <w:rPr>
                <w:sz w:val="20"/>
                <w:szCs w:val="20"/>
                <w:vertAlign w:val="superscript"/>
              </w:rPr>
              <w:t xml:space="preserve"> </w:t>
            </w:r>
            <w:r w:rsidRPr="00867591">
              <w:rPr>
                <w:sz w:val="20"/>
                <w:szCs w:val="20"/>
              </w:rPr>
              <w:t>, Omid Mashrabi</w:t>
            </w:r>
            <w:r>
              <w:rPr>
                <w:sz w:val="20"/>
                <w:szCs w:val="20"/>
                <w:vertAlign w:val="superscript"/>
              </w:rPr>
              <w:t xml:space="preserve"> </w:t>
            </w:r>
            <w:r w:rsidRPr="00867591">
              <w:rPr>
                <w:sz w:val="20"/>
                <w:szCs w:val="20"/>
              </w:rPr>
              <w:t>, Mehdi Sharifi</w:t>
            </w:r>
            <w:r>
              <w:rPr>
                <w:sz w:val="20"/>
                <w:szCs w:val="20"/>
                <w:vertAlign w:val="superscript"/>
              </w:rPr>
              <w:t xml:space="preserve"> </w:t>
            </w:r>
            <w:r w:rsidRPr="00867591">
              <w:rPr>
                <w:sz w:val="20"/>
                <w:szCs w:val="20"/>
              </w:rPr>
              <w:t>, Mohsen Nagahi</w:t>
            </w:r>
            <w:r>
              <w:rPr>
                <w:sz w:val="20"/>
                <w:szCs w:val="20"/>
                <w:vertAlign w:val="superscript"/>
              </w:rPr>
              <w:t xml:space="preserve"> </w:t>
            </w:r>
            <w:r w:rsidRPr="00867591">
              <w:rPr>
                <w:sz w:val="20"/>
                <w:szCs w:val="20"/>
              </w:rPr>
              <w:t>, Maryam Mousavi</w:t>
            </w:r>
            <w:r>
              <w:rPr>
                <w:sz w:val="20"/>
                <w:szCs w:val="20"/>
                <w:vertAlign w:val="superscript"/>
              </w:rPr>
              <w:t xml:space="preserve"> </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272-275</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49</w:t>
            </w:r>
          </w:p>
        </w:tc>
        <w:tc>
          <w:tcPr>
            <w:tcW w:w="7200" w:type="dxa"/>
            <w:vAlign w:val="center"/>
          </w:tcPr>
          <w:p w:rsidR="0085455B" w:rsidRPr="00867591" w:rsidRDefault="0085455B" w:rsidP="005070EF">
            <w:pPr>
              <w:rPr>
                <w:sz w:val="20"/>
              </w:rPr>
            </w:pPr>
            <w:r w:rsidRPr="00867591">
              <w:rPr>
                <w:b/>
                <w:bCs/>
                <w:sz w:val="20"/>
                <w:szCs w:val="20"/>
              </w:rPr>
              <w:t>Analysis of the current state and influence on the quality of life of the Republic of Kazakhstan</w:t>
            </w:r>
          </w:p>
          <w:p w:rsidR="0085455B" w:rsidRPr="00867591" w:rsidRDefault="0085455B" w:rsidP="005070EF">
            <w:pPr>
              <w:rPr>
                <w:sz w:val="20"/>
              </w:rPr>
            </w:pPr>
            <w:r w:rsidRPr="00867591">
              <w:rPr>
                <w:sz w:val="20"/>
                <w:szCs w:val="20"/>
                <w:lang w:val="uk-UA"/>
              </w:rPr>
              <w:t>Kuzembekova Ro</w:t>
            </w:r>
            <w:r w:rsidRPr="00867591">
              <w:rPr>
                <w:sz w:val="20"/>
                <w:szCs w:val="20"/>
              </w:rPr>
              <w:t>za</w:t>
            </w:r>
            <w:r>
              <w:rPr>
                <w:sz w:val="20"/>
                <w:szCs w:val="20"/>
                <w:vertAlign w:val="superscript"/>
              </w:rPr>
              <w:t xml:space="preserve"> </w:t>
            </w:r>
            <w:r w:rsidRPr="00867591">
              <w:rPr>
                <w:sz w:val="20"/>
                <w:szCs w:val="20"/>
              </w:rPr>
              <w:t>, Sadvakassova Aigul</w:t>
            </w:r>
            <w:r>
              <w:rPr>
                <w:sz w:val="20"/>
                <w:szCs w:val="20"/>
                <w:vertAlign w:val="superscript"/>
              </w:rPr>
              <w:t xml:space="preserve"> </w:t>
            </w:r>
            <w:r w:rsidRPr="00867591">
              <w:rPr>
                <w:sz w:val="20"/>
                <w:szCs w:val="20"/>
              </w:rPr>
              <w:t>, Iskakbayeva Maral</w:t>
            </w:r>
            <w:r>
              <w:rPr>
                <w:sz w:val="20"/>
                <w:szCs w:val="20"/>
                <w:vertAlign w:val="superscript"/>
              </w:rPr>
              <w:t xml:space="preserve"> </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276-281</w:t>
            </w:r>
          </w:p>
        </w:tc>
      </w:tr>
      <w:tr w:rsidR="0085455B" w:rsidRPr="00943A3C" w:rsidTr="0085455B">
        <w:trPr>
          <w:tblCellSpacing w:w="15" w:type="dxa"/>
        </w:trPr>
        <w:tc>
          <w:tcPr>
            <w:tcW w:w="577" w:type="dxa"/>
            <w:tcMar>
              <w:top w:w="15" w:type="dxa"/>
              <w:left w:w="15" w:type="dxa"/>
              <w:bottom w:w="15" w:type="dxa"/>
              <w:right w:w="15" w:type="dxa"/>
            </w:tcMar>
          </w:tcPr>
          <w:p w:rsidR="0085455B" w:rsidRPr="00C05667" w:rsidRDefault="0085455B" w:rsidP="005070EF">
            <w:pPr>
              <w:jc w:val="center"/>
              <w:rPr>
                <w:b/>
                <w:sz w:val="20"/>
              </w:rPr>
            </w:pPr>
            <w:r w:rsidRPr="00C05667">
              <w:rPr>
                <w:b/>
                <w:sz w:val="20"/>
                <w:szCs w:val="20"/>
              </w:rPr>
              <w:t>50</w:t>
            </w:r>
          </w:p>
        </w:tc>
        <w:tc>
          <w:tcPr>
            <w:tcW w:w="7200" w:type="dxa"/>
            <w:vAlign w:val="center"/>
          </w:tcPr>
          <w:p w:rsidR="0085455B" w:rsidRPr="00867591" w:rsidRDefault="0085455B" w:rsidP="005070EF">
            <w:pPr>
              <w:rPr>
                <w:sz w:val="20"/>
              </w:rPr>
            </w:pPr>
            <w:r w:rsidRPr="00867591">
              <w:rPr>
                <w:b/>
                <w:bCs/>
                <w:sz w:val="20"/>
              </w:rPr>
              <w:t>The Development of the Catalog of Elective Subjects as a Means of Professional Training of Students</w:t>
            </w:r>
          </w:p>
          <w:p w:rsidR="0085455B" w:rsidRPr="00867591" w:rsidRDefault="0085455B" w:rsidP="005070EF">
            <w:pPr>
              <w:shd w:val="clear" w:color="auto" w:fill="FFFFFF"/>
              <w:rPr>
                <w:sz w:val="20"/>
              </w:rPr>
            </w:pPr>
            <w:r w:rsidRPr="00867591">
              <w:rPr>
                <w:sz w:val="20"/>
              </w:rPr>
              <w:t>B.M. Zhaparova</w:t>
            </w:r>
            <w:r>
              <w:rPr>
                <w:sz w:val="20"/>
                <w:vertAlign w:val="superscript"/>
              </w:rPr>
              <w:t xml:space="preserve"> </w:t>
            </w:r>
            <w:r w:rsidRPr="00867591">
              <w:rPr>
                <w:sz w:val="20"/>
              </w:rPr>
              <w:t>, A.Sh. Tleulesova</w:t>
            </w:r>
            <w:r>
              <w:rPr>
                <w:sz w:val="20"/>
                <w:vertAlign w:val="superscript"/>
              </w:rPr>
              <w:t xml:space="preserve"> </w:t>
            </w:r>
            <w:r w:rsidRPr="00867591">
              <w:rPr>
                <w:i/>
                <w:iCs/>
                <w:sz w:val="20"/>
                <w:szCs w:val="20"/>
              </w:rPr>
              <w:t>,</w:t>
            </w:r>
            <w:r w:rsidRPr="00867591">
              <w:rPr>
                <w:i/>
                <w:iCs/>
                <w:sz w:val="20"/>
              </w:rPr>
              <w:t> </w:t>
            </w:r>
            <w:r w:rsidRPr="00867591">
              <w:rPr>
                <w:sz w:val="20"/>
              </w:rPr>
              <w:t>B.G. Sarsenbayeva</w:t>
            </w:r>
            <w:r>
              <w:rPr>
                <w:sz w:val="20"/>
                <w:vertAlign w:val="superscript"/>
              </w:rPr>
              <w:t xml:space="preserve"> </w:t>
            </w:r>
            <w:r w:rsidRPr="00867591">
              <w:rPr>
                <w:sz w:val="20"/>
              </w:rPr>
              <w:t>, Zh.M.Baygozhina</w:t>
            </w:r>
            <w:r>
              <w:rPr>
                <w:sz w:val="20"/>
                <w:vertAlign w:val="superscript"/>
              </w:rPr>
              <w:t xml:space="preserve"> </w:t>
            </w:r>
            <w:r w:rsidRPr="00867591">
              <w:rPr>
                <w:sz w:val="20"/>
              </w:rPr>
              <w:t>, </w:t>
            </w:r>
            <w:r w:rsidRPr="00867591">
              <w:rPr>
                <w:sz w:val="20"/>
                <w:szCs w:val="20"/>
              </w:rPr>
              <w:t>Zh.Zh. Aytpayeva</w:t>
            </w:r>
            <w:r>
              <w:rPr>
                <w:sz w:val="20"/>
                <w:vertAlign w:val="superscript"/>
              </w:rPr>
              <w:t xml:space="preserve"> </w:t>
            </w:r>
            <w:r w:rsidRPr="00867591">
              <w:rPr>
                <w:sz w:val="20"/>
                <w:szCs w:val="20"/>
              </w:rPr>
              <w:t>, D. Zh. Sakenov</w:t>
            </w:r>
            <w:r>
              <w:rPr>
                <w:sz w:val="20"/>
                <w:vertAlign w:val="superscript"/>
              </w:rPr>
              <w:t xml:space="preserve"> </w:t>
            </w:r>
          </w:p>
          <w:p w:rsidR="0085455B" w:rsidRPr="00867591" w:rsidRDefault="0085455B" w:rsidP="005070EF">
            <w:pPr>
              <w:rPr>
                <w:sz w:val="20"/>
              </w:rPr>
            </w:pPr>
          </w:p>
        </w:tc>
        <w:tc>
          <w:tcPr>
            <w:tcW w:w="256" w:type="dxa"/>
          </w:tcPr>
          <w:p w:rsidR="0085455B" w:rsidRPr="00867591" w:rsidRDefault="0085455B" w:rsidP="005070EF">
            <w:pPr>
              <w:jc w:val="center"/>
              <w:rPr>
                <w:sz w:val="20"/>
              </w:rPr>
            </w:pPr>
          </w:p>
        </w:tc>
        <w:tc>
          <w:tcPr>
            <w:tcW w:w="1384" w:type="dxa"/>
          </w:tcPr>
          <w:p w:rsidR="0085455B" w:rsidRPr="00C05667" w:rsidRDefault="0085455B" w:rsidP="005070EF">
            <w:pPr>
              <w:jc w:val="center"/>
              <w:rPr>
                <w:b/>
                <w:sz w:val="20"/>
              </w:rPr>
            </w:pPr>
            <w:r w:rsidRPr="00C05667">
              <w:rPr>
                <w:b/>
                <w:sz w:val="20"/>
                <w:szCs w:val="20"/>
              </w:rPr>
              <w:t>282-285</w:t>
            </w:r>
          </w:p>
        </w:tc>
      </w:tr>
      <w:tr w:rsidR="0085455B" w:rsidRPr="00943A3C" w:rsidTr="0085455B">
        <w:trPr>
          <w:tblCellSpacing w:w="15" w:type="dxa"/>
        </w:trPr>
        <w:tc>
          <w:tcPr>
            <w:tcW w:w="577" w:type="dxa"/>
            <w:tcMar>
              <w:top w:w="15" w:type="dxa"/>
              <w:left w:w="15" w:type="dxa"/>
              <w:bottom w:w="15" w:type="dxa"/>
              <w:right w:w="15" w:type="dxa"/>
            </w:tcMar>
          </w:tcPr>
          <w:p w:rsidR="0085455B" w:rsidRPr="00FC52A8" w:rsidRDefault="0085455B" w:rsidP="005070EF">
            <w:pPr>
              <w:jc w:val="center"/>
              <w:rPr>
                <w:b/>
                <w:sz w:val="18"/>
                <w:szCs w:val="18"/>
              </w:rPr>
            </w:pPr>
            <w:r w:rsidRPr="00FC52A8">
              <w:rPr>
                <w:b/>
                <w:sz w:val="18"/>
                <w:szCs w:val="18"/>
              </w:rPr>
              <w:lastRenderedPageBreak/>
              <w:t>51</w:t>
            </w:r>
          </w:p>
        </w:tc>
        <w:tc>
          <w:tcPr>
            <w:tcW w:w="7200" w:type="dxa"/>
            <w:vAlign w:val="center"/>
          </w:tcPr>
          <w:p w:rsidR="0085455B" w:rsidRPr="00FC52A8" w:rsidRDefault="0085455B" w:rsidP="005070EF">
            <w:pPr>
              <w:rPr>
                <w:sz w:val="18"/>
                <w:szCs w:val="18"/>
              </w:rPr>
            </w:pPr>
            <w:r w:rsidRPr="00FC52A8">
              <w:rPr>
                <w:b/>
                <w:bCs/>
                <w:sz w:val="18"/>
                <w:szCs w:val="18"/>
              </w:rPr>
              <w:t>The Results of Research of the Problem of Developing Intellectual Skills of Future Primary School Teachers</w:t>
            </w:r>
          </w:p>
          <w:p w:rsidR="0085455B" w:rsidRPr="00FC52A8" w:rsidRDefault="0085455B" w:rsidP="005070EF">
            <w:pPr>
              <w:rPr>
                <w:sz w:val="18"/>
                <w:szCs w:val="18"/>
              </w:rPr>
            </w:pPr>
            <w:r w:rsidRPr="00FC52A8">
              <w:rPr>
                <w:sz w:val="18"/>
                <w:szCs w:val="18"/>
              </w:rPr>
              <w:t>Gulzhan Temirsarovna Abdulina, Kopzhasar Mustafaevich Zhetibaev, Alina Kuandykovna Bimaganbetova, Mukhabat Erubaevna Rustambekova, Parida Kuandykovna Iskakova</w:t>
            </w:r>
          </w:p>
          <w:p w:rsidR="0085455B" w:rsidRPr="00FC52A8" w:rsidRDefault="0085455B" w:rsidP="005070EF">
            <w:pPr>
              <w:rPr>
                <w:sz w:val="18"/>
                <w:szCs w:val="18"/>
              </w:rPr>
            </w:pPr>
          </w:p>
        </w:tc>
        <w:tc>
          <w:tcPr>
            <w:tcW w:w="256" w:type="dxa"/>
          </w:tcPr>
          <w:p w:rsidR="0085455B" w:rsidRPr="00FC52A8" w:rsidRDefault="0085455B" w:rsidP="005070EF">
            <w:pPr>
              <w:jc w:val="center"/>
              <w:rPr>
                <w:sz w:val="18"/>
                <w:szCs w:val="18"/>
              </w:rPr>
            </w:pPr>
          </w:p>
        </w:tc>
        <w:tc>
          <w:tcPr>
            <w:tcW w:w="1384" w:type="dxa"/>
          </w:tcPr>
          <w:p w:rsidR="0085455B" w:rsidRPr="00FC52A8" w:rsidRDefault="0085455B" w:rsidP="005070EF">
            <w:pPr>
              <w:jc w:val="center"/>
              <w:rPr>
                <w:b/>
                <w:sz w:val="18"/>
                <w:szCs w:val="18"/>
              </w:rPr>
            </w:pPr>
            <w:r w:rsidRPr="00FC52A8">
              <w:rPr>
                <w:b/>
                <w:sz w:val="18"/>
                <w:szCs w:val="18"/>
              </w:rPr>
              <w:t>286-290</w:t>
            </w:r>
          </w:p>
        </w:tc>
      </w:tr>
      <w:tr w:rsidR="0085455B" w:rsidRPr="00943A3C" w:rsidTr="0085455B">
        <w:trPr>
          <w:tblCellSpacing w:w="15" w:type="dxa"/>
        </w:trPr>
        <w:tc>
          <w:tcPr>
            <w:tcW w:w="577" w:type="dxa"/>
            <w:tcMar>
              <w:top w:w="15" w:type="dxa"/>
              <w:left w:w="15" w:type="dxa"/>
              <w:bottom w:w="15" w:type="dxa"/>
              <w:right w:w="15" w:type="dxa"/>
            </w:tcMar>
          </w:tcPr>
          <w:p w:rsidR="0085455B" w:rsidRPr="00FC52A8" w:rsidRDefault="0085455B" w:rsidP="005070EF">
            <w:pPr>
              <w:jc w:val="center"/>
              <w:rPr>
                <w:b/>
                <w:sz w:val="18"/>
                <w:szCs w:val="18"/>
              </w:rPr>
            </w:pPr>
            <w:r w:rsidRPr="00FC52A8">
              <w:rPr>
                <w:b/>
                <w:sz w:val="18"/>
                <w:szCs w:val="18"/>
              </w:rPr>
              <w:t>52</w:t>
            </w:r>
          </w:p>
        </w:tc>
        <w:tc>
          <w:tcPr>
            <w:tcW w:w="7200" w:type="dxa"/>
            <w:vAlign w:val="center"/>
          </w:tcPr>
          <w:p w:rsidR="0085455B" w:rsidRPr="00FC52A8" w:rsidRDefault="0085455B" w:rsidP="005070EF">
            <w:pPr>
              <w:rPr>
                <w:sz w:val="18"/>
                <w:szCs w:val="18"/>
              </w:rPr>
            </w:pPr>
            <w:r w:rsidRPr="00FC52A8">
              <w:rPr>
                <w:b/>
                <w:bCs/>
                <w:sz w:val="18"/>
                <w:szCs w:val="18"/>
              </w:rPr>
              <w:t>Study of willingness of teachers to education of pupils with deviant behavior</w:t>
            </w:r>
          </w:p>
          <w:p w:rsidR="0085455B" w:rsidRPr="00FC52A8" w:rsidRDefault="0085455B" w:rsidP="005070EF">
            <w:pPr>
              <w:rPr>
                <w:sz w:val="18"/>
                <w:szCs w:val="18"/>
              </w:rPr>
            </w:pPr>
            <w:r w:rsidRPr="00FC52A8">
              <w:rPr>
                <w:sz w:val="18"/>
                <w:szCs w:val="18"/>
              </w:rPr>
              <w:t>Zhanar Baiseitovna Baiseitova and Zulfiya Shavaliyevna Shavaliyeva</w:t>
            </w:r>
          </w:p>
          <w:p w:rsidR="0085455B" w:rsidRPr="00FC52A8" w:rsidRDefault="0085455B" w:rsidP="005070EF">
            <w:pPr>
              <w:rPr>
                <w:sz w:val="18"/>
                <w:szCs w:val="18"/>
              </w:rPr>
            </w:pPr>
          </w:p>
        </w:tc>
        <w:tc>
          <w:tcPr>
            <w:tcW w:w="256" w:type="dxa"/>
          </w:tcPr>
          <w:p w:rsidR="0085455B" w:rsidRPr="00FC52A8" w:rsidRDefault="0085455B" w:rsidP="005070EF">
            <w:pPr>
              <w:jc w:val="center"/>
              <w:rPr>
                <w:sz w:val="18"/>
                <w:szCs w:val="18"/>
              </w:rPr>
            </w:pPr>
          </w:p>
        </w:tc>
        <w:tc>
          <w:tcPr>
            <w:tcW w:w="1384" w:type="dxa"/>
          </w:tcPr>
          <w:p w:rsidR="0085455B" w:rsidRPr="00FC52A8" w:rsidRDefault="0085455B" w:rsidP="005070EF">
            <w:pPr>
              <w:jc w:val="center"/>
              <w:rPr>
                <w:b/>
                <w:sz w:val="18"/>
                <w:szCs w:val="18"/>
              </w:rPr>
            </w:pPr>
            <w:r w:rsidRPr="00FC52A8">
              <w:rPr>
                <w:b/>
                <w:sz w:val="18"/>
                <w:szCs w:val="18"/>
              </w:rPr>
              <w:t>291-297</w:t>
            </w:r>
          </w:p>
        </w:tc>
      </w:tr>
      <w:tr w:rsidR="0085455B" w:rsidRPr="00943A3C" w:rsidTr="0085455B">
        <w:trPr>
          <w:tblCellSpacing w:w="15" w:type="dxa"/>
        </w:trPr>
        <w:tc>
          <w:tcPr>
            <w:tcW w:w="577" w:type="dxa"/>
            <w:tcMar>
              <w:top w:w="15" w:type="dxa"/>
              <w:left w:w="15" w:type="dxa"/>
              <w:bottom w:w="15" w:type="dxa"/>
              <w:right w:w="15" w:type="dxa"/>
            </w:tcMar>
          </w:tcPr>
          <w:p w:rsidR="0085455B" w:rsidRPr="00FC52A8" w:rsidRDefault="0085455B" w:rsidP="005070EF">
            <w:pPr>
              <w:jc w:val="center"/>
              <w:rPr>
                <w:b/>
                <w:sz w:val="18"/>
                <w:szCs w:val="18"/>
              </w:rPr>
            </w:pPr>
            <w:r w:rsidRPr="00FC52A8">
              <w:rPr>
                <w:b/>
                <w:sz w:val="18"/>
                <w:szCs w:val="18"/>
              </w:rPr>
              <w:t>53</w:t>
            </w:r>
          </w:p>
        </w:tc>
        <w:tc>
          <w:tcPr>
            <w:tcW w:w="7200" w:type="dxa"/>
            <w:vAlign w:val="center"/>
          </w:tcPr>
          <w:p w:rsidR="0085455B" w:rsidRPr="00FC52A8" w:rsidRDefault="0085455B" w:rsidP="005070EF">
            <w:pPr>
              <w:rPr>
                <w:sz w:val="18"/>
                <w:szCs w:val="18"/>
              </w:rPr>
            </w:pPr>
            <w:r w:rsidRPr="00FC52A8">
              <w:rPr>
                <w:b/>
                <w:bCs/>
                <w:sz w:val="18"/>
                <w:szCs w:val="18"/>
              </w:rPr>
              <w:t>Representation of Ancient Times in Kazakh Historical Novel</w:t>
            </w:r>
          </w:p>
          <w:p w:rsidR="0085455B" w:rsidRPr="00FC52A8" w:rsidRDefault="0085455B" w:rsidP="005070EF">
            <w:pPr>
              <w:rPr>
                <w:sz w:val="18"/>
                <w:szCs w:val="18"/>
              </w:rPr>
            </w:pPr>
            <w:r w:rsidRPr="00FC52A8">
              <w:rPr>
                <w:sz w:val="18"/>
                <w:szCs w:val="18"/>
              </w:rPr>
              <w:t>Kadisha Rustembekovna Nurgali</w:t>
            </w:r>
          </w:p>
          <w:p w:rsidR="0085455B" w:rsidRPr="00FC52A8" w:rsidRDefault="0085455B" w:rsidP="005070EF">
            <w:pPr>
              <w:rPr>
                <w:sz w:val="18"/>
                <w:szCs w:val="18"/>
              </w:rPr>
            </w:pPr>
          </w:p>
        </w:tc>
        <w:tc>
          <w:tcPr>
            <w:tcW w:w="256" w:type="dxa"/>
          </w:tcPr>
          <w:p w:rsidR="0085455B" w:rsidRPr="00FC52A8" w:rsidRDefault="0085455B" w:rsidP="005070EF">
            <w:pPr>
              <w:jc w:val="center"/>
              <w:rPr>
                <w:sz w:val="18"/>
                <w:szCs w:val="18"/>
              </w:rPr>
            </w:pPr>
          </w:p>
        </w:tc>
        <w:tc>
          <w:tcPr>
            <w:tcW w:w="1384" w:type="dxa"/>
          </w:tcPr>
          <w:p w:rsidR="0085455B" w:rsidRPr="00FC52A8" w:rsidRDefault="0085455B" w:rsidP="005070EF">
            <w:pPr>
              <w:jc w:val="center"/>
              <w:rPr>
                <w:b/>
                <w:sz w:val="18"/>
                <w:szCs w:val="18"/>
              </w:rPr>
            </w:pPr>
            <w:r w:rsidRPr="00FC52A8">
              <w:rPr>
                <w:b/>
                <w:sz w:val="18"/>
                <w:szCs w:val="18"/>
              </w:rPr>
              <w:t>298-301</w:t>
            </w:r>
          </w:p>
        </w:tc>
      </w:tr>
      <w:tr w:rsidR="0085455B" w:rsidRPr="00943A3C" w:rsidTr="0085455B">
        <w:trPr>
          <w:tblCellSpacing w:w="15" w:type="dxa"/>
        </w:trPr>
        <w:tc>
          <w:tcPr>
            <w:tcW w:w="577" w:type="dxa"/>
            <w:tcMar>
              <w:top w:w="15" w:type="dxa"/>
              <w:left w:w="15" w:type="dxa"/>
              <w:bottom w:w="15" w:type="dxa"/>
              <w:right w:w="15" w:type="dxa"/>
            </w:tcMar>
          </w:tcPr>
          <w:p w:rsidR="0085455B" w:rsidRPr="00FC52A8" w:rsidRDefault="0085455B" w:rsidP="005070EF">
            <w:pPr>
              <w:jc w:val="center"/>
              <w:rPr>
                <w:b/>
                <w:sz w:val="18"/>
                <w:szCs w:val="18"/>
              </w:rPr>
            </w:pPr>
            <w:r w:rsidRPr="00FC52A8">
              <w:rPr>
                <w:b/>
                <w:sz w:val="18"/>
                <w:szCs w:val="18"/>
              </w:rPr>
              <w:t>54</w:t>
            </w:r>
          </w:p>
        </w:tc>
        <w:tc>
          <w:tcPr>
            <w:tcW w:w="7200" w:type="dxa"/>
            <w:vAlign w:val="center"/>
          </w:tcPr>
          <w:p w:rsidR="0085455B" w:rsidRPr="00FC52A8" w:rsidRDefault="0085455B" w:rsidP="005070EF">
            <w:pPr>
              <w:rPr>
                <w:sz w:val="18"/>
                <w:szCs w:val="18"/>
              </w:rPr>
            </w:pPr>
            <w:r w:rsidRPr="00FC52A8">
              <w:rPr>
                <w:b/>
                <w:bCs/>
                <w:sz w:val="18"/>
                <w:szCs w:val="18"/>
              </w:rPr>
              <w:t>Hydroimpulsive Development of Fluid-Containing Recovery</w:t>
            </w:r>
          </w:p>
          <w:p w:rsidR="0085455B" w:rsidRPr="00FC52A8" w:rsidRDefault="0085455B" w:rsidP="005070EF">
            <w:pPr>
              <w:rPr>
                <w:sz w:val="18"/>
                <w:szCs w:val="18"/>
              </w:rPr>
            </w:pPr>
            <w:r w:rsidRPr="00FC52A8">
              <w:rPr>
                <w:sz w:val="18"/>
                <w:szCs w:val="18"/>
              </w:rPr>
              <w:t>Boranbay Tovbasarovich Ratov and Boris Vladimirovich Fedorov</w:t>
            </w:r>
          </w:p>
          <w:p w:rsidR="0085455B" w:rsidRPr="00FC52A8" w:rsidRDefault="0085455B" w:rsidP="005070EF">
            <w:pPr>
              <w:shd w:val="clear" w:color="auto" w:fill="FFFFFF"/>
              <w:rPr>
                <w:sz w:val="18"/>
                <w:szCs w:val="18"/>
              </w:rPr>
            </w:pPr>
          </w:p>
        </w:tc>
        <w:tc>
          <w:tcPr>
            <w:tcW w:w="256" w:type="dxa"/>
          </w:tcPr>
          <w:p w:rsidR="0085455B" w:rsidRPr="00FC52A8" w:rsidRDefault="0085455B" w:rsidP="005070EF">
            <w:pPr>
              <w:jc w:val="center"/>
              <w:rPr>
                <w:sz w:val="18"/>
                <w:szCs w:val="18"/>
              </w:rPr>
            </w:pPr>
          </w:p>
        </w:tc>
        <w:tc>
          <w:tcPr>
            <w:tcW w:w="1384" w:type="dxa"/>
          </w:tcPr>
          <w:p w:rsidR="0085455B" w:rsidRPr="00FC52A8" w:rsidRDefault="0085455B" w:rsidP="005070EF">
            <w:pPr>
              <w:jc w:val="center"/>
              <w:rPr>
                <w:b/>
                <w:sz w:val="18"/>
                <w:szCs w:val="18"/>
              </w:rPr>
            </w:pPr>
            <w:r w:rsidRPr="00FC52A8">
              <w:rPr>
                <w:b/>
                <w:sz w:val="18"/>
                <w:szCs w:val="18"/>
              </w:rPr>
              <w:t>302-305</w:t>
            </w:r>
          </w:p>
        </w:tc>
      </w:tr>
      <w:tr w:rsidR="0085455B" w:rsidRPr="00943A3C" w:rsidTr="0085455B">
        <w:trPr>
          <w:tblCellSpacing w:w="15" w:type="dxa"/>
        </w:trPr>
        <w:tc>
          <w:tcPr>
            <w:tcW w:w="577" w:type="dxa"/>
            <w:tcMar>
              <w:top w:w="15" w:type="dxa"/>
              <w:left w:w="15" w:type="dxa"/>
              <w:bottom w:w="15" w:type="dxa"/>
              <w:right w:w="15" w:type="dxa"/>
            </w:tcMar>
          </w:tcPr>
          <w:p w:rsidR="0085455B" w:rsidRPr="00FC52A8" w:rsidRDefault="0085455B" w:rsidP="005070EF">
            <w:pPr>
              <w:jc w:val="center"/>
              <w:rPr>
                <w:b/>
                <w:sz w:val="18"/>
                <w:szCs w:val="18"/>
              </w:rPr>
            </w:pPr>
            <w:r w:rsidRPr="00FC52A8">
              <w:rPr>
                <w:b/>
                <w:sz w:val="18"/>
                <w:szCs w:val="18"/>
              </w:rPr>
              <w:t>55</w:t>
            </w:r>
          </w:p>
        </w:tc>
        <w:tc>
          <w:tcPr>
            <w:tcW w:w="7200" w:type="dxa"/>
            <w:vAlign w:val="center"/>
          </w:tcPr>
          <w:p w:rsidR="0085455B" w:rsidRPr="00FC52A8" w:rsidRDefault="0085455B" w:rsidP="005070EF">
            <w:pPr>
              <w:rPr>
                <w:sz w:val="18"/>
                <w:szCs w:val="18"/>
              </w:rPr>
            </w:pPr>
            <w:r w:rsidRPr="00FC52A8">
              <w:rPr>
                <w:b/>
                <w:bCs/>
                <w:sz w:val="18"/>
                <w:szCs w:val="18"/>
              </w:rPr>
              <w:t>Artistic Role of Dialogue in National Prose</w:t>
            </w:r>
          </w:p>
          <w:p w:rsidR="0085455B" w:rsidRPr="00FC52A8" w:rsidRDefault="0085455B" w:rsidP="005070EF">
            <w:pPr>
              <w:rPr>
                <w:sz w:val="18"/>
                <w:szCs w:val="18"/>
              </w:rPr>
            </w:pPr>
            <w:r w:rsidRPr="00FC52A8">
              <w:rPr>
                <w:sz w:val="18"/>
                <w:szCs w:val="18"/>
                <w:lang w:val="kk-KZ"/>
              </w:rPr>
              <w:t>Zholaman Taubaevich Koblanov</w:t>
            </w:r>
            <w:r w:rsidRPr="00FC52A8">
              <w:rPr>
                <w:sz w:val="18"/>
                <w:szCs w:val="18"/>
              </w:rPr>
              <w:t>, </w:t>
            </w:r>
            <w:r w:rsidRPr="00FC52A8">
              <w:rPr>
                <w:sz w:val="18"/>
                <w:szCs w:val="18"/>
                <w:lang w:val="kk-KZ"/>
              </w:rPr>
              <w:t>Sharafat Sabitovna Abisheva</w:t>
            </w:r>
            <w:r w:rsidRPr="00FC52A8">
              <w:rPr>
                <w:sz w:val="18"/>
                <w:szCs w:val="18"/>
              </w:rPr>
              <w:t>, </w:t>
            </w:r>
            <w:r w:rsidRPr="00FC52A8">
              <w:rPr>
                <w:sz w:val="18"/>
                <w:szCs w:val="18"/>
                <w:lang w:val="kk-KZ"/>
              </w:rPr>
              <w:t>Bibatpa Amirchanovna Koshimova </w:t>
            </w:r>
            <w:r w:rsidRPr="00FC52A8">
              <w:rPr>
                <w:sz w:val="18"/>
                <w:szCs w:val="18"/>
              </w:rPr>
              <w:t>and Aliya Tugelbaevna Zhetkizgenova</w:t>
            </w:r>
          </w:p>
          <w:p w:rsidR="0085455B" w:rsidRPr="00FC52A8" w:rsidRDefault="0085455B" w:rsidP="005070EF">
            <w:pPr>
              <w:rPr>
                <w:sz w:val="18"/>
                <w:szCs w:val="18"/>
              </w:rPr>
            </w:pPr>
          </w:p>
        </w:tc>
        <w:tc>
          <w:tcPr>
            <w:tcW w:w="256" w:type="dxa"/>
          </w:tcPr>
          <w:p w:rsidR="0085455B" w:rsidRPr="00FC52A8" w:rsidRDefault="0085455B" w:rsidP="005070EF">
            <w:pPr>
              <w:jc w:val="center"/>
              <w:rPr>
                <w:sz w:val="18"/>
                <w:szCs w:val="18"/>
              </w:rPr>
            </w:pPr>
          </w:p>
        </w:tc>
        <w:tc>
          <w:tcPr>
            <w:tcW w:w="1384" w:type="dxa"/>
          </w:tcPr>
          <w:p w:rsidR="0085455B" w:rsidRPr="00FC52A8" w:rsidRDefault="0085455B" w:rsidP="005070EF">
            <w:pPr>
              <w:jc w:val="center"/>
              <w:rPr>
                <w:b/>
                <w:sz w:val="18"/>
                <w:szCs w:val="18"/>
              </w:rPr>
            </w:pPr>
            <w:r w:rsidRPr="00FC52A8">
              <w:rPr>
                <w:b/>
                <w:sz w:val="18"/>
                <w:szCs w:val="18"/>
              </w:rPr>
              <w:t>306-308</w:t>
            </w:r>
          </w:p>
        </w:tc>
      </w:tr>
      <w:tr w:rsidR="0085455B" w:rsidRPr="00943A3C" w:rsidTr="0085455B">
        <w:trPr>
          <w:tblCellSpacing w:w="15" w:type="dxa"/>
        </w:trPr>
        <w:tc>
          <w:tcPr>
            <w:tcW w:w="577" w:type="dxa"/>
            <w:tcMar>
              <w:top w:w="15" w:type="dxa"/>
              <w:left w:w="15" w:type="dxa"/>
              <w:bottom w:w="15" w:type="dxa"/>
              <w:right w:w="15" w:type="dxa"/>
            </w:tcMar>
          </w:tcPr>
          <w:p w:rsidR="0085455B" w:rsidRPr="00FC52A8" w:rsidRDefault="0085455B" w:rsidP="005070EF">
            <w:pPr>
              <w:jc w:val="center"/>
              <w:rPr>
                <w:b/>
                <w:sz w:val="18"/>
                <w:szCs w:val="18"/>
              </w:rPr>
            </w:pPr>
            <w:r w:rsidRPr="00FC52A8">
              <w:rPr>
                <w:b/>
                <w:sz w:val="18"/>
                <w:szCs w:val="18"/>
              </w:rPr>
              <w:t>56</w:t>
            </w:r>
          </w:p>
        </w:tc>
        <w:tc>
          <w:tcPr>
            <w:tcW w:w="7200" w:type="dxa"/>
            <w:vAlign w:val="center"/>
          </w:tcPr>
          <w:p w:rsidR="0085455B" w:rsidRPr="00FC52A8" w:rsidRDefault="0085455B" w:rsidP="005070EF">
            <w:pPr>
              <w:rPr>
                <w:sz w:val="18"/>
                <w:szCs w:val="18"/>
              </w:rPr>
            </w:pPr>
            <w:r w:rsidRPr="00FC52A8">
              <w:rPr>
                <w:b/>
                <w:bCs/>
                <w:sz w:val="18"/>
                <w:szCs w:val="18"/>
              </w:rPr>
              <w:t>Folklore Lines in National Drama</w:t>
            </w:r>
          </w:p>
          <w:p w:rsidR="0085455B" w:rsidRPr="00FC52A8" w:rsidRDefault="0085455B" w:rsidP="005070EF">
            <w:pPr>
              <w:rPr>
                <w:sz w:val="18"/>
                <w:szCs w:val="18"/>
              </w:rPr>
            </w:pPr>
            <w:r w:rsidRPr="00FC52A8">
              <w:rPr>
                <w:sz w:val="18"/>
                <w:szCs w:val="18"/>
                <w:lang w:val="kk-KZ"/>
              </w:rPr>
              <w:t>Zholaman Taubaevich Koblanov</w:t>
            </w:r>
            <w:r w:rsidRPr="00FC52A8">
              <w:rPr>
                <w:sz w:val="18"/>
                <w:szCs w:val="18"/>
              </w:rPr>
              <w:t>, </w:t>
            </w:r>
            <w:r w:rsidRPr="00FC52A8">
              <w:rPr>
                <w:sz w:val="18"/>
                <w:szCs w:val="18"/>
                <w:lang w:val="kk-KZ"/>
              </w:rPr>
              <w:t>Sharafat Sabitovna Abisheva</w:t>
            </w:r>
            <w:r w:rsidRPr="00FC52A8">
              <w:rPr>
                <w:sz w:val="18"/>
                <w:szCs w:val="18"/>
              </w:rPr>
              <w:t>, </w:t>
            </w:r>
            <w:r w:rsidRPr="00FC52A8">
              <w:rPr>
                <w:sz w:val="18"/>
                <w:szCs w:val="18"/>
                <w:lang w:val="kk-KZ"/>
              </w:rPr>
              <w:t>Bibatpa Amirchanovna Koshimova</w:t>
            </w:r>
            <w:r w:rsidRPr="00FC52A8">
              <w:rPr>
                <w:sz w:val="18"/>
                <w:szCs w:val="18"/>
              </w:rPr>
              <w:t> and </w:t>
            </w:r>
            <w:r w:rsidRPr="00FC52A8">
              <w:rPr>
                <w:sz w:val="18"/>
                <w:szCs w:val="18"/>
                <w:lang w:val="kk-KZ"/>
              </w:rPr>
              <w:t>Akmaral Nurgojaevna </w:t>
            </w:r>
            <w:r w:rsidRPr="00FC52A8">
              <w:rPr>
                <w:sz w:val="18"/>
                <w:szCs w:val="18"/>
              </w:rPr>
              <w:t>Otar</w:t>
            </w:r>
            <w:r w:rsidRPr="00FC52A8">
              <w:rPr>
                <w:sz w:val="18"/>
                <w:szCs w:val="18"/>
                <w:lang w:val="kk-KZ"/>
              </w:rPr>
              <w:t>ova</w:t>
            </w:r>
          </w:p>
          <w:p w:rsidR="0085455B" w:rsidRPr="00FC52A8" w:rsidRDefault="0085455B" w:rsidP="005070EF">
            <w:pPr>
              <w:rPr>
                <w:sz w:val="18"/>
                <w:szCs w:val="18"/>
              </w:rPr>
            </w:pPr>
          </w:p>
        </w:tc>
        <w:tc>
          <w:tcPr>
            <w:tcW w:w="256" w:type="dxa"/>
          </w:tcPr>
          <w:p w:rsidR="0085455B" w:rsidRPr="00FC52A8" w:rsidRDefault="0085455B" w:rsidP="005070EF">
            <w:pPr>
              <w:jc w:val="center"/>
              <w:rPr>
                <w:sz w:val="18"/>
                <w:szCs w:val="18"/>
              </w:rPr>
            </w:pPr>
          </w:p>
        </w:tc>
        <w:tc>
          <w:tcPr>
            <w:tcW w:w="1384" w:type="dxa"/>
          </w:tcPr>
          <w:p w:rsidR="0085455B" w:rsidRPr="00FC52A8" w:rsidRDefault="0085455B" w:rsidP="005070EF">
            <w:pPr>
              <w:jc w:val="center"/>
              <w:rPr>
                <w:b/>
                <w:sz w:val="18"/>
                <w:szCs w:val="18"/>
              </w:rPr>
            </w:pPr>
            <w:r w:rsidRPr="00FC52A8">
              <w:rPr>
                <w:b/>
                <w:sz w:val="18"/>
                <w:szCs w:val="18"/>
              </w:rPr>
              <w:t>309-311</w:t>
            </w:r>
          </w:p>
        </w:tc>
      </w:tr>
      <w:tr w:rsidR="0085455B" w:rsidRPr="00943A3C" w:rsidTr="0085455B">
        <w:trPr>
          <w:tblCellSpacing w:w="15" w:type="dxa"/>
        </w:trPr>
        <w:tc>
          <w:tcPr>
            <w:tcW w:w="577" w:type="dxa"/>
            <w:tcMar>
              <w:top w:w="15" w:type="dxa"/>
              <w:left w:w="15" w:type="dxa"/>
              <w:bottom w:w="15" w:type="dxa"/>
              <w:right w:w="15" w:type="dxa"/>
            </w:tcMar>
          </w:tcPr>
          <w:p w:rsidR="0085455B" w:rsidRPr="00FC52A8" w:rsidRDefault="0085455B" w:rsidP="005070EF">
            <w:pPr>
              <w:jc w:val="center"/>
              <w:rPr>
                <w:b/>
                <w:sz w:val="18"/>
                <w:szCs w:val="18"/>
              </w:rPr>
            </w:pPr>
            <w:r w:rsidRPr="00FC52A8">
              <w:rPr>
                <w:b/>
                <w:sz w:val="18"/>
                <w:szCs w:val="18"/>
              </w:rPr>
              <w:t>57</w:t>
            </w:r>
          </w:p>
        </w:tc>
        <w:tc>
          <w:tcPr>
            <w:tcW w:w="7200" w:type="dxa"/>
            <w:vAlign w:val="center"/>
          </w:tcPr>
          <w:p w:rsidR="0085455B" w:rsidRPr="00FC52A8" w:rsidRDefault="0085455B" w:rsidP="005070EF">
            <w:pPr>
              <w:rPr>
                <w:sz w:val="18"/>
                <w:szCs w:val="18"/>
              </w:rPr>
            </w:pPr>
            <w:r w:rsidRPr="00FC52A8">
              <w:rPr>
                <w:b/>
                <w:bCs/>
                <w:sz w:val="18"/>
                <w:szCs w:val="18"/>
              </w:rPr>
              <w:t>Regarding Issues of Toponymy and Social Associations in Language Environment</w:t>
            </w:r>
          </w:p>
          <w:p w:rsidR="0085455B" w:rsidRPr="00FC52A8" w:rsidRDefault="0085455B" w:rsidP="005070EF">
            <w:pPr>
              <w:rPr>
                <w:sz w:val="18"/>
                <w:szCs w:val="18"/>
              </w:rPr>
            </w:pPr>
            <w:r w:rsidRPr="00FC52A8">
              <w:rPr>
                <w:sz w:val="18"/>
                <w:szCs w:val="18"/>
                <w:lang w:val="kk-KZ"/>
              </w:rPr>
              <w:t>Zholaman Taubaevich Koblanov</w:t>
            </w:r>
            <w:r w:rsidRPr="00FC52A8">
              <w:rPr>
                <w:sz w:val="18"/>
                <w:szCs w:val="18"/>
              </w:rPr>
              <w:t>, </w:t>
            </w:r>
            <w:r w:rsidRPr="00FC52A8">
              <w:rPr>
                <w:sz w:val="18"/>
                <w:szCs w:val="18"/>
                <w:lang w:val="kk-KZ"/>
              </w:rPr>
              <w:t>Bibatpa Amirchanovna Koshimova</w:t>
            </w:r>
            <w:r w:rsidRPr="00FC52A8">
              <w:rPr>
                <w:sz w:val="18"/>
                <w:szCs w:val="18"/>
              </w:rPr>
              <w:t>, </w:t>
            </w:r>
            <w:r w:rsidRPr="00FC52A8">
              <w:rPr>
                <w:sz w:val="18"/>
                <w:szCs w:val="18"/>
                <w:lang w:val="kk-KZ"/>
              </w:rPr>
              <w:t>Sharafat Sabitovna Abisheva</w:t>
            </w:r>
            <w:r w:rsidRPr="00FC52A8">
              <w:rPr>
                <w:sz w:val="18"/>
                <w:szCs w:val="18"/>
              </w:rPr>
              <w:t>,</w:t>
            </w:r>
          </w:p>
          <w:p w:rsidR="0085455B" w:rsidRPr="00FC52A8" w:rsidRDefault="0085455B" w:rsidP="005070EF">
            <w:pPr>
              <w:rPr>
                <w:sz w:val="18"/>
                <w:szCs w:val="18"/>
              </w:rPr>
            </w:pPr>
            <w:r w:rsidRPr="00FC52A8">
              <w:rPr>
                <w:sz w:val="18"/>
                <w:szCs w:val="18"/>
                <w:lang w:val="kk-KZ"/>
              </w:rPr>
              <w:t>Akmaral Nurgojaevna </w:t>
            </w:r>
            <w:r w:rsidRPr="00FC52A8">
              <w:rPr>
                <w:sz w:val="18"/>
                <w:szCs w:val="18"/>
              </w:rPr>
              <w:t>Otar</w:t>
            </w:r>
            <w:r w:rsidRPr="00FC52A8">
              <w:rPr>
                <w:sz w:val="18"/>
                <w:szCs w:val="18"/>
                <w:lang w:val="kk-KZ"/>
              </w:rPr>
              <w:t>ova</w:t>
            </w:r>
            <w:r w:rsidRPr="00FC52A8">
              <w:rPr>
                <w:sz w:val="18"/>
                <w:szCs w:val="18"/>
              </w:rPr>
              <w:t> and Aliya Tugelbaevna Zhetkizgenova</w:t>
            </w:r>
          </w:p>
          <w:p w:rsidR="0085455B" w:rsidRPr="00FC52A8" w:rsidRDefault="0085455B" w:rsidP="005070EF">
            <w:pPr>
              <w:rPr>
                <w:sz w:val="18"/>
                <w:szCs w:val="18"/>
              </w:rPr>
            </w:pPr>
          </w:p>
        </w:tc>
        <w:tc>
          <w:tcPr>
            <w:tcW w:w="256" w:type="dxa"/>
          </w:tcPr>
          <w:p w:rsidR="0085455B" w:rsidRPr="00FC52A8" w:rsidRDefault="0085455B" w:rsidP="005070EF">
            <w:pPr>
              <w:jc w:val="center"/>
              <w:rPr>
                <w:sz w:val="18"/>
                <w:szCs w:val="18"/>
              </w:rPr>
            </w:pPr>
          </w:p>
        </w:tc>
        <w:tc>
          <w:tcPr>
            <w:tcW w:w="1384" w:type="dxa"/>
          </w:tcPr>
          <w:p w:rsidR="0085455B" w:rsidRPr="00FC52A8" w:rsidRDefault="0085455B" w:rsidP="005070EF">
            <w:pPr>
              <w:jc w:val="center"/>
              <w:rPr>
                <w:b/>
                <w:sz w:val="18"/>
                <w:szCs w:val="18"/>
              </w:rPr>
            </w:pPr>
            <w:r w:rsidRPr="00FC52A8">
              <w:rPr>
                <w:b/>
                <w:sz w:val="18"/>
                <w:szCs w:val="18"/>
              </w:rPr>
              <w:t>312-314</w:t>
            </w:r>
          </w:p>
        </w:tc>
      </w:tr>
      <w:tr w:rsidR="0085455B" w:rsidRPr="00943A3C" w:rsidTr="0085455B">
        <w:trPr>
          <w:tblCellSpacing w:w="15" w:type="dxa"/>
        </w:trPr>
        <w:tc>
          <w:tcPr>
            <w:tcW w:w="577" w:type="dxa"/>
            <w:tcMar>
              <w:top w:w="15" w:type="dxa"/>
              <w:left w:w="15" w:type="dxa"/>
              <w:bottom w:w="15" w:type="dxa"/>
              <w:right w:w="15" w:type="dxa"/>
            </w:tcMar>
          </w:tcPr>
          <w:p w:rsidR="0085455B" w:rsidRPr="00FC52A8" w:rsidRDefault="0085455B" w:rsidP="005070EF">
            <w:pPr>
              <w:jc w:val="center"/>
              <w:rPr>
                <w:b/>
                <w:sz w:val="18"/>
                <w:szCs w:val="18"/>
              </w:rPr>
            </w:pPr>
            <w:r w:rsidRPr="00FC52A8">
              <w:rPr>
                <w:b/>
                <w:sz w:val="18"/>
                <w:szCs w:val="18"/>
              </w:rPr>
              <w:t>58</w:t>
            </w:r>
          </w:p>
        </w:tc>
        <w:tc>
          <w:tcPr>
            <w:tcW w:w="7200" w:type="dxa"/>
            <w:vAlign w:val="center"/>
          </w:tcPr>
          <w:p w:rsidR="0085455B" w:rsidRPr="00FC52A8" w:rsidRDefault="0085455B" w:rsidP="005070EF">
            <w:pPr>
              <w:rPr>
                <w:sz w:val="18"/>
                <w:szCs w:val="18"/>
              </w:rPr>
            </w:pPr>
            <w:r w:rsidRPr="00FC52A8">
              <w:rPr>
                <w:b/>
                <w:bCs/>
                <w:sz w:val="18"/>
                <w:szCs w:val="18"/>
              </w:rPr>
              <w:t>The Compatibility of Extended Pre-charge Detention with the European Convention on Human Rights</w:t>
            </w:r>
          </w:p>
          <w:p w:rsidR="0085455B" w:rsidRPr="00FC52A8" w:rsidRDefault="0085455B" w:rsidP="005070EF">
            <w:pPr>
              <w:rPr>
                <w:sz w:val="18"/>
                <w:szCs w:val="18"/>
              </w:rPr>
            </w:pPr>
            <w:r w:rsidRPr="00FC52A8">
              <w:rPr>
                <w:sz w:val="18"/>
                <w:szCs w:val="18"/>
              </w:rPr>
              <w:t>Ayan Meiramovich Tashmagambetov</w:t>
            </w:r>
          </w:p>
          <w:p w:rsidR="0085455B" w:rsidRPr="00FC52A8" w:rsidRDefault="0085455B" w:rsidP="005070EF">
            <w:pPr>
              <w:rPr>
                <w:sz w:val="18"/>
                <w:szCs w:val="18"/>
              </w:rPr>
            </w:pPr>
          </w:p>
        </w:tc>
        <w:tc>
          <w:tcPr>
            <w:tcW w:w="256" w:type="dxa"/>
          </w:tcPr>
          <w:p w:rsidR="0085455B" w:rsidRPr="00FC52A8" w:rsidRDefault="0085455B" w:rsidP="005070EF">
            <w:pPr>
              <w:jc w:val="center"/>
              <w:rPr>
                <w:sz w:val="18"/>
                <w:szCs w:val="18"/>
              </w:rPr>
            </w:pPr>
          </w:p>
        </w:tc>
        <w:tc>
          <w:tcPr>
            <w:tcW w:w="1384" w:type="dxa"/>
          </w:tcPr>
          <w:p w:rsidR="0085455B" w:rsidRPr="00FC52A8" w:rsidRDefault="0085455B" w:rsidP="005070EF">
            <w:pPr>
              <w:jc w:val="center"/>
              <w:rPr>
                <w:b/>
                <w:sz w:val="18"/>
                <w:szCs w:val="18"/>
              </w:rPr>
            </w:pPr>
            <w:r w:rsidRPr="00FC52A8">
              <w:rPr>
                <w:b/>
                <w:sz w:val="18"/>
                <w:szCs w:val="18"/>
              </w:rPr>
              <w:t>315-319</w:t>
            </w:r>
          </w:p>
        </w:tc>
      </w:tr>
      <w:tr w:rsidR="0085455B" w:rsidRPr="00943A3C" w:rsidTr="0085455B">
        <w:trPr>
          <w:tblCellSpacing w:w="15" w:type="dxa"/>
        </w:trPr>
        <w:tc>
          <w:tcPr>
            <w:tcW w:w="577" w:type="dxa"/>
            <w:tcMar>
              <w:top w:w="15" w:type="dxa"/>
              <w:left w:w="15" w:type="dxa"/>
              <w:bottom w:w="15" w:type="dxa"/>
              <w:right w:w="15" w:type="dxa"/>
            </w:tcMar>
          </w:tcPr>
          <w:p w:rsidR="0085455B" w:rsidRPr="00FC52A8" w:rsidRDefault="0085455B" w:rsidP="005070EF">
            <w:pPr>
              <w:jc w:val="center"/>
              <w:rPr>
                <w:b/>
                <w:sz w:val="18"/>
                <w:szCs w:val="18"/>
              </w:rPr>
            </w:pPr>
            <w:r w:rsidRPr="00FC52A8">
              <w:rPr>
                <w:b/>
                <w:sz w:val="18"/>
                <w:szCs w:val="18"/>
              </w:rPr>
              <w:t>59</w:t>
            </w:r>
          </w:p>
        </w:tc>
        <w:tc>
          <w:tcPr>
            <w:tcW w:w="7200" w:type="dxa"/>
            <w:vAlign w:val="center"/>
          </w:tcPr>
          <w:p w:rsidR="0085455B" w:rsidRPr="00FC52A8" w:rsidRDefault="0085455B" w:rsidP="005070EF">
            <w:pPr>
              <w:rPr>
                <w:sz w:val="18"/>
                <w:szCs w:val="18"/>
              </w:rPr>
            </w:pPr>
            <w:r w:rsidRPr="00FC52A8">
              <w:rPr>
                <w:b/>
                <w:bCs/>
                <w:sz w:val="18"/>
                <w:szCs w:val="18"/>
              </w:rPr>
              <w:t>Necessity, effectiveness and proportionality of extended pre-charge detention of persons arrested under s. 41 of the Terrorism Act, 2000</w:t>
            </w:r>
          </w:p>
          <w:p w:rsidR="0085455B" w:rsidRPr="00FC52A8" w:rsidRDefault="0085455B" w:rsidP="005070EF">
            <w:pPr>
              <w:rPr>
                <w:sz w:val="18"/>
                <w:szCs w:val="18"/>
              </w:rPr>
            </w:pPr>
            <w:r w:rsidRPr="00FC52A8">
              <w:rPr>
                <w:sz w:val="18"/>
                <w:szCs w:val="18"/>
              </w:rPr>
              <w:t>Ayan Meiramovich Tashmagambetov</w:t>
            </w:r>
          </w:p>
          <w:p w:rsidR="0085455B" w:rsidRPr="00FC52A8" w:rsidRDefault="0085455B" w:rsidP="005070EF">
            <w:pPr>
              <w:rPr>
                <w:sz w:val="18"/>
                <w:szCs w:val="18"/>
              </w:rPr>
            </w:pPr>
          </w:p>
        </w:tc>
        <w:tc>
          <w:tcPr>
            <w:tcW w:w="256" w:type="dxa"/>
          </w:tcPr>
          <w:p w:rsidR="0085455B" w:rsidRPr="00FC52A8" w:rsidRDefault="0085455B" w:rsidP="005070EF">
            <w:pPr>
              <w:jc w:val="center"/>
              <w:rPr>
                <w:sz w:val="18"/>
                <w:szCs w:val="18"/>
              </w:rPr>
            </w:pPr>
          </w:p>
        </w:tc>
        <w:tc>
          <w:tcPr>
            <w:tcW w:w="1384" w:type="dxa"/>
          </w:tcPr>
          <w:p w:rsidR="0085455B" w:rsidRPr="00FC52A8" w:rsidRDefault="0085455B" w:rsidP="005070EF">
            <w:pPr>
              <w:jc w:val="center"/>
              <w:rPr>
                <w:b/>
                <w:sz w:val="18"/>
                <w:szCs w:val="18"/>
              </w:rPr>
            </w:pPr>
            <w:r w:rsidRPr="00FC52A8">
              <w:rPr>
                <w:b/>
                <w:sz w:val="18"/>
                <w:szCs w:val="18"/>
              </w:rPr>
              <w:t>320-324</w:t>
            </w:r>
          </w:p>
        </w:tc>
      </w:tr>
      <w:tr w:rsidR="0085455B" w:rsidRPr="00943A3C" w:rsidTr="0085455B">
        <w:trPr>
          <w:tblCellSpacing w:w="15" w:type="dxa"/>
        </w:trPr>
        <w:tc>
          <w:tcPr>
            <w:tcW w:w="577" w:type="dxa"/>
            <w:tcMar>
              <w:top w:w="15" w:type="dxa"/>
              <w:left w:w="15" w:type="dxa"/>
              <w:bottom w:w="15" w:type="dxa"/>
              <w:right w:w="15" w:type="dxa"/>
            </w:tcMar>
          </w:tcPr>
          <w:p w:rsidR="0085455B" w:rsidRPr="00FC52A8" w:rsidRDefault="0085455B" w:rsidP="005070EF">
            <w:pPr>
              <w:jc w:val="center"/>
              <w:rPr>
                <w:b/>
                <w:sz w:val="18"/>
                <w:szCs w:val="18"/>
              </w:rPr>
            </w:pPr>
            <w:r w:rsidRPr="00FC52A8">
              <w:rPr>
                <w:b/>
                <w:sz w:val="18"/>
                <w:szCs w:val="18"/>
              </w:rPr>
              <w:t>60</w:t>
            </w:r>
          </w:p>
        </w:tc>
        <w:tc>
          <w:tcPr>
            <w:tcW w:w="7200" w:type="dxa"/>
            <w:vAlign w:val="center"/>
          </w:tcPr>
          <w:p w:rsidR="0085455B" w:rsidRPr="00FC52A8" w:rsidRDefault="0085455B" w:rsidP="005070EF">
            <w:pPr>
              <w:rPr>
                <w:sz w:val="18"/>
                <w:szCs w:val="18"/>
              </w:rPr>
            </w:pPr>
            <w:r w:rsidRPr="00FC52A8">
              <w:rPr>
                <w:b/>
                <w:bCs/>
                <w:sz w:val="18"/>
                <w:szCs w:val="18"/>
              </w:rPr>
              <w:t>Conditions to Inculcate Tolerance in Students</w:t>
            </w:r>
          </w:p>
          <w:p w:rsidR="0085455B" w:rsidRPr="00FC52A8" w:rsidRDefault="0085455B" w:rsidP="005070EF">
            <w:pPr>
              <w:rPr>
                <w:sz w:val="18"/>
                <w:szCs w:val="18"/>
              </w:rPr>
            </w:pPr>
            <w:r w:rsidRPr="00FC52A8">
              <w:rPr>
                <w:sz w:val="18"/>
                <w:szCs w:val="18"/>
              </w:rPr>
              <w:t>Tatiana Leonidovna Shaposhnikova, Marina Leonidovna Romanova, Natalia Aleksandrovna Tarasenko</w:t>
            </w:r>
          </w:p>
          <w:p w:rsidR="0085455B" w:rsidRPr="00FC52A8" w:rsidRDefault="0085455B" w:rsidP="005070EF">
            <w:pPr>
              <w:rPr>
                <w:sz w:val="18"/>
                <w:szCs w:val="18"/>
              </w:rPr>
            </w:pPr>
          </w:p>
        </w:tc>
        <w:tc>
          <w:tcPr>
            <w:tcW w:w="256" w:type="dxa"/>
          </w:tcPr>
          <w:p w:rsidR="0085455B" w:rsidRPr="00FC52A8" w:rsidRDefault="0085455B" w:rsidP="005070EF">
            <w:pPr>
              <w:jc w:val="center"/>
              <w:rPr>
                <w:sz w:val="18"/>
                <w:szCs w:val="18"/>
              </w:rPr>
            </w:pPr>
          </w:p>
        </w:tc>
        <w:tc>
          <w:tcPr>
            <w:tcW w:w="1384" w:type="dxa"/>
          </w:tcPr>
          <w:p w:rsidR="0085455B" w:rsidRPr="00FC52A8" w:rsidRDefault="0085455B" w:rsidP="005070EF">
            <w:pPr>
              <w:jc w:val="center"/>
              <w:rPr>
                <w:b/>
                <w:sz w:val="18"/>
                <w:szCs w:val="18"/>
              </w:rPr>
            </w:pPr>
            <w:r w:rsidRPr="00FC52A8">
              <w:rPr>
                <w:b/>
                <w:sz w:val="18"/>
                <w:szCs w:val="18"/>
              </w:rPr>
              <w:t>325-330</w:t>
            </w:r>
          </w:p>
        </w:tc>
      </w:tr>
      <w:tr w:rsidR="0085455B" w:rsidRPr="00943A3C" w:rsidTr="0085455B">
        <w:trPr>
          <w:tblCellSpacing w:w="15" w:type="dxa"/>
        </w:trPr>
        <w:tc>
          <w:tcPr>
            <w:tcW w:w="577" w:type="dxa"/>
            <w:tcMar>
              <w:top w:w="15" w:type="dxa"/>
              <w:left w:w="15" w:type="dxa"/>
              <w:bottom w:w="15" w:type="dxa"/>
              <w:right w:w="15" w:type="dxa"/>
            </w:tcMar>
          </w:tcPr>
          <w:p w:rsidR="0085455B" w:rsidRPr="00FC52A8" w:rsidRDefault="0085455B" w:rsidP="005070EF">
            <w:pPr>
              <w:jc w:val="center"/>
              <w:rPr>
                <w:b/>
                <w:sz w:val="18"/>
                <w:szCs w:val="18"/>
              </w:rPr>
            </w:pPr>
            <w:r w:rsidRPr="00FC52A8">
              <w:rPr>
                <w:b/>
                <w:sz w:val="18"/>
                <w:szCs w:val="18"/>
              </w:rPr>
              <w:t>61</w:t>
            </w:r>
          </w:p>
        </w:tc>
        <w:tc>
          <w:tcPr>
            <w:tcW w:w="7200" w:type="dxa"/>
            <w:vAlign w:val="center"/>
          </w:tcPr>
          <w:p w:rsidR="0085455B" w:rsidRPr="00FC52A8" w:rsidRDefault="0085455B" w:rsidP="005070EF">
            <w:pPr>
              <w:rPr>
                <w:sz w:val="18"/>
                <w:szCs w:val="18"/>
              </w:rPr>
            </w:pPr>
            <w:r w:rsidRPr="00FC52A8">
              <w:rPr>
                <w:b/>
                <w:bCs/>
                <w:sz w:val="18"/>
                <w:szCs w:val="18"/>
              </w:rPr>
              <w:t>Performance Analysis of HEVC In-Loop Filter</w:t>
            </w:r>
          </w:p>
          <w:p w:rsidR="0085455B" w:rsidRPr="00FC52A8" w:rsidRDefault="0085455B" w:rsidP="005070EF">
            <w:pPr>
              <w:rPr>
                <w:sz w:val="18"/>
                <w:szCs w:val="18"/>
              </w:rPr>
            </w:pPr>
            <w:r w:rsidRPr="00FC52A8">
              <w:rPr>
                <w:sz w:val="18"/>
                <w:szCs w:val="18"/>
              </w:rPr>
              <w:t>Gulistan Raja, Awais Khan, Ahmad Khalil Khan, Muhammad Haroon Yousaf*</w:t>
            </w:r>
          </w:p>
          <w:p w:rsidR="0085455B" w:rsidRPr="00FC52A8" w:rsidRDefault="0085455B" w:rsidP="005070EF">
            <w:pPr>
              <w:rPr>
                <w:sz w:val="18"/>
                <w:szCs w:val="18"/>
              </w:rPr>
            </w:pPr>
          </w:p>
        </w:tc>
        <w:tc>
          <w:tcPr>
            <w:tcW w:w="256" w:type="dxa"/>
          </w:tcPr>
          <w:p w:rsidR="0085455B" w:rsidRPr="00FC52A8" w:rsidRDefault="0085455B" w:rsidP="005070EF">
            <w:pPr>
              <w:jc w:val="center"/>
              <w:rPr>
                <w:sz w:val="18"/>
                <w:szCs w:val="18"/>
              </w:rPr>
            </w:pPr>
          </w:p>
        </w:tc>
        <w:tc>
          <w:tcPr>
            <w:tcW w:w="1384" w:type="dxa"/>
          </w:tcPr>
          <w:p w:rsidR="0085455B" w:rsidRPr="00FC52A8" w:rsidRDefault="0085455B" w:rsidP="005070EF">
            <w:pPr>
              <w:jc w:val="center"/>
              <w:rPr>
                <w:b/>
                <w:sz w:val="18"/>
                <w:szCs w:val="18"/>
              </w:rPr>
            </w:pPr>
            <w:r w:rsidRPr="00FC52A8">
              <w:rPr>
                <w:b/>
                <w:color w:val="000000"/>
                <w:sz w:val="18"/>
                <w:szCs w:val="18"/>
                <w:shd w:val="clear" w:color="auto" w:fill="FFFFFF"/>
              </w:rPr>
              <w:t>331-336</w:t>
            </w:r>
          </w:p>
        </w:tc>
      </w:tr>
      <w:tr w:rsidR="0085455B" w:rsidRPr="00943A3C" w:rsidTr="0085455B">
        <w:trPr>
          <w:tblCellSpacing w:w="15" w:type="dxa"/>
        </w:trPr>
        <w:tc>
          <w:tcPr>
            <w:tcW w:w="577" w:type="dxa"/>
            <w:tcMar>
              <w:top w:w="15" w:type="dxa"/>
              <w:left w:w="15" w:type="dxa"/>
              <w:bottom w:w="15" w:type="dxa"/>
              <w:right w:w="15" w:type="dxa"/>
            </w:tcMar>
          </w:tcPr>
          <w:p w:rsidR="0085455B" w:rsidRPr="00FC52A8" w:rsidRDefault="0085455B" w:rsidP="005070EF">
            <w:pPr>
              <w:jc w:val="center"/>
              <w:rPr>
                <w:b/>
                <w:sz w:val="18"/>
                <w:szCs w:val="18"/>
              </w:rPr>
            </w:pPr>
            <w:r w:rsidRPr="00FC52A8">
              <w:rPr>
                <w:b/>
                <w:sz w:val="18"/>
                <w:szCs w:val="18"/>
              </w:rPr>
              <w:t>62</w:t>
            </w:r>
          </w:p>
        </w:tc>
        <w:tc>
          <w:tcPr>
            <w:tcW w:w="7200" w:type="dxa"/>
            <w:vAlign w:val="center"/>
          </w:tcPr>
          <w:p w:rsidR="0085455B" w:rsidRPr="00FC52A8" w:rsidRDefault="0085455B" w:rsidP="005070EF">
            <w:pPr>
              <w:rPr>
                <w:sz w:val="18"/>
                <w:szCs w:val="18"/>
              </w:rPr>
            </w:pPr>
            <w:r w:rsidRPr="00FC52A8">
              <w:rPr>
                <w:b/>
                <w:bCs/>
                <w:sz w:val="18"/>
                <w:szCs w:val="18"/>
              </w:rPr>
              <w:t>Implementation of Modified Mean-shift Tracking Algorithm for Occlusion Handling</w:t>
            </w:r>
          </w:p>
          <w:p w:rsidR="0085455B" w:rsidRPr="00FC52A8" w:rsidRDefault="0085455B" w:rsidP="005070EF">
            <w:pPr>
              <w:rPr>
                <w:sz w:val="18"/>
                <w:szCs w:val="18"/>
              </w:rPr>
            </w:pPr>
            <w:r w:rsidRPr="00FC52A8">
              <w:rPr>
                <w:sz w:val="18"/>
                <w:szCs w:val="18"/>
              </w:rPr>
              <w:t>Baber Khan</w:t>
            </w:r>
            <w:r w:rsidRPr="00FC52A8">
              <w:rPr>
                <w:sz w:val="18"/>
                <w:szCs w:val="18"/>
                <w:vertAlign w:val="superscript"/>
              </w:rPr>
              <w:t xml:space="preserve"> </w:t>
            </w:r>
            <w:r w:rsidRPr="00FC52A8">
              <w:rPr>
                <w:sz w:val="18"/>
                <w:szCs w:val="18"/>
              </w:rPr>
              <w:t>, Ahmad Khalil Khan</w:t>
            </w:r>
            <w:r w:rsidRPr="00FC52A8">
              <w:rPr>
                <w:sz w:val="18"/>
                <w:szCs w:val="18"/>
                <w:vertAlign w:val="superscript"/>
              </w:rPr>
              <w:t xml:space="preserve"> </w:t>
            </w:r>
            <w:r w:rsidRPr="00FC52A8">
              <w:rPr>
                <w:sz w:val="18"/>
                <w:szCs w:val="18"/>
              </w:rPr>
              <w:t>, Gulistan Raja</w:t>
            </w:r>
            <w:r w:rsidRPr="00FC52A8">
              <w:rPr>
                <w:sz w:val="18"/>
                <w:szCs w:val="18"/>
                <w:vertAlign w:val="superscript"/>
              </w:rPr>
              <w:t xml:space="preserve"> </w:t>
            </w:r>
            <w:r w:rsidRPr="00FC52A8">
              <w:rPr>
                <w:sz w:val="18"/>
                <w:szCs w:val="18"/>
              </w:rPr>
              <w:t>, Muhammad Haroon Yousaf</w:t>
            </w:r>
            <w:r w:rsidRPr="00FC52A8">
              <w:rPr>
                <w:sz w:val="18"/>
                <w:szCs w:val="18"/>
                <w:vertAlign w:val="superscript"/>
              </w:rPr>
              <w:t xml:space="preserve"> </w:t>
            </w:r>
          </w:p>
          <w:p w:rsidR="0085455B" w:rsidRPr="00FC52A8" w:rsidRDefault="0085455B" w:rsidP="005070EF">
            <w:pPr>
              <w:rPr>
                <w:sz w:val="18"/>
                <w:szCs w:val="18"/>
              </w:rPr>
            </w:pPr>
          </w:p>
        </w:tc>
        <w:tc>
          <w:tcPr>
            <w:tcW w:w="256" w:type="dxa"/>
          </w:tcPr>
          <w:p w:rsidR="0085455B" w:rsidRPr="00FC52A8" w:rsidRDefault="0085455B" w:rsidP="005070EF">
            <w:pPr>
              <w:jc w:val="center"/>
              <w:rPr>
                <w:sz w:val="18"/>
                <w:szCs w:val="18"/>
              </w:rPr>
            </w:pPr>
          </w:p>
        </w:tc>
        <w:tc>
          <w:tcPr>
            <w:tcW w:w="1384" w:type="dxa"/>
          </w:tcPr>
          <w:p w:rsidR="0085455B" w:rsidRPr="00FC52A8" w:rsidRDefault="0085455B" w:rsidP="005070EF">
            <w:pPr>
              <w:jc w:val="center"/>
              <w:rPr>
                <w:b/>
                <w:sz w:val="18"/>
                <w:szCs w:val="18"/>
              </w:rPr>
            </w:pPr>
            <w:r w:rsidRPr="00FC52A8">
              <w:rPr>
                <w:rFonts w:hint="eastAsia"/>
                <w:b/>
                <w:sz w:val="18"/>
                <w:szCs w:val="18"/>
              </w:rPr>
              <w:t>337-342</w:t>
            </w:r>
          </w:p>
        </w:tc>
      </w:tr>
      <w:tr w:rsidR="0085455B" w:rsidRPr="00943A3C" w:rsidTr="0085455B">
        <w:trPr>
          <w:tblCellSpacing w:w="15" w:type="dxa"/>
        </w:trPr>
        <w:tc>
          <w:tcPr>
            <w:tcW w:w="577" w:type="dxa"/>
            <w:tcMar>
              <w:top w:w="15" w:type="dxa"/>
              <w:left w:w="15" w:type="dxa"/>
              <w:bottom w:w="15" w:type="dxa"/>
              <w:right w:w="15" w:type="dxa"/>
            </w:tcMar>
          </w:tcPr>
          <w:p w:rsidR="0085455B" w:rsidRPr="00FC52A8" w:rsidRDefault="0085455B" w:rsidP="005070EF">
            <w:pPr>
              <w:jc w:val="center"/>
              <w:rPr>
                <w:b/>
                <w:sz w:val="18"/>
                <w:szCs w:val="18"/>
              </w:rPr>
            </w:pPr>
            <w:r w:rsidRPr="00FC52A8">
              <w:rPr>
                <w:b/>
                <w:sz w:val="18"/>
                <w:szCs w:val="18"/>
              </w:rPr>
              <w:t>63</w:t>
            </w:r>
          </w:p>
        </w:tc>
        <w:tc>
          <w:tcPr>
            <w:tcW w:w="7200" w:type="dxa"/>
            <w:vAlign w:val="center"/>
          </w:tcPr>
          <w:p w:rsidR="0085455B" w:rsidRPr="00FC52A8" w:rsidRDefault="0085455B" w:rsidP="005070EF">
            <w:pPr>
              <w:rPr>
                <w:sz w:val="18"/>
                <w:szCs w:val="18"/>
              </w:rPr>
            </w:pPr>
            <w:r w:rsidRPr="00FC52A8">
              <w:rPr>
                <w:b/>
                <w:bCs/>
                <w:sz w:val="18"/>
                <w:szCs w:val="18"/>
              </w:rPr>
              <w:t>A Study of File System Objects’ Metadata</w:t>
            </w:r>
          </w:p>
          <w:p w:rsidR="0085455B" w:rsidRPr="00FC52A8" w:rsidRDefault="0085455B" w:rsidP="005070EF">
            <w:pPr>
              <w:rPr>
                <w:sz w:val="18"/>
                <w:szCs w:val="18"/>
              </w:rPr>
            </w:pPr>
            <w:r w:rsidRPr="00FC52A8">
              <w:rPr>
                <w:sz w:val="18"/>
                <w:szCs w:val="18"/>
              </w:rPr>
              <w:t>Shah Khusro, Syed Rahman Mashwani, Azhar Rauf, Saeed Mahfooz, Shaukat Ali</w:t>
            </w:r>
          </w:p>
          <w:p w:rsidR="0085455B" w:rsidRPr="00FC52A8" w:rsidRDefault="0085455B" w:rsidP="005070EF">
            <w:pPr>
              <w:rPr>
                <w:sz w:val="18"/>
                <w:szCs w:val="18"/>
              </w:rPr>
            </w:pPr>
          </w:p>
        </w:tc>
        <w:tc>
          <w:tcPr>
            <w:tcW w:w="256" w:type="dxa"/>
          </w:tcPr>
          <w:p w:rsidR="0085455B" w:rsidRPr="00FC52A8" w:rsidRDefault="0085455B" w:rsidP="005070EF">
            <w:pPr>
              <w:jc w:val="center"/>
              <w:rPr>
                <w:sz w:val="18"/>
                <w:szCs w:val="18"/>
              </w:rPr>
            </w:pPr>
          </w:p>
        </w:tc>
        <w:tc>
          <w:tcPr>
            <w:tcW w:w="1384" w:type="dxa"/>
          </w:tcPr>
          <w:p w:rsidR="0085455B" w:rsidRPr="00FC52A8" w:rsidRDefault="0085455B" w:rsidP="005070EF">
            <w:pPr>
              <w:jc w:val="center"/>
              <w:rPr>
                <w:b/>
                <w:sz w:val="18"/>
                <w:szCs w:val="18"/>
              </w:rPr>
            </w:pPr>
            <w:r w:rsidRPr="00FC52A8">
              <w:rPr>
                <w:b/>
                <w:sz w:val="18"/>
                <w:szCs w:val="18"/>
              </w:rPr>
              <w:t>343-348</w:t>
            </w:r>
          </w:p>
        </w:tc>
      </w:tr>
      <w:tr w:rsidR="0085455B" w:rsidRPr="00943A3C" w:rsidTr="0085455B">
        <w:trPr>
          <w:tblCellSpacing w:w="15" w:type="dxa"/>
        </w:trPr>
        <w:tc>
          <w:tcPr>
            <w:tcW w:w="577" w:type="dxa"/>
            <w:tcMar>
              <w:top w:w="15" w:type="dxa"/>
              <w:left w:w="15" w:type="dxa"/>
              <w:bottom w:w="15" w:type="dxa"/>
              <w:right w:w="15" w:type="dxa"/>
            </w:tcMar>
          </w:tcPr>
          <w:p w:rsidR="0085455B" w:rsidRPr="00FC52A8" w:rsidRDefault="0085455B" w:rsidP="005070EF">
            <w:pPr>
              <w:jc w:val="center"/>
              <w:rPr>
                <w:b/>
                <w:sz w:val="18"/>
                <w:szCs w:val="18"/>
              </w:rPr>
            </w:pPr>
            <w:r w:rsidRPr="00FC52A8">
              <w:rPr>
                <w:b/>
                <w:sz w:val="18"/>
                <w:szCs w:val="18"/>
              </w:rPr>
              <w:t>64</w:t>
            </w:r>
          </w:p>
        </w:tc>
        <w:tc>
          <w:tcPr>
            <w:tcW w:w="7200" w:type="dxa"/>
            <w:vAlign w:val="center"/>
          </w:tcPr>
          <w:p w:rsidR="0085455B" w:rsidRPr="00FC52A8" w:rsidRDefault="0085455B" w:rsidP="005070EF">
            <w:pPr>
              <w:rPr>
                <w:sz w:val="18"/>
                <w:szCs w:val="18"/>
              </w:rPr>
            </w:pPr>
            <w:r w:rsidRPr="00FC52A8">
              <w:rPr>
                <w:b/>
                <w:bCs/>
                <w:sz w:val="18"/>
                <w:szCs w:val="18"/>
              </w:rPr>
              <w:t>Navigating and Browsing Linked Open Data: State-of-the-Art</w:t>
            </w:r>
          </w:p>
          <w:p w:rsidR="0085455B" w:rsidRPr="00FC52A8" w:rsidRDefault="0085455B" w:rsidP="005070EF">
            <w:pPr>
              <w:rPr>
                <w:sz w:val="18"/>
                <w:szCs w:val="18"/>
              </w:rPr>
            </w:pPr>
            <w:r w:rsidRPr="00FC52A8">
              <w:rPr>
                <w:sz w:val="18"/>
                <w:szCs w:val="18"/>
              </w:rPr>
              <w:t>Shah Khusro, Akif Khan, Saeed Mahfooz, Azhar Rauf, Shaukat Ali</w:t>
            </w:r>
          </w:p>
          <w:p w:rsidR="0085455B" w:rsidRPr="00FC52A8" w:rsidRDefault="0085455B" w:rsidP="005070EF">
            <w:pPr>
              <w:rPr>
                <w:sz w:val="18"/>
                <w:szCs w:val="18"/>
              </w:rPr>
            </w:pPr>
          </w:p>
        </w:tc>
        <w:tc>
          <w:tcPr>
            <w:tcW w:w="256" w:type="dxa"/>
          </w:tcPr>
          <w:p w:rsidR="0085455B" w:rsidRPr="00FC52A8" w:rsidRDefault="0085455B" w:rsidP="005070EF">
            <w:pPr>
              <w:jc w:val="center"/>
              <w:rPr>
                <w:sz w:val="18"/>
                <w:szCs w:val="18"/>
              </w:rPr>
            </w:pPr>
          </w:p>
        </w:tc>
        <w:tc>
          <w:tcPr>
            <w:tcW w:w="1384" w:type="dxa"/>
          </w:tcPr>
          <w:p w:rsidR="0085455B" w:rsidRPr="00FC52A8" w:rsidRDefault="0085455B" w:rsidP="005070EF">
            <w:pPr>
              <w:jc w:val="center"/>
              <w:rPr>
                <w:b/>
                <w:sz w:val="18"/>
                <w:szCs w:val="18"/>
              </w:rPr>
            </w:pPr>
            <w:r w:rsidRPr="00FC52A8">
              <w:rPr>
                <w:b/>
                <w:sz w:val="18"/>
                <w:szCs w:val="18"/>
              </w:rPr>
              <w:t>349-358</w:t>
            </w:r>
          </w:p>
        </w:tc>
      </w:tr>
      <w:tr w:rsidR="0085455B" w:rsidRPr="00943A3C" w:rsidTr="0085455B">
        <w:trPr>
          <w:tblCellSpacing w:w="15" w:type="dxa"/>
        </w:trPr>
        <w:tc>
          <w:tcPr>
            <w:tcW w:w="577" w:type="dxa"/>
            <w:tcMar>
              <w:top w:w="15" w:type="dxa"/>
              <w:left w:w="15" w:type="dxa"/>
              <w:bottom w:w="15" w:type="dxa"/>
              <w:right w:w="15" w:type="dxa"/>
            </w:tcMar>
          </w:tcPr>
          <w:p w:rsidR="0085455B" w:rsidRPr="00FC52A8" w:rsidRDefault="0085455B" w:rsidP="005070EF">
            <w:pPr>
              <w:jc w:val="center"/>
              <w:rPr>
                <w:b/>
                <w:sz w:val="18"/>
                <w:szCs w:val="18"/>
              </w:rPr>
            </w:pPr>
            <w:r w:rsidRPr="00FC52A8">
              <w:rPr>
                <w:b/>
                <w:sz w:val="18"/>
                <w:szCs w:val="18"/>
              </w:rPr>
              <w:t>65</w:t>
            </w:r>
          </w:p>
        </w:tc>
        <w:tc>
          <w:tcPr>
            <w:tcW w:w="7200" w:type="dxa"/>
            <w:vAlign w:val="center"/>
          </w:tcPr>
          <w:p w:rsidR="0085455B" w:rsidRPr="00FC52A8" w:rsidRDefault="0085455B" w:rsidP="005070EF">
            <w:pPr>
              <w:rPr>
                <w:sz w:val="18"/>
                <w:szCs w:val="18"/>
              </w:rPr>
            </w:pPr>
            <w:r w:rsidRPr="00FC52A8">
              <w:rPr>
                <w:b/>
                <w:bCs/>
                <w:sz w:val="18"/>
                <w:szCs w:val="18"/>
              </w:rPr>
              <w:t>Effect Of L-Carnitine Supplementation On Serum Adipokines (Leptin And Visfatin) Levels In Obese Type II Diabetes Mellitus Women With Hypocaloric Diet</w:t>
            </w:r>
          </w:p>
          <w:p w:rsidR="0085455B" w:rsidRPr="00FC52A8" w:rsidRDefault="0085455B" w:rsidP="005070EF">
            <w:pPr>
              <w:rPr>
                <w:sz w:val="18"/>
                <w:szCs w:val="18"/>
              </w:rPr>
            </w:pPr>
            <w:r w:rsidRPr="00FC52A8">
              <w:rPr>
                <w:sz w:val="18"/>
                <w:szCs w:val="18"/>
              </w:rPr>
              <w:t>Ali Barzegar</w:t>
            </w:r>
            <w:r w:rsidRPr="00FC52A8">
              <w:rPr>
                <w:sz w:val="18"/>
                <w:szCs w:val="18"/>
                <w:vertAlign w:val="superscript"/>
              </w:rPr>
              <w:t xml:space="preserve"> </w:t>
            </w:r>
            <w:r w:rsidRPr="00FC52A8">
              <w:rPr>
                <w:sz w:val="18"/>
                <w:szCs w:val="18"/>
              </w:rPr>
              <w:t>, Beitollah Alipour</w:t>
            </w:r>
            <w:r w:rsidRPr="00FC52A8">
              <w:rPr>
                <w:sz w:val="18"/>
                <w:szCs w:val="18"/>
                <w:vertAlign w:val="superscript"/>
              </w:rPr>
              <w:t xml:space="preserve"> </w:t>
            </w:r>
            <w:r w:rsidRPr="00FC52A8">
              <w:rPr>
                <w:sz w:val="18"/>
                <w:szCs w:val="18"/>
              </w:rPr>
              <w:t>, Farid Panahi</w:t>
            </w:r>
            <w:r w:rsidRPr="00FC52A8">
              <w:rPr>
                <w:sz w:val="18"/>
                <w:szCs w:val="18"/>
                <w:vertAlign w:val="superscript"/>
              </w:rPr>
              <w:t xml:space="preserve"> </w:t>
            </w:r>
            <w:r w:rsidRPr="00FC52A8">
              <w:rPr>
                <w:sz w:val="18"/>
                <w:szCs w:val="18"/>
              </w:rPr>
              <w:t>,</w:t>
            </w:r>
            <w:r w:rsidRPr="00FC52A8">
              <w:rPr>
                <w:color w:val="000000"/>
                <w:sz w:val="18"/>
                <w:szCs w:val="18"/>
              </w:rPr>
              <w:t> </w:t>
            </w:r>
            <w:r w:rsidRPr="00FC52A8">
              <w:rPr>
                <w:sz w:val="18"/>
                <w:szCs w:val="18"/>
              </w:rPr>
              <w:t>Nahid Karamzad</w:t>
            </w:r>
            <w:r w:rsidRPr="00FC52A8">
              <w:rPr>
                <w:sz w:val="18"/>
                <w:szCs w:val="18"/>
                <w:vertAlign w:val="superscript"/>
              </w:rPr>
              <w:t xml:space="preserve"> </w:t>
            </w:r>
          </w:p>
          <w:p w:rsidR="0085455B" w:rsidRPr="00FC52A8" w:rsidRDefault="0085455B" w:rsidP="005070EF">
            <w:pPr>
              <w:rPr>
                <w:sz w:val="18"/>
                <w:szCs w:val="18"/>
              </w:rPr>
            </w:pPr>
          </w:p>
        </w:tc>
        <w:tc>
          <w:tcPr>
            <w:tcW w:w="256" w:type="dxa"/>
          </w:tcPr>
          <w:p w:rsidR="0085455B" w:rsidRPr="00FC52A8" w:rsidRDefault="0085455B" w:rsidP="005070EF">
            <w:pPr>
              <w:jc w:val="center"/>
              <w:rPr>
                <w:sz w:val="18"/>
                <w:szCs w:val="18"/>
              </w:rPr>
            </w:pPr>
          </w:p>
        </w:tc>
        <w:tc>
          <w:tcPr>
            <w:tcW w:w="1384" w:type="dxa"/>
          </w:tcPr>
          <w:p w:rsidR="0085455B" w:rsidRPr="00FC52A8" w:rsidRDefault="0085455B" w:rsidP="005070EF">
            <w:pPr>
              <w:jc w:val="center"/>
              <w:rPr>
                <w:b/>
                <w:sz w:val="18"/>
                <w:szCs w:val="18"/>
              </w:rPr>
            </w:pPr>
            <w:r w:rsidRPr="00FC52A8">
              <w:rPr>
                <w:b/>
                <w:sz w:val="18"/>
                <w:szCs w:val="18"/>
              </w:rPr>
              <w:t>359-365</w:t>
            </w:r>
          </w:p>
        </w:tc>
      </w:tr>
    </w:tbl>
    <w:p w:rsidR="00943A3C" w:rsidRPr="00943A3C" w:rsidRDefault="00943A3C" w:rsidP="00FC52A8">
      <w:pPr>
        <w:jc w:val="center"/>
        <w:rPr>
          <w:sz w:val="20"/>
        </w:rPr>
      </w:pPr>
    </w:p>
    <w:sectPr w:rsidR="00943A3C" w:rsidRPr="00943A3C" w:rsidSect="007F43AF">
      <w:headerReference w:type="default" r:id="rId6"/>
      <w:footerReference w:type="default" r:id="rId7"/>
      <w:type w:val="continuous"/>
      <w:pgSz w:w="12242" w:h="15842" w:code="1"/>
      <w:pgMar w:top="1440" w:right="1440" w:bottom="1440" w:left="1440" w:header="720" w:footer="720" w:gutter="0"/>
      <w:pgNumType w:fmt="upperRoman" w:start="1"/>
      <w:cols w:space="425"/>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916" w:rsidRDefault="00983916" w:rsidP="007F43AF">
      <w:r>
        <w:separator/>
      </w:r>
    </w:p>
  </w:endnote>
  <w:endnote w:type="continuationSeparator" w:id="1">
    <w:p w:rsidR="00983916" w:rsidRDefault="00983916" w:rsidP="007F43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3AF" w:rsidRPr="007F43AF" w:rsidRDefault="00100D11" w:rsidP="007F43AF">
    <w:pPr>
      <w:jc w:val="center"/>
      <w:rPr>
        <w:sz w:val="20"/>
      </w:rPr>
    </w:pPr>
    <w:r w:rsidRPr="007F43AF">
      <w:rPr>
        <w:sz w:val="20"/>
      </w:rPr>
      <w:fldChar w:fldCharType="begin"/>
    </w:r>
    <w:r w:rsidR="007F43AF" w:rsidRPr="007F43AF">
      <w:rPr>
        <w:sz w:val="20"/>
      </w:rPr>
      <w:instrText xml:space="preserve"> page </w:instrText>
    </w:r>
    <w:r w:rsidRPr="007F43AF">
      <w:rPr>
        <w:sz w:val="20"/>
      </w:rPr>
      <w:fldChar w:fldCharType="separate"/>
    </w:r>
    <w:r w:rsidR="00FC52A8">
      <w:rPr>
        <w:noProof/>
        <w:sz w:val="20"/>
      </w:rPr>
      <w:t>V</w:t>
    </w:r>
    <w:r w:rsidRPr="007F43A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916" w:rsidRDefault="00983916" w:rsidP="007F43AF">
      <w:r>
        <w:separator/>
      </w:r>
    </w:p>
  </w:footnote>
  <w:footnote w:type="continuationSeparator" w:id="1">
    <w:p w:rsidR="00983916" w:rsidRDefault="00983916" w:rsidP="007F43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55B" w:rsidRPr="00F46A5E" w:rsidRDefault="0085455B" w:rsidP="0085455B">
    <w:pPr>
      <w:pBdr>
        <w:bottom w:val="thinThickMediumGap" w:sz="12" w:space="1" w:color="auto"/>
      </w:pBdr>
      <w:tabs>
        <w:tab w:val="left" w:pos="851"/>
        <w:tab w:val="right" w:pos="8364"/>
      </w:tabs>
      <w:adjustRightInd w:val="0"/>
      <w:snapToGrid w:val="0"/>
      <w:jc w:val="both"/>
      <w:rPr>
        <w:iCs/>
        <w:sz w:val="20"/>
        <w:szCs w:val="20"/>
      </w:rPr>
    </w:pPr>
    <w:r>
      <w:rPr>
        <w:rFonts w:hint="eastAsia"/>
        <w:iCs/>
        <w:color w:val="000000"/>
        <w:sz w:val="20"/>
        <w:szCs w:val="20"/>
      </w:rPr>
      <w:tab/>
    </w:r>
    <w:r w:rsidRPr="00F46A5E">
      <w:rPr>
        <w:iCs/>
        <w:color w:val="000000"/>
        <w:sz w:val="20"/>
        <w:szCs w:val="20"/>
      </w:rPr>
      <w:t>Life Science Journal</w:t>
    </w:r>
    <w:r w:rsidRPr="00F46A5E">
      <w:rPr>
        <w:iCs/>
        <w:sz w:val="20"/>
        <w:szCs w:val="20"/>
      </w:rPr>
      <w:t xml:space="preserve"> 201</w:t>
    </w:r>
    <w:r>
      <w:rPr>
        <w:iCs/>
        <w:sz w:val="20"/>
        <w:szCs w:val="20"/>
      </w:rPr>
      <w:t>3</w:t>
    </w:r>
    <w:r w:rsidRPr="00F46A5E">
      <w:rPr>
        <w:iCs/>
        <w:sz w:val="20"/>
        <w:szCs w:val="20"/>
      </w:rPr>
      <w:t>;</w:t>
    </w:r>
    <w:r>
      <w:rPr>
        <w:iCs/>
        <w:sz w:val="20"/>
        <w:szCs w:val="20"/>
      </w:rPr>
      <w:t>10</w:t>
    </w:r>
    <w:r w:rsidRPr="00F46A5E">
      <w:rPr>
        <w:iCs/>
        <w:sz w:val="20"/>
        <w:szCs w:val="20"/>
      </w:rPr>
      <w:t>(</w:t>
    </w:r>
    <w:r>
      <w:rPr>
        <w:rFonts w:hint="eastAsia"/>
        <w:iCs/>
        <w:sz w:val="20"/>
        <w:szCs w:val="20"/>
      </w:rPr>
      <w:t>11s</w:t>
    </w:r>
    <w:r w:rsidRPr="00F46A5E">
      <w:rPr>
        <w:iCs/>
        <w:sz w:val="20"/>
        <w:szCs w:val="20"/>
      </w:rPr>
      <w:t xml:space="preserve">)  </w:t>
    </w:r>
    <w:r>
      <w:rPr>
        <w:rFonts w:hint="eastAsia"/>
        <w:iCs/>
        <w:sz w:val="20"/>
        <w:szCs w:val="20"/>
      </w:rPr>
      <w:t xml:space="preserve"> </w:t>
    </w:r>
    <w:r w:rsidRPr="00F46A5E">
      <w:rPr>
        <w:iCs/>
        <w:sz w:val="20"/>
        <w:szCs w:val="20"/>
      </w:rPr>
      <w:t xml:space="preserve"> </w:t>
    </w:r>
    <w:r>
      <w:rPr>
        <w:iCs/>
        <w:sz w:val="20"/>
        <w:szCs w:val="20"/>
      </w:rPr>
      <w:t xml:space="preserve"> </w:t>
    </w:r>
    <w:r>
      <w:rPr>
        <w:rFonts w:hint="eastAsia"/>
        <w:iCs/>
        <w:sz w:val="20"/>
        <w:szCs w:val="20"/>
      </w:rPr>
      <w:tab/>
    </w:r>
    <w:r>
      <w:rPr>
        <w:iCs/>
        <w:sz w:val="20"/>
        <w:szCs w:val="20"/>
      </w:rPr>
      <w:t xml:space="preserve">  </w:t>
    </w:r>
    <w:r w:rsidRPr="00F46A5E">
      <w:rPr>
        <w:iCs/>
        <w:sz w:val="20"/>
        <w:szCs w:val="20"/>
      </w:rPr>
      <w:t xml:space="preserve">  </w:t>
    </w:r>
    <w:hyperlink r:id="rId1" w:history="1">
      <w:r w:rsidRPr="00F46A5E">
        <w:rPr>
          <w:rStyle w:val="a6"/>
          <w:sz w:val="20"/>
          <w:szCs w:val="20"/>
        </w:rPr>
        <w:t>http://www.lifesciencesite.com</w:t>
      </w:r>
    </w:hyperlink>
  </w:p>
  <w:p w:rsidR="0085455B" w:rsidRDefault="0085455B" w:rsidP="0085455B">
    <w:pPr>
      <w:tabs>
        <w:tab w:val="left" w:pos="851"/>
        <w:tab w:val="right" w:pos="8364"/>
      </w:tabs>
      <w:adjustRightInd w:val="0"/>
      <w:snapToGrid w:val="0"/>
      <w:jc w:val="both"/>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isplayHorizontalDrawingGridEvery w:val="2"/>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3A3C"/>
    <w:rsid w:val="000469AA"/>
    <w:rsid w:val="00067928"/>
    <w:rsid w:val="000D481C"/>
    <w:rsid w:val="000E0E33"/>
    <w:rsid w:val="000F2277"/>
    <w:rsid w:val="000F52B9"/>
    <w:rsid w:val="00100D11"/>
    <w:rsid w:val="001028D2"/>
    <w:rsid w:val="001720E9"/>
    <w:rsid w:val="001A18E9"/>
    <w:rsid w:val="00234BD9"/>
    <w:rsid w:val="00247692"/>
    <w:rsid w:val="002F0567"/>
    <w:rsid w:val="003026BB"/>
    <w:rsid w:val="003600B0"/>
    <w:rsid w:val="0036402B"/>
    <w:rsid w:val="0036529D"/>
    <w:rsid w:val="003C4520"/>
    <w:rsid w:val="003D5E18"/>
    <w:rsid w:val="00405803"/>
    <w:rsid w:val="00423666"/>
    <w:rsid w:val="00455BBE"/>
    <w:rsid w:val="00462A8B"/>
    <w:rsid w:val="00464157"/>
    <w:rsid w:val="00522D21"/>
    <w:rsid w:val="00526626"/>
    <w:rsid w:val="00552747"/>
    <w:rsid w:val="0057145E"/>
    <w:rsid w:val="005B5CA6"/>
    <w:rsid w:val="00642180"/>
    <w:rsid w:val="00656686"/>
    <w:rsid w:val="006D4A4F"/>
    <w:rsid w:val="007A24E1"/>
    <w:rsid w:val="007B7312"/>
    <w:rsid w:val="007F43AF"/>
    <w:rsid w:val="007F52A5"/>
    <w:rsid w:val="00830E80"/>
    <w:rsid w:val="008312E4"/>
    <w:rsid w:val="0085455B"/>
    <w:rsid w:val="008B3DB7"/>
    <w:rsid w:val="008D34E1"/>
    <w:rsid w:val="008E0C81"/>
    <w:rsid w:val="008E73B3"/>
    <w:rsid w:val="00943A3C"/>
    <w:rsid w:val="00971F2F"/>
    <w:rsid w:val="00983916"/>
    <w:rsid w:val="00A30474"/>
    <w:rsid w:val="00AB13C5"/>
    <w:rsid w:val="00AF0CCB"/>
    <w:rsid w:val="00B0043A"/>
    <w:rsid w:val="00B03AB4"/>
    <w:rsid w:val="00B1678F"/>
    <w:rsid w:val="00B42AB6"/>
    <w:rsid w:val="00B94FDC"/>
    <w:rsid w:val="00BA67F1"/>
    <w:rsid w:val="00BE0008"/>
    <w:rsid w:val="00C449D7"/>
    <w:rsid w:val="00C50CA8"/>
    <w:rsid w:val="00C62FFC"/>
    <w:rsid w:val="00CC72C0"/>
    <w:rsid w:val="00CD3C64"/>
    <w:rsid w:val="00CF69E4"/>
    <w:rsid w:val="00D01F92"/>
    <w:rsid w:val="00D308A4"/>
    <w:rsid w:val="00D33456"/>
    <w:rsid w:val="00D55125"/>
    <w:rsid w:val="00E06329"/>
    <w:rsid w:val="00E711E2"/>
    <w:rsid w:val="00E96454"/>
    <w:rsid w:val="00E96FCB"/>
    <w:rsid w:val="00EA39C0"/>
    <w:rsid w:val="00EA572F"/>
    <w:rsid w:val="00EC1287"/>
    <w:rsid w:val="00ED6B3D"/>
    <w:rsid w:val="00EE7611"/>
    <w:rsid w:val="00F41F74"/>
    <w:rsid w:val="00F60B22"/>
    <w:rsid w:val="00F85837"/>
    <w:rsid w:val="00F94E08"/>
    <w:rsid w:val="00FC52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A3C"/>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43A3C"/>
    <w:pPr>
      <w:spacing w:before="100" w:beforeAutospacing="1" w:after="100" w:afterAutospacing="1"/>
    </w:pPr>
  </w:style>
  <w:style w:type="table" w:customStyle="1" w:styleId="TableNormal">
    <w:name w:val="Table Normal"/>
    <w:semiHidden/>
    <w:rsid w:val="00943A3C"/>
    <w:rPr>
      <w:rFonts w:ascii="Times New Roman" w:hAnsi="Times New Roman" w:cs="Times New Roman"/>
      <w:kern w:val="0"/>
      <w:sz w:val="20"/>
      <w:szCs w:val="20"/>
    </w:rPr>
    <w:tblPr>
      <w:tblCellMar>
        <w:top w:w="0" w:type="dxa"/>
        <w:left w:w="108" w:type="dxa"/>
        <w:bottom w:w="0" w:type="dxa"/>
        <w:right w:w="108" w:type="dxa"/>
      </w:tblCellMar>
    </w:tblPr>
  </w:style>
  <w:style w:type="paragraph" w:styleId="a4">
    <w:name w:val="header"/>
    <w:basedOn w:val="a"/>
    <w:link w:val="Char"/>
    <w:uiPriority w:val="99"/>
    <w:semiHidden/>
    <w:unhideWhenUsed/>
    <w:rsid w:val="007F43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F43AF"/>
    <w:rPr>
      <w:rFonts w:ascii="Times New Roman" w:eastAsia="宋体" w:hAnsi="Times New Roman" w:cs="Times New Roman"/>
      <w:kern w:val="0"/>
      <w:sz w:val="18"/>
      <w:szCs w:val="18"/>
    </w:rPr>
  </w:style>
  <w:style w:type="paragraph" w:styleId="a5">
    <w:name w:val="footer"/>
    <w:basedOn w:val="a"/>
    <w:link w:val="Char0"/>
    <w:uiPriority w:val="99"/>
    <w:semiHidden/>
    <w:unhideWhenUsed/>
    <w:rsid w:val="007F43AF"/>
    <w:pPr>
      <w:tabs>
        <w:tab w:val="center" w:pos="4153"/>
        <w:tab w:val="right" w:pos="8306"/>
      </w:tabs>
      <w:snapToGrid w:val="0"/>
    </w:pPr>
    <w:rPr>
      <w:sz w:val="18"/>
      <w:szCs w:val="18"/>
    </w:rPr>
  </w:style>
  <w:style w:type="character" w:customStyle="1" w:styleId="Char0">
    <w:name w:val="页脚 Char"/>
    <w:basedOn w:val="a0"/>
    <w:link w:val="a5"/>
    <w:uiPriority w:val="99"/>
    <w:semiHidden/>
    <w:rsid w:val="007F43AF"/>
    <w:rPr>
      <w:rFonts w:ascii="Times New Roman" w:eastAsia="宋体" w:hAnsi="Times New Roman" w:cs="Times New Roman"/>
      <w:kern w:val="0"/>
      <w:sz w:val="18"/>
      <w:szCs w:val="18"/>
    </w:rPr>
  </w:style>
  <w:style w:type="character" w:styleId="a6">
    <w:name w:val="Hyperlink"/>
    <w:basedOn w:val="a0"/>
    <w:uiPriority w:val="99"/>
    <w:rsid w:val="007F43AF"/>
    <w:rPr>
      <w:color w:val="00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ifesciencesit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1733</Words>
  <Characters>9880</Characters>
  <Application>Microsoft Office Word</Application>
  <DocSecurity>0</DocSecurity>
  <Lines>82</Lines>
  <Paragraphs>23</Paragraphs>
  <ScaleCrop>false</ScaleCrop>
  <Company>微软中国</Company>
  <LinksUpToDate>false</LinksUpToDate>
  <CharactersWithSpaces>11590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dcterms:created xsi:type="dcterms:W3CDTF">2013-12-03T04:17:00Z</dcterms:created>
  <dcterms:modified xsi:type="dcterms:W3CDTF">2014-01-17T06:13:00Z</dcterms:modified>
</cp:coreProperties>
</file>