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CD" w:rsidRPr="009239A8" w:rsidRDefault="006C13CD" w:rsidP="006C13CD">
      <w:pPr>
        <w:pStyle w:val="BodyText2"/>
        <w:rPr>
          <w:sz w:val="20"/>
          <w:szCs w:val="20"/>
        </w:rPr>
      </w:pPr>
      <w:bookmarkStart w:id="0" w:name="_GoBack"/>
      <w:bookmarkEnd w:id="0"/>
      <w:r w:rsidRPr="009239A8">
        <w:rPr>
          <w:sz w:val="20"/>
          <w:szCs w:val="20"/>
        </w:rPr>
        <w:t>I</w:t>
      </w:r>
      <w:r w:rsidR="000115D9" w:rsidRPr="009239A8">
        <w:rPr>
          <w:sz w:val="20"/>
          <w:szCs w:val="20"/>
        </w:rPr>
        <w:t>ndoor</w:t>
      </w:r>
      <w:r w:rsidRPr="009239A8">
        <w:rPr>
          <w:sz w:val="20"/>
          <w:szCs w:val="20"/>
        </w:rPr>
        <w:t xml:space="preserve"> M</w:t>
      </w:r>
      <w:r w:rsidR="000115D9" w:rsidRPr="009239A8">
        <w:rPr>
          <w:sz w:val="20"/>
          <w:szCs w:val="20"/>
        </w:rPr>
        <w:t>ycoflora in</w:t>
      </w:r>
      <w:r w:rsidRPr="009239A8">
        <w:rPr>
          <w:sz w:val="20"/>
          <w:szCs w:val="20"/>
        </w:rPr>
        <w:t xml:space="preserve"> H</w:t>
      </w:r>
      <w:r w:rsidR="000115D9" w:rsidRPr="009239A8">
        <w:rPr>
          <w:sz w:val="20"/>
          <w:szCs w:val="20"/>
        </w:rPr>
        <w:t>ousehold Dust and Human Health</w:t>
      </w:r>
    </w:p>
    <w:p w:rsidR="0024765E" w:rsidRPr="009239A8" w:rsidRDefault="0024765E">
      <w:pPr>
        <w:rPr>
          <w:sz w:val="20"/>
          <w:szCs w:val="20"/>
        </w:rPr>
      </w:pPr>
    </w:p>
    <w:p w:rsidR="009E34F5" w:rsidRPr="009239A8" w:rsidRDefault="00D3503D" w:rsidP="00D3503D">
      <w:pPr>
        <w:pStyle w:val="BodyText"/>
        <w:spacing w:line="240" w:lineRule="exact"/>
        <w:jc w:val="center"/>
        <w:rPr>
          <w:sz w:val="20"/>
          <w:szCs w:val="20"/>
        </w:rPr>
      </w:pPr>
      <w:r w:rsidRPr="009239A8">
        <w:rPr>
          <w:sz w:val="20"/>
          <w:szCs w:val="20"/>
        </w:rPr>
        <w:t>Mohamed A. Fareid</w:t>
      </w:r>
      <w:r w:rsidR="00F72995" w:rsidRPr="00F72995">
        <w:rPr>
          <w:sz w:val="20"/>
          <w:szCs w:val="20"/>
          <w:vertAlign w:val="superscript"/>
        </w:rPr>
        <w:t>1,2</w:t>
      </w:r>
    </w:p>
    <w:p w:rsidR="009E34F5" w:rsidRPr="009239A8" w:rsidRDefault="009E34F5" w:rsidP="009E34F5">
      <w:pPr>
        <w:pStyle w:val="BodyText"/>
        <w:spacing w:line="240" w:lineRule="exact"/>
        <w:jc w:val="center"/>
        <w:rPr>
          <w:sz w:val="20"/>
          <w:szCs w:val="20"/>
        </w:rPr>
      </w:pPr>
    </w:p>
    <w:p w:rsidR="00F72995" w:rsidRPr="009239A8" w:rsidRDefault="00F72995" w:rsidP="00F72995">
      <w:pPr>
        <w:pStyle w:val="BodyText"/>
        <w:spacing w:line="240" w:lineRule="exact"/>
        <w:ind w:left="560"/>
        <w:jc w:val="center"/>
        <w:rPr>
          <w:sz w:val="20"/>
          <w:szCs w:val="20"/>
        </w:rPr>
      </w:pPr>
      <w:r w:rsidRPr="009239A8">
        <w:rPr>
          <w:sz w:val="20"/>
          <w:szCs w:val="20"/>
        </w:rPr>
        <w:t>Medical Microbiology Dept., Faculty of Medicine, H’ail University, SA</w:t>
      </w:r>
      <w:r w:rsidRPr="00F72995">
        <w:rPr>
          <w:sz w:val="20"/>
          <w:szCs w:val="20"/>
          <w:vertAlign w:val="superscript"/>
        </w:rPr>
        <w:t>1</w:t>
      </w:r>
      <w:r w:rsidRPr="009239A8">
        <w:rPr>
          <w:sz w:val="20"/>
          <w:szCs w:val="20"/>
        </w:rPr>
        <w:t>.</w:t>
      </w:r>
    </w:p>
    <w:p w:rsidR="009E34F5" w:rsidRPr="009239A8" w:rsidRDefault="00D3503D" w:rsidP="00D3503D">
      <w:pPr>
        <w:pStyle w:val="BodyText"/>
        <w:spacing w:line="240" w:lineRule="exact"/>
        <w:ind w:left="560"/>
        <w:jc w:val="center"/>
        <w:rPr>
          <w:sz w:val="20"/>
          <w:szCs w:val="20"/>
        </w:rPr>
      </w:pPr>
      <w:r w:rsidRPr="009239A8">
        <w:rPr>
          <w:sz w:val="20"/>
          <w:szCs w:val="20"/>
        </w:rPr>
        <w:t>Botany and Microbiology Dept., Faculty of Science, Al-Azhar University</w:t>
      </w:r>
      <w:r w:rsidR="00F72995" w:rsidRPr="00F72995">
        <w:rPr>
          <w:sz w:val="20"/>
          <w:szCs w:val="20"/>
          <w:vertAlign w:val="superscript"/>
        </w:rPr>
        <w:t>2</w:t>
      </w:r>
      <w:r w:rsidR="00F72995">
        <w:rPr>
          <w:sz w:val="20"/>
          <w:szCs w:val="20"/>
        </w:rPr>
        <w:t>.</w:t>
      </w:r>
    </w:p>
    <w:p w:rsidR="009E34F5" w:rsidRPr="009239A8" w:rsidRDefault="009E359B" w:rsidP="00D3503D">
      <w:pPr>
        <w:pStyle w:val="BodyText"/>
        <w:spacing w:line="240" w:lineRule="exact"/>
        <w:ind w:left="200"/>
        <w:jc w:val="center"/>
        <w:rPr>
          <w:sz w:val="20"/>
          <w:szCs w:val="20"/>
        </w:rPr>
      </w:pPr>
      <w:hyperlink r:id="rId7" w:history="1">
        <w:r w:rsidRPr="009239A8">
          <w:rPr>
            <w:rStyle w:val="Hyperlink"/>
            <w:sz w:val="20"/>
            <w:szCs w:val="20"/>
          </w:rPr>
          <w:t>mohamedfareid73@yahoo.com</w:t>
        </w:r>
      </w:hyperlink>
    </w:p>
    <w:p w:rsidR="0024765E" w:rsidRPr="009239A8" w:rsidRDefault="0024765E">
      <w:pPr>
        <w:spacing w:line="240" w:lineRule="exact"/>
        <w:rPr>
          <w:sz w:val="20"/>
          <w:szCs w:val="20"/>
          <w:vertAlign w:val="superscript"/>
        </w:rPr>
      </w:pPr>
    </w:p>
    <w:p w:rsidR="00006C14" w:rsidRPr="009239A8" w:rsidRDefault="0024765E" w:rsidP="00C1319B">
      <w:pPr>
        <w:pStyle w:val="Text"/>
        <w:ind w:firstLine="0"/>
        <w:rPr>
          <w:color w:val="000000"/>
        </w:rPr>
      </w:pPr>
      <w:r w:rsidRPr="009239A8">
        <w:rPr>
          <w:b/>
          <w:bCs/>
        </w:rPr>
        <w:t xml:space="preserve">Abstract: </w:t>
      </w:r>
      <w:r w:rsidR="009E359B" w:rsidRPr="009239A8">
        <w:rPr>
          <w:rFonts w:eastAsia="FangSong_GB2312"/>
        </w:rPr>
        <w:t xml:space="preserve">Indoor mycoflora in household dust were assessed by using conventional methods to investigate the enumeration and identification of mycoflora. The dust samples were collected during the spring season (March-May, 2011) from indoor of homes in different localities of Ha’il, </w:t>
      </w:r>
      <w:smartTag w:uri="urn:schemas-microsoft-com:office:smarttags" w:element="country-region">
        <w:smartTag w:uri="urn:schemas-microsoft-com:office:smarttags" w:element="place">
          <w:r w:rsidR="009E359B" w:rsidRPr="009239A8">
            <w:rPr>
              <w:rFonts w:eastAsia="FangSong_GB2312"/>
            </w:rPr>
            <w:t>Saudi Arabia</w:t>
          </w:r>
        </w:smartTag>
      </w:smartTag>
      <w:r w:rsidR="009E359B" w:rsidRPr="009239A8">
        <w:rPr>
          <w:rFonts w:eastAsia="FangSong_GB2312"/>
        </w:rPr>
        <w:t xml:space="preserve">. A total of six fungal genera were determined. The most frequency of these was </w:t>
      </w:r>
      <w:r w:rsidR="00C1319B" w:rsidRPr="009239A8">
        <w:rPr>
          <w:rFonts w:eastAsia="FangSong_GB2312"/>
          <w:i/>
          <w:iCs/>
        </w:rPr>
        <w:t>Aspergillus</w:t>
      </w:r>
      <w:r w:rsidR="009E359B" w:rsidRPr="009239A8">
        <w:rPr>
          <w:rFonts w:eastAsia="FangSong_GB2312"/>
        </w:rPr>
        <w:t xml:space="preserve"> (54.45%), </w:t>
      </w:r>
      <w:r w:rsidR="00C1319B" w:rsidRPr="009239A8">
        <w:rPr>
          <w:rFonts w:eastAsia="FangSong_GB2312"/>
          <w:i/>
          <w:iCs/>
        </w:rPr>
        <w:t>Penicillium</w:t>
      </w:r>
      <w:r w:rsidR="009E359B" w:rsidRPr="009239A8">
        <w:rPr>
          <w:rFonts w:eastAsia="FangSong_GB2312"/>
        </w:rPr>
        <w:t xml:space="preserve"> (21.63%), </w:t>
      </w:r>
      <w:r w:rsidR="009E359B" w:rsidRPr="009239A8">
        <w:rPr>
          <w:rFonts w:eastAsia="FangSong_GB2312"/>
          <w:i/>
          <w:iCs/>
        </w:rPr>
        <w:t>Fusarium</w:t>
      </w:r>
      <w:r w:rsidR="009E359B" w:rsidRPr="009239A8">
        <w:rPr>
          <w:rFonts w:eastAsia="FangSong_GB2312"/>
        </w:rPr>
        <w:t xml:space="preserve"> (8.91%), followed by </w:t>
      </w:r>
      <w:r w:rsidR="009E359B" w:rsidRPr="009239A8">
        <w:rPr>
          <w:rFonts w:eastAsia="FangSong_GB2312"/>
          <w:i/>
          <w:iCs/>
        </w:rPr>
        <w:t xml:space="preserve">Trichoderma </w:t>
      </w:r>
      <w:r w:rsidR="009E359B" w:rsidRPr="009239A8">
        <w:rPr>
          <w:rFonts w:eastAsia="FangSong_GB2312"/>
        </w:rPr>
        <w:t xml:space="preserve">(6.96%) colonies. Also, a total of two yeasts genera were determined. The most frequency one of these was </w:t>
      </w:r>
      <w:r w:rsidR="009E359B" w:rsidRPr="009239A8">
        <w:rPr>
          <w:rFonts w:eastAsia="FangSong_GB2312"/>
          <w:i/>
          <w:iCs/>
        </w:rPr>
        <w:t>Candida</w:t>
      </w:r>
      <w:r w:rsidR="009E359B" w:rsidRPr="009239A8">
        <w:rPr>
          <w:rFonts w:eastAsia="FangSong_GB2312"/>
        </w:rPr>
        <w:t xml:space="preserve"> </w:t>
      </w:r>
      <w:r w:rsidR="0032725F" w:rsidRPr="009239A8">
        <w:rPr>
          <w:rFonts w:eastAsia="FangSong_GB2312"/>
        </w:rPr>
        <w:t>(60.77</w:t>
      </w:r>
      <w:r w:rsidR="009E359B" w:rsidRPr="009239A8">
        <w:rPr>
          <w:rFonts w:eastAsia="FangSong_GB2312"/>
        </w:rPr>
        <w:t>%) colonies. Statically our results indicated that there was a highly significant different in temperatures and wind speed during March, Ap</w:t>
      </w:r>
      <w:r w:rsidR="00141EC5" w:rsidRPr="009239A8">
        <w:rPr>
          <w:rFonts w:eastAsia="FangSong_GB2312"/>
        </w:rPr>
        <w:t>ril and May (</w:t>
      </w:r>
      <w:r w:rsidR="00141EC5" w:rsidRPr="009239A8">
        <w:rPr>
          <w:rFonts w:eastAsia="FangSong_GB2312"/>
          <w:i/>
          <w:iCs/>
        </w:rPr>
        <w:t>P</w:t>
      </w:r>
      <w:r w:rsidR="009E359B" w:rsidRPr="009239A8">
        <w:rPr>
          <w:rFonts w:eastAsia="FangSong_GB2312"/>
        </w:rPr>
        <w:t xml:space="preserve"> = 0.001), while there was no sign</w:t>
      </w:r>
      <w:r w:rsidR="00141EC5" w:rsidRPr="009239A8">
        <w:rPr>
          <w:rFonts w:eastAsia="FangSong_GB2312"/>
        </w:rPr>
        <w:t>ificant different in humidity (</w:t>
      </w:r>
      <w:r w:rsidR="009955A1" w:rsidRPr="009239A8">
        <w:rPr>
          <w:rFonts w:eastAsia="FangSong_GB2312"/>
          <w:i/>
          <w:iCs/>
        </w:rPr>
        <w:t>P</w:t>
      </w:r>
      <w:r w:rsidR="009E359B" w:rsidRPr="009239A8">
        <w:rPr>
          <w:rFonts w:eastAsia="FangSong_GB2312"/>
        </w:rPr>
        <w:t xml:space="preserve"> &gt; 0.05). Serum IgE (total and specific) antibody levels to 13 different fungal species in 76 patients with asthma (adults and children's) were studied. The number of allergen-specific IgE measurements above the cut-off (&gt; 0.35 kUA/L) was highly significant different for all fungal species tested (</w:t>
      </w:r>
      <w:r w:rsidR="00141EC5" w:rsidRPr="009239A8">
        <w:rPr>
          <w:rFonts w:eastAsia="FangSong_GB2312"/>
          <w:i/>
          <w:iCs/>
        </w:rPr>
        <w:t>P</w:t>
      </w:r>
      <w:r w:rsidR="009E359B" w:rsidRPr="009239A8">
        <w:rPr>
          <w:rFonts w:eastAsia="FangSong_GB2312"/>
        </w:rPr>
        <w:t xml:space="preserve"> = 0.001). There were significant correlations between total IgE level and specific IgE to </w:t>
      </w:r>
      <w:r w:rsidR="009E359B" w:rsidRPr="009239A8">
        <w:rPr>
          <w:rFonts w:eastAsia="FangSong_GB2312"/>
          <w:i/>
          <w:iCs/>
        </w:rPr>
        <w:t>Aspergillus repens</w:t>
      </w:r>
      <w:r w:rsidR="009955A1" w:rsidRPr="009239A8">
        <w:rPr>
          <w:rFonts w:eastAsia="FangSong_GB2312"/>
        </w:rPr>
        <w:t xml:space="preserve"> (r = 0.332, </w:t>
      </w:r>
      <w:r w:rsidR="009955A1" w:rsidRPr="009239A8">
        <w:rPr>
          <w:rFonts w:eastAsia="FangSong_GB2312"/>
          <w:i/>
          <w:iCs/>
        </w:rPr>
        <w:t>P</w:t>
      </w:r>
      <w:r w:rsidR="009955A1" w:rsidRPr="009239A8">
        <w:rPr>
          <w:rFonts w:eastAsia="FangSong_GB2312"/>
        </w:rPr>
        <w:t xml:space="preserve"> </w:t>
      </w:r>
      <w:r w:rsidR="009E359B" w:rsidRPr="009239A8">
        <w:rPr>
          <w:rFonts w:eastAsia="FangSong_GB2312"/>
        </w:rPr>
        <w:t xml:space="preserve">&lt; 0.05), </w:t>
      </w:r>
      <w:r w:rsidR="009E359B" w:rsidRPr="009239A8">
        <w:rPr>
          <w:rFonts w:eastAsia="FangSong_GB2312"/>
          <w:i/>
          <w:iCs/>
        </w:rPr>
        <w:t xml:space="preserve"> </w:t>
      </w:r>
      <w:r w:rsidR="009E359B" w:rsidRPr="009239A8">
        <w:rPr>
          <w:rFonts w:eastAsia="FangSong_GB2312"/>
        </w:rPr>
        <w:t xml:space="preserve"> </w:t>
      </w:r>
      <w:r w:rsidR="009955A1" w:rsidRPr="009239A8">
        <w:rPr>
          <w:rFonts w:eastAsia="FangSong_GB2312"/>
          <w:i/>
          <w:iCs/>
        </w:rPr>
        <w:t xml:space="preserve">Trichoderma </w:t>
      </w:r>
      <w:r w:rsidR="009E359B" w:rsidRPr="009239A8">
        <w:rPr>
          <w:rFonts w:eastAsia="FangSong_GB2312"/>
          <w:i/>
          <w:iCs/>
        </w:rPr>
        <w:t>viride</w:t>
      </w:r>
      <w:r w:rsidR="009955A1" w:rsidRPr="009239A8">
        <w:rPr>
          <w:rFonts w:eastAsia="FangSong_GB2312"/>
        </w:rPr>
        <w:t xml:space="preserve"> (r = -0.332, </w:t>
      </w:r>
      <w:r w:rsidR="009955A1" w:rsidRPr="009239A8">
        <w:rPr>
          <w:rFonts w:eastAsia="FangSong_GB2312"/>
          <w:i/>
          <w:iCs/>
        </w:rPr>
        <w:t>P</w:t>
      </w:r>
      <w:r w:rsidR="009955A1" w:rsidRPr="009239A8">
        <w:rPr>
          <w:rFonts w:eastAsia="FangSong_GB2312"/>
        </w:rPr>
        <w:t xml:space="preserve"> &lt; 0.05) </w:t>
      </w:r>
      <w:r w:rsidR="009E359B" w:rsidRPr="009239A8">
        <w:rPr>
          <w:rFonts w:eastAsia="FangSong_GB2312"/>
        </w:rPr>
        <w:t xml:space="preserve">and </w:t>
      </w:r>
      <w:r w:rsidR="009E359B" w:rsidRPr="009239A8">
        <w:rPr>
          <w:rFonts w:eastAsia="FangSong_GB2312"/>
          <w:i/>
          <w:iCs/>
        </w:rPr>
        <w:t xml:space="preserve">Candida albicans </w:t>
      </w:r>
      <w:r w:rsidR="009955A1" w:rsidRPr="009239A8">
        <w:rPr>
          <w:rFonts w:eastAsia="FangSong_GB2312"/>
        </w:rPr>
        <w:t xml:space="preserve">(r = 0.298, </w:t>
      </w:r>
      <w:r w:rsidR="009955A1" w:rsidRPr="009239A8">
        <w:rPr>
          <w:rFonts w:eastAsia="FangSong_GB2312"/>
          <w:i/>
          <w:iCs/>
        </w:rPr>
        <w:t>P</w:t>
      </w:r>
      <w:r w:rsidR="009955A1" w:rsidRPr="009239A8">
        <w:rPr>
          <w:rFonts w:eastAsia="FangSong_GB2312"/>
        </w:rPr>
        <w:t xml:space="preserve"> </w:t>
      </w:r>
      <w:r w:rsidR="009E359B" w:rsidRPr="009239A8">
        <w:rPr>
          <w:rFonts w:eastAsia="FangSong_GB2312"/>
        </w:rPr>
        <w:t>&lt; 0.05).</w:t>
      </w:r>
      <w:r w:rsidR="008C0C27" w:rsidRPr="009239A8">
        <w:rPr>
          <w:color w:val="000000"/>
        </w:rPr>
        <w:t xml:space="preserve"> </w:t>
      </w:r>
    </w:p>
    <w:p w:rsidR="00774CF6" w:rsidRPr="009239A8" w:rsidRDefault="008C0C27" w:rsidP="00774CF6">
      <w:pPr>
        <w:rPr>
          <w:sz w:val="20"/>
          <w:szCs w:val="20"/>
        </w:rPr>
      </w:pPr>
      <w:r w:rsidRPr="009239A8">
        <w:rPr>
          <w:color w:val="000000"/>
          <w:sz w:val="20"/>
          <w:szCs w:val="20"/>
        </w:rPr>
        <w:t>[</w:t>
      </w:r>
      <w:r w:rsidR="009E359B" w:rsidRPr="009239A8">
        <w:rPr>
          <w:sz w:val="20"/>
          <w:szCs w:val="20"/>
        </w:rPr>
        <w:t>Mohamed A. Fareid</w:t>
      </w:r>
      <w:r w:rsidR="00006C14" w:rsidRPr="009239A8">
        <w:rPr>
          <w:sz w:val="20"/>
          <w:szCs w:val="20"/>
        </w:rPr>
        <w:t xml:space="preserve">. </w:t>
      </w:r>
      <w:r w:rsidR="009E359B" w:rsidRPr="009239A8">
        <w:rPr>
          <w:sz w:val="20"/>
          <w:szCs w:val="20"/>
        </w:rPr>
        <w:t>Indoor Mycoflora in Household Dust and Human Health</w:t>
      </w:r>
      <w:r w:rsidR="009E359B" w:rsidRPr="009239A8">
        <w:rPr>
          <w:color w:val="000000"/>
          <w:sz w:val="20"/>
          <w:szCs w:val="20"/>
        </w:rPr>
        <w:t>.</w:t>
      </w:r>
      <w:r w:rsidR="00006C14" w:rsidRPr="009239A8">
        <w:rPr>
          <w:color w:val="000000"/>
          <w:sz w:val="20"/>
          <w:szCs w:val="20"/>
        </w:rPr>
        <w:t xml:space="preserve"> </w:t>
      </w:r>
      <w:r w:rsidR="002D096B" w:rsidRPr="009239A8">
        <w:rPr>
          <w:sz w:val="20"/>
          <w:szCs w:val="20"/>
        </w:rPr>
        <w:t>Nature and Science 2011;9(10):27</w:t>
      </w:r>
      <w:r w:rsidR="009F3F92">
        <w:rPr>
          <w:sz w:val="20"/>
          <w:szCs w:val="20"/>
        </w:rPr>
        <w:t>-</w:t>
      </w:r>
      <w:r w:rsidR="009F3F92">
        <w:rPr>
          <w:rFonts w:hint="eastAsia"/>
          <w:sz w:val="20"/>
          <w:szCs w:val="20"/>
        </w:rPr>
        <w:t>36</w:t>
      </w:r>
      <w:r w:rsidR="00774CF6" w:rsidRPr="009239A8">
        <w:rPr>
          <w:sz w:val="20"/>
          <w:szCs w:val="20"/>
        </w:rPr>
        <w:t xml:space="preserve">]. (ISSN: 1545-0740). </w:t>
      </w:r>
      <w:hyperlink r:id="rId8" w:history="1">
        <w:r w:rsidR="00774CF6" w:rsidRPr="009239A8">
          <w:rPr>
            <w:rStyle w:val="Hyperlink"/>
            <w:sz w:val="20"/>
            <w:szCs w:val="20"/>
          </w:rPr>
          <w:t>http://www.sciencepub.net</w:t>
        </w:r>
      </w:hyperlink>
      <w:r w:rsidR="00774CF6" w:rsidRPr="009239A8">
        <w:rPr>
          <w:sz w:val="20"/>
          <w:szCs w:val="20"/>
        </w:rPr>
        <w:t>.</w:t>
      </w:r>
    </w:p>
    <w:p w:rsidR="0024765E" w:rsidRPr="009239A8" w:rsidRDefault="0024765E" w:rsidP="00774CF6">
      <w:pPr>
        <w:pStyle w:val="Text"/>
        <w:ind w:firstLine="0"/>
        <w:rPr>
          <w:b/>
          <w:bCs/>
        </w:rPr>
      </w:pPr>
    </w:p>
    <w:p w:rsidR="0024765E" w:rsidRPr="009239A8" w:rsidRDefault="0024765E" w:rsidP="00EA3CF7">
      <w:pPr>
        <w:spacing w:line="260" w:lineRule="exact"/>
        <w:ind w:rightChars="188" w:right="395"/>
        <w:rPr>
          <w:sz w:val="20"/>
          <w:szCs w:val="20"/>
        </w:rPr>
      </w:pPr>
      <w:r w:rsidRPr="009239A8">
        <w:rPr>
          <w:b/>
          <w:bCs/>
          <w:sz w:val="20"/>
          <w:szCs w:val="20"/>
        </w:rPr>
        <w:t>Key words</w:t>
      </w:r>
      <w:r w:rsidRPr="009239A8">
        <w:rPr>
          <w:sz w:val="20"/>
          <w:szCs w:val="20"/>
        </w:rPr>
        <w:t xml:space="preserve">: </w:t>
      </w:r>
      <w:r w:rsidR="00EA3CF7" w:rsidRPr="009239A8">
        <w:rPr>
          <w:sz w:val="20"/>
          <w:szCs w:val="20"/>
        </w:rPr>
        <w:t>Mycoflora; Fungi</w:t>
      </w:r>
      <w:r w:rsidRPr="009239A8">
        <w:rPr>
          <w:sz w:val="20"/>
          <w:szCs w:val="20"/>
        </w:rPr>
        <w:t xml:space="preserve">; </w:t>
      </w:r>
      <w:r w:rsidR="00EA3CF7" w:rsidRPr="009239A8">
        <w:rPr>
          <w:sz w:val="20"/>
          <w:szCs w:val="20"/>
        </w:rPr>
        <w:t>Household Dust</w:t>
      </w:r>
      <w:r w:rsidRPr="009239A8">
        <w:rPr>
          <w:sz w:val="20"/>
          <w:szCs w:val="20"/>
        </w:rPr>
        <w:t>;</w:t>
      </w:r>
      <w:r w:rsidR="00EA3CF7" w:rsidRPr="009239A8">
        <w:rPr>
          <w:sz w:val="20"/>
          <w:szCs w:val="20"/>
        </w:rPr>
        <w:t xml:space="preserve"> Human; Health</w:t>
      </w:r>
      <w:r w:rsidRPr="009239A8">
        <w:rPr>
          <w:sz w:val="20"/>
          <w:szCs w:val="20"/>
        </w:rPr>
        <w:t xml:space="preserve"> </w:t>
      </w:r>
    </w:p>
    <w:p w:rsidR="0024765E" w:rsidRPr="009239A8" w:rsidRDefault="0024765E">
      <w:pPr>
        <w:pStyle w:val="NormalIndent"/>
        <w:spacing w:line="240" w:lineRule="exact"/>
        <w:ind w:firstLine="0"/>
        <w:rPr>
          <w:sz w:val="20"/>
        </w:rPr>
      </w:pPr>
    </w:p>
    <w:p w:rsidR="0024765E" w:rsidRPr="009239A8" w:rsidRDefault="0024765E">
      <w:pPr>
        <w:pStyle w:val="NormalIndent"/>
        <w:spacing w:line="240" w:lineRule="exact"/>
        <w:ind w:firstLine="0"/>
        <w:rPr>
          <w:b/>
          <w:bCs/>
          <w:sz w:val="20"/>
        </w:rPr>
        <w:sectPr w:rsidR="0024765E" w:rsidRPr="009239A8" w:rsidSect="002519A8">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40" w:right="1440" w:bottom="1440" w:left="1440" w:header="720" w:footer="720" w:gutter="0"/>
          <w:pgNumType w:start="27"/>
          <w:cols w:space="425"/>
          <w:docGrid w:linePitch="312"/>
        </w:sectPr>
      </w:pPr>
    </w:p>
    <w:p w:rsidR="0024765E" w:rsidRPr="009239A8" w:rsidRDefault="0024765E">
      <w:pPr>
        <w:pStyle w:val="NormalIndent"/>
        <w:spacing w:line="260" w:lineRule="exact"/>
        <w:ind w:firstLine="0"/>
        <w:rPr>
          <w:b/>
          <w:bCs/>
          <w:sz w:val="20"/>
        </w:rPr>
      </w:pPr>
      <w:r w:rsidRPr="009239A8">
        <w:rPr>
          <w:b/>
          <w:bCs/>
          <w:sz w:val="20"/>
        </w:rPr>
        <w:lastRenderedPageBreak/>
        <w:t>1. Introduction</w:t>
      </w:r>
    </w:p>
    <w:p w:rsidR="00E80DB5" w:rsidRPr="009239A8" w:rsidRDefault="00E80DB5" w:rsidP="00E80DB5">
      <w:pPr>
        <w:snapToGrid w:val="0"/>
        <w:spacing w:line="260" w:lineRule="exact"/>
        <w:ind w:firstLine="400"/>
        <w:rPr>
          <w:b/>
          <w:bCs/>
          <w:sz w:val="20"/>
          <w:szCs w:val="20"/>
        </w:rPr>
      </w:pPr>
      <w:r w:rsidRPr="009239A8">
        <w:rPr>
          <w:sz w:val="20"/>
          <w:szCs w:val="20"/>
        </w:rPr>
        <w:t xml:space="preserve">Fungi, ubiquitous unicellular or multicellular organisms, exist in several forms, including single-celled yeasts, microscopic filaments (hyphae), aggregates of these filaments (mycelia), and spore producing visible fruiting bodies (e.g., mushrooms). Fungi represent about 10% of the earth’s biomass and serve to recycle organic matter. They grow on a wide variety of indoor and outdoor organic substrates, with water (moisture) the most important factor for determining growth for many species. Molds can grow on cloth, carpets, leather, and wood and on human foods when moist conditions exist (Gravesen, </w:t>
      </w:r>
      <w:r w:rsidRPr="009239A8">
        <w:rPr>
          <w:i/>
          <w:iCs/>
          <w:sz w:val="20"/>
          <w:szCs w:val="20"/>
        </w:rPr>
        <w:t>et al</w:t>
      </w:r>
      <w:r w:rsidRPr="009239A8">
        <w:rPr>
          <w:sz w:val="20"/>
          <w:szCs w:val="20"/>
        </w:rPr>
        <w:t xml:space="preserve">., 1999). Modem houses provide a new ecological niche for fungi as a result of reduced ventilation and extensive use of air conditioning, especially during summer time. Dust formation occurs as a result of the ongoing elutriation of airborne organic and inorganic particulate matter that originates from a multiplicity of indoor and outdoor sources. Fungi along with mites pose great health hazards to the residents of these houses (Rijckaert, 1981; Schoeber, 1988; Bokhary and Parvez, 1995). These fungal components, mites and pollen grains cause several allergic diseases like asthma, rhinitis, nasal eosinophilia and dermatitis (Chirila </w:t>
      </w:r>
      <w:r w:rsidRPr="009239A8">
        <w:rPr>
          <w:i/>
          <w:iCs/>
          <w:sz w:val="20"/>
          <w:szCs w:val="20"/>
        </w:rPr>
        <w:t xml:space="preserve">et al., </w:t>
      </w:r>
      <w:r w:rsidRPr="009239A8">
        <w:rPr>
          <w:sz w:val="20"/>
          <w:szCs w:val="20"/>
        </w:rPr>
        <w:t xml:space="preserve">1984; Krillis </w:t>
      </w:r>
      <w:r w:rsidRPr="009239A8">
        <w:rPr>
          <w:i/>
          <w:iCs/>
          <w:sz w:val="20"/>
          <w:szCs w:val="20"/>
        </w:rPr>
        <w:t xml:space="preserve">et al., </w:t>
      </w:r>
      <w:r w:rsidRPr="009239A8">
        <w:rPr>
          <w:sz w:val="20"/>
          <w:szCs w:val="20"/>
        </w:rPr>
        <w:t xml:space="preserve">1985 and Al-Fryah </w:t>
      </w:r>
      <w:r w:rsidRPr="009239A8">
        <w:rPr>
          <w:i/>
          <w:iCs/>
          <w:sz w:val="20"/>
          <w:szCs w:val="20"/>
        </w:rPr>
        <w:t>et al.,</w:t>
      </w:r>
      <w:r w:rsidRPr="009239A8">
        <w:rPr>
          <w:sz w:val="20"/>
          <w:szCs w:val="20"/>
        </w:rPr>
        <w:t xml:space="preserve">1989). </w:t>
      </w:r>
      <w:r w:rsidR="00055F66" w:rsidRPr="009239A8">
        <w:rPr>
          <w:sz w:val="20"/>
          <w:szCs w:val="20"/>
        </w:rPr>
        <w:t>Children</w:t>
      </w:r>
      <w:r w:rsidRPr="009239A8">
        <w:rPr>
          <w:sz w:val="20"/>
          <w:szCs w:val="20"/>
        </w:rPr>
        <w:t xml:space="preserve"> are more susceptible to these diseases than </w:t>
      </w:r>
      <w:r w:rsidRPr="009239A8">
        <w:rPr>
          <w:sz w:val="20"/>
          <w:szCs w:val="20"/>
        </w:rPr>
        <w:lastRenderedPageBreak/>
        <w:t xml:space="preserve">adults (Mori </w:t>
      </w:r>
      <w:r w:rsidRPr="009239A8">
        <w:rPr>
          <w:i/>
          <w:iCs/>
          <w:sz w:val="20"/>
          <w:szCs w:val="20"/>
        </w:rPr>
        <w:t xml:space="preserve">et al., </w:t>
      </w:r>
      <w:r w:rsidRPr="009239A8">
        <w:rPr>
          <w:sz w:val="20"/>
          <w:szCs w:val="20"/>
        </w:rPr>
        <w:t xml:space="preserve">1985; Bronswijk </w:t>
      </w:r>
      <w:r w:rsidRPr="009239A8">
        <w:rPr>
          <w:i/>
          <w:iCs/>
          <w:sz w:val="20"/>
          <w:szCs w:val="20"/>
        </w:rPr>
        <w:t xml:space="preserve">et al., </w:t>
      </w:r>
      <w:r w:rsidRPr="009239A8">
        <w:rPr>
          <w:sz w:val="20"/>
          <w:szCs w:val="20"/>
        </w:rPr>
        <w:t>1986)</w:t>
      </w:r>
      <w:r w:rsidRPr="009239A8">
        <w:rPr>
          <w:i/>
          <w:iCs/>
          <w:sz w:val="20"/>
          <w:szCs w:val="20"/>
        </w:rPr>
        <w:t>.</w:t>
      </w:r>
    </w:p>
    <w:p w:rsidR="00E80DB5" w:rsidRPr="009239A8" w:rsidRDefault="00E80DB5" w:rsidP="00E80DB5">
      <w:pPr>
        <w:snapToGrid w:val="0"/>
        <w:spacing w:line="260" w:lineRule="exact"/>
        <w:ind w:firstLine="400"/>
        <w:rPr>
          <w:i/>
          <w:iCs/>
          <w:sz w:val="20"/>
          <w:szCs w:val="20"/>
        </w:rPr>
      </w:pPr>
      <w:r w:rsidRPr="009239A8">
        <w:rPr>
          <w:sz w:val="20"/>
          <w:szCs w:val="20"/>
        </w:rPr>
        <w:t xml:space="preserve">In recent years, the quality of indoor air has been the subject of several studies. Conditions increasing air humidity, decreased ventilation and increased moisture level subsequently increase the proliferation of fungi and bacteria (Ruest, 2004). These fungal elements may cause severe illness as a result of indoor mold exposure including pulmonary, immunologic, neurologic and oncologic disorders (Kuhn and Ghannoum, 2003). Researcher believed that, more than 80 genera of fungi are associated with symptoms of respiratory tract allergies (Horner </w:t>
      </w:r>
      <w:r w:rsidRPr="009239A8">
        <w:rPr>
          <w:i/>
          <w:iCs/>
          <w:sz w:val="20"/>
          <w:szCs w:val="20"/>
        </w:rPr>
        <w:t xml:space="preserve">et al., </w:t>
      </w:r>
      <w:r w:rsidRPr="009239A8">
        <w:rPr>
          <w:sz w:val="20"/>
          <w:szCs w:val="20"/>
        </w:rPr>
        <w:t xml:space="preserve">1995). Over 100 species of fungi were involved with serious human and animal infections (Cvetnic and Pepeljnjak, 1997). </w:t>
      </w:r>
      <w:r w:rsidRPr="009239A8">
        <w:rPr>
          <w:i/>
          <w:iCs/>
          <w:sz w:val="20"/>
          <w:szCs w:val="20"/>
        </w:rPr>
        <w:t>Alternaria, Cladosporium, Aspergillus,</w:t>
      </w:r>
      <w:r w:rsidRPr="009239A8">
        <w:rPr>
          <w:sz w:val="20"/>
          <w:szCs w:val="20"/>
        </w:rPr>
        <w:t xml:space="preserve"> </w:t>
      </w:r>
      <w:r w:rsidRPr="009239A8">
        <w:rPr>
          <w:i/>
          <w:iCs/>
          <w:sz w:val="20"/>
          <w:szCs w:val="20"/>
        </w:rPr>
        <w:t xml:space="preserve">Penicillium </w:t>
      </w:r>
      <w:r w:rsidRPr="009239A8">
        <w:rPr>
          <w:sz w:val="20"/>
          <w:szCs w:val="20"/>
        </w:rPr>
        <w:t xml:space="preserve">and </w:t>
      </w:r>
      <w:r w:rsidRPr="009239A8">
        <w:rPr>
          <w:i/>
          <w:iCs/>
          <w:sz w:val="20"/>
          <w:szCs w:val="20"/>
        </w:rPr>
        <w:t xml:space="preserve">Fusarium </w:t>
      </w:r>
      <w:r w:rsidRPr="009239A8">
        <w:rPr>
          <w:sz w:val="20"/>
          <w:szCs w:val="20"/>
        </w:rPr>
        <w:t xml:space="preserve">were among the most common allergenic genera, for instance, elevated concentration of </w:t>
      </w:r>
      <w:r w:rsidRPr="009239A8">
        <w:rPr>
          <w:i/>
          <w:iCs/>
          <w:sz w:val="20"/>
          <w:szCs w:val="20"/>
        </w:rPr>
        <w:t>Cladosporium</w:t>
      </w:r>
      <w:r w:rsidRPr="009239A8">
        <w:rPr>
          <w:sz w:val="20"/>
          <w:szCs w:val="20"/>
        </w:rPr>
        <w:t xml:space="preserve"> were usually associated with respiratory symptom (Su </w:t>
      </w:r>
      <w:r w:rsidRPr="009239A8">
        <w:rPr>
          <w:i/>
          <w:iCs/>
          <w:sz w:val="20"/>
          <w:szCs w:val="20"/>
        </w:rPr>
        <w:t xml:space="preserve">et al., </w:t>
      </w:r>
      <w:r w:rsidRPr="009239A8">
        <w:rPr>
          <w:sz w:val="20"/>
          <w:szCs w:val="20"/>
        </w:rPr>
        <w:t xml:space="preserve">1992). </w:t>
      </w:r>
    </w:p>
    <w:p w:rsidR="0033537C" w:rsidRPr="009239A8" w:rsidRDefault="00E80DB5" w:rsidP="00E80DB5">
      <w:pPr>
        <w:snapToGrid w:val="0"/>
        <w:spacing w:line="260" w:lineRule="exact"/>
        <w:ind w:firstLineChars="200" w:firstLine="400"/>
        <w:rPr>
          <w:sz w:val="20"/>
          <w:szCs w:val="20"/>
        </w:rPr>
      </w:pPr>
      <w:r w:rsidRPr="009239A8">
        <w:rPr>
          <w:sz w:val="20"/>
          <w:szCs w:val="20"/>
        </w:rPr>
        <w:t xml:space="preserve">Fungi can cause adverse health effects in human beings through harmful immune response, such as allergy and hypersensitivity pneumonitis, by toxic or irritant effects, or by direct infection. Thus, unlike many other airborne allergens, fungi are associated with a variety of illnesses besides IgE-mediated allergy. More than 80 fungal genera are currently recognized as being </w:t>
      </w:r>
      <w:r w:rsidRPr="009239A8">
        <w:rPr>
          <w:sz w:val="20"/>
          <w:szCs w:val="20"/>
        </w:rPr>
        <w:lastRenderedPageBreak/>
        <w:t xml:space="preserve">associated to allergy, and some of the most frequently occurring are </w:t>
      </w:r>
      <w:r w:rsidRPr="009239A8">
        <w:rPr>
          <w:i/>
          <w:iCs/>
          <w:sz w:val="20"/>
          <w:szCs w:val="20"/>
        </w:rPr>
        <w:t>Cladosporium, Penicillium, Aspergillus, Alternaria</w:t>
      </w:r>
      <w:r w:rsidRPr="009239A8">
        <w:rPr>
          <w:sz w:val="20"/>
          <w:szCs w:val="20"/>
        </w:rPr>
        <w:t xml:space="preserve">, and </w:t>
      </w:r>
      <w:r w:rsidRPr="009239A8">
        <w:rPr>
          <w:i/>
          <w:iCs/>
          <w:sz w:val="20"/>
          <w:szCs w:val="20"/>
        </w:rPr>
        <w:t>Aureobasidium</w:t>
      </w:r>
      <w:r w:rsidRPr="009239A8">
        <w:rPr>
          <w:sz w:val="20"/>
          <w:szCs w:val="20"/>
        </w:rPr>
        <w:t xml:space="preserve"> (Simon-Nobbe, </w:t>
      </w:r>
      <w:r w:rsidRPr="009239A8">
        <w:rPr>
          <w:i/>
          <w:iCs/>
          <w:sz w:val="20"/>
          <w:szCs w:val="20"/>
        </w:rPr>
        <w:t>et al</w:t>
      </w:r>
      <w:r w:rsidRPr="009239A8">
        <w:rPr>
          <w:sz w:val="20"/>
          <w:szCs w:val="20"/>
        </w:rPr>
        <w:t xml:space="preserve">., 2008; Crameri, </w:t>
      </w:r>
      <w:r w:rsidRPr="009239A8">
        <w:rPr>
          <w:i/>
          <w:iCs/>
          <w:sz w:val="20"/>
          <w:szCs w:val="20"/>
        </w:rPr>
        <w:t>et al</w:t>
      </w:r>
      <w:r w:rsidRPr="009239A8">
        <w:rPr>
          <w:sz w:val="20"/>
          <w:szCs w:val="20"/>
        </w:rPr>
        <w:t xml:space="preserve">., 2009). During the last decade, a variety of fungal allergens have been described in the literature, including those that are mainly genus-specific (such as the </w:t>
      </w:r>
      <w:r w:rsidRPr="009239A8">
        <w:rPr>
          <w:i/>
          <w:iCs/>
          <w:sz w:val="20"/>
          <w:szCs w:val="20"/>
        </w:rPr>
        <w:t>Alternaria alternate</w:t>
      </w:r>
      <w:r w:rsidRPr="009239A8">
        <w:rPr>
          <w:sz w:val="20"/>
          <w:szCs w:val="20"/>
        </w:rPr>
        <w:t xml:space="preserve"> allergen Alt a 1 and its homologs in other species of genus </w:t>
      </w:r>
      <w:r w:rsidRPr="009239A8">
        <w:rPr>
          <w:i/>
          <w:iCs/>
          <w:sz w:val="20"/>
          <w:szCs w:val="20"/>
        </w:rPr>
        <w:t>Alternaria</w:t>
      </w:r>
      <w:r w:rsidRPr="009239A8">
        <w:rPr>
          <w:sz w:val="20"/>
          <w:szCs w:val="20"/>
        </w:rPr>
        <w:t xml:space="preserve">) as well as those present in various fungi (Simon-Nobbe, </w:t>
      </w:r>
      <w:r w:rsidRPr="009239A8">
        <w:rPr>
          <w:i/>
          <w:iCs/>
          <w:sz w:val="20"/>
          <w:szCs w:val="20"/>
        </w:rPr>
        <w:t>et al</w:t>
      </w:r>
      <w:r w:rsidRPr="009239A8">
        <w:rPr>
          <w:sz w:val="20"/>
          <w:szCs w:val="20"/>
        </w:rPr>
        <w:t xml:space="preserve">., 2008; Crameri, </w:t>
      </w:r>
      <w:r w:rsidRPr="009239A8">
        <w:rPr>
          <w:i/>
          <w:iCs/>
          <w:sz w:val="20"/>
          <w:szCs w:val="20"/>
        </w:rPr>
        <w:t>et al</w:t>
      </w:r>
      <w:r w:rsidRPr="009239A8">
        <w:rPr>
          <w:sz w:val="20"/>
          <w:szCs w:val="20"/>
        </w:rPr>
        <w:t>., 2009). There is no any study of this issue in Ha’il region. Hence, this work represents an attempt for studying the occurrence and distribution of fungi inhabiting indoor household dust samples as well as assessed the quantity and relationships of specific antibodies to fungi of a group of asthmatic patients. Blood samples were drawn and the amounts of total and specific serum IgE were determined. The association between the fungal colonies and specific and IgE levels was evaluated.</w:t>
      </w:r>
    </w:p>
    <w:p w:rsidR="0033537C" w:rsidRPr="009239A8" w:rsidRDefault="0033537C" w:rsidP="0033537C">
      <w:pPr>
        <w:snapToGrid w:val="0"/>
        <w:spacing w:line="260" w:lineRule="exact"/>
        <w:rPr>
          <w:b/>
          <w:sz w:val="20"/>
          <w:szCs w:val="20"/>
        </w:rPr>
      </w:pPr>
    </w:p>
    <w:p w:rsidR="0033537C" w:rsidRPr="009239A8" w:rsidRDefault="0033537C" w:rsidP="0033537C">
      <w:pPr>
        <w:snapToGrid w:val="0"/>
        <w:spacing w:line="260" w:lineRule="exact"/>
        <w:rPr>
          <w:b/>
          <w:sz w:val="20"/>
          <w:szCs w:val="20"/>
        </w:rPr>
      </w:pPr>
      <w:r w:rsidRPr="009239A8">
        <w:rPr>
          <w:b/>
          <w:sz w:val="20"/>
          <w:szCs w:val="20"/>
        </w:rPr>
        <w:t xml:space="preserve">2. Material and Methods </w:t>
      </w:r>
    </w:p>
    <w:p w:rsidR="00573A36" w:rsidRPr="009239A8" w:rsidRDefault="00573A36" w:rsidP="00573A36">
      <w:pPr>
        <w:snapToGrid w:val="0"/>
        <w:spacing w:line="260" w:lineRule="exact"/>
        <w:ind w:firstLineChars="200" w:firstLine="400"/>
        <w:rPr>
          <w:sz w:val="20"/>
          <w:szCs w:val="20"/>
        </w:rPr>
      </w:pPr>
      <w:r w:rsidRPr="009239A8">
        <w:rPr>
          <w:sz w:val="20"/>
          <w:szCs w:val="20"/>
        </w:rPr>
        <w:t xml:space="preserve">Ha’il City is the provincial capital of Ha’il Province in northern </w:t>
      </w:r>
      <w:smartTag w:uri="urn:schemas-microsoft-com:office:smarttags" w:element="country-region">
        <w:r w:rsidRPr="009239A8">
          <w:rPr>
            <w:sz w:val="20"/>
            <w:szCs w:val="20"/>
          </w:rPr>
          <w:t>Saudi Arabia</w:t>
        </w:r>
      </w:smartTag>
      <w:r w:rsidRPr="009239A8">
        <w:rPr>
          <w:sz w:val="20"/>
          <w:szCs w:val="20"/>
        </w:rPr>
        <w:t xml:space="preserve">, which covers a land area of about 120,000 square kilometers, about 6% of the total land area of the </w:t>
      </w:r>
      <w:smartTag w:uri="urn:schemas-microsoft-com:office:smarttags" w:element="place">
        <w:smartTag w:uri="urn:schemas-microsoft-com:office:smarttags" w:element="PlaceType">
          <w:r w:rsidRPr="009239A8">
            <w:rPr>
              <w:sz w:val="20"/>
              <w:szCs w:val="20"/>
            </w:rPr>
            <w:t>Kingdom</w:t>
          </w:r>
        </w:smartTag>
        <w:r w:rsidRPr="009239A8">
          <w:rPr>
            <w:sz w:val="20"/>
            <w:szCs w:val="20"/>
          </w:rPr>
          <w:t xml:space="preserve"> of </w:t>
        </w:r>
        <w:smartTag w:uri="urn:schemas-microsoft-com:office:smarttags" w:element="PlaceName">
          <w:r w:rsidRPr="009239A8">
            <w:rPr>
              <w:sz w:val="20"/>
              <w:szCs w:val="20"/>
            </w:rPr>
            <w:t>Saudi Arabia</w:t>
          </w:r>
        </w:smartTag>
      </w:smartTag>
      <w:r w:rsidRPr="009239A8">
        <w:rPr>
          <w:sz w:val="20"/>
          <w:szCs w:val="20"/>
        </w:rPr>
        <w:t xml:space="preserve">. Ha'il is located 700 kilometers northwest of </w:t>
      </w:r>
      <w:smartTag w:uri="urn:schemas-microsoft-com:office:smarttags" w:element="City">
        <w:r w:rsidRPr="009239A8">
          <w:rPr>
            <w:sz w:val="20"/>
            <w:szCs w:val="20"/>
          </w:rPr>
          <w:t>Riyadh</w:t>
        </w:r>
      </w:smartTag>
      <w:r w:rsidRPr="009239A8">
        <w:rPr>
          <w:sz w:val="20"/>
          <w:szCs w:val="20"/>
        </w:rPr>
        <w:t xml:space="preserve">, 400 kilometers northeast of </w:t>
      </w:r>
      <w:smartTag w:uri="urn:schemas-microsoft-com:office:smarttags" w:element="City">
        <w:r w:rsidRPr="009239A8">
          <w:rPr>
            <w:sz w:val="20"/>
            <w:szCs w:val="20"/>
          </w:rPr>
          <w:t>Medina</w:t>
        </w:r>
      </w:smartTag>
      <w:r w:rsidRPr="009239A8">
        <w:rPr>
          <w:sz w:val="20"/>
          <w:szCs w:val="20"/>
        </w:rPr>
        <w:t xml:space="preserve">, 300 kilometers southwest of the settlement of Rafha near the border with </w:t>
      </w:r>
      <w:smartTag w:uri="urn:schemas-microsoft-com:office:smarttags" w:element="country-region">
        <w:r w:rsidRPr="009239A8">
          <w:rPr>
            <w:sz w:val="20"/>
            <w:szCs w:val="20"/>
          </w:rPr>
          <w:t>Iraq</w:t>
        </w:r>
      </w:smartTag>
      <w:r w:rsidRPr="009239A8">
        <w:rPr>
          <w:sz w:val="20"/>
          <w:szCs w:val="20"/>
        </w:rPr>
        <w:t xml:space="preserve">, 600 kilometers south of the settlement of Qurayyat near the border with </w:t>
      </w:r>
      <w:smartTag w:uri="urn:schemas-microsoft-com:office:smarttags" w:element="country-region">
        <w:smartTag w:uri="urn:schemas-microsoft-com:office:smarttags" w:element="place">
          <w:r w:rsidRPr="009239A8">
            <w:rPr>
              <w:sz w:val="20"/>
              <w:szCs w:val="20"/>
            </w:rPr>
            <w:t>Jordan</w:t>
          </w:r>
        </w:smartTag>
      </w:smartTag>
      <w:r w:rsidRPr="009239A8">
        <w:rPr>
          <w:sz w:val="20"/>
          <w:szCs w:val="20"/>
        </w:rPr>
        <w:t xml:space="preserve">. Ha’il city lies between the peaks of Aja (about 1,400 meters) and Salma (about 1,100 meters), two mountain ranges at the northern end of the Nejd plateau of the </w:t>
      </w:r>
      <w:smartTag w:uri="urn:schemas-microsoft-com:office:smarttags" w:element="place">
        <w:r w:rsidRPr="009239A8">
          <w:rPr>
            <w:sz w:val="20"/>
            <w:szCs w:val="20"/>
          </w:rPr>
          <w:t>Arabian Peninsula</w:t>
        </w:r>
      </w:smartTag>
      <w:r w:rsidRPr="009239A8">
        <w:rPr>
          <w:sz w:val="20"/>
          <w:szCs w:val="20"/>
        </w:rPr>
        <w:t>.</w:t>
      </w:r>
    </w:p>
    <w:p w:rsidR="00573A36" w:rsidRPr="009239A8" w:rsidRDefault="00573A36" w:rsidP="00573A36">
      <w:pPr>
        <w:snapToGrid w:val="0"/>
        <w:spacing w:line="260" w:lineRule="exact"/>
        <w:rPr>
          <w:b/>
          <w:bCs/>
          <w:i/>
          <w:iCs/>
          <w:sz w:val="20"/>
          <w:szCs w:val="20"/>
        </w:rPr>
      </w:pPr>
    </w:p>
    <w:p w:rsidR="00573A36" w:rsidRPr="009239A8" w:rsidRDefault="00B32D1F" w:rsidP="00573A36">
      <w:pPr>
        <w:snapToGrid w:val="0"/>
        <w:spacing w:line="260" w:lineRule="exact"/>
        <w:rPr>
          <w:b/>
          <w:bCs/>
          <w:sz w:val="20"/>
          <w:szCs w:val="20"/>
        </w:rPr>
      </w:pPr>
      <w:r w:rsidRPr="009239A8">
        <w:rPr>
          <w:b/>
          <w:bCs/>
          <w:sz w:val="20"/>
          <w:szCs w:val="20"/>
        </w:rPr>
        <w:t xml:space="preserve">2.1. </w:t>
      </w:r>
      <w:r w:rsidR="00573A36" w:rsidRPr="009239A8">
        <w:rPr>
          <w:b/>
          <w:bCs/>
          <w:sz w:val="20"/>
          <w:szCs w:val="20"/>
        </w:rPr>
        <w:t>Collection of House Dust Samples</w:t>
      </w:r>
    </w:p>
    <w:p w:rsidR="00573A36" w:rsidRPr="009239A8" w:rsidRDefault="00573A36" w:rsidP="004A5972">
      <w:pPr>
        <w:snapToGrid w:val="0"/>
        <w:spacing w:line="260" w:lineRule="exact"/>
        <w:ind w:firstLine="420"/>
        <w:rPr>
          <w:sz w:val="20"/>
          <w:szCs w:val="20"/>
        </w:rPr>
      </w:pPr>
      <w:r w:rsidRPr="009239A8">
        <w:rPr>
          <w:sz w:val="20"/>
          <w:szCs w:val="20"/>
        </w:rPr>
        <w:t>Forty seven samples were collected from indoor of home in different localities of Ha’il during the spring season (March to May, 2011). Floor dust of bedrooms, living rooms, filters of air-conditions and window frames were mixed to give a composite sample for each home. Each dust sample was kept in clean plastic bag at 4-6</w:t>
      </w:r>
      <w:r w:rsidR="00763C5A" w:rsidRPr="009239A8">
        <w:rPr>
          <w:sz w:val="20"/>
          <w:szCs w:val="20"/>
          <w:vertAlign w:val="superscript"/>
        </w:rPr>
        <w:t>ᴼ</w:t>
      </w:r>
      <w:r w:rsidRPr="009239A8">
        <w:rPr>
          <w:sz w:val="20"/>
          <w:szCs w:val="20"/>
        </w:rPr>
        <w:t>C until processed.</w:t>
      </w:r>
    </w:p>
    <w:p w:rsidR="00573A36" w:rsidRPr="009239A8" w:rsidRDefault="00573A36" w:rsidP="00573A36">
      <w:pPr>
        <w:snapToGrid w:val="0"/>
        <w:spacing w:line="260" w:lineRule="exact"/>
        <w:rPr>
          <w:sz w:val="20"/>
          <w:szCs w:val="20"/>
        </w:rPr>
      </w:pPr>
    </w:p>
    <w:p w:rsidR="00573A36" w:rsidRPr="009239A8" w:rsidRDefault="00B32D1F" w:rsidP="00573A36">
      <w:pPr>
        <w:snapToGrid w:val="0"/>
        <w:spacing w:line="260" w:lineRule="exact"/>
        <w:rPr>
          <w:b/>
          <w:bCs/>
          <w:sz w:val="20"/>
          <w:szCs w:val="20"/>
        </w:rPr>
      </w:pPr>
      <w:r w:rsidRPr="009239A8">
        <w:rPr>
          <w:b/>
          <w:bCs/>
          <w:sz w:val="20"/>
          <w:szCs w:val="20"/>
        </w:rPr>
        <w:t xml:space="preserve">2.2. </w:t>
      </w:r>
      <w:r w:rsidR="00573A36" w:rsidRPr="009239A8">
        <w:rPr>
          <w:b/>
          <w:bCs/>
          <w:sz w:val="20"/>
          <w:szCs w:val="20"/>
        </w:rPr>
        <w:t>Isolation of Fungi</w:t>
      </w:r>
    </w:p>
    <w:p w:rsidR="00573A36" w:rsidRPr="009239A8" w:rsidRDefault="00573A36" w:rsidP="004A5972">
      <w:pPr>
        <w:snapToGrid w:val="0"/>
        <w:spacing w:line="260" w:lineRule="exact"/>
        <w:ind w:firstLine="420"/>
        <w:rPr>
          <w:sz w:val="20"/>
          <w:szCs w:val="20"/>
        </w:rPr>
      </w:pPr>
      <w:r w:rsidRPr="009239A8">
        <w:rPr>
          <w:sz w:val="20"/>
          <w:szCs w:val="20"/>
        </w:rPr>
        <w:t>Ten mg of each dust sample were transferred aseptically to 9 mm sterile Petri dish. Ten ml of the appropriate medium were added; hand swirled and left to solidify. Then Petri dishes were incubated at 28</w:t>
      </w:r>
      <w:r w:rsidR="0030097F" w:rsidRPr="009239A8">
        <w:rPr>
          <w:sz w:val="20"/>
          <w:szCs w:val="20"/>
          <w:vertAlign w:val="superscript"/>
        </w:rPr>
        <w:t>ᴼ</w:t>
      </w:r>
      <w:r w:rsidRPr="009239A8">
        <w:rPr>
          <w:sz w:val="20"/>
          <w:szCs w:val="20"/>
        </w:rPr>
        <w:t xml:space="preserve">C for 5-7 days. Count (C) of colony forming units per g dust </w:t>
      </w:r>
      <w:r w:rsidRPr="009239A8">
        <w:rPr>
          <w:sz w:val="20"/>
          <w:szCs w:val="20"/>
        </w:rPr>
        <w:lastRenderedPageBreak/>
        <w:t>(CFU/g dust) and percentage of total count (%) were calculated.</w:t>
      </w:r>
    </w:p>
    <w:p w:rsidR="00573A36" w:rsidRPr="009239A8" w:rsidRDefault="00573A36" w:rsidP="00573A36">
      <w:pPr>
        <w:snapToGrid w:val="0"/>
        <w:spacing w:line="260" w:lineRule="exact"/>
        <w:rPr>
          <w:sz w:val="20"/>
          <w:szCs w:val="20"/>
        </w:rPr>
      </w:pPr>
    </w:p>
    <w:p w:rsidR="00573A36" w:rsidRPr="009239A8" w:rsidRDefault="00862B30" w:rsidP="00573A36">
      <w:pPr>
        <w:snapToGrid w:val="0"/>
        <w:spacing w:line="260" w:lineRule="exact"/>
        <w:rPr>
          <w:sz w:val="20"/>
          <w:szCs w:val="20"/>
        </w:rPr>
      </w:pPr>
      <w:r w:rsidRPr="009239A8">
        <w:rPr>
          <w:noProof/>
          <w:sz w:val="20"/>
          <w:szCs w:val="20"/>
        </w:rPr>
        <w:drawing>
          <wp:anchor distT="0" distB="0" distL="114300" distR="114300" simplePos="0" relativeHeight="251657216" behindDoc="0" locked="0" layoutInCell="1" allowOverlap="1">
            <wp:simplePos x="0" y="0"/>
            <wp:positionH relativeFrom="column">
              <wp:posOffset>104140</wp:posOffset>
            </wp:positionH>
            <wp:positionV relativeFrom="paragraph">
              <wp:posOffset>45085</wp:posOffset>
            </wp:positionV>
            <wp:extent cx="2762250" cy="240665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0" cy="2406650"/>
                    </a:xfrm>
                    <a:prstGeom prst="rect">
                      <a:avLst/>
                    </a:prstGeom>
                    <a:noFill/>
                  </pic:spPr>
                </pic:pic>
              </a:graphicData>
            </a:graphic>
            <wp14:sizeRelH relativeFrom="page">
              <wp14:pctWidth>0</wp14:pctWidth>
            </wp14:sizeRelH>
            <wp14:sizeRelV relativeFrom="page">
              <wp14:pctHeight>0</wp14:pctHeight>
            </wp14:sizeRelV>
          </wp:anchor>
        </w:drawing>
      </w: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rPr>
          <w:sz w:val="20"/>
          <w:szCs w:val="20"/>
        </w:rPr>
      </w:pPr>
    </w:p>
    <w:p w:rsidR="00573A36" w:rsidRPr="009239A8" w:rsidRDefault="00573A36" w:rsidP="00573A36">
      <w:pPr>
        <w:snapToGrid w:val="0"/>
        <w:spacing w:line="260" w:lineRule="exact"/>
        <w:jc w:val="center"/>
        <w:rPr>
          <w:sz w:val="20"/>
          <w:szCs w:val="20"/>
        </w:rPr>
      </w:pPr>
      <w:r w:rsidRPr="009239A8">
        <w:rPr>
          <w:sz w:val="20"/>
          <w:szCs w:val="20"/>
        </w:rPr>
        <w:t>Figure 1. The map of Ha’il City.</w:t>
      </w:r>
    </w:p>
    <w:p w:rsidR="00573A36" w:rsidRPr="009239A8" w:rsidRDefault="00573A36" w:rsidP="00573A36">
      <w:pPr>
        <w:snapToGrid w:val="0"/>
        <w:spacing w:line="260" w:lineRule="exact"/>
        <w:jc w:val="center"/>
        <w:rPr>
          <w:sz w:val="20"/>
          <w:szCs w:val="20"/>
        </w:rPr>
      </w:pPr>
    </w:p>
    <w:p w:rsidR="00B32D1F" w:rsidRPr="009239A8" w:rsidRDefault="00B32D1F" w:rsidP="00B32D1F">
      <w:pPr>
        <w:snapToGrid w:val="0"/>
        <w:spacing w:line="260" w:lineRule="exact"/>
        <w:rPr>
          <w:b/>
          <w:bCs/>
          <w:sz w:val="20"/>
          <w:szCs w:val="20"/>
        </w:rPr>
      </w:pPr>
      <w:r w:rsidRPr="009239A8">
        <w:rPr>
          <w:b/>
          <w:bCs/>
          <w:sz w:val="20"/>
          <w:szCs w:val="20"/>
        </w:rPr>
        <w:t>2.3. Culture Media</w:t>
      </w:r>
    </w:p>
    <w:p w:rsidR="00B32D1F" w:rsidRPr="009239A8" w:rsidRDefault="00B32D1F" w:rsidP="00B32D1F">
      <w:pPr>
        <w:snapToGrid w:val="0"/>
        <w:spacing w:line="260" w:lineRule="exact"/>
        <w:rPr>
          <w:sz w:val="20"/>
          <w:szCs w:val="20"/>
        </w:rPr>
      </w:pPr>
      <w:r w:rsidRPr="009239A8">
        <w:rPr>
          <w:b/>
          <w:bCs/>
          <w:sz w:val="20"/>
          <w:szCs w:val="20"/>
        </w:rPr>
        <w:t>2.3.1. Sabouraud’s dextrose agar (SDA)</w:t>
      </w:r>
      <w:r w:rsidRPr="009239A8">
        <w:rPr>
          <w:sz w:val="20"/>
          <w:szCs w:val="20"/>
        </w:rPr>
        <w:t xml:space="preserve"> </w:t>
      </w:r>
    </w:p>
    <w:p w:rsidR="00B32D1F" w:rsidRPr="009239A8" w:rsidRDefault="00B32D1F" w:rsidP="00B32D1F">
      <w:pPr>
        <w:snapToGrid w:val="0"/>
        <w:spacing w:line="260" w:lineRule="exact"/>
        <w:ind w:firstLine="420"/>
        <w:rPr>
          <w:sz w:val="20"/>
          <w:szCs w:val="20"/>
        </w:rPr>
      </w:pPr>
      <w:r w:rsidRPr="009239A8">
        <w:rPr>
          <w:sz w:val="20"/>
          <w:szCs w:val="20"/>
        </w:rPr>
        <w:t>Peptone, 10 g; dextrose, 40 g and agar, 15g in 1000 ml distilled water were used for isolation of xerophilic fungi.</w:t>
      </w:r>
    </w:p>
    <w:p w:rsidR="00B32D1F" w:rsidRPr="009239A8" w:rsidRDefault="00B32D1F" w:rsidP="00B32D1F">
      <w:pPr>
        <w:snapToGrid w:val="0"/>
        <w:spacing w:line="260" w:lineRule="exact"/>
        <w:rPr>
          <w:b/>
          <w:bCs/>
          <w:sz w:val="20"/>
          <w:szCs w:val="20"/>
        </w:rPr>
      </w:pPr>
    </w:p>
    <w:p w:rsidR="00B32D1F" w:rsidRPr="009239A8" w:rsidRDefault="00B32D1F" w:rsidP="00B32D1F">
      <w:pPr>
        <w:snapToGrid w:val="0"/>
        <w:spacing w:line="260" w:lineRule="exact"/>
        <w:rPr>
          <w:sz w:val="20"/>
          <w:szCs w:val="20"/>
        </w:rPr>
      </w:pPr>
      <w:r w:rsidRPr="009239A8">
        <w:rPr>
          <w:b/>
          <w:bCs/>
          <w:sz w:val="20"/>
          <w:szCs w:val="20"/>
        </w:rPr>
        <w:t>2.3.2. Yeast glucose agar</w:t>
      </w:r>
    </w:p>
    <w:p w:rsidR="00B32D1F" w:rsidRPr="009239A8" w:rsidRDefault="00B32D1F" w:rsidP="00B32D1F">
      <w:pPr>
        <w:snapToGrid w:val="0"/>
        <w:spacing w:line="260" w:lineRule="exact"/>
        <w:ind w:firstLine="420"/>
        <w:rPr>
          <w:sz w:val="20"/>
          <w:szCs w:val="20"/>
        </w:rPr>
      </w:pPr>
      <w:r w:rsidRPr="009239A8">
        <w:rPr>
          <w:sz w:val="20"/>
          <w:szCs w:val="20"/>
        </w:rPr>
        <w:t>Yeast extract, 5g; glucose, 10g and agar, 15g in 1000 ml distilled water were used for isolation of thermophile yeasts and fungi.</w:t>
      </w:r>
    </w:p>
    <w:p w:rsidR="00B32D1F" w:rsidRPr="009239A8" w:rsidRDefault="00B32D1F" w:rsidP="00B32D1F">
      <w:pPr>
        <w:snapToGrid w:val="0"/>
        <w:spacing w:line="260" w:lineRule="exact"/>
        <w:rPr>
          <w:b/>
          <w:bCs/>
          <w:sz w:val="20"/>
          <w:szCs w:val="20"/>
        </w:rPr>
      </w:pPr>
    </w:p>
    <w:p w:rsidR="00B32D1F" w:rsidRPr="009239A8" w:rsidRDefault="00B32D1F" w:rsidP="00B32D1F">
      <w:pPr>
        <w:snapToGrid w:val="0"/>
        <w:spacing w:line="260" w:lineRule="exact"/>
        <w:rPr>
          <w:sz w:val="20"/>
          <w:szCs w:val="20"/>
        </w:rPr>
      </w:pPr>
      <w:r w:rsidRPr="009239A8">
        <w:rPr>
          <w:b/>
          <w:bCs/>
          <w:sz w:val="20"/>
          <w:szCs w:val="20"/>
        </w:rPr>
        <w:t>2.3.3. Potato dextrose agar (PDA)</w:t>
      </w:r>
    </w:p>
    <w:p w:rsidR="00B32D1F" w:rsidRPr="009239A8" w:rsidRDefault="00B32D1F" w:rsidP="00B32D1F">
      <w:pPr>
        <w:snapToGrid w:val="0"/>
        <w:spacing w:line="260" w:lineRule="exact"/>
        <w:ind w:firstLine="420"/>
        <w:rPr>
          <w:sz w:val="20"/>
          <w:szCs w:val="20"/>
        </w:rPr>
      </w:pPr>
      <w:r w:rsidRPr="009239A8">
        <w:rPr>
          <w:sz w:val="20"/>
          <w:szCs w:val="20"/>
        </w:rPr>
        <w:t>Potato infusion solid, 4g; dextrose, 20g and agar 15g in 1000 ml distilled water were used for the identification of fungi</w:t>
      </w:r>
      <w:r w:rsidRPr="009239A8">
        <w:rPr>
          <w:i/>
          <w:iCs/>
          <w:sz w:val="20"/>
          <w:szCs w:val="20"/>
        </w:rPr>
        <w:t xml:space="preserve"> </w:t>
      </w:r>
      <w:r w:rsidRPr="009239A8">
        <w:rPr>
          <w:sz w:val="20"/>
          <w:szCs w:val="20"/>
        </w:rPr>
        <w:t xml:space="preserve">and yeasts in parallel with their cellular morphology and enumeration. </w:t>
      </w:r>
    </w:p>
    <w:p w:rsidR="00B32D1F" w:rsidRPr="009239A8" w:rsidRDefault="00B32D1F" w:rsidP="00B32D1F">
      <w:pPr>
        <w:snapToGrid w:val="0"/>
        <w:spacing w:line="260" w:lineRule="exact"/>
        <w:rPr>
          <w:sz w:val="20"/>
          <w:szCs w:val="20"/>
        </w:rPr>
      </w:pPr>
    </w:p>
    <w:p w:rsidR="00B32D1F" w:rsidRPr="009239A8" w:rsidRDefault="00F54AF2" w:rsidP="00B32D1F">
      <w:pPr>
        <w:snapToGrid w:val="0"/>
        <w:spacing w:line="260" w:lineRule="exact"/>
        <w:rPr>
          <w:b/>
          <w:bCs/>
          <w:sz w:val="20"/>
          <w:szCs w:val="20"/>
        </w:rPr>
      </w:pPr>
      <w:r w:rsidRPr="009239A8">
        <w:rPr>
          <w:b/>
          <w:bCs/>
          <w:sz w:val="20"/>
          <w:szCs w:val="20"/>
        </w:rPr>
        <w:t xml:space="preserve">2.4. </w:t>
      </w:r>
      <w:r w:rsidR="00B32D1F" w:rsidRPr="009239A8">
        <w:rPr>
          <w:b/>
          <w:bCs/>
          <w:sz w:val="20"/>
          <w:szCs w:val="20"/>
        </w:rPr>
        <w:t>Identification of fungi</w:t>
      </w:r>
    </w:p>
    <w:p w:rsidR="00B32D1F" w:rsidRPr="009239A8" w:rsidRDefault="00B32D1F" w:rsidP="00F54AF2">
      <w:pPr>
        <w:snapToGrid w:val="0"/>
        <w:spacing w:line="260" w:lineRule="exact"/>
        <w:ind w:firstLine="420"/>
        <w:rPr>
          <w:sz w:val="20"/>
          <w:szCs w:val="20"/>
        </w:rPr>
      </w:pPr>
      <w:r w:rsidRPr="009239A8">
        <w:rPr>
          <w:sz w:val="20"/>
          <w:szCs w:val="20"/>
        </w:rPr>
        <w:t xml:space="preserve">Cultural characters were assessed visually and by microscopic examination. Pure culture of the fungal isolates </w:t>
      </w:r>
      <w:r w:rsidR="00055F66" w:rsidRPr="009239A8">
        <w:rPr>
          <w:sz w:val="20"/>
          <w:szCs w:val="20"/>
        </w:rPr>
        <w:t>was</w:t>
      </w:r>
      <w:r w:rsidRPr="009239A8">
        <w:rPr>
          <w:sz w:val="20"/>
          <w:szCs w:val="20"/>
        </w:rPr>
        <w:t xml:space="preserve"> identified </w:t>
      </w:r>
      <w:r w:rsidR="00055F66" w:rsidRPr="009239A8">
        <w:rPr>
          <w:sz w:val="20"/>
          <w:szCs w:val="20"/>
        </w:rPr>
        <w:t>according to</w:t>
      </w:r>
      <w:r w:rsidRPr="009239A8">
        <w:rPr>
          <w:sz w:val="20"/>
          <w:szCs w:val="20"/>
        </w:rPr>
        <w:t xml:space="preserve"> the following descriptive manuals, Morton and Smith (1963); Raper and Fennell (1965); Ajello (1968); Ames (1969); Rifai (1969); Ellis (1971 &amp; 1976); Booth (1977); Domsch </w:t>
      </w:r>
      <w:r w:rsidRPr="009239A8">
        <w:rPr>
          <w:i/>
          <w:iCs/>
          <w:sz w:val="20"/>
          <w:szCs w:val="20"/>
        </w:rPr>
        <w:t>et al</w:t>
      </w:r>
      <w:r w:rsidRPr="009239A8">
        <w:rPr>
          <w:sz w:val="20"/>
          <w:szCs w:val="20"/>
        </w:rPr>
        <w:t>. (1980); Pitt (1985); Moubasher (1993); Bokhary and Parvez (1995).</w:t>
      </w:r>
    </w:p>
    <w:p w:rsidR="00B32D1F" w:rsidRPr="009239A8" w:rsidRDefault="00B32D1F" w:rsidP="00B32D1F">
      <w:pPr>
        <w:snapToGrid w:val="0"/>
        <w:spacing w:line="260" w:lineRule="exact"/>
        <w:rPr>
          <w:sz w:val="20"/>
          <w:szCs w:val="20"/>
        </w:rPr>
      </w:pPr>
    </w:p>
    <w:p w:rsidR="00B32D1F" w:rsidRPr="009239A8" w:rsidRDefault="00F54AF2" w:rsidP="00B32D1F">
      <w:pPr>
        <w:snapToGrid w:val="0"/>
        <w:spacing w:line="260" w:lineRule="exact"/>
        <w:rPr>
          <w:b/>
          <w:bCs/>
          <w:sz w:val="20"/>
          <w:szCs w:val="20"/>
        </w:rPr>
      </w:pPr>
      <w:r w:rsidRPr="009239A8">
        <w:rPr>
          <w:b/>
          <w:bCs/>
          <w:sz w:val="20"/>
          <w:szCs w:val="20"/>
        </w:rPr>
        <w:t xml:space="preserve">2.5. </w:t>
      </w:r>
      <w:r w:rsidR="00B32D1F" w:rsidRPr="009239A8">
        <w:rPr>
          <w:b/>
          <w:bCs/>
          <w:sz w:val="20"/>
          <w:szCs w:val="20"/>
        </w:rPr>
        <w:t>Patients</w:t>
      </w:r>
    </w:p>
    <w:p w:rsidR="00B32D1F" w:rsidRPr="009239A8" w:rsidRDefault="00055F66" w:rsidP="00F54AF2">
      <w:pPr>
        <w:snapToGrid w:val="0"/>
        <w:spacing w:line="260" w:lineRule="exact"/>
        <w:ind w:firstLine="420"/>
        <w:rPr>
          <w:sz w:val="20"/>
          <w:szCs w:val="20"/>
        </w:rPr>
      </w:pPr>
      <w:r w:rsidRPr="009239A8">
        <w:rPr>
          <w:sz w:val="20"/>
          <w:szCs w:val="20"/>
        </w:rPr>
        <w:t>Seventy-six</w:t>
      </w:r>
      <w:r w:rsidR="00B32D1F" w:rsidRPr="009239A8">
        <w:rPr>
          <w:sz w:val="20"/>
          <w:szCs w:val="20"/>
        </w:rPr>
        <w:t xml:space="preserve"> patients with asthma were studied. </w:t>
      </w:r>
      <w:r w:rsidR="00B32D1F" w:rsidRPr="009239A8">
        <w:rPr>
          <w:sz w:val="20"/>
          <w:szCs w:val="20"/>
        </w:rPr>
        <w:lastRenderedPageBreak/>
        <w:t xml:space="preserve">Their ages ranged from 4 to 73 years, with 18 individuals under the age of 17 years (defined as children in this article). The clinical diagnosis of patients was based on finding the characteristic chronic respiratory disease (asthma, rhinitis, or both). The sera from patients with asthma were compared with sera from a group of </w:t>
      </w:r>
      <w:r w:rsidRPr="009239A8">
        <w:rPr>
          <w:sz w:val="20"/>
          <w:szCs w:val="20"/>
        </w:rPr>
        <w:t>sixty-six</w:t>
      </w:r>
      <w:r w:rsidR="00B32D1F" w:rsidRPr="009239A8">
        <w:rPr>
          <w:sz w:val="20"/>
          <w:szCs w:val="20"/>
        </w:rPr>
        <w:t xml:space="preserve"> non-asthmatic patients (control group), including 50 adults and 16 children. The sera in the asthma group were obtained from random patients who presented with asthma to either of two hospital emergency departments in Ha’il region.</w:t>
      </w:r>
    </w:p>
    <w:p w:rsidR="00B32D1F" w:rsidRPr="009239A8" w:rsidRDefault="00B32D1F" w:rsidP="00B32D1F">
      <w:pPr>
        <w:snapToGrid w:val="0"/>
        <w:spacing w:line="260" w:lineRule="exact"/>
        <w:rPr>
          <w:b/>
          <w:bCs/>
          <w:i/>
          <w:iCs/>
          <w:sz w:val="20"/>
          <w:szCs w:val="20"/>
        </w:rPr>
      </w:pPr>
    </w:p>
    <w:p w:rsidR="00B32D1F" w:rsidRPr="009239A8" w:rsidRDefault="00FE10C5" w:rsidP="00B32D1F">
      <w:pPr>
        <w:snapToGrid w:val="0"/>
        <w:spacing w:line="260" w:lineRule="exact"/>
        <w:rPr>
          <w:b/>
          <w:bCs/>
          <w:sz w:val="20"/>
          <w:szCs w:val="20"/>
        </w:rPr>
      </w:pPr>
      <w:r w:rsidRPr="009239A8">
        <w:rPr>
          <w:b/>
          <w:bCs/>
          <w:sz w:val="20"/>
          <w:szCs w:val="20"/>
        </w:rPr>
        <w:t xml:space="preserve">2.6. </w:t>
      </w:r>
      <w:r w:rsidR="00B32D1F" w:rsidRPr="009239A8">
        <w:rPr>
          <w:b/>
          <w:bCs/>
          <w:sz w:val="20"/>
          <w:szCs w:val="20"/>
        </w:rPr>
        <w:t>Measurements of total IgE and allergen specific antibodies</w:t>
      </w:r>
    </w:p>
    <w:p w:rsidR="00B32D1F" w:rsidRPr="009239A8" w:rsidRDefault="00B32D1F" w:rsidP="00FE10C5">
      <w:pPr>
        <w:snapToGrid w:val="0"/>
        <w:spacing w:line="260" w:lineRule="exact"/>
        <w:ind w:firstLine="420"/>
        <w:rPr>
          <w:sz w:val="20"/>
          <w:szCs w:val="20"/>
        </w:rPr>
      </w:pPr>
      <w:r w:rsidRPr="009239A8">
        <w:rPr>
          <w:sz w:val="20"/>
          <w:szCs w:val="20"/>
        </w:rPr>
        <w:t xml:space="preserve">The sera of the asthma and control groups were initially assessed by using CAP system for total IgE and specific IgE antibody. Sera were first assayed undiluted, and when necessary, assays were repeated with the sera diluted to enable quantitative measurement of specific IgE antibodies. Measurements of specific IgE were performed by using a flouroimmunoassay CAP system (Phadia, </w:t>
      </w:r>
      <w:smartTag w:uri="urn:schemas-microsoft-com:office:smarttags" w:element="place">
        <w:smartTag w:uri="urn:schemas-microsoft-com:office:smarttags" w:element="City">
          <w:r w:rsidRPr="009239A8">
            <w:rPr>
              <w:sz w:val="20"/>
              <w:szCs w:val="20"/>
            </w:rPr>
            <w:t>Uppsala</w:t>
          </w:r>
        </w:smartTag>
        <w:r w:rsidRPr="009239A8">
          <w:rPr>
            <w:sz w:val="20"/>
            <w:szCs w:val="20"/>
          </w:rPr>
          <w:t xml:space="preserve">, </w:t>
        </w:r>
        <w:smartTag w:uri="urn:schemas-microsoft-com:office:smarttags" w:element="country-region">
          <w:r w:rsidRPr="009239A8">
            <w:rPr>
              <w:sz w:val="20"/>
              <w:szCs w:val="20"/>
            </w:rPr>
            <w:t>Sweden</w:t>
          </w:r>
        </w:smartTag>
      </w:smartTag>
      <w:r w:rsidRPr="009239A8">
        <w:rPr>
          <w:sz w:val="20"/>
          <w:szCs w:val="20"/>
        </w:rPr>
        <w:t xml:space="preserve">). Total IgE for sera from patients with asthma was also measured by using the CAP system.  Results are reported quantitatively using a kilo unit per liter scale (kU/L). The calibrator is IgE bound to anti-IgE by using a 6-point quantitative curve. Calibration ranges from &lt; 0.35 kU/L to &gt;100 kU/L. Because there have been changes in assignment of negative test results over the years (listed as &lt; 0.35, 0.0, or as the actual measured values between 0 and 0.35), all values below this cut-off level were set to 0.35 kUA/L (Pastorello, </w:t>
      </w:r>
      <w:r w:rsidRPr="009239A8">
        <w:rPr>
          <w:i/>
          <w:iCs/>
          <w:sz w:val="20"/>
          <w:szCs w:val="20"/>
        </w:rPr>
        <w:t>et al</w:t>
      </w:r>
      <w:r w:rsidRPr="009239A8">
        <w:rPr>
          <w:sz w:val="20"/>
          <w:szCs w:val="20"/>
        </w:rPr>
        <w:t>., 1991; Yaman, 2001).</w:t>
      </w:r>
    </w:p>
    <w:p w:rsidR="001865A6" w:rsidRPr="009239A8" w:rsidRDefault="001865A6" w:rsidP="00B32D1F">
      <w:pPr>
        <w:snapToGrid w:val="0"/>
        <w:spacing w:line="260" w:lineRule="exact"/>
        <w:rPr>
          <w:b/>
          <w:bCs/>
          <w:i/>
          <w:iCs/>
          <w:sz w:val="20"/>
          <w:szCs w:val="20"/>
        </w:rPr>
      </w:pPr>
    </w:p>
    <w:p w:rsidR="00B32D1F" w:rsidRPr="009239A8" w:rsidRDefault="001865A6" w:rsidP="00B32D1F">
      <w:pPr>
        <w:snapToGrid w:val="0"/>
        <w:spacing w:line="260" w:lineRule="exact"/>
        <w:rPr>
          <w:b/>
          <w:bCs/>
          <w:sz w:val="20"/>
          <w:szCs w:val="20"/>
        </w:rPr>
      </w:pPr>
      <w:r w:rsidRPr="009239A8">
        <w:rPr>
          <w:b/>
          <w:bCs/>
          <w:sz w:val="20"/>
          <w:szCs w:val="20"/>
        </w:rPr>
        <w:t xml:space="preserve">2.7. </w:t>
      </w:r>
      <w:r w:rsidR="00B32D1F" w:rsidRPr="009239A8">
        <w:rPr>
          <w:b/>
          <w:bCs/>
          <w:sz w:val="20"/>
          <w:szCs w:val="20"/>
        </w:rPr>
        <w:t xml:space="preserve">Statistical analysis </w:t>
      </w:r>
    </w:p>
    <w:p w:rsidR="00E51CEF" w:rsidRPr="009239A8" w:rsidRDefault="00B32D1F" w:rsidP="001865A6">
      <w:pPr>
        <w:snapToGrid w:val="0"/>
        <w:spacing w:line="260" w:lineRule="exact"/>
        <w:ind w:firstLine="415"/>
        <w:rPr>
          <w:sz w:val="20"/>
          <w:szCs w:val="20"/>
        </w:rPr>
      </w:pPr>
      <w:r w:rsidRPr="009239A8">
        <w:rPr>
          <w:sz w:val="20"/>
          <w:szCs w:val="20"/>
        </w:rPr>
        <w:t xml:space="preserve">The statistical SPSS version 15 was used in data analysis. Data were represented as mean ± SD. ANOVA followed by </w:t>
      </w:r>
      <w:smartTag w:uri="urn:schemas-microsoft-com:office:smarttags" w:element="City">
        <w:smartTag w:uri="urn:schemas-microsoft-com:office:smarttags" w:element="place">
          <w:r w:rsidRPr="009239A8">
            <w:rPr>
              <w:sz w:val="20"/>
              <w:szCs w:val="20"/>
            </w:rPr>
            <w:t>Duncan</w:t>
          </w:r>
        </w:smartTag>
      </w:smartTag>
      <w:r w:rsidRPr="009239A8">
        <w:rPr>
          <w:sz w:val="20"/>
          <w:szCs w:val="20"/>
        </w:rPr>
        <w:t xml:space="preserve"> test and </w:t>
      </w:r>
      <w:r w:rsidRPr="009239A8">
        <w:rPr>
          <w:i/>
          <w:iCs/>
          <w:sz w:val="20"/>
          <w:szCs w:val="20"/>
        </w:rPr>
        <w:t>t</w:t>
      </w:r>
      <w:r w:rsidRPr="009239A8">
        <w:rPr>
          <w:sz w:val="20"/>
          <w:szCs w:val="20"/>
        </w:rPr>
        <w:t>-test</w:t>
      </w:r>
      <w:r w:rsidRPr="009239A8">
        <w:rPr>
          <w:sz w:val="20"/>
          <w:szCs w:val="20"/>
          <w:vertAlign w:val="superscript"/>
        </w:rPr>
        <w:t xml:space="preserve"> </w:t>
      </w:r>
      <w:r w:rsidRPr="009239A8">
        <w:rPr>
          <w:sz w:val="20"/>
          <w:szCs w:val="20"/>
        </w:rPr>
        <w:t>were used to compare the means of the observed results. Correlation coefficients were generated by using the Pearson method. The confidence interval used for all statistical analyses was 95%.</w:t>
      </w:r>
      <w:r w:rsidRPr="009239A8">
        <w:rPr>
          <w:b/>
          <w:bCs/>
          <w:sz w:val="20"/>
          <w:szCs w:val="20"/>
        </w:rPr>
        <w:t xml:space="preserve"> </w:t>
      </w:r>
      <w:r w:rsidRPr="009239A8">
        <w:rPr>
          <w:i/>
          <w:iCs/>
          <w:sz w:val="20"/>
          <w:szCs w:val="20"/>
        </w:rPr>
        <w:t>P</w:t>
      </w:r>
      <w:r w:rsidR="0032725F" w:rsidRPr="009239A8">
        <w:rPr>
          <w:sz w:val="20"/>
          <w:szCs w:val="20"/>
        </w:rPr>
        <w:t>-values less than 0.05 were</w:t>
      </w:r>
      <w:r w:rsidRPr="009239A8">
        <w:rPr>
          <w:sz w:val="20"/>
          <w:szCs w:val="20"/>
        </w:rPr>
        <w:t xml:space="preserve"> significant.</w:t>
      </w:r>
    </w:p>
    <w:p w:rsidR="00A16FC1" w:rsidRPr="009239A8" w:rsidRDefault="00A16FC1" w:rsidP="00A16FC1">
      <w:pPr>
        <w:snapToGrid w:val="0"/>
        <w:spacing w:line="260" w:lineRule="exact"/>
        <w:rPr>
          <w:b/>
          <w:sz w:val="20"/>
          <w:szCs w:val="20"/>
        </w:rPr>
      </w:pPr>
    </w:p>
    <w:p w:rsidR="005A2C81" w:rsidRPr="009239A8" w:rsidRDefault="00A16FC1" w:rsidP="00A16FC1">
      <w:pPr>
        <w:snapToGrid w:val="0"/>
        <w:spacing w:line="260" w:lineRule="exact"/>
        <w:rPr>
          <w:sz w:val="20"/>
          <w:szCs w:val="20"/>
        </w:rPr>
      </w:pPr>
      <w:r w:rsidRPr="009239A8">
        <w:rPr>
          <w:b/>
          <w:sz w:val="20"/>
          <w:szCs w:val="20"/>
        </w:rPr>
        <w:t>3. Results</w:t>
      </w:r>
    </w:p>
    <w:p w:rsidR="005A2C81" w:rsidRPr="009239A8" w:rsidRDefault="005A2C81" w:rsidP="005A2C81">
      <w:pPr>
        <w:snapToGrid w:val="0"/>
        <w:spacing w:line="260" w:lineRule="exact"/>
        <w:ind w:firstLine="420"/>
        <w:rPr>
          <w:sz w:val="20"/>
          <w:szCs w:val="20"/>
          <w:lang w:val="en"/>
        </w:rPr>
      </w:pPr>
      <w:r w:rsidRPr="009239A8">
        <w:rPr>
          <w:sz w:val="20"/>
          <w:szCs w:val="20"/>
          <w:lang w:val="en"/>
        </w:rPr>
        <w:t xml:space="preserve">Ha’il is a city in Nejd in northwestern </w:t>
      </w:r>
      <w:smartTag w:uri="urn:schemas-microsoft-com:office:smarttags" w:element="country-region">
        <w:smartTag w:uri="urn:schemas-microsoft-com:office:smarttags" w:element="place">
          <w:r w:rsidRPr="009239A8">
            <w:rPr>
              <w:sz w:val="20"/>
              <w:szCs w:val="20"/>
              <w:lang w:val="en"/>
            </w:rPr>
            <w:t>Saudi Arabia</w:t>
          </w:r>
        </w:smartTag>
      </w:smartTag>
      <w:r w:rsidRPr="009239A8">
        <w:rPr>
          <w:sz w:val="20"/>
          <w:szCs w:val="20"/>
          <w:lang w:val="en"/>
        </w:rPr>
        <w:t xml:space="preserve">. It is the capital of the Ha’il Province. </w:t>
      </w:r>
      <w:r w:rsidRPr="009239A8">
        <w:rPr>
          <w:sz w:val="20"/>
          <w:szCs w:val="20"/>
        </w:rPr>
        <w:t xml:space="preserve">It lies on latitude </w:t>
      </w:r>
      <w:r w:rsidRPr="009239A8">
        <w:rPr>
          <w:sz w:val="20"/>
          <w:szCs w:val="20"/>
          <w:lang w:val="en"/>
        </w:rPr>
        <w:t xml:space="preserve">27°31′N </w:t>
      </w:r>
      <w:r w:rsidRPr="009239A8">
        <w:rPr>
          <w:sz w:val="20"/>
          <w:szCs w:val="20"/>
        </w:rPr>
        <w:t xml:space="preserve">and longitude 41°41′E. </w:t>
      </w:r>
      <w:r w:rsidRPr="009239A8">
        <w:rPr>
          <w:sz w:val="20"/>
          <w:szCs w:val="20"/>
          <w:lang w:val="en"/>
        </w:rPr>
        <w:t xml:space="preserve">The city has a population of 356,876 according to Ha’il Province. </w:t>
      </w:r>
    </w:p>
    <w:p w:rsidR="005A2C81" w:rsidRPr="009239A8" w:rsidRDefault="005A2C81" w:rsidP="005A2C81">
      <w:pPr>
        <w:snapToGrid w:val="0"/>
        <w:spacing w:line="260" w:lineRule="exact"/>
        <w:rPr>
          <w:b/>
          <w:bCs/>
          <w:i/>
          <w:iCs/>
          <w:sz w:val="20"/>
          <w:szCs w:val="20"/>
        </w:rPr>
      </w:pPr>
    </w:p>
    <w:p w:rsidR="005A2C81" w:rsidRPr="009239A8" w:rsidRDefault="00954187" w:rsidP="005A2C81">
      <w:pPr>
        <w:snapToGrid w:val="0"/>
        <w:spacing w:line="260" w:lineRule="exact"/>
        <w:rPr>
          <w:b/>
          <w:bCs/>
          <w:sz w:val="20"/>
          <w:szCs w:val="20"/>
        </w:rPr>
      </w:pPr>
      <w:r w:rsidRPr="009239A8">
        <w:rPr>
          <w:b/>
          <w:bCs/>
          <w:sz w:val="20"/>
          <w:szCs w:val="20"/>
        </w:rPr>
        <w:t xml:space="preserve">3.1. </w:t>
      </w:r>
      <w:r w:rsidR="005A2C81" w:rsidRPr="009239A8">
        <w:rPr>
          <w:b/>
          <w:bCs/>
          <w:sz w:val="20"/>
          <w:szCs w:val="20"/>
        </w:rPr>
        <w:t>Meteorological measurements in Ha’il city</w:t>
      </w:r>
    </w:p>
    <w:p w:rsidR="004A4842" w:rsidRPr="009239A8" w:rsidRDefault="005A2C81" w:rsidP="00FE761D">
      <w:pPr>
        <w:snapToGrid w:val="0"/>
        <w:spacing w:line="260" w:lineRule="exact"/>
        <w:ind w:firstLine="415"/>
        <w:rPr>
          <w:sz w:val="20"/>
          <w:szCs w:val="20"/>
        </w:rPr>
      </w:pPr>
      <w:r w:rsidRPr="009239A8">
        <w:rPr>
          <w:sz w:val="20"/>
          <w:szCs w:val="20"/>
        </w:rPr>
        <w:t xml:space="preserve">Table (1) </w:t>
      </w:r>
      <w:r w:rsidR="009E2108" w:rsidRPr="009239A8">
        <w:rPr>
          <w:sz w:val="20"/>
          <w:szCs w:val="20"/>
        </w:rPr>
        <w:t>represented</w:t>
      </w:r>
      <w:r w:rsidRPr="009239A8">
        <w:rPr>
          <w:sz w:val="20"/>
          <w:szCs w:val="20"/>
        </w:rPr>
        <w:t xml:space="preserve"> the average meteorological measurements in Ha’il city. Our results indicated that temperatures degrees were increased gradually through the period from March till May, 2011. The average measurements of temperatures recorded 22.1, 27.3 and 33.1°C, respectively. Metrological data showed that humidity was higher during March (27.5%), while wind speed recorded a higher level at April (37.5 km/hr). Statically our results indicated that there was a highly significant different in temperatures and wind speed during March, April and May (</w:t>
      </w:r>
      <w:r w:rsidR="00FE761D" w:rsidRPr="009239A8">
        <w:rPr>
          <w:i/>
          <w:iCs/>
          <w:sz w:val="20"/>
          <w:szCs w:val="20"/>
        </w:rPr>
        <w:t>P</w:t>
      </w:r>
      <w:r w:rsidRPr="009239A8">
        <w:rPr>
          <w:sz w:val="20"/>
          <w:szCs w:val="20"/>
        </w:rPr>
        <w:t xml:space="preserve"> = 0.001), while there was no significant different in humidity (</w:t>
      </w:r>
      <w:r w:rsidR="00FE761D" w:rsidRPr="009239A8">
        <w:rPr>
          <w:i/>
          <w:iCs/>
          <w:sz w:val="20"/>
          <w:szCs w:val="20"/>
        </w:rPr>
        <w:t>P</w:t>
      </w:r>
      <w:r w:rsidRPr="009239A8">
        <w:rPr>
          <w:sz w:val="20"/>
          <w:szCs w:val="20"/>
        </w:rPr>
        <w:t xml:space="preserve"> &gt; 0.001).</w:t>
      </w:r>
    </w:p>
    <w:p w:rsidR="004A4842" w:rsidRPr="009239A8" w:rsidRDefault="004A4842" w:rsidP="005A2C81">
      <w:pPr>
        <w:snapToGrid w:val="0"/>
        <w:spacing w:line="260" w:lineRule="exact"/>
        <w:ind w:firstLine="415"/>
        <w:rPr>
          <w:sz w:val="20"/>
          <w:szCs w:val="20"/>
        </w:rPr>
      </w:pPr>
    </w:p>
    <w:p w:rsidR="004A4842" w:rsidRPr="009239A8" w:rsidRDefault="00954187" w:rsidP="004A4842">
      <w:pPr>
        <w:snapToGrid w:val="0"/>
        <w:spacing w:line="260" w:lineRule="exact"/>
        <w:rPr>
          <w:b/>
          <w:bCs/>
          <w:sz w:val="20"/>
          <w:szCs w:val="20"/>
        </w:rPr>
      </w:pPr>
      <w:r w:rsidRPr="009239A8">
        <w:rPr>
          <w:b/>
          <w:bCs/>
          <w:sz w:val="20"/>
          <w:szCs w:val="20"/>
        </w:rPr>
        <w:t xml:space="preserve">3.2. </w:t>
      </w:r>
      <w:r w:rsidR="004A4842" w:rsidRPr="009239A8">
        <w:rPr>
          <w:b/>
          <w:bCs/>
          <w:sz w:val="20"/>
          <w:szCs w:val="20"/>
        </w:rPr>
        <w:t>The fungal fluctuation of indoor house dust in spring</w:t>
      </w:r>
    </w:p>
    <w:p w:rsidR="004A4842" w:rsidRPr="009239A8" w:rsidRDefault="004A4842" w:rsidP="00705764">
      <w:pPr>
        <w:snapToGrid w:val="0"/>
        <w:spacing w:line="260" w:lineRule="exact"/>
        <w:ind w:firstLine="415"/>
        <w:rPr>
          <w:sz w:val="20"/>
          <w:szCs w:val="20"/>
        </w:rPr>
      </w:pPr>
      <w:r w:rsidRPr="009239A8">
        <w:rPr>
          <w:sz w:val="20"/>
          <w:szCs w:val="20"/>
        </w:rPr>
        <w:t>Fungal fluctuation of indoor house dust</w:t>
      </w:r>
      <w:r w:rsidRPr="009239A8">
        <w:rPr>
          <w:b/>
          <w:bCs/>
          <w:sz w:val="20"/>
          <w:szCs w:val="20"/>
        </w:rPr>
        <w:t xml:space="preserve"> </w:t>
      </w:r>
      <w:r w:rsidR="00F12EE6" w:rsidRPr="009239A8">
        <w:rPr>
          <w:sz w:val="20"/>
          <w:szCs w:val="20"/>
        </w:rPr>
        <w:t>was represented in table 2.</w:t>
      </w:r>
      <w:r w:rsidRPr="009239A8">
        <w:rPr>
          <w:sz w:val="20"/>
          <w:szCs w:val="20"/>
        </w:rPr>
        <w:t xml:space="preserve"> A total of 6 genera were determined. The most common of these were </w:t>
      </w:r>
      <w:r w:rsidRPr="009239A8">
        <w:rPr>
          <w:i/>
          <w:iCs/>
          <w:sz w:val="20"/>
          <w:szCs w:val="20"/>
        </w:rPr>
        <w:t>Aspergillus</w:t>
      </w:r>
      <w:r w:rsidRPr="009239A8">
        <w:rPr>
          <w:sz w:val="20"/>
          <w:szCs w:val="20"/>
        </w:rPr>
        <w:t xml:space="preserve"> (54.45%) colonies, </w:t>
      </w:r>
      <w:r w:rsidRPr="009239A8">
        <w:rPr>
          <w:i/>
          <w:iCs/>
          <w:sz w:val="20"/>
          <w:szCs w:val="20"/>
        </w:rPr>
        <w:t>Penicillium</w:t>
      </w:r>
      <w:r w:rsidRPr="009239A8">
        <w:rPr>
          <w:sz w:val="20"/>
          <w:szCs w:val="20"/>
        </w:rPr>
        <w:t xml:space="preserve"> (21</w:t>
      </w:r>
      <w:r w:rsidR="00F12EE6" w:rsidRPr="009239A8">
        <w:rPr>
          <w:sz w:val="20"/>
          <w:szCs w:val="20"/>
        </w:rPr>
        <w:t>.</w:t>
      </w:r>
      <w:r w:rsidRPr="009239A8">
        <w:rPr>
          <w:sz w:val="20"/>
          <w:szCs w:val="20"/>
        </w:rPr>
        <w:t xml:space="preserve">63%) colonies, </w:t>
      </w:r>
      <w:r w:rsidRPr="009239A8">
        <w:rPr>
          <w:i/>
          <w:iCs/>
          <w:sz w:val="20"/>
          <w:szCs w:val="20"/>
        </w:rPr>
        <w:t>Fusarium</w:t>
      </w:r>
      <w:r w:rsidRPr="009239A8">
        <w:rPr>
          <w:sz w:val="20"/>
          <w:szCs w:val="20"/>
        </w:rPr>
        <w:t xml:space="preserve"> (8.91%) colonies, followed by </w:t>
      </w:r>
      <w:r w:rsidRPr="009239A8">
        <w:rPr>
          <w:i/>
          <w:iCs/>
          <w:sz w:val="20"/>
          <w:szCs w:val="20"/>
        </w:rPr>
        <w:t xml:space="preserve">Trichoderma </w:t>
      </w:r>
      <w:r w:rsidRPr="009239A8">
        <w:rPr>
          <w:sz w:val="20"/>
          <w:szCs w:val="20"/>
        </w:rPr>
        <w:t xml:space="preserve">(6.96%) colonies, through March 2011. The genus </w:t>
      </w:r>
      <w:r w:rsidRPr="009239A8">
        <w:rPr>
          <w:i/>
          <w:iCs/>
          <w:sz w:val="20"/>
          <w:szCs w:val="20"/>
        </w:rPr>
        <w:t>Aspergillus</w:t>
      </w:r>
      <w:r w:rsidRPr="009239A8">
        <w:rPr>
          <w:sz w:val="20"/>
          <w:szCs w:val="20"/>
        </w:rPr>
        <w:t xml:space="preserve"> was represented in five species, </w:t>
      </w:r>
      <w:r w:rsidRPr="009239A8">
        <w:rPr>
          <w:i/>
          <w:iCs/>
          <w:sz w:val="20"/>
          <w:szCs w:val="20"/>
        </w:rPr>
        <w:t xml:space="preserve">Aspergillus niger </w:t>
      </w:r>
      <w:r w:rsidRPr="009239A8">
        <w:rPr>
          <w:sz w:val="20"/>
          <w:szCs w:val="20"/>
        </w:rPr>
        <w:t xml:space="preserve">(7.39%), </w:t>
      </w:r>
      <w:r w:rsidRPr="009239A8">
        <w:rPr>
          <w:i/>
          <w:iCs/>
          <w:sz w:val="20"/>
          <w:szCs w:val="20"/>
        </w:rPr>
        <w:t>Aspergillus repens</w:t>
      </w:r>
      <w:r w:rsidR="0032725F" w:rsidRPr="009239A8">
        <w:rPr>
          <w:sz w:val="20"/>
          <w:szCs w:val="20"/>
        </w:rPr>
        <w:t xml:space="preserve"> (13.59</w:t>
      </w:r>
      <w:r w:rsidRPr="009239A8">
        <w:rPr>
          <w:sz w:val="20"/>
          <w:szCs w:val="20"/>
        </w:rPr>
        <w:t xml:space="preserve">%), </w:t>
      </w:r>
      <w:r w:rsidRPr="009239A8">
        <w:rPr>
          <w:i/>
          <w:iCs/>
          <w:sz w:val="20"/>
          <w:szCs w:val="20"/>
        </w:rPr>
        <w:t xml:space="preserve">Aspergillus flavus </w:t>
      </w:r>
      <w:r w:rsidR="0032725F" w:rsidRPr="009239A8">
        <w:rPr>
          <w:sz w:val="20"/>
          <w:szCs w:val="20"/>
        </w:rPr>
        <w:t>(21.52</w:t>
      </w:r>
      <w:r w:rsidRPr="009239A8">
        <w:rPr>
          <w:sz w:val="20"/>
          <w:szCs w:val="20"/>
        </w:rPr>
        <w:t xml:space="preserve">%), </w:t>
      </w:r>
      <w:r w:rsidRPr="009239A8">
        <w:rPr>
          <w:i/>
          <w:iCs/>
          <w:sz w:val="20"/>
          <w:szCs w:val="20"/>
        </w:rPr>
        <w:t xml:space="preserve">Aspergillus fumigatus </w:t>
      </w:r>
      <w:r w:rsidR="0032725F" w:rsidRPr="009239A8">
        <w:rPr>
          <w:sz w:val="20"/>
          <w:szCs w:val="20"/>
        </w:rPr>
        <w:t>(7.28</w:t>
      </w:r>
      <w:r w:rsidRPr="009239A8">
        <w:rPr>
          <w:sz w:val="20"/>
          <w:szCs w:val="20"/>
        </w:rPr>
        <w:t xml:space="preserve">%) and </w:t>
      </w:r>
      <w:r w:rsidRPr="009239A8">
        <w:rPr>
          <w:i/>
          <w:iCs/>
          <w:sz w:val="20"/>
          <w:szCs w:val="20"/>
        </w:rPr>
        <w:t>Aspergillus terreus</w:t>
      </w:r>
      <w:r w:rsidR="009E2108" w:rsidRPr="009239A8">
        <w:rPr>
          <w:sz w:val="20"/>
          <w:szCs w:val="20"/>
        </w:rPr>
        <w:t xml:space="preserve"> (4.67</w:t>
      </w:r>
      <w:r w:rsidRPr="009239A8">
        <w:rPr>
          <w:sz w:val="20"/>
          <w:szCs w:val="20"/>
        </w:rPr>
        <w:t xml:space="preserve">%), while the genus </w:t>
      </w:r>
      <w:r w:rsidRPr="009239A8">
        <w:rPr>
          <w:i/>
          <w:iCs/>
          <w:sz w:val="20"/>
          <w:szCs w:val="20"/>
        </w:rPr>
        <w:t xml:space="preserve">Penicillium </w:t>
      </w:r>
      <w:r w:rsidRPr="009239A8">
        <w:rPr>
          <w:sz w:val="20"/>
          <w:szCs w:val="20"/>
        </w:rPr>
        <w:t xml:space="preserve">represented in only two species, </w:t>
      </w:r>
      <w:r w:rsidRPr="009239A8">
        <w:rPr>
          <w:i/>
          <w:iCs/>
          <w:sz w:val="20"/>
          <w:szCs w:val="20"/>
        </w:rPr>
        <w:t>penicillium glabrum</w:t>
      </w:r>
      <w:r w:rsidR="0032725F" w:rsidRPr="009239A8">
        <w:rPr>
          <w:sz w:val="20"/>
          <w:szCs w:val="20"/>
        </w:rPr>
        <w:t xml:space="preserve"> (15.87</w:t>
      </w:r>
      <w:r w:rsidRPr="009239A8">
        <w:rPr>
          <w:sz w:val="20"/>
          <w:szCs w:val="20"/>
        </w:rPr>
        <w:t xml:space="preserve">%) and </w:t>
      </w:r>
      <w:r w:rsidRPr="009239A8">
        <w:rPr>
          <w:i/>
          <w:iCs/>
          <w:sz w:val="20"/>
          <w:szCs w:val="20"/>
        </w:rPr>
        <w:t>Penicillium verrucosum</w:t>
      </w:r>
      <w:r w:rsidR="0032725F" w:rsidRPr="009239A8">
        <w:rPr>
          <w:sz w:val="20"/>
          <w:szCs w:val="20"/>
        </w:rPr>
        <w:t xml:space="preserve"> (5.76</w:t>
      </w:r>
      <w:r w:rsidRPr="009239A8">
        <w:rPr>
          <w:sz w:val="20"/>
          <w:szCs w:val="20"/>
        </w:rPr>
        <w:t>%). Statically our results indicated that there was a highly significant different in the number of colonies during March, April and May month's (</w:t>
      </w:r>
      <w:r w:rsidR="00705764" w:rsidRPr="009239A8">
        <w:rPr>
          <w:i/>
          <w:iCs/>
          <w:sz w:val="20"/>
          <w:szCs w:val="20"/>
        </w:rPr>
        <w:t>P</w:t>
      </w:r>
      <w:r w:rsidRPr="009239A8">
        <w:rPr>
          <w:sz w:val="20"/>
          <w:szCs w:val="20"/>
        </w:rPr>
        <w:t xml:space="preserve"> </w:t>
      </w:r>
      <w:r w:rsidRPr="009239A8">
        <w:rPr>
          <w:sz w:val="20"/>
          <w:szCs w:val="20"/>
          <w:rtl/>
        </w:rPr>
        <w:t>&gt;</w:t>
      </w:r>
      <w:r w:rsidRPr="009239A8">
        <w:rPr>
          <w:sz w:val="20"/>
          <w:szCs w:val="20"/>
        </w:rPr>
        <w:t xml:space="preserve"> 0.05). </w:t>
      </w:r>
    </w:p>
    <w:p w:rsidR="00F30F6C" w:rsidRPr="009239A8" w:rsidRDefault="00F30F6C" w:rsidP="00F30F6C">
      <w:pPr>
        <w:snapToGrid w:val="0"/>
        <w:spacing w:line="260" w:lineRule="exact"/>
        <w:rPr>
          <w:b/>
          <w:bCs/>
          <w:sz w:val="20"/>
          <w:szCs w:val="20"/>
        </w:rPr>
      </w:pPr>
    </w:p>
    <w:p w:rsidR="00F30F6C" w:rsidRPr="009239A8" w:rsidRDefault="00F30F6C" w:rsidP="00F30F6C">
      <w:pPr>
        <w:snapToGrid w:val="0"/>
        <w:spacing w:line="260" w:lineRule="exact"/>
        <w:rPr>
          <w:b/>
          <w:bCs/>
          <w:sz w:val="20"/>
          <w:szCs w:val="20"/>
        </w:rPr>
      </w:pPr>
      <w:r w:rsidRPr="009239A8">
        <w:rPr>
          <w:b/>
          <w:bCs/>
          <w:sz w:val="20"/>
          <w:szCs w:val="20"/>
        </w:rPr>
        <w:t>3.3. The yeasts fluctuation of indoor house dust in spring</w:t>
      </w:r>
    </w:p>
    <w:p w:rsidR="00F30F6C" w:rsidRPr="009239A8" w:rsidRDefault="00F30F6C" w:rsidP="00C509F3">
      <w:pPr>
        <w:snapToGrid w:val="0"/>
        <w:spacing w:line="260" w:lineRule="exact"/>
        <w:ind w:firstLine="415"/>
        <w:rPr>
          <w:sz w:val="20"/>
          <w:szCs w:val="20"/>
        </w:rPr>
      </w:pPr>
      <w:r w:rsidRPr="009239A8">
        <w:rPr>
          <w:sz w:val="20"/>
          <w:szCs w:val="20"/>
        </w:rPr>
        <w:t xml:space="preserve">Table (3) represented the yeasts fluctuation of indoor house dust in spring. A total of two genera were determined. The most common one of these was </w:t>
      </w:r>
      <w:r w:rsidRPr="009239A8">
        <w:rPr>
          <w:i/>
          <w:iCs/>
          <w:sz w:val="20"/>
          <w:szCs w:val="20"/>
        </w:rPr>
        <w:t>Candida</w:t>
      </w:r>
      <w:r w:rsidRPr="009239A8">
        <w:rPr>
          <w:sz w:val="20"/>
          <w:szCs w:val="20"/>
        </w:rPr>
        <w:t xml:space="preserve"> (60.77 %) colonies followed by </w:t>
      </w:r>
      <w:r w:rsidRPr="009239A8">
        <w:rPr>
          <w:i/>
          <w:iCs/>
          <w:sz w:val="20"/>
          <w:szCs w:val="20"/>
        </w:rPr>
        <w:t>Trichosporon</w:t>
      </w:r>
      <w:r w:rsidRPr="009239A8">
        <w:rPr>
          <w:sz w:val="20"/>
          <w:szCs w:val="20"/>
        </w:rPr>
        <w:t xml:space="preserve"> (39.23 %), through April, 2011. Our results statically showed that there was a highly significant different in the number of colonies during March, April and May month's (</w:t>
      </w:r>
      <w:r w:rsidR="00C509F3" w:rsidRPr="009239A8">
        <w:rPr>
          <w:i/>
          <w:iCs/>
          <w:sz w:val="20"/>
          <w:szCs w:val="20"/>
        </w:rPr>
        <w:t>P</w:t>
      </w:r>
      <w:r w:rsidRPr="009239A8">
        <w:rPr>
          <w:sz w:val="20"/>
          <w:szCs w:val="20"/>
        </w:rPr>
        <w:t xml:space="preserve"> = 0.001).</w:t>
      </w:r>
    </w:p>
    <w:p w:rsidR="008738FB" w:rsidRPr="009239A8" w:rsidRDefault="008738FB" w:rsidP="00F30F6C">
      <w:pPr>
        <w:snapToGrid w:val="0"/>
        <w:spacing w:line="260" w:lineRule="exact"/>
        <w:ind w:firstLine="415"/>
        <w:rPr>
          <w:sz w:val="20"/>
          <w:szCs w:val="20"/>
        </w:rPr>
      </w:pPr>
    </w:p>
    <w:p w:rsidR="00F30F6C" w:rsidRPr="009239A8" w:rsidRDefault="00F30F6C" w:rsidP="008738FB">
      <w:pPr>
        <w:snapToGrid w:val="0"/>
        <w:spacing w:line="260" w:lineRule="exact"/>
        <w:ind w:firstLine="415"/>
        <w:jc w:val="center"/>
        <w:rPr>
          <w:sz w:val="20"/>
          <w:szCs w:val="20"/>
        </w:rPr>
      </w:pPr>
    </w:p>
    <w:p w:rsidR="00F30F6C" w:rsidRPr="009239A8" w:rsidRDefault="00F30F6C" w:rsidP="008738FB">
      <w:pPr>
        <w:snapToGrid w:val="0"/>
        <w:spacing w:line="260" w:lineRule="exact"/>
        <w:ind w:firstLine="415"/>
        <w:jc w:val="center"/>
        <w:rPr>
          <w:sz w:val="20"/>
          <w:szCs w:val="20"/>
        </w:rPr>
      </w:pPr>
    </w:p>
    <w:p w:rsidR="00F30F6C" w:rsidRPr="009239A8" w:rsidRDefault="00F30F6C" w:rsidP="008738FB">
      <w:pPr>
        <w:snapToGrid w:val="0"/>
        <w:spacing w:line="260" w:lineRule="exact"/>
        <w:ind w:firstLine="415"/>
        <w:jc w:val="center"/>
        <w:rPr>
          <w:sz w:val="20"/>
          <w:szCs w:val="20"/>
        </w:rPr>
      </w:pPr>
    </w:p>
    <w:p w:rsidR="008738FB" w:rsidRPr="009239A8" w:rsidRDefault="008738FB" w:rsidP="008738FB">
      <w:pPr>
        <w:snapToGrid w:val="0"/>
        <w:spacing w:line="260" w:lineRule="exact"/>
        <w:ind w:firstLine="415"/>
        <w:jc w:val="center"/>
        <w:rPr>
          <w:sz w:val="20"/>
          <w:szCs w:val="20"/>
        </w:rPr>
        <w:sectPr w:rsidR="008738FB" w:rsidRPr="009239A8" w:rsidSect="009239A8">
          <w:type w:val="continuous"/>
          <w:pgSz w:w="12242" w:h="15842" w:code="1"/>
          <w:pgMar w:top="1440" w:right="1440" w:bottom="1440" w:left="1440" w:header="720" w:footer="720" w:gutter="0"/>
          <w:cols w:num="2" w:space="300"/>
          <w:docGrid w:linePitch="312"/>
        </w:sectPr>
      </w:pPr>
    </w:p>
    <w:p w:rsidR="00607817" w:rsidRDefault="00607817" w:rsidP="009239A8">
      <w:pPr>
        <w:snapToGrid w:val="0"/>
        <w:spacing w:line="260" w:lineRule="exact"/>
        <w:rPr>
          <w:b/>
          <w:sz w:val="20"/>
          <w:szCs w:val="20"/>
        </w:rPr>
      </w:pPr>
    </w:p>
    <w:p w:rsidR="00F30F6C" w:rsidRPr="009239A8" w:rsidRDefault="00F30F6C" w:rsidP="009239A8">
      <w:pPr>
        <w:snapToGrid w:val="0"/>
        <w:spacing w:line="260" w:lineRule="exact"/>
        <w:rPr>
          <w:b/>
          <w:sz w:val="20"/>
          <w:szCs w:val="20"/>
        </w:rPr>
      </w:pPr>
      <w:r w:rsidRPr="009239A8">
        <w:rPr>
          <w:b/>
          <w:sz w:val="20"/>
          <w:szCs w:val="20"/>
        </w:rPr>
        <w:t>Table 1. Average meteorological measurements in Ha'il city, Saudi.</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162"/>
        <w:gridCol w:w="1843"/>
        <w:gridCol w:w="2453"/>
      </w:tblGrid>
      <w:tr w:rsidR="00F30F6C" w:rsidRPr="009239A8" w:rsidTr="00F30F6C">
        <w:trPr>
          <w:jc w:val="center"/>
        </w:trPr>
        <w:tc>
          <w:tcPr>
            <w:tcW w:w="2412" w:type="dxa"/>
            <w:shd w:val="clear" w:color="auto" w:fill="auto"/>
            <w:vAlign w:val="center"/>
          </w:tcPr>
          <w:p w:rsidR="00F30F6C" w:rsidRPr="009239A8" w:rsidRDefault="00F30F6C" w:rsidP="00F30F6C">
            <w:pPr>
              <w:snapToGrid w:val="0"/>
              <w:spacing w:line="260" w:lineRule="exact"/>
              <w:jc w:val="center"/>
              <w:rPr>
                <w:b/>
                <w:bCs/>
                <w:sz w:val="20"/>
                <w:szCs w:val="20"/>
              </w:rPr>
            </w:pPr>
            <w:r w:rsidRPr="009239A8">
              <w:rPr>
                <w:b/>
                <w:bCs/>
                <w:sz w:val="20"/>
                <w:szCs w:val="20"/>
              </w:rPr>
              <w:t>Months</w:t>
            </w:r>
          </w:p>
        </w:tc>
        <w:tc>
          <w:tcPr>
            <w:tcW w:w="2162" w:type="dxa"/>
            <w:shd w:val="clear" w:color="auto" w:fill="auto"/>
            <w:vAlign w:val="center"/>
          </w:tcPr>
          <w:p w:rsidR="00F30F6C" w:rsidRPr="009239A8" w:rsidRDefault="00F30F6C" w:rsidP="00F30F6C">
            <w:pPr>
              <w:snapToGrid w:val="0"/>
              <w:spacing w:line="260" w:lineRule="exact"/>
              <w:jc w:val="center"/>
              <w:rPr>
                <w:b/>
                <w:bCs/>
                <w:sz w:val="20"/>
                <w:szCs w:val="20"/>
              </w:rPr>
            </w:pPr>
            <w:r w:rsidRPr="009239A8">
              <w:rPr>
                <w:b/>
                <w:bCs/>
                <w:sz w:val="20"/>
                <w:szCs w:val="20"/>
              </w:rPr>
              <w:t>Temperature</w:t>
            </w:r>
          </w:p>
          <w:p w:rsidR="00F30F6C" w:rsidRPr="009239A8" w:rsidRDefault="00F30F6C" w:rsidP="00F30F6C">
            <w:pPr>
              <w:snapToGrid w:val="0"/>
              <w:spacing w:line="260" w:lineRule="exact"/>
              <w:jc w:val="center"/>
              <w:rPr>
                <w:b/>
                <w:bCs/>
                <w:sz w:val="20"/>
                <w:szCs w:val="20"/>
              </w:rPr>
            </w:pPr>
            <w:r w:rsidRPr="009239A8">
              <w:rPr>
                <w:b/>
                <w:bCs/>
                <w:sz w:val="20"/>
                <w:szCs w:val="20"/>
              </w:rPr>
              <w:t>(°C)</w:t>
            </w:r>
          </w:p>
        </w:tc>
        <w:tc>
          <w:tcPr>
            <w:tcW w:w="1843" w:type="dxa"/>
            <w:shd w:val="clear" w:color="auto" w:fill="auto"/>
            <w:vAlign w:val="center"/>
          </w:tcPr>
          <w:p w:rsidR="00F30F6C" w:rsidRPr="009239A8" w:rsidRDefault="00F30F6C" w:rsidP="00F30F6C">
            <w:pPr>
              <w:snapToGrid w:val="0"/>
              <w:spacing w:line="260" w:lineRule="exact"/>
              <w:jc w:val="center"/>
              <w:rPr>
                <w:b/>
                <w:bCs/>
                <w:sz w:val="20"/>
                <w:szCs w:val="20"/>
              </w:rPr>
            </w:pPr>
            <w:r w:rsidRPr="009239A8">
              <w:rPr>
                <w:b/>
                <w:bCs/>
                <w:sz w:val="20"/>
                <w:szCs w:val="20"/>
              </w:rPr>
              <w:t>Humidity</w:t>
            </w:r>
          </w:p>
          <w:p w:rsidR="00F30F6C" w:rsidRPr="009239A8" w:rsidRDefault="00F30F6C" w:rsidP="00F30F6C">
            <w:pPr>
              <w:snapToGrid w:val="0"/>
              <w:spacing w:line="260" w:lineRule="exact"/>
              <w:jc w:val="center"/>
              <w:rPr>
                <w:b/>
                <w:bCs/>
                <w:sz w:val="20"/>
                <w:szCs w:val="20"/>
              </w:rPr>
            </w:pPr>
            <w:r w:rsidRPr="009239A8">
              <w:rPr>
                <w:b/>
                <w:bCs/>
                <w:sz w:val="20"/>
                <w:szCs w:val="20"/>
              </w:rPr>
              <w:t>(%)</w:t>
            </w:r>
          </w:p>
        </w:tc>
        <w:tc>
          <w:tcPr>
            <w:tcW w:w="2453" w:type="dxa"/>
            <w:shd w:val="clear" w:color="auto" w:fill="auto"/>
            <w:vAlign w:val="center"/>
          </w:tcPr>
          <w:p w:rsidR="00F30F6C" w:rsidRPr="009239A8" w:rsidRDefault="00F30F6C" w:rsidP="00F30F6C">
            <w:pPr>
              <w:snapToGrid w:val="0"/>
              <w:spacing w:line="260" w:lineRule="exact"/>
              <w:jc w:val="center"/>
              <w:rPr>
                <w:b/>
                <w:bCs/>
                <w:sz w:val="20"/>
                <w:szCs w:val="20"/>
              </w:rPr>
            </w:pPr>
            <w:r w:rsidRPr="009239A8">
              <w:rPr>
                <w:b/>
                <w:bCs/>
                <w:sz w:val="20"/>
                <w:szCs w:val="20"/>
              </w:rPr>
              <w:t>Wind speed</w:t>
            </w:r>
          </w:p>
          <w:p w:rsidR="00F30F6C" w:rsidRPr="009239A8" w:rsidRDefault="00F30F6C" w:rsidP="00F30F6C">
            <w:pPr>
              <w:snapToGrid w:val="0"/>
              <w:spacing w:line="260" w:lineRule="exact"/>
              <w:jc w:val="center"/>
              <w:rPr>
                <w:b/>
                <w:bCs/>
                <w:sz w:val="20"/>
                <w:szCs w:val="20"/>
              </w:rPr>
            </w:pPr>
            <w:r w:rsidRPr="009239A8">
              <w:rPr>
                <w:b/>
                <w:bCs/>
                <w:sz w:val="20"/>
                <w:szCs w:val="20"/>
              </w:rPr>
              <w:t>(km/hr.)</w:t>
            </w:r>
          </w:p>
        </w:tc>
      </w:tr>
      <w:tr w:rsidR="00F30F6C" w:rsidRPr="009239A8" w:rsidTr="00F30F6C">
        <w:trPr>
          <w:jc w:val="center"/>
        </w:trPr>
        <w:tc>
          <w:tcPr>
            <w:tcW w:w="241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March</w:t>
            </w:r>
          </w:p>
        </w:tc>
        <w:tc>
          <w:tcPr>
            <w:tcW w:w="216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22.1</w:t>
            </w:r>
          </w:p>
        </w:tc>
        <w:tc>
          <w:tcPr>
            <w:tcW w:w="184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27.5</w:t>
            </w:r>
          </w:p>
        </w:tc>
        <w:tc>
          <w:tcPr>
            <w:tcW w:w="245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21.6</w:t>
            </w:r>
          </w:p>
        </w:tc>
      </w:tr>
      <w:tr w:rsidR="00F30F6C" w:rsidRPr="009239A8" w:rsidTr="00F30F6C">
        <w:trPr>
          <w:jc w:val="center"/>
        </w:trPr>
        <w:tc>
          <w:tcPr>
            <w:tcW w:w="241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April</w:t>
            </w:r>
          </w:p>
        </w:tc>
        <w:tc>
          <w:tcPr>
            <w:tcW w:w="216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27.3</w:t>
            </w:r>
          </w:p>
        </w:tc>
        <w:tc>
          <w:tcPr>
            <w:tcW w:w="184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25.8</w:t>
            </w:r>
          </w:p>
        </w:tc>
        <w:tc>
          <w:tcPr>
            <w:tcW w:w="245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37.5</w:t>
            </w:r>
          </w:p>
        </w:tc>
      </w:tr>
      <w:tr w:rsidR="00F30F6C" w:rsidRPr="009239A8" w:rsidTr="00F30F6C">
        <w:trPr>
          <w:jc w:val="center"/>
        </w:trPr>
        <w:tc>
          <w:tcPr>
            <w:tcW w:w="241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May</w:t>
            </w:r>
          </w:p>
        </w:tc>
        <w:tc>
          <w:tcPr>
            <w:tcW w:w="216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33.1</w:t>
            </w:r>
          </w:p>
        </w:tc>
        <w:tc>
          <w:tcPr>
            <w:tcW w:w="184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22.3</w:t>
            </w:r>
          </w:p>
        </w:tc>
        <w:tc>
          <w:tcPr>
            <w:tcW w:w="245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31.3</w:t>
            </w:r>
          </w:p>
        </w:tc>
      </w:tr>
      <w:tr w:rsidR="00F30F6C" w:rsidRPr="009239A8" w:rsidTr="00F30F6C">
        <w:trPr>
          <w:jc w:val="center"/>
        </w:trPr>
        <w:tc>
          <w:tcPr>
            <w:tcW w:w="241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i/>
                <w:iCs/>
                <w:sz w:val="20"/>
                <w:szCs w:val="20"/>
              </w:rPr>
              <w:t>P</w:t>
            </w:r>
            <w:r w:rsidRPr="009239A8">
              <w:rPr>
                <w:sz w:val="20"/>
                <w:szCs w:val="20"/>
              </w:rPr>
              <w:t>-value</w:t>
            </w:r>
          </w:p>
        </w:tc>
        <w:tc>
          <w:tcPr>
            <w:tcW w:w="2162"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0.001</w:t>
            </w:r>
          </w:p>
        </w:tc>
        <w:tc>
          <w:tcPr>
            <w:tcW w:w="184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0.421</w:t>
            </w:r>
          </w:p>
        </w:tc>
        <w:tc>
          <w:tcPr>
            <w:tcW w:w="2453" w:type="dxa"/>
            <w:shd w:val="clear" w:color="auto" w:fill="auto"/>
            <w:vAlign w:val="center"/>
          </w:tcPr>
          <w:p w:rsidR="00F30F6C" w:rsidRPr="009239A8" w:rsidRDefault="00F30F6C" w:rsidP="00F30F6C">
            <w:pPr>
              <w:snapToGrid w:val="0"/>
              <w:spacing w:line="260" w:lineRule="exact"/>
              <w:jc w:val="center"/>
              <w:rPr>
                <w:sz w:val="20"/>
                <w:szCs w:val="20"/>
              </w:rPr>
            </w:pPr>
            <w:r w:rsidRPr="009239A8">
              <w:rPr>
                <w:sz w:val="20"/>
                <w:szCs w:val="20"/>
              </w:rPr>
              <w:t>0.001</w:t>
            </w:r>
          </w:p>
        </w:tc>
      </w:tr>
    </w:tbl>
    <w:p w:rsidR="00F30F6C" w:rsidRPr="009239A8" w:rsidRDefault="00F30F6C" w:rsidP="00FF22A7">
      <w:pPr>
        <w:snapToGrid w:val="0"/>
        <w:spacing w:line="260" w:lineRule="exact"/>
        <w:jc w:val="center"/>
        <w:rPr>
          <w:sz w:val="20"/>
          <w:szCs w:val="20"/>
        </w:rPr>
      </w:pPr>
    </w:p>
    <w:p w:rsidR="008738FB" w:rsidRPr="009239A8" w:rsidRDefault="00FF22A7" w:rsidP="009239A8">
      <w:pPr>
        <w:snapToGrid w:val="0"/>
        <w:spacing w:line="260" w:lineRule="exact"/>
        <w:rPr>
          <w:b/>
          <w:sz w:val="20"/>
          <w:szCs w:val="20"/>
        </w:rPr>
        <w:sectPr w:rsidR="008738FB" w:rsidRPr="009239A8" w:rsidSect="009239A8">
          <w:type w:val="continuous"/>
          <w:pgSz w:w="12242" w:h="15842" w:code="1"/>
          <w:pgMar w:top="1440" w:right="1440" w:bottom="1440" w:left="1440" w:header="720" w:footer="720" w:gutter="0"/>
          <w:cols w:space="300"/>
          <w:docGrid w:linePitch="312"/>
        </w:sectPr>
      </w:pPr>
      <w:r w:rsidRPr="009239A8">
        <w:rPr>
          <w:b/>
          <w:sz w:val="20"/>
          <w:szCs w:val="20"/>
        </w:rPr>
        <w:t>Table 2.</w:t>
      </w:r>
      <w:r w:rsidR="008738FB" w:rsidRPr="009239A8">
        <w:rPr>
          <w:b/>
          <w:sz w:val="20"/>
          <w:szCs w:val="20"/>
        </w:rPr>
        <w:t xml:space="preserve"> The fungal fluctuation of indoor house dust in spring</w:t>
      </w:r>
      <w:r w:rsidRPr="009239A8">
        <w:rPr>
          <w:b/>
          <w:sz w:val="20"/>
          <w:szCs w:val="20"/>
        </w:rPr>
        <w:t>.</w:t>
      </w:r>
    </w:p>
    <w:tbl>
      <w:tblPr>
        <w:tblW w:w="46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095"/>
        <w:gridCol w:w="767"/>
        <w:gridCol w:w="1106"/>
        <w:gridCol w:w="719"/>
        <w:gridCol w:w="1106"/>
        <w:gridCol w:w="747"/>
        <w:gridCol w:w="881"/>
        <w:gridCol w:w="933"/>
      </w:tblGrid>
      <w:tr w:rsidR="008738FB" w:rsidRPr="009239A8" w:rsidTr="008738FB">
        <w:trPr>
          <w:trHeight w:val="314"/>
          <w:jc w:val="center"/>
        </w:trPr>
        <w:tc>
          <w:tcPr>
            <w:tcW w:w="876" w:type="pct"/>
            <w:vMerge w:val="restart"/>
            <w:shd w:val="clear" w:color="auto" w:fill="auto"/>
            <w:vAlign w:val="center"/>
          </w:tcPr>
          <w:p w:rsidR="008738FB" w:rsidRPr="009239A8" w:rsidRDefault="008738FB" w:rsidP="008738FB">
            <w:pPr>
              <w:snapToGrid w:val="0"/>
              <w:spacing w:line="260" w:lineRule="exact"/>
              <w:ind w:firstLine="415"/>
              <w:jc w:val="center"/>
              <w:rPr>
                <w:b/>
                <w:bCs/>
                <w:sz w:val="20"/>
                <w:szCs w:val="20"/>
              </w:rPr>
            </w:pPr>
          </w:p>
          <w:p w:rsidR="008738FB" w:rsidRPr="009239A8" w:rsidRDefault="008738FB" w:rsidP="008738FB">
            <w:pPr>
              <w:snapToGrid w:val="0"/>
              <w:spacing w:line="260" w:lineRule="exact"/>
              <w:jc w:val="center"/>
              <w:rPr>
                <w:b/>
                <w:bCs/>
                <w:sz w:val="20"/>
                <w:szCs w:val="20"/>
              </w:rPr>
            </w:pPr>
            <w:r w:rsidRPr="009239A8">
              <w:rPr>
                <w:b/>
                <w:bCs/>
                <w:sz w:val="20"/>
                <w:szCs w:val="20"/>
              </w:rPr>
              <w:t>Fungi</w:t>
            </w:r>
          </w:p>
        </w:tc>
        <w:tc>
          <w:tcPr>
            <w:tcW w:w="3106" w:type="pct"/>
            <w:gridSpan w:val="6"/>
            <w:shd w:val="clear" w:color="auto" w:fill="auto"/>
            <w:vAlign w:val="center"/>
          </w:tcPr>
          <w:p w:rsidR="008738FB" w:rsidRPr="009239A8" w:rsidRDefault="008738FB" w:rsidP="008738FB">
            <w:pPr>
              <w:snapToGrid w:val="0"/>
              <w:spacing w:line="260" w:lineRule="exact"/>
              <w:ind w:firstLine="415"/>
              <w:jc w:val="center"/>
              <w:rPr>
                <w:b/>
                <w:bCs/>
                <w:sz w:val="20"/>
                <w:szCs w:val="20"/>
              </w:rPr>
            </w:pPr>
            <w:r w:rsidRPr="009239A8">
              <w:rPr>
                <w:b/>
                <w:bCs/>
                <w:sz w:val="20"/>
                <w:szCs w:val="20"/>
              </w:rPr>
              <w:t>No. of colonies per gram of house dust</w:t>
            </w:r>
          </w:p>
        </w:tc>
        <w:tc>
          <w:tcPr>
            <w:tcW w:w="494" w:type="pct"/>
            <w:vMerge w:val="restart"/>
            <w:shd w:val="clear" w:color="auto" w:fill="auto"/>
            <w:vAlign w:val="center"/>
          </w:tcPr>
          <w:p w:rsidR="008738FB" w:rsidRPr="009239A8" w:rsidRDefault="008738FB" w:rsidP="008738FB">
            <w:pPr>
              <w:snapToGrid w:val="0"/>
              <w:spacing w:line="260" w:lineRule="exact"/>
              <w:ind w:firstLine="415"/>
              <w:jc w:val="center"/>
              <w:rPr>
                <w:b/>
                <w:bCs/>
                <w:sz w:val="20"/>
                <w:szCs w:val="20"/>
              </w:rPr>
            </w:pPr>
          </w:p>
          <w:p w:rsidR="008738FB" w:rsidRPr="009239A8" w:rsidRDefault="008738FB" w:rsidP="008738FB">
            <w:pPr>
              <w:snapToGrid w:val="0"/>
              <w:spacing w:line="260" w:lineRule="exact"/>
              <w:jc w:val="center"/>
              <w:rPr>
                <w:b/>
                <w:bCs/>
                <w:sz w:val="20"/>
                <w:szCs w:val="20"/>
              </w:rPr>
            </w:pPr>
            <w:r w:rsidRPr="009239A8">
              <w:rPr>
                <w:b/>
                <w:bCs/>
                <w:sz w:val="20"/>
                <w:szCs w:val="20"/>
              </w:rPr>
              <w:t>F</w:t>
            </w:r>
          </w:p>
        </w:tc>
        <w:tc>
          <w:tcPr>
            <w:tcW w:w="523" w:type="pct"/>
            <w:vMerge w:val="restart"/>
            <w:shd w:val="clear" w:color="auto" w:fill="auto"/>
            <w:vAlign w:val="center"/>
          </w:tcPr>
          <w:p w:rsidR="008738FB" w:rsidRPr="009239A8" w:rsidRDefault="008738FB" w:rsidP="008738FB">
            <w:pPr>
              <w:snapToGrid w:val="0"/>
              <w:spacing w:line="260" w:lineRule="exact"/>
              <w:ind w:firstLine="415"/>
              <w:jc w:val="center"/>
              <w:rPr>
                <w:b/>
                <w:bCs/>
                <w:i/>
                <w:iCs/>
                <w:sz w:val="20"/>
                <w:szCs w:val="20"/>
              </w:rPr>
            </w:pPr>
          </w:p>
          <w:p w:rsidR="008738FB" w:rsidRPr="009239A8" w:rsidRDefault="008738FB" w:rsidP="008738FB">
            <w:pPr>
              <w:snapToGrid w:val="0"/>
              <w:spacing w:line="260" w:lineRule="exact"/>
              <w:jc w:val="center"/>
              <w:rPr>
                <w:b/>
                <w:bCs/>
                <w:sz w:val="20"/>
                <w:szCs w:val="20"/>
              </w:rPr>
            </w:pPr>
            <w:r w:rsidRPr="009239A8">
              <w:rPr>
                <w:b/>
                <w:bCs/>
                <w:i/>
                <w:iCs/>
                <w:sz w:val="20"/>
                <w:szCs w:val="20"/>
              </w:rPr>
              <w:t>P</w:t>
            </w:r>
            <w:r w:rsidRPr="009239A8">
              <w:rPr>
                <w:b/>
                <w:bCs/>
                <w:sz w:val="20"/>
                <w:szCs w:val="20"/>
              </w:rPr>
              <w:t>-value</w:t>
            </w:r>
          </w:p>
        </w:tc>
      </w:tr>
      <w:tr w:rsidR="008738FB" w:rsidRPr="009239A8" w:rsidTr="008738FB">
        <w:trPr>
          <w:trHeight w:val="245"/>
          <w:jc w:val="center"/>
        </w:trPr>
        <w:tc>
          <w:tcPr>
            <w:tcW w:w="876" w:type="pct"/>
            <w:vMerge/>
            <w:shd w:val="clear" w:color="auto" w:fill="auto"/>
            <w:vAlign w:val="center"/>
          </w:tcPr>
          <w:p w:rsidR="008738FB" w:rsidRPr="009239A8" w:rsidRDefault="008738FB" w:rsidP="008738FB">
            <w:pPr>
              <w:snapToGrid w:val="0"/>
              <w:spacing w:line="260" w:lineRule="exact"/>
              <w:ind w:firstLine="415"/>
              <w:jc w:val="center"/>
              <w:rPr>
                <w:sz w:val="20"/>
                <w:szCs w:val="20"/>
              </w:rPr>
            </w:pPr>
          </w:p>
        </w:tc>
        <w:tc>
          <w:tcPr>
            <w:tcW w:w="1044" w:type="pct"/>
            <w:gridSpan w:val="2"/>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March</w:t>
            </w:r>
          </w:p>
        </w:tc>
        <w:tc>
          <w:tcPr>
            <w:tcW w:w="1023" w:type="pct"/>
            <w:gridSpan w:val="2"/>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April</w:t>
            </w:r>
          </w:p>
        </w:tc>
        <w:tc>
          <w:tcPr>
            <w:tcW w:w="1039" w:type="pct"/>
            <w:gridSpan w:val="2"/>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May</w:t>
            </w:r>
          </w:p>
        </w:tc>
        <w:tc>
          <w:tcPr>
            <w:tcW w:w="494" w:type="pct"/>
            <w:vMerge/>
            <w:shd w:val="clear" w:color="auto" w:fill="auto"/>
            <w:vAlign w:val="center"/>
          </w:tcPr>
          <w:p w:rsidR="008738FB" w:rsidRPr="009239A8" w:rsidRDefault="008738FB" w:rsidP="008738FB">
            <w:pPr>
              <w:snapToGrid w:val="0"/>
              <w:spacing w:line="260" w:lineRule="exact"/>
              <w:ind w:firstLine="415"/>
              <w:jc w:val="center"/>
              <w:rPr>
                <w:b/>
                <w:bCs/>
                <w:sz w:val="20"/>
                <w:szCs w:val="20"/>
              </w:rPr>
            </w:pPr>
          </w:p>
        </w:tc>
        <w:tc>
          <w:tcPr>
            <w:tcW w:w="523" w:type="pct"/>
            <w:vMerge/>
            <w:shd w:val="clear" w:color="auto" w:fill="auto"/>
            <w:vAlign w:val="center"/>
          </w:tcPr>
          <w:p w:rsidR="008738FB" w:rsidRPr="009239A8" w:rsidRDefault="008738FB" w:rsidP="008738FB">
            <w:pPr>
              <w:snapToGrid w:val="0"/>
              <w:spacing w:line="260" w:lineRule="exact"/>
              <w:ind w:firstLine="415"/>
              <w:jc w:val="center"/>
              <w:rPr>
                <w:b/>
                <w:bCs/>
                <w:sz w:val="20"/>
                <w:szCs w:val="20"/>
              </w:rPr>
            </w:pPr>
          </w:p>
        </w:tc>
      </w:tr>
      <w:tr w:rsidR="008738FB" w:rsidRPr="009239A8" w:rsidTr="008738FB">
        <w:trPr>
          <w:trHeight w:val="245"/>
          <w:jc w:val="center"/>
        </w:trPr>
        <w:tc>
          <w:tcPr>
            <w:tcW w:w="876" w:type="pct"/>
            <w:vMerge/>
            <w:shd w:val="clear" w:color="auto" w:fill="auto"/>
            <w:vAlign w:val="center"/>
          </w:tcPr>
          <w:p w:rsidR="008738FB" w:rsidRPr="009239A8" w:rsidRDefault="008738FB" w:rsidP="008738FB">
            <w:pPr>
              <w:snapToGrid w:val="0"/>
              <w:spacing w:line="260" w:lineRule="exact"/>
              <w:ind w:firstLine="415"/>
              <w:jc w:val="center"/>
              <w:rPr>
                <w:sz w:val="20"/>
                <w:szCs w:val="20"/>
              </w:rPr>
            </w:pPr>
          </w:p>
        </w:tc>
        <w:tc>
          <w:tcPr>
            <w:tcW w:w="614" w:type="pct"/>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CFU/gm.</w:t>
            </w:r>
          </w:p>
        </w:tc>
        <w:tc>
          <w:tcPr>
            <w:tcW w:w="430" w:type="pct"/>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w:t>
            </w:r>
          </w:p>
        </w:tc>
        <w:tc>
          <w:tcPr>
            <w:tcW w:w="620" w:type="pct"/>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CFU/gm.</w:t>
            </w:r>
          </w:p>
        </w:tc>
        <w:tc>
          <w:tcPr>
            <w:tcW w:w="403" w:type="pct"/>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w:t>
            </w:r>
          </w:p>
        </w:tc>
        <w:tc>
          <w:tcPr>
            <w:tcW w:w="620" w:type="pct"/>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CFU/gm.</w:t>
            </w:r>
          </w:p>
        </w:tc>
        <w:tc>
          <w:tcPr>
            <w:tcW w:w="419" w:type="pct"/>
            <w:shd w:val="clear" w:color="auto" w:fill="auto"/>
            <w:vAlign w:val="center"/>
          </w:tcPr>
          <w:p w:rsidR="008738FB" w:rsidRPr="009239A8" w:rsidRDefault="008738FB" w:rsidP="008738FB">
            <w:pPr>
              <w:snapToGrid w:val="0"/>
              <w:spacing w:line="260" w:lineRule="exact"/>
              <w:jc w:val="center"/>
              <w:rPr>
                <w:b/>
                <w:bCs/>
                <w:sz w:val="20"/>
                <w:szCs w:val="20"/>
              </w:rPr>
            </w:pPr>
            <w:r w:rsidRPr="009239A8">
              <w:rPr>
                <w:b/>
                <w:bCs/>
                <w:sz w:val="20"/>
                <w:szCs w:val="20"/>
              </w:rPr>
              <w:t>%</w:t>
            </w:r>
          </w:p>
        </w:tc>
        <w:tc>
          <w:tcPr>
            <w:tcW w:w="494" w:type="pct"/>
            <w:vMerge/>
            <w:shd w:val="clear" w:color="auto" w:fill="auto"/>
            <w:vAlign w:val="center"/>
          </w:tcPr>
          <w:p w:rsidR="008738FB" w:rsidRPr="009239A8" w:rsidRDefault="008738FB" w:rsidP="008738FB">
            <w:pPr>
              <w:snapToGrid w:val="0"/>
              <w:spacing w:line="260" w:lineRule="exact"/>
              <w:ind w:firstLine="415"/>
              <w:jc w:val="center"/>
              <w:rPr>
                <w:b/>
                <w:bCs/>
                <w:sz w:val="20"/>
                <w:szCs w:val="20"/>
              </w:rPr>
            </w:pPr>
          </w:p>
        </w:tc>
        <w:tc>
          <w:tcPr>
            <w:tcW w:w="523" w:type="pct"/>
            <w:vMerge/>
            <w:shd w:val="clear" w:color="auto" w:fill="auto"/>
            <w:vAlign w:val="center"/>
          </w:tcPr>
          <w:p w:rsidR="008738FB" w:rsidRPr="009239A8" w:rsidRDefault="008738FB" w:rsidP="008738FB">
            <w:pPr>
              <w:snapToGrid w:val="0"/>
              <w:spacing w:line="260" w:lineRule="exact"/>
              <w:ind w:firstLine="415"/>
              <w:jc w:val="center"/>
              <w:rPr>
                <w:b/>
                <w:bCs/>
                <w:sz w:val="20"/>
                <w:szCs w:val="20"/>
              </w:rPr>
            </w:pPr>
          </w:p>
        </w:tc>
      </w:tr>
      <w:tr w:rsidR="008738FB" w:rsidRPr="009239A8" w:rsidTr="008738FB">
        <w:trPr>
          <w:trHeight w:val="245"/>
          <w:jc w:val="center"/>
        </w:trPr>
        <w:tc>
          <w:tcPr>
            <w:tcW w:w="876" w:type="pct"/>
            <w:shd w:val="clear" w:color="auto" w:fill="auto"/>
            <w:vAlign w:val="center"/>
          </w:tcPr>
          <w:p w:rsidR="008738FB" w:rsidRPr="009239A8" w:rsidRDefault="00092590" w:rsidP="00092590">
            <w:pPr>
              <w:snapToGrid w:val="0"/>
              <w:spacing w:line="260" w:lineRule="exact"/>
              <w:rPr>
                <w:b/>
                <w:bCs/>
                <w:sz w:val="20"/>
                <w:szCs w:val="20"/>
                <w:rtl/>
              </w:rPr>
            </w:pPr>
            <w:r w:rsidRPr="009239A8">
              <w:rPr>
                <w:i/>
                <w:iCs/>
                <w:sz w:val="20"/>
                <w:szCs w:val="20"/>
              </w:rPr>
              <w:t xml:space="preserve">A. </w:t>
            </w:r>
            <w:r w:rsidR="008738FB" w:rsidRPr="009239A8">
              <w:rPr>
                <w:i/>
                <w:iCs/>
                <w:sz w:val="20"/>
                <w:szCs w:val="20"/>
              </w:rPr>
              <w:t>alternata</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3.2±0.2a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3.48</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4.0±0.4ab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3.2</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4.5±0.7b</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3.28</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5.61</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0.042</w:t>
            </w:r>
          </w:p>
        </w:tc>
      </w:tr>
      <w:tr w:rsidR="008738FB" w:rsidRPr="009239A8" w:rsidTr="008738FB">
        <w:trPr>
          <w:trHeight w:val="245"/>
          <w:jc w:val="center"/>
        </w:trPr>
        <w:tc>
          <w:tcPr>
            <w:tcW w:w="876" w:type="pct"/>
            <w:shd w:val="clear" w:color="auto" w:fill="auto"/>
            <w:vAlign w:val="center"/>
          </w:tcPr>
          <w:p w:rsidR="008738FB" w:rsidRPr="009239A8" w:rsidRDefault="00092590" w:rsidP="00092590">
            <w:pPr>
              <w:snapToGrid w:val="0"/>
              <w:spacing w:line="260" w:lineRule="exact"/>
              <w:rPr>
                <w:b/>
                <w:bCs/>
                <w:sz w:val="20"/>
                <w:szCs w:val="20"/>
                <w:rtl/>
              </w:rPr>
            </w:pPr>
            <w:r w:rsidRPr="009239A8">
              <w:rPr>
                <w:i/>
                <w:iCs/>
                <w:sz w:val="20"/>
                <w:szCs w:val="20"/>
              </w:rPr>
              <w:t xml:space="preserve">A. </w:t>
            </w:r>
            <w:smartTag w:uri="urn:schemas-microsoft-com:office:smarttags" w:element="country-region">
              <w:smartTag w:uri="urn:schemas-microsoft-com:office:smarttags" w:element="place">
                <w:r w:rsidR="008738FB" w:rsidRPr="009239A8">
                  <w:rPr>
                    <w:i/>
                    <w:iCs/>
                    <w:sz w:val="20"/>
                    <w:szCs w:val="20"/>
                  </w:rPr>
                  <w:t>niger</w:t>
                </w:r>
              </w:smartTag>
            </w:smartTag>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6.8±0.4a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7.39</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8.9±0.3b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7.12</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9.4±0.4b</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6.84</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41.78</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45"/>
          <w:jc w:val="center"/>
        </w:trPr>
        <w:tc>
          <w:tcPr>
            <w:tcW w:w="876" w:type="pct"/>
            <w:shd w:val="clear" w:color="auto" w:fill="auto"/>
            <w:vAlign w:val="center"/>
          </w:tcPr>
          <w:p w:rsidR="008738FB" w:rsidRPr="009239A8" w:rsidRDefault="00092590" w:rsidP="00092590">
            <w:pPr>
              <w:snapToGrid w:val="0"/>
              <w:spacing w:line="260" w:lineRule="exact"/>
              <w:rPr>
                <w:sz w:val="20"/>
                <w:szCs w:val="20"/>
              </w:rPr>
            </w:pPr>
            <w:r w:rsidRPr="009239A8">
              <w:rPr>
                <w:i/>
                <w:iCs/>
                <w:sz w:val="20"/>
                <w:szCs w:val="20"/>
              </w:rPr>
              <w:t xml:space="preserve">A. </w:t>
            </w:r>
            <w:r w:rsidR="008738FB" w:rsidRPr="009239A8">
              <w:rPr>
                <w:i/>
                <w:iCs/>
                <w:sz w:val="20"/>
                <w:szCs w:val="20"/>
              </w:rPr>
              <w:t>repens</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12.5±0.5a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13.59</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15.7±0.5b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12.56</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17.8±0.5c</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12.95</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85.48</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45"/>
          <w:jc w:val="center"/>
        </w:trPr>
        <w:tc>
          <w:tcPr>
            <w:tcW w:w="876" w:type="pct"/>
            <w:shd w:val="clear" w:color="auto" w:fill="auto"/>
            <w:vAlign w:val="center"/>
          </w:tcPr>
          <w:p w:rsidR="008738FB" w:rsidRPr="009239A8" w:rsidRDefault="008738FB" w:rsidP="00092590">
            <w:pPr>
              <w:snapToGrid w:val="0"/>
              <w:spacing w:line="260" w:lineRule="exact"/>
              <w:rPr>
                <w:b/>
                <w:bCs/>
                <w:sz w:val="20"/>
                <w:szCs w:val="20"/>
                <w:rtl/>
              </w:rPr>
            </w:pPr>
            <w:r w:rsidRPr="009239A8">
              <w:rPr>
                <w:i/>
                <w:iCs/>
                <w:sz w:val="20"/>
                <w:szCs w:val="20"/>
              </w:rPr>
              <w:t>A. flavus</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19.8±0.5a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21.52</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27.8±0.3b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22.24</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28.5±0.5b</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20.74</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356.39</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45"/>
          <w:jc w:val="center"/>
        </w:trPr>
        <w:tc>
          <w:tcPr>
            <w:tcW w:w="876" w:type="pct"/>
            <w:shd w:val="clear" w:color="auto" w:fill="auto"/>
            <w:vAlign w:val="center"/>
          </w:tcPr>
          <w:p w:rsidR="008738FB" w:rsidRPr="009239A8" w:rsidRDefault="00092590" w:rsidP="00092590">
            <w:pPr>
              <w:snapToGrid w:val="0"/>
              <w:spacing w:line="260" w:lineRule="exact"/>
              <w:rPr>
                <w:sz w:val="20"/>
                <w:szCs w:val="20"/>
              </w:rPr>
            </w:pPr>
            <w:r w:rsidRPr="009239A8">
              <w:rPr>
                <w:i/>
                <w:iCs/>
                <w:sz w:val="20"/>
                <w:szCs w:val="20"/>
              </w:rPr>
              <w:t xml:space="preserve">A. </w:t>
            </w:r>
            <w:r w:rsidR="008738FB" w:rsidRPr="009239A8">
              <w:rPr>
                <w:i/>
                <w:iCs/>
                <w:sz w:val="20"/>
                <w:szCs w:val="20"/>
              </w:rPr>
              <w:t>fumigatus</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6.7±0.5a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7.28</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8.8±0.3b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7.04</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10.4±0.4c</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7.57</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61.98</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45"/>
          <w:jc w:val="center"/>
        </w:trPr>
        <w:tc>
          <w:tcPr>
            <w:tcW w:w="876" w:type="pct"/>
            <w:shd w:val="clear" w:color="auto" w:fill="auto"/>
            <w:vAlign w:val="center"/>
          </w:tcPr>
          <w:p w:rsidR="008738FB" w:rsidRPr="009239A8" w:rsidRDefault="00092590" w:rsidP="00092590">
            <w:pPr>
              <w:snapToGrid w:val="0"/>
              <w:spacing w:line="260" w:lineRule="exact"/>
              <w:rPr>
                <w:sz w:val="20"/>
                <w:szCs w:val="20"/>
              </w:rPr>
            </w:pPr>
            <w:r w:rsidRPr="009239A8">
              <w:rPr>
                <w:i/>
                <w:iCs/>
                <w:sz w:val="20"/>
                <w:szCs w:val="20"/>
              </w:rPr>
              <w:t xml:space="preserve">A. </w:t>
            </w:r>
            <w:r w:rsidR="008738FB" w:rsidRPr="009239A8">
              <w:rPr>
                <w:i/>
                <w:iCs/>
                <w:sz w:val="20"/>
                <w:szCs w:val="20"/>
              </w:rPr>
              <w:t>terreus</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4.3±0.3a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4.67</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5.6±0.5b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4.48</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6.2±0.2b</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4.51</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22.34</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0.002</w:t>
            </w:r>
          </w:p>
        </w:tc>
      </w:tr>
      <w:tr w:rsidR="008738FB" w:rsidRPr="009239A8" w:rsidTr="008738FB">
        <w:trPr>
          <w:trHeight w:val="245"/>
          <w:jc w:val="center"/>
        </w:trPr>
        <w:tc>
          <w:tcPr>
            <w:tcW w:w="876" w:type="pct"/>
            <w:shd w:val="clear" w:color="auto" w:fill="auto"/>
            <w:vAlign w:val="center"/>
          </w:tcPr>
          <w:p w:rsidR="008738FB" w:rsidRPr="009239A8" w:rsidRDefault="00092590" w:rsidP="00092590">
            <w:pPr>
              <w:snapToGrid w:val="0"/>
              <w:spacing w:line="260" w:lineRule="exact"/>
              <w:rPr>
                <w:i/>
                <w:iCs/>
                <w:sz w:val="20"/>
                <w:szCs w:val="20"/>
              </w:rPr>
            </w:pPr>
            <w:r w:rsidRPr="009239A8">
              <w:rPr>
                <w:i/>
                <w:iCs/>
                <w:sz w:val="20"/>
                <w:szCs w:val="20"/>
              </w:rPr>
              <w:t xml:space="preserve">F. </w:t>
            </w:r>
            <w:r w:rsidR="008738FB" w:rsidRPr="009239A8">
              <w:rPr>
                <w:i/>
                <w:iCs/>
                <w:sz w:val="20"/>
                <w:szCs w:val="20"/>
              </w:rPr>
              <w:t>solani</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8.2±0.2a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8.91</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10.8±0.5b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8.64</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12.4±0.4c</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9.02</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89.86</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45"/>
          <w:jc w:val="center"/>
        </w:trPr>
        <w:tc>
          <w:tcPr>
            <w:tcW w:w="876" w:type="pct"/>
            <w:shd w:val="clear" w:color="auto" w:fill="auto"/>
            <w:vAlign w:val="center"/>
          </w:tcPr>
          <w:p w:rsidR="008738FB" w:rsidRPr="009239A8" w:rsidRDefault="008738FB" w:rsidP="00092590">
            <w:pPr>
              <w:snapToGrid w:val="0"/>
              <w:spacing w:line="260" w:lineRule="exact"/>
              <w:rPr>
                <w:b/>
                <w:bCs/>
                <w:sz w:val="20"/>
                <w:szCs w:val="20"/>
              </w:rPr>
            </w:pPr>
            <w:r w:rsidRPr="009239A8">
              <w:rPr>
                <w:i/>
                <w:iCs/>
                <w:sz w:val="20"/>
                <w:szCs w:val="20"/>
              </w:rPr>
              <w:t>P. glabrum</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14.6±0.4a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15.87</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21.8±0.8b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17.44</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23.7±0.2c</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17.25</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246.89</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45"/>
          <w:jc w:val="center"/>
        </w:trPr>
        <w:tc>
          <w:tcPr>
            <w:tcW w:w="876" w:type="pct"/>
            <w:shd w:val="clear" w:color="auto" w:fill="auto"/>
            <w:vAlign w:val="center"/>
          </w:tcPr>
          <w:p w:rsidR="008738FB" w:rsidRPr="009239A8" w:rsidRDefault="00092590" w:rsidP="00092590">
            <w:pPr>
              <w:snapToGrid w:val="0"/>
              <w:spacing w:line="260" w:lineRule="exact"/>
              <w:rPr>
                <w:sz w:val="20"/>
                <w:szCs w:val="20"/>
              </w:rPr>
            </w:pPr>
            <w:r w:rsidRPr="009239A8">
              <w:rPr>
                <w:i/>
                <w:iCs/>
                <w:sz w:val="20"/>
                <w:szCs w:val="20"/>
              </w:rPr>
              <w:t>P.</w:t>
            </w:r>
            <w:r w:rsidR="008738FB" w:rsidRPr="009239A8">
              <w:rPr>
                <w:i/>
                <w:iCs/>
                <w:sz w:val="20"/>
                <w:szCs w:val="20"/>
              </w:rPr>
              <w:t xml:space="preserve"> verrucosum</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5.3±0.3a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5.76</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7.5±0.3b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6.00</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8.5±0.2c</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6.19</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109.63</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56"/>
          <w:jc w:val="center"/>
        </w:trPr>
        <w:tc>
          <w:tcPr>
            <w:tcW w:w="876" w:type="pct"/>
            <w:shd w:val="clear" w:color="auto" w:fill="auto"/>
            <w:vAlign w:val="center"/>
          </w:tcPr>
          <w:p w:rsidR="008738FB" w:rsidRPr="009239A8" w:rsidRDefault="00092590" w:rsidP="00092590">
            <w:pPr>
              <w:snapToGrid w:val="0"/>
              <w:spacing w:line="260" w:lineRule="exact"/>
              <w:rPr>
                <w:sz w:val="20"/>
                <w:szCs w:val="20"/>
                <w:rtl/>
              </w:rPr>
            </w:pPr>
            <w:r w:rsidRPr="009239A8">
              <w:rPr>
                <w:i/>
                <w:iCs/>
                <w:sz w:val="20"/>
                <w:szCs w:val="20"/>
              </w:rPr>
              <w:t xml:space="preserve">R. </w:t>
            </w:r>
            <w:r w:rsidR="008738FB" w:rsidRPr="009239A8">
              <w:rPr>
                <w:i/>
                <w:iCs/>
                <w:sz w:val="20"/>
                <w:szCs w:val="20"/>
              </w:rPr>
              <w:t>oryzae</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4.2±0.2a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4.57</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6.3±0.2b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5.04</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7.4±0.4c</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5.39</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99.12</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r w:rsidR="008738FB" w:rsidRPr="009239A8" w:rsidTr="008738FB">
        <w:trPr>
          <w:trHeight w:val="256"/>
          <w:jc w:val="center"/>
        </w:trPr>
        <w:tc>
          <w:tcPr>
            <w:tcW w:w="876" w:type="pct"/>
            <w:shd w:val="clear" w:color="auto" w:fill="auto"/>
            <w:vAlign w:val="center"/>
          </w:tcPr>
          <w:p w:rsidR="008738FB" w:rsidRPr="009239A8" w:rsidRDefault="00092590" w:rsidP="00092590">
            <w:pPr>
              <w:snapToGrid w:val="0"/>
              <w:spacing w:line="260" w:lineRule="exact"/>
              <w:rPr>
                <w:i/>
                <w:iCs/>
                <w:sz w:val="20"/>
                <w:szCs w:val="20"/>
              </w:rPr>
            </w:pPr>
            <w:r w:rsidRPr="009239A8">
              <w:rPr>
                <w:i/>
                <w:iCs/>
                <w:sz w:val="20"/>
                <w:szCs w:val="20"/>
              </w:rPr>
              <w:t xml:space="preserve">T. </w:t>
            </w:r>
            <w:r w:rsidR="008738FB" w:rsidRPr="009239A8">
              <w:rPr>
                <w:i/>
                <w:iCs/>
                <w:sz w:val="20"/>
                <w:szCs w:val="20"/>
              </w:rPr>
              <w:t>viride</w:t>
            </w:r>
          </w:p>
        </w:tc>
        <w:tc>
          <w:tcPr>
            <w:tcW w:w="61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6.4±0.4a</w:t>
            </w:r>
          </w:p>
        </w:tc>
        <w:tc>
          <w:tcPr>
            <w:tcW w:w="43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6.96</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7.8±0.4b</w:t>
            </w:r>
          </w:p>
        </w:tc>
        <w:tc>
          <w:tcPr>
            <w:tcW w:w="40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6.24</w:t>
            </w:r>
          </w:p>
        </w:tc>
        <w:tc>
          <w:tcPr>
            <w:tcW w:w="620"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8.6±0.3c</w:t>
            </w:r>
          </w:p>
        </w:tc>
        <w:tc>
          <w:tcPr>
            <w:tcW w:w="419"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6.26</w:t>
            </w:r>
          </w:p>
        </w:tc>
        <w:tc>
          <w:tcPr>
            <w:tcW w:w="494"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27.22</w:t>
            </w:r>
          </w:p>
        </w:tc>
        <w:tc>
          <w:tcPr>
            <w:tcW w:w="523" w:type="pct"/>
            <w:shd w:val="clear" w:color="auto" w:fill="auto"/>
            <w:vAlign w:val="center"/>
          </w:tcPr>
          <w:p w:rsidR="008738FB" w:rsidRPr="009239A8" w:rsidRDefault="008738FB" w:rsidP="008738FB">
            <w:pPr>
              <w:snapToGrid w:val="0"/>
              <w:spacing w:line="260" w:lineRule="exact"/>
              <w:jc w:val="center"/>
              <w:rPr>
                <w:sz w:val="20"/>
                <w:szCs w:val="20"/>
              </w:rPr>
            </w:pPr>
            <w:r w:rsidRPr="009239A8">
              <w:rPr>
                <w:sz w:val="20"/>
                <w:szCs w:val="20"/>
              </w:rPr>
              <w:t>0.001</w:t>
            </w:r>
          </w:p>
        </w:tc>
      </w:tr>
    </w:tbl>
    <w:p w:rsidR="00FF22A7" w:rsidRPr="009239A8" w:rsidRDefault="00FF22A7" w:rsidP="00FF22A7">
      <w:pPr>
        <w:snapToGrid w:val="0"/>
        <w:spacing w:line="260" w:lineRule="exact"/>
        <w:rPr>
          <w:b/>
          <w:bCs/>
          <w:i/>
          <w:iCs/>
          <w:sz w:val="20"/>
          <w:szCs w:val="20"/>
        </w:rPr>
      </w:pPr>
    </w:p>
    <w:p w:rsidR="009239A8" w:rsidRDefault="009239A8" w:rsidP="009239A8">
      <w:pPr>
        <w:snapToGrid w:val="0"/>
        <w:spacing w:line="260" w:lineRule="exact"/>
        <w:ind w:firstLine="415"/>
        <w:jc w:val="left"/>
        <w:rPr>
          <w:b/>
          <w:sz w:val="20"/>
          <w:szCs w:val="20"/>
        </w:rPr>
      </w:pPr>
      <w:r>
        <w:rPr>
          <w:b/>
          <w:sz w:val="20"/>
          <w:szCs w:val="20"/>
        </w:rPr>
        <w:t>Table 3. The yeasts fluctuation of indoor house dust in spring.</w:t>
      </w:r>
    </w:p>
    <w:p w:rsidR="009239A8" w:rsidRPr="009239A8" w:rsidRDefault="009239A8" w:rsidP="009239A8">
      <w:pPr>
        <w:snapToGrid w:val="0"/>
        <w:spacing w:line="260" w:lineRule="exact"/>
        <w:jc w:val="left"/>
        <w:rPr>
          <w:rFonts w:hint="eastAsia"/>
          <w:b/>
          <w:bCs/>
          <w:i/>
          <w:iCs/>
          <w:sz w:val="20"/>
          <w:szCs w:val="20"/>
        </w:rPr>
        <w:sectPr w:rsidR="009239A8" w:rsidRPr="009239A8" w:rsidSect="009239A8">
          <w:type w:val="continuous"/>
          <w:pgSz w:w="12242" w:h="15842" w:code="1"/>
          <w:pgMar w:top="1440" w:right="1440" w:bottom="1440" w:left="1440" w:header="720" w:footer="720" w:gutter="0"/>
          <w:cols w:space="300"/>
          <w:docGrid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67"/>
        <w:gridCol w:w="709"/>
        <w:gridCol w:w="1091"/>
        <w:gridCol w:w="720"/>
        <w:gridCol w:w="1080"/>
        <w:gridCol w:w="761"/>
        <w:gridCol w:w="772"/>
        <w:gridCol w:w="1071"/>
      </w:tblGrid>
      <w:tr w:rsidR="00F30F6C" w:rsidRPr="009239A8" w:rsidTr="009239A8">
        <w:trPr>
          <w:trHeight w:val="314"/>
          <w:jc w:val="center"/>
        </w:trPr>
        <w:tc>
          <w:tcPr>
            <w:tcW w:w="1526" w:type="dxa"/>
            <w:vMerge w:val="restart"/>
            <w:shd w:val="clear" w:color="auto" w:fill="auto"/>
            <w:vAlign w:val="center"/>
          </w:tcPr>
          <w:p w:rsidR="00F30F6C" w:rsidRPr="009239A8" w:rsidRDefault="00F30F6C" w:rsidP="009239A8">
            <w:pPr>
              <w:snapToGrid w:val="0"/>
              <w:spacing w:line="260" w:lineRule="exact"/>
              <w:ind w:firstLine="415"/>
              <w:jc w:val="center"/>
              <w:rPr>
                <w:b/>
                <w:bCs/>
                <w:sz w:val="20"/>
                <w:szCs w:val="20"/>
              </w:rPr>
            </w:pPr>
          </w:p>
          <w:p w:rsidR="00F30F6C" w:rsidRPr="009239A8" w:rsidRDefault="00F30F6C" w:rsidP="009239A8">
            <w:pPr>
              <w:snapToGrid w:val="0"/>
              <w:spacing w:line="260" w:lineRule="exact"/>
              <w:jc w:val="center"/>
              <w:rPr>
                <w:b/>
                <w:bCs/>
                <w:sz w:val="20"/>
                <w:szCs w:val="20"/>
              </w:rPr>
            </w:pPr>
            <w:r w:rsidRPr="009239A8">
              <w:rPr>
                <w:b/>
                <w:bCs/>
                <w:sz w:val="20"/>
                <w:szCs w:val="20"/>
              </w:rPr>
              <w:t>Yeasts</w:t>
            </w:r>
          </w:p>
        </w:tc>
        <w:tc>
          <w:tcPr>
            <w:tcW w:w="5528" w:type="dxa"/>
            <w:gridSpan w:val="6"/>
            <w:shd w:val="clear" w:color="auto" w:fill="auto"/>
            <w:vAlign w:val="center"/>
          </w:tcPr>
          <w:p w:rsidR="00F30F6C" w:rsidRPr="009239A8" w:rsidRDefault="00F30F6C" w:rsidP="009239A8">
            <w:pPr>
              <w:snapToGrid w:val="0"/>
              <w:spacing w:line="260" w:lineRule="exact"/>
              <w:ind w:firstLine="415"/>
              <w:jc w:val="center"/>
              <w:rPr>
                <w:b/>
                <w:bCs/>
                <w:sz w:val="20"/>
                <w:szCs w:val="20"/>
              </w:rPr>
            </w:pPr>
            <w:r w:rsidRPr="009239A8">
              <w:rPr>
                <w:b/>
                <w:bCs/>
                <w:sz w:val="20"/>
                <w:szCs w:val="20"/>
              </w:rPr>
              <w:t>No. of colonies per gram of house dust</w:t>
            </w:r>
          </w:p>
        </w:tc>
        <w:tc>
          <w:tcPr>
            <w:tcW w:w="772" w:type="dxa"/>
            <w:vMerge w:val="restart"/>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F</w:t>
            </w:r>
          </w:p>
        </w:tc>
        <w:tc>
          <w:tcPr>
            <w:tcW w:w="1071" w:type="dxa"/>
            <w:vMerge w:val="restart"/>
            <w:shd w:val="clear" w:color="auto" w:fill="auto"/>
            <w:vAlign w:val="center"/>
          </w:tcPr>
          <w:p w:rsidR="00F30F6C" w:rsidRPr="009239A8" w:rsidRDefault="00EB7D60" w:rsidP="009239A8">
            <w:pPr>
              <w:snapToGrid w:val="0"/>
              <w:spacing w:line="260" w:lineRule="exact"/>
              <w:jc w:val="center"/>
              <w:rPr>
                <w:b/>
                <w:bCs/>
                <w:sz w:val="20"/>
                <w:szCs w:val="20"/>
              </w:rPr>
            </w:pPr>
            <w:r w:rsidRPr="009239A8">
              <w:rPr>
                <w:b/>
                <w:bCs/>
                <w:i/>
                <w:iCs/>
                <w:sz w:val="20"/>
                <w:szCs w:val="20"/>
              </w:rPr>
              <w:t>P</w:t>
            </w:r>
            <w:r w:rsidR="00F30F6C" w:rsidRPr="009239A8">
              <w:rPr>
                <w:b/>
                <w:bCs/>
                <w:sz w:val="20"/>
                <w:szCs w:val="20"/>
              </w:rPr>
              <w:t>-value</w:t>
            </w:r>
          </w:p>
        </w:tc>
      </w:tr>
      <w:tr w:rsidR="00F30F6C" w:rsidRPr="009239A8" w:rsidTr="009239A8">
        <w:trPr>
          <w:trHeight w:val="245"/>
          <w:jc w:val="center"/>
        </w:trPr>
        <w:tc>
          <w:tcPr>
            <w:tcW w:w="1526" w:type="dxa"/>
            <w:vMerge/>
            <w:shd w:val="clear" w:color="auto" w:fill="auto"/>
            <w:vAlign w:val="center"/>
          </w:tcPr>
          <w:p w:rsidR="00F30F6C" w:rsidRPr="009239A8" w:rsidRDefault="00F30F6C" w:rsidP="009239A8">
            <w:pPr>
              <w:snapToGrid w:val="0"/>
              <w:spacing w:line="260" w:lineRule="exact"/>
              <w:ind w:firstLine="415"/>
              <w:jc w:val="center"/>
              <w:rPr>
                <w:sz w:val="20"/>
                <w:szCs w:val="20"/>
              </w:rPr>
            </w:pPr>
          </w:p>
        </w:tc>
        <w:tc>
          <w:tcPr>
            <w:tcW w:w="1876" w:type="dxa"/>
            <w:gridSpan w:val="2"/>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March</w:t>
            </w:r>
          </w:p>
        </w:tc>
        <w:tc>
          <w:tcPr>
            <w:tcW w:w="1811" w:type="dxa"/>
            <w:gridSpan w:val="2"/>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April</w:t>
            </w:r>
          </w:p>
        </w:tc>
        <w:tc>
          <w:tcPr>
            <w:tcW w:w="1841" w:type="dxa"/>
            <w:gridSpan w:val="2"/>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May</w:t>
            </w:r>
          </w:p>
        </w:tc>
        <w:tc>
          <w:tcPr>
            <w:tcW w:w="772" w:type="dxa"/>
            <w:vMerge/>
            <w:shd w:val="clear" w:color="auto" w:fill="auto"/>
            <w:vAlign w:val="center"/>
          </w:tcPr>
          <w:p w:rsidR="00F30F6C" w:rsidRPr="009239A8" w:rsidRDefault="00F30F6C" w:rsidP="009239A8">
            <w:pPr>
              <w:snapToGrid w:val="0"/>
              <w:spacing w:line="260" w:lineRule="exact"/>
              <w:ind w:firstLine="415"/>
              <w:jc w:val="center"/>
              <w:rPr>
                <w:b/>
                <w:bCs/>
                <w:sz w:val="20"/>
                <w:szCs w:val="20"/>
              </w:rPr>
            </w:pPr>
          </w:p>
        </w:tc>
        <w:tc>
          <w:tcPr>
            <w:tcW w:w="1071" w:type="dxa"/>
            <w:vMerge/>
            <w:shd w:val="clear" w:color="auto" w:fill="auto"/>
            <w:vAlign w:val="center"/>
          </w:tcPr>
          <w:p w:rsidR="00F30F6C" w:rsidRPr="009239A8" w:rsidRDefault="00F30F6C" w:rsidP="009239A8">
            <w:pPr>
              <w:snapToGrid w:val="0"/>
              <w:spacing w:line="260" w:lineRule="exact"/>
              <w:ind w:firstLine="415"/>
              <w:jc w:val="center"/>
              <w:rPr>
                <w:b/>
                <w:bCs/>
                <w:sz w:val="20"/>
                <w:szCs w:val="20"/>
              </w:rPr>
            </w:pPr>
          </w:p>
        </w:tc>
      </w:tr>
      <w:tr w:rsidR="00F30F6C" w:rsidRPr="009239A8" w:rsidTr="009239A8">
        <w:trPr>
          <w:trHeight w:val="245"/>
          <w:jc w:val="center"/>
        </w:trPr>
        <w:tc>
          <w:tcPr>
            <w:tcW w:w="1526" w:type="dxa"/>
            <w:vMerge/>
            <w:shd w:val="clear" w:color="auto" w:fill="auto"/>
            <w:vAlign w:val="center"/>
          </w:tcPr>
          <w:p w:rsidR="00F30F6C" w:rsidRPr="009239A8" w:rsidRDefault="00F30F6C" w:rsidP="009239A8">
            <w:pPr>
              <w:snapToGrid w:val="0"/>
              <w:spacing w:line="260" w:lineRule="exact"/>
              <w:ind w:firstLine="415"/>
              <w:jc w:val="center"/>
              <w:rPr>
                <w:sz w:val="20"/>
                <w:szCs w:val="20"/>
              </w:rPr>
            </w:pPr>
          </w:p>
        </w:tc>
        <w:tc>
          <w:tcPr>
            <w:tcW w:w="1167" w:type="dxa"/>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CFU/gm.</w:t>
            </w:r>
          </w:p>
        </w:tc>
        <w:tc>
          <w:tcPr>
            <w:tcW w:w="709" w:type="dxa"/>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w:t>
            </w:r>
          </w:p>
        </w:tc>
        <w:tc>
          <w:tcPr>
            <w:tcW w:w="1091" w:type="dxa"/>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CFU/gm.</w:t>
            </w:r>
          </w:p>
        </w:tc>
        <w:tc>
          <w:tcPr>
            <w:tcW w:w="720" w:type="dxa"/>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w:t>
            </w:r>
          </w:p>
        </w:tc>
        <w:tc>
          <w:tcPr>
            <w:tcW w:w="1080" w:type="dxa"/>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CFU/gm.</w:t>
            </w:r>
          </w:p>
        </w:tc>
        <w:tc>
          <w:tcPr>
            <w:tcW w:w="761" w:type="dxa"/>
            <w:shd w:val="clear" w:color="auto" w:fill="auto"/>
            <w:vAlign w:val="center"/>
          </w:tcPr>
          <w:p w:rsidR="00F30F6C" w:rsidRPr="009239A8" w:rsidRDefault="00F30F6C" w:rsidP="009239A8">
            <w:pPr>
              <w:snapToGrid w:val="0"/>
              <w:spacing w:line="260" w:lineRule="exact"/>
              <w:jc w:val="center"/>
              <w:rPr>
                <w:b/>
                <w:bCs/>
                <w:sz w:val="20"/>
                <w:szCs w:val="20"/>
              </w:rPr>
            </w:pPr>
            <w:r w:rsidRPr="009239A8">
              <w:rPr>
                <w:b/>
                <w:bCs/>
                <w:sz w:val="20"/>
                <w:szCs w:val="20"/>
              </w:rPr>
              <w:t>%</w:t>
            </w:r>
          </w:p>
        </w:tc>
        <w:tc>
          <w:tcPr>
            <w:tcW w:w="772" w:type="dxa"/>
            <w:vMerge/>
            <w:shd w:val="clear" w:color="auto" w:fill="auto"/>
            <w:vAlign w:val="center"/>
          </w:tcPr>
          <w:p w:rsidR="00F30F6C" w:rsidRPr="009239A8" w:rsidRDefault="00F30F6C" w:rsidP="009239A8">
            <w:pPr>
              <w:snapToGrid w:val="0"/>
              <w:spacing w:line="260" w:lineRule="exact"/>
              <w:ind w:firstLine="415"/>
              <w:jc w:val="center"/>
              <w:rPr>
                <w:b/>
                <w:bCs/>
                <w:sz w:val="20"/>
                <w:szCs w:val="20"/>
              </w:rPr>
            </w:pPr>
          </w:p>
        </w:tc>
        <w:tc>
          <w:tcPr>
            <w:tcW w:w="1071" w:type="dxa"/>
            <w:vMerge/>
            <w:shd w:val="clear" w:color="auto" w:fill="auto"/>
            <w:vAlign w:val="center"/>
          </w:tcPr>
          <w:p w:rsidR="00F30F6C" w:rsidRPr="009239A8" w:rsidRDefault="00F30F6C" w:rsidP="009239A8">
            <w:pPr>
              <w:snapToGrid w:val="0"/>
              <w:spacing w:line="260" w:lineRule="exact"/>
              <w:ind w:firstLine="415"/>
              <w:jc w:val="center"/>
              <w:rPr>
                <w:b/>
                <w:bCs/>
                <w:sz w:val="20"/>
                <w:szCs w:val="20"/>
              </w:rPr>
            </w:pPr>
          </w:p>
        </w:tc>
      </w:tr>
      <w:tr w:rsidR="00F30F6C" w:rsidRPr="009239A8" w:rsidTr="009239A8">
        <w:trPr>
          <w:trHeight w:val="245"/>
          <w:jc w:val="center"/>
        </w:trPr>
        <w:tc>
          <w:tcPr>
            <w:tcW w:w="1526" w:type="dxa"/>
            <w:shd w:val="clear" w:color="auto" w:fill="auto"/>
            <w:vAlign w:val="center"/>
          </w:tcPr>
          <w:p w:rsidR="00F30F6C" w:rsidRPr="009239A8" w:rsidRDefault="00092590" w:rsidP="009239A8">
            <w:pPr>
              <w:snapToGrid w:val="0"/>
              <w:spacing w:line="260" w:lineRule="exact"/>
              <w:rPr>
                <w:i/>
                <w:iCs/>
                <w:sz w:val="20"/>
                <w:szCs w:val="20"/>
              </w:rPr>
            </w:pPr>
            <w:r w:rsidRPr="009239A8">
              <w:rPr>
                <w:i/>
                <w:iCs/>
                <w:sz w:val="20"/>
                <w:szCs w:val="20"/>
              </w:rPr>
              <w:t>C.</w:t>
            </w:r>
            <w:r w:rsidR="00F30F6C" w:rsidRPr="009239A8">
              <w:rPr>
                <w:i/>
                <w:iCs/>
                <w:sz w:val="20"/>
                <w:szCs w:val="20"/>
              </w:rPr>
              <w:t xml:space="preserve"> albicans</w:t>
            </w:r>
          </w:p>
        </w:tc>
        <w:tc>
          <w:tcPr>
            <w:tcW w:w="1167"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17.9±0.7a</w:t>
            </w:r>
          </w:p>
        </w:tc>
        <w:tc>
          <w:tcPr>
            <w:tcW w:w="709"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58.12</w:t>
            </w:r>
          </w:p>
        </w:tc>
        <w:tc>
          <w:tcPr>
            <w:tcW w:w="1091"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26.8±0.8b</w:t>
            </w:r>
          </w:p>
        </w:tc>
        <w:tc>
          <w:tcPr>
            <w:tcW w:w="720"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60.77</w:t>
            </w:r>
          </w:p>
        </w:tc>
        <w:tc>
          <w:tcPr>
            <w:tcW w:w="1080"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33.2±0.2c</w:t>
            </w:r>
          </w:p>
        </w:tc>
        <w:tc>
          <w:tcPr>
            <w:tcW w:w="761"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60.14</w:t>
            </w:r>
          </w:p>
        </w:tc>
        <w:tc>
          <w:tcPr>
            <w:tcW w:w="772"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454.17</w:t>
            </w:r>
          </w:p>
        </w:tc>
        <w:tc>
          <w:tcPr>
            <w:tcW w:w="1071"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0.001</w:t>
            </w:r>
          </w:p>
        </w:tc>
      </w:tr>
      <w:tr w:rsidR="00F30F6C" w:rsidRPr="009239A8" w:rsidTr="009239A8">
        <w:trPr>
          <w:trHeight w:val="245"/>
          <w:jc w:val="center"/>
        </w:trPr>
        <w:tc>
          <w:tcPr>
            <w:tcW w:w="1526" w:type="dxa"/>
            <w:shd w:val="clear" w:color="auto" w:fill="auto"/>
            <w:vAlign w:val="center"/>
          </w:tcPr>
          <w:p w:rsidR="00F30F6C" w:rsidRPr="009239A8" w:rsidRDefault="00092590" w:rsidP="009239A8">
            <w:pPr>
              <w:snapToGrid w:val="0"/>
              <w:spacing w:line="260" w:lineRule="exact"/>
              <w:rPr>
                <w:b/>
                <w:bCs/>
                <w:sz w:val="20"/>
                <w:szCs w:val="20"/>
                <w:rtl/>
              </w:rPr>
            </w:pPr>
            <w:r w:rsidRPr="009239A8">
              <w:rPr>
                <w:i/>
                <w:iCs/>
                <w:sz w:val="20"/>
                <w:szCs w:val="20"/>
              </w:rPr>
              <w:t xml:space="preserve">T. </w:t>
            </w:r>
            <w:r w:rsidR="00F30F6C" w:rsidRPr="009239A8">
              <w:rPr>
                <w:i/>
                <w:iCs/>
                <w:sz w:val="20"/>
                <w:szCs w:val="20"/>
              </w:rPr>
              <w:t>cutaneum</w:t>
            </w:r>
          </w:p>
        </w:tc>
        <w:tc>
          <w:tcPr>
            <w:tcW w:w="1167"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12.9±0.5a</w:t>
            </w:r>
          </w:p>
        </w:tc>
        <w:tc>
          <w:tcPr>
            <w:tcW w:w="709"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41.88</w:t>
            </w:r>
          </w:p>
        </w:tc>
        <w:tc>
          <w:tcPr>
            <w:tcW w:w="1091"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17.3±0.3b</w:t>
            </w:r>
          </w:p>
        </w:tc>
        <w:tc>
          <w:tcPr>
            <w:tcW w:w="720"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39.23</w:t>
            </w:r>
          </w:p>
        </w:tc>
        <w:tc>
          <w:tcPr>
            <w:tcW w:w="1080"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22.5±1.0c</w:t>
            </w:r>
          </w:p>
        </w:tc>
        <w:tc>
          <w:tcPr>
            <w:tcW w:w="761"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39.86</w:t>
            </w:r>
          </w:p>
        </w:tc>
        <w:tc>
          <w:tcPr>
            <w:tcW w:w="772"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133.63</w:t>
            </w:r>
          </w:p>
        </w:tc>
        <w:tc>
          <w:tcPr>
            <w:tcW w:w="1071" w:type="dxa"/>
            <w:shd w:val="clear" w:color="auto" w:fill="auto"/>
            <w:vAlign w:val="center"/>
          </w:tcPr>
          <w:p w:rsidR="00F30F6C" w:rsidRPr="009239A8" w:rsidRDefault="00F30F6C" w:rsidP="009239A8">
            <w:pPr>
              <w:snapToGrid w:val="0"/>
              <w:spacing w:line="260" w:lineRule="exact"/>
              <w:jc w:val="center"/>
              <w:rPr>
                <w:sz w:val="20"/>
                <w:szCs w:val="20"/>
              </w:rPr>
            </w:pPr>
            <w:r w:rsidRPr="009239A8">
              <w:rPr>
                <w:sz w:val="20"/>
                <w:szCs w:val="20"/>
              </w:rPr>
              <w:t>0.001</w:t>
            </w:r>
          </w:p>
        </w:tc>
      </w:tr>
    </w:tbl>
    <w:p w:rsidR="008738FB" w:rsidRDefault="008738FB" w:rsidP="009E2108">
      <w:pPr>
        <w:snapToGrid w:val="0"/>
        <w:spacing w:line="260" w:lineRule="exact"/>
        <w:rPr>
          <w:sz w:val="20"/>
          <w:szCs w:val="20"/>
        </w:rPr>
      </w:pPr>
    </w:p>
    <w:p w:rsidR="00607817" w:rsidRPr="009239A8" w:rsidRDefault="00607817" w:rsidP="009E2108">
      <w:pPr>
        <w:snapToGrid w:val="0"/>
        <w:spacing w:line="260" w:lineRule="exact"/>
        <w:rPr>
          <w:sz w:val="20"/>
          <w:szCs w:val="20"/>
        </w:rPr>
        <w:sectPr w:rsidR="00607817" w:rsidRPr="009239A8" w:rsidSect="009239A8">
          <w:type w:val="continuous"/>
          <w:pgSz w:w="12242" w:h="15842" w:code="1"/>
          <w:pgMar w:top="1440" w:right="1440" w:bottom="1440" w:left="1440" w:header="720" w:footer="720" w:gutter="0"/>
          <w:cols w:space="300"/>
          <w:docGrid w:linePitch="312"/>
        </w:sectPr>
      </w:pPr>
    </w:p>
    <w:p w:rsidR="009E2108" w:rsidRPr="009239A8" w:rsidRDefault="009E2108" w:rsidP="009E2108">
      <w:pPr>
        <w:snapToGrid w:val="0"/>
        <w:spacing w:line="260" w:lineRule="exact"/>
        <w:rPr>
          <w:b/>
          <w:bCs/>
          <w:sz w:val="20"/>
          <w:szCs w:val="20"/>
        </w:rPr>
      </w:pPr>
      <w:r w:rsidRPr="009239A8">
        <w:rPr>
          <w:b/>
          <w:bCs/>
          <w:sz w:val="20"/>
          <w:szCs w:val="20"/>
        </w:rPr>
        <w:lastRenderedPageBreak/>
        <w:t xml:space="preserve">3.4 Concentrations of serum total IgE levels and specific IgE antibodies of </w:t>
      </w:r>
      <w:r w:rsidRPr="009239A8">
        <w:rPr>
          <w:b/>
          <w:bCs/>
          <w:sz w:val="20"/>
          <w:szCs w:val="20"/>
          <w:rtl/>
        </w:rPr>
        <w:t>76</w:t>
      </w:r>
      <w:r w:rsidRPr="009239A8">
        <w:rPr>
          <w:b/>
          <w:bCs/>
          <w:sz w:val="20"/>
          <w:szCs w:val="20"/>
        </w:rPr>
        <w:t xml:space="preserve"> patients with Asthma</w:t>
      </w:r>
    </w:p>
    <w:p w:rsidR="009239A8" w:rsidRDefault="009E2108" w:rsidP="00CA5263">
      <w:pPr>
        <w:snapToGrid w:val="0"/>
        <w:spacing w:line="260" w:lineRule="exact"/>
        <w:ind w:firstLine="415"/>
        <w:rPr>
          <w:rFonts w:hint="eastAsia"/>
          <w:sz w:val="20"/>
          <w:szCs w:val="20"/>
        </w:rPr>
      </w:pPr>
      <w:r w:rsidRPr="009239A8">
        <w:rPr>
          <w:sz w:val="20"/>
          <w:szCs w:val="20"/>
        </w:rPr>
        <w:t>The</w:t>
      </w:r>
      <w:r w:rsidRPr="009239A8">
        <w:rPr>
          <w:b/>
          <w:bCs/>
          <w:sz w:val="20"/>
          <w:szCs w:val="20"/>
        </w:rPr>
        <w:t xml:space="preserve"> </w:t>
      </w:r>
      <w:r w:rsidRPr="009239A8">
        <w:rPr>
          <w:sz w:val="20"/>
          <w:szCs w:val="20"/>
        </w:rPr>
        <w:t>serum levels of total IgE and specific IgE antibodies to fungi</w:t>
      </w:r>
      <w:r w:rsidRPr="009239A8">
        <w:rPr>
          <w:i/>
          <w:iCs/>
          <w:sz w:val="20"/>
          <w:szCs w:val="20"/>
        </w:rPr>
        <w:t xml:space="preserve"> </w:t>
      </w:r>
      <w:r w:rsidRPr="009239A8">
        <w:rPr>
          <w:sz w:val="20"/>
          <w:szCs w:val="20"/>
        </w:rPr>
        <w:t xml:space="preserve">in </w:t>
      </w:r>
      <w:r w:rsidRPr="009239A8">
        <w:rPr>
          <w:sz w:val="20"/>
          <w:szCs w:val="20"/>
          <w:rtl/>
        </w:rPr>
        <w:t>76</w:t>
      </w:r>
      <w:r w:rsidRPr="009239A8">
        <w:rPr>
          <w:sz w:val="20"/>
          <w:szCs w:val="20"/>
        </w:rPr>
        <w:t xml:space="preserve"> patients (58 adult and 18 children) with Asthma were investigated. The serum assays of specific IgE antibodies demonstrate that many of the patients with asthma had serum IgE antibodies directed against fungi that are characteristically inhaled (</w:t>
      </w:r>
      <w:r w:rsidRPr="009239A8">
        <w:rPr>
          <w:i/>
          <w:iCs/>
          <w:sz w:val="20"/>
          <w:szCs w:val="20"/>
        </w:rPr>
        <w:t>A. alternate</w:t>
      </w:r>
      <w:r w:rsidRPr="009239A8">
        <w:rPr>
          <w:sz w:val="20"/>
          <w:szCs w:val="20"/>
        </w:rPr>
        <w:t xml:space="preserve">, </w:t>
      </w:r>
      <w:r w:rsidR="00E31989" w:rsidRPr="009239A8">
        <w:rPr>
          <w:i/>
          <w:iCs/>
          <w:sz w:val="20"/>
          <w:szCs w:val="20"/>
        </w:rPr>
        <w:t xml:space="preserve">Aspergillus </w:t>
      </w:r>
      <w:smartTag w:uri="urn:schemas-microsoft-com:office:smarttags" w:element="country-region">
        <w:smartTag w:uri="urn:schemas-microsoft-com:office:smarttags" w:element="place">
          <w:r w:rsidRPr="009239A8">
            <w:rPr>
              <w:i/>
              <w:iCs/>
              <w:sz w:val="20"/>
              <w:szCs w:val="20"/>
            </w:rPr>
            <w:t>niger</w:t>
          </w:r>
        </w:smartTag>
      </w:smartTag>
      <w:r w:rsidRPr="009239A8">
        <w:rPr>
          <w:i/>
          <w:iCs/>
          <w:sz w:val="20"/>
          <w:szCs w:val="20"/>
        </w:rPr>
        <w:t>, A.  repens, A.  flavus, A. fumigatus, A. terreus, Fusarium solani, penicillium glabrum</w:t>
      </w:r>
      <w:r w:rsidRPr="009239A8">
        <w:rPr>
          <w:sz w:val="20"/>
          <w:szCs w:val="20"/>
        </w:rPr>
        <w:t xml:space="preserve">, </w:t>
      </w:r>
      <w:r w:rsidRPr="009239A8">
        <w:rPr>
          <w:i/>
          <w:iCs/>
          <w:sz w:val="20"/>
          <w:szCs w:val="20"/>
        </w:rPr>
        <w:t>P. verrucosum</w:t>
      </w:r>
      <w:r w:rsidRPr="009239A8">
        <w:rPr>
          <w:sz w:val="20"/>
          <w:szCs w:val="20"/>
        </w:rPr>
        <w:t>,</w:t>
      </w:r>
      <w:r w:rsidR="00E31989" w:rsidRPr="009239A8">
        <w:rPr>
          <w:sz w:val="20"/>
          <w:szCs w:val="20"/>
        </w:rPr>
        <w:t xml:space="preserve"> </w:t>
      </w:r>
      <w:r w:rsidRPr="009239A8">
        <w:rPr>
          <w:i/>
          <w:iCs/>
          <w:sz w:val="20"/>
          <w:szCs w:val="20"/>
        </w:rPr>
        <w:t>Rhizopus oryzae</w:t>
      </w:r>
      <w:r w:rsidRPr="009239A8">
        <w:rPr>
          <w:sz w:val="20"/>
          <w:szCs w:val="20"/>
        </w:rPr>
        <w:t xml:space="preserve"> and </w:t>
      </w:r>
      <w:r w:rsidRPr="009239A8">
        <w:rPr>
          <w:i/>
          <w:iCs/>
          <w:sz w:val="20"/>
          <w:szCs w:val="20"/>
        </w:rPr>
        <w:t>Trichoderma viride</w:t>
      </w:r>
      <w:r w:rsidRPr="009239A8">
        <w:rPr>
          <w:sz w:val="20"/>
          <w:szCs w:val="20"/>
        </w:rPr>
        <w:t>) and also to colonizing fungi (</w:t>
      </w:r>
      <w:r w:rsidRPr="009239A8">
        <w:rPr>
          <w:i/>
          <w:iCs/>
          <w:sz w:val="20"/>
          <w:szCs w:val="20"/>
        </w:rPr>
        <w:t>C. albicans</w:t>
      </w:r>
      <w:r w:rsidRPr="009239A8">
        <w:rPr>
          <w:sz w:val="20"/>
          <w:szCs w:val="20"/>
        </w:rPr>
        <w:t xml:space="preserve"> and </w:t>
      </w:r>
      <w:r w:rsidRPr="009239A8">
        <w:rPr>
          <w:i/>
          <w:iCs/>
          <w:sz w:val="20"/>
          <w:szCs w:val="20"/>
        </w:rPr>
        <w:t>Trichosporon cutaneum</w:t>
      </w:r>
      <w:r w:rsidRPr="009239A8">
        <w:rPr>
          <w:sz w:val="20"/>
          <w:szCs w:val="20"/>
        </w:rPr>
        <w:t xml:space="preserve">; Table 4). All the patients (adults and children's) with asthma also had </w:t>
      </w:r>
      <w:r w:rsidRPr="009239A8">
        <w:rPr>
          <w:sz w:val="20"/>
          <w:szCs w:val="20"/>
        </w:rPr>
        <w:lastRenderedPageBreak/>
        <w:t xml:space="preserve">very high total and specific serum IgE levels. Serum levels of specific IgE (in adult patient's) to </w:t>
      </w:r>
      <w:r w:rsidRPr="009239A8">
        <w:rPr>
          <w:i/>
          <w:iCs/>
          <w:sz w:val="20"/>
          <w:szCs w:val="20"/>
        </w:rPr>
        <w:t>A. alternate</w:t>
      </w:r>
      <w:r w:rsidRPr="009239A8">
        <w:rPr>
          <w:sz w:val="20"/>
          <w:szCs w:val="20"/>
        </w:rPr>
        <w:t xml:space="preserve">, </w:t>
      </w:r>
    </w:p>
    <w:p w:rsidR="009E2108" w:rsidRPr="009239A8" w:rsidRDefault="009E2108" w:rsidP="00CA5263">
      <w:pPr>
        <w:snapToGrid w:val="0"/>
        <w:spacing w:line="260" w:lineRule="exact"/>
        <w:ind w:firstLine="415"/>
        <w:rPr>
          <w:i/>
          <w:iCs/>
          <w:sz w:val="20"/>
          <w:szCs w:val="20"/>
        </w:rPr>
      </w:pPr>
      <w:r w:rsidRPr="009239A8">
        <w:rPr>
          <w:i/>
          <w:iCs/>
          <w:sz w:val="20"/>
          <w:szCs w:val="20"/>
        </w:rPr>
        <w:t>Aspergillus niger</w:t>
      </w:r>
      <w:r w:rsidRPr="009239A8">
        <w:rPr>
          <w:sz w:val="20"/>
          <w:szCs w:val="20"/>
        </w:rPr>
        <w:t xml:space="preserve">, </w:t>
      </w:r>
      <w:r w:rsidRPr="009239A8">
        <w:rPr>
          <w:i/>
          <w:iCs/>
          <w:sz w:val="20"/>
          <w:szCs w:val="20"/>
        </w:rPr>
        <w:t>A.  repens, A. flavus</w:t>
      </w:r>
      <w:r w:rsidRPr="009239A8">
        <w:rPr>
          <w:sz w:val="20"/>
          <w:szCs w:val="20"/>
        </w:rPr>
        <w:t xml:space="preserve">, </w:t>
      </w:r>
      <w:r w:rsidRPr="009239A8">
        <w:rPr>
          <w:i/>
          <w:iCs/>
          <w:sz w:val="20"/>
          <w:szCs w:val="20"/>
        </w:rPr>
        <w:t>A. fumigatus, A. terreus, penicillium glabrum</w:t>
      </w:r>
      <w:r w:rsidRPr="009239A8">
        <w:rPr>
          <w:sz w:val="20"/>
          <w:szCs w:val="20"/>
        </w:rPr>
        <w:t xml:space="preserve">, </w:t>
      </w:r>
      <w:r w:rsidRPr="009239A8">
        <w:rPr>
          <w:i/>
          <w:iCs/>
          <w:sz w:val="20"/>
          <w:szCs w:val="20"/>
        </w:rPr>
        <w:t>P. verrucosum</w:t>
      </w:r>
      <w:r w:rsidRPr="009239A8">
        <w:rPr>
          <w:sz w:val="20"/>
          <w:szCs w:val="20"/>
        </w:rPr>
        <w:t xml:space="preserve"> and </w:t>
      </w:r>
      <w:r w:rsidR="00055F66" w:rsidRPr="009239A8">
        <w:rPr>
          <w:i/>
          <w:iCs/>
          <w:sz w:val="20"/>
          <w:szCs w:val="20"/>
        </w:rPr>
        <w:t>Candida albicans</w:t>
      </w:r>
      <w:r w:rsidRPr="009239A8">
        <w:rPr>
          <w:sz w:val="20"/>
          <w:szCs w:val="20"/>
        </w:rPr>
        <w:t xml:space="preserve"> were 3.80±0.5, 3.</w:t>
      </w:r>
      <w:r w:rsidRPr="009239A8">
        <w:rPr>
          <w:sz w:val="20"/>
          <w:szCs w:val="20"/>
          <w:rtl/>
        </w:rPr>
        <w:t>22</w:t>
      </w:r>
      <w:r w:rsidRPr="009239A8">
        <w:rPr>
          <w:sz w:val="20"/>
          <w:szCs w:val="20"/>
        </w:rPr>
        <w:t xml:space="preserve">±0.5, 3.66±0.5, 3.96±0.4, 3.88±0.4, 3.25±0.4, 3.86±0.5, 3.45±0.5 and 3.58±0.6 KU/L, respectively. Whereas specific IgE antibody to </w:t>
      </w:r>
      <w:r w:rsidRPr="009239A8">
        <w:rPr>
          <w:i/>
          <w:iCs/>
          <w:sz w:val="20"/>
          <w:szCs w:val="20"/>
        </w:rPr>
        <w:t>A.  fumigatus</w:t>
      </w:r>
      <w:r w:rsidRPr="009239A8">
        <w:rPr>
          <w:sz w:val="20"/>
          <w:szCs w:val="20"/>
        </w:rPr>
        <w:t xml:space="preserve"> was much more common in children's than in adults (4.53±0.3 KU/L). Statically our results were indicated that there was a highly significant different in serum total IgE levels and specific IgE antibodies between adults and children's (</w:t>
      </w:r>
      <w:r w:rsidR="00CA5263" w:rsidRPr="009239A8">
        <w:rPr>
          <w:i/>
          <w:iCs/>
          <w:sz w:val="20"/>
          <w:szCs w:val="20"/>
        </w:rPr>
        <w:t>P</w:t>
      </w:r>
      <w:r w:rsidR="00CA5263" w:rsidRPr="009239A8">
        <w:rPr>
          <w:sz w:val="20"/>
          <w:szCs w:val="20"/>
        </w:rPr>
        <w:t xml:space="preserve"> </w:t>
      </w:r>
      <w:r w:rsidRPr="009239A8">
        <w:rPr>
          <w:sz w:val="20"/>
          <w:szCs w:val="20"/>
        </w:rPr>
        <w:t>&lt; 0.05).</w:t>
      </w:r>
    </w:p>
    <w:p w:rsidR="00E31989" w:rsidRPr="009239A8" w:rsidRDefault="00E31989" w:rsidP="009E2108">
      <w:pPr>
        <w:snapToGrid w:val="0"/>
        <w:spacing w:line="260" w:lineRule="exact"/>
        <w:rPr>
          <w:b/>
          <w:bCs/>
          <w:sz w:val="20"/>
          <w:szCs w:val="20"/>
        </w:rPr>
        <w:sectPr w:rsidR="00E31989" w:rsidRPr="009239A8" w:rsidSect="009239A8">
          <w:type w:val="continuous"/>
          <w:pgSz w:w="12242" w:h="15842" w:code="1"/>
          <w:pgMar w:top="1440" w:right="1440" w:bottom="1440" w:left="1440" w:header="720" w:footer="720" w:gutter="0"/>
          <w:cols w:num="2" w:space="300"/>
          <w:docGrid w:linePitch="312"/>
        </w:sectPr>
      </w:pPr>
    </w:p>
    <w:p w:rsidR="00F30F6C" w:rsidRPr="009239A8" w:rsidRDefault="00F30F6C" w:rsidP="009E2108">
      <w:pPr>
        <w:snapToGrid w:val="0"/>
        <w:spacing w:line="260" w:lineRule="exact"/>
        <w:rPr>
          <w:b/>
          <w:bCs/>
          <w:sz w:val="20"/>
          <w:szCs w:val="20"/>
        </w:rPr>
      </w:pPr>
    </w:p>
    <w:p w:rsidR="009239A8" w:rsidRDefault="009239A8" w:rsidP="00E31989">
      <w:pPr>
        <w:snapToGrid w:val="0"/>
        <w:spacing w:line="260" w:lineRule="exact"/>
        <w:jc w:val="center"/>
        <w:rPr>
          <w:rFonts w:hint="eastAsia"/>
          <w:sz w:val="20"/>
          <w:szCs w:val="20"/>
        </w:rPr>
      </w:pPr>
    </w:p>
    <w:p w:rsidR="009239A8" w:rsidRDefault="009239A8" w:rsidP="00E31989">
      <w:pPr>
        <w:snapToGrid w:val="0"/>
        <w:spacing w:line="260" w:lineRule="exact"/>
        <w:jc w:val="center"/>
        <w:rPr>
          <w:rFonts w:hint="eastAsia"/>
          <w:sz w:val="20"/>
          <w:szCs w:val="20"/>
        </w:rPr>
      </w:pPr>
    </w:p>
    <w:p w:rsidR="00E31989" w:rsidRPr="009239A8" w:rsidRDefault="00E31989" w:rsidP="009239A8">
      <w:pPr>
        <w:snapToGrid w:val="0"/>
        <w:spacing w:line="260" w:lineRule="exact"/>
        <w:rPr>
          <w:sz w:val="20"/>
          <w:szCs w:val="20"/>
        </w:rPr>
        <w:sectPr w:rsidR="00E31989" w:rsidRPr="009239A8" w:rsidSect="009239A8">
          <w:type w:val="continuous"/>
          <w:pgSz w:w="12242" w:h="15842" w:code="1"/>
          <w:pgMar w:top="1440" w:right="1440" w:bottom="1440" w:left="1440" w:header="720" w:footer="720" w:gutter="0"/>
          <w:cols w:space="300"/>
          <w:docGrid w:linePitch="312"/>
        </w:sectPr>
      </w:pPr>
      <w:r w:rsidRPr="009239A8">
        <w:rPr>
          <w:b/>
          <w:sz w:val="20"/>
          <w:szCs w:val="20"/>
        </w:rPr>
        <w:t>Table 4. Serum total IgE and specific IgE antibodies levels to fungi</w:t>
      </w:r>
      <w:r w:rsidRPr="009239A8">
        <w:rPr>
          <w:b/>
          <w:i/>
          <w:iCs/>
          <w:sz w:val="20"/>
          <w:szCs w:val="20"/>
        </w:rPr>
        <w:t xml:space="preserve"> </w:t>
      </w:r>
      <w:r w:rsidRPr="009239A8">
        <w:rPr>
          <w:b/>
          <w:sz w:val="20"/>
          <w:szCs w:val="20"/>
        </w:rPr>
        <w:t xml:space="preserve">in </w:t>
      </w:r>
      <w:r w:rsidRPr="009239A8">
        <w:rPr>
          <w:b/>
          <w:sz w:val="20"/>
          <w:szCs w:val="20"/>
          <w:rtl/>
        </w:rPr>
        <w:t>76</w:t>
      </w:r>
      <w:r w:rsidRPr="009239A8">
        <w:rPr>
          <w:b/>
          <w:sz w:val="20"/>
          <w:szCs w:val="20"/>
        </w:rPr>
        <w:t xml:space="preserve"> patients with Asthma</w:t>
      </w:r>
      <w:r w:rsidRPr="009239A8">
        <w:rPr>
          <w:sz w:val="20"/>
          <w:szCs w:val="20"/>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58"/>
        <w:gridCol w:w="1080"/>
        <w:gridCol w:w="1289"/>
        <w:gridCol w:w="1134"/>
        <w:gridCol w:w="1276"/>
      </w:tblGrid>
      <w:tr w:rsidR="00E31989" w:rsidRPr="009239A8" w:rsidTr="009239A8">
        <w:trPr>
          <w:jc w:val="center"/>
        </w:trPr>
        <w:tc>
          <w:tcPr>
            <w:tcW w:w="2660" w:type="dxa"/>
            <w:vMerge w:val="restart"/>
            <w:shd w:val="clear" w:color="auto" w:fill="auto"/>
            <w:vAlign w:val="center"/>
          </w:tcPr>
          <w:p w:rsidR="00E31989" w:rsidRPr="009239A8" w:rsidRDefault="00E31989" w:rsidP="009239A8">
            <w:pPr>
              <w:snapToGrid w:val="0"/>
              <w:spacing w:line="260" w:lineRule="exact"/>
              <w:jc w:val="center"/>
              <w:rPr>
                <w:b/>
                <w:bCs/>
                <w:sz w:val="20"/>
                <w:szCs w:val="20"/>
              </w:rPr>
            </w:pPr>
            <w:r w:rsidRPr="009239A8">
              <w:rPr>
                <w:b/>
                <w:bCs/>
                <w:sz w:val="20"/>
                <w:szCs w:val="20"/>
              </w:rPr>
              <w:lastRenderedPageBreak/>
              <w:br w:type="page"/>
              <w:t>Fungi</w:t>
            </w:r>
          </w:p>
        </w:tc>
        <w:tc>
          <w:tcPr>
            <w:tcW w:w="2538" w:type="dxa"/>
            <w:gridSpan w:val="2"/>
            <w:shd w:val="clear" w:color="auto" w:fill="auto"/>
            <w:vAlign w:val="center"/>
          </w:tcPr>
          <w:p w:rsidR="00E31989" w:rsidRPr="009239A8" w:rsidRDefault="00E31989" w:rsidP="009239A8">
            <w:pPr>
              <w:snapToGrid w:val="0"/>
              <w:spacing w:line="260" w:lineRule="exact"/>
              <w:jc w:val="center"/>
              <w:rPr>
                <w:b/>
                <w:bCs/>
                <w:sz w:val="20"/>
                <w:szCs w:val="20"/>
              </w:rPr>
            </w:pPr>
            <w:r w:rsidRPr="009239A8">
              <w:rPr>
                <w:b/>
                <w:bCs/>
                <w:sz w:val="20"/>
                <w:szCs w:val="20"/>
              </w:rPr>
              <w:t>Adult (n=58)</w:t>
            </w:r>
          </w:p>
        </w:tc>
        <w:tc>
          <w:tcPr>
            <w:tcW w:w="2423" w:type="dxa"/>
            <w:gridSpan w:val="2"/>
            <w:shd w:val="clear" w:color="auto" w:fill="auto"/>
            <w:vAlign w:val="center"/>
          </w:tcPr>
          <w:p w:rsidR="00E31989" w:rsidRPr="009239A8" w:rsidRDefault="00E31989" w:rsidP="009239A8">
            <w:pPr>
              <w:snapToGrid w:val="0"/>
              <w:spacing w:line="260" w:lineRule="exact"/>
              <w:jc w:val="center"/>
              <w:rPr>
                <w:b/>
                <w:bCs/>
                <w:sz w:val="20"/>
                <w:szCs w:val="20"/>
              </w:rPr>
            </w:pPr>
            <w:r w:rsidRPr="009239A8">
              <w:rPr>
                <w:b/>
                <w:bCs/>
                <w:sz w:val="20"/>
                <w:szCs w:val="20"/>
              </w:rPr>
              <w:t>Children (n=18)</w:t>
            </w:r>
          </w:p>
        </w:tc>
        <w:tc>
          <w:tcPr>
            <w:tcW w:w="1276" w:type="dxa"/>
            <w:vMerge w:val="restart"/>
            <w:shd w:val="clear" w:color="auto" w:fill="auto"/>
            <w:vAlign w:val="center"/>
          </w:tcPr>
          <w:p w:rsidR="00E31989" w:rsidRPr="009239A8" w:rsidRDefault="00550E15" w:rsidP="009239A8">
            <w:pPr>
              <w:snapToGrid w:val="0"/>
              <w:spacing w:line="260" w:lineRule="exact"/>
              <w:jc w:val="center"/>
              <w:rPr>
                <w:b/>
                <w:bCs/>
                <w:sz w:val="20"/>
                <w:szCs w:val="20"/>
              </w:rPr>
            </w:pPr>
            <w:r w:rsidRPr="009239A8">
              <w:rPr>
                <w:b/>
                <w:bCs/>
                <w:i/>
                <w:iCs/>
                <w:sz w:val="20"/>
                <w:szCs w:val="20"/>
              </w:rPr>
              <w:t>P</w:t>
            </w:r>
            <w:r w:rsidR="00E31989" w:rsidRPr="009239A8">
              <w:rPr>
                <w:b/>
                <w:bCs/>
                <w:i/>
                <w:iCs/>
                <w:sz w:val="20"/>
                <w:szCs w:val="20"/>
              </w:rPr>
              <w:t>-</w:t>
            </w:r>
            <w:r w:rsidR="00E31989" w:rsidRPr="009239A8">
              <w:rPr>
                <w:b/>
                <w:bCs/>
                <w:sz w:val="20"/>
                <w:szCs w:val="20"/>
              </w:rPr>
              <w:t>value</w:t>
            </w:r>
          </w:p>
        </w:tc>
      </w:tr>
      <w:tr w:rsidR="00E31989" w:rsidRPr="009239A8" w:rsidTr="009239A8">
        <w:trPr>
          <w:jc w:val="center"/>
        </w:trPr>
        <w:tc>
          <w:tcPr>
            <w:tcW w:w="2660" w:type="dxa"/>
            <w:vMerge/>
            <w:shd w:val="clear" w:color="auto" w:fill="auto"/>
            <w:vAlign w:val="center"/>
          </w:tcPr>
          <w:p w:rsidR="00E31989" w:rsidRPr="009239A8" w:rsidRDefault="00E31989" w:rsidP="009239A8">
            <w:pPr>
              <w:snapToGrid w:val="0"/>
              <w:spacing w:line="260" w:lineRule="exact"/>
              <w:rPr>
                <w:b/>
                <w:bCs/>
                <w:sz w:val="20"/>
                <w:szCs w:val="20"/>
              </w:rPr>
            </w:pPr>
          </w:p>
        </w:tc>
        <w:tc>
          <w:tcPr>
            <w:tcW w:w="1458" w:type="dxa"/>
            <w:shd w:val="clear" w:color="auto" w:fill="auto"/>
            <w:vAlign w:val="center"/>
          </w:tcPr>
          <w:p w:rsidR="00E31989" w:rsidRPr="009239A8" w:rsidRDefault="00E31989" w:rsidP="009239A8">
            <w:pPr>
              <w:snapToGrid w:val="0"/>
              <w:spacing w:line="260" w:lineRule="exact"/>
              <w:jc w:val="center"/>
              <w:rPr>
                <w:b/>
                <w:bCs/>
                <w:sz w:val="20"/>
                <w:szCs w:val="20"/>
              </w:rPr>
            </w:pPr>
            <w:r w:rsidRPr="009239A8">
              <w:rPr>
                <w:b/>
                <w:bCs/>
                <w:sz w:val="20"/>
                <w:szCs w:val="20"/>
              </w:rPr>
              <w:t>Mean (KU/L)</w:t>
            </w:r>
          </w:p>
        </w:tc>
        <w:tc>
          <w:tcPr>
            <w:tcW w:w="1080" w:type="dxa"/>
            <w:shd w:val="clear" w:color="auto" w:fill="auto"/>
            <w:vAlign w:val="center"/>
          </w:tcPr>
          <w:p w:rsidR="00E31989" w:rsidRPr="009239A8" w:rsidRDefault="00EB3111" w:rsidP="009239A8">
            <w:pPr>
              <w:snapToGrid w:val="0"/>
              <w:spacing w:line="260" w:lineRule="exact"/>
              <w:jc w:val="center"/>
              <w:rPr>
                <w:b/>
                <w:bCs/>
                <w:sz w:val="20"/>
                <w:szCs w:val="20"/>
                <w:rtl/>
              </w:rPr>
            </w:pPr>
            <w:r w:rsidRPr="009239A8">
              <w:rPr>
                <w:b/>
                <w:bCs/>
                <w:sz w:val="20"/>
                <w:szCs w:val="20"/>
              </w:rPr>
              <w:t>P</w:t>
            </w:r>
            <w:r w:rsidR="00E31989" w:rsidRPr="009239A8">
              <w:rPr>
                <w:b/>
                <w:bCs/>
                <w:sz w:val="20"/>
                <w:szCs w:val="20"/>
              </w:rPr>
              <w:t>revalence</w:t>
            </w:r>
          </w:p>
        </w:tc>
        <w:tc>
          <w:tcPr>
            <w:tcW w:w="1289" w:type="dxa"/>
            <w:shd w:val="clear" w:color="auto" w:fill="auto"/>
            <w:vAlign w:val="center"/>
          </w:tcPr>
          <w:p w:rsidR="00E31989" w:rsidRPr="009239A8" w:rsidRDefault="00EB3111" w:rsidP="009239A8">
            <w:pPr>
              <w:snapToGrid w:val="0"/>
              <w:spacing w:line="260" w:lineRule="exact"/>
              <w:jc w:val="center"/>
              <w:rPr>
                <w:b/>
                <w:bCs/>
                <w:sz w:val="20"/>
                <w:szCs w:val="20"/>
                <w:rtl/>
              </w:rPr>
            </w:pPr>
            <w:r w:rsidRPr="009239A8">
              <w:rPr>
                <w:b/>
                <w:bCs/>
                <w:sz w:val="20"/>
                <w:szCs w:val="20"/>
              </w:rPr>
              <w:t xml:space="preserve">Mean </w:t>
            </w:r>
            <w:r w:rsidR="00E31989" w:rsidRPr="009239A8">
              <w:rPr>
                <w:b/>
                <w:bCs/>
                <w:sz w:val="20"/>
                <w:szCs w:val="20"/>
              </w:rPr>
              <w:t>(KU/L)</w:t>
            </w:r>
          </w:p>
        </w:tc>
        <w:tc>
          <w:tcPr>
            <w:tcW w:w="1134" w:type="dxa"/>
            <w:shd w:val="clear" w:color="auto" w:fill="auto"/>
            <w:vAlign w:val="center"/>
          </w:tcPr>
          <w:p w:rsidR="00E31989" w:rsidRPr="009239A8" w:rsidRDefault="00E31989" w:rsidP="009239A8">
            <w:pPr>
              <w:snapToGrid w:val="0"/>
              <w:spacing w:line="260" w:lineRule="exact"/>
              <w:jc w:val="center"/>
              <w:rPr>
                <w:b/>
                <w:bCs/>
                <w:sz w:val="20"/>
                <w:szCs w:val="20"/>
                <w:rtl/>
              </w:rPr>
            </w:pPr>
            <w:r w:rsidRPr="009239A8">
              <w:rPr>
                <w:b/>
                <w:bCs/>
                <w:sz w:val="20"/>
                <w:szCs w:val="20"/>
              </w:rPr>
              <w:t>prevalence</w:t>
            </w:r>
          </w:p>
        </w:tc>
        <w:tc>
          <w:tcPr>
            <w:tcW w:w="1276" w:type="dxa"/>
            <w:vMerge/>
            <w:shd w:val="clear" w:color="auto" w:fill="auto"/>
            <w:vAlign w:val="center"/>
          </w:tcPr>
          <w:p w:rsidR="00E31989" w:rsidRPr="009239A8" w:rsidRDefault="00E31989" w:rsidP="009239A8">
            <w:pPr>
              <w:snapToGrid w:val="0"/>
              <w:spacing w:line="260" w:lineRule="exact"/>
              <w:jc w:val="center"/>
              <w:rPr>
                <w:b/>
                <w:bCs/>
                <w:sz w:val="20"/>
                <w:szCs w:val="20"/>
              </w:rPr>
            </w:pP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Alternaria alternate</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3.80±0.5</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(49/58)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2.85±0.2</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(8/18)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 xml:space="preserve">Aspergillus </w:t>
            </w:r>
            <w:smartTag w:uri="urn:schemas-microsoft-com:office:smarttags" w:element="country-region">
              <w:smartTag w:uri="urn:schemas-microsoft-com:office:smarttags" w:element="place">
                <w:r w:rsidRPr="009239A8">
                  <w:rPr>
                    <w:i/>
                    <w:iCs/>
                    <w:sz w:val="20"/>
                    <w:szCs w:val="20"/>
                  </w:rPr>
                  <w:t>niger</w:t>
                </w:r>
              </w:smartTag>
            </w:smartTag>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w:t>
            </w:r>
            <w:r w:rsidRPr="009239A8">
              <w:rPr>
                <w:sz w:val="20"/>
                <w:szCs w:val="20"/>
                <w:rtl/>
              </w:rPr>
              <w:t>22</w:t>
            </w:r>
            <w:r w:rsidRPr="009239A8">
              <w:rPr>
                <w:sz w:val="20"/>
                <w:szCs w:val="20"/>
              </w:rPr>
              <w:t>±0.5</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(51/58)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2.25±0.3</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(12/18)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Aspergillus repens</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3.66±0.5</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(45/58)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w:t>
            </w:r>
            <w:r w:rsidRPr="009239A8">
              <w:rPr>
                <w:sz w:val="20"/>
                <w:szCs w:val="20"/>
                <w:rtl/>
              </w:rPr>
              <w:t>5</w:t>
            </w:r>
            <w:r w:rsidRPr="009239A8">
              <w:rPr>
                <w:sz w:val="20"/>
                <w:szCs w:val="20"/>
              </w:rPr>
              <w:t>7±0.2</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(9/18)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Aspergillus flavus</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3.96±0.4</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(47/58)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2.40±0.3</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(14/18)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Aspergillus fumigatus</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3.88±0.4</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(54/58)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4.53±0.3</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(15/18)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Aspergillus terreus</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3.25±0.4</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(39/58)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2.53±0.2</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(11/18)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Fusarium solani</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2.89±0.4</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(35/58)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1.86±0.2</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Penicillium glabrum</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3.86±0.5</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(56/58)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2.58±0.3</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(7/18)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Penicillium verrucosum</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3.45±0.5</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(53/58)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2.31±0.2</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(6/18)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Rhizopus oryzae</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2.99±0.3</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(43/58)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1.65±0.2</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(5/18)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Trichoderma viride</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2.84±0.6</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(48/58)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1.50±0.2</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(9/18)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Candida albicans</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3.58±0.6</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(50/58)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2.12±0.4</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(10/18)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0.001</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 xml:space="preserve">IgE to </w:t>
            </w:r>
            <w:r w:rsidRPr="009239A8">
              <w:rPr>
                <w:i/>
                <w:iCs/>
                <w:sz w:val="20"/>
                <w:szCs w:val="20"/>
              </w:rPr>
              <w:t>Trichosporon cutaneum</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2.25±0.6</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(46/58)</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1.75±0.4</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(12/18)</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0.017</w:t>
            </w:r>
          </w:p>
        </w:tc>
      </w:tr>
      <w:tr w:rsidR="00E31989" w:rsidRPr="009239A8" w:rsidTr="009239A8">
        <w:trPr>
          <w:jc w:val="center"/>
        </w:trPr>
        <w:tc>
          <w:tcPr>
            <w:tcW w:w="2660" w:type="dxa"/>
            <w:shd w:val="clear" w:color="auto" w:fill="auto"/>
            <w:vAlign w:val="center"/>
          </w:tcPr>
          <w:p w:rsidR="00E31989" w:rsidRPr="009239A8" w:rsidRDefault="00E31989" w:rsidP="009239A8">
            <w:pPr>
              <w:snapToGrid w:val="0"/>
              <w:spacing w:line="260" w:lineRule="exact"/>
              <w:rPr>
                <w:sz w:val="20"/>
                <w:szCs w:val="20"/>
              </w:rPr>
            </w:pPr>
            <w:r w:rsidRPr="009239A8">
              <w:rPr>
                <w:sz w:val="20"/>
                <w:szCs w:val="20"/>
              </w:rPr>
              <w:t>Total IgE</w:t>
            </w:r>
          </w:p>
        </w:tc>
        <w:tc>
          <w:tcPr>
            <w:tcW w:w="1458"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93.88</w:t>
            </w:r>
          </w:p>
        </w:tc>
        <w:tc>
          <w:tcPr>
            <w:tcW w:w="1080"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w:t>
            </w:r>
          </w:p>
        </w:tc>
        <w:tc>
          <w:tcPr>
            <w:tcW w:w="1289"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46.57</w:t>
            </w:r>
          </w:p>
        </w:tc>
        <w:tc>
          <w:tcPr>
            <w:tcW w:w="1134"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w:t>
            </w:r>
          </w:p>
        </w:tc>
        <w:tc>
          <w:tcPr>
            <w:tcW w:w="1276" w:type="dxa"/>
            <w:shd w:val="clear" w:color="auto" w:fill="auto"/>
            <w:vAlign w:val="center"/>
          </w:tcPr>
          <w:p w:rsidR="00E31989" w:rsidRPr="009239A8" w:rsidRDefault="00E31989" w:rsidP="009239A8">
            <w:pPr>
              <w:snapToGrid w:val="0"/>
              <w:spacing w:line="260" w:lineRule="exact"/>
              <w:jc w:val="center"/>
              <w:rPr>
                <w:sz w:val="20"/>
                <w:szCs w:val="20"/>
              </w:rPr>
            </w:pPr>
            <w:r w:rsidRPr="009239A8">
              <w:rPr>
                <w:sz w:val="20"/>
                <w:szCs w:val="20"/>
              </w:rPr>
              <w:t>--</w:t>
            </w:r>
          </w:p>
        </w:tc>
      </w:tr>
    </w:tbl>
    <w:p w:rsidR="00AD66CD" w:rsidRPr="009239A8" w:rsidRDefault="00AD66CD" w:rsidP="00AD66CD">
      <w:pPr>
        <w:snapToGrid w:val="0"/>
        <w:spacing w:line="260" w:lineRule="exact"/>
        <w:rPr>
          <w:b/>
          <w:bCs/>
          <w:i/>
          <w:iCs/>
          <w:sz w:val="20"/>
          <w:szCs w:val="20"/>
        </w:rPr>
        <w:sectPr w:rsidR="00AD66CD" w:rsidRPr="009239A8" w:rsidSect="009239A8">
          <w:type w:val="continuous"/>
          <w:pgSz w:w="12242" w:h="15842" w:code="1"/>
          <w:pgMar w:top="1440" w:right="1440" w:bottom="1440" w:left="1440" w:header="720" w:footer="720" w:gutter="0"/>
          <w:cols w:space="300"/>
          <w:docGrid w:linePitch="312"/>
        </w:sectPr>
      </w:pPr>
    </w:p>
    <w:p w:rsidR="009239A8" w:rsidRDefault="009239A8" w:rsidP="00AD66CD">
      <w:pPr>
        <w:snapToGrid w:val="0"/>
        <w:spacing w:line="260" w:lineRule="exact"/>
        <w:rPr>
          <w:rFonts w:hint="eastAsia"/>
          <w:b/>
          <w:bCs/>
          <w:sz w:val="20"/>
          <w:szCs w:val="20"/>
        </w:rPr>
      </w:pPr>
    </w:p>
    <w:p w:rsidR="00AD66CD" w:rsidRPr="009239A8" w:rsidRDefault="00AD66CD" w:rsidP="00AD66CD">
      <w:pPr>
        <w:snapToGrid w:val="0"/>
        <w:spacing w:line="260" w:lineRule="exact"/>
        <w:rPr>
          <w:b/>
          <w:bCs/>
          <w:sz w:val="20"/>
          <w:szCs w:val="20"/>
        </w:rPr>
      </w:pPr>
      <w:r w:rsidRPr="009239A8">
        <w:rPr>
          <w:b/>
          <w:bCs/>
          <w:sz w:val="20"/>
          <w:szCs w:val="20"/>
        </w:rPr>
        <w:t>3.5. Comparison of serum total IgE level and specific IgE antibodies between asthmatic patients and non-asthmatic (control group)</w:t>
      </w:r>
    </w:p>
    <w:p w:rsidR="00AD66CD" w:rsidRPr="009239A8" w:rsidRDefault="00AD66CD" w:rsidP="00F95904">
      <w:pPr>
        <w:snapToGrid w:val="0"/>
        <w:spacing w:line="260" w:lineRule="exact"/>
        <w:ind w:firstLine="420"/>
        <w:rPr>
          <w:sz w:val="20"/>
          <w:szCs w:val="20"/>
        </w:rPr>
      </w:pPr>
      <w:r w:rsidRPr="009239A8">
        <w:rPr>
          <w:sz w:val="20"/>
          <w:szCs w:val="20"/>
        </w:rPr>
        <w:t xml:space="preserve">The results for sera of patients with asthma disease were compared with non-asthmatic (control group) sera for concentration of specific IgE antibody to </w:t>
      </w:r>
      <w:r w:rsidRPr="009239A8">
        <w:rPr>
          <w:i/>
          <w:iCs/>
          <w:sz w:val="20"/>
          <w:szCs w:val="20"/>
        </w:rPr>
        <w:t>A. alternate</w:t>
      </w:r>
      <w:r w:rsidRPr="009239A8">
        <w:rPr>
          <w:sz w:val="20"/>
          <w:szCs w:val="20"/>
        </w:rPr>
        <w:t xml:space="preserve">, </w:t>
      </w:r>
      <w:r w:rsidR="00055F66" w:rsidRPr="009239A8">
        <w:rPr>
          <w:i/>
          <w:iCs/>
          <w:sz w:val="20"/>
          <w:szCs w:val="20"/>
        </w:rPr>
        <w:t>Aspergillus niger</w:t>
      </w:r>
      <w:r w:rsidRPr="009239A8">
        <w:rPr>
          <w:sz w:val="20"/>
          <w:szCs w:val="20"/>
        </w:rPr>
        <w:t xml:space="preserve">, </w:t>
      </w:r>
      <w:r w:rsidRPr="009239A8">
        <w:rPr>
          <w:i/>
          <w:iCs/>
          <w:sz w:val="20"/>
          <w:szCs w:val="20"/>
        </w:rPr>
        <w:t>A.  repens, A. flavus</w:t>
      </w:r>
      <w:r w:rsidRPr="009239A8">
        <w:rPr>
          <w:sz w:val="20"/>
          <w:szCs w:val="20"/>
        </w:rPr>
        <w:t xml:space="preserve">, </w:t>
      </w:r>
      <w:r w:rsidRPr="009239A8">
        <w:rPr>
          <w:i/>
          <w:iCs/>
          <w:sz w:val="20"/>
          <w:szCs w:val="20"/>
        </w:rPr>
        <w:t>A. fumigatus, A. terreus, Fusarium solani, penicillium glabrum</w:t>
      </w:r>
      <w:r w:rsidRPr="009239A8">
        <w:rPr>
          <w:sz w:val="20"/>
          <w:szCs w:val="20"/>
        </w:rPr>
        <w:t xml:space="preserve">, </w:t>
      </w:r>
      <w:r w:rsidRPr="009239A8">
        <w:rPr>
          <w:i/>
          <w:iCs/>
          <w:sz w:val="20"/>
          <w:szCs w:val="20"/>
        </w:rPr>
        <w:t>P. verrucosum, Rhizopus oryzae, Trichoderma viride</w:t>
      </w:r>
      <w:r w:rsidRPr="009239A8">
        <w:rPr>
          <w:sz w:val="20"/>
          <w:szCs w:val="20"/>
        </w:rPr>
        <w:t xml:space="preserve"> </w:t>
      </w:r>
      <w:r w:rsidRPr="009239A8">
        <w:rPr>
          <w:i/>
          <w:iCs/>
          <w:sz w:val="20"/>
          <w:szCs w:val="20"/>
        </w:rPr>
        <w:t>Candida albicans</w:t>
      </w:r>
      <w:r w:rsidRPr="009239A8">
        <w:rPr>
          <w:sz w:val="20"/>
          <w:szCs w:val="20"/>
        </w:rPr>
        <w:t xml:space="preserve"> and </w:t>
      </w:r>
      <w:r w:rsidRPr="009239A8">
        <w:rPr>
          <w:i/>
          <w:iCs/>
          <w:sz w:val="20"/>
          <w:szCs w:val="20"/>
        </w:rPr>
        <w:t xml:space="preserve">Trichosporon cutaneum </w:t>
      </w:r>
      <w:r w:rsidRPr="009239A8">
        <w:rPr>
          <w:sz w:val="20"/>
          <w:szCs w:val="20"/>
        </w:rPr>
        <w:t xml:space="preserve"> (Table 5). Mean specific IgE was higher in sera from patients with asthma for all antigens. Our results showed that statically there was a highly significant different in the concentrations of specific IgE levels between asthmatic and non-asthmatic patient's (</w:t>
      </w:r>
      <w:r w:rsidR="00F95904" w:rsidRPr="009239A8">
        <w:rPr>
          <w:i/>
          <w:iCs/>
          <w:sz w:val="20"/>
          <w:szCs w:val="20"/>
        </w:rPr>
        <w:t>P</w:t>
      </w:r>
      <w:r w:rsidRPr="009239A8">
        <w:rPr>
          <w:sz w:val="20"/>
          <w:szCs w:val="20"/>
        </w:rPr>
        <w:t xml:space="preserve"> = 0.001). Analyzing the data for adults and children's separately, serum total IgE level and specific IgE antibodies between adult asthmatic patients were detected in a </w:t>
      </w:r>
      <w:r w:rsidR="00055F66" w:rsidRPr="009239A8">
        <w:rPr>
          <w:sz w:val="20"/>
          <w:szCs w:val="20"/>
        </w:rPr>
        <w:t>higher level</w:t>
      </w:r>
      <w:r w:rsidRPr="009239A8">
        <w:rPr>
          <w:sz w:val="20"/>
          <w:szCs w:val="20"/>
        </w:rPr>
        <w:t xml:space="preserve"> than in children's asthmatic patients. Specific IgE to </w:t>
      </w:r>
      <w:r w:rsidRPr="009239A8">
        <w:rPr>
          <w:i/>
          <w:iCs/>
          <w:sz w:val="20"/>
          <w:szCs w:val="20"/>
        </w:rPr>
        <w:t xml:space="preserve">A. alternate </w:t>
      </w:r>
      <w:r w:rsidRPr="009239A8">
        <w:rPr>
          <w:sz w:val="20"/>
          <w:szCs w:val="20"/>
        </w:rPr>
        <w:t xml:space="preserve">in asthmatic patients (adults and children's) was 3.80±0.5 and 2.85±0.2, while as in non-asthmatic (control group) was 0.12±0.3 and 0.12±0.2, respectively. </w:t>
      </w:r>
    </w:p>
    <w:p w:rsidR="00AD66CD" w:rsidRPr="009239A8" w:rsidRDefault="00AD66CD" w:rsidP="00AD66CD">
      <w:pPr>
        <w:snapToGrid w:val="0"/>
        <w:spacing w:line="260" w:lineRule="exact"/>
        <w:rPr>
          <w:b/>
          <w:bCs/>
          <w:i/>
          <w:iCs/>
          <w:sz w:val="20"/>
          <w:szCs w:val="20"/>
        </w:rPr>
      </w:pPr>
    </w:p>
    <w:p w:rsidR="009239A8" w:rsidRDefault="009239A8" w:rsidP="00AD66CD">
      <w:pPr>
        <w:snapToGrid w:val="0"/>
        <w:spacing w:line="260" w:lineRule="exact"/>
        <w:rPr>
          <w:rFonts w:hint="eastAsia"/>
          <w:b/>
          <w:bCs/>
          <w:sz w:val="20"/>
          <w:szCs w:val="20"/>
        </w:rPr>
      </w:pPr>
    </w:p>
    <w:p w:rsidR="00AD66CD" w:rsidRPr="009239A8" w:rsidRDefault="00AD66CD" w:rsidP="00AD66CD">
      <w:pPr>
        <w:snapToGrid w:val="0"/>
        <w:spacing w:line="260" w:lineRule="exact"/>
        <w:rPr>
          <w:b/>
          <w:bCs/>
          <w:sz w:val="20"/>
          <w:szCs w:val="20"/>
        </w:rPr>
      </w:pPr>
      <w:r w:rsidRPr="009239A8">
        <w:rPr>
          <w:b/>
          <w:bCs/>
          <w:sz w:val="20"/>
          <w:szCs w:val="20"/>
        </w:rPr>
        <w:t>3.6. Correlations were detected between serum total IgE levels and specific IgE levels to fungi</w:t>
      </w:r>
    </w:p>
    <w:p w:rsidR="00AD66CD" w:rsidRPr="009239A8" w:rsidRDefault="00AD66CD" w:rsidP="00F95904">
      <w:pPr>
        <w:snapToGrid w:val="0"/>
        <w:spacing w:line="260" w:lineRule="exact"/>
        <w:ind w:firstLine="420"/>
        <w:rPr>
          <w:sz w:val="20"/>
          <w:szCs w:val="20"/>
        </w:rPr>
        <w:sectPr w:rsidR="00AD66CD" w:rsidRPr="009239A8" w:rsidSect="009239A8">
          <w:type w:val="continuous"/>
          <w:pgSz w:w="12242" w:h="15842" w:code="1"/>
          <w:pgMar w:top="1440" w:right="1440" w:bottom="1440" w:left="1440" w:header="720" w:footer="720" w:gutter="0"/>
          <w:cols w:num="2" w:space="300"/>
          <w:docGrid w:linePitch="312"/>
        </w:sectPr>
      </w:pPr>
      <w:r w:rsidRPr="009239A8">
        <w:rPr>
          <w:sz w:val="20"/>
          <w:szCs w:val="20"/>
        </w:rPr>
        <w:t xml:space="preserve">Table (6) summarized the correlations between serum total IgE levels and specific IgE levels to fungi in the patients with asthma. There were significant correlations between total IgE level and specific IgE to </w:t>
      </w:r>
      <w:r w:rsidRPr="009239A8">
        <w:rPr>
          <w:i/>
          <w:iCs/>
          <w:sz w:val="20"/>
          <w:szCs w:val="20"/>
        </w:rPr>
        <w:t>Aspergillus repens</w:t>
      </w:r>
      <w:r w:rsidRPr="009239A8">
        <w:rPr>
          <w:sz w:val="20"/>
          <w:szCs w:val="20"/>
        </w:rPr>
        <w:t xml:space="preserve"> (r = 0.332, </w:t>
      </w:r>
      <w:r w:rsidR="00F95904" w:rsidRPr="009239A8">
        <w:rPr>
          <w:i/>
          <w:iCs/>
          <w:sz w:val="20"/>
          <w:szCs w:val="20"/>
        </w:rPr>
        <w:t>P</w:t>
      </w:r>
      <w:r w:rsidRPr="009239A8">
        <w:rPr>
          <w:sz w:val="20"/>
          <w:szCs w:val="20"/>
        </w:rPr>
        <w:t xml:space="preserve"> &lt; 0.05), </w:t>
      </w:r>
      <w:r w:rsidRPr="009239A8">
        <w:rPr>
          <w:i/>
          <w:iCs/>
          <w:sz w:val="20"/>
          <w:szCs w:val="20"/>
        </w:rPr>
        <w:t>Trichoderma viride</w:t>
      </w:r>
      <w:r w:rsidR="00F95904" w:rsidRPr="009239A8">
        <w:rPr>
          <w:sz w:val="20"/>
          <w:szCs w:val="20"/>
        </w:rPr>
        <w:t xml:space="preserve"> (r = -0.332,</w:t>
      </w:r>
      <w:r w:rsidRPr="009239A8">
        <w:rPr>
          <w:sz w:val="20"/>
          <w:szCs w:val="20"/>
        </w:rPr>
        <w:t xml:space="preserve"> </w:t>
      </w:r>
      <w:r w:rsidR="00F95904" w:rsidRPr="009239A8">
        <w:rPr>
          <w:i/>
          <w:iCs/>
          <w:sz w:val="20"/>
          <w:szCs w:val="20"/>
        </w:rPr>
        <w:t>P</w:t>
      </w:r>
      <w:r w:rsidRPr="009239A8">
        <w:rPr>
          <w:sz w:val="20"/>
          <w:szCs w:val="20"/>
        </w:rPr>
        <w:t xml:space="preserve"> &lt; 0.05),</w:t>
      </w:r>
      <w:r w:rsidRPr="009239A8">
        <w:rPr>
          <w:i/>
          <w:iCs/>
          <w:sz w:val="20"/>
          <w:szCs w:val="20"/>
        </w:rPr>
        <w:t xml:space="preserve"> </w:t>
      </w:r>
      <w:r w:rsidRPr="009239A8">
        <w:rPr>
          <w:sz w:val="20"/>
          <w:szCs w:val="20"/>
        </w:rPr>
        <w:t xml:space="preserve">and </w:t>
      </w:r>
      <w:r w:rsidRPr="009239A8">
        <w:rPr>
          <w:i/>
          <w:iCs/>
          <w:sz w:val="20"/>
          <w:szCs w:val="20"/>
        </w:rPr>
        <w:t xml:space="preserve">Candida albicans </w:t>
      </w:r>
      <w:r w:rsidRPr="009239A8">
        <w:rPr>
          <w:sz w:val="20"/>
          <w:szCs w:val="20"/>
        </w:rPr>
        <w:t xml:space="preserve">(r = 0.298, </w:t>
      </w:r>
      <w:r w:rsidR="00F95904" w:rsidRPr="009239A8">
        <w:rPr>
          <w:i/>
          <w:iCs/>
          <w:sz w:val="20"/>
          <w:szCs w:val="20"/>
        </w:rPr>
        <w:t>P</w:t>
      </w:r>
      <w:r w:rsidRPr="009239A8">
        <w:rPr>
          <w:sz w:val="20"/>
          <w:szCs w:val="20"/>
        </w:rPr>
        <w:t xml:space="preserve"> &lt; 0.05). While there were no significant correlations between total IgE level and specific IgE to </w:t>
      </w:r>
      <w:r w:rsidRPr="009239A8">
        <w:rPr>
          <w:i/>
          <w:iCs/>
          <w:sz w:val="20"/>
          <w:szCs w:val="20"/>
        </w:rPr>
        <w:t xml:space="preserve">A. alternate </w:t>
      </w:r>
      <w:r w:rsidRPr="009239A8">
        <w:rPr>
          <w:sz w:val="20"/>
          <w:szCs w:val="20"/>
        </w:rPr>
        <w:t xml:space="preserve">(r = 0.050, </w:t>
      </w:r>
      <w:r w:rsidR="00F95904" w:rsidRPr="009239A8">
        <w:rPr>
          <w:i/>
          <w:iCs/>
          <w:sz w:val="20"/>
          <w:szCs w:val="20"/>
        </w:rPr>
        <w:t>P</w:t>
      </w:r>
      <w:r w:rsidR="00F95904" w:rsidRPr="009239A8">
        <w:rPr>
          <w:sz w:val="20"/>
          <w:szCs w:val="20"/>
        </w:rPr>
        <w:t xml:space="preserve"> </w:t>
      </w:r>
      <w:r w:rsidRPr="009239A8">
        <w:rPr>
          <w:sz w:val="20"/>
          <w:szCs w:val="20"/>
        </w:rPr>
        <w:t xml:space="preserve">&gt; 0.05), </w:t>
      </w:r>
      <w:r w:rsidRPr="009239A8">
        <w:rPr>
          <w:i/>
          <w:iCs/>
          <w:sz w:val="20"/>
          <w:szCs w:val="20"/>
        </w:rPr>
        <w:t>Aspergillus  niger</w:t>
      </w:r>
      <w:r w:rsidRPr="009239A8">
        <w:rPr>
          <w:sz w:val="20"/>
          <w:szCs w:val="20"/>
        </w:rPr>
        <w:t xml:space="preserve"> (r = 0.088, </w:t>
      </w:r>
      <w:r w:rsidR="00F95904" w:rsidRPr="009239A8">
        <w:rPr>
          <w:i/>
          <w:iCs/>
          <w:sz w:val="20"/>
          <w:szCs w:val="20"/>
        </w:rPr>
        <w:t>P</w:t>
      </w:r>
      <w:r w:rsidRPr="009239A8">
        <w:rPr>
          <w:sz w:val="20"/>
          <w:szCs w:val="20"/>
        </w:rPr>
        <w:t xml:space="preserve"> &gt; 0.05)</w:t>
      </w:r>
      <w:r w:rsidRPr="009239A8">
        <w:rPr>
          <w:i/>
          <w:iCs/>
          <w:sz w:val="20"/>
          <w:szCs w:val="20"/>
        </w:rPr>
        <w:t>, A. flavus</w:t>
      </w:r>
      <w:r w:rsidR="00F95904" w:rsidRPr="009239A8">
        <w:rPr>
          <w:sz w:val="20"/>
          <w:szCs w:val="20"/>
        </w:rPr>
        <w:t xml:space="preserve"> (r = -0.226, </w:t>
      </w:r>
      <w:r w:rsidR="00F95904" w:rsidRPr="009239A8">
        <w:rPr>
          <w:i/>
          <w:iCs/>
          <w:sz w:val="20"/>
          <w:szCs w:val="20"/>
        </w:rPr>
        <w:t>P</w:t>
      </w:r>
      <w:r w:rsidRPr="009239A8">
        <w:rPr>
          <w:sz w:val="20"/>
          <w:szCs w:val="20"/>
        </w:rPr>
        <w:t xml:space="preserve"> &gt; 0.05), </w:t>
      </w:r>
      <w:r w:rsidRPr="009239A8">
        <w:rPr>
          <w:i/>
          <w:iCs/>
          <w:sz w:val="20"/>
          <w:szCs w:val="20"/>
        </w:rPr>
        <w:t>A. fumigatus</w:t>
      </w:r>
      <w:r w:rsidR="00F95904" w:rsidRPr="009239A8">
        <w:rPr>
          <w:sz w:val="20"/>
          <w:szCs w:val="20"/>
        </w:rPr>
        <w:t xml:space="preserve"> (r = 0.006, </w:t>
      </w:r>
      <w:r w:rsidR="00F95904" w:rsidRPr="009239A8">
        <w:rPr>
          <w:i/>
          <w:iCs/>
          <w:sz w:val="20"/>
          <w:szCs w:val="20"/>
        </w:rPr>
        <w:t>P</w:t>
      </w:r>
      <w:r w:rsidRPr="009239A8">
        <w:rPr>
          <w:sz w:val="20"/>
          <w:szCs w:val="20"/>
        </w:rPr>
        <w:t xml:space="preserve"> &gt; 0.05)</w:t>
      </w:r>
      <w:r w:rsidRPr="009239A8">
        <w:rPr>
          <w:i/>
          <w:iCs/>
          <w:sz w:val="20"/>
          <w:szCs w:val="20"/>
        </w:rPr>
        <w:t>, A. terreus</w:t>
      </w:r>
      <w:r w:rsidR="00F95904" w:rsidRPr="009239A8">
        <w:rPr>
          <w:sz w:val="20"/>
          <w:szCs w:val="20"/>
        </w:rPr>
        <w:t xml:space="preserve"> (r = 0.297, </w:t>
      </w:r>
      <w:r w:rsidR="00F95904" w:rsidRPr="009239A8">
        <w:rPr>
          <w:i/>
          <w:iCs/>
          <w:sz w:val="20"/>
          <w:szCs w:val="20"/>
        </w:rPr>
        <w:t>P</w:t>
      </w:r>
      <w:r w:rsidRPr="009239A8">
        <w:rPr>
          <w:sz w:val="20"/>
          <w:szCs w:val="20"/>
        </w:rPr>
        <w:t xml:space="preserve"> &gt; 0.05)</w:t>
      </w:r>
      <w:r w:rsidRPr="009239A8">
        <w:rPr>
          <w:i/>
          <w:iCs/>
          <w:sz w:val="20"/>
          <w:szCs w:val="20"/>
        </w:rPr>
        <w:t>, Fusarium solani</w:t>
      </w:r>
      <w:r w:rsidR="00F95904" w:rsidRPr="009239A8">
        <w:rPr>
          <w:sz w:val="20"/>
          <w:szCs w:val="20"/>
        </w:rPr>
        <w:t xml:space="preserve"> (r = -0.094, </w:t>
      </w:r>
      <w:r w:rsidR="00F95904" w:rsidRPr="009239A8">
        <w:rPr>
          <w:i/>
          <w:iCs/>
          <w:sz w:val="20"/>
          <w:szCs w:val="20"/>
        </w:rPr>
        <w:t>P</w:t>
      </w:r>
      <w:r w:rsidRPr="009239A8">
        <w:rPr>
          <w:sz w:val="20"/>
          <w:szCs w:val="20"/>
        </w:rPr>
        <w:t xml:space="preserve"> &gt; 0.05)</w:t>
      </w:r>
      <w:r w:rsidR="00F95904" w:rsidRPr="009239A8">
        <w:rPr>
          <w:sz w:val="20"/>
          <w:szCs w:val="20"/>
        </w:rPr>
        <w:t>,</w:t>
      </w:r>
      <w:r w:rsidRPr="009239A8">
        <w:rPr>
          <w:i/>
          <w:iCs/>
          <w:sz w:val="20"/>
          <w:szCs w:val="20"/>
        </w:rPr>
        <w:t xml:space="preserve"> Penicillium glabrum</w:t>
      </w:r>
      <w:r w:rsidRPr="009239A8">
        <w:rPr>
          <w:sz w:val="20"/>
          <w:szCs w:val="20"/>
        </w:rPr>
        <w:t xml:space="preserve"> (r = -0.186, </w:t>
      </w:r>
      <w:r w:rsidR="00F95904" w:rsidRPr="009239A8">
        <w:rPr>
          <w:i/>
          <w:iCs/>
          <w:sz w:val="20"/>
          <w:szCs w:val="20"/>
        </w:rPr>
        <w:t>P</w:t>
      </w:r>
      <w:r w:rsidRPr="009239A8">
        <w:rPr>
          <w:sz w:val="20"/>
          <w:szCs w:val="20"/>
        </w:rPr>
        <w:t xml:space="preserve"> &gt; 0.05), </w:t>
      </w:r>
      <w:r w:rsidRPr="009239A8">
        <w:rPr>
          <w:i/>
          <w:iCs/>
          <w:sz w:val="20"/>
          <w:szCs w:val="20"/>
        </w:rPr>
        <w:t xml:space="preserve">P. verrucosum </w:t>
      </w:r>
      <w:r w:rsidR="00F95904" w:rsidRPr="009239A8">
        <w:rPr>
          <w:sz w:val="20"/>
          <w:szCs w:val="20"/>
        </w:rPr>
        <w:t xml:space="preserve">(r = 0.208, </w:t>
      </w:r>
      <w:r w:rsidR="00F95904" w:rsidRPr="009239A8">
        <w:rPr>
          <w:i/>
          <w:iCs/>
          <w:sz w:val="20"/>
          <w:szCs w:val="20"/>
        </w:rPr>
        <w:t>P</w:t>
      </w:r>
      <w:r w:rsidRPr="009239A8">
        <w:rPr>
          <w:sz w:val="20"/>
          <w:szCs w:val="20"/>
        </w:rPr>
        <w:t xml:space="preserve"> &gt; 0.05)</w:t>
      </w:r>
      <w:r w:rsidRPr="009239A8">
        <w:rPr>
          <w:i/>
          <w:iCs/>
          <w:sz w:val="20"/>
          <w:szCs w:val="20"/>
        </w:rPr>
        <w:t xml:space="preserve">, Rhizopus oryzae </w:t>
      </w:r>
      <w:r w:rsidR="00F95904" w:rsidRPr="009239A8">
        <w:rPr>
          <w:sz w:val="20"/>
          <w:szCs w:val="20"/>
        </w:rPr>
        <w:t xml:space="preserve">(r = -0.219, </w:t>
      </w:r>
      <w:r w:rsidR="00F95904" w:rsidRPr="009239A8">
        <w:rPr>
          <w:i/>
          <w:iCs/>
          <w:sz w:val="20"/>
          <w:szCs w:val="20"/>
        </w:rPr>
        <w:t>P</w:t>
      </w:r>
      <w:r w:rsidRPr="009239A8">
        <w:rPr>
          <w:sz w:val="20"/>
          <w:szCs w:val="20"/>
        </w:rPr>
        <w:t xml:space="preserve"> &gt; 0.05)</w:t>
      </w:r>
      <w:r w:rsidRPr="009239A8">
        <w:rPr>
          <w:i/>
          <w:iCs/>
          <w:sz w:val="20"/>
          <w:szCs w:val="20"/>
        </w:rPr>
        <w:t xml:space="preserve">, </w:t>
      </w:r>
      <w:r w:rsidRPr="009239A8">
        <w:rPr>
          <w:sz w:val="20"/>
          <w:szCs w:val="20"/>
        </w:rPr>
        <w:t xml:space="preserve">and </w:t>
      </w:r>
      <w:r w:rsidRPr="009239A8">
        <w:rPr>
          <w:i/>
          <w:iCs/>
          <w:sz w:val="20"/>
          <w:szCs w:val="20"/>
        </w:rPr>
        <w:t>Trichosporon cutaneum</w:t>
      </w:r>
      <w:r w:rsidRPr="009239A8">
        <w:rPr>
          <w:sz w:val="20"/>
          <w:szCs w:val="20"/>
        </w:rPr>
        <w:t xml:space="preserve"> (r = -0.027, </w:t>
      </w:r>
      <w:r w:rsidR="00F95904" w:rsidRPr="009239A8">
        <w:rPr>
          <w:i/>
          <w:iCs/>
          <w:sz w:val="20"/>
          <w:szCs w:val="20"/>
        </w:rPr>
        <w:t>P</w:t>
      </w:r>
      <w:r w:rsidR="00F95904" w:rsidRPr="009239A8">
        <w:rPr>
          <w:sz w:val="20"/>
          <w:szCs w:val="20"/>
        </w:rPr>
        <w:t xml:space="preserve"> &gt; 0.05).</w:t>
      </w:r>
      <w:r w:rsidRPr="009239A8">
        <w:rPr>
          <w:sz w:val="20"/>
          <w:szCs w:val="20"/>
        </w:rPr>
        <w:t xml:space="preserve"> </w:t>
      </w:r>
      <w:r w:rsidR="00055F66" w:rsidRPr="009239A8">
        <w:rPr>
          <w:sz w:val="20"/>
          <w:szCs w:val="20"/>
        </w:rPr>
        <w:t>Also,</w:t>
      </w:r>
      <w:r w:rsidRPr="009239A8">
        <w:rPr>
          <w:sz w:val="20"/>
          <w:szCs w:val="20"/>
        </w:rPr>
        <w:t xml:space="preserve"> there were significant correlations between specific IgE to </w:t>
      </w:r>
      <w:r w:rsidRPr="009239A8">
        <w:rPr>
          <w:i/>
          <w:iCs/>
          <w:sz w:val="20"/>
          <w:szCs w:val="20"/>
        </w:rPr>
        <w:t>Aspergillus repens</w:t>
      </w:r>
      <w:r w:rsidRPr="009239A8">
        <w:rPr>
          <w:sz w:val="20"/>
          <w:szCs w:val="20"/>
        </w:rPr>
        <w:t xml:space="preserve">, and specific IgE to </w:t>
      </w:r>
      <w:r w:rsidRPr="009239A8">
        <w:rPr>
          <w:i/>
          <w:iCs/>
          <w:sz w:val="20"/>
          <w:szCs w:val="20"/>
        </w:rPr>
        <w:t>A. flavus</w:t>
      </w:r>
      <w:r w:rsidR="00F95904" w:rsidRPr="009239A8">
        <w:rPr>
          <w:sz w:val="20"/>
          <w:szCs w:val="20"/>
        </w:rPr>
        <w:t xml:space="preserve"> (r = 0.497, </w:t>
      </w:r>
      <w:r w:rsidR="00F95904" w:rsidRPr="009239A8">
        <w:rPr>
          <w:i/>
          <w:iCs/>
          <w:sz w:val="20"/>
          <w:szCs w:val="20"/>
        </w:rPr>
        <w:t>P</w:t>
      </w:r>
      <w:r w:rsidRPr="009239A8">
        <w:rPr>
          <w:sz w:val="20"/>
          <w:szCs w:val="20"/>
        </w:rPr>
        <w:t xml:space="preserve"> &lt; 0.01),</w:t>
      </w:r>
      <w:r w:rsidRPr="009239A8">
        <w:rPr>
          <w:i/>
          <w:iCs/>
          <w:sz w:val="20"/>
          <w:szCs w:val="20"/>
        </w:rPr>
        <w:t xml:space="preserve"> Penicillium glabrum</w:t>
      </w:r>
      <w:r w:rsidRPr="009239A8">
        <w:rPr>
          <w:sz w:val="20"/>
          <w:szCs w:val="20"/>
        </w:rPr>
        <w:t xml:space="preserve"> </w:t>
      </w:r>
      <w:r w:rsidR="00F95904" w:rsidRPr="009239A8">
        <w:rPr>
          <w:sz w:val="20"/>
          <w:szCs w:val="20"/>
        </w:rPr>
        <w:t xml:space="preserve">(r = 0.343, </w:t>
      </w:r>
      <w:r w:rsidR="00F95904" w:rsidRPr="009239A8">
        <w:rPr>
          <w:i/>
          <w:iCs/>
          <w:sz w:val="20"/>
          <w:szCs w:val="20"/>
        </w:rPr>
        <w:t>P</w:t>
      </w:r>
      <w:r w:rsidRPr="009239A8">
        <w:rPr>
          <w:sz w:val="20"/>
          <w:szCs w:val="20"/>
        </w:rPr>
        <w:t xml:space="preserve"> &lt; 0.05), </w:t>
      </w:r>
      <w:r w:rsidRPr="009239A8">
        <w:rPr>
          <w:i/>
          <w:iCs/>
          <w:sz w:val="20"/>
          <w:szCs w:val="20"/>
        </w:rPr>
        <w:t>P. verrucosum</w:t>
      </w:r>
      <w:r w:rsidRPr="009239A8">
        <w:rPr>
          <w:sz w:val="20"/>
          <w:szCs w:val="20"/>
        </w:rPr>
        <w:t xml:space="preserve"> (r = 0.457, </w:t>
      </w:r>
      <w:r w:rsidR="00F95904" w:rsidRPr="009239A8">
        <w:rPr>
          <w:i/>
          <w:iCs/>
          <w:sz w:val="20"/>
          <w:szCs w:val="20"/>
        </w:rPr>
        <w:t>P</w:t>
      </w:r>
      <w:r w:rsidRPr="009239A8">
        <w:rPr>
          <w:sz w:val="20"/>
          <w:szCs w:val="20"/>
        </w:rPr>
        <w:t xml:space="preserve"> &lt; 0.01) and </w:t>
      </w:r>
      <w:r w:rsidRPr="009239A8">
        <w:rPr>
          <w:i/>
          <w:iCs/>
          <w:sz w:val="20"/>
          <w:szCs w:val="20"/>
        </w:rPr>
        <w:t>C. albicans</w:t>
      </w:r>
      <w:r w:rsidR="00F95904" w:rsidRPr="009239A8">
        <w:rPr>
          <w:sz w:val="20"/>
          <w:szCs w:val="20"/>
        </w:rPr>
        <w:t xml:space="preserve"> (r = 0.895, </w:t>
      </w:r>
      <w:r w:rsidR="00F95904" w:rsidRPr="009239A8">
        <w:rPr>
          <w:i/>
          <w:iCs/>
          <w:sz w:val="20"/>
          <w:szCs w:val="20"/>
        </w:rPr>
        <w:t>P</w:t>
      </w:r>
      <w:r w:rsidR="00F95904" w:rsidRPr="009239A8">
        <w:rPr>
          <w:sz w:val="20"/>
          <w:szCs w:val="20"/>
        </w:rPr>
        <w:t xml:space="preserve"> &lt; 0.01). </w:t>
      </w:r>
      <w:r w:rsidRPr="009239A8">
        <w:rPr>
          <w:sz w:val="20"/>
          <w:szCs w:val="20"/>
        </w:rPr>
        <w:t>The rest of the studied correlations were listed in table (6).</w:t>
      </w:r>
    </w:p>
    <w:p w:rsidR="00AD66CD" w:rsidRPr="009239A8" w:rsidRDefault="00F30F6C" w:rsidP="009239A8">
      <w:pPr>
        <w:snapToGrid w:val="0"/>
        <w:spacing w:line="260" w:lineRule="exact"/>
        <w:jc w:val="center"/>
        <w:rPr>
          <w:rFonts w:hint="eastAsia"/>
          <w:sz w:val="20"/>
          <w:szCs w:val="20"/>
          <w:lang w:bidi="ar-EG"/>
        </w:rPr>
      </w:pPr>
      <w:r w:rsidRPr="009239A8">
        <w:rPr>
          <w:sz w:val="20"/>
          <w:szCs w:val="20"/>
        </w:rPr>
        <w:lastRenderedPageBreak/>
        <w:br w:type="page"/>
      </w:r>
      <w:r w:rsidR="00D5470A" w:rsidRPr="009239A8">
        <w:rPr>
          <w:sz w:val="20"/>
          <w:szCs w:val="20"/>
        </w:rPr>
        <w:lastRenderedPageBreak/>
        <w:t>Table 5. Comparison of serum total IgE level and specific IgE antibodies between asthmatic patients and non-asthmatic.</w:t>
      </w:r>
    </w:p>
    <w:tbl>
      <w:tblPr>
        <w:tblpPr w:leftFromText="180" w:rightFromText="180" w:vertAnchor="text" w:horzAnchor="margin" w:tblpXSpec="center" w:tblpY="68"/>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944"/>
        <w:gridCol w:w="960"/>
        <w:gridCol w:w="944"/>
        <w:gridCol w:w="960"/>
        <w:gridCol w:w="784"/>
        <w:gridCol w:w="960"/>
        <w:gridCol w:w="784"/>
        <w:gridCol w:w="960"/>
        <w:gridCol w:w="732"/>
      </w:tblGrid>
      <w:tr w:rsidR="00AD66CD" w:rsidRPr="009239A8" w:rsidTr="000547EB">
        <w:trPr>
          <w:trHeight w:val="247"/>
        </w:trPr>
        <w:tc>
          <w:tcPr>
            <w:tcW w:w="715" w:type="pct"/>
            <w:vMerge w:val="restart"/>
            <w:shd w:val="clear" w:color="auto" w:fill="auto"/>
            <w:vAlign w:val="center"/>
          </w:tcPr>
          <w:p w:rsidR="00AD66CD" w:rsidRPr="009239A8" w:rsidRDefault="00D5470A" w:rsidP="00D5470A">
            <w:pPr>
              <w:snapToGrid w:val="0"/>
              <w:spacing w:line="260" w:lineRule="exact"/>
              <w:jc w:val="center"/>
              <w:rPr>
                <w:b/>
                <w:bCs/>
                <w:sz w:val="16"/>
                <w:szCs w:val="16"/>
              </w:rPr>
            </w:pPr>
            <w:r w:rsidRPr="009239A8">
              <w:rPr>
                <w:b/>
                <w:bCs/>
                <w:sz w:val="16"/>
                <w:szCs w:val="16"/>
              </w:rPr>
              <w:t>Fungi</w:t>
            </w:r>
          </w:p>
        </w:tc>
        <w:tc>
          <w:tcPr>
            <w:tcW w:w="2032" w:type="pct"/>
            <w:gridSpan w:val="4"/>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Patients</w:t>
            </w:r>
          </w:p>
        </w:tc>
        <w:tc>
          <w:tcPr>
            <w:tcW w:w="1862" w:type="pct"/>
            <w:gridSpan w:val="4"/>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Control group</w:t>
            </w:r>
          </w:p>
        </w:tc>
        <w:tc>
          <w:tcPr>
            <w:tcW w:w="391" w:type="pct"/>
            <w:vMerge w:val="restart"/>
            <w:shd w:val="clear" w:color="auto" w:fill="auto"/>
            <w:vAlign w:val="center"/>
          </w:tcPr>
          <w:p w:rsidR="00AD66CD" w:rsidRPr="009239A8" w:rsidRDefault="00AD66CD" w:rsidP="00D5470A">
            <w:pPr>
              <w:snapToGrid w:val="0"/>
              <w:spacing w:line="260" w:lineRule="exact"/>
              <w:jc w:val="center"/>
              <w:rPr>
                <w:b/>
                <w:bCs/>
                <w:i/>
                <w:iCs/>
                <w:sz w:val="16"/>
                <w:szCs w:val="16"/>
              </w:rPr>
            </w:pPr>
          </w:p>
          <w:p w:rsidR="00AD66CD" w:rsidRPr="009239A8" w:rsidRDefault="00AD66CD" w:rsidP="00D5470A">
            <w:pPr>
              <w:snapToGrid w:val="0"/>
              <w:spacing w:line="260" w:lineRule="exact"/>
              <w:jc w:val="center"/>
              <w:rPr>
                <w:b/>
                <w:bCs/>
                <w:sz w:val="16"/>
                <w:szCs w:val="16"/>
              </w:rPr>
            </w:pPr>
            <w:r w:rsidRPr="009239A8">
              <w:rPr>
                <w:b/>
                <w:bCs/>
                <w:i/>
                <w:iCs/>
                <w:sz w:val="16"/>
                <w:szCs w:val="16"/>
              </w:rPr>
              <w:t>P</w:t>
            </w:r>
            <w:r w:rsidRPr="009239A8">
              <w:rPr>
                <w:b/>
                <w:bCs/>
                <w:sz w:val="16"/>
                <w:szCs w:val="16"/>
              </w:rPr>
              <w:t>-value</w:t>
            </w:r>
          </w:p>
        </w:tc>
      </w:tr>
      <w:tr w:rsidR="00AD66CD" w:rsidRPr="009239A8" w:rsidTr="00607817">
        <w:trPr>
          <w:trHeight w:val="173"/>
        </w:trPr>
        <w:tc>
          <w:tcPr>
            <w:tcW w:w="715" w:type="pct"/>
            <w:vMerge/>
            <w:shd w:val="clear" w:color="auto" w:fill="auto"/>
            <w:vAlign w:val="center"/>
          </w:tcPr>
          <w:p w:rsidR="00AD66CD" w:rsidRPr="009239A8" w:rsidRDefault="00AD66CD" w:rsidP="00D5470A">
            <w:pPr>
              <w:snapToGrid w:val="0"/>
              <w:spacing w:line="260" w:lineRule="exact"/>
              <w:jc w:val="center"/>
              <w:rPr>
                <w:sz w:val="16"/>
                <w:szCs w:val="16"/>
              </w:rPr>
            </w:pPr>
          </w:p>
        </w:tc>
        <w:tc>
          <w:tcPr>
            <w:tcW w:w="1017" w:type="pct"/>
            <w:gridSpan w:val="2"/>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Adult (n=58)</w:t>
            </w:r>
          </w:p>
        </w:tc>
        <w:tc>
          <w:tcPr>
            <w:tcW w:w="1017" w:type="pct"/>
            <w:gridSpan w:val="2"/>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Children (n=18)</w:t>
            </w:r>
          </w:p>
        </w:tc>
        <w:tc>
          <w:tcPr>
            <w:tcW w:w="931" w:type="pct"/>
            <w:gridSpan w:val="2"/>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Adult (n=50)</w:t>
            </w:r>
          </w:p>
        </w:tc>
        <w:tc>
          <w:tcPr>
            <w:tcW w:w="931" w:type="pct"/>
            <w:gridSpan w:val="2"/>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Children (n=16)</w:t>
            </w:r>
          </w:p>
        </w:tc>
        <w:tc>
          <w:tcPr>
            <w:tcW w:w="391" w:type="pct"/>
            <w:vMerge/>
            <w:shd w:val="clear" w:color="auto" w:fill="auto"/>
            <w:vAlign w:val="center"/>
          </w:tcPr>
          <w:p w:rsidR="00AD66CD" w:rsidRPr="009239A8" w:rsidRDefault="00AD66CD" w:rsidP="00D5470A">
            <w:pPr>
              <w:snapToGrid w:val="0"/>
              <w:spacing w:line="260" w:lineRule="exact"/>
              <w:jc w:val="center"/>
              <w:rPr>
                <w:b/>
                <w:bCs/>
                <w:sz w:val="16"/>
                <w:szCs w:val="16"/>
              </w:rPr>
            </w:pPr>
          </w:p>
        </w:tc>
      </w:tr>
      <w:tr w:rsidR="000547EB" w:rsidRPr="009239A8" w:rsidTr="000547EB">
        <w:trPr>
          <w:trHeight w:val="139"/>
        </w:trPr>
        <w:tc>
          <w:tcPr>
            <w:tcW w:w="715" w:type="pct"/>
            <w:vMerge/>
            <w:shd w:val="clear" w:color="auto" w:fill="auto"/>
            <w:vAlign w:val="center"/>
          </w:tcPr>
          <w:p w:rsidR="00AD66CD" w:rsidRPr="009239A8" w:rsidRDefault="00AD66CD" w:rsidP="00D5470A">
            <w:pPr>
              <w:snapToGrid w:val="0"/>
              <w:spacing w:line="260" w:lineRule="exact"/>
              <w:jc w:val="center"/>
              <w:rPr>
                <w:sz w:val="16"/>
                <w:szCs w:val="16"/>
              </w:rPr>
            </w:pPr>
          </w:p>
        </w:tc>
        <w:tc>
          <w:tcPr>
            <w:tcW w:w="504" w:type="pct"/>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Mean</w:t>
            </w:r>
          </w:p>
        </w:tc>
        <w:tc>
          <w:tcPr>
            <w:tcW w:w="512" w:type="pct"/>
            <w:shd w:val="clear" w:color="auto" w:fill="auto"/>
            <w:vAlign w:val="center"/>
          </w:tcPr>
          <w:p w:rsidR="00AD66CD" w:rsidRPr="009239A8" w:rsidRDefault="003B48F5" w:rsidP="00D5470A">
            <w:pPr>
              <w:snapToGrid w:val="0"/>
              <w:spacing w:line="260" w:lineRule="exact"/>
              <w:jc w:val="center"/>
              <w:rPr>
                <w:b/>
                <w:bCs/>
                <w:sz w:val="16"/>
                <w:szCs w:val="16"/>
                <w:rtl/>
              </w:rPr>
            </w:pPr>
            <w:r w:rsidRPr="009239A8">
              <w:rPr>
                <w:b/>
                <w:bCs/>
                <w:sz w:val="16"/>
                <w:szCs w:val="16"/>
              </w:rPr>
              <w:t>P</w:t>
            </w:r>
            <w:r w:rsidR="00AD66CD" w:rsidRPr="009239A8">
              <w:rPr>
                <w:b/>
                <w:bCs/>
                <w:sz w:val="16"/>
                <w:szCs w:val="16"/>
              </w:rPr>
              <w:t>revalence</w:t>
            </w:r>
          </w:p>
        </w:tc>
        <w:tc>
          <w:tcPr>
            <w:tcW w:w="504" w:type="pct"/>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Mean</w:t>
            </w:r>
          </w:p>
        </w:tc>
        <w:tc>
          <w:tcPr>
            <w:tcW w:w="512" w:type="pct"/>
            <w:shd w:val="clear" w:color="auto" w:fill="auto"/>
            <w:vAlign w:val="center"/>
          </w:tcPr>
          <w:p w:rsidR="00AD66CD" w:rsidRPr="009239A8" w:rsidRDefault="003B48F5" w:rsidP="00D5470A">
            <w:pPr>
              <w:snapToGrid w:val="0"/>
              <w:spacing w:line="260" w:lineRule="exact"/>
              <w:jc w:val="center"/>
              <w:rPr>
                <w:b/>
                <w:bCs/>
                <w:sz w:val="16"/>
                <w:szCs w:val="16"/>
                <w:rtl/>
              </w:rPr>
            </w:pPr>
            <w:r w:rsidRPr="009239A8">
              <w:rPr>
                <w:b/>
                <w:bCs/>
                <w:sz w:val="16"/>
                <w:szCs w:val="16"/>
              </w:rPr>
              <w:t>P</w:t>
            </w:r>
            <w:r w:rsidR="00AD66CD" w:rsidRPr="009239A8">
              <w:rPr>
                <w:b/>
                <w:bCs/>
                <w:sz w:val="16"/>
                <w:szCs w:val="16"/>
              </w:rPr>
              <w:t>revalence</w:t>
            </w:r>
          </w:p>
        </w:tc>
        <w:tc>
          <w:tcPr>
            <w:tcW w:w="418" w:type="pct"/>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Mean</w:t>
            </w:r>
          </w:p>
        </w:tc>
        <w:tc>
          <w:tcPr>
            <w:tcW w:w="512" w:type="pct"/>
            <w:shd w:val="clear" w:color="auto" w:fill="auto"/>
            <w:vAlign w:val="center"/>
          </w:tcPr>
          <w:p w:rsidR="00AD66CD" w:rsidRPr="009239A8" w:rsidRDefault="003B48F5" w:rsidP="00D5470A">
            <w:pPr>
              <w:snapToGrid w:val="0"/>
              <w:spacing w:line="260" w:lineRule="exact"/>
              <w:jc w:val="center"/>
              <w:rPr>
                <w:b/>
                <w:bCs/>
                <w:sz w:val="16"/>
                <w:szCs w:val="16"/>
                <w:rtl/>
              </w:rPr>
            </w:pPr>
            <w:r w:rsidRPr="009239A8">
              <w:rPr>
                <w:b/>
                <w:bCs/>
                <w:sz w:val="16"/>
                <w:szCs w:val="16"/>
              </w:rPr>
              <w:t>P</w:t>
            </w:r>
            <w:r w:rsidR="00AD66CD" w:rsidRPr="009239A8">
              <w:rPr>
                <w:b/>
                <w:bCs/>
                <w:sz w:val="16"/>
                <w:szCs w:val="16"/>
              </w:rPr>
              <w:t>revalence</w:t>
            </w:r>
          </w:p>
        </w:tc>
        <w:tc>
          <w:tcPr>
            <w:tcW w:w="418" w:type="pct"/>
            <w:shd w:val="clear" w:color="auto" w:fill="auto"/>
            <w:vAlign w:val="center"/>
          </w:tcPr>
          <w:p w:rsidR="00AD66CD" w:rsidRPr="009239A8" w:rsidRDefault="00AD66CD" w:rsidP="00D5470A">
            <w:pPr>
              <w:snapToGrid w:val="0"/>
              <w:spacing w:line="260" w:lineRule="exact"/>
              <w:jc w:val="center"/>
              <w:rPr>
                <w:b/>
                <w:bCs/>
                <w:sz w:val="16"/>
                <w:szCs w:val="16"/>
              </w:rPr>
            </w:pPr>
            <w:r w:rsidRPr="009239A8">
              <w:rPr>
                <w:b/>
                <w:bCs/>
                <w:sz w:val="16"/>
                <w:szCs w:val="16"/>
              </w:rPr>
              <w:t>Mean</w:t>
            </w:r>
          </w:p>
        </w:tc>
        <w:tc>
          <w:tcPr>
            <w:tcW w:w="512" w:type="pct"/>
            <w:shd w:val="clear" w:color="auto" w:fill="auto"/>
            <w:vAlign w:val="center"/>
          </w:tcPr>
          <w:p w:rsidR="00AD66CD" w:rsidRPr="009239A8" w:rsidRDefault="003B48F5" w:rsidP="00D5470A">
            <w:pPr>
              <w:snapToGrid w:val="0"/>
              <w:spacing w:line="260" w:lineRule="exact"/>
              <w:jc w:val="center"/>
              <w:rPr>
                <w:b/>
                <w:bCs/>
                <w:sz w:val="16"/>
                <w:szCs w:val="16"/>
                <w:rtl/>
              </w:rPr>
            </w:pPr>
            <w:r w:rsidRPr="009239A8">
              <w:rPr>
                <w:b/>
                <w:bCs/>
                <w:sz w:val="16"/>
                <w:szCs w:val="16"/>
              </w:rPr>
              <w:t>P</w:t>
            </w:r>
            <w:r w:rsidR="00AD66CD" w:rsidRPr="009239A8">
              <w:rPr>
                <w:b/>
                <w:bCs/>
                <w:sz w:val="16"/>
                <w:szCs w:val="16"/>
              </w:rPr>
              <w:t>revalence</w:t>
            </w:r>
          </w:p>
        </w:tc>
        <w:tc>
          <w:tcPr>
            <w:tcW w:w="391" w:type="pct"/>
            <w:vMerge/>
            <w:shd w:val="clear" w:color="auto" w:fill="auto"/>
            <w:vAlign w:val="center"/>
          </w:tcPr>
          <w:p w:rsidR="00AD66CD" w:rsidRPr="009239A8" w:rsidRDefault="00AD66CD" w:rsidP="00D5470A">
            <w:pPr>
              <w:snapToGrid w:val="0"/>
              <w:spacing w:line="260" w:lineRule="exact"/>
              <w:jc w:val="center"/>
              <w:rPr>
                <w:b/>
                <w:bCs/>
                <w:sz w:val="16"/>
                <w:szCs w:val="16"/>
              </w:rPr>
            </w:pPr>
          </w:p>
        </w:tc>
      </w:tr>
      <w:tr w:rsidR="000547EB" w:rsidRPr="009239A8" w:rsidTr="000547EB">
        <w:trPr>
          <w:trHeight w:val="310"/>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IgE to</w:t>
            </w:r>
            <w:r w:rsidR="00D5470A" w:rsidRPr="009239A8">
              <w:rPr>
                <w:i/>
                <w:iCs/>
                <w:sz w:val="16"/>
                <w:szCs w:val="16"/>
              </w:rPr>
              <w:t xml:space="preserve"> A. </w:t>
            </w:r>
            <w:r w:rsidRPr="009239A8">
              <w:rPr>
                <w:i/>
                <w:iCs/>
                <w:sz w:val="16"/>
                <w:szCs w:val="16"/>
              </w:rPr>
              <w:t>alternata</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3.80±0.5**</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(49/58)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2.85±0.2**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(8/18)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0.12±0.3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(49/50)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0.12±0.2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(7/16)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IgE to</w:t>
            </w:r>
            <w:r w:rsidRPr="009239A8">
              <w:rPr>
                <w:i/>
                <w:iCs/>
                <w:sz w:val="16"/>
                <w:szCs w:val="16"/>
              </w:rPr>
              <w:t xml:space="preserve"> </w:t>
            </w:r>
            <w:r w:rsidR="00D5470A" w:rsidRPr="009239A8">
              <w:rPr>
                <w:i/>
                <w:iCs/>
                <w:sz w:val="16"/>
                <w:szCs w:val="16"/>
              </w:rPr>
              <w:t>A.</w:t>
            </w:r>
            <w:r w:rsidRPr="009239A8">
              <w:rPr>
                <w:i/>
                <w:iCs/>
                <w:sz w:val="16"/>
                <w:szCs w:val="16"/>
              </w:rPr>
              <w:t xml:space="preserve"> </w:t>
            </w:r>
            <w:smartTag w:uri="urn:schemas-microsoft-com:office:smarttags" w:element="place">
              <w:smartTag w:uri="urn:schemas-microsoft-com:office:smarttags" w:element="country-region">
                <w:r w:rsidRPr="009239A8">
                  <w:rPr>
                    <w:i/>
                    <w:iCs/>
                    <w:sz w:val="16"/>
                    <w:szCs w:val="16"/>
                  </w:rPr>
                  <w:t>niger</w:t>
                </w:r>
              </w:smartTag>
            </w:smartTag>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w:t>
            </w:r>
            <w:r w:rsidRPr="009239A8">
              <w:rPr>
                <w:sz w:val="16"/>
                <w:szCs w:val="16"/>
                <w:rtl/>
              </w:rPr>
              <w:t>22</w:t>
            </w:r>
            <w:r w:rsidRPr="009239A8">
              <w:rPr>
                <w:sz w:val="16"/>
                <w:szCs w:val="16"/>
              </w:rPr>
              <w:t>±0.5**</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(51/58)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2.25±0.3**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(12/18)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0.20±0.1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(45/50)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0.04±0.1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(11/16)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 xml:space="preserve">IgE to </w:t>
            </w:r>
            <w:r w:rsidR="00D5470A" w:rsidRPr="009239A8">
              <w:rPr>
                <w:i/>
                <w:iCs/>
                <w:sz w:val="16"/>
                <w:szCs w:val="16"/>
              </w:rPr>
              <w:t xml:space="preserve">A. </w:t>
            </w:r>
            <w:r w:rsidRPr="009239A8">
              <w:rPr>
                <w:i/>
                <w:iCs/>
                <w:sz w:val="16"/>
                <w:szCs w:val="16"/>
              </w:rPr>
              <w:t>repens</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3.66±0.5**</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(45/58)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w:t>
            </w:r>
            <w:r w:rsidRPr="009239A8">
              <w:rPr>
                <w:sz w:val="16"/>
                <w:szCs w:val="16"/>
                <w:rtl/>
              </w:rPr>
              <w:t>5</w:t>
            </w:r>
            <w:r w:rsidRPr="009239A8">
              <w:rPr>
                <w:sz w:val="16"/>
                <w:szCs w:val="16"/>
              </w:rPr>
              <w:t>7±0.2**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(9/18)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0.22±0.2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(48/50)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0.09±0.2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(10/16)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 xml:space="preserve">IgE to </w:t>
            </w:r>
            <w:r w:rsidR="00D5470A" w:rsidRPr="009239A8">
              <w:rPr>
                <w:i/>
                <w:iCs/>
                <w:sz w:val="16"/>
                <w:szCs w:val="16"/>
              </w:rPr>
              <w:t xml:space="preserve">A. </w:t>
            </w:r>
            <w:r w:rsidRPr="009239A8">
              <w:rPr>
                <w:i/>
                <w:iCs/>
                <w:sz w:val="16"/>
                <w:szCs w:val="16"/>
              </w:rPr>
              <w:t>flavus</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3.96±0.4**</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(47/58)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2.40±0.3**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(14/18)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0.10±0.3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(43/50)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0.07±0.1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(13/16)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508"/>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 xml:space="preserve">IgE to </w:t>
            </w:r>
            <w:r w:rsidR="00D5470A" w:rsidRPr="009239A8">
              <w:rPr>
                <w:i/>
                <w:iCs/>
                <w:sz w:val="16"/>
                <w:szCs w:val="16"/>
              </w:rPr>
              <w:t xml:space="preserve">A. </w:t>
            </w:r>
            <w:r w:rsidRPr="009239A8">
              <w:rPr>
                <w:i/>
                <w:iCs/>
                <w:sz w:val="16"/>
                <w:szCs w:val="16"/>
              </w:rPr>
              <w:t>fumigatus</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3.88±0.4**</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(54/58)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4.53±0.3**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(15/18)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0.12±0.2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(40/50)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0.02±0.1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(8/16)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 xml:space="preserve">IgE to </w:t>
            </w:r>
            <w:r w:rsidR="00D5470A" w:rsidRPr="009239A8">
              <w:rPr>
                <w:i/>
                <w:iCs/>
                <w:sz w:val="16"/>
                <w:szCs w:val="16"/>
              </w:rPr>
              <w:t>A.</w:t>
            </w:r>
            <w:r w:rsidRPr="009239A8">
              <w:rPr>
                <w:i/>
                <w:iCs/>
                <w:sz w:val="16"/>
                <w:szCs w:val="16"/>
              </w:rPr>
              <w:t xml:space="preserve"> terreus</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3.25±0.4**</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(39/58)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2.53±0.2**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(11/18)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0.21±0.1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(39/50)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0.13±0.2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(11/16)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IgE to</w:t>
            </w:r>
            <w:r w:rsidR="00D5470A" w:rsidRPr="009239A8">
              <w:rPr>
                <w:i/>
                <w:iCs/>
                <w:sz w:val="16"/>
                <w:szCs w:val="16"/>
              </w:rPr>
              <w:t xml:space="preserve"> F.</w:t>
            </w:r>
            <w:r w:rsidRPr="009239A8">
              <w:rPr>
                <w:i/>
                <w:iCs/>
                <w:sz w:val="16"/>
                <w:szCs w:val="16"/>
              </w:rPr>
              <w:t xml:space="preserve"> solani</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2.89±0.4**</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(35/58)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1.86±0.2**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0.23±0.1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(41/50)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0.12±0.2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(10/16)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IgE to</w:t>
            </w:r>
            <w:r w:rsidR="00D5470A" w:rsidRPr="009239A8">
              <w:rPr>
                <w:i/>
                <w:iCs/>
                <w:sz w:val="16"/>
                <w:szCs w:val="16"/>
              </w:rPr>
              <w:t xml:space="preserve"> P.</w:t>
            </w:r>
            <w:r w:rsidRPr="009239A8">
              <w:rPr>
                <w:i/>
                <w:iCs/>
                <w:sz w:val="16"/>
                <w:szCs w:val="16"/>
              </w:rPr>
              <w:t xml:space="preserve"> glabrum</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3.86±0.5**</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(56/58)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2.58±0.3**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(7/18)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0.13±0.2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(44/50)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0.05±0.1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(14/16)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494"/>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IgE to</w:t>
            </w:r>
            <w:r w:rsidR="00D5470A" w:rsidRPr="009239A8">
              <w:rPr>
                <w:i/>
                <w:iCs/>
                <w:sz w:val="16"/>
                <w:szCs w:val="16"/>
              </w:rPr>
              <w:t xml:space="preserve"> P.</w:t>
            </w:r>
            <w:r w:rsidRPr="009239A8">
              <w:rPr>
                <w:i/>
                <w:iCs/>
                <w:sz w:val="16"/>
                <w:szCs w:val="16"/>
              </w:rPr>
              <w:t xml:space="preserve"> verrucosum</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3.45±0.5**</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(53/58)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2.31±0.2**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(6/18)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0.11±0.1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(37/50)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0.03±0.1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(6/16)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IgE to</w:t>
            </w:r>
            <w:r w:rsidR="00D5470A" w:rsidRPr="009239A8">
              <w:rPr>
                <w:i/>
                <w:iCs/>
                <w:sz w:val="16"/>
                <w:szCs w:val="16"/>
              </w:rPr>
              <w:t xml:space="preserve"> R.</w:t>
            </w:r>
            <w:r w:rsidRPr="009239A8">
              <w:rPr>
                <w:i/>
                <w:iCs/>
                <w:sz w:val="16"/>
                <w:szCs w:val="16"/>
              </w:rPr>
              <w:t xml:space="preserve"> oryzae</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2.99±0.3**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(43/58)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1.65±0.2**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(5/18)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0.20±0.1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(36/50)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0.12±0.1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(9/16)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IgE to</w:t>
            </w:r>
            <w:r w:rsidR="00D5470A" w:rsidRPr="009239A8">
              <w:rPr>
                <w:i/>
                <w:iCs/>
                <w:sz w:val="16"/>
                <w:szCs w:val="16"/>
              </w:rPr>
              <w:t xml:space="preserve"> T.</w:t>
            </w:r>
            <w:r w:rsidRPr="009239A8">
              <w:rPr>
                <w:i/>
                <w:iCs/>
                <w:sz w:val="16"/>
                <w:szCs w:val="16"/>
              </w:rPr>
              <w:t xml:space="preserve"> viride</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2.84±0.6**</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(48/58)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1.50±0.2**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(9/18)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0.09±0.2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(38/50)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0.01±0.2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(10/16)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 xml:space="preserve">IgE to </w:t>
            </w:r>
            <w:r w:rsidR="00D5470A" w:rsidRPr="009239A8">
              <w:rPr>
                <w:i/>
                <w:iCs/>
                <w:sz w:val="16"/>
                <w:szCs w:val="16"/>
              </w:rPr>
              <w:t>C.</w:t>
            </w:r>
            <w:r w:rsidRPr="009239A8">
              <w:rPr>
                <w:i/>
                <w:iCs/>
                <w:sz w:val="16"/>
                <w:szCs w:val="16"/>
              </w:rPr>
              <w:t xml:space="preserve"> albicans</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3.58±0.6**</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(50/58)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2.12±0.4**</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(10/18)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0.21±0.3</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(49/50)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0.10±0.1</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(13/16)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0.001</w:t>
            </w:r>
          </w:p>
        </w:tc>
      </w:tr>
      <w:tr w:rsidR="000547EB" w:rsidRPr="009239A8" w:rsidTr="000547EB">
        <w:trPr>
          <w:trHeight w:val="247"/>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 xml:space="preserve">IgE to </w:t>
            </w:r>
            <w:r w:rsidR="00D5470A" w:rsidRPr="009239A8">
              <w:rPr>
                <w:i/>
                <w:iCs/>
                <w:sz w:val="16"/>
                <w:szCs w:val="16"/>
              </w:rPr>
              <w:t>T.</w:t>
            </w:r>
            <w:r w:rsidRPr="009239A8">
              <w:rPr>
                <w:i/>
                <w:iCs/>
                <w:sz w:val="16"/>
                <w:szCs w:val="16"/>
              </w:rPr>
              <w:t xml:space="preserve"> cutaneum</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2.25±0.6**</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(46/58)</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1.75±0.4**</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(12/18)</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0.12±0.2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(38/50)</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0.08±0.2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(8/16)</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0.017</w:t>
            </w:r>
          </w:p>
        </w:tc>
      </w:tr>
      <w:tr w:rsidR="000547EB" w:rsidRPr="009239A8" w:rsidTr="000547EB">
        <w:trPr>
          <w:trHeight w:val="261"/>
        </w:trPr>
        <w:tc>
          <w:tcPr>
            <w:tcW w:w="715" w:type="pct"/>
            <w:shd w:val="clear" w:color="auto" w:fill="auto"/>
            <w:vAlign w:val="center"/>
          </w:tcPr>
          <w:p w:rsidR="00AD66CD" w:rsidRPr="009239A8" w:rsidRDefault="00AD66CD" w:rsidP="00D5470A">
            <w:pPr>
              <w:snapToGrid w:val="0"/>
              <w:spacing w:line="260" w:lineRule="exact"/>
              <w:rPr>
                <w:sz w:val="16"/>
                <w:szCs w:val="16"/>
              </w:rPr>
            </w:pPr>
            <w:r w:rsidRPr="009239A8">
              <w:rPr>
                <w:sz w:val="16"/>
                <w:szCs w:val="16"/>
              </w:rPr>
              <w:t>Total IgE</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93.88</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w:t>
            </w:r>
          </w:p>
        </w:tc>
        <w:tc>
          <w:tcPr>
            <w:tcW w:w="504"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46.57</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0.30</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w:t>
            </w:r>
          </w:p>
        </w:tc>
        <w:tc>
          <w:tcPr>
            <w:tcW w:w="418"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0.22</w:t>
            </w:r>
          </w:p>
        </w:tc>
        <w:tc>
          <w:tcPr>
            <w:tcW w:w="512"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w:t>
            </w:r>
          </w:p>
        </w:tc>
        <w:tc>
          <w:tcPr>
            <w:tcW w:w="391" w:type="pct"/>
            <w:shd w:val="clear" w:color="auto" w:fill="auto"/>
            <w:vAlign w:val="center"/>
          </w:tcPr>
          <w:p w:rsidR="00AD66CD" w:rsidRPr="009239A8" w:rsidRDefault="00AD66CD" w:rsidP="00D5470A">
            <w:pPr>
              <w:snapToGrid w:val="0"/>
              <w:spacing w:line="260" w:lineRule="exact"/>
              <w:jc w:val="center"/>
              <w:rPr>
                <w:sz w:val="16"/>
                <w:szCs w:val="16"/>
              </w:rPr>
            </w:pPr>
            <w:r w:rsidRPr="009239A8">
              <w:rPr>
                <w:sz w:val="16"/>
                <w:szCs w:val="16"/>
              </w:rPr>
              <w:t>--</w:t>
            </w:r>
          </w:p>
        </w:tc>
      </w:tr>
    </w:tbl>
    <w:p w:rsidR="00A243AF" w:rsidRPr="009239A8" w:rsidRDefault="00D755A8" w:rsidP="0000296D">
      <w:pPr>
        <w:widowControl/>
        <w:jc w:val="left"/>
        <w:rPr>
          <w:sz w:val="20"/>
          <w:szCs w:val="20"/>
        </w:rPr>
      </w:pPr>
      <w:r w:rsidRPr="009239A8">
        <w:rPr>
          <w:b/>
          <w:bCs/>
          <w:sz w:val="20"/>
          <w:szCs w:val="20"/>
        </w:rPr>
        <w:t>**</w:t>
      </w:r>
      <w:r w:rsidRPr="009239A8">
        <w:rPr>
          <w:sz w:val="20"/>
          <w:szCs w:val="20"/>
        </w:rPr>
        <w:t>.</w:t>
      </w:r>
      <w:r w:rsidRPr="009239A8">
        <w:rPr>
          <w:b/>
          <w:bCs/>
          <w:sz w:val="20"/>
          <w:szCs w:val="20"/>
        </w:rPr>
        <w:t xml:space="preserve"> </w:t>
      </w:r>
      <w:r w:rsidRPr="009239A8">
        <w:rPr>
          <w:sz w:val="20"/>
          <w:szCs w:val="20"/>
        </w:rPr>
        <w:t xml:space="preserve">It means highly significant at </w:t>
      </w:r>
      <w:r w:rsidR="0000296D" w:rsidRPr="009239A8">
        <w:rPr>
          <w:i/>
          <w:iCs/>
          <w:sz w:val="20"/>
          <w:szCs w:val="20"/>
        </w:rPr>
        <w:t>P</w:t>
      </w:r>
      <w:r w:rsidRPr="009239A8">
        <w:rPr>
          <w:sz w:val="20"/>
          <w:szCs w:val="20"/>
        </w:rPr>
        <w:t xml:space="preserve"> &lt; 0.001</w:t>
      </w:r>
    </w:p>
    <w:p w:rsidR="00D755A8" w:rsidRPr="009239A8" w:rsidRDefault="00D755A8" w:rsidP="00A243AF">
      <w:pPr>
        <w:widowControl/>
        <w:jc w:val="center"/>
        <w:rPr>
          <w:sz w:val="20"/>
          <w:szCs w:val="20"/>
        </w:rPr>
      </w:pPr>
    </w:p>
    <w:p w:rsidR="00A243AF" w:rsidRPr="000547EB" w:rsidRDefault="00A243AF" w:rsidP="000547EB">
      <w:pPr>
        <w:widowControl/>
        <w:rPr>
          <w:b/>
          <w:sz w:val="20"/>
          <w:szCs w:val="20"/>
        </w:rPr>
      </w:pPr>
      <w:r w:rsidRPr="000547EB">
        <w:rPr>
          <w:b/>
          <w:sz w:val="20"/>
          <w:szCs w:val="20"/>
        </w:rPr>
        <w:t xml:space="preserve">Table </w:t>
      </w:r>
      <w:r w:rsidRPr="000547EB">
        <w:rPr>
          <w:b/>
          <w:sz w:val="20"/>
          <w:szCs w:val="20"/>
          <w:rtl/>
        </w:rPr>
        <w:t>6</w:t>
      </w:r>
      <w:r w:rsidRPr="000547EB">
        <w:rPr>
          <w:b/>
          <w:sz w:val="20"/>
          <w:szCs w:val="20"/>
        </w:rPr>
        <w:t>. Correlation coefficient between serum total IgE levels and IgE antibodies to fungi.</w:t>
      </w:r>
    </w:p>
    <w:p w:rsidR="00A243AF" w:rsidRPr="009239A8" w:rsidRDefault="00862B30" w:rsidP="00A243AF">
      <w:pPr>
        <w:snapToGrid w:val="0"/>
        <w:spacing w:line="260" w:lineRule="exact"/>
        <w:rPr>
          <w:sz w:val="20"/>
          <w:szCs w:val="20"/>
        </w:rPr>
      </w:pPr>
      <w:r w:rsidRPr="009239A8">
        <w:rPr>
          <w:noProof/>
          <w:sz w:val="20"/>
          <w:szCs w:val="20"/>
        </w:rPr>
        <w:drawing>
          <wp:anchor distT="0" distB="0" distL="114300" distR="114300" simplePos="0" relativeHeight="251658240" behindDoc="0" locked="0" layoutInCell="1" allowOverlap="1">
            <wp:simplePos x="0" y="0"/>
            <wp:positionH relativeFrom="column">
              <wp:posOffset>133350</wp:posOffset>
            </wp:positionH>
            <wp:positionV relativeFrom="paragraph">
              <wp:posOffset>153670</wp:posOffset>
            </wp:positionV>
            <wp:extent cx="5867400" cy="2061845"/>
            <wp:effectExtent l="0" t="0" r="0" b="0"/>
            <wp:wrapNone/>
            <wp:docPr id="162" name="Picture 16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Untitl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7400" cy="206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243AF">
      <w:pPr>
        <w:snapToGrid w:val="0"/>
        <w:spacing w:line="260" w:lineRule="exact"/>
        <w:rPr>
          <w:sz w:val="20"/>
          <w:szCs w:val="20"/>
        </w:rPr>
      </w:pPr>
    </w:p>
    <w:p w:rsidR="00A243AF" w:rsidRPr="009239A8" w:rsidRDefault="00A243AF" w:rsidP="00AD66CD">
      <w:pPr>
        <w:snapToGrid w:val="0"/>
        <w:spacing w:line="260" w:lineRule="exact"/>
        <w:rPr>
          <w:sz w:val="20"/>
          <w:szCs w:val="20"/>
        </w:rPr>
        <w:sectPr w:rsidR="00A243AF" w:rsidRPr="009239A8" w:rsidSect="009239A8">
          <w:type w:val="continuous"/>
          <w:pgSz w:w="12242" w:h="15842" w:code="1"/>
          <w:pgMar w:top="1440" w:right="1440" w:bottom="1440" w:left="1440" w:header="720" w:footer="720" w:gutter="0"/>
          <w:cols w:space="300"/>
          <w:docGrid w:linePitch="312"/>
        </w:sectPr>
      </w:pPr>
    </w:p>
    <w:p w:rsidR="00607817" w:rsidRDefault="00607817" w:rsidP="00B269A2">
      <w:pPr>
        <w:snapToGrid w:val="0"/>
        <w:spacing w:line="260" w:lineRule="exact"/>
        <w:rPr>
          <w:b/>
          <w:bCs/>
          <w:sz w:val="20"/>
          <w:szCs w:val="20"/>
        </w:rPr>
      </w:pPr>
    </w:p>
    <w:p w:rsidR="00AD66CD" w:rsidRPr="009239A8" w:rsidRDefault="00B269A2" w:rsidP="00B269A2">
      <w:pPr>
        <w:snapToGrid w:val="0"/>
        <w:spacing w:line="260" w:lineRule="exact"/>
        <w:rPr>
          <w:sz w:val="20"/>
          <w:szCs w:val="20"/>
        </w:rPr>
        <w:sectPr w:rsidR="00AD66CD" w:rsidRPr="009239A8" w:rsidSect="009239A8">
          <w:type w:val="continuous"/>
          <w:pgSz w:w="12242" w:h="15842" w:code="1"/>
          <w:pgMar w:top="1440" w:right="1440" w:bottom="1440" w:left="1440" w:header="720" w:footer="720" w:gutter="0"/>
          <w:cols w:space="300"/>
          <w:docGrid w:linePitch="312"/>
        </w:sectPr>
      </w:pPr>
      <w:r w:rsidRPr="009239A8">
        <w:rPr>
          <w:b/>
          <w:bCs/>
          <w:sz w:val="20"/>
          <w:szCs w:val="20"/>
        </w:rPr>
        <w:t>**</w:t>
      </w:r>
      <w:r w:rsidRPr="009239A8">
        <w:rPr>
          <w:sz w:val="20"/>
          <w:szCs w:val="20"/>
        </w:rPr>
        <w:t>. Correlation i</w:t>
      </w:r>
      <w:r w:rsidR="00B715D8" w:rsidRPr="009239A8">
        <w:rPr>
          <w:sz w:val="20"/>
          <w:szCs w:val="20"/>
        </w:rPr>
        <w:t>s significant at the 0.01 level.</w:t>
      </w:r>
    </w:p>
    <w:p w:rsidR="00B83B60" w:rsidRPr="009239A8" w:rsidRDefault="00B83B60" w:rsidP="00B83B60">
      <w:pPr>
        <w:snapToGrid w:val="0"/>
        <w:spacing w:line="260" w:lineRule="exact"/>
        <w:rPr>
          <w:sz w:val="20"/>
          <w:szCs w:val="20"/>
          <w:rtl/>
          <w:lang w:bidi="ar-EG"/>
        </w:rPr>
      </w:pPr>
      <w:r w:rsidRPr="009239A8">
        <w:rPr>
          <w:b/>
          <w:bCs/>
          <w:sz w:val="20"/>
          <w:szCs w:val="20"/>
        </w:rPr>
        <w:lastRenderedPageBreak/>
        <w:t>*</w:t>
      </w:r>
      <w:r w:rsidRPr="009239A8">
        <w:rPr>
          <w:sz w:val="20"/>
          <w:szCs w:val="20"/>
        </w:rPr>
        <w:t>. Correlation is significant at the 0.05 level.</w:t>
      </w:r>
    </w:p>
    <w:p w:rsidR="00B715D8" w:rsidRDefault="00B715D8" w:rsidP="00A243AF">
      <w:pPr>
        <w:snapToGrid w:val="0"/>
        <w:spacing w:line="260" w:lineRule="exact"/>
        <w:rPr>
          <w:sz w:val="20"/>
          <w:szCs w:val="20"/>
          <w:lang w:bidi="ar-EG"/>
        </w:rPr>
      </w:pPr>
    </w:p>
    <w:p w:rsidR="00607817" w:rsidRPr="009239A8" w:rsidRDefault="00607817" w:rsidP="00A243AF">
      <w:pPr>
        <w:snapToGrid w:val="0"/>
        <w:spacing w:line="260" w:lineRule="exact"/>
        <w:rPr>
          <w:sz w:val="20"/>
          <w:szCs w:val="20"/>
          <w:rtl/>
          <w:lang w:bidi="ar-EG"/>
        </w:rPr>
        <w:sectPr w:rsidR="00607817" w:rsidRPr="009239A8" w:rsidSect="009239A8">
          <w:type w:val="continuous"/>
          <w:pgSz w:w="12242" w:h="15842" w:code="1"/>
          <w:pgMar w:top="1440" w:right="1440" w:bottom="1440" w:left="1440" w:header="720" w:footer="720" w:gutter="0"/>
          <w:cols w:space="300"/>
          <w:docGrid w:linePitch="312"/>
        </w:sectPr>
      </w:pPr>
    </w:p>
    <w:p w:rsidR="00B83B60" w:rsidRPr="009239A8" w:rsidRDefault="00B83B60" w:rsidP="00A243AF">
      <w:pPr>
        <w:snapToGrid w:val="0"/>
        <w:spacing w:line="260" w:lineRule="exact"/>
        <w:rPr>
          <w:sz w:val="20"/>
          <w:szCs w:val="20"/>
        </w:rPr>
      </w:pPr>
    </w:p>
    <w:p w:rsidR="00B715D8" w:rsidRPr="009239A8" w:rsidRDefault="00B715D8" w:rsidP="00B715D8">
      <w:pPr>
        <w:snapToGrid w:val="0"/>
        <w:spacing w:line="260" w:lineRule="exact"/>
        <w:rPr>
          <w:sz w:val="20"/>
          <w:szCs w:val="20"/>
        </w:rPr>
        <w:sectPr w:rsidR="00B715D8" w:rsidRPr="009239A8" w:rsidSect="009239A8">
          <w:type w:val="continuous"/>
          <w:pgSz w:w="12242" w:h="15842" w:code="1"/>
          <w:pgMar w:top="1440" w:right="1440" w:bottom="1440" w:left="1440" w:header="720" w:footer="720" w:gutter="0"/>
          <w:cols w:space="300"/>
          <w:docGrid w:linePitch="312"/>
        </w:sectPr>
      </w:pPr>
    </w:p>
    <w:p w:rsidR="00B715D8" w:rsidRPr="009239A8" w:rsidRDefault="00B715D8" w:rsidP="00B715D8">
      <w:pPr>
        <w:snapToGrid w:val="0"/>
        <w:spacing w:line="260" w:lineRule="exact"/>
        <w:rPr>
          <w:sz w:val="20"/>
          <w:szCs w:val="20"/>
        </w:rPr>
      </w:pPr>
      <w:r w:rsidRPr="009239A8">
        <w:rPr>
          <w:b/>
          <w:sz w:val="20"/>
          <w:szCs w:val="20"/>
        </w:rPr>
        <w:lastRenderedPageBreak/>
        <w:t>4. Discussion</w:t>
      </w:r>
    </w:p>
    <w:p w:rsidR="00B715D8" w:rsidRPr="009239A8" w:rsidRDefault="00B715D8" w:rsidP="00B715D8">
      <w:pPr>
        <w:snapToGrid w:val="0"/>
        <w:spacing w:line="260" w:lineRule="exact"/>
        <w:ind w:firstLine="420"/>
        <w:rPr>
          <w:sz w:val="20"/>
          <w:szCs w:val="20"/>
        </w:rPr>
      </w:pPr>
      <w:r w:rsidRPr="009239A8">
        <w:rPr>
          <w:sz w:val="20"/>
          <w:szCs w:val="20"/>
        </w:rPr>
        <w:t xml:space="preserve">The present study was started on March, up to the end in May, 2011. This study is based on the isolation, identification and assessment of mycoflora from indoor of home in different localities of Ha'il as well as assessed the quantity and relationships of specific IgE antibodies to fungi of a group of asthmatic patients.  </w:t>
      </w:r>
      <w:smartTag w:uri="urn:schemas-microsoft-com:office:smarttags" w:element="country-region">
        <w:smartTag w:uri="urn:schemas-microsoft-com:office:smarttags" w:element="place">
          <w:r w:rsidRPr="009239A8">
            <w:rPr>
              <w:sz w:val="20"/>
              <w:szCs w:val="20"/>
            </w:rPr>
            <w:t>Saudi Arabia</w:t>
          </w:r>
        </w:smartTag>
      </w:smartTag>
      <w:r w:rsidRPr="009239A8">
        <w:rPr>
          <w:sz w:val="20"/>
          <w:szCs w:val="20"/>
        </w:rPr>
        <w:t xml:space="preserve"> is a country with very little rainfall occurrence per year. Along the time, the country experiences sandstorms thus increasing the propensity of indoor household fungal contamination. Four previous studies on fungal flora in house dust samples in Riyadh conducted in 1990, 1999, 2010 and 2011 reported higher concentrations of fungal colonies in the room air conditioner and living room compared to other locations of the house, with </w:t>
      </w:r>
      <w:r w:rsidRPr="009239A8">
        <w:rPr>
          <w:i/>
          <w:iCs/>
          <w:sz w:val="20"/>
          <w:szCs w:val="20"/>
        </w:rPr>
        <w:t>Aspergillus</w:t>
      </w:r>
      <w:r w:rsidRPr="009239A8">
        <w:rPr>
          <w:sz w:val="20"/>
          <w:szCs w:val="20"/>
        </w:rPr>
        <w:t xml:space="preserve"> predominating the isolated colonies (Saad and El-Gindy, 1990; Bahkali and Parvaez, 1999; Al-Humiany, 20</w:t>
      </w:r>
      <w:r w:rsidR="003B456C" w:rsidRPr="009239A8">
        <w:rPr>
          <w:sz w:val="20"/>
          <w:szCs w:val="20"/>
        </w:rPr>
        <w:t>10; Alwakeel and Nasser, 2011).</w:t>
      </w:r>
      <w:r w:rsidRPr="009239A8">
        <w:rPr>
          <w:sz w:val="20"/>
          <w:szCs w:val="20"/>
        </w:rPr>
        <w:t xml:space="preserve"> </w:t>
      </w:r>
      <w:r w:rsidR="00055F66" w:rsidRPr="009239A8">
        <w:rPr>
          <w:sz w:val="20"/>
          <w:szCs w:val="20"/>
        </w:rPr>
        <w:t>Similarly,</w:t>
      </w:r>
      <w:r w:rsidRPr="009239A8">
        <w:rPr>
          <w:sz w:val="20"/>
          <w:szCs w:val="20"/>
        </w:rPr>
        <w:t xml:space="preserve"> our works indicated that there was a total of 13 fungal species isolated from household dusts, these mycoflora were represented in the following genera </w:t>
      </w:r>
      <w:r w:rsidRPr="009239A8">
        <w:rPr>
          <w:i/>
          <w:iCs/>
          <w:sz w:val="20"/>
          <w:szCs w:val="20"/>
        </w:rPr>
        <w:t>A. alternate</w:t>
      </w:r>
      <w:r w:rsidRPr="009239A8">
        <w:rPr>
          <w:sz w:val="20"/>
          <w:szCs w:val="20"/>
        </w:rPr>
        <w:t xml:space="preserve">, </w:t>
      </w:r>
      <w:r w:rsidRPr="009239A8">
        <w:rPr>
          <w:i/>
          <w:iCs/>
          <w:sz w:val="20"/>
          <w:szCs w:val="20"/>
        </w:rPr>
        <w:t xml:space="preserve">Aspergillus </w:t>
      </w:r>
      <w:smartTag w:uri="urn:schemas-microsoft-com:office:smarttags" w:element="country-region">
        <w:smartTag w:uri="urn:schemas-microsoft-com:office:smarttags" w:element="place">
          <w:r w:rsidRPr="009239A8">
            <w:rPr>
              <w:i/>
              <w:iCs/>
              <w:sz w:val="20"/>
              <w:szCs w:val="20"/>
            </w:rPr>
            <w:t>niger</w:t>
          </w:r>
        </w:smartTag>
      </w:smartTag>
      <w:r w:rsidRPr="009239A8">
        <w:rPr>
          <w:sz w:val="20"/>
          <w:szCs w:val="20"/>
        </w:rPr>
        <w:t xml:space="preserve">, </w:t>
      </w:r>
      <w:r w:rsidRPr="009239A8">
        <w:rPr>
          <w:i/>
          <w:iCs/>
          <w:sz w:val="20"/>
          <w:szCs w:val="20"/>
        </w:rPr>
        <w:t>A.  repens, A. flavus</w:t>
      </w:r>
      <w:r w:rsidRPr="009239A8">
        <w:rPr>
          <w:sz w:val="20"/>
          <w:szCs w:val="20"/>
        </w:rPr>
        <w:t xml:space="preserve">, </w:t>
      </w:r>
      <w:r w:rsidRPr="009239A8">
        <w:rPr>
          <w:i/>
          <w:iCs/>
          <w:sz w:val="20"/>
          <w:szCs w:val="20"/>
        </w:rPr>
        <w:t>A. fumigatus, A. terreus, Fusarium solani, penicillium glabrum</w:t>
      </w:r>
      <w:r w:rsidRPr="009239A8">
        <w:rPr>
          <w:sz w:val="20"/>
          <w:szCs w:val="20"/>
        </w:rPr>
        <w:t xml:space="preserve">, </w:t>
      </w:r>
      <w:r w:rsidRPr="009239A8">
        <w:rPr>
          <w:i/>
          <w:iCs/>
          <w:sz w:val="20"/>
          <w:szCs w:val="20"/>
        </w:rPr>
        <w:t>P. verrucosum, Rhizopus oryzae, Trichoderma viride</w:t>
      </w:r>
      <w:r w:rsidRPr="009239A8">
        <w:rPr>
          <w:sz w:val="20"/>
          <w:szCs w:val="20"/>
        </w:rPr>
        <w:t xml:space="preserve"> </w:t>
      </w:r>
      <w:r w:rsidRPr="009239A8">
        <w:rPr>
          <w:i/>
          <w:iCs/>
          <w:sz w:val="20"/>
          <w:szCs w:val="20"/>
        </w:rPr>
        <w:t>Candida albicans</w:t>
      </w:r>
      <w:r w:rsidRPr="009239A8">
        <w:rPr>
          <w:sz w:val="20"/>
          <w:szCs w:val="20"/>
        </w:rPr>
        <w:t xml:space="preserve"> and </w:t>
      </w:r>
      <w:r w:rsidRPr="009239A8">
        <w:rPr>
          <w:i/>
          <w:iCs/>
          <w:sz w:val="20"/>
          <w:szCs w:val="20"/>
        </w:rPr>
        <w:t>Trichosporon cutaneum</w:t>
      </w:r>
      <w:r w:rsidRPr="009239A8">
        <w:rPr>
          <w:sz w:val="20"/>
          <w:szCs w:val="20"/>
        </w:rPr>
        <w:t>.</w:t>
      </w:r>
    </w:p>
    <w:p w:rsidR="00B715D8" w:rsidRPr="009239A8" w:rsidRDefault="00B715D8" w:rsidP="00B715D8">
      <w:pPr>
        <w:snapToGrid w:val="0"/>
        <w:spacing w:line="260" w:lineRule="exact"/>
        <w:ind w:firstLine="420"/>
        <w:rPr>
          <w:sz w:val="20"/>
          <w:szCs w:val="20"/>
        </w:rPr>
      </w:pPr>
      <w:r w:rsidRPr="009239A8">
        <w:rPr>
          <w:sz w:val="20"/>
          <w:szCs w:val="20"/>
        </w:rPr>
        <w:t xml:space="preserve">In a study conducted in 2004, </w:t>
      </w:r>
      <w:r w:rsidRPr="009239A8">
        <w:rPr>
          <w:i/>
          <w:iCs/>
          <w:sz w:val="20"/>
          <w:szCs w:val="20"/>
        </w:rPr>
        <w:t>Aspergillus</w:t>
      </w:r>
      <w:r w:rsidRPr="009239A8">
        <w:rPr>
          <w:sz w:val="20"/>
          <w:szCs w:val="20"/>
        </w:rPr>
        <w:t xml:space="preserve"> spp. was the most prevalent fungal isolate present in 31-40% of samples followed by </w:t>
      </w:r>
      <w:r w:rsidRPr="009239A8">
        <w:rPr>
          <w:i/>
          <w:iCs/>
          <w:sz w:val="20"/>
          <w:szCs w:val="20"/>
        </w:rPr>
        <w:t>Penicillium</w:t>
      </w:r>
      <w:r w:rsidRPr="009239A8">
        <w:rPr>
          <w:sz w:val="20"/>
          <w:szCs w:val="20"/>
        </w:rPr>
        <w:t xml:space="preserve"> spp. and </w:t>
      </w:r>
      <w:r w:rsidRPr="009239A8">
        <w:rPr>
          <w:i/>
          <w:iCs/>
          <w:sz w:val="20"/>
          <w:szCs w:val="20"/>
        </w:rPr>
        <w:t>Cladosporium</w:t>
      </w:r>
      <w:r w:rsidRPr="009239A8">
        <w:rPr>
          <w:sz w:val="20"/>
          <w:szCs w:val="20"/>
        </w:rPr>
        <w:t xml:space="preserve"> spp. (Pieckova and Wilkins, 2004). The results from several studies showed that there is a direct correlation between the levels of mycofloral contamination in household dust to the occurrence of respiratory diseases, especially asthma and sinusitis (De Blay, 2000; Salo </w:t>
      </w:r>
      <w:r w:rsidRPr="009239A8">
        <w:rPr>
          <w:i/>
          <w:iCs/>
          <w:sz w:val="20"/>
          <w:szCs w:val="20"/>
        </w:rPr>
        <w:t>et al</w:t>
      </w:r>
      <w:r w:rsidRPr="009239A8">
        <w:rPr>
          <w:sz w:val="20"/>
          <w:szCs w:val="20"/>
        </w:rPr>
        <w:t xml:space="preserve">., 2005; Woodcock </w:t>
      </w:r>
      <w:r w:rsidRPr="009239A8">
        <w:rPr>
          <w:i/>
          <w:iCs/>
          <w:sz w:val="20"/>
          <w:szCs w:val="20"/>
        </w:rPr>
        <w:t>et al</w:t>
      </w:r>
      <w:r w:rsidRPr="009239A8">
        <w:rPr>
          <w:sz w:val="20"/>
          <w:szCs w:val="20"/>
        </w:rPr>
        <w:t xml:space="preserve">., 2006; Cho, </w:t>
      </w:r>
      <w:r w:rsidRPr="009239A8">
        <w:rPr>
          <w:i/>
          <w:iCs/>
          <w:sz w:val="20"/>
          <w:szCs w:val="20"/>
        </w:rPr>
        <w:t>et</w:t>
      </w:r>
      <w:r w:rsidRPr="009239A8">
        <w:rPr>
          <w:sz w:val="20"/>
          <w:szCs w:val="20"/>
        </w:rPr>
        <w:t xml:space="preserve"> </w:t>
      </w:r>
      <w:r w:rsidRPr="009239A8">
        <w:rPr>
          <w:i/>
          <w:iCs/>
          <w:sz w:val="20"/>
          <w:szCs w:val="20"/>
        </w:rPr>
        <w:t>al</w:t>
      </w:r>
      <w:r w:rsidRPr="009239A8">
        <w:rPr>
          <w:sz w:val="20"/>
          <w:szCs w:val="20"/>
        </w:rPr>
        <w:t xml:space="preserve">., 2008 and Porter </w:t>
      </w:r>
      <w:r w:rsidRPr="009239A8">
        <w:rPr>
          <w:i/>
          <w:iCs/>
          <w:sz w:val="20"/>
          <w:szCs w:val="20"/>
        </w:rPr>
        <w:t>et al</w:t>
      </w:r>
      <w:r w:rsidR="009068FD" w:rsidRPr="009239A8">
        <w:rPr>
          <w:sz w:val="20"/>
          <w:szCs w:val="20"/>
        </w:rPr>
        <w:t>., 2009).</w:t>
      </w:r>
      <w:r w:rsidRPr="009239A8">
        <w:rPr>
          <w:sz w:val="20"/>
          <w:szCs w:val="20"/>
        </w:rPr>
        <w:t xml:space="preserve"> In contrast, our study showed that a total of 6 genera were determined. The most common of these were </w:t>
      </w:r>
      <w:r w:rsidRPr="009239A8">
        <w:rPr>
          <w:i/>
          <w:iCs/>
          <w:sz w:val="20"/>
          <w:szCs w:val="20"/>
        </w:rPr>
        <w:t>Aspergillus</w:t>
      </w:r>
      <w:r w:rsidRPr="009239A8">
        <w:rPr>
          <w:sz w:val="20"/>
          <w:szCs w:val="20"/>
        </w:rPr>
        <w:t xml:space="preserve"> (54.45%) colonies, </w:t>
      </w:r>
      <w:r w:rsidRPr="009239A8">
        <w:rPr>
          <w:i/>
          <w:iCs/>
          <w:sz w:val="20"/>
          <w:szCs w:val="20"/>
        </w:rPr>
        <w:t>Penicillium</w:t>
      </w:r>
      <w:r w:rsidR="009068FD" w:rsidRPr="009239A8">
        <w:rPr>
          <w:sz w:val="20"/>
          <w:szCs w:val="20"/>
        </w:rPr>
        <w:t xml:space="preserve"> (21.</w:t>
      </w:r>
      <w:r w:rsidRPr="009239A8">
        <w:rPr>
          <w:sz w:val="20"/>
          <w:szCs w:val="20"/>
        </w:rPr>
        <w:t xml:space="preserve">63%) colonies, </w:t>
      </w:r>
      <w:r w:rsidRPr="009239A8">
        <w:rPr>
          <w:i/>
          <w:iCs/>
          <w:sz w:val="20"/>
          <w:szCs w:val="20"/>
        </w:rPr>
        <w:t>Fusarium</w:t>
      </w:r>
      <w:r w:rsidRPr="009239A8">
        <w:rPr>
          <w:sz w:val="20"/>
          <w:szCs w:val="20"/>
        </w:rPr>
        <w:t xml:space="preserve"> (8.91%) colonies, followed by </w:t>
      </w:r>
      <w:r w:rsidRPr="009239A8">
        <w:rPr>
          <w:i/>
          <w:iCs/>
          <w:sz w:val="20"/>
          <w:szCs w:val="20"/>
        </w:rPr>
        <w:t xml:space="preserve">Trichoderma </w:t>
      </w:r>
      <w:r w:rsidRPr="009239A8">
        <w:rPr>
          <w:sz w:val="20"/>
          <w:szCs w:val="20"/>
        </w:rPr>
        <w:t xml:space="preserve">(6.96%) colonies, through March 2011. The genus </w:t>
      </w:r>
      <w:r w:rsidRPr="009239A8">
        <w:rPr>
          <w:i/>
          <w:iCs/>
          <w:sz w:val="20"/>
          <w:szCs w:val="20"/>
        </w:rPr>
        <w:t xml:space="preserve">Aspergillus </w:t>
      </w:r>
      <w:r w:rsidRPr="009239A8">
        <w:rPr>
          <w:sz w:val="20"/>
          <w:szCs w:val="20"/>
        </w:rPr>
        <w:t xml:space="preserve">was represented in five species, </w:t>
      </w:r>
      <w:r w:rsidR="009068FD" w:rsidRPr="009239A8">
        <w:rPr>
          <w:i/>
          <w:iCs/>
          <w:sz w:val="20"/>
          <w:szCs w:val="20"/>
        </w:rPr>
        <w:t>Aspergillus</w:t>
      </w:r>
      <w:r w:rsidRPr="009239A8">
        <w:rPr>
          <w:i/>
          <w:iCs/>
          <w:sz w:val="20"/>
          <w:szCs w:val="20"/>
        </w:rPr>
        <w:t xml:space="preserve"> niger </w:t>
      </w:r>
      <w:r w:rsidR="00113D98" w:rsidRPr="009239A8">
        <w:rPr>
          <w:sz w:val="20"/>
          <w:szCs w:val="20"/>
        </w:rPr>
        <w:t>(7.39</w:t>
      </w:r>
      <w:r w:rsidR="009068FD" w:rsidRPr="009239A8">
        <w:rPr>
          <w:sz w:val="20"/>
          <w:szCs w:val="20"/>
        </w:rPr>
        <w:t>%),</w:t>
      </w:r>
      <w:r w:rsidRPr="009239A8">
        <w:rPr>
          <w:sz w:val="20"/>
          <w:szCs w:val="20"/>
        </w:rPr>
        <w:t xml:space="preserve"> </w:t>
      </w:r>
      <w:r w:rsidR="009068FD" w:rsidRPr="009239A8">
        <w:rPr>
          <w:i/>
          <w:iCs/>
          <w:sz w:val="20"/>
          <w:szCs w:val="20"/>
        </w:rPr>
        <w:t>Aspergillus</w:t>
      </w:r>
      <w:r w:rsidRPr="009239A8">
        <w:rPr>
          <w:i/>
          <w:iCs/>
          <w:sz w:val="20"/>
          <w:szCs w:val="20"/>
        </w:rPr>
        <w:t xml:space="preserve"> repens</w:t>
      </w:r>
      <w:r w:rsidR="00113D98" w:rsidRPr="009239A8">
        <w:rPr>
          <w:sz w:val="20"/>
          <w:szCs w:val="20"/>
        </w:rPr>
        <w:t xml:space="preserve"> (13.59</w:t>
      </w:r>
      <w:r w:rsidRPr="009239A8">
        <w:rPr>
          <w:sz w:val="20"/>
          <w:szCs w:val="20"/>
        </w:rPr>
        <w:t xml:space="preserve">%), </w:t>
      </w:r>
      <w:r w:rsidRPr="009239A8">
        <w:rPr>
          <w:i/>
          <w:iCs/>
          <w:sz w:val="20"/>
          <w:szCs w:val="20"/>
        </w:rPr>
        <w:t xml:space="preserve">Aspergillus flavus </w:t>
      </w:r>
      <w:r w:rsidR="00113D98" w:rsidRPr="009239A8">
        <w:rPr>
          <w:sz w:val="20"/>
          <w:szCs w:val="20"/>
        </w:rPr>
        <w:t>(21.52</w:t>
      </w:r>
      <w:r w:rsidRPr="009239A8">
        <w:rPr>
          <w:sz w:val="20"/>
          <w:szCs w:val="20"/>
        </w:rPr>
        <w:t xml:space="preserve">%), </w:t>
      </w:r>
      <w:r w:rsidRPr="009239A8">
        <w:rPr>
          <w:i/>
          <w:iCs/>
          <w:sz w:val="20"/>
          <w:szCs w:val="20"/>
        </w:rPr>
        <w:t xml:space="preserve">Aspergillus fumigatus </w:t>
      </w:r>
      <w:r w:rsidR="00950825" w:rsidRPr="009239A8">
        <w:rPr>
          <w:sz w:val="20"/>
          <w:szCs w:val="20"/>
        </w:rPr>
        <w:t>(7.28</w:t>
      </w:r>
      <w:r w:rsidRPr="009239A8">
        <w:rPr>
          <w:sz w:val="20"/>
          <w:szCs w:val="20"/>
        </w:rPr>
        <w:t xml:space="preserve">%) and </w:t>
      </w:r>
      <w:r w:rsidRPr="009239A8">
        <w:rPr>
          <w:i/>
          <w:iCs/>
          <w:sz w:val="20"/>
          <w:szCs w:val="20"/>
        </w:rPr>
        <w:t>Aspergillus terreus</w:t>
      </w:r>
      <w:r w:rsidR="00950825" w:rsidRPr="009239A8">
        <w:rPr>
          <w:sz w:val="20"/>
          <w:szCs w:val="20"/>
        </w:rPr>
        <w:t xml:space="preserve"> (4.67</w:t>
      </w:r>
      <w:r w:rsidRPr="009239A8">
        <w:rPr>
          <w:sz w:val="20"/>
          <w:szCs w:val="20"/>
        </w:rPr>
        <w:t xml:space="preserve">%), while the genus </w:t>
      </w:r>
      <w:r w:rsidRPr="009239A8">
        <w:rPr>
          <w:i/>
          <w:iCs/>
          <w:sz w:val="20"/>
          <w:szCs w:val="20"/>
        </w:rPr>
        <w:t>Penicillium</w:t>
      </w:r>
      <w:r w:rsidRPr="009239A8">
        <w:rPr>
          <w:sz w:val="20"/>
          <w:szCs w:val="20"/>
        </w:rPr>
        <w:t xml:space="preserve"> represented in only two species, </w:t>
      </w:r>
      <w:r w:rsidRPr="009239A8">
        <w:rPr>
          <w:i/>
          <w:iCs/>
          <w:sz w:val="20"/>
          <w:szCs w:val="20"/>
        </w:rPr>
        <w:t>penicillium glabrum</w:t>
      </w:r>
      <w:r w:rsidR="009535AB" w:rsidRPr="009239A8">
        <w:rPr>
          <w:sz w:val="20"/>
          <w:szCs w:val="20"/>
        </w:rPr>
        <w:t xml:space="preserve"> (15.87</w:t>
      </w:r>
      <w:r w:rsidRPr="009239A8">
        <w:rPr>
          <w:sz w:val="20"/>
          <w:szCs w:val="20"/>
        </w:rPr>
        <w:t xml:space="preserve">%) and </w:t>
      </w:r>
      <w:r w:rsidRPr="009239A8">
        <w:rPr>
          <w:i/>
          <w:iCs/>
          <w:sz w:val="20"/>
          <w:szCs w:val="20"/>
        </w:rPr>
        <w:t>Penicillium verrucosum</w:t>
      </w:r>
      <w:r w:rsidR="009535AB" w:rsidRPr="009239A8">
        <w:rPr>
          <w:sz w:val="20"/>
          <w:szCs w:val="20"/>
        </w:rPr>
        <w:t xml:space="preserve"> (5.76</w:t>
      </w:r>
      <w:r w:rsidRPr="009239A8">
        <w:rPr>
          <w:sz w:val="20"/>
          <w:szCs w:val="20"/>
        </w:rPr>
        <w:t xml:space="preserve">%). </w:t>
      </w:r>
      <w:r w:rsidRPr="009239A8">
        <w:rPr>
          <w:sz w:val="20"/>
          <w:szCs w:val="20"/>
          <w:lang w:val="en"/>
        </w:rPr>
        <w:t xml:space="preserve">Similar findings are reported by </w:t>
      </w:r>
      <w:r w:rsidRPr="009239A8">
        <w:rPr>
          <w:sz w:val="20"/>
          <w:szCs w:val="20"/>
        </w:rPr>
        <w:t xml:space="preserve">Hashem (2008), when studied air-borne mycoflora in </w:t>
      </w:r>
      <w:r w:rsidRPr="009239A8">
        <w:rPr>
          <w:sz w:val="20"/>
          <w:szCs w:val="20"/>
        </w:rPr>
        <w:lastRenderedPageBreak/>
        <w:t xml:space="preserve">the </w:t>
      </w:r>
      <w:r w:rsidR="00055F66" w:rsidRPr="009239A8">
        <w:rPr>
          <w:sz w:val="20"/>
          <w:szCs w:val="20"/>
        </w:rPr>
        <w:t>school’s</w:t>
      </w:r>
      <w:r w:rsidRPr="009239A8">
        <w:rPr>
          <w:sz w:val="20"/>
          <w:szCs w:val="20"/>
        </w:rPr>
        <w:t xml:space="preserve"> environment in Hofuf city, Al Hassa Province of Saudi Arabia. He found that, genus </w:t>
      </w:r>
      <w:r w:rsidRPr="009239A8">
        <w:rPr>
          <w:i/>
          <w:iCs/>
          <w:sz w:val="20"/>
          <w:szCs w:val="20"/>
        </w:rPr>
        <w:t>Aspergillus</w:t>
      </w:r>
      <w:r w:rsidRPr="009239A8">
        <w:rPr>
          <w:sz w:val="20"/>
          <w:szCs w:val="20"/>
        </w:rPr>
        <w:t xml:space="preserve"> was the most predominant and showed the highest number of cfu/m3 of air followed by </w:t>
      </w:r>
      <w:r w:rsidRPr="009239A8">
        <w:rPr>
          <w:i/>
          <w:iCs/>
          <w:sz w:val="20"/>
          <w:szCs w:val="20"/>
        </w:rPr>
        <w:t>Penicillium, Cladosporium, Fusarium, Rhodotorula</w:t>
      </w:r>
      <w:r w:rsidRPr="009239A8">
        <w:rPr>
          <w:sz w:val="20"/>
          <w:szCs w:val="20"/>
        </w:rPr>
        <w:t xml:space="preserve">, </w:t>
      </w:r>
      <w:r w:rsidRPr="009239A8">
        <w:rPr>
          <w:i/>
          <w:iCs/>
          <w:sz w:val="20"/>
          <w:szCs w:val="20"/>
        </w:rPr>
        <w:t>Mucor, Alternaria, Acremonium, Curvularia, Stachybotrys, Rhizopus, Drechslera</w:t>
      </w:r>
      <w:r w:rsidRPr="009239A8">
        <w:rPr>
          <w:sz w:val="20"/>
          <w:szCs w:val="20"/>
        </w:rPr>
        <w:t xml:space="preserve"> and </w:t>
      </w:r>
      <w:r w:rsidRPr="009239A8">
        <w:rPr>
          <w:i/>
          <w:iCs/>
          <w:sz w:val="20"/>
          <w:szCs w:val="20"/>
        </w:rPr>
        <w:t xml:space="preserve">Ulocladium. </w:t>
      </w:r>
    </w:p>
    <w:p w:rsidR="00B715D8" w:rsidRPr="009239A8" w:rsidRDefault="00B715D8" w:rsidP="00AB2252">
      <w:pPr>
        <w:snapToGrid w:val="0"/>
        <w:spacing w:line="260" w:lineRule="exact"/>
        <w:ind w:firstLine="420"/>
        <w:rPr>
          <w:sz w:val="20"/>
          <w:szCs w:val="20"/>
        </w:rPr>
      </w:pPr>
      <w:r w:rsidRPr="009239A8">
        <w:rPr>
          <w:sz w:val="20"/>
          <w:szCs w:val="20"/>
        </w:rPr>
        <w:t>Statically our results indicated that there was a highly significant different in the number of colonies during March, April and May (</w:t>
      </w:r>
      <w:r w:rsidR="00AB2252" w:rsidRPr="009239A8">
        <w:rPr>
          <w:i/>
          <w:iCs/>
          <w:sz w:val="20"/>
          <w:szCs w:val="20"/>
        </w:rPr>
        <w:t>P</w:t>
      </w:r>
      <w:r w:rsidRPr="009239A8">
        <w:rPr>
          <w:sz w:val="20"/>
          <w:szCs w:val="20"/>
        </w:rPr>
        <w:t xml:space="preserve"> </w:t>
      </w:r>
      <w:r w:rsidRPr="009239A8">
        <w:rPr>
          <w:sz w:val="20"/>
          <w:szCs w:val="20"/>
          <w:rtl/>
        </w:rPr>
        <w:t>&gt;</w:t>
      </w:r>
      <w:r w:rsidRPr="009239A8">
        <w:rPr>
          <w:sz w:val="20"/>
          <w:szCs w:val="20"/>
        </w:rPr>
        <w:t xml:space="preserve"> 0.05). Also, finding in this work meteorological studies showed that fungal distribu</w:t>
      </w:r>
      <w:r w:rsidR="00AB2252" w:rsidRPr="009239A8">
        <w:rPr>
          <w:sz w:val="20"/>
          <w:szCs w:val="20"/>
        </w:rPr>
        <w:t>tion had a close relationship (</w:t>
      </w:r>
      <w:r w:rsidR="00AB2252" w:rsidRPr="009239A8">
        <w:rPr>
          <w:i/>
          <w:iCs/>
          <w:sz w:val="20"/>
          <w:szCs w:val="20"/>
        </w:rPr>
        <w:t>P</w:t>
      </w:r>
      <w:r w:rsidRPr="009239A8">
        <w:rPr>
          <w:sz w:val="20"/>
          <w:szCs w:val="20"/>
        </w:rPr>
        <w:t xml:space="preserve"> = 0.001) wi</w:t>
      </w:r>
      <w:r w:rsidR="00AB2252" w:rsidRPr="009239A8">
        <w:rPr>
          <w:sz w:val="20"/>
          <w:szCs w:val="20"/>
        </w:rPr>
        <w:t xml:space="preserve">th temperature and wind speed. </w:t>
      </w:r>
      <w:r w:rsidRPr="009239A8">
        <w:rPr>
          <w:sz w:val="20"/>
          <w:szCs w:val="20"/>
        </w:rPr>
        <w:t>Metrological data showed that humidity was higher during March (27.5%), while wind speed recorded a higher level at April (37.5 km/hr.). Statically our results indicated that there was a highly significant different in temperatures and wind spee</w:t>
      </w:r>
      <w:r w:rsidR="00AB2252" w:rsidRPr="009239A8">
        <w:rPr>
          <w:sz w:val="20"/>
          <w:szCs w:val="20"/>
        </w:rPr>
        <w:t>d during March, April and May (</w:t>
      </w:r>
      <w:r w:rsidR="00AB2252" w:rsidRPr="009239A8">
        <w:rPr>
          <w:i/>
          <w:iCs/>
          <w:sz w:val="20"/>
          <w:szCs w:val="20"/>
        </w:rPr>
        <w:t>P</w:t>
      </w:r>
      <w:r w:rsidRPr="009239A8">
        <w:rPr>
          <w:sz w:val="20"/>
          <w:szCs w:val="20"/>
        </w:rPr>
        <w:t xml:space="preserve"> = 0.001), while there was no sign</w:t>
      </w:r>
      <w:r w:rsidR="00AB2252" w:rsidRPr="009239A8">
        <w:rPr>
          <w:sz w:val="20"/>
          <w:szCs w:val="20"/>
        </w:rPr>
        <w:t>ificant different in humidity (</w:t>
      </w:r>
      <w:r w:rsidR="00AB2252" w:rsidRPr="009239A8">
        <w:rPr>
          <w:i/>
          <w:iCs/>
          <w:sz w:val="20"/>
          <w:szCs w:val="20"/>
        </w:rPr>
        <w:t>P</w:t>
      </w:r>
      <w:r w:rsidRPr="009239A8">
        <w:rPr>
          <w:sz w:val="20"/>
          <w:szCs w:val="20"/>
        </w:rPr>
        <w:t xml:space="preserve"> &gt; 0.05). Similar study was carried out by Murat </w:t>
      </w:r>
      <w:r w:rsidRPr="009239A8">
        <w:rPr>
          <w:i/>
          <w:iCs/>
          <w:sz w:val="20"/>
          <w:szCs w:val="20"/>
        </w:rPr>
        <w:t>et al.</w:t>
      </w:r>
      <w:r w:rsidRPr="009239A8">
        <w:rPr>
          <w:sz w:val="20"/>
          <w:szCs w:val="20"/>
        </w:rPr>
        <w:t xml:space="preserve">, (2006) in </w:t>
      </w:r>
      <w:smartTag w:uri="urn:schemas-microsoft-com:office:smarttags" w:element="place">
        <w:smartTag w:uri="urn:schemas-microsoft-com:office:smarttags" w:element="City">
          <w:r w:rsidRPr="009239A8">
            <w:rPr>
              <w:sz w:val="20"/>
              <w:szCs w:val="20"/>
            </w:rPr>
            <w:t>Trabzon</w:t>
          </w:r>
        </w:smartTag>
        <w:r w:rsidRPr="009239A8">
          <w:rPr>
            <w:sz w:val="20"/>
            <w:szCs w:val="20"/>
          </w:rPr>
          <w:t xml:space="preserve">, </w:t>
        </w:r>
        <w:smartTag w:uri="urn:schemas-microsoft-com:office:smarttags" w:element="country-region">
          <w:r w:rsidRPr="009239A8">
            <w:rPr>
              <w:sz w:val="20"/>
              <w:szCs w:val="20"/>
            </w:rPr>
            <w:t>Turkey</w:t>
          </w:r>
        </w:smartTag>
      </w:smartTag>
      <w:r w:rsidRPr="009239A8">
        <w:rPr>
          <w:sz w:val="20"/>
          <w:szCs w:val="20"/>
        </w:rPr>
        <w:t xml:space="preserve">. They found that, there was some degrees of seasonal variations of the major genera were detected; the most notable ones were </w:t>
      </w:r>
      <w:r w:rsidRPr="009239A8">
        <w:rPr>
          <w:i/>
          <w:iCs/>
          <w:sz w:val="20"/>
          <w:szCs w:val="20"/>
        </w:rPr>
        <w:t>Aspergillus</w:t>
      </w:r>
      <w:r w:rsidRPr="009239A8">
        <w:rPr>
          <w:sz w:val="20"/>
          <w:szCs w:val="20"/>
        </w:rPr>
        <w:t xml:space="preserve"> and </w:t>
      </w:r>
      <w:r w:rsidRPr="009239A8">
        <w:rPr>
          <w:i/>
          <w:iCs/>
          <w:sz w:val="20"/>
          <w:szCs w:val="20"/>
        </w:rPr>
        <w:t>Alternaria</w:t>
      </w:r>
      <w:r w:rsidRPr="009239A8">
        <w:rPr>
          <w:sz w:val="20"/>
          <w:szCs w:val="20"/>
        </w:rPr>
        <w:t xml:space="preserve"> genus in that they were in higher numbers in the autumn and in summer, respectively.</w:t>
      </w:r>
    </w:p>
    <w:p w:rsidR="00B715D8" w:rsidRPr="009239A8" w:rsidRDefault="00B715D8" w:rsidP="00B715D8">
      <w:pPr>
        <w:snapToGrid w:val="0"/>
        <w:spacing w:line="260" w:lineRule="exact"/>
        <w:ind w:firstLine="420"/>
        <w:rPr>
          <w:sz w:val="20"/>
          <w:szCs w:val="20"/>
        </w:rPr>
      </w:pPr>
      <w:r w:rsidRPr="009239A8">
        <w:rPr>
          <w:sz w:val="20"/>
          <w:szCs w:val="20"/>
        </w:rPr>
        <w:t xml:space="preserve">Our study showed that serum levels of specific IgE (in adult patient's) to </w:t>
      </w:r>
      <w:r w:rsidRPr="009239A8">
        <w:rPr>
          <w:i/>
          <w:iCs/>
          <w:sz w:val="20"/>
          <w:szCs w:val="20"/>
        </w:rPr>
        <w:t>A. alternate</w:t>
      </w:r>
      <w:r w:rsidRPr="009239A8">
        <w:rPr>
          <w:sz w:val="20"/>
          <w:szCs w:val="20"/>
        </w:rPr>
        <w:t xml:space="preserve">, </w:t>
      </w:r>
      <w:r w:rsidRPr="009239A8">
        <w:rPr>
          <w:i/>
          <w:iCs/>
          <w:sz w:val="20"/>
          <w:szCs w:val="20"/>
        </w:rPr>
        <w:t xml:space="preserve">Aspergillus </w:t>
      </w:r>
      <w:smartTag w:uri="urn:schemas-microsoft-com:office:smarttags" w:element="country-region">
        <w:smartTag w:uri="urn:schemas-microsoft-com:office:smarttags" w:element="place">
          <w:r w:rsidRPr="009239A8">
            <w:rPr>
              <w:i/>
              <w:iCs/>
              <w:sz w:val="20"/>
              <w:szCs w:val="20"/>
            </w:rPr>
            <w:t>niger</w:t>
          </w:r>
        </w:smartTag>
      </w:smartTag>
      <w:r w:rsidRPr="009239A8">
        <w:rPr>
          <w:sz w:val="20"/>
          <w:szCs w:val="20"/>
        </w:rPr>
        <w:t xml:space="preserve">, </w:t>
      </w:r>
      <w:r w:rsidRPr="009239A8">
        <w:rPr>
          <w:i/>
          <w:iCs/>
          <w:sz w:val="20"/>
          <w:szCs w:val="20"/>
        </w:rPr>
        <w:t>A.  repens, A. flavus</w:t>
      </w:r>
      <w:r w:rsidRPr="009239A8">
        <w:rPr>
          <w:sz w:val="20"/>
          <w:szCs w:val="20"/>
        </w:rPr>
        <w:t xml:space="preserve">, </w:t>
      </w:r>
      <w:r w:rsidRPr="009239A8">
        <w:rPr>
          <w:i/>
          <w:iCs/>
          <w:sz w:val="20"/>
          <w:szCs w:val="20"/>
        </w:rPr>
        <w:t>A. fumigatus, A. terreus, penicillium glabrum</w:t>
      </w:r>
      <w:r w:rsidRPr="009239A8">
        <w:rPr>
          <w:sz w:val="20"/>
          <w:szCs w:val="20"/>
        </w:rPr>
        <w:t xml:space="preserve">, </w:t>
      </w:r>
      <w:r w:rsidRPr="009239A8">
        <w:rPr>
          <w:i/>
          <w:iCs/>
          <w:sz w:val="20"/>
          <w:szCs w:val="20"/>
        </w:rPr>
        <w:t>P. verrucosum</w:t>
      </w:r>
      <w:r w:rsidRPr="009239A8">
        <w:rPr>
          <w:sz w:val="20"/>
          <w:szCs w:val="20"/>
        </w:rPr>
        <w:t xml:space="preserve"> and </w:t>
      </w:r>
      <w:r w:rsidR="00055F66" w:rsidRPr="009239A8">
        <w:rPr>
          <w:i/>
          <w:iCs/>
          <w:sz w:val="20"/>
          <w:szCs w:val="20"/>
        </w:rPr>
        <w:t>Candida albicans</w:t>
      </w:r>
      <w:r w:rsidRPr="009239A8">
        <w:rPr>
          <w:sz w:val="20"/>
          <w:szCs w:val="20"/>
        </w:rPr>
        <w:t xml:space="preserve"> were 3.80±0.5, 3.</w:t>
      </w:r>
      <w:r w:rsidRPr="009239A8">
        <w:rPr>
          <w:sz w:val="20"/>
          <w:szCs w:val="20"/>
          <w:rtl/>
        </w:rPr>
        <w:t>22</w:t>
      </w:r>
      <w:r w:rsidRPr="009239A8">
        <w:rPr>
          <w:sz w:val="20"/>
          <w:szCs w:val="20"/>
        </w:rPr>
        <w:t xml:space="preserve">±0.5, 3.66±0.5, 3.96±0.4, 3.88±0.4, 3.25±0.4, 3.86±0.5, 3.45±0.5 and 3.58±0.6 KU/L, respectively. Whereas specific IgE antibody to </w:t>
      </w:r>
      <w:r w:rsidRPr="009239A8">
        <w:rPr>
          <w:i/>
          <w:iCs/>
          <w:sz w:val="20"/>
          <w:szCs w:val="20"/>
        </w:rPr>
        <w:t>A.  fumigatus</w:t>
      </w:r>
      <w:r w:rsidRPr="009239A8">
        <w:rPr>
          <w:sz w:val="20"/>
          <w:szCs w:val="20"/>
        </w:rPr>
        <w:t xml:space="preserve"> was much more common in children's than in adults (4.53±0.3 KU/L), </w:t>
      </w:r>
      <w:r w:rsidR="00055F66" w:rsidRPr="009239A8">
        <w:rPr>
          <w:sz w:val="20"/>
          <w:szCs w:val="20"/>
        </w:rPr>
        <w:t>this result</w:t>
      </w:r>
      <w:r w:rsidRPr="009239A8">
        <w:rPr>
          <w:sz w:val="20"/>
          <w:szCs w:val="20"/>
        </w:rPr>
        <w:t xml:space="preserve"> was in contrast with Jenny </w:t>
      </w:r>
      <w:r w:rsidRPr="009239A8">
        <w:rPr>
          <w:i/>
          <w:iCs/>
          <w:sz w:val="20"/>
          <w:szCs w:val="20"/>
        </w:rPr>
        <w:t>et al</w:t>
      </w:r>
      <w:r w:rsidRPr="009239A8">
        <w:rPr>
          <w:sz w:val="20"/>
          <w:szCs w:val="20"/>
        </w:rPr>
        <w:t>., 2005. Statically our results were indicated that there was a highly significant different in serum total IgE levels and specific IgE antibodies b</w:t>
      </w:r>
      <w:r w:rsidR="00AB2252" w:rsidRPr="009239A8">
        <w:rPr>
          <w:sz w:val="20"/>
          <w:szCs w:val="20"/>
        </w:rPr>
        <w:t>etween adults and children's (</w:t>
      </w:r>
      <w:r w:rsidR="00AB2252" w:rsidRPr="009239A8">
        <w:rPr>
          <w:i/>
          <w:iCs/>
          <w:sz w:val="20"/>
          <w:szCs w:val="20"/>
        </w:rPr>
        <w:t>P</w:t>
      </w:r>
      <w:r w:rsidR="00AB2252" w:rsidRPr="009239A8">
        <w:rPr>
          <w:sz w:val="20"/>
          <w:szCs w:val="20"/>
        </w:rPr>
        <w:t xml:space="preserve"> </w:t>
      </w:r>
      <w:r w:rsidRPr="009239A8">
        <w:rPr>
          <w:sz w:val="20"/>
          <w:szCs w:val="20"/>
        </w:rPr>
        <w:t xml:space="preserve">&lt; 0.05). In contrast to our study Scalabrin </w:t>
      </w:r>
      <w:r w:rsidRPr="009239A8">
        <w:rPr>
          <w:i/>
          <w:iCs/>
          <w:sz w:val="20"/>
          <w:szCs w:val="20"/>
        </w:rPr>
        <w:t>et al.,</w:t>
      </w:r>
      <w:r w:rsidR="00793A76" w:rsidRPr="009239A8">
        <w:rPr>
          <w:sz w:val="20"/>
          <w:szCs w:val="20"/>
        </w:rPr>
        <w:t xml:space="preserve"> (1999) </w:t>
      </w:r>
      <w:r w:rsidRPr="009239A8">
        <w:rPr>
          <w:sz w:val="20"/>
          <w:szCs w:val="20"/>
        </w:rPr>
        <w:t xml:space="preserve">were evaluated IgE antibodies to potential skin-colonizing organisms, including </w:t>
      </w:r>
      <w:r w:rsidRPr="009239A8">
        <w:rPr>
          <w:i/>
          <w:iCs/>
          <w:sz w:val="20"/>
          <w:szCs w:val="20"/>
        </w:rPr>
        <w:t>Malassezia</w:t>
      </w:r>
      <w:r w:rsidRPr="009239A8">
        <w:rPr>
          <w:sz w:val="20"/>
          <w:szCs w:val="20"/>
        </w:rPr>
        <w:t xml:space="preserve">, </w:t>
      </w:r>
      <w:r w:rsidRPr="009239A8">
        <w:rPr>
          <w:i/>
          <w:iCs/>
          <w:sz w:val="20"/>
          <w:szCs w:val="20"/>
        </w:rPr>
        <w:t>Candida</w:t>
      </w:r>
      <w:r w:rsidRPr="009239A8">
        <w:rPr>
          <w:sz w:val="20"/>
          <w:szCs w:val="20"/>
        </w:rPr>
        <w:t xml:space="preserve">, and </w:t>
      </w:r>
      <w:r w:rsidRPr="009239A8">
        <w:rPr>
          <w:i/>
          <w:iCs/>
          <w:sz w:val="20"/>
          <w:szCs w:val="20"/>
        </w:rPr>
        <w:t xml:space="preserve">Trichophyton </w:t>
      </w:r>
      <w:r w:rsidRPr="009239A8">
        <w:rPr>
          <w:sz w:val="20"/>
          <w:szCs w:val="20"/>
        </w:rPr>
        <w:t>species, and compared them with antibodies to fungi that are generally referred to as so</w:t>
      </w:r>
      <w:r w:rsidR="00ED21F2" w:rsidRPr="009239A8">
        <w:rPr>
          <w:sz w:val="20"/>
          <w:szCs w:val="20"/>
        </w:rPr>
        <w:t>urces of inhalant allergens (</w:t>
      </w:r>
      <w:r w:rsidR="00E96A71" w:rsidRPr="009239A8">
        <w:rPr>
          <w:sz w:val="20"/>
          <w:szCs w:val="20"/>
        </w:rPr>
        <w:t>e.g.</w:t>
      </w:r>
      <w:r w:rsidRPr="009239A8">
        <w:rPr>
          <w:sz w:val="20"/>
          <w:szCs w:val="20"/>
        </w:rPr>
        <w:t xml:space="preserve"> </w:t>
      </w:r>
      <w:r w:rsidRPr="009239A8">
        <w:rPr>
          <w:i/>
          <w:iCs/>
          <w:sz w:val="20"/>
          <w:szCs w:val="20"/>
        </w:rPr>
        <w:t xml:space="preserve">Alternaria </w:t>
      </w:r>
      <w:r w:rsidRPr="009239A8">
        <w:rPr>
          <w:sz w:val="20"/>
          <w:szCs w:val="20"/>
        </w:rPr>
        <w:t xml:space="preserve">and </w:t>
      </w:r>
      <w:r w:rsidRPr="009239A8">
        <w:rPr>
          <w:i/>
          <w:iCs/>
          <w:sz w:val="20"/>
          <w:szCs w:val="20"/>
        </w:rPr>
        <w:t xml:space="preserve">Aspergillus </w:t>
      </w:r>
      <w:r w:rsidRPr="009239A8">
        <w:rPr>
          <w:sz w:val="20"/>
          <w:szCs w:val="20"/>
        </w:rPr>
        <w:t>species) and dust mite. The first conclusion of his study was that IgE antibodies to all fungi tested are common among patients with AD, and in many cases the ab</w:t>
      </w:r>
      <w:r w:rsidR="00ED21F2" w:rsidRPr="009239A8">
        <w:rPr>
          <w:sz w:val="20"/>
          <w:szCs w:val="20"/>
        </w:rPr>
        <w:t>solute levels are very high (</w:t>
      </w:r>
      <w:r w:rsidR="00ED21F2" w:rsidRPr="009239A8">
        <w:rPr>
          <w:i/>
          <w:iCs/>
          <w:sz w:val="20"/>
          <w:szCs w:val="20"/>
        </w:rPr>
        <w:t>i.e.</w:t>
      </w:r>
      <w:r w:rsidRPr="009239A8">
        <w:rPr>
          <w:sz w:val="20"/>
          <w:szCs w:val="20"/>
        </w:rPr>
        <w:t xml:space="preserve"> ≥20 ng of IgE antibody/ ml; CAP class 4). Furthermore, IgE antibodies to </w:t>
      </w:r>
      <w:r w:rsidRPr="009239A8">
        <w:rPr>
          <w:i/>
          <w:iCs/>
          <w:sz w:val="20"/>
          <w:szCs w:val="20"/>
        </w:rPr>
        <w:t>A. alternata</w:t>
      </w:r>
      <w:r w:rsidRPr="009239A8">
        <w:rPr>
          <w:sz w:val="20"/>
          <w:szCs w:val="20"/>
        </w:rPr>
        <w:t xml:space="preserve"> and </w:t>
      </w:r>
      <w:r w:rsidRPr="009239A8">
        <w:rPr>
          <w:i/>
          <w:iCs/>
          <w:sz w:val="20"/>
          <w:szCs w:val="20"/>
        </w:rPr>
        <w:t>M. furfur</w:t>
      </w:r>
      <w:r w:rsidRPr="009239A8">
        <w:rPr>
          <w:sz w:val="20"/>
          <w:szCs w:val="20"/>
        </w:rPr>
        <w:t xml:space="preserve"> were </w:t>
      </w:r>
      <w:r w:rsidRPr="009239A8">
        <w:rPr>
          <w:sz w:val="20"/>
          <w:szCs w:val="20"/>
        </w:rPr>
        <w:lastRenderedPageBreak/>
        <w:t xml:space="preserve">significantly more common among patients with AD (Atopic dermatitis) than among patients with asthma or asymptomatic control subjects. Also, studies by Hedayati, </w:t>
      </w:r>
      <w:r w:rsidRPr="009239A8">
        <w:rPr>
          <w:i/>
          <w:iCs/>
          <w:sz w:val="20"/>
          <w:szCs w:val="20"/>
        </w:rPr>
        <w:t>et al.,</w:t>
      </w:r>
      <w:r w:rsidRPr="009239A8">
        <w:rPr>
          <w:sz w:val="20"/>
          <w:szCs w:val="20"/>
        </w:rPr>
        <w:t xml:space="preserve"> (2009), found that 35% of the patients with AD and asthma showed specific higher levels of specific IgE against </w:t>
      </w:r>
      <w:r w:rsidRPr="009239A8">
        <w:rPr>
          <w:i/>
          <w:iCs/>
          <w:sz w:val="20"/>
          <w:szCs w:val="20"/>
        </w:rPr>
        <w:t>A. alternate</w:t>
      </w:r>
      <w:r w:rsidRPr="009239A8">
        <w:rPr>
          <w:sz w:val="20"/>
          <w:szCs w:val="20"/>
        </w:rPr>
        <w:t xml:space="preserve">. Another study was carried by Chowdary, </w:t>
      </w:r>
      <w:r w:rsidRPr="009239A8">
        <w:rPr>
          <w:i/>
          <w:iCs/>
          <w:sz w:val="20"/>
          <w:szCs w:val="20"/>
        </w:rPr>
        <w:t>et al</w:t>
      </w:r>
      <w:r w:rsidRPr="009239A8">
        <w:rPr>
          <w:sz w:val="20"/>
          <w:szCs w:val="20"/>
        </w:rPr>
        <w:t>., (2003). He showed that the IgE levels were elevated in more than 90% of patients with allergic rhinitis. IgE values ranged from 2323 to more than 4000 IU/ml when the sino-nasal polyposis was associated with fungal elements (</w:t>
      </w:r>
      <w:r w:rsidRPr="009239A8">
        <w:rPr>
          <w:i/>
          <w:iCs/>
          <w:sz w:val="20"/>
          <w:szCs w:val="20"/>
        </w:rPr>
        <w:t>i.e. Aspergillus</w:t>
      </w:r>
      <w:r w:rsidRPr="009239A8">
        <w:rPr>
          <w:sz w:val="20"/>
          <w:szCs w:val="20"/>
        </w:rPr>
        <w:t xml:space="preserve"> induced allergic rhinitis with sinusitis).</w:t>
      </w:r>
    </w:p>
    <w:p w:rsidR="00B715D8" w:rsidRPr="009239A8" w:rsidRDefault="00B715D8" w:rsidP="00B715D8">
      <w:pPr>
        <w:snapToGrid w:val="0"/>
        <w:spacing w:line="260" w:lineRule="exact"/>
        <w:ind w:firstLine="420"/>
        <w:rPr>
          <w:sz w:val="20"/>
          <w:szCs w:val="20"/>
        </w:rPr>
      </w:pPr>
      <w:r w:rsidRPr="009239A8">
        <w:rPr>
          <w:sz w:val="20"/>
          <w:szCs w:val="20"/>
        </w:rPr>
        <w:t xml:space="preserve">We sought to compare sensitization to fungi between patients with asthmatic and non-asthmatic (control group). The results for sera of patients with asthma disease were compared with non-asthmatic (control) sera for concentration of specific IgE antibody to </w:t>
      </w:r>
      <w:r w:rsidR="00E96A71" w:rsidRPr="009239A8">
        <w:rPr>
          <w:i/>
          <w:iCs/>
          <w:sz w:val="20"/>
          <w:szCs w:val="20"/>
        </w:rPr>
        <w:t xml:space="preserve">A. </w:t>
      </w:r>
      <w:r w:rsidRPr="009239A8">
        <w:rPr>
          <w:i/>
          <w:iCs/>
          <w:sz w:val="20"/>
          <w:szCs w:val="20"/>
        </w:rPr>
        <w:t>alternate</w:t>
      </w:r>
      <w:r w:rsidRPr="009239A8">
        <w:rPr>
          <w:sz w:val="20"/>
          <w:szCs w:val="20"/>
        </w:rPr>
        <w:t xml:space="preserve">, </w:t>
      </w:r>
      <w:r w:rsidR="00E96A71" w:rsidRPr="009239A8">
        <w:rPr>
          <w:i/>
          <w:iCs/>
          <w:sz w:val="20"/>
          <w:szCs w:val="20"/>
        </w:rPr>
        <w:t>Aspergillus</w:t>
      </w:r>
      <w:r w:rsidRPr="009239A8">
        <w:rPr>
          <w:i/>
          <w:iCs/>
          <w:sz w:val="20"/>
          <w:szCs w:val="20"/>
        </w:rPr>
        <w:t xml:space="preserve"> niger</w:t>
      </w:r>
      <w:r w:rsidRPr="009239A8">
        <w:rPr>
          <w:sz w:val="20"/>
          <w:szCs w:val="20"/>
        </w:rPr>
        <w:t xml:space="preserve">, </w:t>
      </w:r>
      <w:r w:rsidR="00E96A71" w:rsidRPr="009239A8">
        <w:rPr>
          <w:i/>
          <w:iCs/>
          <w:sz w:val="20"/>
          <w:szCs w:val="20"/>
        </w:rPr>
        <w:t>A.</w:t>
      </w:r>
      <w:r w:rsidRPr="009239A8">
        <w:rPr>
          <w:i/>
          <w:iCs/>
          <w:sz w:val="20"/>
          <w:szCs w:val="20"/>
        </w:rPr>
        <w:t xml:space="preserve"> repens, A. flavus</w:t>
      </w:r>
      <w:r w:rsidRPr="009239A8">
        <w:rPr>
          <w:sz w:val="20"/>
          <w:szCs w:val="20"/>
        </w:rPr>
        <w:t xml:space="preserve">, </w:t>
      </w:r>
      <w:r w:rsidR="00E96A71" w:rsidRPr="009239A8">
        <w:rPr>
          <w:i/>
          <w:iCs/>
          <w:sz w:val="20"/>
          <w:szCs w:val="20"/>
        </w:rPr>
        <w:t>A. fumigatus, A. terreus, Fusarium solani, P</w:t>
      </w:r>
      <w:r w:rsidRPr="009239A8">
        <w:rPr>
          <w:i/>
          <w:iCs/>
          <w:sz w:val="20"/>
          <w:szCs w:val="20"/>
        </w:rPr>
        <w:t>enicillium glabrum</w:t>
      </w:r>
      <w:r w:rsidRPr="009239A8">
        <w:rPr>
          <w:sz w:val="20"/>
          <w:szCs w:val="20"/>
        </w:rPr>
        <w:t xml:space="preserve">, </w:t>
      </w:r>
      <w:r w:rsidRPr="009239A8">
        <w:rPr>
          <w:i/>
          <w:iCs/>
          <w:sz w:val="20"/>
          <w:szCs w:val="20"/>
        </w:rPr>
        <w:t>P. verrucosum, Rhizopus oryzae, Trichoderma viride</w:t>
      </w:r>
      <w:r w:rsidR="00E96A71" w:rsidRPr="009239A8">
        <w:rPr>
          <w:sz w:val="20"/>
          <w:szCs w:val="20"/>
        </w:rPr>
        <w:t>,</w:t>
      </w:r>
      <w:r w:rsidRPr="009239A8">
        <w:rPr>
          <w:sz w:val="20"/>
          <w:szCs w:val="20"/>
        </w:rPr>
        <w:t xml:space="preserve"> </w:t>
      </w:r>
      <w:r w:rsidR="00E96A71" w:rsidRPr="009239A8">
        <w:rPr>
          <w:i/>
          <w:iCs/>
          <w:sz w:val="20"/>
          <w:szCs w:val="20"/>
        </w:rPr>
        <w:t>Candida</w:t>
      </w:r>
      <w:r w:rsidRPr="009239A8">
        <w:rPr>
          <w:i/>
          <w:iCs/>
          <w:sz w:val="20"/>
          <w:szCs w:val="20"/>
        </w:rPr>
        <w:t xml:space="preserve"> albicans</w:t>
      </w:r>
      <w:r w:rsidRPr="009239A8">
        <w:rPr>
          <w:sz w:val="20"/>
          <w:szCs w:val="20"/>
        </w:rPr>
        <w:t xml:space="preserve"> and </w:t>
      </w:r>
      <w:r w:rsidRPr="009239A8">
        <w:rPr>
          <w:i/>
          <w:iCs/>
          <w:sz w:val="20"/>
          <w:szCs w:val="20"/>
        </w:rPr>
        <w:t>Trichosporon cutaneum</w:t>
      </w:r>
      <w:r w:rsidRPr="009239A8">
        <w:rPr>
          <w:sz w:val="20"/>
          <w:szCs w:val="20"/>
        </w:rPr>
        <w:t>. Mean specific IgE was higher in sera from patients with asthma for all antigens. Our results showed that statically there was a highly significant different in the concentrations of specific IgE levels between asthmati</w:t>
      </w:r>
      <w:r w:rsidR="00DB6EF9" w:rsidRPr="009239A8">
        <w:rPr>
          <w:sz w:val="20"/>
          <w:szCs w:val="20"/>
        </w:rPr>
        <w:t>c and non-asthmatic patient's (</w:t>
      </w:r>
      <w:r w:rsidR="00DB6EF9" w:rsidRPr="009239A8">
        <w:rPr>
          <w:i/>
          <w:iCs/>
          <w:sz w:val="20"/>
          <w:szCs w:val="20"/>
        </w:rPr>
        <w:t>P</w:t>
      </w:r>
      <w:r w:rsidRPr="009239A8">
        <w:rPr>
          <w:sz w:val="20"/>
          <w:szCs w:val="20"/>
        </w:rPr>
        <w:t xml:space="preserve"> = 0.001). Similarly, Hedayati, </w:t>
      </w:r>
      <w:r w:rsidRPr="009239A8">
        <w:rPr>
          <w:i/>
          <w:iCs/>
          <w:sz w:val="20"/>
          <w:szCs w:val="20"/>
        </w:rPr>
        <w:t>et al.,</w:t>
      </w:r>
      <w:r w:rsidRPr="009239A8">
        <w:rPr>
          <w:sz w:val="20"/>
          <w:szCs w:val="20"/>
        </w:rPr>
        <w:t xml:space="preserve"> (2009), studied that the comparisons of serum total IgE level and specific IgE antibodies between asthmatic and non-asthmatic patients. He showed that the mean of total IgE and specific IgE level were higher in sera from patients with asthma than in non-asthmatic (control group). Serum total IgE in asthmatic patients and control group were recorded 172 and 44.5 IU/ml, respectively. Also, mean specific IgE level to </w:t>
      </w:r>
      <w:r w:rsidRPr="009239A8">
        <w:rPr>
          <w:i/>
          <w:iCs/>
          <w:sz w:val="20"/>
          <w:szCs w:val="20"/>
        </w:rPr>
        <w:t xml:space="preserve">A. alternate </w:t>
      </w:r>
      <w:r w:rsidRPr="009239A8">
        <w:rPr>
          <w:sz w:val="20"/>
          <w:szCs w:val="20"/>
        </w:rPr>
        <w:t>in asthmatic patients and control group were recorded 3.7 and 2 IU/ml, respectively.</w:t>
      </w:r>
    </w:p>
    <w:p w:rsidR="00B715D8" w:rsidRPr="009239A8" w:rsidRDefault="00B715D8" w:rsidP="00B715D8">
      <w:pPr>
        <w:snapToGrid w:val="0"/>
        <w:spacing w:line="260" w:lineRule="exact"/>
        <w:ind w:firstLine="420"/>
        <w:rPr>
          <w:sz w:val="20"/>
          <w:szCs w:val="20"/>
        </w:rPr>
      </w:pPr>
    </w:p>
    <w:p w:rsidR="00B715D8" w:rsidRPr="009239A8" w:rsidRDefault="00B715D8" w:rsidP="00B715D8">
      <w:pPr>
        <w:snapToGrid w:val="0"/>
        <w:spacing w:line="260" w:lineRule="exact"/>
        <w:rPr>
          <w:b/>
          <w:sz w:val="20"/>
          <w:szCs w:val="20"/>
        </w:rPr>
      </w:pPr>
      <w:r w:rsidRPr="009239A8">
        <w:rPr>
          <w:b/>
          <w:sz w:val="20"/>
          <w:szCs w:val="20"/>
        </w:rPr>
        <w:t>5. Conclusion</w:t>
      </w:r>
    </w:p>
    <w:p w:rsidR="0024765E" w:rsidRPr="009239A8" w:rsidRDefault="00B715D8" w:rsidP="005A6183">
      <w:pPr>
        <w:snapToGrid w:val="0"/>
        <w:spacing w:line="260" w:lineRule="exact"/>
        <w:ind w:firstLine="420"/>
        <w:rPr>
          <w:sz w:val="20"/>
          <w:szCs w:val="20"/>
        </w:rPr>
      </w:pPr>
      <w:r w:rsidRPr="009239A8">
        <w:rPr>
          <w:sz w:val="20"/>
          <w:szCs w:val="20"/>
        </w:rPr>
        <w:t xml:space="preserve">In conclusion, the present study has demonstrated that there was a total of 13 fungal species isolated from household dusts. The most prevalent of these were </w:t>
      </w:r>
      <w:r w:rsidRPr="009239A8">
        <w:rPr>
          <w:i/>
          <w:iCs/>
          <w:sz w:val="20"/>
          <w:szCs w:val="20"/>
        </w:rPr>
        <w:t>Aspergillus</w:t>
      </w:r>
      <w:r w:rsidRPr="009239A8">
        <w:rPr>
          <w:sz w:val="20"/>
          <w:szCs w:val="20"/>
        </w:rPr>
        <w:t xml:space="preserve">, </w:t>
      </w:r>
      <w:r w:rsidRPr="009239A8">
        <w:rPr>
          <w:i/>
          <w:iCs/>
          <w:sz w:val="20"/>
          <w:szCs w:val="20"/>
        </w:rPr>
        <w:t>Penicillium</w:t>
      </w:r>
      <w:r w:rsidRPr="009239A8">
        <w:rPr>
          <w:sz w:val="20"/>
          <w:szCs w:val="20"/>
        </w:rPr>
        <w:t xml:space="preserve">, </w:t>
      </w:r>
      <w:r w:rsidRPr="009239A8">
        <w:rPr>
          <w:i/>
          <w:iCs/>
          <w:sz w:val="20"/>
          <w:szCs w:val="20"/>
        </w:rPr>
        <w:t>Fusarium</w:t>
      </w:r>
      <w:r w:rsidRPr="009239A8">
        <w:rPr>
          <w:sz w:val="20"/>
          <w:szCs w:val="20"/>
        </w:rPr>
        <w:t xml:space="preserve">, followed by </w:t>
      </w:r>
      <w:r w:rsidRPr="009239A8">
        <w:rPr>
          <w:i/>
          <w:iCs/>
          <w:sz w:val="20"/>
          <w:szCs w:val="20"/>
        </w:rPr>
        <w:t>Trichoderma.</w:t>
      </w:r>
      <w:r w:rsidRPr="009239A8">
        <w:rPr>
          <w:sz w:val="20"/>
          <w:szCs w:val="20"/>
        </w:rPr>
        <w:t xml:space="preserve"> There is definite evidence of fungal sensitization in asthma. There is also a strong association between fungal sensit</w:t>
      </w:r>
      <w:r w:rsidR="000333D3" w:rsidRPr="009239A8">
        <w:rPr>
          <w:sz w:val="20"/>
          <w:szCs w:val="20"/>
        </w:rPr>
        <w:t>ization and severity of asthma.</w:t>
      </w:r>
      <w:r w:rsidRPr="009239A8">
        <w:rPr>
          <w:sz w:val="20"/>
          <w:szCs w:val="20"/>
        </w:rPr>
        <w:t xml:space="preserve"> A variety of fungi are known to cause sensitization in asthmatics. However,</w:t>
      </w:r>
      <w:r w:rsidR="000333D3" w:rsidRPr="009239A8">
        <w:rPr>
          <w:sz w:val="20"/>
          <w:szCs w:val="20"/>
        </w:rPr>
        <w:t xml:space="preserve"> </w:t>
      </w:r>
      <w:r w:rsidRPr="009239A8">
        <w:rPr>
          <w:i/>
          <w:iCs/>
          <w:sz w:val="20"/>
          <w:szCs w:val="20"/>
        </w:rPr>
        <w:t xml:space="preserve">Aspergillus </w:t>
      </w:r>
      <w:r w:rsidRPr="009239A8">
        <w:rPr>
          <w:sz w:val="20"/>
          <w:szCs w:val="20"/>
        </w:rPr>
        <w:t>species seem to be the most important fungal agent causing sensitization and leading to severe asthma.</w:t>
      </w:r>
    </w:p>
    <w:p w:rsidR="00A77594" w:rsidRPr="009239A8" w:rsidRDefault="00A77594" w:rsidP="00A77594">
      <w:pPr>
        <w:spacing w:line="260" w:lineRule="exact"/>
        <w:ind w:rightChars="35" w:right="73"/>
        <w:rPr>
          <w:rFonts w:eastAsia="SimHei"/>
          <w:b/>
          <w:sz w:val="20"/>
          <w:szCs w:val="20"/>
        </w:rPr>
      </w:pPr>
    </w:p>
    <w:p w:rsidR="00A77594" w:rsidRPr="009239A8" w:rsidRDefault="00A77594" w:rsidP="00A77594">
      <w:pPr>
        <w:spacing w:line="260" w:lineRule="exact"/>
        <w:ind w:rightChars="35" w:right="73"/>
        <w:rPr>
          <w:rFonts w:eastAsia="SimHei"/>
          <w:b/>
          <w:sz w:val="20"/>
          <w:szCs w:val="20"/>
        </w:rPr>
      </w:pPr>
      <w:r w:rsidRPr="009239A8">
        <w:rPr>
          <w:rFonts w:eastAsia="SimHei"/>
          <w:b/>
          <w:sz w:val="20"/>
          <w:szCs w:val="20"/>
        </w:rPr>
        <w:t>Corresponding Author:</w:t>
      </w:r>
    </w:p>
    <w:p w:rsidR="00A77594" w:rsidRPr="009239A8" w:rsidRDefault="00A77594" w:rsidP="00A77594">
      <w:pPr>
        <w:spacing w:line="260" w:lineRule="exact"/>
        <w:ind w:rightChars="35" w:right="73"/>
        <w:rPr>
          <w:rFonts w:eastAsia="SimHei"/>
          <w:sz w:val="20"/>
          <w:szCs w:val="20"/>
        </w:rPr>
      </w:pPr>
      <w:r w:rsidRPr="009239A8">
        <w:rPr>
          <w:rFonts w:eastAsia="SimHei"/>
          <w:sz w:val="20"/>
          <w:szCs w:val="20"/>
        </w:rPr>
        <w:t>Dr. Mohamed A. Fareid</w:t>
      </w:r>
    </w:p>
    <w:p w:rsidR="00055F66" w:rsidRDefault="00040107" w:rsidP="00040107">
      <w:pPr>
        <w:spacing w:line="260" w:lineRule="exact"/>
        <w:ind w:rightChars="35" w:right="73"/>
        <w:rPr>
          <w:rFonts w:eastAsia="SimHei"/>
          <w:sz w:val="20"/>
          <w:szCs w:val="20"/>
        </w:rPr>
      </w:pPr>
      <w:r w:rsidRPr="009239A8">
        <w:rPr>
          <w:rFonts w:eastAsia="SimHei"/>
          <w:sz w:val="20"/>
          <w:szCs w:val="20"/>
        </w:rPr>
        <w:t>Medical Microbiology Dept., Faculty of Medicine, H’ail University, SA.</w:t>
      </w:r>
    </w:p>
    <w:p w:rsidR="00055F66" w:rsidRPr="009239A8" w:rsidRDefault="00055F66" w:rsidP="00055F66">
      <w:pPr>
        <w:spacing w:line="260" w:lineRule="exact"/>
        <w:ind w:rightChars="35" w:right="73"/>
        <w:rPr>
          <w:rFonts w:eastAsia="SimHei"/>
          <w:sz w:val="20"/>
          <w:szCs w:val="20"/>
        </w:rPr>
      </w:pPr>
      <w:r w:rsidRPr="009239A8">
        <w:rPr>
          <w:rFonts w:eastAsia="SimHei"/>
          <w:sz w:val="20"/>
          <w:szCs w:val="20"/>
        </w:rPr>
        <w:t>Botany and Microbiology Department</w:t>
      </w:r>
    </w:p>
    <w:p w:rsidR="00055F66" w:rsidRPr="009239A8" w:rsidRDefault="00055F66" w:rsidP="00055F66">
      <w:pPr>
        <w:spacing w:line="260" w:lineRule="exact"/>
        <w:ind w:rightChars="35" w:right="73"/>
        <w:rPr>
          <w:rFonts w:eastAsia="SimHei"/>
          <w:sz w:val="20"/>
          <w:szCs w:val="20"/>
        </w:rPr>
      </w:pPr>
      <w:r w:rsidRPr="009239A8">
        <w:rPr>
          <w:rFonts w:eastAsia="SimHei"/>
          <w:sz w:val="20"/>
          <w:szCs w:val="20"/>
        </w:rPr>
        <w:t xml:space="preserve">Faculty of Science, </w:t>
      </w:r>
      <w:smartTag w:uri="urn:schemas-microsoft-com:office:smarttags" w:element="place">
        <w:smartTag w:uri="urn:schemas-microsoft-com:office:smarttags" w:element="PlaceName">
          <w:r w:rsidRPr="009239A8">
            <w:rPr>
              <w:rFonts w:eastAsia="SimHei"/>
              <w:sz w:val="20"/>
              <w:szCs w:val="20"/>
            </w:rPr>
            <w:t>Al-Azhar</w:t>
          </w:r>
        </w:smartTag>
        <w:r w:rsidRPr="009239A8">
          <w:rPr>
            <w:rFonts w:eastAsia="SimHei"/>
            <w:sz w:val="20"/>
            <w:szCs w:val="20"/>
          </w:rPr>
          <w:t xml:space="preserve"> </w:t>
        </w:r>
        <w:smartTag w:uri="urn:schemas-microsoft-com:office:smarttags" w:element="PlaceType">
          <w:r w:rsidRPr="009239A8">
            <w:rPr>
              <w:rFonts w:eastAsia="SimHei"/>
              <w:sz w:val="20"/>
              <w:szCs w:val="20"/>
            </w:rPr>
            <w:t>University</w:t>
          </w:r>
        </w:smartTag>
      </w:smartTag>
      <w:r w:rsidRPr="009239A8">
        <w:rPr>
          <w:rFonts w:eastAsia="SimHei"/>
          <w:sz w:val="20"/>
          <w:szCs w:val="20"/>
        </w:rPr>
        <w:t>.</w:t>
      </w:r>
    </w:p>
    <w:p w:rsidR="00040107" w:rsidRPr="009239A8" w:rsidRDefault="00A77594" w:rsidP="00040107">
      <w:pPr>
        <w:spacing w:line="260" w:lineRule="exact"/>
        <w:ind w:rightChars="35" w:right="73"/>
        <w:rPr>
          <w:rFonts w:eastAsia="SimHei"/>
          <w:sz w:val="20"/>
          <w:szCs w:val="20"/>
        </w:rPr>
      </w:pPr>
      <w:r w:rsidRPr="009239A8">
        <w:rPr>
          <w:rFonts w:eastAsia="SimHei"/>
          <w:sz w:val="20"/>
          <w:szCs w:val="20"/>
        </w:rPr>
        <w:t xml:space="preserve">E-mail: </w:t>
      </w:r>
      <w:hyperlink r:id="rId17" w:history="1">
        <w:r w:rsidR="00040107" w:rsidRPr="009239A8">
          <w:rPr>
            <w:rStyle w:val="Hyperlink"/>
            <w:rFonts w:eastAsia="SimHei"/>
            <w:sz w:val="20"/>
            <w:szCs w:val="20"/>
          </w:rPr>
          <w:t>mohamedfareid73@yahoo.com</w:t>
        </w:r>
      </w:hyperlink>
    </w:p>
    <w:p w:rsidR="006F2E6F" w:rsidRPr="009239A8" w:rsidRDefault="006F2E6F" w:rsidP="00040107">
      <w:pPr>
        <w:spacing w:line="260" w:lineRule="exact"/>
        <w:ind w:rightChars="35" w:right="73"/>
        <w:rPr>
          <w:b/>
          <w:bCs/>
          <w:sz w:val="20"/>
          <w:szCs w:val="20"/>
        </w:rPr>
      </w:pPr>
    </w:p>
    <w:p w:rsidR="0024765E" w:rsidRPr="009239A8" w:rsidRDefault="0024765E">
      <w:pPr>
        <w:rPr>
          <w:rFonts w:eastAsia="SimHei"/>
          <w:b/>
          <w:sz w:val="20"/>
          <w:szCs w:val="20"/>
        </w:rPr>
      </w:pPr>
      <w:r w:rsidRPr="009239A8">
        <w:rPr>
          <w:rFonts w:eastAsia="SimHei"/>
          <w:b/>
          <w:sz w:val="20"/>
          <w:szCs w:val="20"/>
        </w:rPr>
        <w:t>References</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Ajello, W. L. (1968): A Taxonomic Review of The Dermatophytes and Related Species. Sabouradia, 6: 147-159.</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Al-Fryah, A., Hasnain, S. M., and Harfi, H. A. (1989): Respiratory allergy and aero-allergens in </w:t>
      </w:r>
      <w:smartTag w:uri="urn:schemas-microsoft-com:office:smarttags" w:element="country-region">
        <w:smartTag w:uri="urn:schemas-microsoft-com:office:smarttags" w:element="place">
          <w:r w:rsidRPr="009239A8">
            <w:rPr>
              <w:sz w:val="20"/>
              <w:szCs w:val="20"/>
            </w:rPr>
            <w:t>Saudi Arabia</w:t>
          </w:r>
        </w:smartTag>
      </w:smartTag>
      <w:r w:rsidRPr="009239A8">
        <w:rPr>
          <w:sz w:val="20"/>
          <w:szCs w:val="20"/>
        </w:rPr>
        <w:t>. J. Allergy Clin. Immunol., 83: 198-20l.</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Al-Humiany, A. A. (2010): Opportunistic Pathogenic Fungi of the House Dust in Turubah, Kingdom of </w:t>
      </w:r>
      <w:smartTag w:uri="urn:schemas-microsoft-com:office:smarttags" w:element="country-region">
        <w:smartTag w:uri="urn:schemas-microsoft-com:office:smarttags" w:element="place">
          <w:r w:rsidRPr="009239A8">
            <w:rPr>
              <w:sz w:val="20"/>
              <w:szCs w:val="20"/>
            </w:rPr>
            <w:t>Saudi Arabia</w:t>
          </w:r>
        </w:smartTag>
      </w:smartTag>
      <w:r w:rsidRPr="009239A8">
        <w:rPr>
          <w:sz w:val="20"/>
          <w:szCs w:val="20"/>
        </w:rPr>
        <w:t>. Australian Journal of Basic and Applied Sciences, 4(2): 122-126.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Alwakeel, S. S. and Nasser, L. A. (2011): Indoor terrestrial fungi in household dust samples in </w:t>
      </w:r>
      <w:smartTag w:uri="urn:schemas-microsoft-com:office:smarttags" w:element="place">
        <w:smartTag w:uri="urn:schemas-microsoft-com:office:smarttags" w:element="City">
          <w:r w:rsidRPr="009239A8">
            <w:rPr>
              <w:sz w:val="20"/>
              <w:szCs w:val="20"/>
            </w:rPr>
            <w:t>Riyadh</w:t>
          </w:r>
        </w:smartTag>
        <w:r w:rsidRPr="009239A8">
          <w:rPr>
            <w:sz w:val="20"/>
            <w:szCs w:val="20"/>
          </w:rPr>
          <w:t xml:space="preserve">, </w:t>
        </w:r>
        <w:smartTag w:uri="urn:schemas-microsoft-com:office:smarttags" w:element="country-region">
          <w:r w:rsidRPr="009239A8">
            <w:rPr>
              <w:sz w:val="20"/>
              <w:szCs w:val="20"/>
            </w:rPr>
            <w:t>Saudi Arabia</w:t>
          </w:r>
        </w:smartTag>
      </w:smartTag>
      <w:r w:rsidRPr="009239A8">
        <w:rPr>
          <w:sz w:val="20"/>
          <w:szCs w:val="20"/>
        </w:rPr>
        <w:t>. Microbiol.  J., 1: 17-24.</w:t>
      </w:r>
    </w:p>
    <w:p w:rsidR="00F51FD1" w:rsidRPr="009239A8" w:rsidRDefault="00F51FD1" w:rsidP="00F51FD1">
      <w:pPr>
        <w:numPr>
          <w:ilvl w:val="0"/>
          <w:numId w:val="5"/>
        </w:numPr>
        <w:spacing w:line="260" w:lineRule="exact"/>
        <w:ind w:left="426" w:rightChars="35" w:right="73" w:hanging="426"/>
        <w:rPr>
          <w:sz w:val="20"/>
          <w:szCs w:val="20"/>
        </w:rPr>
      </w:pPr>
      <w:smartTag w:uri="urn:schemas-microsoft-com:office:smarttags" w:element="City">
        <w:smartTag w:uri="urn:schemas-microsoft-com:office:smarttags" w:element="place">
          <w:r w:rsidRPr="009239A8">
            <w:rPr>
              <w:sz w:val="20"/>
              <w:szCs w:val="20"/>
            </w:rPr>
            <w:t>Ames</w:t>
          </w:r>
        </w:smartTag>
      </w:smartTag>
      <w:r w:rsidRPr="009239A8">
        <w:rPr>
          <w:sz w:val="20"/>
          <w:szCs w:val="20"/>
        </w:rPr>
        <w:t xml:space="preserve">, T. A. (1969): A Monograph of Chaetomiaceae. Wheldon and Wesltey L.T.D. Strechert-Hasner Service Agency. Inc. Codict,  Herts </w:t>
      </w:r>
      <w:smartTag w:uri="urn:schemas-microsoft-com:office:smarttags" w:element="State">
        <w:smartTag w:uri="urn:schemas-microsoft-com:office:smarttags" w:element="place">
          <w:r w:rsidRPr="009239A8">
            <w:rPr>
              <w:sz w:val="20"/>
              <w:szCs w:val="20"/>
            </w:rPr>
            <w:t>New York</w:t>
          </w:r>
        </w:smartTag>
      </w:smartTag>
      <w:r w:rsidRPr="009239A8">
        <w:rPr>
          <w:sz w:val="20"/>
          <w:szCs w:val="20"/>
        </w:rPr>
        <w:t>,  pp: 55.</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Bahkali, A. H. and Parvaez, S. (1999): Fungal flora in house dust in </w:t>
      </w:r>
      <w:smartTag w:uri="urn:schemas-microsoft-com:office:smarttags" w:element="place">
        <w:smartTag w:uri="urn:schemas-microsoft-com:office:smarttags" w:element="City">
          <w:r w:rsidRPr="009239A8">
            <w:rPr>
              <w:sz w:val="20"/>
              <w:szCs w:val="20"/>
            </w:rPr>
            <w:t>Riyadh</w:t>
          </w:r>
        </w:smartTag>
        <w:r w:rsidRPr="009239A8">
          <w:rPr>
            <w:sz w:val="20"/>
            <w:szCs w:val="20"/>
          </w:rPr>
          <w:t xml:space="preserve">, </w:t>
        </w:r>
        <w:smartTag w:uri="urn:schemas-microsoft-com:office:smarttags" w:element="country-region">
          <w:r w:rsidRPr="009239A8">
            <w:rPr>
              <w:sz w:val="20"/>
              <w:szCs w:val="20"/>
            </w:rPr>
            <w:t>Saudi Arabia</w:t>
          </w:r>
        </w:smartTag>
      </w:smartTag>
      <w:r w:rsidRPr="009239A8">
        <w:rPr>
          <w:sz w:val="20"/>
          <w:szCs w:val="20"/>
        </w:rPr>
        <w:t>. Mycoses, 42: 339-343.</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Bokhary, H. A. and Parvez, S. (1995): Fungi inhabiting household environment in </w:t>
      </w:r>
      <w:smartTag w:uri="urn:schemas-microsoft-com:office:smarttags" w:element="place">
        <w:smartTag w:uri="urn:schemas-microsoft-com:office:smarttags" w:element="City">
          <w:r w:rsidRPr="009239A8">
            <w:rPr>
              <w:sz w:val="20"/>
              <w:szCs w:val="20"/>
            </w:rPr>
            <w:t>Riyadh</w:t>
          </w:r>
        </w:smartTag>
        <w:r w:rsidRPr="009239A8">
          <w:rPr>
            <w:sz w:val="20"/>
            <w:szCs w:val="20"/>
          </w:rPr>
          <w:t xml:space="preserve">, </w:t>
        </w:r>
        <w:smartTag w:uri="urn:schemas-microsoft-com:office:smarttags" w:element="country-region">
          <w:r w:rsidRPr="009239A8">
            <w:rPr>
              <w:sz w:val="20"/>
              <w:szCs w:val="20"/>
            </w:rPr>
            <w:t>Saudi Arabia</w:t>
          </w:r>
        </w:smartTag>
      </w:smartTag>
      <w:r w:rsidRPr="009239A8">
        <w:rPr>
          <w:sz w:val="20"/>
          <w:szCs w:val="20"/>
        </w:rPr>
        <w:t>. Mycopathologia, 130: 79-87.</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Booth, C. (1977): </w:t>
      </w:r>
      <w:r w:rsidRPr="009239A8">
        <w:rPr>
          <w:i/>
          <w:iCs/>
          <w:sz w:val="20"/>
          <w:szCs w:val="20"/>
        </w:rPr>
        <w:t xml:space="preserve">Fusarium </w:t>
      </w:r>
      <w:r w:rsidRPr="009239A8">
        <w:rPr>
          <w:sz w:val="20"/>
          <w:szCs w:val="20"/>
        </w:rPr>
        <w:t xml:space="preserve">Laboratory Guide to The Identification of Major Species. Commonwealth Mycological Institute, Kew, </w:t>
      </w:r>
      <w:smartTag w:uri="urn:schemas-microsoft-com:office:smarttags" w:element="place">
        <w:smartTag w:uri="urn:schemas-microsoft-com:office:smarttags" w:element="City">
          <w:r w:rsidRPr="009239A8">
            <w:rPr>
              <w:sz w:val="20"/>
              <w:szCs w:val="20"/>
            </w:rPr>
            <w:t>Surrey</w:t>
          </w:r>
        </w:smartTag>
        <w:r w:rsidRPr="009239A8">
          <w:rPr>
            <w:sz w:val="20"/>
            <w:szCs w:val="20"/>
          </w:rPr>
          <w:t xml:space="preserve">, </w:t>
        </w:r>
        <w:smartTag w:uri="urn:schemas-microsoft-com:office:smarttags" w:element="country-region">
          <w:r w:rsidRPr="009239A8">
            <w:rPr>
              <w:sz w:val="20"/>
              <w:szCs w:val="20"/>
            </w:rPr>
            <w:t>England</w:t>
          </w:r>
        </w:smartTag>
      </w:smartTag>
      <w:r w:rsidRPr="009239A8">
        <w:rPr>
          <w:sz w:val="20"/>
          <w:szCs w:val="20"/>
        </w:rPr>
        <w:t>.</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Bronswijk, J. E., George-Gridelet, D. S. and Lustgraap, B. V. (1986): An evolution of biological methods in house dust allergen research. Allerg. Immunol. (Leipz), 24: 18-22.</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Chirila, M., Floresca, L., Popescu, M., Capetti, F. and Panait, F. (1984): The frequency of allergens implicated in bronchial asthma in different areas of </w:t>
      </w:r>
      <w:smartTag w:uri="urn:schemas-microsoft-com:office:smarttags" w:element="country-region">
        <w:smartTag w:uri="urn:schemas-microsoft-com:office:smarttags" w:element="place">
          <w:r w:rsidRPr="009239A8">
            <w:rPr>
              <w:sz w:val="20"/>
              <w:szCs w:val="20"/>
            </w:rPr>
            <w:t>Romania</w:t>
          </w:r>
        </w:smartTag>
      </w:smartTag>
      <w:r w:rsidRPr="009239A8">
        <w:rPr>
          <w:sz w:val="20"/>
          <w:szCs w:val="20"/>
        </w:rPr>
        <w:t>. Rev. Roum. Med. Intern. Med., 22: 141-146.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Cho, S. J., Ramachandran, G. J., Grengs, A. D., Ryan, L. E., Eberly and Adgate, J. L. (2008): </w:t>
      </w:r>
      <w:r w:rsidRPr="009239A8">
        <w:rPr>
          <w:sz w:val="20"/>
          <w:szCs w:val="20"/>
        </w:rPr>
        <w:lastRenderedPageBreak/>
        <w:t>Longitudinal evaluation of allergen and culturable fungal concentrations in inner-city households. J. Occup. Environ. Hyg., 5: 107-118.</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Chowdary, V.S., Vinaykumar, </w:t>
      </w:r>
      <w:r w:rsidR="00055F66" w:rsidRPr="009239A8">
        <w:rPr>
          <w:sz w:val="20"/>
          <w:szCs w:val="20"/>
        </w:rPr>
        <w:t>E.C.,</w:t>
      </w:r>
      <w:r w:rsidRPr="009239A8">
        <w:rPr>
          <w:sz w:val="20"/>
          <w:szCs w:val="20"/>
        </w:rPr>
        <w:t xml:space="preserve"> Rao, J. J., Ratna Rao, Ram Babu, K. and Rangamani V. (2003): A Study on Serum IgE and Eosinophils in Respiratory Allergy Patients. Indian J Allergy Asthma Immunol., 17(1</w:t>
      </w:r>
      <w:r w:rsidR="00055F66" w:rsidRPr="009239A8">
        <w:rPr>
          <w:sz w:val="20"/>
          <w:szCs w:val="20"/>
        </w:rPr>
        <w:t>):</w:t>
      </w:r>
      <w:r w:rsidRPr="009239A8">
        <w:rPr>
          <w:sz w:val="20"/>
          <w:szCs w:val="20"/>
        </w:rPr>
        <w:t xml:space="preserve"> 21-24.</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Crameri R, Zeller S, Glaser A. G., Vilhelmsson, M. and Rhyner C. (2009): Cross-reactivity among fungal allergens: a clinically relevant phenomenon? Mycoses, 52: 99-106.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Cvetnic, Z. and Pepeljnjak, S. (1997): Distribution and mycotoxin-producing ability of some fungal isolates from the air. </w:t>
      </w:r>
      <w:r w:rsidRPr="009239A8">
        <w:rPr>
          <w:i/>
          <w:iCs/>
          <w:sz w:val="20"/>
          <w:szCs w:val="20"/>
        </w:rPr>
        <w:t>Atmos Environ</w:t>
      </w:r>
      <w:r w:rsidRPr="009239A8">
        <w:rPr>
          <w:sz w:val="20"/>
          <w:szCs w:val="20"/>
        </w:rPr>
        <w:t>., 31: 491–495.</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De Blay, F., Casel, Colas, S., Spirlet F. and Pauli, G. (2000): Elimination of airborne allergens from the household environment. Rev. Mal. Respir., 17: 29-39.</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Domsch, K. H., W. Gams, W. and Anderson, T. H. (1980): Compendium of Soil Fungi. Academic Press, </w:t>
      </w:r>
      <w:smartTag w:uri="urn:schemas-microsoft-com:office:smarttags" w:element="City">
        <w:smartTag w:uri="urn:schemas-microsoft-com:office:smarttags" w:element="place">
          <w:r w:rsidRPr="009239A8">
            <w:rPr>
              <w:sz w:val="20"/>
              <w:szCs w:val="20"/>
            </w:rPr>
            <w:t>London</w:t>
          </w:r>
        </w:smartTag>
      </w:smartTag>
      <w:r w:rsidRPr="009239A8">
        <w:rPr>
          <w:sz w:val="20"/>
          <w:szCs w:val="20"/>
        </w:rPr>
        <w:t>.</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Ellis, M. B. (1971): Dematiaceous Hyphomycetes. Commonwealth Mycological Institute, Kew, </w:t>
      </w:r>
      <w:smartTag w:uri="urn:schemas-microsoft-com:office:smarttags" w:element="place">
        <w:smartTag w:uri="urn:schemas-microsoft-com:office:smarttags" w:element="City">
          <w:r w:rsidRPr="009239A8">
            <w:rPr>
              <w:sz w:val="20"/>
              <w:szCs w:val="20"/>
            </w:rPr>
            <w:t>Surrey</w:t>
          </w:r>
        </w:smartTag>
        <w:r w:rsidRPr="009239A8">
          <w:rPr>
            <w:sz w:val="20"/>
            <w:szCs w:val="20"/>
          </w:rPr>
          <w:t xml:space="preserve">, </w:t>
        </w:r>
        <w:smartTag w:uri="urn:schemas-microsoft-com:office:smarttags" w:element="country-region">
          <w:r w:rsidRPr="009239A8">
            <w:rPr>
              <w:sz w:val="20"/>
              <w:szCs w:val="20"/>
            </w:rPr>
            <w:t>England</w:t>
          </w:r>
        </w:smartTag>
      </w:smartTag>
      <w:r w:rsidRPr="009239A8">
        <w:rPr>
          <w:sz w:val="20"/>
          <w:szCs w:val="20"/>
        </w:rPr>
        <w:t>.</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Ellis, M. B. (1976): More Dematiaceous Hyphomycetes. Commonwealth Mycological Institute, Kew, </w:t>
      </w:r>
      <w:smartTag w:uri="urn:schemas-microsoft-com:office:smarttags" w:element="place">
        <w:smartTag w:uri="urn:schemas-microsoft-com:office:smarttags" w:element="City">
          <w:r w:rsidRPr="009239A8">
            <w:rPr>
              <w:sz w:val="20"/>
              <w:szCs w:val="20"/>
            </w:rPr>
            <w:t>Surrey</w:t>
          </w:r>
        </w:smartTag>
        <w:r w:rsidRPr="009239A8">
          <w:rPr>
            <w:sz w:val="20"/>
            <w:szCs w:val="20"/>
          </w:rPr>
          <w:t xml:space="preserve">, </w:t>
        </w:r>
        <w:smartTag w:uri="urn:schemas-microsoft-com:office:smarttags" w:element="country-region">
          <w:r w:rsidRPr="009239A8">
            <w:rPr>
              <w:sz w:val="20"/>
              <w:szCs w:val="20"/>
            </w:rPr>
            <w:t>England</w:t>
          </w:r>
        </w:smartTag>
      </w:smartTag>
      <w:r w:rsidRPr="009239A8">
        <w:rPr>
          <w:sz w:val="20"/>
          <w:szCs w:val="20"/>
        </w:rPr>
        <w:t>.</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Gravesen, S., Nielsen, P. A., Iversen, R. and Nielsen, K. F. (1999): Microfungal contamination of damp building- example of constructions and risk materials. EHP 1999 jun; 107 Suppl., 3: 505-508.</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Hashem Al-Sheikh (2008): Air-Borne Mycoflora in the Schools Environment in Hofuf, Al Hassa Province of </w:t>
      </w:r>
      <w:smartTag w:uri="urn:schemas-microsoft-com:office:smarttags" w:element="country-region">
        <w:smartTag w:uri="urn:schemas-microsoft-com:office:smarttags" w:element="place">
          <w:r w:rsidRPr="009239A8">
            <w:rPr>
              <w:sz w:val="20"/>
              <w:szCs w:val="20"/>
            </w:rPr>
            <w:t>Saudi Arabia</w:t>
          </w:r>
        </w:smartTag>
      </w:smartTag>
      <w:r w:rsidRPr="009239A8">
        <w:rPr>
          <w:sz w:val="20"/>
          <w:szCs w:val="20"/>
        </w:rPr>
        <w:t>. Saudi Journal of Biological Sciences. 15: 237-241.</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Hedayati, M. T., Arabzadehmoghadam, A. and </w:t>
      </w:r>
      <w:r w:rsidR="00055F66" w:rsidRPr="009239A8">
        <w:rPr>
          <w:sz w:val="20"/>
          <w:szCs w:val="20"/>
        </w:rPr>
        <w:t>Hajheydari, Z.</w:t>
      </w:r>
      <w:r w:rsidRPr="009239A8">
        <w:rPr>
          <w:sz w:val="20"/>
          <w:szCs w:val="20"/>
        </w:rPr>
        <w:t xml:space="preserve"> (2009): Specific IgE against </w:t>
      </w:r>
      <w:r w:rsidRPr="009239A8">
        <w:rPr>
          <w:i/>
          <w:iCs/>
          <w:sz w:val="20"/>
          <w:szCs w:val="20"/>
        </w:rPr>
        <w:t>Alternaria alternata</w:t>
      </w:r>
      <w:r w:rsidRPr="009239A8">
        <w:rPr>
          <w:sz w:val="20"/>
          <w:szCs w:val="20"/>
        </w:rPr>
        <w:t xml:space="preserve"> in atopic dermatitis and asthma patients. European Review for Medical and Pharmacological Sciences. 13: 187-191.</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Horner, W. E., Helbling, A., Salvaggio J.E. and Lehrer, S.B. (1995): Fungal Allergens. </w:t>
      </w:r>
      <w:r w:rsidRPr="009239A8">
        <w:rPr>
          <w:i/>
          <w:iCs/>
          <w:sz w:val="20"/>
          <w:szCs w:val="20"/>
        </w:rPr>
        <w:t xml:space="preserve">Clin. Microbiol. Rev., </w:t>
      </w:r>
      <w:r w:rsidRPr="009239A8">
        <w:rPr>
          <w:sz w:val="20"/>
          <w:szCs w:val="20"/>
        </w:rPr>
        <w:t>8: 161–79.</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Krillis, S., Baldo, B. A. and Basten, A. (1985): Analysis of allergen-specific Immunolobin E response in 341 allergic </w:t>
      </w:r>
      <w:r w:rsidR="00055F66" w:rsidRPr="009239A8">
        <w:rPr>
          <w:sz w:val="20"/>
          <w:szCs w:val="20"/>
        </w:rPr>
        <w:t>patients’</w:t>
      </w:r>
      <w:r w:rsidRPr="009239A8">
        <w:rPr>
          <w:sz w:val="20"/>
          <w:szCs w:val="20"/>
        </w:rPr>
        <w:t xml:space="preserve"> association </w:t>
      </w:r>
      <w:r w:rsidRPr="009239A8">
        <w:rPr>
          <w:sz w:val="20"/>
          <w:szCs w:val="20"/>
        </w:rPr>
        <w:lastRenderedPageBreak/>
        <w:t xml:space="preserve">between allergens and between allergens groups and clinical diagnosis. Aust. </w:t>
      </w:r>
      <w:smartTag w:uri="urn:schemas-microsoft-com:office:smarttags" w:element="country-region">
        <w:smartTag w:uri="urn:schemas-microsoft-com:office:smarttags" w:element="place">
          <w:r w:rsidRPr="009239A8">
            <w:rPr>
              <w:sz w:val="20"/>
              <w:szCs w:val="20"/>
            </w:rPr>
            <w:t>New Zealand</w:t>
          </w:r>
        </w:smartTag>
      </w:smartTag>
      <w:r w:rsidRPr="009239A8">
        <w:rPr>
          <w:sz w:val="20"/>
          <w:szCs w:val="20"/>
        </w:rPr>
        <w:t xml:space="preserve"> J. Med., 15: 421-426.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Kuhn, D. M. and Ghannoum, M. A. (2003): Indoor mold, toxigenic fungi and </w:t>
      </w:r>
      <w:r w:rsidRPr="009239A8">
        <w:rPr>
          <w:i/>
          <w:iCs/>
          <w:sz w:val="20"/>
          <w:szCs w:val="20"/>
        </w:rPr>
        <w:t>Stachybotrys</w:t>
      </w:r>
      <w:r w:rsidRPr="009239A8">
        <w:rPr>
          <w:sz w:val="20"/>
          <w:szCs w:val="20"/>
        </w:rPr>
        <w:t xml:space="preserve"> </w:t>
      </w:r>
      <w:r w:rsidRPr="009239A8">
        <w:rPr>
          <w:i/>
          <w:iCs/>
          <w:sz w:val="20"/>
          <w:szCs w:val="20"/>
        </w:rPr>
        <w:t>chartarum</w:t>
      </w:r>
      <w:r w:rsidRPr="009239A8">
        <w:rPr>
          <w:sz w:val="20"/>
          <w:szCs w:val="20"/>
        </w:rPr>
        <w:t>: Infectious disease perspective. Clin. Microbiol. Rev., 16: 144-172.</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Mori, M., Ogami, Y., and Takashashi, T. (1985): Microbial contamination of carpet dust in private houses. J. Antibact. Antifung. Agents. 13: 109-117.</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Morton, F. J. and Smith, G. (1963): The Genus </w:t>
      </w:r>
      <w:r w:rsidRPr="009239A8">
        <w:rPr>
          <w:i/>
          <w:iCs/>
          <w:sz w:val="20"/>
          <w:szCs w:val="20"/>
        </w:rPr>
        <w:t xml:space="preserve">Scopulariopsis, Microascus </w:t>
      </w:r>
      <w:r w:rsidRPr="009239A8">
        <w:rPr>
          <w:sz w:val="20"/>
          <w:szCs w:val="20"/>
        </w:rPr>
        <w:t xml:space="preserve">and </w:t>
      </w:r>
      <w:r w:rsidRPr="009239A8">
        <w:rPr>
          <w:i/>
          <w:iCs/>
          <w:sz w:val="20"/>
          <w:szCs w:val="20"/>
        </w:rPr>
        <w:t>Doratomyces</w:t>
      </w:r>
      <w:r w:rsidRPr="009239A8">
        <w:rPr>
          <w:sz w:val="20"/>
          <w:szCs w:val="20"/>
        </w:rPr>
        <w:t xml:space="preserve">, Mycological Paper, 86: 1-96. Commonwealth Mycological Institute, Kew, </w:t>
      </w:r>
      <w:smartTag w:uri="urn:schemas-microsoft-com:office:smarttags" w:element="place">
        <w:smartTag w:uri="urn:schemas-microsoft-com:office:smarttags" w:element="City">
          <w:r w:rsidRPr="009239A8">
            <w:rPr>
              <w:sz w:val="20"/>
              <w:szCs w:val="20"/>
            </w:rPr>
            <w:t>Surrey</w:t>
          </w:r>
        </w:smartTag>
        <w:r w:rsidRPr="009239A8">
          <w:rPr>
            <w:sz w:val="20"/>
            <w:szCs w:val="20"/>
          </w:rPr>
          <w:t xml:space="preserve">, </w:t>
        </w:r>
        <w:smartTag w:uri="urn:schemas-microsoft-com:office:smarttags" w:element="country-region">
          <w:r w:rsidRPr="009239A8">
            <w:rPr>
              <w:sz w:val="20"/>
              <w:szCs w:val="20"/>
            </w:rPr>
            <w:t>England</w:t>
          </w:r>
        </w:smartTag>
      </w:smartTag>
      <w:r w:rsidRPr="009239A8">
        <w:rPr>
          <w:sz w:val="20"/>
          <w:szCs w:val="20"/>
        </w:rPr>
        <w:t>.</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Moubasher, A. H. (1993): Soil Fungi in </w:t>
      </w:r>
      <w:smartTag w:uri="urn:schemas-microsoft-com:office:smarttags" w:element="country-region">
        <w:r w:rsidRPr="009239A8">
          <w:rPr>
            <w:sz w:val="20"/>
            <w:szCs w:val="20"/>
          </w:rPr>
          <w:t>Qatar</w:t>
        </w:r>
      </w:smartTag>
      <w:r w:rsidRPr="009239A8">
        <w:rPr>
          <w:sz w:val="20"/>
          <w:szCs w:val="20"/>
        </w:rPr>
        <w:t xml:space="preserve"> and Other Arab </w:t>
      </w:r>
      <w:r w:rsidR="00055F66" w:rsidRPr="009239A8">
        <w:rPr>
          <w:sz w:val="20"/>
          <w:szCs w:val="20"/>
        </w:rPr>
        <w:t>Countries. The</w:t>
      </w:r>
      <w:r w:rsidRPr="009239A8">
        <w:rPr>
          <w:sz w:val="20"/>
          <w:szCs w:val="20"/>
        </w:rPr>
        <w:t xml:space="preserve"> Scientific and </w:t>
      </w:r>
      <w:smartTag w:uri="urn:schemas-microsoft-com:office:smarttags" w:element="PlaceName">
        <w:r w:rsidRPr="009239A8">
          <w:rPr>
            <w:sz w:val="20"/>
            <w:szCs w:val="20"/>
          </w:rPr>
          <w:t>Applied</w:t>
        </w:r>
      </w:smartTag>
      <w:r w:rsidRPr="009239A8">
        <w:rPr>
          <w:sz w:val="20"/>
          <w:szCs w:val="20"/>
        </w:rPr>
        <w:t xml:space="preserve"> </w:t>
      </w:r>
      <w:smartTag w:uri="urn:schemas-microsoft-com:office:smarttags" w:element="PlaceName">
        <w:r w:rsidRPr="009239A8">
          <w:rPr>
            <w:sz w:val="20"/>
            <w:szCs w:val="20"/>
          </w:rPr>
          <w:t>Research</w:t>
        </w:r>
      </w:smartTag>
      <w:r w:rsidRPr="009239A8">
        <w:rPr>
          <w:sz w:val="20"/>
          <w:szCs w:val="20"/>
        </w:rPr>
        <w:t xml:space="preserve"> </w:t>
      </w:r>
      <w:smartTag w:uri="urn:schemas-microsoft-com:office:smarttags" w:element="PlaceType">
        <w:r w:rsidRPr="009239A8">
          <w:rPr>
            <w:sz w:val="20"/>
            <w:szCs w:val="20"/>
          </w:rPr>
          <w:t>Center</w:t>
        </w:r>
      </w:smartTag>
      <w:r w:rsidRPr="009239A8">
        <w:rPr>
          <w:sz w:val="20"/>
          <w:szCs w:val="20"/>
        </w:rPr>
        <w:t xml:space="preserve">, </w:t>
      </w:r>
      <w:smartTag w:uri="urn:schemas-microsoft-com:office:smarttags" w:element="PlaceType">
        <w:r w:rsidRPr="009239A8">
          <w:rPr>
            <w:sz w:val="20"/>
            <w:szCs w:val="20"/>
          </w:rPr>
          <w:t>University</w:t>
        </w:r>
      </w:smartTag>
      <w:r w:rsidRPr="009239A8">
        <w:rPr>
          <w:sz w:val="20"/>
          <w:szCs w:val="20"/>
        </w:rPr>
        <w:t xml:space="preserve"> of </w:t>
      </w:r>
      <w:smartTag w:uri="urn:schemas-microsoft-com:office:smarttags" w:element="PlaceName">
        <w:r w:rsidRPr="009239A8">
          <w:rPr>
            <w:sz w:val="20"/>
            <w:szCs w:val="20"/>
          </w:rPr>
          <w:t>Qatar</w:t>
        </w:r>
      </w:smartTag>
      <w:r w:rsidRPr="009239A8">
        <w:rPr>
          <w:sz w:val="20"/>
          <w:szCs w:val="20"/>
        </w:rPr>
        <w:t xml:space="preserve">, </w:t>
      </w:r>
      <w:smartTag w:uri="urn:schemas-microsoft-com:office:smarttags" w:element="place">
        <w:smartTag w:uri="urn:schemas-microsoft-com:office:smarttags" w:element="City">
          <w:r w:rsidRPr="009239A8">
            <w:rPr>
              <w:sz w:val="20"/>
              <w:szCs w:val="20"/>
            </w:rPr>
            <w:t>Doha</w:t>
          </w:r>
        </w:smartTag>
        <w:r w:rsidRPr="009239A8">
          <w:rPr>
            <w:sz w:val="20"/>
            <w:szCs w:val="20"/>
          </w:rPr>
          <w:t xml:space="preserve">, </w:t>
        </w:r>
        <w:smartTag w:uri="urn:schemas-microsoft-com:office:smarttags" w:element="country-region">
          <w:r w:rsidRPr="009239A8">
            <w:rPr>
              <w:sz w:val="20"/>
              <w:szCs w:val="20"/>
            </w:rPr>
            <w:t>Qatar</w:t>
          </w:r>
        </w:smartTag>
      </w:smartTag>
      <w:r w:rsidRPr="009239A8">
        <w:rPr>
          <w:sz w:val="20"/>
          <w:szCs w:val="20"/>
        </w:rPr>
        <w:t>.</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Murat, T., Ülknur T., Gamze, AN, Nebe, K. and Faruk, A. (2006): Identification and Seasonal Distribution of Airborne Fungi in Urban Outdoor Air in an Eastern </w:t>
      </w:r>
      <w:smartTag w:uri="urn:schemas-microsoft-com:office:smarttags" w:element="place">
        <w:smartTag w:uri="urn:schemas-microsoft-com:office:smarttags" w:element="PlaceName">
          <w:r w:rsidRPr="009239A8">
            <w:rPr>
              <w:sz w:val="20"/>
              <w:szCs w:val="20"/>
            </w:rPr>
            <w:t>Black Sea</w:t>
          </w:r>
        </w:smartTag>
        <w:r w:rsidRPr="009239A8">
          <w:rPr>
            <w:sz w:val="20"/>
            <w:szCs w:val="20"/>
          </w:rPr>
          <w:t xml:space="preserve"> </w:t>
        </w:r>
        <w:smartTag w:uri="urn:schemas-microsoft-com:office:smarttags" w:element="PlaceName">
          <w:r w:rsidRPr="009239A8">
            <w:rPr>
              <w:sz w:val="20"/>
              <w:szCs w:val="20"/>
            </w:rPr>
            <w:t>Turkish</w:t>
          </w:r>
        </w:smartTag>
        <w:r w:rsidRPr="009239A8">
          <w:rPr>
            <w:sz w:val="20"/>
            <w:szCs w:val="20"/>
          </w:rPr>
          <w:t xml:space="preserve"> </w:t>
        </w:r>
        <w:smartTag w:uri="urn:schemas-microsoft-com:office:smarttags" w:element="PlaceType">
          <w:r w:rsidRPr="009239A8">
            <w:rPr>
              <w:sz w:val="20"/>
              <w:szCs w:val="20"/>
            </w:rPr>
            <w:t>Town</w:t>
          </w:r>
        </w:smartTag>
      </w:smartTag>
      <w:r w:rsidRPr="009239A8">
        <w:rPr>
          <w:sz w:val="20"/>
          <w:szCs w:val="20"/>
        </w:rPr>
        <w:t>. Turk J Med Sci., 36: 31-36.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Pastorello, E. A., Incorvaia, C.,  Pravettoni, V., Bonini, S., Canonica, G.W. and Ortolani, C. (1991): A multicentric study on sensitivity and specificity of a new in vitro test for measurement of IgE antibodies. Ann Allergy, 67: 365-370.</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Pieckova, E. and Wilkins, K. (2004): Airway toxicity of house dust and its fungal composition. Ann. Agric. Environ. Med., 11: 67-73.</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Pitt, J. I. (1985): A Laboratory Guide to Common </w:t>
      </w:r>
      <w:r w:rsidRPr="009239A8">
        <w:rPr>
          <w:i/>
          <w:iCs/>
          <w:sz w:val="20"/>
          <w:szCs w:val="20"/>
        </w:rPr>
        <w:t xml:space="preserve">Penicillium </w:t>
      </w:r>
      <w:r w:rsidRPr="009239A8">
        <w:rPr>
          <w:sz w:val="20"/>
          <w:szCs w:val="20"/>
        </w:rPr>
        <w:t>Species. Commonwealth Scientific and Industrial Research Organization, Division of Food Research, P: 184.</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Porter, P., </w:t>
      </w:r>
      <w:smartTag w:uri="urn:schemas-microsoft-com:office:smarttags" w:element="place">
        <w:smartTag w:uri="urn:schemas-microsoft-com:office:smarttags" w:element="City">
          <w:r w:rsidRPr="009239A8">
            <w:rPr>
              <w:sz w:val="20"/>
              <w:szCs w:val="20"/>
            </w:rPr>
            <w:t>Susarla</w:t>
          </w:r>
        </w:smartTag>
        <w:r w:rsidRPr="009239A8">
          <w:rPr>
            <w:sz w:val="20"/>
            <w:szCs w:val="20"/>
          </w:rPr>
          <w:t xml:space="preserve">, </w:t>
        </w:r>
        <w:smartTag w:uri="urn:schemas-microsoft-com:office:smarttags" w:element="State">
          <w:r w:rsidRPr="009239A8">
            <w:rPr>
              <w:sz w:val="20"/>
              <w:szCs w:val="20"/>
            </w:rPr>
            <w:t>S.C.</w:t>
          </w:r>
        </w:smartTag>
      </w:smartTag>
      <w:r w:rsidRPr="009239A8">
        <w:rPr>
          <w:sz w:val="20"/>
          <w:szCs w:val="20"/>
        </w:rPr>
        <w:t>, Polikepahad, S., Qian, Y. and Hampton, J. (2009): Link between allergic asthma and airway mucosal infection suggested by proteinase-secreting household fungi. Mucosal. Immunol., 2: 504-517.</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Raper, K. B. and Fennell, D. J. (1965): The Genus </w:t>
      </w:r>
      <w:r w:rsidRPr="009239A8">
        <w:rPr>
          <w:i/>
          <w:iCs/>
          <w:sz w:val="20"/>
          <w:szCs w:val="20"/>
        </w:rPr>
        <w:t>Aspergillus</w:t>
      </w:r>
      <w:r w:rsidRPr="009239A8">
        <w:rPr>
          <w:sz w:val="20"/>
          <w:szCs w:val="20"/>
        </w:rPr>
        <w:t xml:space="preserve">. Williams and Wilkins Baltimore, </w:t>
      </w:r>
      <w:smartTag w:uri="urn:schemas-microsoft-com:office:smarttags" w:element="country-region">
        <w:smartTag w:uri="urn:schemas-microsoft-com:office:smarttags" w:element="place">
          <w:r w:rsidRPr="009239A8">
            <w:rPr>
              <w:sz w:val="20"/>
              <w:szCs w:val="20"/>
            </w:rPr>
            <w:t>USA</w:t>
          </w:r>
        </w:smartTag>
      </w:smartTag>
      <w:r w:rsidRPr="009239A8">
        <w:rPr>
          <w:sz w:val="20"/>
          <w:szCs w:val="20"/>
        </w:rPr>
        <w:t>.</w:t>
      </w:r>
    </w:p>
    <w:p w:rsidR="00F51FD1" w:rsidRPr="009239A8" w:rsidRDefault="00055F66" w:rsidP="00F51FD1">
      <w:pPr>
        <w:numPr>
          <w:ilvl w:val="0"/>
          <w:numId w:val="5"/>
        </w:numPr>
        <w:spacing w:line="260" w:lineRule="exact"/>
        <w:ind w:left="426" w:rightChars="35" w:right="73" w:hanging="426"/>
        <w:rPr>
          <w:sz w:val="20"/>
          <w:szCs w:val="20"/>
        </w:rPr>
      </w:pPr>
      <w:r w:rsidRPr="009239A8">
        <w:rPr>
          <w:sz w:val="20"/>
          <w:szCs w:val="20"/>
        </w:rPr>
        <w:t>Rifai,</w:t>
      </w:r>
      <w:r w:rsidR="00F51FD1" w:rsidRPr="009239A8">
        <w:rPr>
          <w:sz w:val="20"/>
          <w:szCs w:val="20"/>
        </w:rPr>
        <w:t xml:space="preserve"> M. A. (1969): A Revision of The Genus </w:t>
      </w:r>
      <w:r w:rsidR="00F51FD1" w:rsidRPr="009239A8">
        <w:rPr>
          <w:i/>
          <w:iCs/>
          <w:sz w:val="20"/>
          <w:szCs w:val="20"/>
        </w:rPr>
        <w:t>Trichoderma</w:t>
      </w:r>
      <w:r w:rsidR="00F51FD1" w:rsidRPr="009239A8">
        <w:rPr>
          <w:sz w:val="20"/>
          <w:szCs w:val="20"/>
        </w:rPr>
        <w:t>. Mycological Paper., 116: 156.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Rijekaert, G. (1981): Exposure to fungi of modern houses. Allergy. 36: 277-278.</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Ruest, K. (2004): House dust: A useful tool to </w:t>
      </w:r>
      <w:r w:rsidRPr="009239A8">
        <w:rPr>
          <w:sz w:val="20"/>
          <w:szCs w:val="20"/>
        </w:rPr>
        <w:lastRenderedPageBreak/>
        <w:t xml:space="preserve">assess microbial contamination in homes. Research Highlight Technical Series 2004. </w:t>
      </w:r>
      <w:hyperlink r:id="rId18" w:history="1">
        <w:r w:rsidRPr="009239A8">
          <w:rPr>
            <w:rStyle w:val="Hyperlink"/>
            <w:sz w:val="20"/>
            <w:szCs w:val="20"/>
          </w:rPr>
          <w:t>www.cmhc-schl.gc.ca/odpub/pdf/63407.pdf</w:t>
        </w:r>
      </w:hyperlink>
      <w:r w:rsidRPr="009239A8">
        <w:rPr>
          <w:sz w:val="20"/>
          <w:szCs w:val="20"/>
        </w:rPr>
        <w:t>.</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Saad, R. R. and El-Gindy, A.A. (1990): Fungi of the house dust in </w:t>
      </w:r>
      <w:smartTag w:uri="urn:schemas-microsoft-com:office:smarttags" w:element="place">
        <w:smartTag w:uri="urn:schemas-microsoft-com:office:smarttags" w:element="City">
          <w:r w:rsidRPr="009239A8">
            <w:rPr>
              <w:sz w:val="20"/>
              <w:szCs w:val="20"/>
            </w:rPr>
            <w:t>Riyadh</w:t>
          </w:r>
        </w:smartTag>
        <w:r w:rsidRPr="009239A8">
          <w:rPr>
            <w:sz w:val="20"/>
            <w:szCs w:val="20"/>
          </w:rPr>
          <w:t xml:space="preserve">, </w:t>
        </w:r>
        <w:smartTag w:uri="urn:schemas-microsoft-com:office:smarttags" w:element="country-region">
          <w:r w:rsidRPr="009239A8">
            <w:rPr>
              <w:sz w:val="20"/>
              <w:szCs w:val="20"/>
            </w:rPr>
            <w:t>Saudi Arabia</w:t>
          </w:r>
        </w:smartTag>
      </w:smartTag>
      <w:r w:rsidRPr="009239A8">
        <w:rPr>
          <w:sz w:val="20"/>
          <w:szCs w:val="20"/>
        </w:rPr>
        <w:t>. Zentrabl Microbiol., 145: 65-68.</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Salo, P. M., Yin, M., Arbes, S. J., Cohn R.D. and Sever M. (2005): Dustborne </w:t>
      </w:r>
      <w:r w:rsidRPr="009239A8">
        <w:rPr>
          <w:i/>
          <w:iCs/>
          <w:sz w:val="20"/>
          <w:szCs w:val="20"/>
        </w:rPr>
        <w:t>Alternaria</w:t>
      </w:r>
      <w:r w:rsidRPr="009239A8">
        <w:rPr>
          <w:sz w:val="20"/>
          <w:szCs w:val="20"/>
        </w:rPr>
        <w:t xml:space="preserve"> </w:t>
      </w:r>
      <w:r w:rsidRPr="009239A8">
        <w:rPr>
          <w:i/>
          <w:iCs/>
          <w:sz w:val="20"/>
          <w:szCs w:val="20"/>
        </w:rPr>
        <w:t>alternate</w:t>
      </w:r>
      <w:r w:rsidRPr="009239A8">
        <w:rPr>
          <w:sz w:val="20"/>
          <w:szCs w:val="20"/>
        </w:rPr>
        <w:t xml:space="preserve"> antigens in US homes: Results from the national survey of lead and allergens in housing. J. Allergy Clin. Immunol., 116: 623-629.</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Scalabrin, M. F. Deolinda, Sevim Bavbek,  Matthew, S. Perzanowski, Barbara B. Wilson, Thomas A. E. Platts-Mills, and Lisa M. Wheatley (1999): Use of specific IgE in assessing the relevance of fungal and dust mite allergens to atopic dermatitis: A comparison with asthmatic and non-asthmatic control subjects. J. Allergy Clin. Immunol., 104:1273-1279.</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Schoeber, G. (1988): The influence of the water </w:t>
      </w:r>
      <w:r w:rsidRPr="009239A8">
        <w:rPr>
          <w:sz w:val="20"/>
          <w:szCs w:val="20"/>
        </w:rPr>
        <w:lastRenderedPageBreak/>
        <w:t>activity of culture media on the isolation of fungi from house dust. Mycoses. 31: 255-258.</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Simon-Nobbe, B., Denk, U., Poll, V., Rid, R. and Breitenbach M. (2008): The spectrum of fungal allergy. Int Arch Allergy Immunol., 145:58-86.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Su, J. H., Rotnitzky, A., Burge, H. A.  and Spengler, J. D. (1992): Examination of fungi in domestic interiors by using factors analysis: correlations and associations with home factors. </w:t>
      </w:r>
      <w:r w:rsidRPr="009239A8">
        <w:rPr>
          <w:i/>
          <w:iCs/>
          <w:sz w:val="20"/>
          <w:szCs w:val="20"/>
        </w:rPr>
        <w:t>Appl Environ. Microbiol</w:t>
      </w:r>
      <w:r w:rsidRPr="009239A8">
        <w:rPr>
          <w:sz w:val="20"/>
          <w:szCs w:val="20"/>
        </w:rPr>
        <w:t>., 58: 181- 186.</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 xml:space="preserve">Woodcock, A. A., Steel, N., </w:t>
      </w:r>
      <w:smartTag w:uri="urn:schemas-microsoft-com:office:smarttags" w:element="City">
        <w:smartTag w:uri="urn:schemas-microsoft-com:office:smarttags" w:element="place">
          <w:r w:rsidRPr="009239A8">
            <w:rPr>
              <w:sz w:val="20"/>
              <w:szCs w:val="20"/>
            </w:rPr>
            <w:t>Moore</w:t>
          </w:r>
        </w:smartTag>
      </w:smartTag>
      <w:r w:rsidRPr="009239A8">
        <w:rPr>
          <w:sz w:val="20"/>
          <w:szCs w:val="20"/>
        </w:rPr>
        <w:t>, C. B., Howard, S.J., Custovic, A. and Denning, D. W. (2006): Fungal contamination of bedding. Allergy. 61: 140-142.</w:t>
      </w:r>
    </w:p>
    <w:p w:rsidR="00F51FD1" w:rsidRPr="009239A8" w:rsidRDefault="00F51FD1" w:rsidP="00F51FD1">
      <w:pPr>
        <w:numPr>
          <w:ilvl w:val="0"/>
          <w:numId w:val="5"/>
        </w:numPr>
        <w:spacing w:line="260" w:lineRule="exact"/>
        <w:ind w:left="426" w:rightChars="35" w:right="73" w:hanging="426"/>
        <w:rPr>
          <w:sz w:val="20"/>
          <w:szCs w:val="20"/>
        </w:rPr>
      </w:pPr>
      <w:r w:rsidRPr="009239A8">
        <w:rPr>
          <w:sz w:val="20"/>
          <w:szCs w:val="20"/>
        </w:rPr>
        <w:t>Yman L. (2001): Standardizati</w:t>
      </w:r>
      <w:r w:rsidR="00607817">
        <w:rPr>
          <w:sz w:val="20"/>
          <w:szCs w:val="20"/>
        </w:rPr>
        <w:t>on of in vitro methods. Allergy</w:t>
      </w:r>
      <w:r w:rsidRPr="009239A8">
        <w:rPr>
          <w:sz w:val="20"/>
          <w:szCs w:val="20"/>
        </w:rPr>
        <w:t>, 56: 70-74.</w:t>
      </w:r>
    </w:p>
    <w:p w:rsidR="00F51FD1" w:rsidRPr="009239A8" w:rsidRDefault="00F51FD1" w:rsidP="006443A1">
      <w:pPr>
        <w:spacing w:line="260" w:lineRule="exact"/>
        <w:ind w:left="500" w:rightChars="35" w:right="73" w:hangingChars="250" w:hanging="500"/>
        <w:rPr>
          <w:sz w:val="20"/>
          <w:szCs w:val="20"/>
        </w:rPr>
      </w:pPr>
    </w:p>
    <w:p w:rsidR="0024765E" w:rsidRPr="009239A8" w:rsidRDefault="0024765E">
      <w:pPr>
        <w:spacing w:line="240" w:lineRule="exact"/>
        <w:rPr>
          <w:sz w:val="20"/>
          <w:szCs w:val="20"/>
        </w:rPr>
      </w:pPr>
    </w:p>
    <w:p w:rsidR="00F51FD1" w:rsidRPr="009239A8" w:rsidRDefault="00F51FD1">
      <w:pPr>
        <w:spacing w:line="240" w:lineRule="exact"/>
        <w:rPr>
          <w:sz w:val="20"/>
          <w:szCs w:val="20"/>
        </w:rPr>
      </w:pPr>
    </w:p>
    <w:p w:rsidR="0024765E" w:rsidRPr="009239A8" w:rsidRDefault="0024765E">
      <w:pPr>
        <w:spacing w:line="240" w:lineRule="exact"/>
        <w:rPr>
          <w:sz w:val="20"/>
          <w:szCs w:val="20"/>
        </w:rPr>
        <w:sectPr w:rsidR="0024765E" w:rsidRPr="009239A8" w:rsidSect="009239A8">
          <w:footerReference w:type="default" r:id="rId19"/>
          <w:type w:val="continuous"/>
          <w:pgSz w:w="12242" w:h="15842" w:code="1"/>
          <w:pgMar w:top="1440" w:right="1440" w:bottom="1440" w:left="1440" w:header="720" w:footer="720" w:gutter="0"/>
          <w:cols w:num="2" w:space="300"/>
          <w:docGrid w:linePitch="312"/>
        </w:sectPr>
      </w:pPr>
    </w:p>
    <w:p w:rsidR="0024765E" w:rsidRPr="009239A8" w:rsidRDefault="0024765E">
      <w:pPr>
        <w:rPr>
          <w:sz w:val="20"/>
          <w:szCs w:val="20"/>
        </w:rPr>
      </w:pPr>
    </w:p>
    <w:p w:rsidR="002A7BC1" w:rsidRPr="009239A8" w:rsidRDefault="002A7BC1">
      <w:pPr>
        <w:rPr>
          <w:sz w:val="20"/>
          <w:szCs w:val="20"/>
        </w:rPr>
      </w:pPr>
    </w:p>
    <w:p w:rsidR="002A7BC1" w:rsidRPr="009239A8" w:rsidRDefault="00C65E03" w:rsidP="002A7BC1">
      <w:pPr>
        <w:rPr>
          <w:sz w:val="20"/>
          <w:szCs w:val="20"/>
        </w:rPr>
      </w:pPr>
      <w:r>
        <w:rPr>
          <w:rFonts w:hint="eastAsia"/>
          <w:sz w:val="20"/>
          <w:szCs w:val="20"/>
        </w:rPr>
        <w:t>8</w:t>
      </w:r>
      <w:r>
        <w:rPr>
          <w:sz w:val="20"/>
          <w:szCs w:val="20"/>
        </w:rPr>
        <w:t>/</w:t>
      </w:r>
      <w:r>
        <w:rPr>
          <w:rFonts w:hint="eastAsia"/>
          <w:sz w:val="20"/>
          <w:szCs w:val="20"/>
        </w:rPr>
        <w:t>24</w:t>
      </w:r>
      <w:r w:rsidR="002A7BC1" w:rsidRPr="009239A8">
        <w:rPr>
          <w:sz w:val="20"/>
          <w:szCs w:val="20"/>
        </w:rPr>
        <w:t>/2011</w:t>
      </w:r>
    </w:p>
    <w:p w:rsidR="002A7BC1" w:rsidRPr="009239A8" w:rsidRDefault="002A7BC1">
      <w:pPr>
        <w:rPr>
          <w:sz w:val="20"/>
          <w:szCs w:val="20"/>
        </w:rPr>
      </w:pPr>
    </w:p>
    <w:sectPr w:rsidR="002A7BC1" w:rsidRPr="009239A8" w:rsidSect="009239A8">
      <w:type w:val="continuous"/>
      <w:pgSz w:w="12242" w:h="15842" w:code="1"/>
      <w:pgMar w:top="1440" w:right="1440" w:bottom="1440" w:left="1440" w:header="720" w:footer="720"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80" w:rsidRDefault="003C7480">
      <w:r>
        <w:separator/>
      </w:r>
    </w:p>
  </w:endnote>
  <w:endnote w:type="continuationSeparator" w:id="0">
    <w:p w:rsidR="003C7480" w:rsidRDefault="003C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 w:name="FangSong_GB2312">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32" w:rsidRDefault="004C3E32" w:rsidP="00B37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E32" w:rsidRDefault="004C3E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32" w:rsidRDefault="004C3E32" w:rsidP="00B37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B30">
      <w:rPr>
        <w:rStyle w:val="PageNumber"/>
        <w:noProof/>
      </w:rPr>
      <w:t>27</w:t>
    </w:r>
    <w:r>
      <w:rPr>
        <w:rStyle w:val="PageNumber"/>
      </w:rPr>
      <w:fldChar w:fldCharType="end"/>
    </w:r>
  </w:p>
  <w:p w:rsidR="004C3E32" w:rsidRDefault="004C3E32">
    <w:pPr>
      <w:pStyle w:val="Footer"/>
      <w:jc w:val="center"/>
    </w:pPr>
    <w:hyperlink r:id="rId1" w:history="1">
      <w:r w:rsidRPr="00CC3CF9">
        <w:rPr>
          <w:rStyle w:val="Hyperlink"/>
          <w:sz w:val="20"/>
          <w:szCs w:val="20"/>
        </w:rPr>
        <w:t>http://www.sciencepub.net/nature</w:t>
      </w:r>
    </w:hyperlink>
    <w:r>
      <w:rPr>
        <w:color w:val="000000"/>
        <w:sz w:val="20"/>
        <w:szCs w:val="20"/>
      </w:rPr>
      <w:t xml:space="preserve"> </w:t>
    </w:r>
    <w:r>
      <w:rPr>
        <w:color w:val="000000"/>
        <w:sz w:val="20"/>
        <w:szCs w:val="20"/>
      </w:rPr>
      <w:tab/>
    </w:r>
    <w:r>
      <w:rPr>
        <w:color w:val="000000"/>
        <w:sz w:val="20"/>
        <w:szCs w:val="20"/>
      </w:rPr>
      <w:tab/>
    </w:r>
    <w:hyperlink r:id="rId2" w:history="1">
      <w:r w:rsidRPr="00CC3CF9">
        <w:rPr>
          <w:rStyle w:val="Hyperlink"/>
          <w:bCs/>
          <w:sz w:val="20"/>
        </w:rPr>
        <w:t>naturesciencej@gmail.com</w:t>
      </w:r>
    </w:hyperlink>
    <w:r>
      <w:rPr>
        <w:bCs/>
        <w:sz w:val="20"/>
      </w:rPr>
      <w:t xml:space="preserve">   </w:t>
    </w:r>
    <w:r>
      <w:rPr>
        <w:rFonts w:hint="eastAsia"/>
        <w:bCs/>
        <w:sz w:val="20"/>
      </w:rPr>
      <w:t xml:space="preserve">  </w:t>
    </w:r>
    <w:r>
      <w:rPr>
        <w:bCs/>
        <w:sz w:val="20"/>
      </w:rPr>
      <w:t xml:space="preserve">  </w:t>
    </w:r>
    <w:r>
      <w:rPr>
        <w:rFonts w:hint="eastAsia"/>
        <w:bCs/>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32" w:rsidRDefault="004C3E3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32" w:rsidRDefault="004C3E32" w:rsidP="00B37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2B30">
      <w:rPr>
        <w:rStyle w:val="PageNumber"/>
        <w:noProof/>
      </w:rPr>
      <w:t>36</w:t>
    </w:r>
    <w:r>
      <w:rPr>
        <w:rStyle w:val="PageNumber"/>
      </w:rPr>
      <w:fldChar w:fldCharType="end"/>
    </w:r>
  </w:p>
  <w:p w:rsidR="004C3E32" w:rsidRDefault="004C3E32" w:rsidP="00A61584">
    <w:pPr>
      <w:pStyle w:val="Footer"/>
      <w:jc w:val="center"/>
    </w:pPr>
    <w:hyperlink r:id="rId1" w:history="1">
      <w:r w:rsidRPr="00CC3CF9">
        <w:rPr>
          <w:rStyle w:val="Hyperlink"/>
          <w:sz w:val="20"/>
          <w:szCs w:val="20"/>
        </w:rPr>
        <w:t>http://www.sciencepub.net/nature</w:t>
      </w:r>
    </w:hyperlink>
    <w:r>
      <w:rPr>
        <w:color w:val="000000"/>
        <w:sz w:val="20"/>
        <w:szCs w:val="20"/>
      </w:rPr>
      <w:t xml:space="preserve"> </w:t>
    </w:r>
    <w:r>
      <w:rPr>
        <w:color w:val="000000"/>
        <w:sz w:val="20"/>
        <w:szCs w:val="20"/>
      </w:rPr>
      <w:tab/>
    </w:r>
    <w:r>
      <w:rPr>
        <w:color w:val="000000"/>
        <w:sz w:val="20"/>
        <w:szCs w:val="20"/>
      </w:rPr>
      <w:tab/>
    </w:r>
    <w:hyperlink r:id="rId2" w:history="1">
      <w:r w:rsidRPr="00CC3CF9">
        <w:rPr>
          <w:rStyle w:val="Hyperlink"/>
          <w:bCs/>
          <w:sz w:val="20"/>
        </w:rPr>
        <w:t>naturesciencej@gmail.com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80" w:rsidRDefault="003C7480">
      <w:r>
        <w:separator/>
      </w:r>
    </w:p>
  </w:footnote>
  <w:footnote w:type="continuationSeparator" w:id="0">
    <w:p w:rsidR="003C7480" w:rsidRDefault="003C74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32" w:rsidRDefault="004C3E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32" w:rsidRDefault="004C3E32" w:rsidP="00972E5E">
    <w:pPr>
      <w:pBdr>
        <w:bottom w:val="thinThickMediumGap" w:sz="12" w:space="1" w:color="auto"/>
      </w:pBdr>
      <w:tabs>
        <w:tab w:val="center" w:pos="4680"/>
        <w:tab w:val="left" w:pos="9360"/>
      </w:tabs>
      <w:rPr>
        <w:sz w:val="20"/>
        <w:szCs w:val="20"/>
      </w:rPr>
    </w:pPr>
    <w:bookmarkStart w:id="1" w:name="_Hlk298793267"/>
    <w:bookmarkStart w:id="2" w:name="OLE_LINK4"/>
    <w:bookmarkStart w:id="3" w:name="OLE_LINK3"/>
    <w:bookmarkStart w:id="4" w:name="_Hlk298793259"/>
    <w:bookmarkStart w:id="5" w:name="OLE_LINK2"/>
    <w:bookmarkStart w:id="6" w:name="OLE_LINK1"/>
    <w:r>
      <w:rPr>
        <w:sz w:val="20"/>
        <w:szCs w:val="20"/>
      </w:rPr>
      <w:tab/>
      <w:t xml:space="preserve">Nature and Science, 2011;9(10) </w:t>
    </w:r>
    <w:r>
      <w:rPr>
        <w:color w:val="000000"/>
        <w:sz w:val="20"/>
        <w:szCs w:val="20"/>
      </w:rPr>
      <w:t xml:space="preserve">                                 </w:t>
    </w:r>
    <w:hyperlink r:id="rId1" w:history="1">
      <w:r>
        <w:rPr>
          <w:rStyle w:val="Hyperlink"/>
          <w:sz w:val="20"/>
          <w:szCs w:val="20"/>
        </w:rPr>
        <w:t>http://www.sciencepub.net/nature</w:t>
      </w:r>
    </w:hyperlink>
    <w:bookmarkEnd w:id="1"/>
    <w:bookmarkEnd w:id="2"/>
    <w:bookmarkEnd w:id="3"/>
    <w:bookmarkEnd w:id="4"/>
    <w:bookmarkEnd w:id="5"/>
    <w:bookmarkEnd w:id="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32" w:rsidRDefault="004C3E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1" w15:restartNumberingAfterBreak="0">
    <w:nsid w:val="20DE285A"/>
    <w:multiLevelType w:val="hybridMultilevel"/>
    <w:tmpl w:val="5CF2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3" w15:restartNumberingAfterBreak="0">
    <w:nsid w:val="5D4A383A"/>
    <w:multiLevelType w:val="hybridMultilevel"/>
    <w:tmpl w:val="6BD2BA62"/>
    <w:lvl w:ilvl="0" w:tplc="45E25E2E">
      <w:numFmt w:val="bullet"/>
      <w:lvlText w:val=""/>
      <w:lvlJc w:val="left"/>
      <w:pPr>
        <w:tabs>
          <w:tab w:val="num" w:pos="560"/>
        </w:tabs>
        <w:ind w:left="560" w:hanging="360"/>
      </w:pPr>
      <w:rPr>
        <w:rFonts w:ascii="Symbol" w:eastAsia="SimSun"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4" w15:restartNumberingAfterBreak="0">
    <w:nsid w:val="5DDB544D"/>
    <w:multiLevelType w:val="hybridMultilevel"/>
    <w:tmpl w:val="D452D1A4"/>
    <w:lvl w:ilvl="0" w:tplc="FFF86B6E">
      <w:start w:val="1"/>
      <w:numFmt w:val="decimal"/>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1E"/>
    <w:rsid w:val="0000296D"/>
    <w:rsid w:val="00006C14"/>
    <w:rsid w:val="000115D9"/>
    <w:rsid w:val="00032518"/>
    <w:rsid w:val="000333D3"/>
    <w:rsid w:val="00040107"/>
    <w:rsid w:val="00040DF8"/>
    <w:rsid w:val="000547EB"/>
    <w:rsid w:val="00055F66"/>
    <w:rsid w:val="00086D90"/>
    <w:rsid w:val="00092590"/>
    <w:rsid w:val="000A05BD"/>
    <w:rsid w:val="000A0B43"/>
    <w:rsid w:val="000A3CF3"/>
    <w:rsid w:val="000C19B3"/>
    <w:rsid w:val="000F558F"/>
    <w:rsid w:val="001031EA"/>
    <w:rsid w:val="00113D98"/>
    <w:rsid w:val="00141EC5"/>
    <w:rsid w:val="00143854"/>
    <w:rsid w:val="001813B1"/>
    <w:rsid w:val="001865A6"/>
    <w:rsid w:val="001C112D"/>
    <w:rsid w:val="001D4BA9"/>
    <w:rsid w:val="001D78E5"/>
    <w:rsid w:val="00225F58"/>
    <w:rsid w:val="00237AD2"/>
    <w:rsid w:val="0024765E"/>
    <w:rsid w:val="002519A8"/>
    <w:rsid w:val="0027359C"/>
    <w:rsid w:val="002975F6"/>
    <w:rsid w:val="002A04D4"/>
    <w:rsid w:val="002A7BC1"/>
    <w:rsid w:val="002D096B"/>
    <w:rsid w:val="0030097F"/>
    <w:rsid w:val="0032725F"/>
    <w:rsid w:val="00334240"/>
    <w:rsid w:val="0033537C"/>
    <w:rsid w:val="00383CB0"/>
    <w:rsid w:val="003B19FD"/>
    <w:rsid w:val="003B456C"/>
    <w:rsid w:val="003B48F5"/>
    <w:rsid w:val="003B4AD5"/>
    <w:rsid w:val="003C7480"/>
    <w:rsid w:val="003E5779"/>
    <w:rsid w:val="003F72CE"/>
    <w:rsid w:val="00416F75"/>
    <w:rsid w:val="00466690"/>
    <w:rsid w:val="004A4842"/>
    <w:rsid w:val="004A5972"/>
    <w:rsid w:val="004C3E32"/>
    <w:rsid w:val="004D5E66"/>
    <w:rsid w:val="00550E15"/>
    <w:rsid w:val="00573A36"/>
    <w:rsid w:val="00591A5A"/>
    <w:rsid w:val="00592FB9"/>
    <w:rsid w:val="005A2C81"/>
    <w:rsid w:val="005A389A"/>
    <w:rsid w:val="005A6183"/>
    <w:rsid w:val="005B3ED2"/>
    <w:rsid w:val="00607817"/>
    <w:rsid w:val="00616CF4"/>
    <w:rsid w:val="0062011B"/>
    <w:rsid w:val="006443A1"/>
    <w:rsid w:val="006701BE"/>
    <w:rsid w:val="00684E3E"/>
    <w:rsid w:val="006A6217"/>
    <w:rsid w:val="006C13CD"/>
    <w:rsid w:val="006D5232"/>
    <w:rsid w:val="006E0AC6"/>
    <w:rsid w:val="006F2E6F"/>
    <w:rsid w:val="00705764"/>
    <w:rsid w:val="00763C5A"/>
    <w:rsid w:val="00774CF6"/>
    <w:rsid w:val="00793A76"/>
    <w:rsid w:val="007B02F0"/>
    <w:rsid w:val="007D51A9"/>
    <w:rsid w:val="007E25BC"/>
    <w:rsid w:val="007E7572"/>
    <w:rsid w:val="007F052E"/>
    <w:rsid w:val="007F5F86"/>
    <w:rsid w:val="008201B3"/>
    <w:rsid w:val="0085732B"/>
    <w:rsid w:val="00862B30"/>
    <w:rsid w:val="008738FB"/>
    <w:rsid w:val="00873D28"/>
    <w:rsid w:val="008943AB"/>
    <w:rsid w:val="008C0C27"/>
    <w:rsid w:val="008F5556"/>
    <w:rsid w:val="009068FD"/>
    <w:rsid w:val="009239A8"/>
    <w:rsid w:val="0093241E"/>
    <w:rsid w:val="0094037F"/>
    <w:rsid w:val="00950825"/>
    <w:rsid w:val="009535AB"/>
    <w:rsid w:val="00954187"/>
    <w:rsid w:val="00972E5E"/>
    <w:rsid w:val="009955A1"/>
    <w:rsid w:val="009E2108"/>
    <w:rsid w:val="009E34F5"/>
    <w:rsid w:val="009E359B"/>
    <w:rsid w:val="009E374A"/>
    <w:rsid w:val="009F3F92"/>
    <w:rsid w:val="00A16FC1"/>
    <w:rsid w:val="00A243AF"/>
    <w:rsid w:val="00A520FB"/>
    <w:rsid w:val="00A61584"/>
    <w:rsid w:val="00A77594"/>
    <w:rsid w:val="00AB2252"/>
    <w:rsid w:val="00AD66CD"/>
    <w:rsid w:val="00B269A2"/>
    <w:rsid w:val="00B32D1F"/>
    <w:rsid w:val="00B374D5"/>
    <w:rsid w:val="00B715D8"/>
    <w:rsid w:val="00B83B60"/>
    <w:rsid w:val="00B90E3B"/>
    <w:rsid w:val="00BD0335"/>
    <w:rsid w:val="00C1319B"/>
    <w:rsid w:val="00C30901"/>
    <w:rsid w:val="00C509F3"/>
    <w:rsid w:val="00C63028"/>
    <w:rsid w:val="00C65E03"/>
    <w:rsid w:val="00C8635D"/>
    <w:rsid w:val="00CA1518"/>
    <w:rsid w:val="00CA5263"/>
    <w:rsid w:val="00D26126"/>
    <w:rsid w:val="00D3503D"/>
    <w:rsid w:val="00D5470A"/>
    <w:rsid w:val="00D755A8"/>
    <w:rsid w:val="00D826A2"/>
    <w:rsid w:val="00DA5EE4"/>
    <w:rsid w:val="00DB4210"/>
    <w:rsid w:val="00DB6EF9"/>
    <w:rsid w:val="00E03040"/>
    <w:rsid w:val="00E06875"/>
    <w:rsid w:val="00E31989"/>
    <w:rsid w:val="00E51CEF"/>
    <w:rsid w:val="00E52677"/>
    <w:rsid w:val="00E56E02"/>
    <w:rsid w:val="00E65586"/>
    <w:rsid w:val="00E80DB5"/>
    <w:rsid w:val="00E82C79"/>
    <w:rsid w:val="00E85165"/>
    <w:rsid w:val="00E96A71"/>
    <w:rsid w:val="00EA3CF7"/>
    <w:rsid w:val="00EA781E"/>
    <w:rsid w:val="00EB3111"/>
    <w:rsid w:val="00EB55D0"/>
    <w:rsid w:val="00EB7D60"/>
    <w:rsid w:val="00EC7F29"/>
    <w:rsid w:val="00ED21F2"/>
    <w:rsid w:val="00F12EE6"/>
    <w:rsid w:val="00F15795"/>
    <w:rsid w:val="00F273D8"/>
    <w:rsid w:val="00F30F6C"/>
    <w:rsid w:val="00F43788"/>
    <w:rsid w:val="00F51FD1"/>
    <w:rsid w:val="00F54AF2"/>
    <w:rsid w:val="00F67E3D"/>
    <w:rsid w:val="00F72995"/>
    <w:rsid w:val="00F92226"/>
    <w:rsid w:val="00F95904"/>
    <w:rsid w:val="00FE10C5"/>
    <w:rsid w:val="00FE761D"/>
    <w:rsid w:val="00FF22A7"/>
    <w:rsid w:val="00FF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581B530-D57C-4DA7-B4BC-F3E2EAFB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pPr>
      <w:keepNext/>
      <w:keepLines/>
      <w:snapToGrid w:val="0"/>
      <w:spacing w:before="340" w:after="330" w:line="578" w:lineRule="auto"/>
      <w:outlineLvl w:val="0"/>
    </w:pPr>
    <w:rPr>
      <w:b/>
      <w:kern w:val="44"/>
      <w:sz w:val="44"/>
      <w:szCs w:val="20"/>
    </w:rPr>
  </w:style>
  <w:style w:type="paragraph" w:styleId="Heading5">
    <w:name w:val="heading 5"/>
    <w:basedOn w:val="Normal"/>
    <w:next w:val="Normal"/>
    <w:qFormat/>
    <w:pPr>
      <w:keepNext/>
      <w:keepLines/>
      <w:spacing w:before="280" w:after="290" w:line="376" w:lineRule="auto"/>
      <w:outlineLvl w:val="4"/>
    </w:pPr>
    <w:rPr>
      <w:b/>
      <w:bCs/>
      <w:sz w:val="28"/>
      <w:szCs w:val="28"/>
    </w:rPr>
  </w:style>
  <w:style w:type="paragraph" w:styleId="Heading8">
    <w:name w:val="heading 8"/>
    <w:basedOn w:val="Normal"/>
    <w:next w:val="Normal"/>
    <w:qFormat/>
    <w:pPr>
      <w:keepNext/>
      <w:keepLines/>
      <w:spacing w:before="240" w:after="64" w:line="320" w:lineRule="auto"/>
      <w:outlineLvl w:val="7"/>
    </w:pPr>
    <w:rPr>
      <w:rFonts w:ascii="Arial" w:eastAsia="SimHei"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snapToGrid w:val="0"/>
      <w:jc w:val="left"/>
    </w:pPr>
    <w:rPr>
      <w:sz w:val="18"/>
      <w:szCs w:val="18"/>
    </w:rPr>
  </w:style>
  <w:style w:type="character" w:styleId="PageNumber">
    <w:name w:val="page number"/>
    <w:basedOn w:val="DefaultParagraphFont"/>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BodyText">
    <w:name w:val="Body Text"/>
    <w:basedOn w:val="Normal"/>
    <w:rsid w:val="00E85165"/>
    <w:rPr>
      <w:sz w:val="24"/>
    </w:rPr>
  </w:style>
  <w:style w:type="paragraph" w:styleId="NormalIndent">
    <w:name w:val="Normal Indent"/>
    <w:basedOn w:val="Normal"/>
    <w:pPr>
      <w:snapToGrid w:val="0"/>
      <w:spacing w:line="300" w:lineRule="auto"/>
      <w:ind w:firstLine="420"/>
    </w:pPr>
    <w:rPr>
      <w:sz w:val="24"/>
      <w:szCs w:val="20"/>
    </w:rPr>
  </w:style>
  <w:style w:type="paragraph" w:styleId="Caption">
    <w:name w:val="caption"/>
    <w:basedOn w:val="Normal"/>
    <w:next w:val="Normal"/>
    <w:qFormat/>
    <w:rPr>
      <w:b/>
      <w:bCs/>
      <w:noProof/>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pPr>
      <w:spacing w:after="120"/>
      <w:ind w:leftChars="200" w:left="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BodyText2">
    <w:name w:val="Body Text 2"/>
    <w:basedOn w:val="Normal"/>
    <w:pPr>
      <w:jc w:val="center"/>
    </w:pPr>
    <w:rPr>
      <w:b/>
      <w:bCs/>
      <w:sz w:val="32"/>
    </w:rPr>
  </w:style>
  <w:style w:type="character" w:styleId="Hyperlink">
    <w:name w:val="Hyperlink"/>
    <w:rPr>
      <w:color w:val="0000FF"/>
      <w:u w:val="single"/>
    </w:rPr>
  </w:style>
  <w:style w:type="paragraph" w:styleId="BodyText3">
    <w:name w:val="Body Text 3"/>
    <w:basedOn w:val="Normal"/>
    <w:pPr>
      <w:spacing w:line="240" w:lineRule="exact"/>
    </w:pPr>
    <w:rPr>
      <w:b/>
      <w:sz w:val="18"/>
    </w:rPr>
  </w:style>
  <w:style w:type="character" w:customStyle="1" w:styleId="HeaderChar">
    <w:name w:val="Header Char"/>
    <w:link w:val="Header"/>
    <w:semiHidden/>
    <w:rsid w:val="006F2E6F"/>
    <w:rPr>
      <w:rFonts w:eastAsia="SimSun"/>
      <w:kern w:val="2"/>
      <w:sz w:val="18"/>
      <w:szCs w:val="18"/>
      <w:lang w:val="en-US" w:eastAsia="zh-CN" w:bidi="ar-SA"/>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4261">
      <w:bodyDiv w:val="1"/>
      <w:marLeft w:val="0"/>
      <w:marRight w:val="0"/>
      <w:marTop w:val="0"/>
      <w:marBottom w:val="0"/>
      <w:divBdr>
        <w:top w:val="none" w:sz="0" w:space="0" w:color="auto"/>
        <w:left w:val="none" w:sz="0" w:space="0" w:color="auto"/>
        <w:bottom w:val="none" w:sz="0" w:space="0" w:color="auto"/>
        <w:right w:val="none" w:sz="0" w:space="0" w:color="auto"/>
      </w:divBdr>
    </w:div>
    <w:div w:id="1042822041">
      <w:bodyDiv w:val="1"/>
      <w:marLeft w:val="0"/>
      <w:marRight w:val="0"/>
      <w:marTop w:val="0"/>
      <w:marBottom w:val="0"/>
      <w:divBdr>
        <w:top w:val="none" w:sz="0" w:space="0" w:color="auto"/>
        <w:left w:val="none" w:sz="0" w:space="0" w:color="auto"/>
        <w:bottom w:val="none" w:sz="0" w:space="0" w:color="auto"/>
        <w:right w:val="none" w:sz="0" w:space="0" w:color="auto"/>
      </w:divBdr>
    </w:div>
    <w:div w:id="1459228648">
      <w:bodyDiv w:val="1"/>
      <w:marLeft w:val="0"/>
      <w:marRight w:val="0"/>
      <w:marTop w:val="0"/>
      <w:marBottom w:val="0"/>
      <w:divBdr>
        <w:top w:val="none" w:sz="0" w:space="0" w:color="auto"/>
        <w:left w:val="none" w:sz="0" w:space="0" w:color="auto"/>
        <w:bottom w:val="none" w:sz="0" w:space="0" w:color="auto"/>
        <w:right w:val="none" w:sz="0" w:space="0" w:color="auto"/>
      </w:divBdr>
    </w:div>
    <w:div w:id="18174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eader" Target="header3.xml"/><Relationship Id="rId18" Type="http://schemas.openxmlformats.org/officeDocument/2006/relationships/hyperlink" Target="http://www.cmhc-schl.gc.ca/odpub/pdf/63407.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hamedfareid73@yahoo.com" TargetMode="External"/><Relationship Id="rId12" Type="http://schemas.openxmlformats.org/officeDocument/2006/relationships/footer" Target="footer2.xml"/><Relationship Id="rId17" Type="http://schemas.openxmlformats.org/officeDocument/2006/relationships/hyperlink" Target="mailto:mohamedfareid73@yahoo.com"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5311</Words>
  <Characters>30274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Nature and Science</vt:lpstr>
    </vt:vector>
  </TitlesOfParts>
  <Manager>Marsland Press</Manager>
  <Company>Marsland Press</Company>
  <LinksUpToDate>false</LinksUpToDate>
  <CharactersWithSpaces>35514</CharactersWithSpaces>
  <SharedDoc>false</SharedDoc>
  <HLinks>
    <vt:vector size="54" baseType="variant">
      <vt:variant>
        <vt:i4>6422648</vt:i4>
      </vt:variant>
      <vt:variant>
        <vt:i4>9</vt:i4>
      </vt:variant>
      <vt:variant>
        <vt:i4>0</vt:i4>
      </vt:variant>
      <vt:variant>
        <vt:i4>5</vt:i4>
      </vt:variant>
      <vt:variant>
        <vt:lpwstr>http://www.cmhc-schl.gc.ca/odpub/pdf/63407.pdf</vt:lpwstr>
      </vt:variant>
      <vt:variant>
        <vt:lpwstr/>
      </vt:variant>
      <vt:variant>
        <vt:i4>5046372</vt:i4>
      </vt:variant>
      <vt:variant>
        <vt:i4>6</vt:i4>
      </vt:variant>
      <vt:variant>
        <vt:i4>0</vt:i4>
      </vt:variant>
      <vt:variant>
        <vt:i4>5</vt:i4>
      </vt:variant>
      <vt:variant>
        <vt:lpwstr>mailto:mohamedfareid73@yahoo.com</vt:lpwstr>
      </vt:variant>
      <vt:variant>
        <vt:lpwstr/>
      </vt:variant>
      <vt:variant>
        <vt:i4>2818109</vt:i4>
      </vt:variant>
      <vt:variant>
        <vt:i4>3</vt:i4>
      </vt:variant>
      <vt:variant>
        <vt:i4>0</vt:i4>
      </vt:variant>
      <vt:variant>
        <vt:i4>5</vt:i4>
      </vt:variant>
      <vt:variant>
        <vt:lpwstr>http://www.sciencepub.net/</vt:lpwstr>
      </vt:variant>
      <vt:variant>
        <vt:lpwstr/>
      </vt:variant>
      <vt:variant>
        <vt:i4>5046372</vt:i4>
      </vt:variant>
      <vt:variant>
        <vt:i4>0</vt:i4>
      </vt:variant>
      <vt:variant>
        <vt:i4>0</vt:i4>
      </vt:variant>
      <vt:variant>
        <vt:i4>5</vt:i4>
      </vt:variant>
      <vt:variant>
        <vt:lpwstr>mailto:mohamedfareid73@yahoo.com</vt:lpwstr>
      </vt:variant>
      <vt:variant>
        <vt:lpwstr/>
      </vt:variant>
      <vt:variant>
        <vt:i4>1966141</vt:i4>
      </vt:variant>
      <vt:variant>
        <vt:i4>20</vt:i4>
      </vt:variant>
      <vt:variant>
        <vt:i4>0</vt:i4>
      </vt:variant>
      <vt:variant>
        <vt:i4>5</vt:i4>
      </vt:variant>
      <vt:variant>
        <vt:lpwstr>mailto:naturesciencej@gmail.com</vt:lpwstr>
      </vt:variant>
      <vt:variant>
        <vt:lpwstr/>
      </vt:variant>
      <vt:variant>
        <vt:i4>5898325</vt:i4>
      </vt:variant>
      <vt:variant>
        <vt:i4>17</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Marsland Press</dc:subject>
  <dc:creator>Marsland</dc:creator>
  <cp:keywords/>
  <cp:lastModifiedBy>admin</cp:lastModifiedBy>
  <cp:revision>2</cp:revision>
  <cp:lastPrinted>2011-09-03T05:06:00Z</cp:lastPrinted>
  <dcterms:created xsi:type="dcterms:W3CDTF">2024-05-16T00:00:00Z</dcterms:created>
  <dcterms:modified xsi:type="dcterms:W3CDTF">2024-05-16T00:00:00Z</dcterms:modified>
</cp:coreProperties>
</file>