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AA" w:rsidRPr="004B551C" w:rsidRDefault="008B158E" w:rsidP="004B551C">
      <w:pPr>
        <w:pStyle w:val="NoSpacing"/>
        <w:jc w:val="center"/>
        <w:rPr>
          <w:b/>
          <w:bCs/>
          <w:sz w:val="20"/>
          <w:szCs w:val="20"/>
          <w:lang w:bidi="ar-EG"/>
        </w:rPr>
      </w:pPr>
      <w:r w:rsidRPr="004B551C">
        <w:rPr>
          <w:b/>
          <w:bCs/>
          <w:sz w:val="20"/>
          <w:szCs w:val="20"/>
          <w:lang w:bidi="ar-EG"/>
        </w:rPr>
        <w:t>Antifungal activity of some</w:t>
      </w:r>
      <w:r w:rsidR="00260CAA" w:rsidRPr="004B551C">
        <w:rPr>
          <w:b/>
          <w:bCs/>
          <w:sz w:val="20"/>
          <w:szCs w:val="20"/>
          <w:lang w:bidi="ar-EG"/>
        </w:rPr>
        <w:t xml:space="preserve"> </w:t>
      </w:r>
      <w:r w:rsidR="00276BF4" w:rsidRPr="004B551C">
        <w:rPr>
          <w:b/>
          <w:bCs/>
          <w:sz w:val="20"/>
          <w:szCs w:val="20"/>
          <w:lang w:bidi="ar-EG"/>
        </w:rPr>
        <w:t>Naturally</w:t>
      </w:r>
      <w:r w:rsidRPr="004B551C">
        <w:rPr>
          <w:b/>
          <w:bCs/>
          <w:sz w:val="20"/>
          <w:szCs w:val="20"/>
          <w:lang w:bidi="ar-EG"/>
        </w:rPr>
        <w:t xml:space="preserve"> Occurring </w:t>
      </w:r>
      <w:r w:rsidR="00276BF4" w:rsidRPr="004B551C">
        <w:rPr>
          <w:b/>
          <w:bCs/>
          <w:sz w:val="20"/>
          <w:szCs w:val="20"/>
          <w:lang w:bidi="ar-EG"/>
        </w:rPr>
        <w:t>Compounds against</w:t>
      </w:r>
      <w:r w:rsidRPr="004B551C">
        <w:rPr>
          <w:b/>
          <w:bCs/>
          <w:sz w:val="20"/>
          <w:szCs w:val="20"/>
          <w:lang w:bidi="ar-EG"/>
        </w:rPr>
        <w:t xml:space="preserve"> Economically Important </w:t>
      </w:r>
      <w:proofErr w:type="spellStart"/>
      <w:r w:rsidR="00260CAA" w:rsidRPr="004B551C">
        <w:rPr>
          <w:b/>
          <w:bCs/>
          <w:sz w:val="20"/>
          <w:szCs w:val="20"/>
          <w:lang w:bidi="ar-EG"/>
        </w:rPr>
        <w:t>Phytopathogic</w:t>
      </w:r>
      <w:proofErr w:type="spellEnd"/>
      <w:r w:rsidR="00260CAA" w:rsidRPr="004B551C">
        <w:rPr>
          <w:b/>
          <w:bCs/>
          <w:sz w:val="20"/>
          <w:szCs w:val="20"/>
          <w:lang w:bidi="ar-EG"/>
        </w:rPr>
        <w:t xml:space="preserve"> Fungi</w:t>
      </w:r>
    </w:p>
    <w:p w:rsidR="00260CAA" w:rsidRPr="004B551C" w:rsidRDefault="00260CAA" w:rsidP="004B551C">
      <w:pPr>
        <w:jc w:val="both"/>
        <w:rPr>
          <w:b/>
          <w:bCs/>
          <w:sz w:val="20"/>
          <w:szCs w:val="20"/>
          <w:lang w:bidi="ar-EG"/>
        </w:rPr>
      </w:pPr>
    </w:p>
    <w:p w:rsidR="00260CAA" w:rsidRPr="004B551C" w:rsidRDefault="00276BF4" w:rsidP="004B551C">
      <w:pPr>
        <w:pStyle w:val="NoSpacing"/>
        <w:jc w:val="center"/>
        <w:rPr>
          <w:sz w:val="20"/>
          <w:szCs w:val="20"/>
          <w:vertAlign w:val="superscript"/>
        </w:rPr>
      </w:pPr>
      <w:r w:rsidRPr="004B551C">
        <w:rPr>
          <w:sz w:val="20"/>
          <w:szCs w:val="20"/>
        </w:rPr>
        <w:t>El-</w:t>
      </w:r>
      <w:proofErr w:type="spellStart"/>
      <w:r w:rsidRPr="004B551C">
        <w:rPr>
          <w:sz w:val="20"/>
          <w:szCs w:val="20"/>
        </w:rPr>
        <w:t>Shiekh</w:t>
      </w:r>
      <w:proofErr w:type="spellEnd"/>
      <w:r w:rsidRPr="004B551C">
        <w:rPr>
          <w:sz w:val="20"/>
          <w:szCs w:val="20"/>
        </w:rPr>
        <w:t>, Y.W</w:t>
      </w:r>
      <w:r w:rsidR="00260CAA" w:rsidRPr="004B551C">
        <w:rPr>
          <w:sz w:val="20"/>
          <w:szCs w:val="20"/>
        </w:rPr>
        <w:t>. A.</w:t>
      </w:r>
      <w:r w:rsidR="000D6972" w:rsidRPr="004B551C">
        <w:rPr>
          <w:sz w:val="20"/>
          <w:szCs w:val="20"/>
          <w:vertAlign w:val="superscript"/>
        </w:rPr>
        <w:t>1</w:t>
      </w:r>
      <w:r w:rsidR="00260CAA" w:rsidRPr="004B551C">
        <w:rPr>
          <w:sz w:val="20"/>
          <w:szCs w:val="20"/>
        </w:rPr>
        <w:t xml:space="preserve">; </w:t>
      </w:r>
      <w:proofErr w:type="spellStart"/>
      <w:r w:rsidR="00260CAA" w:rsidRPr="004B551C">
        <w:rPr>
          <w:sz w:val="20"/>
          <w:szCs w:val="20"/>
        </w:rPr>
        <w:t>Nour</w:t>
      </w:r>
      <w:proofErr w:type="spellEnd"/>
      <w:r w:rsidR="00260CAA" w:rsidRPr="004B551C">
        <w:rPr>
          <w:sz w:val="20"/>
          <w:szCs w:val="20"/>
        </w:rPr>
        <w:t xml:space="preserve"> El-Din, A. </w:t>
      </w:r>
      <w:r w:rsidRPr="004B551C">
        <w:rPr>
          <w:sz w:val="20"/>
          <w:szCs w:val="20"/>
        </w:rPr>
        <w:t>Hanan</w:t>
      </w:r>
      <w:r w:rsidR="007F1798" w:rsidRPr="004B551C">
        <w:rPr>
          <w:sz w:val="20"/>
          <w:szCs w:val="20"/>
          <w:vertAlign w:val="superscript"/>
        </w:rPr>
        <w:t>2</w:t>
      </w:r>
      <w:r w:rsidRPr="004B551C">
        <w:rPr>
          <w:sz w:val="20"/>
          <w:szCs w:val="20"/>
          <w:vertAlign w:val="superscript"/>
        </w:rPr>
        <w:t xml:space="preserve"> </w:t>
      </w:r>
      <w:r w:rsidRPr="004B551C">
        <w:rPr>
          <w:sz w:val="20"/>
          <w:szCs w:val="20"/>
        </w:rPr>
        <w:t>Mohamed,</w:t>
      </w:r>
      <w:r w:rsidR="00260CAA" w:rsidRPr="004B551C">
        <w:rPr>
          <w:sz w:val="20"/>
          <w:szCs w:val="20"/>
        </w:rPr>
        <w:t xml:space="preserve"> A. A. Shaymaa</w:t>
      </w:r>
      <w:r w:rsidR="007F1798" w:rsidRPr="004B551C">
        <w:rPr>
          <w:sz w:val="20"/>
          <w:szCs w:val="20"/>
          <w:vertAlign w:val="superscript"/>
        </w:rPr>
        <w:t>1</w:t>
      </w:r>
      <w:r w:rsidR="000D6972" w:rsidRPr="004B551C">
        <w:rPr>
          <w:sz w:val="20"/>
          <w:szCs w:val="20"/>
          <w:vertAlign w:val="superscript"/>
        </w:rPr>
        <w:t xml:space="preserve"> </w:t>
      </w:r>
      <w:r w:rsidR="000D6972" w:rsidRPr="004B551C">
        <w:rPr>
          <w:sz w:val="20"/>
          <w:szCs w:val="20"/>
        </w:rPr>
        <w:t>and</w:t>
      </w:r>
      <w:r w:rsidR="000D6972" w:rsidRPr="004B551C">
        <w:rPr>
          <w:sz w:val="20"/>
          <w:szCs w:val="20"/>
          <w:lang w:eastAsia="ar-EG" w:bidi="ar-EG"/>
        </w:rPr>
        <w:t xml:space="preserve"> </w:t>
      </w:r>
      <w:proofErr w:type="spellStart"/>
      <w:r w:rsidR="000D6972" w:rsidRPr="004B551C">
        <w:rPr>
          <w:sz w:val="20"/>
          <w:szCs w:val="20"/>
          <w:lang w:eastAsia="ar-EG" w:bidi="ar-EG"/>
        </w:rPr>
        <w:t>Karam</w:t>
      </w:r>
      <w:proofErr w:type="spellEnd"/>
      <w:r w:rsidR="000D6972" w:rsidRPr="004B551C">
        <w:rPr>
          <w:sz w:val="20"/>
          <w:szCs w:val="20"/>
          <w:lang w:eastAsia="ar-EG" w:bidi="ar-EG"/>
        </w:rPr>
        <w:t xml:space="preserve"> EL-Din, A. Zahraa</w:t>
      </w:r>
      <w:r w:rsidR="007F1798" w:rsidRPr="004B551C">
        <w:rPr>
          <w:sz w:val="20"/>
          <w:szCs w:val="20"/>
          <w:vertAlign w:val="superscript"/>
        </w:rPr>
        <w:t>3</w:t>
      </w:r>
    </w:p>
    <w:p w:rsidR="00276BF4" w:rsidRPr="004B551C" w:rsidRDefault="00276BF4" w:rsidP="004B551C">
      <w:pPr>
        <w:pStyle w:val="Heading7"/>
        <w:tabs>
          <w:tab w:val="left" w:pos="0"/>
          <w:tab w:val="center" w:pos="4365"/>
        </w:tabs>
        <w:bidi w:val="0"/>
        <w:spacing w:before="0"/>
        <w:jc w:val="center"/>
        <w:rPr>
          <w:rFonts w:ascii="Times New Roman" w:hAnsi="Times New Roman" w:cs="Times New Roman"/>
          <w:i w:val="0"/>
          <w:iCs w:val="0"/>
          <w:color w:val="auto"/>
          <w:sz w:val="20"/>
          <w:szCs w:val="20"/>
          <w:vertAlign w:val="superscript"/>
        </w:rPr>
      </w:pPr>
    </w:p>
    <w:p w:rsidR="00260CAA" w:rsidRPr="004B551C" w:rsidRDefault="007F1798" w:rsidP="004B551C">
      <w:pPr>
        <w:pStyle w:val="BodyTextIndent3"/>
        <w:tabs>
          <w:tab w:val="right" w:pos="0"/>
        </w:tabs>
        <w:bidi w:val="0"/>
        <w:spacing w:after="0"/>
        <w:ind w:left="0"/>
        <w:jc w:val="center"/>
        <w:rPr>
          <w:sz w:val="20"/>
          <w:szCs w:val="20"/>
        </w:rPr>
      </w:pPr>
      <w:r w:rsidRPr="004B551C">
        <w:rPr>
          <w:sz w:val="20"/>
          <w:szCs w:val="20"/>
          <w:vertAlign w:val="superscript"/>
        </w:rPr>
        <w:t>1</w:t>
      </w:r>
      <w:r w:rsidR="00260CAA" w:rsidRPr="004B551C">
        <w:rPr>
          <w:sz w:val="20"/>
          <w:szCs w:val="20"/>
        </w:rPr>
        <w:t>Pesticides Formulation Department</w:t>
      </w:r>
      <w:r w:rsidR="00276BF4" w:rsidRPr="004B551C">
        <w:rPr>
          <w:sz w:val="20"/>
          <w:szCs w:val="20"/>
        </w:rPr>
        <w:t>, Central</w:t>
      </w:r>
      <w:r w:rsidR="00260CAA" w:rsidRPr="004B551C">
        <w:rPr>
          <w:sz w:val="20"/>
          <w:szCs w:val="20"/>
        </w:rPr>
        <w:t xml:space="preserve"> Agricultural Pesticides Laboratory</w:t>
      </w:r>
      <w:r w:rsidR="00276BF4" w:rsidRPr="004B551C">
        <w:rPr>
          <w:sz w:val="20"/>
          <w:szCs w:val="20"/>
        </w:rPr>
        <w:t>, Agricultural</w:t>
      </w:r>
      <w:r w:rsidR="00260CAA" w:rsidRPr="004B551C">
        <w:rPr>
          <w:sz w:val="20"/>
          <w:szCs w:val="20"/>
        </w:rPr>
        <w:t xml:space="preserve"> Research Center</w:t>
      </w:r>
    </w:p>
    <w:p w:rsidR="00260CAA" w:rsidRPr="004B551C" w:rsidRDefault="007F1798" w:rsidP="004B551C">
      <w:pPr>
        <w:pStyle w:val="BodyTextIndent3"/>
        <w:tabs>
          <w:tab w:val="right" w:pos="0"/>
        </w:tabs>
        <w:bidi w:val="0"/>
        <w:spacing w:after="0"/>
        <w:ind w:left="0"/>
        <w:jc w:val="center"/>
        <w:rPr>
          <w:sz w:val="20"/>
          <w:szCs w:val="20"/>
        </w:rPr>
      </w:pPr>
      <w:r w:rsidRPr="004B551C">
        <w:rPr>
          <w:sz w:val="20"/>
          <w:szCs w:val="20"/>
          <w:vertAlign w:val="superscript"/>
        </w:rPr>
        <w:t>2</w:t>
      </w:r>
      <w:r w:rsidR="00260CAA" w:rsidRPr="004B551C">
        <w:rPr>
          <w:sz w:val="20"/>
          <w:szCs w:val="20"/>
        </w:rPr>
        <w:t>Microbial Molecular Biology Department, Agricultural Genetic Engineering Research Institute, Agricultural Research Center</w:t>
      </w:r>
    </w:p>
    <w:p w:rsidR="007F1798" w:rsidRPr="004B551C" w:rsidRDefault="007F1798" w:rsidP="004B551C">
      <w:pPr>
        <w:pStyle w:val="Heading7"/>
        <w:tabs>
          <w:tab w:val="left" w:pos="0"/>
          <w:tab w:val="center" w:pos="4365"/>
        </w:tabs>
        <w:bidi w:val="0"/>
        <w:spacing w:before="0"/>
        <w:jc w:val="center"/>
        <w:rPr>
          <w:rFonts w:ascii="Times New Roman" w:hAnsi="Times New Roman" w:cs="Times New Roman"/>
          <w:i w:val="0"/>
          <w:iCs w:val="0"/>
          <w:color w:val="auto"/>
          <w:sz w:val="20"/>
          <w:szCs w:val="20"/>
        </w:rPr>
      </w:pPr>
      <w:r w:rsidRPr="004B551C">
        <w:rPr>
          <w:rFonts w:ascii="Times New Roman" w:hAnsi="Times New Roman" w:cs="Times New Roman"/>
          <w:i w:val="0"/>
          <w:iCs w:val="0"/>
          <w:color w:val="auto"/>
          <w:sz w:val="20"/>
          <w:szCs w:val="20"/>
          <w:vertAlign w:val="superscript"/>
        </w:rPr>
        <w:t>3</w:t>
      </w:r>
      <w:r w:rsidRPr="004B551C">
        <w:rPr>
          <w:rFonts w:ascii="Times New Roman" w:hAnsi="Times New Roman" w:cs="Times New Roman"/>
          <w:i w:val="0"/>
          <w:iCs w:val="0"/>
          <w:color w:val="auto"/>
          <w:sz w:val="20"/>
          <w:szCs w:val="20"/>
        </w:rPr>
        <w:t xml:space="preserve">Microbiology Department, Faculty of Sciences, </w:t>
      </w:r>
      <w:proofErr w:type="spellStart"/>
      <w:r w:rsidRPr="004B551C">
        <w:rPr>
          <w:rFonts w:ascii="Times New Roman" w:hAnsi="Times New Roman" w:cs="Times New Roman"/>
          <w:i w:val="0"/>
          <w:iCs w:val="0"/>
          <w:color w:val="auto"/>
          <w:sz w:val="20"/>
          <w:szCs w:val="20"/>
        </w:rPr>
        <w:t>Ain</w:t>
      </w:r>
      <w:proofErr w:type="spellEnd"/>
      <w:r w:rsidRPr="004B551C">
        <w:rPr>
          <w:rFonts w:ascii="Times New Roman" w:hAnsi="Times New Roman" w:cs="Times New Roman"/>
          <w:i w:val="0"/>
          <w:iCs w:val="0"/>
          <w:color w:val="auto"/>
          <w:sz w:val="20"/>
          <w:szCs w:val="20"/>
        </w:rPr>
        <w:t xml:space="preserve"> Shams University</w:t>
      </w:r>
    </w:p>
    <w:p w:rsidR="00741EFF" w:rsidRPr="004B551C" w:rsidRDefault="00907E7E" w:rsidP="004B551C">
      <w:pPr>
        <w:jc w:val="center"/>
        <w:rPr>
          <w:sz w:val="20"/>
          <w:szCs w:val="20"/>
        </w:rPr>
      </w:pPr>
      <w:hyperlink r:id="rId8" w:history="1">
        <w:r w:rsidR="00741EFF" w:rsidRPr="004B551C">
          <w:rPr>
            <w:rStyle w:val="Hyperlink"/>
            <w:color w:val="auto"/>
            <w:sz w:val="20"/>
            <w:szCs w:val="20"/>
            <w:u w:val="none"/>
          </w:rPr>
          <w:t>yasserwahied@yahoo.com</w:t>
        </w:r>
      </w:hyperlink>
      <w:r w:rsidR="00741EFF" w:rsidRPr="004B551C">
        <w:rPr>
          <w:sz w:val="20"/>
          <w:szCs w:val="20"/>
        </w:rPr>
        <w:t xml:space="preserve"> </w:t>
      </w:r>
    </w:p>
    <w:p w:rsidR="00260CAA" w:rsidRPr="004B551C" w:rsidRDefault="00260CAA" w:rsidP="004B551C">
      <w:pPr>
        <w:pStyle w:val="BodyTextIndent3"/>
        <w:tabs>
          <w:tab w:val="right" w:pos="0"/>
          <w:tab w:val="left" w:pos="8575"/>
        </w:tabs>
        <w:bidi w:val="0"/>
        <w:spacing w:after="0"/>
        <w:ind w:left="0"/>
        <w:jc w:val="both"/>
        <w:rPr>
          <w:b/>
          <w:bCs/>
          <w:sz w:val="20"/>
          <w:szCs w:val="20"/>
        </w:rPr>
      </w:pPr>
    </w:p>
    <w:p w:rsidR="00260CAA" w:rsidRPr="004B551C" w:rsidRDefault="00276BF4" w:rsidP="004B551C">
      <w:pPr>
        <w:pStyle w:val="BodyTextIndent3"/>
        <w:tabs>
          <w:tab w:val="right" w:pos="0"/>
          <w:tab w:val="left" w:pos="8575"/>
        </w:tabs>
        <w:bidi w:val="0"/>
        <w:spacing w:after="0"/>
        <w:ind w:left="0"/>
        <w:jc w:val="both"/>
        <w:rPr>
          <w:b/>
          <w:bCs/>
          <w:sz w:val="20"/>
          <w:szCs w:val="20"/>
        </w:rPr>
      </w:pPr>
      <w:r w:rsidRPr="004B551C">
        <w:rPr>
          <w:b/>
          <w:bCs/>
          <w:sz w:val="20"/>
          <w:szCs w:val="20"/>
        </w:rPr>
        <w:t>Abstract</w:t>
      </w:r>
      <w:r w:rsidR="00260CAA" w:rsidRPr="004B551C">
        <w:rPr>
          <w:b/>
          <w:bCs/>
          <w:sz w:val="20"/>
          <w:szCs w:val="20"/>
        </w:rPr>
        <w:t>:</w:t>
      </w:r>
      <w:r w:rsidRPr="004B551C">
        <w:rPr>
          <w:b/>
          <w:bCs/>
          <w:sz w:val="20"/>
          <w:szCs w:val="20"/>
        </w:rPr>
        <w:t xml:space="preserve"> </w:t>
      </w:r>
      <w:r w:rsidR="005E2BBF" w:rsidRPr="004B551C">
        <w:rPr>
          <w:sz w:val="20"/>
          <w:szCs w:val="20"/>
        </w:rPr>
        <w:t xml:space="preserve">This study was undertaken to </w:t>
      </w:r>
      <w:r w:rsidR="00790D22" w:rsidRPr="004B551C">
        <w:rPr>
          <w:sz w:val="20"/>
          <w:szCs w:val="20"/>
        </w:rPr>
        <w:t>investigate</w:t>
      </w:r>
      <w:r w:rsidR="005E2BBF" w:rsidRPr="004B551C">
        <w:rPr>
          <w:sz w:val="20"/>
          <w:szCs w:val="20"/>
        </w:rPr>
        <w:t xml:space="preserve"> </w:t>
      </w:r>
      <w:r w:rsidR="00AC61BC" w:rsidRPr="004B551C">
        <w:rPr>
          <w:sz w:val="20"/>
          <w:szCs w:val="20"/>
        </w:rPr>
        <w:t xml:space="preserve">the antifungal activities of naturally occurring compounds namely; </w:t>
      </w:r>
      <w:proofErr w:type="spellStart"/>
      <w:r w:rsidR="00AC61BC" w:rsidRPr="004B551C">
        <w:rPr>
          <w:sz w:val="20"/>
          <w:szCs w:val="20"/>
        </w:rPr>
        <w:t>thymol</w:t>
      </w:r>
      <w:proofErr w:type="spellEnd"/>
      <w:r w:rsidR="00AC61BC" w:rsidRPr="004B551C">
        <w:rPr>
          <w:sz w:val="20"/>
          <w:szCs w:val="20"/>
        </w:rPr>
        <w:t xml:space="preserve">, </w:t>
      </w:r>
      <w:proofErr w:type="spellStart"/>
      <w:r w:rsidR="00AC61BC" w:rsidRPr="004B551C">
        <w:rPr>
          <w:sz w:val="20"/>
          <w:szCs w:val="20"/>
        </w:rPr>
        <w:t>eugenol</w:t>
      </w:r>
      <w:proofErr w:type="spellEnd"/>
      <w:r w:rsidR="00AC61BC" w:rsidRPr="004B551C">
        <w:rPr>
          <w:sz w:val="20"/>
          <w:szCs w:val="20"/>
        </w:rPr>
        <w:t xml:space="preserve">, methyl </w:t>
      </w:r>
      <w:proofErr w:type="spellStart"/>
      <w:r w:rsidR="00AC61BC" w:rsidRPr="004B551C">
        <w:rPr>
          <w:sz w:val="20"/>
          <w:szCs w:val="20"/>
        </w:rPr>
        <w:t>cinnamate</w:t>
      </w:r>
      <w:proofErr w:type="spellEnd"/>
      <w:r w:rsidR="00AC61BC" w:rsidRPr="004B551C">
        <w:rPr>
          <w:sz w:val="20"/>
          <w:szCs w:val="20"/>
        </w:rPr>
        <w:t xml:space="preserve">, linalool and 1,8-cineol against </w:t>
      </w:r>
      <w:r w:rsidR="009867F7" w:rsidRPr="004B551C">
        <w:rPr>
          <w:sz w:val="20"/>
          <w:szCs w:val="20"/>
        </w:rPr>
        <w:t xml:space="preserve">some </w:t>
      </w:r>
      <w:r w:rsidR="00AC61BC" w:rsidRPr="004B551C">
        <w:rPr>
          <w:sz w:val="20"/>
          <w:szCs w:val="20"/>
        </w:rPr>
        <w:t xml:space="preserve">economically important </w:t>
      </w:r>
      <w:proofErr w:type="spellStart"/>
      <w:r w:rsidR="009867F7" w:rsidRPr="004B551C">
        <w:rPr>
          <w:sz w:val="20"/>
          <w:szCs w:val="20"/>
        </w:rPr>
        <w:t>p</w:t>
      </w:r>
      <w:r w:rsidR="00AC61BC" w:rsidRPr="004B551C">
        <w:rPr>
          <w:sz w:val="20"/>
          <w:szCs w:val="20"/>
        </w:rPr>
        <w:t>hytopathogic</w:t>
      </w:r>
      <w:proofErr w:type="spellEnd"/>
      <w:r w:rsidR="00AC61BC" w:rsidRPr="004B551C">
        <w:rPr>
          <w:sz w:val="20"/>
          <w:szCs w:val="20"/>
        </w:rPr>
        <w:t xml:space="preserve"> fungi</w:t>
      </w:r>
      <w:r w:rsidR="009867F7" w:rsidRPr="004B551C">
        <w:rPr>
          <w:sz w:val="20"/>
          <w:szCs w:val="20"/>
        </w:rPr>
        <w:t xml:space="preserve"> in the Egyptian environment</w:t>
      </w:r>
      <w:r w:rsidR="00AC61BC" w:rsidRPr="004B551C">
        <w:rPr>
          <w:sz w:val="20"/>
          <w:szCs w:val="20"/>
        </w:rPr>
        <w:t>.  The LC</w:t>
      </w:r>
      <w:r w:rsidR="00AC61BC" w:rsidRPr="004B551C">
        <w:rPr>
          <w:sz w:val="20"/>
          <w:szCs w:val="20"/>
          <w:vertAlign w:val="subscript"/>
        </w:rPr>
        <w:t>25</w:t>
      </w:r>
      <w:r w:rsidR="00AC61BC" w:rsidRPr="004B551C">
        <w:rPr>
          <w:sz w:val="20"/>
          <w:szCs w:val="20"/>
        </w:rPr>
        <w:t xml:space="preserve"> and LC</w:t>
      </w:r>
      <w:r w:rsidR="00AC61BC" w:rsidRPr="004B551C">
        <w:rPr>
          <w:sz w:val="20"/>
          <w:szCs w:val="20"/>
          <w:vertAlign w:val="subscript"/>
        </w:rPr>
        <w:t>50</w:t>
      </w:r>
      <w:r w:rsidR="00AC61BC" w:rsidRPr="004B551C">
        <w:rPr>
          <w:sz w:val="20"/>
          <w:szCs w:val="20"/>
        </w:rPr>
        <w:t xml:space="preserve">’s of the tested compounds against </w:t>
      </w:r>
      <w:r w:rsidR="00AC61BC" w:rsidRPr="004B551C">
        <w:rPr>
          <w:i/>
          <w:iCs/>
          <w:sz w:val="20"/>
          <w:szCs w:val="20"/>
        </w:rPr>
        <w:t xml:space="preserve">R. </w:t>
      </w:r>
      <w:proofErr w:type="spellStart"/>
      <w:r w:rsidR="00AC61BC" w:rsidRPr="004B551C">
        <w:rPr>
          <w:i/>
          <w:iCs/>
          <w:sz w:val="20"/>
          <w:szCs w:val="20"/>
        </w:rPr>
        <w:t>solani</w:t>
      </w:r>
      <w:proofErr w:type="spellEnd"/>
      <w:r w:rsidR="00AC61BC" w:rsidRPr="004B551C">
        <w:rPr>
          <w:i/>
          <w:iCs/>
          <w:sz w:val="20"/>
          <w:szCs w:val="20"/>
        </w:rPr>
        <w:t xml:space="preserve">, S. </w:t>
      </w:r>
      <w:proofErr w:type="spellStart"/>
      <w:r w:rsidR="00AC61BC" w:rsidRPr="004B551C">
        <w:rPr>
          <w:i/>
          <w:iCs/>
          <w:sz w:val="20"/>
          <w:szCs w:val="20"/>
        </w:rPr>
        <w:t>rol</w:t>
      </w:r>
      <w:r w:rsidR="009867F7" w:rsidRPr="004B551C">
        <w:rPr>
          <w:i/>
          <w:iCs/>
          <w:sz w:val="20"/>
          <w:szCs w:val="20"/>
        </w:rPr>
        <w:t>f</w:t>
      </w:r>
      <w:r w:rsidR="00AC61BC" w:rsidRPr="004B551C">
        <w:rPr>
          <w:i/>
          <w:iCs/>
          <w:sz w:val="20"/>
          <w:szCs w:val="20"/>
        </w:rPr>
        <w:t>sii</w:t>
      </w:r>
      <w:proofErr w:type="spellEnd"/>
      <w:r w:rsidR="00AC61BC" w:rsidRPr="004B551C">
        <w:rPr>
          <w:i/>
          <w:iCs/>
          <w:sz w:val="20"/>
          <w:szCs w:val="20"/>
        </w:rPr>
        <w:t xml:space="preserve">, B. </w:t>
      </w:r>
      <w:proofErr w:type="spellStart"/>
      <w:r w:rsidR="00AC61BC" w:rsidRPr="004B551C">
        <w:rPr>
          <w:i/>
          <w:iCs/>
          <w:sz w:val="20"/>
          <w:szCs w:val="20"/>
        </w:rPr>
        <w:t>cinerea</w:t>
      </w:r>
      <w:proofErr w:type="spellEnd"/>
      <w:r w:rsidR="00AC61BC" w:rsidRPr="004B551C">
        <w:rPr>
          <w:i/>
          <w:iCs/>
          <w:sz w:val="20"/>
          <w:szCs w:val="20"/>
        </w:rPr>
        <w:t xml:space="preserve">, F. </w:t>
      </w:r>
      <w:proofErr w:type="spellStart"/>
      <w:r w:rsidR="00AC61BC" w:rsidRPr="004B551C">
        <w:rPr>
          <w:i/>
          <w:iCs/>
          <w:sz w:val="20"/>
          <w:szCs w:val="20"/>
        </w:rPr>
        <w:t>oxysporum</w:t>
      </w:r>
      <w:proofErr w:type="spellEnd"/>
      <w:r w:rsidR="00AC61BC" w:rsidRPr="004B551C">
        <w:rPr>
          <w:i/>
          <w:iCs/>
          <w:sz w:val="20"/>
          <w:szCs w:val="20"/>
        </w:rPr>
        <w:t xml:space="preserve"> </w:t>
      </w:r>
      <w:r w:rsidR="00AC61BC" w:rsidRPr="004B551C">
        <w:rPr>
          <w:sz w:val="20"/>
          <w:szCs w:val="20"/>
        </w:rPr>
        <w:t xml:space="preserve">and </w:t>
      </w:r>
      <w:r w:rsidR="00AC61BC" w:rsidRPr="004B551C">
        <w:rPr>
          <w:i/>
          <w:iCs/>
          <w:sz w:val="20"/>
          <w:szCs w:val="20"/>
        </w:rPr>
        <w:t xml:space="preserve">A. </w:t>
      </w:r>
      <w:proofErr w:type="spellStart"/>
      <w:r w:rsidR="00AC61BC" w:rsidRPr="004B551C">
        <w:rPr>
          <w:i/>
          <w:iCs/>
          <w:sz w:val="20"/>
          <w:szCs w:val="20"/>
        </w:rPr>
        <w:t>solani</w:t>
      </w:r>
      <w:proofErr w:type="spellEnd"/>
      <w:r w:rsidR="00AC61BC" w:rsidRPr="004B551C">
        <w:rPr>
          <w:sz w:val="20"/>
          <w:szCs w:val="20"/>
        </w:rPr>
        <w:t xml:space="preserve"> were determined according to the relationship </w:t>
      </w:r>
      <w:r w:rsidR="00C76DF7" w:rsidRPr="004B551C">
        <w:rPr>
          <w:sz w:val="20"/>
          <w:szCs w:val="20"/>
        </w:rPr>
        <w:t>drawn between the lo</w:t>
      </w:r>
      <w:r w:rsidR="00AC61BC" w:rsidRPr="004B551C">
        <w:rPr>
          <w:sz w:val="20"/>
          <w:szCs w:val="20"/>
        </w:rPr>
        <w:t>g</w:t>
      </w:r>
      <w:r w:rsidR="00C76DF7" w:rsidRPr="004B551C">
        <w:rPr>
          <w:sz w:val="20"/>
          <w:szCs w:val="20"/>
        </w:rPr>
        <w:t>arithm</w:t>
      </w:r>
      <w:r w:rsidR="00AC61BC" w:rsidRPr="004B551C">
        <w:rPr>
          <w:sz w:val="20"/>
          <w:szCs w:val="20"/>
        </w:rPr>
        <w:t xml:space="preserve"> of concentration and the percen</w:t>
      </w:r>
      <w:r w:rsidR="009867F7" w:rsidRPr="004B551C">
        <w:rPr>
          <w:sz w:val="20"/>
          <w:szCs w:val="20"/>
        </w:rPr>
        <w:t>t</w:t>
      </w:r>
      <w:r w:rsidR="00AC61BC" w:rsidRPr="004B551C">
        <w:rPr>
          <w:sz w:val="20"/>
          <w:szCs w:val="20"/>
        </w:rPr>
        <w:t xml:space="preserve"> of growth inhibition</w:t>
      </w:r>
      <w:r w:rsidR="00C76DF7" w:rsidRPr="004B551C">
        <w:rPr>
          <w:sz w:val="20"/>
          <w:szCs w:val="20"/>
        </w:rPr>
        <w:t xml:space="preserve"> (</w:t>
      </w:r>
      <w:proofErr w:type="spellStart"/>
      <w:r w:rsidR="00C76DF7" w:rsidRPr="004B551C">
        <w:rPr>
          <w:sz w:val="20"/>
          <w:szCs w:val="20"/>
        </w:rPr>
        <w:t>ldp</w:t>
      </w:r>
      <w:proofErr w:type="spellEnd"/>
      <w:r w:rsidR="00C76DF7" w:rsidRPr="004B551C">
        <w:rPr>
          <w:sz w:val="20"/>
          <w:szCs w:val="20"/>
        </w:rPr>
        <w:t xml:space="preserve"> lines)</w:t>
      </w:r>
      <w:r w:rsidR="00B851E0" w:rsidRPr="004B551C">
        <w:rPr>
          <w:sz w:val="20"/>
          <w:szCs w:val="20"/>
        </w:rPr>
        <w:t xml:space="preserve">, and </w:t>
      </w:r>
      <w:r w:rsidR="00C76DF7" w:rsidRPr="004B551C">
        <w:rPr>
          <w:sz w:val="20"/>
          <w:szCs w:val="20"/>
        </w:rPr>
        <w:t xml:space="preserve">the toxicity indexes and relative potencies were calculated.  </w:t>
      </w:r>
      <w:proofErr w:type="spellStart"/>
      <w:r w:rsidR="00B851E0" w:rsidRPr="004B551C">
        <w:rPr>
          <w:sz w:val="20"/>
          <w:szCs w:val="20"/>
        </w:rPr>
        <w:t>T</w:t>
      </w:r>
      <w:r w:rsidR="00C76DF7" w:rsidRPr="004B551C">
        <w:rPr>
          <w:sz w:val="20"/>
          <w:szCs w:val="20"/>
        </w:rPr>
        <w:t>hymol</w:t>
      </w:r>
      <w:proofErr w:type="spellEnd"/>
      <w:r w:rsidR="00B851E0" w:rsidRPr="004B551C">
        <w:rPr>
          <w:sz w:val="20"/>
          <w:szCs w:val="20"/>
        </w:rPr>
        <w:t xml:space="preserve"> was the most effective compound</w:t>
      </w:r>
      <w:r w:rsidR="00590393" w:rsidRPr="004B551C">
        <w:rPr>
          <w:sz w:val="20"/>
          <w:szCs w:val="20"/>
        </w:rPr>
        <w:t xml:space="preserve"> followed by </w:t>
      </w:r>
      <w:proofErr w:type="spellStart"/>
      <w:r w:rsidR="00590393" w:rsidRPr="004B551C">
        <w:rPr>
          <w:sz w:val="20"/>
          <w:szCs w:val="20"/>
        </w:rPr>
        <w:t>eugenol</w:t>
      </w:r>
      <w:proofErr w:type="spellEnd"/>
      <w:r w:rsidR="00590393" w:rsidRPr="004B551C">
        <w:rPr>
          <w:sz w:val="20"/>
          <w:szCs w:val="20"/>
        </w:rPr>
        <w:t xml:space="preserve">, methyl </w:t>
      </w:r>
      <w:proofErr w:type="spellStart"/>
      <w:r w:rsidR="00590393" w:rsidRPr="004B551C">
        <w:rPr>
          <w:sz w:val="20"/>
          <w:szCs w:val="20"/>
        </w:rPr>
        <w:t>cinnamate</w:t>
      </w:r>
      <w:proofErr w:type="spellEnd"/>
      <w:r w:rsidR="009867F7" w:rsidRPr="004B551C">
        <w:rPr>
          <w:sz w:val="20"/>
          <w:szCs w:val="20"/>
        </w:rPr>
        <w:t xml:space="preserve"> and</w:t>
      </w:r>
      <w:r w:rsidR="00590393" w:rsidRPr="004B551C">
        <w:rPr>
          <w:sz w:val="20"/>
          <w:szCs w:val="20"/>
        </w:rPr>
        <w:t xml:space="preserve"> linalool against </w:t>
      </w:r>
      <w:r w:rsidR="00590393" w:rsidRPr="004B551C">
        <w:rPr>
          <w:i/>
          <w:iCs/>
          <w:sz w:val="20"/>
          <w:szCs w:val="20"/>
        </w:rPr>
        <w:t xml:space="preserve">R. </w:t>
      </w:r>
      <w:proofErr w:type="spellStart"/>
      <w:r w:rsidR="00590393" w:rsidRPr="004B551C">
        <w:rPr>
          <w:i/>
          <w:iCs/>
          <w:sz w:val="20"/>
          <w:szCs w:val="20"/>
        </w:rPr>
        <w:t>solani</w:t>
      </w:r>
      <w:proofErr w:type="spellEnd"/>
      <w:r w:rsidR="00590393" w:rsidRPr="004B551C">
        <w:rPr>
          <w:i/>
          <w:iCs/>
          <w:sz w:val="20"/>
          <w:szCs w:val="20"/>
        </w:rPr>
        <w:t xml:space="preserve">, F. </w:t>
      </w:r>
      <w:proofErr w:type="spellStart"/>
      <w:r w:rsidR="00590393" w:rsidRPr="004B551C">
        <w:rPr>
          <w:i/>
          <w:iCs/>
          <w:sz w:val="20"/>
          <w:szCs w:val="20"/>
        </w:rPr>
        <w:t>oxysporum</w:t>
      </w:r>
      <w:proofErr w:type="spellEnd"/>
      <w:r w:rsidR="00590393" w:rsidRPr="004B551C">
        <w:rPr>
          <w:i/>
          <w:iCs/>
          <w:sz w:val="20"/>
          <w:szCs w:val="20"/>
        </w:rPr>
        <w:t xml:space="preserve"> </w:t>
      </w:r>
      <w:r w:rsidR="00590393" w:rsidRPr="004B551C">
        <w:rPr>
          <w:sz w:val="20"/>
          <w:szCs w:val="20"/>
        </w:rPr>
        <w:t xml:space="preserve"> and </w:t>
      </w:r>
      <w:r w:rsidR="00590393" w:rsidRPr="004B551C">
        <w:rPr>
          <w:i/>
          <w:iCs/>
          <w:sz w:val="20"/>
          <w:szCs w:val="20"/>
        </w:rPr>
        <w:t xml:space="preserve">B. </w:t>
      </w:r>
      <w:proofErr w:type="spellStart"/>
      <w:r w:rsidR="00590393" w:rsidRPr="004B551C">
        <w:rPr>
          <w:i/>
          <w:iCs/>
          <w:sz w:val="20"/>
          <w:szCs w:val="20"/>
        </w:rPr>
        <w:t>cinerea</w:t>
      </w:r>
      <w:proofErr w:type="spellEnd"/>
      <w:r w:rsidR="00590393" w:rsidRPr="004B551C">
        <w:rPr>
          <w:i/>
          <w:iCs/>
          <w:sz w:val="20"/>
          <w:szCs w:val="20"/>
        </w:rPr>
        <w:t xml:space="preserve"> </w:t>
      </w:r>
      <w:r w:rsidR="00590393" w:rsidRPr="004B551C">
        <w:rPr>
          <w:sz w:val="20"/>
          <w:szCs w:val="20"/>
        </w:rPr>
        <w:t xml:space="preserve">whereas the </w:t>
      </w:r>
      <w:proofErr w:type="spellStart"/>
      <w:r w:rsidR="00590393" w:rsidRPr="004B551C">
        <w:rPr>
          <w:sz w:val="20"/>
          <w:szCs w:val="20"/>
        </w:rPr>
        <w:t>thymol</w:t>
      </w:r>
      <w:proofErr w:type="spellEnd"/>
      <w:r w:rsidR="00590393" w:rsidRPr="004B551C">
        <w:rPr>
          <w:sz w:val="20"/>
          <w:szCs w:val="20"/>
        </w:rPr>
        <w:t xml:space="preserve"> followed by methyl </w:t>
      </w:r>
      <w:proofErr w:type="spellStart"/>
      <w:r w:rsidR="00590393" w:rsidRPr="004B551C">
        <w:rPr>
          <w:sz w:val="20"/>
          <w:szCs w:val="20"/>
        </w:rPr>
        <w:t>cinnamate</w:t>
      </w:r>
      <w:proofErr w:type="spellEnd"/>
      <w:r w:rsidR="00590393" w:rsidRPr="004B551C">
        <w:rPr>
          <w:sz w:val="20"/>
          <w:szCs w:val="20"/>
        </w:rPr>
        <w:t xml:space="preserve">, </w:t>
      </w:r>
      <w:proofErr w:type="spellStart"/>
      <w:r w:rsidR="00590393" w:rsidRPr="004B551C">
        <w:rPr>
          <w:sz w:val="20"/>
          <w:szCs w:val="20"/>
        </w:rPr>
        <w:t>eugenol</w:t>
      </w:r>
      <w:proofErr w:type="spellEnd"/>
      <w:r w:rsidR="00590393" w:rsidRPr="004B551C">
        <w:rPr>
          <w:sz w:val="20"/>
          <w:szCs w:val="20"/>
        </w:rPr>
        <w:t xml:space="preserve"> and linalool were the most effective compound</w:t>
      </w:r>
      <w:r w:rsidR="00B851E0" w:rsidRPr="004B551C">
        <w:rPr>
          <w:sz w:val="20"/>
          <w:szCs w:val="20"/>
        </w:rPr>
        <w:t>s</w:t>
      </w:r>
      <w:r w:rsidR="00590393" w:rsidRPr="004B551C">
        <w:rPr>
          <w:sz w:val="20"/>
          <w:szCs w:val="20"/>
        </w:rPr>
        <w:t xml:space="preserve"> against </w:t>
      </w:r>
      <w:r w:rsidR="00590393" w:rsidRPr="004B551C">
        <w:rPr>
          <w:i/>
          <w:iCs/>
          <w:sz w:val="20"/>
          <w:szCs w:val="20"/>
        </w:rPr>
        <w:t xml:space="preserve">S. </w:t>
      </w:r>
      <w:proofErr w:type="spellStart"/>
      <w:r w:rsidR="00590393" w:rsidRPr="004B551C">
        <w:rPr>
          <w:i/>
          <w:iCs/>
          <w:sz w:val="20"/>
          <w:szCs w:val="20"/>
        </w:rPr>
        <w:t>rolfsii</w:t>
      </w:r>
      <w:proofErr w:type="spellEnd"/>
      <w:r w:rsidR="00590393" w:rsidRPr="004B551C">
        <w:rPr>
          <w:i/>
          <w:iCs/>
          <w:sz w:val="20"/>
          <w:szCs w:val="20"/>
        </w:rPr>
        <w:t xml:space="preserve"> </w:t>
      </w:r>
      <w:r w:rsidR="00590393" w:rsidRPr="004B551C">
        <w:rPr>
          <w:sz w:val="20"/>
          <w:szCs w:val="20"/>
        </w:rPr>
        <w:t xml:space="preserve">and </w:t>
      </w:r>
      <w:r w:rsidR="00590393" w:rsidRPr="004B551C">
        <w:rPr>
          <w:i/>
          <w:iCs/>
          <w:sz w:val="20"/>
          <w:szCs w:val="20"/>
        </w:rPr>
        <w:t xml:space="preserve">A. </w:t>
      </w:r>
      <w:proofErr w:type="spellStart"/>
      <w:r w:rsidR="00590393" w:rsidRPr="004B551C">
        <w:rPr>
          <w:i/>
          <w:iCs/>
          <w:sz w:val="20"/>
          <w:szCs w:val="20"/>
        </w:rPr>
        <w:t>solani</w:t>
      </w:r>
      <w:proofErr w:type="spellEnd"/>
      <w:r w:rsidR="00066784" w:rsidRPr="004B551C">
        <w:rPr>
          <w:sz w:val="20"/>
          <w:szCs w:val="20"/>
        </w:rPr>
        <w:t xml:space="preserve"> </w:t>
      </w:r>
      <w:proofErr w:type="spellStart"/>
      <w:r w:rsidR="00066784" w:rsidRPr="004B551C">
        <w:rPr>
          <w:sz w:val="20"/>
          <w:szCs w:val="20"/>
        </w:rPr>
        <w:t>descendingly</w:t>
      </w:r>
      <w:proofErr w:type="spellEnd"/>
      <w:r w:rsidR="00066784" w:rsidRPr="004B551C">
        <w:rPr>
          <w:sz w:val="20"/>
          <w:szCs w:val="20"/>
        </w:rPr>
        <w:t>.  The LC</w:t>
      </w:r>
      <w:r w:rsidR="00066784" w:rsidRPr="004B551C">
        <w:rPr>
          <w:sz w:val="20"/>
          <w:szCs w:val="20"/>
          <w:vertAlign w:val="subscript"/>
        </w:rPr>
        <w:t>50</w:t>
      </w:r>
      <w:r w:rsidR="00A90E36" w:rsidRPr="004B551C">
        <w:rPr>
          <w:sz w:val="20"/>
          <w:szCs w:val="20"/>
        </w:rPr>
        <w:t>’s</w:t>
      </w:r>
      <w:r w:rsidR="00066784" w:rsidRPr="004B551C">
        <w:rPr>
          <w:sz w:val="20"/>
          <w:szCs w:val="20"/>
          <w:vertAlign w:val="subscript"/>
        </w:rPr>
        <w:t xml:space="preserve"> </w:t>
      </w:r>
      <w:r w:rsidR="00066784" w:rsidRPr="004B551C">
        <w:rPr>
          <w:sz w:val="20"/>
          <w:szCs w:val="20"/>
        </w:rPr>
        <w:t xml:space="preserve">of </w:t>
      </w:r>
      <w:proofErr w:type="spellStart"/>
      <w:r w:rsidR="00066784" w:rsidRPr="004B551C">
        <w:rPr>
          <w:sz w:val="20"/>
          <w:szCs w:val="20"/>
        </w:rPr>
        <w:t>thymol</w:t>
      </w:r>
      <w:proofErr w:type="spellEnd"/>
      <w:r w:rsidR="00066784" w:rsidRPr="004B551C">
        <w:rPr>
          <w:sz w:val="20"/>
          <w:szCs w:val="20"/>
        </w:rPr>
        <w:t xml:space="preserve"> against </w:t>
      </w:r>
      <w:r w:rsidR="00066784" w:rsidRPr="004B551C">
        <w:rPr>
          <w:i/>
          <w:iCs/>
          <w:sz w:val="20"/>
          <w:szCs w:val="20"/>
        </w:rPr>
        <w:t xml:space="preserve">S. </w:t>
      </w:r>
      <w:proofErr w:type="spellStart"/>
      <w:r w:rsidR="00066784" w:rsidRPr="004B551C">
        <w:rPr>
          <w:i/>
          <w:iCs/>
          <w:sz w:val="20"/>
          <w:szCs w:val="20"/>
        </w:rPr>
        <w:t>rolfsii</w:t>
      </w:r>
      <w:proofErr w:type="spellEnd"/>
      <w:r w:rsidR="00066784" w:rsidRPr="004B551C">
        <w:rPr>
          <w:i/>
          <w:iCs/>
          <w:sz w:val="20"/>
          <w:szCs w:val="20"/>
        </w:rPr>
        <w:t xml:space="preserve">, R. </w:t>
      </w:r>
      <w:proofErr w:type="spellStart"/>
      <w:r w:rsidR="00066784" w:rsidRPr="004B551C">
        <w:rPr>
          <w:i/>
          <w:iCs/>
          <w:sz w:val="20"/>
          <w:szCs w:val="20"/>
        </w:rPr>
        <w:t>solani</w:t>
      </w:r>
      <w:proofErr w:type="spellEnd"/>
      <w:r w:rsidR="00066784" w:rsidRPr="004B551C">
        <w:rPr>
          <w:i/>
          <w:iCs/>
          <w:sz w:val="20"/>
          <w:szCs w:val="20"/>
        </w:rPr>
        <w:t xml:space="preserve">, B. </w:t>
      </w:r>
      <w:proofErr w:type="spellStart"/>
      <w:r w:rsidR="00066784" w:rsidRPr="004B551C">
        <w:rPr>
          <w:i/>
          <w:iCs/>
          <w:sz w:val="20"/>
          <w:szCs w:val="20"/>
        </w:rPr>
        <w:t>cinerea</w:t>
      </w:r>
      <w:proofErr w:type="spellEnd"/>
      <w:r w:rsidR="00066784" w:rsidRPr="004B551C">
        <w:rPr>
          <w:i/>
          <w:iCs/>
          <w:sz w:val="20"/>
          <w:szCs w:val="20"/>
        </w:rPr>
        <w:t xml:space="preserve">, F. </w:t>
      </w:r>
      <w:proofErr w:type="spellStart"/>
      <w:r w:rsidR="00066784" w:rsidRPr="004B551C">
        <w:rPr>
          <w:i/>
          <w:iCs/>
          <w:sz w:val="20"/>
          <w:szCs w:val="20"/>
        </w:rPr>
        <w:t>oxysporum</w:t>
      </w:r>
      <w:proofErr w:type="spellEnd"/>
      <w:r w:rsidR="00066784" w:rsidRPr="004B551C">
        <w:rPr>
          <w:i/>
          <w:iCs/>
          <w:sz w:val="20"/>
          <w:szCs w:val="20"/>
        </w:rPr>
        <w:t xml:space="preserve"> </w:t>
      </w:r>
      <w:r w:rsidR="00066784" w:rsidRPr="004B551C">
        <w:rPr>
          <w:sz w:val="20"/>
          <w:szCs w:val="20"/>
        </w:rPr>
        <w:t xml:space="preserve">and </w:t>
      </w:r>
      <w:r w:rsidR="00066784" w:rsidRPr="004B551C">
        <w:rPr>
          <w:i/>
          <w:iCs/>
          <w:sz w:val="20"/>
          <w:szCs w:val="20"/>
        </w:rPr>
        <w:t xml:space="preserve">A. </w:t>
      </w:r>
      <w:proofErr w:type="spellStart"/>
      <w:r w:rsidR="00066784" w:rsidRPr="004B551C">
        <w:rPr>
          <w:i/>
          <w:iCs/>
          <w:sz w:val="20"/>
          <w:szCs w:val="20"/>
        </w:rPr>
        <w:t>solani</w:t>
      </w:r>
      <w:proofErr w:type="spellEnd"/>
      <w:r w:rsidR="00066784" w:rsidRPr="004B551C">
        <w:rPr>
          <w:i/>
          <w:iCs/>
          <w:sz w:val="20"/>
          <w:szCs w:val="20"/>
        </w:rPr>
        <w:t xml:space="preserve"> </w:t>
      </w:r>
      <w:r w:rsidR="00066784" w:rsidRPr="004B551C">
        <w:rPr>
          <w:sz w:val="20"/>
          <w:szCs w:val="20"/>
        </w:rPr>
        <w:t>were 107.39, 59.28, 46.60, 81.89 and  156.41 µg/ml, respectively</w:t>
      </w:r>
      <w:r w:rsidR="00A90E36" w:rsidRPr="004B551C">
        <w:rPr>
          <w:sz w:val="20"/>
          <w:szCs w:val="20"/>
        </w:rPr>
        <w:t xml:space="preserve"> where the LC</w:t>
      </w:r>
      <w:r w:rsidR="00A90E36" w:rsidRPr="004B551C">
        <w:rPr>
          <w:sz w:val="20"/>
          <w:szCs w:val="20"/>
          <w:vertAlign w:val="subscript"/>
        </w:rPr>
        <w:t>50</w:t>
      </w:r>
      <w:r w:rsidR="00A90E36" w:rsidRPr="004B551C">
        <w:rPr>
          <w:sz w:val="20"/>
          <w:szCs w:val="20"/>
        </w:rPr>
        <w:t xml:space="preserve">’s of </w:t>
      </w:r>
      <w:proofErr w:type="spellStart"/>
      <w:r w:rsidR="00A90E36" w:rsidRPr="004B551C">
        <w:rPr>
          <w:sz w:val="20"/>
          <w:szCs w:val="20"/>
        </w:rPr>
        <w:t>eugenol</w:t>
      </w:r>
      <w:proofErr w:type="spellEnd"/>
      <w:r w:rsidR="00A90E36" w:rsidRPr="004B551C">
        <w:rPr>
          <w:sz w:val="20"/>
          <w:szCs w:val="20"/>
        </w:rPr>
        <w:t xml:space="preserve"> were </w:t>
      </w:r>
      <w:r w:rsidR="009D0781" w:rsidRPr="004B551C">
        <w:rPr>
          <w:sz w:val="20"/>
          <w:szCs w:val="20"/>
        </w:rPr>
        <w:t>254.47, 95.58, 270.47, 214.74 and 414.13 µg/ml and the LC</w:t>
      </w:r>
      <w:r w:rsidR="009D0781" w:rsidRPr="004B551C">
        <w:rPr>
          <w:sz w:val="20"/>
          <w:szCs w:val="20"/>
          <w:vertAlign w:val="subscript"/>
        </w:rPr>
        <w:t>50</w:t>
      </w:r>
      <w:r w:rsidR="009D0781" w:rsidRPr="004B551C">
        <w:rPr>
          <w:sz w:val="20"/>
          <w:szCs w:val="20"/>
        </w:rPr>
        <w:t xml:space="preserve">’s of methyl </w:t>
      </w:r>
      <w:proofErr w:type="spellStart"/>
      <w:r w:rsidR="009D0781" w:rsidRPr="004B551C">
        <w:rPr>
          <w:sz w:val="20"/>
          <w:szCs w:val="20"/>
        </w:rPr>
        <w:t>cinnamate</w:t>
      </w:r>
      <w:proofErr w:type="spellEnd"/>
      <w:r w:rsidR="009D0781" w:rsidRPr="004B551C">
        <w:rPr>
          <w:sz w:val="20"/>
          <w:szCs w:val="20"/>
        </w:rPr>
        <w:t xml:space="preserve"> were 216.3, 102.78, 288.55, 290.66 and 192.37 µg/ml, respectively.</w:t>
      </w:r>
      <w:r w:rsidR="009867F7" w:rsidRPr="004B551C">
        <w:rPr>
          <w:sz w:val="20"/>
          <w:szCs w:val="20"/>
        </w:rPr>
        <w:t xml:space="preserve"> The 1,8-cineol compound didn’t show any fungicidal activity</w:t>
      </w:r>
      <w:r w:rsidR="004B551C">
        <w:rPr>
          <w:sz w:val="20"/>
          <w:szCs w:val="20"/>
        </w:rPr>
        <w:t>.</w:t>
      </w:r>
    </w:p>
    <w:p w:rsidR="00276BF4" w:rsidRPr="004B551C" w:rsidRDefault="00276BF4" w:rsidP="004B551C">
      <w:pPr>
        <w:pStyle w:val="NoSpacing"/>
        <w:jc w:val="both"/>
        <w:rPr>
          <w:sz w:val="20"/>
          <w:szCs w:val="20"/>
          <w:vertAlign w:val="superscript"/>
        </w:rPr>
      </w:pPr>
      <w:r w:rsidRPr="004B551C">
        <w:rPr>
          <w:sz w:val="20"/>
          <w:szCs w:val="20"/>
          <w:lang w:bidi="ar-EG"/>
        </w:rPr>
        <w:t>[</w:t>
      </w:r>
      <w:proofErr w:type="spellStart"/>
      <w:r w:rsidRPr="004B551C">
        <w:rPr>
          <w:sz w:val="20"/>
          <w:szCs w:val="20"/>
          <w:lang w:eastAsia="ar-EG" w:bidi="ar-EG"/>
        </w:rPr>
        <w:t>Karam</w:t>
      </w:r>
      <w:proofErr w:type="spellEnd"/>
      <w:r w:rsidRPr="004B551C">
        <w:rPr>
          <w:sz w:val="20"/>
          <w:szCs w:val="20"/>
          <w:lang w:eastAsia="ar-EG" w:bidi="ar-EG"/>
        </w:rPr>
        <w:t xml:space="preserve"> EL-Din, A. </w:t>
      </w:r>
      <w:proofErr w:type="spellStart"/>
      <w:r w:rsidRPr="004B551C">
        <w:rPr>
          <w:sz w:val="20"/>
          <w:szCs w:val="20"/>
          <w:lang w:eastAsia="ar-EG" w:bidi="ar-EG"/>
        </w:rPr>
        <w:t>Zahraa</w:t>
      </w:r>
      <w:proofErr w:type="spellEnd"/>
      <w:r w:rsidRPr="004B551C">
        <w:rPr>
          <w:sz w:val="20"/>
          <w:szCs w:val="20"/>
          <w:lang w:eastAsia="ar-EG" w:bidi="ar-EG"/>
        </w:rPr>
        <w:t>;</w:t>
      </w:r>
      <w:r w:rsidRPr="004B551C">
        <w:rPr>
          <w:sz w:val="20"/>
          <w:szCs w:val="20"/>
        </w:rPr>
        <w:t xml:space="preserve"> El-</w:t>
      </w:r>
      <w:proofErr w:type="spellStart"/>
      <w:r w:rsidRPr="004B551C">
        <w:rPr>
          <w:sz w:val="20"/>
          <w:szCs w:val="20"/>
        </w:rPr>
        <w:t>Shiekh</w:t>
      </w:r>
      <w:proofErr w:type="spellEnd"/>
      <w:r w:rsidRPr="004B551C">
        <w:rPr>
          <w:sz w:val="20"/>
          <w:szCs w:val="20"/>
        </w:rPr>
        <w:t xml:space="preserve">, Y.W. A.; </w:t>
      </w:r>
      <w:proofErr w:type="spellStart"/>
      <w:r w:rsidRPr="004B551C">
        <w:rPr>
          <w:sz w:val="20"/>
          <w:szCs w:val="20"/>
        </w:rPr>
        <w:t>Nour</w:t>
      </w:r>
      <w:proofErr w:type="spellEnd"/>
      <w:r w:rsidRPr="004B551C">
        <w:rPr>
          <w:sz w:val="20"/>
          <w:szCs w:val="20"/>
        </w:rPr>
        <w:t xml:space="preserve"> El-Din, A. </w:t>
      </w:r>
      <w:proofErr w:type="spellStart"/>
      <w:r w:rsidRPr="004B551C">
        <w:rPr>
          <w:sz w:val="20"/>
          <w:szCs w:val="20"/>
        </w:rPr>
        <w:t>Hanan</w:t>
      </w:r>
      <w:proofErr w:type="spellEnd"/>
      <w:r w:rsidRPr="004B551C">
        <w:rPr>
          <w:sz w:val="20"/>
          <w:szCs w:val="20"/>
          <w:vertAlign w:val="superscript"/>
        </w:rPr>
        <w:t xml:space="preserve"> </w:t>
      </w:r>
      <w:r w:rsidRPr="004B551C">
        <w:rPr>
          <w:sz w:val="20"/>
          <w:szCs w:val="20"/>
        </w:rPr>
        <w:t xml:space="preserve">and Mohamed, A. A. </w:t>
      </w:r>
      <w:proofErr w:type="spellStart"/>
      <w:r w:rsidRPr="004B551C">
        <w:rPr>
          <w:sz w:val="20"/>
          <w:szCs w:val="20"/>
        </w:rPr>
        <w:t>Shaymaa</w:t>
      </w:r>
      <w:proofErr w:type="spellEnd"/>
      <w:r w:rsidR="004B551C" w:rsidRPr="004B551C">
        <w:rPr>
          <w:sz w:val="20"/>
          <w:szCs w:val="20"/>
        </w:rPr>
        <w:t xml:space="preserve">. </w:t>
      </w:r>
      <w:r w:rsidRPr="004B551C">
        <w:rPr>
          <w:b/>
          <w:bCs/>
          <w:sz w:val="20"/>
          <w:szCs w:val="20"/>
          <w:lang w:bidi="ar-EG"/>
        </w:rPr>
        <w:t xml:space="preserve">Antifungal activity of some Naturally Occurring Compounds against Economically Important </w:t>
      </w:r>
      <w:proofErr w:type="spellStart"/>
      <w:r w:rsidRPr="004B551C">
        <w:rPr>
          <w:b/>
          <w:bCs/>
          <w:sz w:val="20"/>
          <w:szCs w:val="20"/>
          <w:lang w:bidi="ar-EG"/>
        </w:rPr>
        <w:t>Phytopathogic</w:t>
      </w:r>
      <w:proofErr w:type="spellEnd"/>
      <w:r w:rsidRPr="004B551C">
        <w:rPr>
          <w:b/>
          <w:bCs/>
          <w:sz w:val="20"/>
          <w:szCs w:val="20"/>
          <w:lang w:bidi="ar-EG"/>
        </w:rPr>
        <w:t xml:space="preserve"> Fungi</w:t>
      </w:r>
      <w:r w:rsidR="004B551C" w:rsidRPr="004B551C">
        <w:rPr>
          <w:b/>
          <w:bCs/>
          <w:sz w:val="20"/>
          <w:szCs w:val="20"/>
          <w:lang w:bidi="ar-EG"/>
        </w:rPr>
        <w:t>.</w:t>
      </w:r>
      <w:r w:rsidR="004B551C" w:rsidRPr="004B551C">
        <w:rPr>
          <w:sz w:val="20"/>
          <w:szCs w:val="20"/>
          <w:lang w:bidi="ar-EG"/>
        </w:rPr>
        <w:t xml:space="preserve"> Nat </w:t>
      </w:r>
      <w:proofErr w:type="spellStart"/>
      <w:r w:rsidR="004B551C" w:rsidRPr="004B551C">
        <w:rPr>
          <w:sz w:val="20"/>
          <w:szCs w:val="20"/>
          <w:lang w:bidi="ar-EG"/>
        </w:rPr>
        <w:t>Sci</w:t>
      </w:r>
      <w:proofErr w:type="spellEnd"/>
      <w:r w:rsidR="004B551C" w:rsidRPr="004B551C">
        <w:rPr>
          <w:sz w:val="20"/>
          <w:szCs w:val="20"/>
          <w:lang w:bidi="ar-EG"/>
        </w:rPr>
        <w:t xml:space="preserve"> 2012;10(6</w:t>
      </w:r>
      <w:r w:rsidRPr="004B551C">
        <w:rPr>
          <w:sz w:val="20"/>
          <w:szCs w:val="20"/>
          <w:lang w:bidi="ar-EG"/>
        </w:rPr>
        <w:t>):</w:t>
      </w:r>
      <w:r w:rsidR="004B551C" w:rsidRPr="004B551C">
        <w:rPr>
          <w:sz w:val="20"/>
          <w:szCs w:val="20"/>
          <w:lang w:bidi="ar-EG"/>
        </w:rPr>
        <w:t>114</w:t>
      </w:r>
      <w:r w:rsidRPr="004B551C">
        <w:rPr>
          <w:sz w:val="20"/>
          <w:szCs w:val="20"/>
          <w:lang w:bidi="ar-EG"/>
        </w:rPr>
        <w:t>-</w:t>
      </w:r>
      <w:r w:rsidR="00CE09F5">
        <w:rPr>
          <w:sz w:val="20"/>
          <w:szCs w:val="20"/>
          <w:lang w:bidi="ar-EG"/>
        </w:rPr>
        <w:t>123</w:t>
      </w:r>
      <w:r w:rsidRPr="004B551C">
        <w:rPr>
          <w:sz w:val="20"/>
          <w:szCs w:val="20"/>
          <w:lang w:bidi="ar-EG"/>
        </w:rPr>
        <w:t>]. (ISSN: 1545-0740). http://www.sciencepub.net.</w:t>
      </w:r>
    </w:p>
    <w:p w:rsidR="00276BF4" w:rsidRPr="004B551C" w:rsidRDefault="00276BF4" w:rsidP="004B551C">
      <w:pPr>
        <w:pStyle w:val="BodyTextIndent3"/>
        <w:tabs>
          <w:tab w:val="right" w:pos="284"/>
          <w:tab w:val="left" w:pos="8575"/>
        </w:tabs>
        <w:bidi w:val="0"/>
        <w:spacing w:after="0"/>
        <w:ind w:left="1134" w:hanging="1134"/>
        <w:jc w:val="both"/>
        <w:rPr>
          <w:b/>
          <w:bCs/>
          <w:sz w:val="20"/>
          <w:szCs w:val="20"/>
        </w:rPr>
      </w:pPr>
    </w:p>
    <w:p w:rsidR="00260CAA" w:rsidRPr="004B551C" w:rsidRDefault="00260CAA" w:rsidP="004B551C">
      <w:pPr>
        <w:pStyle w:val="BodyTextIndent3"/>
        <w:tabs>
          <w:tab w:val="right" w:pos="284"/>
          <w:tab w:val="left" w:pos="8575"/>
        </w:tabs>
        <w:bidi w:val="0"/>
        <w:spacing w:after="0"/>
        <w:ind w:left="1134" w:hanging="1134"/>
        <w:jc w:val="both"/>
        <w:rPr>
          <w:i/>
          <w:iCs/>
          <w:sz w:val="20"/>
          <w:szCs w:val="20"/>
        </w:rPr>
      </w:pPr>
      <w:r w:rsidRPr="004B551C">
        <w:rPr>
          <w:b/>
          <w:bCs/>
          <w:sz w:val="20"/>
          <w:szCs w:val="20"/>
        </w:rPr>
        <w:t>Key words:</w:t>
      </w:r>
      <w:r w:rsidR="000477EA" w:rsidRPr="004B551C">
        <w:rPr>
          <w:b/>
          <w:bCs/>
          <w:sz w:val="20"/>
          <w:szCs w:val="20"/>
        </w:rPr>
        <w:t xml:space="preserve"> </w:t>
      </w:r>
      <w:r w:rsidR="000477EA" w:rsidRPr="004B551C">
        <w:rPr>
          <w:sz w:val="20"/>
          <w:szCs w:val="20"/>
        </w:rPr>
        <w:t xml:space="preserve">antifungal activity, </w:t>
      </w:r>
      <w:proofErr w:type="spellStart"/>
      <w:r w:rsidR="000477EA" w:rsidRPr="004B551C">
        <w:rPr>
          <w:sz w:val="20"/>
          <w:szCs w:val="20"/>
        </w:rPr>
        <w:t>thymol</w:t>
      </w:r>
      <w:proofErr w:type="spellEnd"/>
      <w:r w:rsidR="000477EA" w:rsidRPr="004B551C">
        <w:rPr>
          <w:sz w:val="20"/>
          <w:szCs w:val="20"/>
        </w:rPr>
        <w:t xml:space="preserve">, </w:t>
      </w:r>
      <w:proofErr w:type="spellStart"/>
      <w:r w:rsidR="000477EA" w:rsidRPr="004B551C">
        <w:rPr>
          <w:sz w:val="20"/>
          <w:szCs w:val="20"/>
        </w:rPr>
        <w:t>eugenol</w:t>
      </w:r>
      <w:proofErr w:type="spellEnd"/>
      <w:r w:rsidR="000477EA" w:rsidRPr="004B551C">
        <w:rPr>
          <w:sz w:val="20"/>
          <w:szCs w:val="20"/>
        </w:rPr>
        <w:t xml:space="preserve">, methyl </w:t>
      </w:r>
      <w:proofErr w:type="spellStart"/>
      <w:r w:rsidR="000477EA" w:rsidRPr="004B551C">
        <w:rPr>
          <w:sz w:val="20"/>
          <w:szCs w:val="20"/>
        </w:rPr>
        <w:t>cinnamate</w:t>
      </w:r>
      <w:proofErr w:type="spellEnd"/>
      <w:r w:rsidR="000477EA" w:rsidRPr="004B551C">
        <w:rPr>
          <w:sz w:val="20"/>
          <w:szCs w:val="20"/>
        </w:rPr>
        <w:t xml:space="preserve">, linalool, 1,8-cineol, </w:t>
      </w:r>
      <w:r w:rsidR="000477EA" w:rsidRPr="004B551C">
        <w:rPr>
          <w:i/>
          <w:iCs/>
          <w:sz w:val="20"/>
          <w:szCs w:val="20"/>
        </w:rPr>
        <w:t xml:space="preserve">R. </w:t>
      </w:r>
      <w:proofErr w:type="spellStart"/>
      <w:r w:rsidR="000477EA" w:rsidRPr="004B551C">
        <w:rPr>
          <w:i/>
          <w:iCs/>
          <w:sz w:val="20"/>
          <w:szCs w:val="20"/>
        </w:rPr>
        <w:t>solani</w:t>
      </w:r>
      <w:proofErr w:type="spellEnd"/>
      <w:r w:rsidR="000477EA" w:rsidRPr="004B551C">
        <w:rPr>
          <w:i/>
          <w:iCs/>
          <w:sz w:val="20"/>
          <w:szCs w:val="20"/>
        </w:rPr>
        <w:t xml:space="preserve">, A. </w:t>
      </w:r>
      <w:proofErr w:type="spellStart"/>
      <w:r w:rsidR="000477EA" w:rsidRPr="004B551C">
        <w:rPr>
          <w:i/>
          <w:iCs/>
          <w:sz w:val="20"/>
          <w:szCs w:val="20"/>
        </w:rPr>
        <w:t>solani</w:t>
      </w:r>
      <w:proofErr w:type="spellEnd"/>
      <w:r w:rsidR="000477EA" w:rsidRPr="004B551C">
        <w:rPr>
          <w:i/>
          <w:iCs/>
          <w:sz w:val="20"/>
          <w:szCs w:val="20"/>
        </w:rPr>
        <w:t xml:space="preserve">, B. </w:t>
      </w:r>
      <w:proofErr w:type="spellStart"/>
      <w:r w:rsidR="000477EA" w:rsidRPr="004B551C">
        <w:rPr>
          <w:i/>
          <w:iCs/>
          <w:sz w:val="20"/>
          <w:szCs w:val="20"/>
        </w:rPr>
        <w:t>cinerea</w:t>
      </w:r>
      <w:proofErr w:type="spellEnd"/>
      <w:r w:rsidR="000477EA" w:rsidRPr="004B551C">
        <w:rPr>
          <w:i/>
          <w:iCs/>
          <w:sz w:val="20"/>
          <w:szCs w:val="20"/>
        </w:rPr>
        <w:t xml:space="preserve">, F. </w:t>
      </w:r>
      <w:proofErr w:type="spellStart"/>
      <w:r w:rsidR="000477EA" w:rsidRPr="004B551C">
        <w:rPr>
          <w:i/>
          <w:iCs/>
          <w:sz w:val="20"/>
          <w:szCs w:val="20"/>
        </w:rPr>
        <w:t>oxysporum</w:t>
      </w:r>
      <w:proofErr w:type="spellEnd"/>
      <w:r w:rsidR="000477EA" w:rsidRPr="004B551C">
        <w:rPr>
          <w:i/>
          <w:iCs/>
          <w:sz w:val="20"/>
          <w:szCs w:val="20"/>
        </w:rPr>
        <w:t xml:space="preserve"> </w:t>
      </w:r>
      <w:r w:rsidR="000477EA" w:rsidRPr="004B551C">
        <w:rPr>
          <w:sz w:val="20"/>
          <w:szCs w:val="20"/>
        </w:rPr>
        <w:t xml:space="preserve">and </w:t>
      </w:r>
      <w:r w:rsidR="000477EA" w:rsidRPr="004B551C">
        <w:rPr>
          <w:i/>
          <w:iCs/>
          <w:sz w:val="20"/>
          <w:szCs w:val="20"/>
        </w:rPr>
        <w:t xml:space="preserve">S. </w:t>
      </w:r>
      <w:proofErr w:type="spellStart"/>
      <w:r w:rsidR="000477EA" w:rsidRPr="004B551C">
        <w:rPr>
          <w:i/>
          <w:iCs/>
          <w:sz w:val="20"/>
          <w:szCs w:val="20"/>
        </w:rPr>
        <w:t>roflsii</w:t>
      </w:r>
      <w:proofErr w:type="spellEnd"/>
    </w:p>
    <w:p w:rsidR="00260CAA" w:rsidRPr="004B551C" w:rsidRDefault="00260CAA" w:rsidP="004B551C">
      <w:pPr>
        <w:pStyle w:val="BodyTextIndent3"/>
        <w:tabs>
          <w:tab w:val="right" w:pos="0"/>
          <w:tab w:val="left" w:pos="8575"/>
        </w:tabs>
        <w:bidi w:val="0"/>
        <w:spacing w:after="0"/>
        <w:ind w:left="0"/>
        <w:jc w:val="both"/>
        <w:rPr>
          <w:b/>
          <w:bCs/>
          <w:sz w:val="20"/>
          <w:szCs w:val="20"/>
        </w:rPr>
      </w:pPr>
    </w:p>
    <w:p w:rsidR="00260CAA" w:rsidRPr="004B551C" w:rsidRDefault="00260CAA" w:rsidP="004B551C">
      <w:pPr>
        <w:pStyle w:val="BodyTextIndent3"/>
        <w:tabs>
          <w:tab w:val="right" w:pos="0"/>
          <w:tab w:val="left" w:pos="8575"/>
        </w:tabs>
        <w:bidi w:val="0"/>
        <w:spacing w:after="0"/>
        <w:ind w:left="0"/>
        <w:jc w:val="both"/>
        <w:rPr>
          <w:b/>
          <w:bCs/>
          <w:sz w:val="20"/>
          <w:szCs w:val="20"/>
        </w:rPr>
        <w:sectPr w:rsidR="00260CAA" w:rsidRPr="004B551C" w:rsidSect="004B551C">
          <w:headerReference w:type="default" r:id="rId9"/>
          <w:footerReference w:type="even" r:id="rId10"/>
          <w:footerReference w:type="default" r:id="rId11"/>
          <w:type w:val="continuous"/>
          <w:pgSz w:w="12240" w:h="15840" w:code="1"/>
          <w:pgMar w:top="1440" w:right="1440" w:bottom="851" w:left="1440" w:header="720" w:footer="510" w:gutter="0"/>
          <w:pgNumType w:start="114"/>
          <w:cols w:space="720"/>
          <w:docGrid w:linePitch="360"/>
        </w:sectPr>
      </w:pPr>
    </w:p>
    <w:p w:rsidR="008B158E" w:rsidRPr="004B551C" w:rsidRDefault="00276BF4" w:rsidP="004B551C">
      <w:pPr>
        <w:rPr>
          <w:b/>
          <w:bCs/>
          <w:sz w:val="20"/>
          <w:szCs w:val="20"/>
          <w:lang w:bidi="ar-EG"/>
        </w:rPr>
      </w:pPr>
      <w:r w:rsidRPr="004B551C">
        <w:rPr>
          <w:b/>
          <w:bCs/>
          <w:sz w:val="20"/>
          <w:szCs w:val="20"/>
          <w:lang w:bidi="ar-EG"/>
        </w:rPr>
        <w:lastRenderedPageBreak/>
        <w:t>1. Introduction</w:t>
      </w:r>
      <w:r w:rsidR="008B158E" w:rsidRPr="004B551C">
        <w:rPr>
          <w:b/>
          <w:bCs/>
          <w:sz w:val="20"/>
          <w:szCs w:val="20"/>
          <w:lang w:bidi="ar-EG"/>
        </w:rPr>
        <w:t>:</w:t>
      </w:r>
    </w:p>
    <w:p w:rsidR="008B158E" w:rsidRPr="004B551C" w:rsidRDefault="008B158E" w:rsidP="004B551C">
      <w:pPr>
        <w:autoSpaceDE w:val="0"/>
        <w:autoSpaceDN w:val="0"/>
        <w:adjustRightInd w:val="0"/>
        <w:ind w:firstLine="284"/>
        <w:jc w:val="lowKashida"/>
        <w:rPr>
          <w:b/>
          <w:bCs/>
          <w:sz w:val="20"/>
          <w:szCs w:val="20"/>
        </w:rPr>
      </w:pPr>
      <w:r w:rsidRPr="004B551C">
        <w:rPr>
          <w:sz w:val="20"/>
          <w:szCs w:val="20"/>
        </w:rPr>
        <w:t xml:space="preserve">Food safety is an increasingly important public health issue. Nearly, 30% people in the world suffer from food borne diseases every year caused by microbes </w:t>
      </w:r>
      <w:r w:rsidRPr="004B551C">
        <w:rPr>
          <w:b/>
          <w:bCs/>
          <w:sz w:val="20"/>
          <w:szCs w:val="20"/>
        </w:rPr>
        <w:t xml:space="preserve">(Burt, 2004; </w:t>
      </w:r>
      <w:proofErr w:type="spellStart"/>
      <w:r w:rsidRPr="004B551C">
        <w:rPr>
          <w:b/>
          <w:bCs/>
          <w:sz w:val="20"/>
          <w:szCs w:val="20"/>
        </w:rPr>
        <w:t>Shephard</w:t>
      </w:r>
      <w:proofErr w:type="spellEnd"/>
      <w:r w:rsidRPr="004B551C">
        <w:rPr>
          <w:b/>
          <w:bCs/>
          <w:sz w:val="20"/>
          <w:szCs w:val="20"/>
        </w:rPr>
        <w:t xml:space="preserve">, 2008).  </w:t>
      </w:r>
      <w:r w:rsidRPr="004B551C">
        <w:rPr>
          <w:sz w:val="20"/>
          <w:szCs w:val="20"/>
        </w:rPr>
        <w:t xml:space="preserve">Most diseases in plants are caused </w:t>
      </w:r>
      <w:r w:rsidR="00C77128" w:rsidRPr="004B551C">
        <w:rPr>
          <w:sz w:val="20"/>
          <w:szCs w:val="20"/>
        </w:rPr>
        <w:t>by</w:t>
      </w:r>
      <w:r w:rsidRPr="004B551C">
        <w:rPr>
          <w:sz w:val="20"/>
          <w:szCs w:val="20"/>
        </w:rPr>
        <w:t xml:space="preserve"> various pathogens including fungi, nematodes, bacteria, and viruses </w:t>
      </w:r>
      <w:r w:rsidRPr="004B551C">
        <w:rPr>
          <w:b/>
          <w:bCs/>
          <w:sz w:val="20"/>
          <w:szCs w:val="20"/>
        </w:rPr>
        <w:t>(</w:t>
      </w:r>
      <w:proofErr w:type="spellStart"/>
      <w:r w:rsidRPr="004B551C">
        <w:rPr>
          <w:b/>
          <w:bCs/>
          <w:sz w:val="20"/>
          <w:szCs w:val="20"/>
        </w:rPr>
        <w:t>Montesinos</w:t>
      </w:r>
      <w:proofErr w:type="spellEnd"/>
      <w:r w:rsidRPr="004B551C">
        <w:rPr>
          <w:b/>
          <w:bCs/>
          <w:sz w:val="20"/>
          <w:szCs w:val="20"/>
        </w:rPr>
        <w:t>, 2003).</w:t>
      </w:r>
      <w:r w:rsidRPr="004B551C">
        <w:rPr>
          <w:sz w:val="20"/>
          <w:szCs w:val="20"/>
        </w:rPr>
        <w:t xml:space="preserve"> Fungi are the major pathogens and a source of many diseases of plants. Pathogenic fungi also could decrease the growth of many economically important crops </w:t>
      </w:r>
      <w:r w:rsidRPr="004B551C">
        <w:rPr>
          <w:b/>
          <w:bCs/>
          <w:sz w:val="20"/>
          <w:szCs w:val="20"/>
        </w:rPr>
        <w:t xml:space="preserve">(Fletcher </w:t>
      </w:r>
      <w:r w:rsidRPr="004B551C">
        <w:rPr>
          <w:b/>
          <w:bCs/>
          <w:i/>
          <w:iCs/>
          <w:sz w:val="20"/>
          <w:szCs w:val="20"/>
        </w:rPr>
        <w:t>et al.,</w:t>
      </w:r>
      <w:r w:rsidRPr="004B551C">
        <w:rPr>
          <w:b/>
          <w:bCs/>
          <w:sz w:val="20"/>
          <w:szCs w:val="20"/>
        </w:rPr>
        <w:t xml:space="preserve"> 2006).</w:t>
      </w:r>
    </w:p>
    <w:p w:rsidR="008B158E" w:rsidRPr="004B551C" w:rsidRDefault="008B158E" w:rsidP="004B551C">
      <w:pPr>
        <w:autoSpaceDE w:val="0"/>
        <w:autoSpaceDN w:val="0"/>
        <w:adjustRightInd w:val="0"/>
        <w:ind w:firstLine="284"/>
        <w:jc w:val="lowKashida"/>
        <w:rPr>
          <w:sz w:val="20"/>
          <w:szCs w:val="20"/>
        </w:rPr>
      </w:pPr>
      <w:r w:rsidRPr="004B551C">
        <w:rPr>
          <w:sz w:val="20"/>
          <w:szCs w:val="20"/>
        </w:rPr>
        <w:t xml:space="preserve">Moulds or microscopic </w:t>
      </w:r>
      <w:proofErr w:type="spellStart"/>
      <w:r w:rsidRPr="004B551C">
        <w:rPr>
          <w:sz w:val="20"/>
          <w:szCs w:val="20"/>
        </w:rPr>
        <w:t>ﬁlamentous</w:t>
      </w:r>
      <w:proofErr w:type="spellEnd"/>
      <w:r w:rsidRPr="004B551C">
        <w:rPr>
          <w:sz w:val="20"/>
          <w:szCs w:val="20"/>
        </w:rPr>
        <w:t xml:space="preserve"> fungi are ubiquitous microorganisms with a great capacity to colonize many kinds of substrates and to proliferate under extreme environmental conditions </w:t>
      </w:r>
      <w:r w:rsidRPr="004B551C">
        <w:rPr>
          <w:b/>
          <w:bCs/>
          <w:sz w:val="20"/>
          <w:szCs w:val="20"/>
        </w:rPr>
        <w:t xml:space="preserve">(Singh </w:t>
      </w:r>
      <w:r w:rsidRPr="004B551C">
        <w:rPr>
          <w:b/>
          <w:bCs/>
          <w:i/>
          <w:iCs/>
          <w:sz w:val="20"/>
          <w:szCs w:val="20"/>
        </w:rPr>
        <w:t>et al.,</w:t>
      </w:r>
      <w:r w:rsidRPr="004B551C">
        <w:rPr>
          <w:b/>
          <w:bCs/>
          <w:sz w:val="20"/>
          <w:szCs w:val="20"/>
        </w:rPr>
        <w:t xml:space="preserve"> 1991; </w:t>
      </w:r>
      <w:proofErr w:type="spellStart"/>
      <w:r w:rsidRPr="004B551C">
        <w:rPr>
          <w:b/>
          <w:bCs/>
          <w:sz w:val="20"/>
          <w:szCs w:val="20"/>
        </w:rPr>
        <w:t>Nickelsen</w:t>
      </w:r>
      <w:proofErr w:type="spellEnd"/>
      <w:r w:rsidRPr="004B551C">
        <w:rPr>
          <w:b/>
          <w:bCs/>
          <w:sz w:val="20"/>
          <w:szCs w:val="20"/>
        </w:rPr>
        <w:t xml:space="preserve"> and </w:t>
      </w:r>
      <w:proofErr w:type="spellStart"/>
      <w:r w:rsidRPr="004B551C">
        <w:rPr>
          <w:b/>
          <w:bCs/>
          <w:sz w:val="20"/>
          <w:szCs w:val="20"/>
        </w:rPr>
        <w:t>Jakobsen</w:t>
      </w:r>
      <w:proofErr w:type="spellEnd"/>
      <w:r w:rsidRPr="004B551C">
        <w:rPr>
          <w:b/>
          <w:bCs/>
          <w:sz w:val="20"/>
          <w:szCs w:val="20"/>
        </w:rPr>
        <w:t>, 1997)</w:t>
      </w:r>
      <w:r w:rsidRPr="004B551C">
        <w:rPr>
          <w:sz w:val="20"/>
          <w:szCs w:val="20"/>
        </w:rPr>
        <w:t xml:space="preserve">. Poor storage management can lead to rapid deterioration in nutritional quality of food commodities with production of volatile metabolites giving off-odors. Moulds also produce </w:t>
      </w:r>
      <w:proofErr w:type="spellStart"/>
      <w:r w:rsidRPr="004B551C">
        <w:rPr>
          <w:sz w:val="20"/>
          <w:szCs w:val="20"/>
        </w:rPr>
        <w:t>mycotoxins</w:t>
      </w:r>
      <w:proofErr w:type="spellEnd"/>
      <w:r w:rsidRPr="004B551C">
        <w:rPr>
          <w:sz w:val="20"/>
          <w:szCs w:val="20"/>
        </w:rPr>
        <w:t xml:space="preserve"> that can be </w:t>
      </w:r>
      <w:proofErr w:type="spellStart"/>
      <w:r w:rsidRPr="004B551C">
        <w:rPr>
          <w:sz w:val="20"/>
          <w:szCs w:val="20"/>
        </w:rPr>
        <w:t>teratogenic</w:t>
      </w:r>
      <w:proofErr w:type="spellEnd"/>
      <w:r w:rsidRPr="004B551C">
        <w:rPr>
          <w:sz w:val="20"/>
          <w:szCs w:val="20"/>
        </w:rPr>
        <w:t xml:space="preserve">, carcinogenic or cause feed refusal and emesis </w:t>
      </w:r>
      <w:r w:rsidRPr="004B551C">
        <w:rPr>
          <w:b/>
          <w:bCs/>
          <w:sz w:val="20"/>
          <w:szCs w:val="20"/>
        </w:rPr>
        <w:t xml:space="preserve">(Yu </w:t>
      </w:r>
      <w:r w:rsidRPr="004B551C">
        <w:rPr>
          <w:b/>
          <w:bCs/>
          <w:i/>
          <w:iCs/>
          <w:sz w:val="20"/>
          <w:szCs w:val="20"/>
        </w:rPr>
        <w:t>et al.,</w:t>
      </w:r>
      <w:r w:rsidRPr="004B551C">
        <w:rPr>
          <w:b/>
          <w:bCs/>
          <w:sz w:val="20"/>
          <w:szCs w:val="20"/>
        </w:rPr>
        <w:t xml:space="preserve"> 2003; </w:t>
      </w:r>
      <w:proofErr w:type="spellStart"/>
      <w:r w:rsidRPr="004B551C">
        <w:rPr>
          <w:b/>
          <w:bCs/>
          <w:sz w:val="20"/>
          <w:szCs w:val="20"/>
        </w:rPr>
        <w:t>Magan</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2004)</w:t>
      </w:r>
      <w:r w:rsidRPr="004B551C">
        <w:rPr>
          <w:sz w:val="20"/>
          <w:szCs w:val="20"/>
        </w:rPr>
        <w:t xml:space="preserve">.  Synthetic chemicals are widely used in the control of plant diseases. However, these chemicals may cause toxic residues in treated products </w:t>
      </w:r>
      <w:r w:rsidRPr="004B551C">
        <w:rPr>
          <w:b/>
          <w:bCs/>
          <w:sz w:val="20"/>
          <w:szCs w:val="20"/>
        </w:rPr>
        <w:t xml:space="preserve">(Barnard </w:t>
      </w:r>
      <w:r w:rsidRPr="004B551C">
        <w:rPr>
          <w:b/>
          <w:bCs/>
          <w:i/>
          <w:iCs/>
          <w:sz w:val="20"/>
          <w:szCs w:val="20"/>
        </w:rPr>
        <w:t>et al.,</w:t>
      </w:r>
      <w:r w:rsidRPr="004B551C">
        <w:rPr>
          <w:b/>
          <w:bCs/>
          <w:sz w:val="20"/>
          <w:szCs w:val="20"/>
        </w:rPr>
        <w:t xml:space="preserve"> 1997; </w:t>
      </w:r>
      <w:proofErr w:type="spellStart"/>
      <w:r w:rsidRPr="004B551C">
        <w:rPr>
          <w:b/>
          <w:bCs/>
          <w:sz w:val="20"/>
          <w:szCs w:val="20"/>
        </w:rPr>
        <w:t>Isman</w:t>
      </w:r>
      <w:proofErr w:type="spellEnd"/>
      <w:r w:rsidRPr="004B551C">
        <w:rPr>
          <w:b/>
          <w:bCs/>
          <w:sz w:val="20"/>
          <w:szCs w:val="20"/>
        </w:rPr>
        <w:t>, 2000)</w:t>
      </w:r>
      <w:r w:rsidRPr="004B551C">
        <w:rPr>
          <w:sz w:val="20"/>
          <w:szCs w:val="20"/>
        </w:rPr>
        <w:t xml:space="preserve">. Synthetic pesticides can also cause environmental pollution owing to their slow biodegradation </w:t>
      </w:r>
      <w:r w:rsidRPr="004B551C">
        <w:rPr>
          <w:b/>
          <w:bCs/>
          <w:sz w:val="20"/>
          <w:szCs w:val="20"/>
        </w:rPr>
        <w:t xml:space="preserve">(Barnard </w:t>
      </w:r>
      <w:r w:rsidRPr="004B551C">
        <w:rPr>
          <w:b/>
          <w:bCs/>
          <w:i/>
          <w:iCs/>
          <w:sz w:val="20"/>
          <w:szCs w:val="20"/>
        </w:rPr>
        <w:t>et al.,</w:t>
      </w:r>
      <w:r w:rsidRPr="004B551C">
        <w:rPr>
          <w:b/>
          <w:bCs/>
          <w:sz w:val="20"/>
          <w:szCs w:val="20"/>
        </w:rPr>
        <w:t xml:space="preserve"> 1997; </w:t>
      </w:r>
      <w:proofErr w:type="spellStart"/>
      <w:r w:rsidRPr="004B551C">
        <w:rPr>
          <w:b/>
          <w:bCs/>
          <w:sz w:val="20"/>
          <w:szCs w:val="20"/>
        </w:rPr>
        <w:t>Misra</w:t>
      </w:r>
      <w:proofErr w:type="spellEnd"/>
      <w:r w:rsidRPr="004B551C">
        <w:rPr>
          <w:b/>
          <w:bCs/>
          <w:sz w:val="20"/>
          <w:szCs w:val="20"/>
        </w:rPr>
        <w:t xml:space="preserve"> and </w:t>
      </w:r>
      <w:proofErr w:type="spellStart"/>
      <w:r w:rsidRPr="004B551C">
        <w:rPr>
          <w:b/>
          <w:bCs/>
          <w:sz w:val="20"/>
          <w:szCs w:val="20"/>
        </w:rPr>
        <w:lastRenderedPageBreak/>
        <w:t>Pavlostathis</w:t>
      </w:r>
      <w:proofErr w:type="spellEnd"/>
      <w:r w:rsidRPr="004B551C">
        <w:rPr>
          <w:b/>
          <w:bCs/>
          <w:sz w:val="20"/>
          <w:szCs w:val="20"/>
        </w:rPr>
        <w:t>, 1997)</w:t>
      </w:r>
      <w:r w:rsidRPr="004B551C">
        <w:rPr>
          <w:sz w:val="20"/>
          <w:szCs w:val="20"/>
        </w:rPr>
        <w:t xml:space="preserve">. In addition, the risk of developing the resistance by microorganisms and the high cost-benefit ratio are other disadvantages of synthetic pesticide usage </w:t>
      </w:r>
      <w:r w:rsidRPr="004B551C">
        <w:rPr>
          <w:b/>
          <w:bCs/>
          <w:sz w:val="20"/>
          <w:szCs w:val="20"/>
        </w:rPr>
        <w:t xml:space="preserve">(Brent and </w:t>
      </w:r>
      <w:proofErr w:type="spellStart"/>
      <w:r w:rsidRPr="004B551C">
        <w:rPr>
          <w:b/>
          <w:bCs/>
          <w:sz w:val="20"/>
          <w:szCs w:val="20"/>
        </w:rPr>
        <w:t>Hollomon</w:t>
      </w:r>
      <w:proofErr w:type="spellEnd"/>
      <w:r w:rsidRPr="004B551C">
        <w:rPr>
          <w:b/>
          <w:bCs/>
          <w:sz w:val="20"/>
          <w:szCs w:val="20"/>
        </w:rPr>
        <w:t>, 1998)</w:t>
      </w:r>
      <w:r w:rsidRPr="004B551C">
        <w:rPr>
          <w:sz w:val="20"/>
          <w:szCs w:val="20"/>
        </w:rPr>
        <w:t xml:space="preserve">.  </w:t>
      </w:r>
    </w:p>
    <w:p w:rsidR="008B158E" w:rsidRPr="004B551C" w:rsidRDefault="008B158E" w:rsidP="004B551C">
      <w:pPr>
        <w:autoSpaceDE w:val="0"/>
        <w:autoSpaceDN w:val="0"/>
        <w:adjustRightInd w:val="0"/>
        <w:ind w:firstLine="284"/>
        <w:jc w:val="lowKashida"/>
        <w:rPr>
          <w:sz w:val="20"/>
          <w:szCs w:val="20"/>
          <w:lang w:bidi="ar-EG"/>
        </w:rPr>
      </w:pPr>
      <w:r w:rsidRPr="004B551C">
        <w:rPr>
          <w:sz w:val="20"/>
          <w:szCs w:val="20"/>
        </w:rPr>
        <w:t xml:space="preserve">In the few </w:t>
      </w:r>
      <w:r w:rsidR="00C77128" w:rsidRPr="004B551C">
        <w:rPr>
          <w:sz w:val="20"/>
          <w:szCs w:val="20"/>
        </w:rPr>
        <w:t xml:space="preserve">last </w:t>
      </w:r>
      <w:r w:rsidRPr="004B551C">
        <w:rPr>
          <w:sz w:val="20"/>
          <w:szCs w:val="20"/>
        </w:rPr>
        <w:t xml:space="preserve">years, there has been target interest in biologically active compounds isolated from plant species for elimination of different fungi on the plants and food products, because they are safe substances for human and environment </w:t>
      </w:r>
      <w:r w:rsidRPr="004B551C">
        <w:rPr>
          <w:b/>
          <w:bCs/>
          <w:sz w:val="20"/>
          <w:szCs w:val="20"/>
        </w:rPr>
        <w:t>(</w:t>
      </w:r>
      <w:proofErr w:type="spellStart"/>
      <w:r w:rsidRPr="004B551C">
        <w:rPr>
          <w:b/>
          <w:bCs/>
          <w:sz w:val="20"/>
          <w:szCs w:val="20"/>
        </w:rPr>
        <w:t>Romanazzi</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2007; Kumar </w:t>
      </w:r>
      <w:r w:rsidRPr="004B551C">
        <w:rPr>
          <w:b/>
          <w:bCs/>
          <w:i/>
          <w:iCs/>
          <w:sz w:val="20"/>
          <w:szCs w:val="20"/>
        </w:rPr>
        <w:t>et al.,</w:t>
      </w:r>
      <w:r w:rsidRPr="004B551C">
        <w:rPr>
          <w:b/>
          <w:bCs/>
          <w:sz w:val="20"/>
          <w:szCs w:val="20"/>
        </w:rPr>
        <w:t xml:space="preserve"> 2008)</w:t>
      </w:r>
      <w:r w:rsidRPr="004B551C">
        <w:rPr>
          <w:sz w:val="20"/>
          <w:szCs w:val="20"/>
        </w:rPr>
        <w:t xml:space="preserve">. Essential oils are complex </w:t>
      </w:r>
      <w:proofErr w:type="spellStart"/>
      <w:r w:rsidRPr="004B551C">
        <w:rPr>
          <w:sz w:val="20"/>
          <w:szCs w:val="20"/>
        </w:rPr>
        <w:t>multicomponent</w:t>
      </w:r>
      <w:proofErr w:type="spellEnd"/>
      <w:r w:rsidRPr="004B551C">
        <w:rPr>
          <w:sz w:val="20"/>
          <w:szCs w:val="20"/>
        </w:rPr>
        <w:t xml:space="preserve"> mixtures of fragrant volatile substances, </w:t>
      </w:r>
      <w:proofErr w:type="spellStart"/>
      <w:r w:rsidRPr="004B551C">
        <w:rPr>
          <w:sz w:val="20"/>
          <w:szCs w:val="20"/>
        </w:rPr>
        <w:t>monoterpenes</w:t>
      </w:r>
      <w:proofErr w:type="spellEnd"/>
      <w:r w:rsidRPr="004B551C">
        <w:rPr>
          <w:sz w:val="20"/>
          <w:szCs w:val="20"/>
        </w:rPr>
        <w:t xml:space="preserve">, </w:t>
      </w:r>
      <w:proofErr w:type="spellStart"/>
      <w:r w:rsidRPr="004B551C">
        <w:rPr>
          <w:sz w:val="20"/>
          <w:szCs w:val="20"/>
        </w:rPr>
        <w:t>sesquiterpenes</w:t>
      </w:r>
      <w:proofErr w:type="spellEnd"/>
      <w:r w:rsidRPr="004B551C">
        <w:rPr>
          <w:sz w:val="20"/>
          <w:szCs w:val="20"/>
        </w:rPr>
        <w:t xml:space="preserve">, aromatic compounds  and  their  derivatives  that  plants  usually synthesize in response to stress conditions and produce antibacterial, antiviral and antifungal effects </w:t>
      </w:r>
      <w:r w:rsidRPr="004B551C">
        <w:rPr>
          <w:b/>
          <w:bCs/>
          <w:sz w:val="20"/>
          <w:szCs w:val="20"/>
        </w:rPr>
        <w:t>(</w:t>
      </w:r>
      <w:proofErr w:type="spellStart"/>
      <w:r w:rsidRPr="004B551C">
        <w:rPr>
          <w:b/>
          <w:bCs/>
          <w:sz w:val="20"/>
          <w:szCs w:val="20"/>
        </w:rPr>
        <w:t>Lovkov</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2001)</w:t>
      </w:r>
      <w:r w:rsidRPr="004B551C">
        <w:rPr>
          <w:sz w:val="20"/>
          <w:szCs w:val="20"/>
        </w:rPr>
        <w:t xml:space="preserve">. The antifungal activity of essential oils against a large number of </w:t>
      </w:r>
      <w:proofErr w:type="spellStart"/>
      <w:r w:rsidRPr="004B551C">
        <w:rPr>
          <w:sz w:val="20"/>
          <w:szCs w:val="20"/>
        </w:rPr>
        <w:t>phytopathogenic</w:t>
      </w:r>
      <w:proofErr w:type="spellEnd"/>
      <w:r w:rsidRPr="004B551C">
        <w:rPr>
          <w:sz w:val="20"/>
          <w:szCs w:val="20"/>
        </w:rPr>
        <w:t xml:space="preserve"> fungi under </w:t>
      </w:r>
      <w:r w:rsidRPr="004B551C">
        <w:rPr>
          <w:i/>
          <w:iCs/>
          <w:sz w:val="20"/>
          <w:szCs w:val="20"/>
        </w:rPr>
        <w:t>in vitro</w:t>
      </w:r>
      <w:r w:rsidRPr="004B551C">
        <w:rPr>
          <w:sz w:val="20"/>
          <w:szCs w:val="20"/>
        </w:rPr>
        <w:t xml:space="preserve"> conditions is well documented </w:t>
      </w:r>
      <w:r w:rsidRPr="004B551C">
        <w:rPr>
          <w:b/>
          <w:bCs/>
          <w:sz w:val="20"/>
          <w:szCs w:val="20"/>
        </w:rPr>
        <w:t>(</w:t>
      </w:r>
      <w:proofErr w:type="spellStart"/>
      <w:r w:rsidRPr="004B551C">
        <w:rPr>
          <w:b/>
          <w:bCs/>
          <w:sz w:val="20"/>
          <w:szCs w:val="20"/>
        </w:rPr>
        <w:t>Bouchra</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2003; </w:t>
      </w:r>
      <w:proofErr w:type="spellStart"/>
      <w:r w:rsidRPr="004B551C">
        <w:rPr>
          <w:b/>
          <w:bCs/>
          <w:sz w:val="20"/>
          <w:szCs w:val="20"/>
        </w:rPr>
        <w:t>Boyraz</w:t>
      </w:r>
      <w:proofErr w:type="spellEnd"/>
      <w:r w:rsidRPr="004B551C">
        <w:rPr>
          <w:b/>
          <w:bCs/>
          <w:sz w:val="20"/>
          <w:szCs w:val="20"/>
        </w:rPr>
        <w:t xml:space="preserve"> and </w:t>
      </w:r>
      <w:proofErr w:type="spellStart"/>
      <w:r w:rsidRPr="004B551C">
        <w:rPr>
          <w:b/>
          <w:bCs/>
          <w:sz w:val="20"/>
          <w:szCs w:val="20"/>
        </w:rPr>
        <w:t>Ozcan</w:t>
      </w:r>
      <w:proofErr w:type="spellEnd"/>
      <w:r w:rsidRPr="004B551C">
        <w:rPr>
          <w:b/>
          <w:bCs/>
          <w:sz w:val="20"/>
          <w:szCs w:val="20"/>
        </w:rPr>
        <w:t xml:space="preserve"> 2006; </w:t>
      </w:r>
      <w:proofErr w:type="spellStart"/>
      <w:r w:rsidRPr="004B551C">
        <w:rPr>
          <w:b/>
          <w:bCs/>
          <w:sz w:val="20"/>
          <w:szCs w:val="20"/>
        </w:rPr>
        <w:t>Viuda-Martos</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2007)</w:t>
      </w:r>
      <w:r w:rsidRPr="004B551C">
        <w:rPr>
          <w:sz w:val="20"/>
          <w:szCs w:val="20"/>
        </w:rPr>
        <w:t xml:space="preserve">. But, a few studies </w:t>
      </w:r>
      <w:r w:rsidR="00C77128" w:rsidRPr="004B551C">
        <w:rPr>
          <w:sz w:val="20"/>
          <w:szCs w:val="20"/>
        </w:rPr>
        <w:t>on the</w:t>
      </w:r>
      <w:r w:rsidRPr="004B551C">
        <w:rPr>
          <w:sz w:val="20"/>
          <w:szCs w:val="20"/>
        </w:rPr>
        <w:t xml:space="preserve"> efficacy of essential oils and </w:t>
      </w:r>
      <w:r w:rsidR="00C77128" w:rsidRPr="004B551C">
        <w:rPr>
          <w:sz w:val="20"/>
          <w:szCs w:val="20"/>
        </w:rPr>
        <w:t xml:space="preserve">their </w:t>
      </w:r>
      <w:r w:rsidRPr="004B551C">
        <w:rPr>
          <w:sz w:val="20"/>
          <w:szCs w:val="20"/>
        </w:rPr>
        <w:t xml:space="preserve">constituents to control </w:t>
      </w:r>
      <w:r w:rsidR="00C77128" w:rsidRPr="004B551C">
        <w:rPr>
          <w:sz w:val="20"/>
          <w:szCs w:val="20"/>
        </w:rPr>
        <w:t xml:space="preserve">and maintain quality </w:t>
      </w:r>
      <w:r w:rsidRPr="004B551C">
        <w:rPr>
          <w:sz w:val="20"/>
          <w:szCs w:val="20"/>
        </w:rPr>
        <w:t>of postharvest pathogens of some fruit and vegetables such as strawberry, apple, cherry tomato, table grape were investigated</w:t>
      </w:r>
      <w:r w:rsidRPr="004B551C">
        <w:rPr>
          <w:b/>
          <w:bCs/>
          <w:sz w:val="20"/>
          <w:szCs w:val="20"/>
        </w:rPr>
        <w:t xml:space="preserve"> (Reddy </w:t>
      </w:r>
      <w:r w:rsidRPr="004B551C">
        <w:rPr>
          <w:b/>
          <w:bCs/>
          <w:i/>
          <w:iCs/>
          <w:sz w:val="20"/>
          <w:szCs w:val="20"/>
        </w:rPr>
        <w:t>et al.,</w:t>
      </w:r>
      <w:r w:rsidRPr="004B551C">
        <w:rPr>
          <w:b/>
          <w:bCs/>
          <w:sz w:val="20"/>
          <w:szCs w:val="20"/>
        </w:rPr>
        <w:t xml:space="preserve"> 1998; Martinez-Romero </w:t>
      </w:r>
      <w:r w:rsidRPr="004B551C">
        <w:rPr>
          <w:b/>
          <w:bCs/>
          <w:i/>
          <w:iCs/>
          <w:sz w:val="20"/>
          <w:szCs w:val="20"/>
        </w:rPr>
        <w:t>et al.,</w:t>
      </w:r>
      <w:r w:rsidRPr="004B551C">
        <w:rPr>
          <w:b/>
          <w:bCs/>
          <w:sz w:val="20"/>
          <w:szCs w:val="20"/>
        </w:rPr>
        <w:t xml:space="preserve"> 2004; Valero </w:t>
      </w:r>
      <w:r w:rsidRPr="004B551C">
        <w:rPr>
          <w:b/>
          <w:bCs/>
          <w:i/>
          <w:iCs/>
          <w:sz w:val="20"/>
          <w:szCs w:val="20"/>
        </w:rPr>
        <w:t>et al.,</w:t>
      </w:r>
      <w:r w:rsidRPr="004B551C">
        <w:rPr>
          <w:b/>
          <w:bCs/>
          <w:sz w:val="20"/>
          <w:szCs w:val="20"/>
        </w:rPr>
        <w:t xml:space="preserve"> 2006; </w:t>
      </w:r>
      <w:proofErr w:type="spellStart"/>
      <w:r w:rsidRPr="004B551C">
        <w:rPr>
          <w:b/>
          <w:bCs/>
          <w:sz w:val="20"/>
          <w:szCs w:val="20"/>
        </w:rPr>
        <w:t>Guillén</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2007; Lee </w:t>
      </w:r>
      <w:r w:rsidRPr="004B551C">
        <w:rPr>
          <w:b/>
          <w:bCs/>
          <w:i/>
          <w:iCs/>
          <w:sz w:val="20"/>
          <w:szCs w:val="20"/>
        </w:rPr>
        <w:t>et al.,</w:t>
      </w:r>
      <w:r w:rsidRPr="004B551C">
        <w:rPr>
          <w:b/>
          <w:bCs/>
          <w:sz w:val="20"/>
          <w:szCs w:val="20"/>
        </w:rPr>
        <w:t xml:space="preserve"> 2007; </w:t>
      </w:r>
      <w:proofErr w:type="spellStart"/>
      <w:r w:rsidRPr="004B551C">
        <w:rPr>
          <w:b/>
          <w:bCs/>
          <w:sz w:val="20"/>
          <w:szCs w:val="20"/>
        </w:rPr>
        <w:t>Tripathi</w:t>
      </w:r>
      <w:proofErr w:type="spellEnd"/>
      <w:r w:rsidRPr="004B551C">
        <w:rPr>
          <w:b/>
          <w:bCs/>
          <w:sz w:val="20"/>
          <w:szCs w:val="20"/>
        </w:rPr>
        <w:t xml:space="preserve"> </w:t>
      </w:r>
      <w:r w:rsidRPr="004B551C">
        <w:rPr>
          <w:b/>
          <w:bCs/>
          <w:i/>
          <w:iCs/>
          <w:sz w:val="20"/>
          <w:szCs w:val="20"/>
        </w:rPr>
        <w:t>et al.,</w:t>
      </w:r>
      <w:r w:rsidRPr="004B551C">
        <w:rPr>
          <w:b/>
          <w:bCs/>
          <w:sz w:val="20"/>
          <w:szCs w:val="20"/>
        </w:rPr>
        <w:t xml:space="preserve"> </w:t>
      </w:r>
      <w:r w:rsidRPr="004B551C">
        <w:rPr>
          <w:b/>
          <w:bCs/>
          <w:sz w:val="20"/>
          <w:szCs w:val="20"/>
        </w:rPr>
        <w:lastRenderedPageBreak/>
        <w:t>2008).</w:t>
      </w:r>
      <w:r w:rsidRPr="004B551C">
        <w:rPr>
          <w:sz w:val="20"/>
          <w:szCs w:val="20"/>
        </w:rPr>
        <w:t xml:space="preserve">  </w:t>
      </w:r>
      <w:r w:rsidR="00B1617C" w:rsidRPr="004B551C">
        <w:rPr>
          <w:sz w:val="20"/>
          <w:szCs w:val="20"/>
        </w:rPr>
        <w:t>T</w:t>
      </w:r>
      <w:r w:rsidRPr="004B551C">
        <w:rPr>
          <w:sz w:val="20"/>
          <w:szCs w:val="20"/>
        </w:rPr>
        <w:t xml:space="preserve">he objective of this study is to determine the effect of </w:t>
      </w:r>
      <w:proofErr w:type="spellStart"/>
      <w:r w:rsidRPr="004B551C">
        <w:rPr>
          <w:sz w:val="20"/>
          <w:szCs w:val="20"/>
        </w:rPr>
        <w:t>thymol</w:t>
      </w:r>
      <w:proofErr w:type="spellEnd"/>
      <w:r w:rsidRPr="004B551C">
        <w:rPr>
          <w:sz w:val="20"/>
          <w:szCs w:val="20"/>
        </w:rPr>
        <w:t xml:space="preserve">, </w:t>
      </w:r>
      <w:proofErr w:type="spellStart"/>
      <w:r w:rsidRPr="004B551C">
        <w:rPr>
          <w:sz w:val="20"/>
          <w:szCs w:val="20"/>
        </w:rPr>
        <w:t>eugenol</w:t>
      </w:r>
      <w:proofErr w:type="spellEnd"/>
      <w:r w:rsidRPr="004B551C">
        <w:rPr>
          <w:sz w:val="20"/>
          <w:szCs w:val="20"/>
        </w:rPr>
        <w:t xml:space="preserve">, methyl </w:t>
      </w:r>
      <w:proofErr w:type="spellStart"/>
      <w:r w:rsidRPr="004B551C">
        <w:rPr>
          <w:sz w:val="20"/>
          <w:szCs w:val="20"/>
        </w:rPr>
        <w:t>cinnamate</w:t>
      </w:r>
      <w:proofErr w:type="spellEnd"/>
      <w:r w:rsidRPr="004B551C">
        <w:rPr>
          <w:sz w:val="20"/>
          <w:szCs w:val="20"/>
        </w:rPr>
        <w:t xml:space="preserve">, linalool and 1,8-cineol on the growth of </w:t>
      </w:r>
      <w:r w:rsidRPr="004B551C">
        <w:rPr>
          <w:i/>
          <w:iCs/>
          <w:sz w:val="20"/>
          <w:szCs w:val="20"/>
        </w:rPr>
        <w:t xml:space="preserve"> </w:t>
      </w:r>
      <w:proofErr w:type="spellStart"/>
      <w:r w:rsidRPr="004B551C">
        <w:rPr>
          <w:i/>
          <w:iCs/>
          <w:sz w:val="20"/>
          <w:szCs w:val="20"/>
          <w:lang w:bidi="ar-EG"/>
        </w:rPr>
        <w:t>Sclortium</w:t>
      </w:r>
      <w:proofErr w:type="spellEnd"/>
      <w:r w:rsidRPr="004B551C">
        <w:rPr>
          <w:i/>
          <w:iCs/>
          <w:sz w:val="20"/>
          <w:szCs w:val="20"/>
          <w:lang w:bidi="ar-EG"/>
        </w:rPr>
        <w:t xml:space="preserve"> </w:t>
      </w:r>
      <w:proofErr w:type="spellStart"/>
      <w:r w:rsidRPr="004B551C">
        <w:rPr>
          <w:i/>
          <w:iCs/>
          <w:sz w:val="20"/>
          <w:szCs w:val="20"/>
          <w:lang w:bidi="ar-EG"/>
        </w:rPr>
        <w:t>rolfsii</w:t>
      </w:r>
      <w:proofErr w:type="spellEnd"/>
      <w:r w:rsidRPr="004B551C">
        <w:rPr>
          <w:i/>
          <w:iCs/>
          <w:sz w:val="20"/>
          <w:szCs w:val="20"/>
          <w:lang w:bidi="ar-EG"/>
        </w:rPr>
        <w:t xml:space="preserve">, </w:t>
      </w:r>
      <w:proofErr w:type="spellStart"/>
      <w:r w:rsidRPr="004B551C">
        <w:rPr>
          <w:i/>
          <w:iCs/>
          <w:sz w:val="20"/>
          <w:szCs w:val="20"/>
          <w:lang w:bidi="ar-EG"/>
        </w:rPr>
        <w:t>Rhizoctonia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i/>
          <w:iCs/>
          <w:sz w:val="20"/>
          <w:szCs w:val="20"/>
          <w:lang w:bidi="ar-EG"/>
        </w:rPr>
        <w:t xml:space="preserve">, Botrytis </w:t>
      </w:r>
      <w:proofErr w:type="spellStart"/>
      <w:r w:rsidRPr="004B551C">
        <w:rPr>
          <w:i/>
          <w:iCs/>
          <w:sz w:val="20"/>
          <w:szCs w:val="20"/>
          <w:lang w:bidi="ar-EG"/>
        </w:rPr>
        <w:t>cinerea</w:t>
      </w:r>
      <w:proofErr w:type="spellEnd"/>
      <w:r w:rsidRPr="004B551C">
        <w:rPr>
          <w:i/>
          <w:iCs/>
          <w:sz w:val="20"/>
          <w:szCs w:val="20"/>
          <w:lang w:bidi="ar-EG"/>
        </w:rPr>
        <w:t xml:space="preserve">, </w:t>
      </w:r>
      <w:proofErr w:type="spellStart"/>
      <w:r w:rsidRPr="004B551C">
        <w:rPr>
          <w:i/>
          <w:iCs/>
          <w:sz w:val="20"/>
          <w:szCs w:val="20"/>
          <w:lang w:bidi="ar-EG"/>
        </w:rPr>
        <w:t>Fusarium</w:t>
      </w:r>
      <w:proofErr w:type="spellEnd"/>
      <w:r w:rsidRPr="004B551C">
        <w:rPr>
          <w:i/>
          <w:iCs/>
          <w:sz w:val="20"/>
          <w:szCs w:val="20"/>
          <w:lang w:bidi="ar-EG"/>
        </w:rPr>
        <w:t xml:space="preserve"> </w:t>
      </w:r>
      <w:proofErr w:type="spellStart"/>
      <w:r w:rsidRPr="004B551C">
        <w:rPr>
          <w:i/>
          <w:iCs/>
          <w:sz w:val="20"/>
          <w:szCs w:val="20"/>
          <w:lang w:bidi="ar-EG"/>
        </w:rPr>
        <w:t>oxysporum</w:t>
      </w:r>
      <w:proofErr w:type="spellEnd"/>
      <w:r w:rsidRPr="004B551C">
        <w:rPr>
          <w:i/>
          <w:iCs/>
          <w:sz w:val="20"/>
          <w:szCs w:val="20"/>
          <w:lang w:bidi="ar-EG"/>
        </w:rPr>
        <w:t xml:space="preserve"> </w:t>
      </w:r>
      <w:r w:rsidRPr="004B551C">
        <w:rPr>
          <w:sz w:val="20"/>
          <w:szCs w:val="20"/>
          <w:lang w:bidi="ar-EG"/>
        </w:rPr>
        <w:t>and</w:t>
      </w:r>
      <w:r w:rsidRPr="004B551C">
        <w:rPr>
          <w:i/>
          <w:iCs/>
          <w:sz w:val="20"/>
          <w:szCs w:val="20"/>
          <w:lang w:bidi="ar-EG"/>
        </w:rPr>
        <w:t xml:space="preserve"> </w:t>
      </w:r>
      <w:proofErr w:type="spellStart"/>
      <w:r w:rsidRPr="004B551C">
        <w:rPr>
          <w:i/>
          <w:iCs/>
          <w:sz w:val="20"/>
          <w:szCs w:val="20"/>
          <w:lang w:bidi="ar-EG"/>
        </w:rPr>
        <w:t>Alternaria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sz w:val="20"/>
          <w:szCs w:val="20"/>
          <w:lang w:bidi="ar-EG"/>
        </w:rPr>
        <w:t xml:space="preserve">, which are common </w:t>
      </w:r>
      <w:proofErr w:type="spellStart"/>
      <w:r w:rsidRPr="004B551C">
        <w:rPr>
          <w:sz w:val="20"/>
          <w:szCs w:val="20"/>
          <w:lang w:bidi="ar-EG"/>
        </w:rPr>
        <w:t>phytopathogen</w:t>
      </w:r>
      <w:r w:rsidR="00C77128" w:rsidRPr="004B551C">
        <w:rPr>
          <w:sz w:val="20"/>
          <w:szCs w:val="20"/>
          <w:lang w:bidi="ar-EG"/>
        </w:rPr>
        <w:t>ic</w:t>
      </w:r>
      <w:proofErr w:type="spellEnd"/>
      <w:r w:rsidR="00C77128" w:rsidRPr="004B551C">
        <w:rPr>
          <w:sz w:val="20"/>
          <w:szCs w:val="20"/>
          <w:lang w:bidi="ar-EG"/>
        </w:rPr>
        <w:t xml:space="preserve"> fungi in Egyptian</w:t>
      </w:r>
      <w:r w:rsidR="00B1617C" w:rsidRPr="004B551C">
        <w:rPr>
          <w:sz w:val="20"/>
          <w:szCs w:val="20"/>
          <w:lang w:bidi="ar-EG"/>
        </w:rPr>
        <w:t>.</w:t>
      </w:r>
      <w:r w:rsidRPr="004B551C">
        <w:rPr>
          <w:sz w:val="20"/>
          <w:szCs w:val="20"/>
        </w:rPr>
        <w:t xml:space="preserve"> </w:t>
      </w:r>
    </w:p>
    <w:p w:rsidR="00E946D4" w:rsidRPr="004B551C" w:rsidRDefault="00E946D4" w:rsidP="004B551C">
      <w:pPr>
        <w:autoSpaceDE w:val="0"/>
        <w:autoSpaceDN w:val="0"/>
        <w:adjustRightInd w:val="0"/>
        <w:rPr>
          <w:b/>
          <w:bCs/>
          <w:sz w:val="20"/>
          <w:szCs w:val="20"/>
        </w:rPr>
      </w:pPr>
    </w:p>
    <w:p w:rsidR="008B158E" w:rsidRPr="004B551C" w:rsidRDefault="00276BF4" w:rsidP="004B551C">
      <w:pPr>
        <w:autoSpaceDE w:val="0"/>
        <w:autoSpaceDN w:val="0"/>
        <w:adjustRightInd w:val="0"/>
        <w:rPr>
          <w:b/>
          <w:bCs/>
          <w:sz w:val="20"/>
          <w:szCs w:val="20"/>
        </w:rPr>
      </w:pPr>
      <w:r w:rsidRPr="004B551C">
        <w:rPr>
          <w:b/>
          <w:bCs/>
          <w:sz w:val="20"/>
          <w:szCs w:val="20"/>
        </w:rPr>
        <w:t>2. Material and Methods:</w:t>
      </w:r>
    </w:p>
    <w:p w:rsidR="008B158E" w:rsidRPr="004B551C" w:rsidRDefault="008B158E" w:rsidP="004B551C">
      <w:pPr>
        <w:pStyle w:val="ListParagraph"/>
        <w:numPr>
          <w:ilvl w:val="0"/>
          <w:numId w:val="12"/>
        </w:numPr>
        <w:autoSpaceDE w:val="0"/>
        <w:autoSpaceDN w:val="0"/>
        <w:bidi w:val="0"/>
        <w:adjustRightInd w:val="0"/>
        <w:ind w:left="284" w:hanging="284"/>
        <w:rPr>
          <w:b/>
          <w:bCs/>
          <w:sz w:val="20"/>
          <w:szCs w:val="20"/>
        </w:rPr>
      </w:pPr>
      <w:r w:rsidRPr="004B551C">
        <w:rPr>
          <w:b/>
          <w:bCs/>
          <w:sz w:val="20"/>
          <w:szCs w:val="20"/>
        </w:rPr>
        <w:t>Fungal Cultures:</w:t>
      </w:r>
    </w:p>
    <w:p w:rsidR="008B158E" w:rsidRPr="004B551C" w:rsidRDefault="008B158E" w:rsidP="004B551C">
      <w:pPr>
        <w:autoSpaceDE w:val="0"/>
        <w:autoSpaceDN w:val="0"/>
        <w:adjustRightInd w:val="0"/>
        <w:ind w:firstLine="284"/>
        <w:jc w:val="both"/>
        <w:rPr>
          <w:b/>
          <w:bCs/>
          <w:sz w:val="20"/>
          <w:szCs w:val="20"/>
        </w:rPr>
      </w:pPr>
      <w:r w:rsidRPr="004B551C">
        <w:rPr>
          <w:sz w:val="20"/>
          <w:szCs w:val="20"/>
          <w:lang w:bidi="ar-EG"/>
        </w:rPr>
        <w:t xml:space="preserve">The fungal isolates were </w:t>
      </w:r>
      <w:r w:rsidR="00C77128" w:rsidRPr="004B551C">
        <w:rPr>
          <w:sz w:val="20"/>
          <w:szCs w:val="20"/>
          <w:lang w:bidi="ar-EG"/>
        </w:rPr>
        <w:t>kindly supplied by</w:t>
      </w:r>
      <w:r w:rsidRPr="004B551C">
        <w:rPr>
          <w:sz w:val="20"/>
          <w:szCs w:val="20"/>
          <w:lang w:bidi="ar-EG"/>
        </w:rPr>
        <w:t xml:space="preserve"> Plant Pathology Institute, Agricultural Research Center.</w:t>
      </w:r>
      <w:r w:rsidRPr="004B551C">
        <w:rPr>
          <w:sz w:val="20"/>
          <w:szCs w:val="20"/>
          <w:lang w:bidi="ar-EG"/>
        </w:rPr>
        <w:tab/>
        <w:t xml:space="preserve"> They were as follows; </w:t>
      </w:r>
      <w:proofErr w:type="spellStart"/>
      <w:r w:rsidRPr="004B551C">
        <w:rPr>
          <w:i/>
          <w:iCs/>
          <w:sz w:val="20"/>
          <w:szCs w:val="20"/>
          <w:lang w:bidi="ar-EG"/>
        </w:rPr>
        <w:t>Sclortium</w:t>
      </w:r>
      <w:proofErr w:type="spellEnd"/>
      <w:r w:rsidRPr="004B551C">
        <w:rPr>
          <w:i/>
          <w:iCs/>
          <w:sz w:val="20"/>
          <w:szCs w:val="20"/>
          <w:lang w:bidi="ar-EG"/>
        </w:rPr>
        <w:t xml:space="preserve"> </w:t>
      </w:r>
      <w:proofErr w:type="spellStart"/>
      <w:r w:rsidRPr="004B551C">
        <w:rPr>
          <w:i/>
          <w:iCs/>
          <w:sz w:val="20"/>
          <w:szCs w:val="20"/>
          <w:lang w:bidi="ar-EG"/>
        </w:rPr>
        <w:t>rolfsii</w:t>
      </w:r>
      <w:proofErr w:type="spellEnd"/>
      <w:r w:rsidRPr="004B551C">
        <w:rPr>
          <w:i/>
          <w:iCs/>
          <w:sz w:val="20"/>
          <w:szCs w:val="20"/>
          <w:lang w:bidi="ar-EG"/>
        </w:rPr>
        <w:t xml:space="preserve">, </w:t>
      </w:r>
      <w:proofErr w:type="spellStart"/>
      <w:r w:rsidRPr="004B551C">
        <w:rPr>
          <w:i/>
          <w:iCs/>
          <w:sz w:val="20"/>
          <w:szCs w:val="20"/>
          <w:lang w:bidi="ar-EG"/>
        </w:rPr>
        <w:t>Rhizoctonia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i/>
          <w:iCs/>
          <w:sz w:val="20"/>
          <w:szCs w:val="20"/>
          <w:lang w:bidi="ar-EG"/>
        </w:rPr>
        <w:t xml:space="preserve">, Botrytis </w:t>
      </w:r>
      <w:proofErr w:type="spellStart"/>
      <w:r w:rsidRPr="004B551C">
        <w:rPr>
          <w:i/>
          <w:iCs/>
          <w:sz w:val="20"/>
          <w:szCs w:val="20"/>
          <w:lang w:bidi="ar-EG"/>
        </w:rPr>
        <w:t>cinerea</w:t>
      </w:r>
      <w:proofErr w:type="spellEnd"/>
      <w:r w:rsidRPr="004B551C">
        <w:rPr>
          <w:i/>
          <w:iCs/>
          <w:sz w:val="20"/>
          <w:szCs w:val="20"/>
          <w:lang w:bidi="ar-EG"/>
        </w:rPr>
        <w:t xml:space="preserve">, </w:t>
      </w:r>
      <w:proofErr w:type="spellStart"/>
      <w:r w:rsidRPr="004B551C">
        <w:rPr>
          <w:i/>
          <w:iCs/>
          <w:sz w:val="20"/>
          <w:szCs w:val="20"/>
          <w:lang w:bidi="ar-EG"/>
        </w:rPr>
        <w:t>Fusarium</w:t>
      </w:r>
      <w:proofErr w:type="spellEnd"/>
      <w:r w:rsidRPr="004B551C">
        <w:rPr>
          <w:i/>
          <w:iCs/>
          <w:sz w:val="20"/>
          <w:szCs w:val="20"/>
          <w:lang w:bidi="ar-EG"/>
        </w:rPr>
        <w:t xml:space="preserve"> </w:t>
      </w:r>
      <w:proofErr w:type="spellStart"/>
      <w:r w:rsidRPr="004B551C">
        <w:rPr>
          <w:i/>
          <w:iCs/>
          <w:sz w:val="20"/>
          <w:szCs w:val="20"/>
          <w:lang w:bidi="ar-EG"/>
        </w:rPr>
        <w:t>oxysporum</w:t>
      </w:r>
      <w:proofErr w:type="spellEnd"/>
      <w:r w:rsidRPr="004B551C">
        <w:rPr>
          <w:i/>
          <w:iCs/>
          <w:sz w:val="20"/>
          <w:szCs w:val="20"/>
          <w:lang w:bidi="ar-EG"/>
        </w:rPr>
        <w:t xml:space="preserve"> </w:t>
      </w:r>
      <w:r w:rsidRPr="004B551C">
        <w:rPr>
          <w:sz w:val="20"/>
          <w:szCs w:val="20"/>
          <w:lang w:bidi="ar-EG"/>
        </w:rPr>
        <w:t>and</w:t>
      </w:r>
      <w:r w:rsidRPr="004B551C">
        <w:rPr>
          <w:i/>
          <w:iCs/>
          <w:sz w:val="20"/>
          <w:szCs w:val="20"/>
          <w:lang w:bidi="ar-EG"/>
        </w:rPr>
        <w:t xml:space="preserve"> </w:t>
      </w:r>
      <w:proofErr w:type="spellStart"/>
      <w:r w:rsidRPr="004B551C">
        <w:rPr>
          <w:i/>
          <w:iCs/>
          <w:sz w:val="20"/>
          <w:szCs w:val="20"/>
          <w:lang w:bidi="ar-EG"/>
        </w:rPr>
        <w:t>Alternaria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sz w:val="20"/>
          <w:szCs w:val="20"/>
          <w:lang w:bidi="ar-EG"/>
        </w:rPr>
        <w:t>.</w:t>
      </w:r>
    </w:p>
    <w:p w:rsidR="008B158E" w:rsidRPr="004B551C" w:rsidRDefault="008B158E" w:rsidP="004B551C">
      <w:pPr>
        <w:pStyle w:val="ListParagraph"/>
        <w:numPr>
          <w:ilvl w:val="0"/>
          <w:numId w:val="12"/>
        </w:numPr>
        <w:autoSpaceDE w:val="0"/>
        <w:autoSpaceDN w:val="0"/>
        <w:bidi w:val="0"/>
        <w:adjustRightInd w:val="0"/>
        <w:ind w:left="284" w:hanging="284"/>
        <w:rPr>
          <w:b/>
          <w:bCs/>
          <w:sz w:val="20"/>
          <w:szCs w:val="20"/>
        </w:rPr>
      </w:pPr>
      <w:r w:rsidRPr="004B551C">
        <w:rPr>
          <w:b/>
          <w:bCs/>
          <w:sz w:val="20"/>
          <w:szCs w:val="20"/>
        </w:rPr>
        <w:t>Chemical Compounds:</w:t>
      </w:r>
    </w:p>
    <w:p w:rsidR="008B158E" w:rsidRPr="004B551C" w:rsidRDefault="008B158E" w:rsidP="004B551C">
      <w:pPr>
        <w:autoSpaceDE w:val="0"/>
        <w:autoSpaceDN w:val="0"/>
        <w:adjustRightInd w:val="0"/>
        <w:ind w:firstLine="284"/>
        <w:jc w:val="both"/>
        <w:rPr>
          <w:sz w:val="20"/>
          <w:szCs w:val="20"/>
        </w:rPr>
      </w:pPr>
      <w:r w:rsidRPr="004B551C">
        <w:rPr>
          <w:sz w:val="20"/>
          <w:szCs w:val="20"/>
        </w:rPr>
        <w:t xml:space="preserve">The oil components, </w:t>
      </w:r>
      <w:proofErr w:type="spellStart"/>
      <w:r w:rsidRPr="004B551C">
        <w:rPr>
          <w:sz w:val="20"/>
          <w:szCs w:val="20"/>
        </w:rPr>
        <w:t>thymol</w:t>
      </w:r>
      <w:proofErr w:type="spellEnd"/>
      <w:r w:rsidRPr="004B551C">
        <w:rPr>
          <w:sz w:val="20"/>
          <w:szCs w:val="20"/>
        </w:rPr>
        <w:t xml:space="preserve">, </w:t>
      </w:r>
      <w:proofErr w:type="spellStart"/>
      <w:r w:rsidRPr="004B551C">
        <w:rPr>
          <w:sz w:val="20"/>
          <w:szCs w:val="20"/>
        </w:rPr>
        <w:t>eugenol</w:t>
      </w:r>
      <w:proofErr w:type="spellEnd"/>
      <w:r w:rsidRPr="004B551C">
        <w:rPr>
          <w:sz w:val="20"/>
          <w:szCs w:val="20"/>
        </w:rPr>
        <w:t xml:space="preserve">, methyl </w:t>
      </w:r>
      <w:proofErr w:type="spellStart"/>
      <w:r w:rsidRPr="004B551C">
        <w:rPr>
          <w:sz w:val="20"/>
          <w:szCs w:val="20"/>
        </w:rPr>
        <w:t>cinnamate</w:t>
      </w:r>
      <w:proofErr w:type="spellEnd"/>
      <w:r w:rsidRPr="004B551C">
        <w:rPr>
          <w:sz w:val="20"/>
          <w:szCs w:val="20"/>
        </w:rPr>
        <w:t xml:space="preserve">, linalool and 1,8-cineol were </w:t>
      </w:r>
      <w:r w:rsidR="00C77128" w:rsidRPr="004B551C">
        <w:rPr>
          <w:sz w:val="20"/>
          <w:szCs w:val="20"/>
        </w:rPr>
        <w:t>purchase</w:t>
      </w:r>
      <w:r w:rsidRPr="004B551C">
        <w:rPr>
          <w:sz w:val="20"/>
          <w:szCs w:val="20"/>
        </w:rPr>
        <w:t xml:space="preserve"> from </w:t>
      </w:r>
      <w:r w:rsidRPr="004B551C">
        <w:rPr>
          <w:sz w:val="20"/>
          <w:szCs w:val="20"/>
          <w:lang w:bidi="ar-EG"/>
        </w:rPr>
        <w:t>Merck  Company, Germany</w:t>
      </w:r>
      <w:r w:rsidRPr="004B551C">
        <w:rPr>
          <w:sz w:val="20"/>
          <w:szCs w:val="20"/>
        </w:rPr>
        <w:t>.</w:t>
      </w:r>
    </w:p>
    <w:p w:rsidR="008B158E" w:rsidRPr="004B551C" w:rsidRDefault="008B158E" w:rsidP="004B551C">
      <w:pPr>
        <w:pStyle w:val="ListParagraph"/>
        <w:numPr>
          <w:ilvl w:val="0"/>
          <w:numId w:val="12"/>
        </w:numPr>
        <w:autoSpaceDE w:val="0"/>
        <w:autoSpaceDN w:val="0"/>
        <w:bidi w:val="0"/>
        <w:adjustRightInd w:val="0"/>
        <w:ind w:left="284" w:hanging="284"/>
        <w:rPr>
          <w:b/>
          <w:bCs/>
          <w:sz w:val="20"/>
          <w:szCs w:val="20"/>
        </w:rPr>
      </w:pPr>
      <w:r w:rsidRPr="004B551C">
        <w:rPr>
          <w:b/>
          <w:bCs/>
          <w:sz w:val="20"/>
          <w:szCs w:val="20"/>
        </w:rPr>
        <w:t xml:space="preserve">Antifungal activity of essential oils on </w:t>
      </w:r>
      <w:proofErr w:type="spellStart"/>
      <w:r w:rsidRPr="004B551C">
        <w:rPr>
          <w:b/>
          <w:bCs/>
          <w:sz w:val="20"/>
          <w:szCs w:val="20"/>
        </w:rPr>
        <w:t>mycelial</w:t>
      </w:r>
      <w:proofErr w:type="spellEnd"/>
      <w:r w:rsidRPr="004B551C">
        <w:rPr>
          <w:b/>
          <w:bCs/>
          <w:sz w:val="20"/>
          <w:szCs w:val="20"/>
        </w:rPr>
        <w:t xml:space="preserve"> growth in vitro conditions: </w:t>
      </w:r>
    </w:p>
    <w:p w:rsidR="008B158E" w:rsidRPr="004B551C" w:rsidRDefault="008B158E" w:rsidP="004B551C">
      <w:pPr>
        <w:autoSpaceDE w:val="0"/>
        <w:autoSpaceDN w:val="0"/>
        <w:adjustRightInd w:val="0"/>
        <w:ind w:firstLine="284"/>
        <w:jc w:val="both"/>
        <w:rPr>
          <w:sz w:val="20"/>
          <w:szCs w:val="20"/>
          <w:lang w:bidi="ar-EG"/>
        </w:rPr>
      </w:pPr>
      <w:r w:rsidRPr="004B551C">
        <w:rPr>
          <w:rFonts w:asciiTheme="majorBidi" w:hAnsiTheme="majorBidi" w:cstheme="majorBidi"/>
          <w:sz w:val="20"/>
          <w:szCs w:val="20"/>
          <w:lang w:bidi="ar-EG"/>
        </w:rPr>
        <w:t xml:space="preserve">The antifungal compounds were prepared in </w:t>
      </w:r>
      <w:proofErr w:type="spellStart"/>
      <w:r w:rsidRPr="004B551C">
        <w:rPr>
          <w:rFonts w:asciiTheme="majorBidi" w:hAnsiTheme="majorBidi" w:cstheme="majorBidi"/>
          <w:sz w:val="20"/>
          <w:szCs w:val="20"/>
          <w:lang w:bidi="ar-EG"/>
        </w:rPr>
        <w:t>dimethyl</w:t>
      </w:r>
      <w:proofErr w:type="spellEnd"/>
      <w:r w:rsidRPr="004B551C">
        <w:rPr>
          <w:rFonts w:asciiTheme="majorBidi" w:hAnsiTheme="majorBidi" w:cstheme="majorBidi"/>
          <w:sz w:val="20"/>
          <w:szCs w:val="20"/>
          <w:lang w:bidi="ar-EG"/>
        </w:rPr>
        <w:t xml:space="preserve"> </w:t>
      </w:r>
      <w:proofErr w:type="spellStart"/>
      <w:r w:rsidRPr="004B551C">
        <w:rPr>
          <w:rFonts w:asciiTheme="majorBidi" w:hAnsiTheme="majorBidi" w:cstheme="majorBidi"/>
          <w:sz w:val="20"/>
          <w:szCs w:val="20"/>
          <w:lang w:bidi="ar-EG"/>
        </w:rPr>
        <w:t>sulfoxide</w:t>
      </w:r>
      <w:proofErr w:type="spellEnd"/>
      <w:r w:rsidRPr="004B551C">
        <w:rPr>
          <w:sz w:val="20"/>
          <w:szCs w:val="20"/>
          <w:lang w:bidi="ar-EG"/>
        </w:rPr>
        <w:t xml:space="preserve"> (DMSO) and tested for </w:t>
      </w:r>
      <w:proofErr w:type="spellStart"/>
      <w:r w:rsidRPr="004B551C">
        <w:rPr>
          <w:sz w:val="20"/>
          <w:szCs w:val="20"/>
          <w:lang w:bidi="ar-EG"/>
        </w:rPr>
        <w:t>mycelial</w:t>
      </w:r>
      <w:proofErr w:type="spellEnd"/>
      <w:r w:rsidRPr="004B551C">
        <w:rPr>
          <w:sz w:val="20"/>
          <w:szCs w:val="20"/>
          <w:lang w:bidi="ar-EG"/>
        </w:rPr>
        <w:t xml:space="preserve"> growth inhibition activity against 5 fungal isolates </w:t>
      </w:r>
      <w:proofErr w:type="spellStart"/>
      <w:r w:rsidRPr="004B551C">
        <w:rPr>
          <w:i/>
          <w:iCs/>
          <w:sz w:val="20"/>
          <w:szCs w:val="20"/>
          <w:lang w:bidi="ar-EG"/>
        </w:rPr>
        <w:t>Sclortium</w:t>
      </w:r>
      <w:proofErr w:type="spellEnd"/>
      <w:r w:rsidRPr="004B551C">
        <w:rPr>
          <w:i/>
          <w:iCs/>
          <w:sz w:val="20"/>
          <w:szCs w:val="20"/>
          <w:lang w:bidi="ar-EG"/>
        </w:rPr>
        <w:t xml:space="preserve"> </w:t>
      </w:r>
      <w:proofErr w:type="spellStart"/>
      <w:r w:rsidRPr="004B551C">
        <w:rPr>
          <w:i/>
          <w:iCs/>
          <w:sz w:val="20"/>
          <w:szCs w:val="20"/>
          <w:lang w:bidi="ar-EG"/>
        </w:rPr>
        <w:t>rolfsii</w:t>
      </w:r>
      <w:proofErr w:type="spellEnd"/>
      <w:r w:rsidRPr="004B551C">
        <w:rPr>
          <w:i/>
          <w:iCs/>
          <w:sz w:val="20"/>
          <w:szCs w:val="20"/>
          <w:lang w:bidi="ar-EG"/>
        </w:rPr>
        <w:t xml:space="preserve">, </w:t>
      </w:r>
      <w:proofErr w:type="spellStart"/>
      <w:r w:rsidRPr="004B551C">
        <w:rPr>
          <w:i/>
          <w:iCs/>
          <w:sz w:val="20"/>
          <w:szCs w:val="20"/>
          <w:lang w:bidi="ar-EG"/>
        </w:rPr>
        <w:t>Rhizoctonia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i/>
          <w:iCs/>
          <w:sz w:val="20"/>
          <w:szCs w:val="20"/>
          <w:lang w:bidi="ar-EG"/>
        </w:rPr>
        <w:t xml:space="preserve">, Botrytis </w:t>
      </w:r>
      <w:proofErr w:type="spellStart"/>
      <w:r w:rsidRPr="004B551C">
        <w:rPr>
          <w:i/>
          <w:iCs/>
          <w:sz w:val="20"/>
          <w:szCs w:val="20"/>
          <w:lang w:bidi="ar-EG"/>
        </w:rPr>
        <w:t>cinerea</w:t>
      </w:r>
      <w:proofErr w:type="spellEnd"/>
      <w:r w:rsidRPr="004B551C">
        <w:rPr>
          <w:i/>
          <w:iCs/>
          <w:sz w:val="20"/>
          <w:szCs w:val="20"/>
          <w:lang w:bidi="ar-EG"/>
        </w:rPr>
        <w:t xml:space="preserve">, </w:t>
      </w:r>
      <w:proofErr w:type="spellStart"/>
      <w:r w:rsidRPr="004B551C">
        <w:rPr>
          <w:i/>
          <w:iCs/>
          <w:sz w:val="20"/>
          <w:szCs w:val="20"/>
          <w:lang w:bidi="ar-EG"/>
        </w:rPr>
        <w:t>Fusarium</w:t>
      </w:r>
      <w:proofErr w:type="spellEnd"/>
      <w:r w:rsidRPr="004B551C">
        <w:rPr>
          <w:i/>
          <w:iCs/>
          <w:sz w:val="20"/>
          <w:szCs w:val="20"/>
          <w:lang w:bidi="ar-EG"/>
        </w:rPr>
        <w:t xml:space="preserve"> </w:t>
      </w:r>
      <w:proofErr w:type="spellStart"/>
      <w:r w:rsidRPr="004B551C">
        <w:rPr>
          <w:i/>
          <w:iCs/>
          <w:sz w:val="20"/>
          <w:szCs w:val="20"/>
          <w:lang w:bidi="ar-EG"/>
        </w:rPr>
        <w:t>oxysporum</w:t>
      </w:r>
      <w:proofErr w:type="spellEnd"/>
      <w:r w:rsidRPr="004B551C">
        <w:rPr>
          <w:i/>
          <w:iCs/>
          <w:sz w:val="20"/>
          <w:szCs w:val="20"/>
          <w:lang w:bidi="ar-EG"/>
        </w:rPr>
        <w:t xml:space="preserve"> and </w:t>
      </w:r>
      <w:proofErr w:type="spellStart"/>
      <w:r w:rsidRPr="004B551C">
        <w:rPr>
          <w:i/>
          <w:iCs/>
          <w:sz w:val="20"/>
          <w:szCs w:val="20"/>
          <w:lang w:bidi="ar-EG"/>
        </w:rPr>
        <w:t>Alternaria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sz w:val="20"/>
          <w:szCs w:val="20"/>
          <w:lang w:bidi="ar-EG"/>
        </w:rPr>
        <w:t xml:space="preserve"> using the food poison technique.  A potato dextrose agar medium was used as the basal medium for all test fungi.  To test the antifungal activities of the selected compounds, sterile Petri dishes containing the compound dissolved in DMSO/</w:t>
      </w:r>
      <w:proofErr w:type="spellStart"/>
      <w:r w:rsidRPr="004B551C">
        <w:rPr>
          <w:sz w:val="20"/>
          <w:szCs w:val="20"/>
          <w:lang w:bidi="ar-EG"/>
        </w:rPr>
        <w:t>Tween</w:t>
      </w:r>
      <w:proofErr w:type="spellEnd"/>
      <w:r w:rsidRPr="004B551C">
        <w:rPr>
          <w:sz w:val="20"/>
          <w:szCs w:val="20"/>
          <w:lang w:bidi="ar-EG"/>
        </w:rPr>
        <w:t xml:space="preserve"> 80 emulsifier (80/20 v/v) diluted in PDA medium were prepared.  </w:t>
      </w:r>
      <w:proofErr w:type="spellStart"/>
      <w:r w:rsidRPr="004B551C">
        <w:rPr>
          <w:sz w:val="20"/>
          <w:szCs w:val="20"/>
          <w:lang w:bidi="ar-EG"/>
        </w:rPr>
        <w:t>Tween</w:t>
      </w:r>
      <w:proofErr w:type="spellEnd"/>
      <w:r w:rsidRPr="004B551C">
        <w:rPr>
          <w:sz w:val="20"/>
          <w:szCs w:val="20"/>
          <w:lang w:bidi="ar-EG"/>
        </w:rPr>
        <w:t xml:space="preserve"> 80 alone as a control was added to PDA medium as an emulsifier control. Plates containing media mixed with DMSO (0.1% by volume) were included as a solvent control.  Also, DMSO and </w:t>
      </w:r>
      <w:proofErr w:type="spellStart"/>
      <w:r w:rsidRPr="004B551C">
        <w:rPr>
          <w:sz w:val="20"/>
          <w:szCs w:val="20"/>
          <w:lang w:bidi="ar-EG"/>
        </w:rPr>
        <w:t>Tween</w:t>
      </w:r>
      <w:proofErr w:type="spellEnd"/>
      <w:r w:rsidRPr="004B551C">
        <w:rPr>
          <w:sz w:val="20"/>
          <w:szCs w:val="20"/>
          <w:lang w:bidi="ar-EG"/>
        </w:rPr>
        <w:t xml:space="preserve"> 80 (4/1 v/v) were added to PDA medium as a solvent/emulsifier control.   Finally, PDA plates treated with distilled water without any extracts were served as a negative control.</w:t>
      </w:r>
    </w:p>
    <w:p w:rsidR="008B158E" w:rsidRPr="004B551C" w:rsidRDefault="008B158E" w:rsidP="004B551C">
      <w:pPr>
        <w:pStyle w:val="BodyText3"/>
        <w:ind w:firstLine="284"/>
        <w:rPr>
          <w:b/>
          <w:bCs/>
          <w:lang w:bidi="ar-EG"/>
        </w:rPr>
      </w:pPr>
      <w:r w:rsidRPr="004B551C">
        <w:rPr>
          <w:lang w:bidi="ar-EG"/>
        </w:rPr>
        <w:t xml:space="preserve">  Agar disks (5 mm in diameter) of the tested fungi were cut from completely grown cultures and placed at the center of the plates containing antifungal substances of the used concentration in </w:t>
      </w:r>
      <w:proofErr w:type="spellStart"/>
      <w:r w:rsidRPr="004B551C">
        <w:rPr>
          <w:lang w:bidi="ar-EG"/>
        </w:rPr>
        <w:t>ppm</w:t>
      </w:r>
      <w:proofErr w:type="spellEnd"/>
      <w:r w:rsidRPr="004B551C">
        <w:rPr>
          <w:lang w:bidi="ar-EG"/>
        </w:rPr>
        <w:t xml:space="preserve"> (µg/ml) </w:t>
      </w:r>
      <w:r w:rsidRPr="004B551C">
        <w:rPr>
          <w:b/>
          <w:bCs/>
          <w:lang w:bidi="ar-EG"/>
        </w:rPr>
        <w:t>(</w:t>
      </w:r>
      <w:proofErr w:type="spellStart"/>
      <w:r w:rsidRPr="004B551C">
        <w:rPr>
          <w:b/>
          <w:bCs/>
          <w:lang w:bidi="ar-EG"/>
        </w:rPr>
        <w:t>Joong</w:t>
      </w:r>
      <w:proofErr w:type="spellEnd"/>
      <w:r w:rsidRPr="004B551C">
        <w:rPr>
          <w:b/>
          <w:bCs/>
          <w:lang w:bidi="ar-EG"/>
        </w:rPr>
        <w:t xml:space="preserve"> – </w:t>
      </w:r>
      <w:proofErr w:type="spellStart"/>
      <w:r w:rsidRPr="004B551C">
        <w:rPr>
          <w:b/>
          <w:bCs/>
          <w:lang w:bidi="ar-EG"/>
        </w:rPr>
        <w:t>Hyeop</w:t>
      </w:r>
      <w:proofErr w:type="spellEnd"/>
      <w:r w:rsidRPr="004B551C">
        <w:rPr>
          <w:b/>
          <w:bCs/>
          <w:lang w:bidi="ar-EG"/>
        </w:rPr>
        <w:t xml:space="preserve"> </w:t>
      </w:r>
      <w:r w:rsidRPr="004B551C">
        <w:rPr>
          <w:b/>
          <w:bCs/>
          <w:i/>
          <w:iCs/>
          <w:lang w:bidi="ar-EG"/>
        </w:rPr>
        <w:t xml:space="preserve">et  al., </w:t>
      </w:r>
      <w:r w:rsidRPr="004B551C">
        <w:rPr>
          <w:b/>
          <w:bCs/>
          <w:lang w:bidi="ar-EG"/>
        </w:rPr>
        <w:t>2005).</w:t>
      </w:r>
    </w:p>
    <w:p w:rsidR="008B158E" w:rsidRPr="004B551C" w:rsidRDefault="008B158E" w:rsidP="004B551C">
      <w:pPr>
        <w:ind w:firstLine="284"/>
        <w:jc w:val="lowKashida"/>
        <w:rPr>
          <w:b/>
          <w:bCs/>
          <w:sz w:val="20"/>
          <w:szCs w:val="20"/>
        </w:rPr>
      </w:pPr>
      <w:r w:rsidRPr="004B551C">
        <w:rPr>
          <w:sz w:val="20"/>
          <w:szCs w:val="20"/>
          <w:lang w:bidi="ar-EG"/>
        </w:rPr>
        <w:t xml:space="preserve">Four replicates of each concentration (50, 100, 150, 200 and 250 </w:t>
      </w:r>
      <w:proofErr w:type="spellStart"/>
      <w:r w:rsidRPr="004B551C">
        <w:rPr>
          <w:sz w:val="20"/>
          <w:szCs w:val="20"/>
          <w:lang w:bidi="ar-EG"/>
        </w:rPr>
        <w:t>ppm</w:t>
      </w:r>
      <w:proofErr w:type="spellEnd"/>
      <w:r w:rsidRPr="004B551C">
        <w:rPr>
          <w:sz w:val="20"/>
          <w:szCs w:val="20"/>
          <w:lang w:bidi="ar-EG"/>
        </w:rPr>
        <w:t xml:space="preserve"> for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compounds) (500, 1000, 2000, 4000 and 8000 </w:t>
      </w:r>
      <w:proofErr w:type="spellStart"/>
      <w:r w:rsidRPr="004B551C">
        <w:rPr>
          <w:sz w:val="20"/>
          <w:szCs w:val="20"/>
          <w:lang w:bidi="ar-EG"/>
        </w:rPr>
        <w:t>ppm</w:t>
      </w:r>
      <w:proofErr w:type="spellEnd"/>
      <w:r w:rsidRPr="004B551C">
        <w:rPr>
          <w:sz w:val="20"/>
          <w:szCs w:val="20"/>
          <w:lang w:bidi="ar-EG"/>
        </w:rPr>
        <w:t xml:space="preserve"> for linalool and 1,8-cineol compounds) of each fungus were incubated at 28 ºC for all tested fungi.  Radial growth was measured from the centers of the dishes sides by caliper and the mean was calculated of two perpendicular colony diameters in each replicate.  </w:t>
      </w:r>
      <w:r w:rsidRPr="004B551C">
        <w:rPr>
          <w:sz w:val="20"/>
          <w:szCs w:val="20"/>
        </w:rPr>
        <w:t xml:space="preserve">Inhibition of growth was calculated in relation to the growth in the control, according to the equation </w:t>
      </w:r>
      <w:r w:rsidR="00C77128" w:rsidRPr="004B551C">
        <w:rPr>
          <w:sz w:val="20"/>
          <w:szCs w:val="20"/>
        </w:rPr>
        <w:t>(</w:t>
      </w:r>
      <w:proofErr w:type="spellStart"/>
      <w:r w:rsidRPr="004B551C">
        <w:rPr>
          <w:b/>
          <w:bCs/>
          <w:sz w:val="20"/>
          <w:szCs w:val="20"/>
        </w:rPr>
        <w:t>Sztejnberg</w:t>
      </w:r>
      <w:proofErr w:type="spellEnd"/>
      <w:r w:rsidRPr="004B551C">
        <w:rPr>
          <w:b/>
          <w:bCs/>
          <w:sz w:val="20"/>
          <w:szCs w:val="20"/>
        </w:rPr>
        <w:t xml:space="preserve"> </w:t>
      </w:r>
      <w:r w:rsidRPr="004B551C">
        <w:rPr>
          <w:b/>
          <w:bCs/>
          <w:i/>
          <w:iCs/>
          <w:sz w:val="20"/>
          <w:szCs w:val="20"/>
        </w:rPr>
        <w:t xml:space="preserve">et al., </w:t>
      </w:r>
      <w:r w:rsidRPr="004B551C">
        <w:rPr>
          <w:b/>
          <w:bCs/>
          <w:sz w:val="20"/>
          <w:szCs w:val="20"/>
        </w:rPr>
        <w:t>1983</w:t>
      </w:r>
      <w:r w:rsidR="00C77128" w:rsidRPr="004B551C">
        <w:rPr>
          <w:b/>
          <w:bCs/>
          <w:sz w:val="20"/>
          <w:szCs w:val="20"/>
        </w:rPr>
        <w:t>)</w:t>
      </w:r>
      <w:r w:rsidRPr="004B551C">
        <w:rPr>
          <w:b/>
          <w:bCs/>
          <w:sz w:val="20"/>
          <w:szCs w:val="20"/>
        </w:rPr>
        <w:t>:</w:t>
      </w:r>
    </w:p>
    <w:p w:rsidR="008B158E" w:rsidRPr="004B551C" w:rsidRDefault="00907E7E" w:rsidP="004B551C">
      <w:pPr>
        <w:pStyle w:val="BodyText3"/>
        <w:ind w:firstLine="284"/>
        <w:rPr>
          <w:lang w:bidi="ar-EG"/>
        </w:rPr>
      </w:pPr>
      <w:r w:rsidRPr="004B551C">
        <w:rPr>
          <w:b/>
          <w:bCs/>
          <w:noProof/>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5pt;margin-top:4pt;width:210.65pt;height:26.2pt;z-index:-251656192">
            <v:imagedata r:id="rId12" o:title=""/>
          </v:shape>
          <o:OLEObject Type="Embed" ProgID="Equation.3" ShapeID="_x0000_s1027" DrawAspect="Content" ObjectID="_1401743771" r:id="rId13"/>
        </w:pict>
      </w:r>
    </w:p>
    <w:p w:rsidR="008B158E" w:rsidRPr="004B551C" w:rsidRDefault="008B158E" w:rsidP="004B551C">
      <w:pPr>
        <w:pStyle w:val="BodyText3"/>
        <w:ind w:firstLine="284"/>
        <w:rPr>
          <w:lang w:bidi="ar-EG"/>
        </w:rPr>
      </w:pPr>
    </w:p>
    <w:p w:rsidR="00852C1C" w:rsidRPr="004B551C" w:rsidRDefault="00852C1C" w:rsidP="004B551C">
      <w:pPr>
        <w:pStyle w:val="BodyText3"/>
        <w:ind w:firstLine="284"/>
        <w:rPr>
          <w:lang w:bidi="ar-EG"/>
        </w:rPr>
      </w:pPr>
    </w:p>
    <w:p w:rsidR="008B158E" w:rsidRPr="004B551C" w:rsidRDefault="008B158E" w:rsidP="004B551C">
      <w:pPr>
        <w:pStyle w:val="BodyText3"/>
        <w:ind w:firstLine="284"/>
        <w:rPr>
          <w:b/>
          <w:bCs/>
          <w:lang w:bidi="ar-EG"/>
        </w:rPr>
      </w:pPr>
      <w:r w:rsidRPr="004B551C">
        <w:rPr>
          <w:lang w:bidi="ar-EG"/>
        </w:rPr>
        <w:lastRenderedPageBreak/>
        <w:t>The corrected percentage of growth inhibition was used to calculate the EC</w:t>
      </w:r>
      <w:r w:rsidRPr="004B551C">
        <w:rPr>
          <w:vertAlign w:val="subscript"/>
          <w:lang w:bidi="ar-EG"/>
        </w:rPr>
        <w:t>50</w:t>
      </w:r>
      <w:r w:rsidRPr="004B551C">
        <w:rPr>
          <w:lang w:bidi="ar-EG"/>
        </w:rPr>
        <w:t xml:space="preserve"> values according to </w:t>
      </w:r>
      <w:r w:rsidRPr="004B551C">
        <w:rPr>
          <w:b/>
          <w:bCs/>
          <w:lang w:bidi="ar-EG"/>
        </w:rPr>
        <w:t>Finney (1971)</w:t>
      </w:r>
      <w:r w:rsidRPr="004B551C">
        <w:rPr>
          <w:lang w:bidi="ar-EG"/>
        </w:rPr>
        <w:t>.  The toxicity lines were drawn for evaluating EC</w:t>
      </w:r>
      <w:r w:rsidRPr="004B551C">
        <w:rPr>
          <w:vertAlign w:val="subscript"/>
          <w:lang w:bidi="ar-EG"/>
        </w:rPr>
        <w:t>10</w:t>
      </w:r>
      <w:r w:rsidRPr="004B551C">
        <w:rPr>
          <w:lang w:bidi="ar-EG"/>
        </w:rPr>
        <w:t>, EC</w:t>
      </w:r>
      <w:r w:rsidRPr="004B551C">
        <w:rPr>
          <w:vertAlign w:val="subscript"/>
          <w:lang w:bidi="ar-EG"/>
        </w:rPr>
        <w:t>25</w:t>
      </w:r>
      <w:r w:rsidRPr="004B551C">
        <w:rPr>
          <w:lang w:bidi="ar-EG"/>
        </w:rPr>
        <w:t>, EC</w:t>
      </w:r>
      <w:r w:rsidRPr="004B551C">
        <w:rPr>
          <w:vertAlign w:val="subscript"/>
          <w:lang w:bidi="ar-EG"/>
        </w:rPr>
        <w:t>50</w:t>
      </w:r>
      <w:r w:rsidRPr="004B551C">
        <w:rPr>
          <w:lang w:bidi="ar-EG"/>
        </w:rPr>
        <w:t xml:space="preserve"> and EC</w:t>
      </w:r>
      <w:r w:rsidRPr="004B551C">
        <w:rPr>
          <w:vertAlign w:val="subscript"/>
          <w:lang w:bidi="ar-EG"/>
        </w:rPr>
        <w:t>90</w:t>
      </w:r>
      <w:r w:rsidRPr="004B551C">
        <w:rPr>
          <w:lang w:bidi="ar-EG"/>
        </w:rPr>
        <w:t xml:space="preserve"> and slope for every treatment.  The toxicity index and relative potency were calculated according to </w:t>
      </w:r>
      <w:r w:rsidRPr="004B551C">
        <w:rPr>
          <w:b/>
          <w:bCs/>
          <w:lang w:bidi="ar-EG"/>
        </w:rPr>
        <w:t>Sun (1950).</w:t>
      </w:r>
    </w:p>
    <w:p w:rsidR="008B158E" w:rsidRPr="004B551C" w:rsidRDefault="00907E7E" w:rsidP="004B551C">
      <w:pPr>
        <w:pStyle w:val="BodyText3"/>
        <w:ind w:firstLine="284"/>
        <w:rPr>
          <w:b/>
          <w:bCs/>
          <w:lang w:bidi="ar-EG"/>
        </w:rPr>
      </w:pPr>
      <w:r w:rsidRPr="004B551C">
        <w:rPr>
          <w:b/>
          <w:bCs/>
          <w:noProof/>
          <w:position w:val="-30"/>
        </w:rPr>
        <w:pict>
          <v:shape id="_x0000_s1028" type="#_x0000_t75" style="position:absolute;left:0;text-align:left;margin-left:-2.45pt;margin-top:5.3pt;width:218.4pt;height:23.55pt;z-index:-251654144">
            <v:imagedata r:id="rId14" o:title=""/>
          </v:shape>
          <o:OLEObject Type="Embed" ProgID="Equation.3" ShapeID="_x0000_s1028" DrawAspect="Content" ObjectID="_1401743772" r:id="rId15"/>
        </w:pict>
      </w:r>
    </w:p>
    <w:p w:rsidR="008B158E" w:rsidRPr="004B551C" w:rsidRDefault="008B158E" w:rsidP="004B551C">
      <w:pPr>
        <w:pStyle w:val="BodyText3"/>
        <w:ind w:firstLine="284"/>
        <w:rPr>
          <w:b/>
          <w:bCs/>
          <w:lang w:bidi="ar-EG"/>
        </w:rPr>
      </w:pPr>
    </w:p>
    <w:p w:rsidR="00852C1C" w:rsidRPr="004B551C" w:rsidRDefault="00907E7E" w:rsidP="004B551C">
      <w:pPr>
        <w:pStyle w:val="BodyText3"/>
        <w:ind w:firstLine="284"/>
        <w:rPr>
          <w:b/>
          <w:bCs/>
          <w:lang w:bidi="ar-EG"/>
        </w:rPr>
      </w:pPr>
      <w:r w:rsidRPr="004B551C">
        <w:rPr>
          <w:b/>
          <w:bCs/>
          <w:noProof/>
          <w:position w:val="-30"/>
        </w:rPr>
        <w:pict>
          <v:shape id="_x0000_s1029" type="#_x0000_t75" style="position:absolute;left:0;text-align:left;margin-left:2.65pt;margin-top:8.95pt;width:210.7pt;height:22.05pt;z-index:-251652096">
            <v:imagedata r:id="rId16" o:title=""/>
          </v:shape>
          <o:OLEObject Type="Embed" ProgID="Equation.3" ShapeID="_x0000_s1029" DrawAspect="Content" ObjectID="_1401743773" r:id="rId17"/>
        </w:pict>
      </w:r>
    </w:p>
    <w:p w:rsidR="008B158E" w:rsidRPr="004B551C" w:rsidRDefault="008B158E" w:rsidP="004B551C">
      <w:pPr>
        <w:pStyle w:val="BodyText3"/>
        <w:ind w:firstLine="284"/>
        <w:rPr>
          <w:b/>
          <w:bCs/>
          <w:lang w:bidi="ar-EG"/>
        </w:rPr>
      </w:pPr>
    </w:p>
    <w:p w:rsidR="00852C1C" w:rsidRPr="004B551C" w:rsidRDefault="00852C1C" w:rsidP="004B551C">
      <w:pPr>
        <w:pStyle w:val="BodyText3"/>
        <w:ind w:firstLine="284"/>
        <w:rPr>
          <w:b/>
          <w:bCs/>
          <w:lang w:bidi="ar-EG"/>
        </w:rPr>
      </w:pPr>
    </w:p>
    <w:p w:rsidR="008B158E" w:rsidRPr="004B551C" w:rsidRDefault="008B158E" w:rsidP="004B551C">
      <w:pPr>
        <w:pStyle w:val="ListParagraph"/>
        <w:numPr>
          <w:ilvl w:val="0"/>
          <w:numId w:val="12"/>
        </w:numPr>
        <w:autoSpaceDE w:val="0"/>
        <w:autoSpaceDN w:val="0"/>
        <w:bidi w:val="0"/>
        <w:adjustRightInd w:val="0"/>
        <w:ind w:left="284" w:hanging="284"/>
        <w:rPr>
          <w:b/>
          <w:bCs/>
          <w:sz w:val="20"/>
          <w:szCs w:val="20"/>
          <w:lang w:bidi="ar-EG"/>
        </w:rPr>
      </w:pPr>
      <w:r w:rsidRPr="004B551C">
        <w:rPr>
          <w:b/>
          <w:bCs/>
          <w:sz w:val="20"/>
          <w:szCs w:val="20"/>
          <w:lang w:bidi="ar-EG"/>
        </w:rPr>
        <w:t>Determination of the minimum inhibitory concentrations (MICs):</w:t>
      </w:r>
    </w:p>
    <w:p w:rsidR="008B158E" w:rsidRPr="004B551C" w:rsidRDefault="008B158E" w:rsidP="004B551C">
      <w:pPr>
        <w:pStyle w:val="BodyText3"/>
        <w:ind w:firstLine="284"/>
        <w:rPr>
          <w:b/>
          <w:bCs/>
          <w:lang w:bidi="ar-EG"/>
        </w:rPr>
      </w:pPr>
      <w:r w:rsidRPr="004B551C">
        <w:rPr>
          <w:lang w:bidi="ar-EG"/>
        </w:rPr>
        <w:t xml:space="preserve">Emulsions of compounds were prepared at 500 </w:t>
      </w:r>
      <w:proofErr w:type="spellStart"/>
      <w:r w:rsidRPr="004B551C">
        <w:rPr>
          <w:lang w:bidi="ar-EG"/>
        </w:rPr>
        <w:t>ppm</w:t>
      </w:r>
      <w:proofErr w:type="spellEnd"/>
      <w:r w:rsidRPr="004B551C">
        <w:rPr>
          <w:lang w:bidi="ar-EG"/>
        </w:rPr>
        <w:t xml:space="preserve"> in DMSO with </w:t>
      </w:r>
      <w:proofErr w:type="spellStart"/>
      <w:r w:rsidRPr="004B551C">
        <w:rPr>
          <w:lang w:bidi="ar-EG"/>
        </w:rPr>
        <w:t>Tween</w:t>
      </w:r>
      <w:proofErr w:type="spellEnd"/>
      <w:r w:rsidRPr="004B551C">
        <w:rPr>
          <w:lang w:bidi="ar-EG"/>
        </w:rPr>
        <w:t xml:space="preserve"> 80.  Twofold serial dilutions of the stock solution in broth medium (100 µl of potato dextrose broth) were prepared on a </w:t>
      </w:r>
      <w:proofErr w:type="spellStart"/>
      <w:r w:rsidRPr="004B551C">
        <w:rPr>
          <w:lang w:bidi="ar-EG"/>
        </w:rPr>
        <w:t>Nunclon</w:t>
      </w:r>
      <w:proofErr w:type="spellEnd"/>
      <w:r w:rsidRPr="004B551C">
        <w:rPr>
          <w:lang w:bidi="ar-EG"/>
        </w:rPr>
        <w:t xml:space="preserve"> (8 x 12) </w:t>
      </w:r>
      <w:proofErr w:type="spellStart"/>
      <w:r w:rsidRPr="004B551C">
        <w:rPr>
          <w:lang w:bidi="ar-EG"/>
        </w:rPr>
        <w:t>microtiter</w:t>
      </w:r>
      <w:proofErr w:type="spellEnd"/>
      <w:r w:rsidRPr="004B551C">
        <w:rPr>
          <w:lang w:bidi="ar-EG"/>
        </w:rPr>
        <w:t xml:space="preserve"> plate (96 wells).  Then 1 µl of the fungal suspension (in sterile distilled water) was added to each well. </w:t>
      </w:r>
      <w:proofErr w:type="spellStart"/>
      <w:r w:rsidRPr="004B551C">
        <w:rPr>
          <w:lang w:bidi="ar-EG"/>
        </w:rPr>
        <w:t>Microtiter</w:t>
      </w:r>
      <w:proofErr w:type="spellEnd"/>
      <w:r w:rsidRPr="004B551C">
        <w:rPr>
          <w:lang w:bidi="ar-EG"/>
        </w:rPr>
        <w:t xml:space="preserve"> plates were then incubated for 2 days at 28ºC.  Then, the MICs were determined as the lowest concentrations preventing visible growth </w:t>
      </w:r>
      <w:r w:rsidRPr="004B551C">
        <w:rPr>
          <w:b/>
          <w:bCs/>
          <w:lang w:bidi="ar-EG"/>
        </w:rPr>
        <w:t>(</w:t>
      </w:r>
      <w:proofErr w:type="spellStart"/>
      <w:r w:rsidRPr="004B551C">
        <w:rPr>
          <w:b/>
          <w:bCs/>
          <w:lang w:bidi="ar-EG"/>
        </w:rPr>
        <w:t>Sirot</w:t>
      </w:r>
      <w:proofErr w:type="spellEnd"/>
      <w:r w:rsidRPr="004B551C">
        <w:rPr>
          <w:b/>
          <w:bCs/>
          <w:lang w:bidi="ar-EG"/>
        </w:rPr>
        <w:t xml:space="preserve">, 1990). </w:t>
      </w:r>
    </w:p>
    <w:p w:rsidR="00F771BA" w:rsidRPr="004B551C" w:rsidRDefault="00F771BA" w:rsidP="004B551C">
      <w:pPr>
        <w:autoSpaceDE w:val="0"/>
        <w:autoSpaceDN w:val="0"/>
        <w:adjustRightInd w:val="0"/>
        <w:rPr>
          <w:b/>
          <w:bCs/>
          <w:sz w:val="20"/>
          <w:szCs w:val="20"/>
        </w:rPr>
      </w:pPr>
    </w:p>
    <w:p w:rsidR="008B158E" w:rsidRPr="004B551C" w:rsidRDefault="00F771BA" w:rsidP="004B551C">
      <w:pPr>
        <w:autoSpaceDE w:val="0"/>
        <w:autoSpaceDN w:val="0"/>
        <w:adjustRightInd w:val="0"/>
        <w:rPr>
          <w:b/>
          <w:bCs/>
          <w:sz w:val="20"/>
          <w:szCs w:val="20"/>
        </w:rPr>
      </w:pPr>
      <w:r w:rsidRPr="004B551C">
        <w:rPr>
          <w:b/>
          <w:bCs/>
          <w:sz w:val="20"/>
          <w:szCs w:val="20"/>
        </w:rPr>
        <w:t>3.</w:t>
      </w:r>
      <w:r w:rsidR="00276BF4" w:rsidRPr="004B551C">
        <w:rPr>
          <w:b/>
          <w:bCs/>
          <w:sz w:val="20"/>
          <w:szCs w:val="20"/>
        </w:rPr>
        <w:t>Results</w:t>
      </w:r>
      <w:r w:rsidR="008B158E" w:rsidRPr="004B551C">
        <w:rPr>
          <w:b/>
          <w:bCs/>
          <w:sz w:val="20"/>
          <w:szCs w:val="20"/>
        </w:rPr>
        <w:t>:</w:t>
      </w:r>
    </w:p>
    <w:p w:rsidR="008B158E" w:rsidRPr="004B551C" w:rsidRDefault="00BB72A2" w:rsidP="004B551C">
      <w:pPr>
        <w:autoSpaceDE w:val="0"/>
        <w:autoSpaceDN w:val="0"/>
        <w:adjustRightInd w:val="0"/>
        <w:ind w:left="284" w:hanging="284"/>
        <w:jc w:val="both"/>
        <w:rPr>
          <w:b/>
          <w:bCs/>
          <w:sz w:val="20"/>
          <w:szCs w:val="20"/>
        </w:rPr>
      </w:pPr>
      <w:r w:rsidRPr="004B551C">
        <w:rPr>
          <w:b/>
          <w:bCs/>
          <w:sz w:val="20"/>
          <w:szCs w:val="20"/>
        </w:rPr>
        <w:t xml:space="preserve">I. </w:t>
      </w:r>
      <w:r w:rsidR="008B158E" w:rsidRPr="004B551C">
        <w:rPr>
          <w:b/>
          <w:bCs/>
          <w:sz w:val="20"/>
          <w:szCs w:val="20"/>
        </w:rPr>
        <w:t xml:space="preserve">Antifungal activities of tested compounds </w:t>
      </w:r>
      <w:r w:rsidR="009867F7" w:rsidRPr="004B551C">
        <w:rPr>
          <w:b/>
          <w:bCs/>
          <w:sz w:val="20"/>
          <w:szCs w:val="20"/>
        </w:rPr>
        <w:t>against</w:t>
      </w:r>
      <w:r w:rsidR="008B158E" w:rsidRPr="004B551C">
        <w:rPr>
          <w:b/>
          <w:bCs/>
          <w:sz w:val="20"/>
          <w:szCs w:val="20"/>
        </w:rPr>
        <w:t>:</w:t>
      </w:r>
    </w:p>
    <w:p w:rsidR="009867F7" w:rsidRPr="004B551C" w:rsidRDefault="009867F7" w:rsidP="004B551C">
      <w:pPr>
        <w:pStyle w:val="ListParagraph"/>
        <w:numPr>
          <w:ilvl w:val="0"/>
          <w:numId w:val="13"/>
        </w:numPr>
        <w:autoSpaceDE w:val="0"/>
        <w:autoSpaceDN w:val="0"/>
        <w:bidi w:val="0"/>
        <w:adjustRightInd w:val="0"/>
        <w:ind w:left="284"/>
        <w:jc w:val="both"/>
        <w:rPr>
          <w:b/>
          <w:bCs/>
          <w:sz w:val="20"/>
          <w:szCs w:val="20"/>
        </w:rPr>
      </w:pPr>
      <w:proofErr w:type="spellStart"/>
      <w:r w:rsidRPr="004B551C">
        <w:rPr>
          <w:b/>
          <w:bCs/>
          <w:i/>
          <w:iCs/>
          <w:sz w:val="20"/>
          <w:szCs w:val="20"/>
        </w:rPr>
        <w:t>Sclerotium</w:t>
      </w:r>
      <w:proofErr w:type="spellEnd"/>
      <w:r w:rsidRPr="004B551C">
        <w:rPr>
          <w:b/>
          <w:bCs/>
          <w:i/>
          <w:iCs/>
          <w:sz w:val="20"/>
          <w:szCs w:val="20"/>
        </w:rPr>
        <w:t xml:space="preserve"> </w:t>
      </w:r>
      <w:proofErr w:type="spellStart"/>
      <w:r w:rsidRPr="004B551C">
        <w:rPr>
          <w:b/>
          <w:bCs/>
          <w:i/>
          <w:iCs/>
          <w:sz w:val="20"/>
          <w:szCs w:val="20"/>
        </w:rPr>
        <w:t>rolfsii</w:t>
      </w:r>
      <w:proofErr w:type="spellEnd"/>
      <w:r w:rsidRPr="004B551C">
        <w:rPr>
          <w:b/>
          <w:bCs/>
          <w:i/>
          <w:iCs/>
          <w:sz w:val="20"/>
          <w:szCs w:val="20"/>
        </w:rPr>
        <w:t xml:space="preserve">: </w:t>
      </w:r>
    </w:p>
    <w:p w:rsidR="008B158E" w:rsidRPr="004B551C" w:rsidRDefault="008B158E" w:rsidP="004B551C">
      <w:pPr>
        <w:ind w:firstLine="284"/>
        <w:jc w:val="lowKashida"/>
        <w:rPr>
          <w:sz w:val="20"/>
          <w:szCs w:val="20"/>
          <w:lang w:bidi="ar-EG"/>
        </w:rPr>
      </w:pPr>
      <w:r w:rsidRPr="004B551C">
        <w:rPr>
          <w:sz w:val="20"/>
          <w:szCs w:val="20"/>
          <w:lang w:bidi="ar-EG"/>
        </w:rPr>
        <w:t>The results of antifungal assays of some naturally occurring compounds under studying upon</w:t>
      </w:r>
      <w:r w:rsidRPr="004B551C">
        <w:rPr>
          <w:i/>
          <w:iCs/>
          <w:sz w:val="20"/>
          <w:szCs w:val="20"/>
          <w:lang w:bidi="ar-EG"/>
        </w:rPr>
        <w:t xml:space="preserve"> S. </w:t>
      </w:r>
      <w:proofErr w:type="spellStart"/>
      <w:r w:rsidRPr="004B551C">
        <w:rPr>
          <w:i/>
          <w:iCs/>
          <w:sz w:val="20"/>
          <w:szCs w:val="20"/>
          <w:lang w:bidi="ar-EG"/>
        </w:rPr>
        <w:t>rolfsii</w:t>
      </w:r>
      <w:proofErr w:type="spellEnd"/>
      <w:r w:rsidRPr="004B551C">
        <w:rPr>
          <w:sz w:val="20"/>
          <w:szCs w:val="20"/>
          <w:lang w:bidi="ar-EG"/>
        </w:rPr>
        <w:t xml:space="preserve"> are given in table (1). The percentage of growth inhibition at the concentration 50 µg/ml of </w:t>
      </w:r>
      <w:proofErr w:type="spellStart"/>
      <w:r w:rsidRPr="004B551C">
        <w:rPr>
          <w:sz w:val="20"/>
          <w:szCs w:val="20"/>
          <w:lang w:bidi="ar-EG"/>
        </w:rPr>
        <w:t>thymol</w:t>
      </w:r>
      <w:proofErr w:type="spellEnd"/>
      <w:r w:rsidRPr="004B551C">
        <w:rPr>
          <w:sz w:val="20"/>
          <w:szCs w:val="20"/>
          <w:lang w:bidi="ar-EG"/>
        </w:rPr>
        <w:t xml:space="preserve"> was 10.47%; at the concentrations 100, 150, 200 and 250 µg/ml the percentages of growth inhibition were 45.34, 70.85, 84.64 and 91.73%, respectively.  The 50 µg/ml of </w:t>
      </w:r>
      <w:proofErr w:type="spellStart"/>
      <w:r w:rsidRPr="004B551C">
        <w:rPr>
          <w:sz w:val="20"/>
          <w:szCs w:val="20"/>
          <w:lang w:bidi="ar-EG"/>
        </w:rPr>
        <w:t>eugenol</w:t>
      </w:r>
      <w:proofErr w:type="spellEnd"/>
      <w:r w:rsidRPr="004B551C">
        <w:rPr>
          <w:sz w:val="20"/>
          <w:szCs w:val="20"/>
          <w:lang w:bidi="ar-EG"/>
        </w:rPr>
        <w:t xml:space="preserve"> showed 12.43% growth inhibition, the 100, 150, 200 and 250 µg/ml recorded 25.39, 35.39, 43.22 and 49.5% growth inhibition, respectively.  The concentration of 50 µg/ml of methyl </w:t>
      </w:r>
      <w:proofErr w:type="spellStart"/>
      <w:r w:rsidRPr="004B551C">
        <w:rPr>
          <w:sz w:val="20"/>
          <w:szCs w:val="20"/>
          <w:lang w:bidi="ar-EG"/>
        </w:rPr>
        <w:t>cinnamate</w:t>
      </w:r>
      <w:proofErr w:type="spellEnd"/>
      <w:r w:rsidRPr="004B551C">
        <w:rPr>
          <w:sz w:val="20"/>
          <w:szCs w:val="20"/>
          <w:lang w:bidi="ar-EG"/>
        </w:rPr>
        <w:t xml:space="preserve"> had 0.95% growth inhibition, the 100, 150, 200 and 250 µg/ml had 10.81, 27.87, 45 and 59.17% growth inhibition percentage.  The 500 µg/ml concentration of linalool gave 12.71% growth inhibition; the 2000 µg/ml gave 93.29% and the 8000 µg/ml gave complete growth inhibition.  After that, the 500 µg/ml of 1,8-cineol showed only 1.24% growth inhibition, the 4000 µg/ml showed 2.58% and the 8000 µg/ml showed only 4.99% growth inhibition.    </w:t>
      </w:r>
    </w:p>
    <w:p w:rsidR="008B158E" w:rsidRPr="004B551C" w:rsidRDefault="008B158E" w:rsidP="004B551C">
      <w:pPr>
        <w:ind w:firstLine="284"/>
        <w:jc w:val="lowKashida"/>
        <w:rPr>
          <w:sz w:val="20"/>
          <w:szCs w:val="20"/>
          <w:lang w:bidi="ar-EG"/>
        </w:rPr>
      </w:pPr>
      <w:r w:rsidRPr="004B551C">
        <w:rPr>
          <w:sz w:val="20"/>
          <w:szCs w:val="20"/>
          <w:lang w:bidi="ar-EG"/>
        </w:rPr>
        <w:tab/>
        <w:t xml:space="preserve">Generally, the five tested compounds showed variable fungicidal activity on the growth of </w:t>
      </w:r>
      <w:r w:rsidRPr="004B551C">
        <w:rPr>
          <w:i/>
          <w:iCs/>
          <w:sz w:val="20"/>
          <w:szCs w:val="20"/>
          <w:lang w:bidi="ar-EG"/>
        </w:rPr>
        <w:t xml:space="preserve">S. </w:t>
      </w:r>
      <w:proofErr w:type="spellStart"/>
      <w:r w:rsidRPr="004B551C">
        <w:rPr>
          <w:i/>
          <w:iCs/>
          <w:sz w:val="20"/>
          <w:szCs w:val="20"/>
          <w:lang w:bidi="ar-EG"/>
        </w:rPr>
        <w:t>rolfsii</w:t>
      </w:r>
      <w:proofErr w:type="spellEnd"/>
      <w:r w:rsidRPr="004B551C">
        <w:rPr>
          <w:sz w:val="20"/>
          <w:szCs w:val="20"/>
          <w:lang w:bidi="ar-EG"/>
        </w:rPr>
        <w:t>.  From the attained results; it was found that, the LC</w:t>
      </w:r>
      <w:r w:rsidRPr="004B551C">
        <w:rPr>
          <w:sz w:val="20"/>
          <w:szCs w:val="20"/>
          <w:vertAlign w:val="subscript"/>
          <w:lang w:bidi="ar-EG"/>
        </w:rPr>
        <w:t>25</w:t>
      </w:r>
      <w:r w:rsidRPr="004B551C">
        <w:rPr>
          <w:sz w:val="20"/>
          <w:szCs w:val="20"/>
          <w:lang w:bidi="ar-EG"/>
        </w:rPr>
        <w:t xml:space="preserve"> - LC</w:t>
      </w:r>
      <w:r w:rsidRPr="004B551C">
        <w:rPr>
          <w:sz w:val="20"/>
          <w:szCs w:val="20"/>
          <w:vertAlign w:val="subscript"/>
          <w:lang w:bidi="ar-EG"/>
        </w:rPr>
        <w:t>50</w:t>
      </w:r>
      <w:r w:rsidRPr="004B551C">
        <w:rPr>
          <w:sz w:val="20"/>
          <w:szCs w:val="20"/>
          <w:lang w:bidi="ar-EG"/>
        </w:rPr>
        <w:t>’s</w:t>
      </w:r>
      <w:r w:rsidRPr="004B551C">
        <w:rPr>
          <w:sz w:val="20"/>
          <w:szCs w:val="20"/>
          <w:vertAlign w:val="subscript"/>
          <w:lang w:bidi="ar-EG"/>
        </w:rPr>
        <w:t xml:space="preserve"> </w:t>
      </w:r>
      <w:r w:rsidRPr="004B551C">
        <w:rPr>
          <w:sz w:val="20"/>
          <w:szCs w:val="20"/>
          <w:lang w:bidi="ar-EG"/>
        </w:rPr>
        <w:t xml:space="preserve">of </w:t>
      </w:r>
      <w:proofErr w:type="spellStart"/>
      <w:r w:rsidRPr="004B551C">
        <w:rPr>
          <w:sz w:val="20"/>
          <w:szCs w:val="20"/>
          <w:lang w:bidi="ar-EG"/>
        </w:rPr>
        <w:t>thymol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linalool and 1,8-cineol were 71.22 - 107.39, 142.01 - 216.3, 98.31 - 254.47, 638.72 - 910.25 and 640981 - 4.35x10</w:t>
      </w:r>
      <w:r w:rsidRPr="004B551C">
        <w:rPr>
          <w:sz w:val="20"/>
          <w:szCs w:val="20"/>
          <w:vertAlign w:val="superscript"/>
          <w:lang w:bidi="ar-EG"/>
        </w:rPr>
        <w:t>9</w:t>
      </w:r>
      <w:r w:rsidRPr="004B551C">
        <w:rPr>
          <w:sz w:val="20"/>
          <w:szCs w:val="20"/>
          <w:lang w:bidi="ar-EG"/>
        </w:rPr>
        <w:t xml:space="preserve"> µg/ml, respectively.</w:t>
      </w:r>
    </w:p>
    <w:p w:rsidR="008B158E" w:rsidRPr="004B551C" w:rsidRDefault="008B158E" w:rsidP="004B551C">
      <w:pPr>
        <w:ind w:firstLine="284"/>
        <w:jc w:val="both"/>
        <w:rPr>
          <w:sz w:val="20"/>
          <w:szCs w:val="20"/>
          <w:lang w:bidi="ar-EG"/>
        </w:rPr>
      </w:pPr>
      <w:r w:rsidRPr="004B551C">
        <w:rPr>
          <w:sz w:val="20"/>
          <w:szCs w:val="20"/>
          <w:lang w:bidi="ar-EG"/>
        </w:rPr>
        <w:t xml:space="preserve">The toxicity indexes were 49.65, 42.2, 11.8 and 0.0008 % for methyl </w:t>
      </w:r>
      <w:proofErr w:type="spellStart"/>
      <w:r w:rsidRPr="004B551C">
        <w:rPr>
          <w:sz w:val="20"/>
          <w:szCs w:val="20"/>
          <w:lang w:bidi="ar-EG"/>
        </w:rPr>
        <w:t>cinnamate</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linalool and </w:t>
      </w:r>
      <w:r w:rsidRPr="004B551C">
        <w:rPr>
          <w:sz w:val="20"/>
          <w:szCs w:val="20"/>
          <w:lang w:bidi="ar-EG"/>
        </w:rPr>
        <w:lastRenderedPageBreak/>
        <w:t>1,8-cineol, respectively when compared with the most effective compound (</w:t>
      </w:r>
      <w:proofErr w:type="spellStart"/>
      <w:r w:rsidRPr="004B551C">
        <w:rPr>
          <w:sz w:val="20"/>
          <w:szCs w:val="20"/>
          <w:lang w:bidi="ar-EG"/>
        </w:rPr>
        <w:t>thymol</w:t>
      </w:r>
      <w:proofErr w:type="spellEnd"/>
      <w:r w:rsidRPr="004B551C">
        <w:rPr>
          <w:sz w:val="20"/>
          <w:szCs w:val="20"/>
          <w:lang w:bidi="ar-EG"/>
        </w:rPr>
        <w:t xml:space="preserve">) which had the 100% toxicity index.  While the relative potencies of the tested compounds when compared with the least effective one (1,8-cineol) were 125076.8, 62098.94, 52784.22 and 14756.39 folds than 1,8-cineol for </w:t>
      </w:r>
      <w:proofErr w:type="spellStart"/>
      <w:r w:rsidRPr="004B551C">
        <w:rPr>
          <w:sz w:val="20"/>
          <w:szCs w:val="20"/>
          <w:lang w:bidi="ar-EG"/>
        </w:rPr>
        <w:t>thymol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linalool, respectively.  </w:t>
      </w:r>
    </w:p>
    <w:p w:rsidR="008B158E" w:rsidRPr="004B551C" w:rsidRDefault="008B158E" w:rsidP="004B551C">
      <w:pPr>
        <w:ind w:firstLine="284"/>
        <w:jc w:val="lowKashida"/>
        <w:rPr>
          <w:sz w:val="20"/>
          <w:szCs w:val="20"/>
          <w:lang w:bidi="ar-EG"/>
        </w:rPr>
      </w:pPr>
      <w:r w:rsidRPr="004B551C">
        <w:rPr>
          <w:sz w:val="20"/>
          <w:szCs w:val="20"/>
          <w:lang w:bidi="ar-EG"/>
        </w:rPr>
        <w:t xml:space="preserve">  </w:t>
      </w:r>
      <w:r w:rsidRPr="004B551C">
        <w:rPr>
          <w:sz w:val="20"/>
          <w:szCs w:val="20"/>
          <w:lang w:bidi="ar-EG"/>
        </w:rPr>
        <w:tab/>
        <w:t xml:space="preserve">The Ldp-lines of the five tested compounds against </w:t>
      </w:r>
      <w:r w:rsidRPr="004B551C">
        <w:rPr>
          <w:i/>
          <w:iCs/>
          <w:sz w:val="20"/>
          <w:szCs w:val="20"/>
          <w:lang w:bidi="ar-EG"/>
        </w:rPr>
        <w:t xml:space="preserve">S. </w:t>
      </w:r>
      <w:proofErr w:type="spellStart"/>
      <w:r w:rsidRPr="004B551C">
        <w:rPr>
          <w:i/>
          <w:iCs/>
          <w:sz w:val="20"/>
          <w:szCs w:val="20"/>
          <w:lang w:bidi="ar-EG"/>
        </w:rPr>
        <w:t>rolfsii</w:t>
      </w:r>
      <w:proofErr w:type="spellEnd"/>
      <w:r w:rsidRPr="004B551C">
        <w:rPr>
          <w:i/>
          <w:iCs/>
          <w:sz w:val="20"/>
          <w:szCs w:val="20"/>
          <w:lang w:bidi="ar-EG"/>
        </w:rPr>
        <w:t xml:space="preserve"> </w:t>
      </w:r>
      <w:r w:rsidRPr="004B551C">
        <w:rPr>
          <w:sz w:val="20"/>
          <w:szCs w:val="20"/>
          <w:lang w:bidi="ar-EG"/>
        </w:rPr>
        <w:t xml:space="preserve">were plotted in figure (1). The slope of each line was calculated separately. The highest slope value was for linalool (4.38).  The lowest slope </w:t>
      </w:r>
      <w:r w:rsidRPr="004B551C">
        <w:rPr>
          <w:sz w:val="20"/>
          <w:szCs w:val="20"/>
          <w:lang w:bidi="ar-EG"/>
        </w:rPr>
        <w:lastRenderedPageBreak/>
        <w:t xml:space="preserve">value was (0.51) for 1,8-cineol.  The slope values for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were 3.78, 1.63 and 3.69, respectively.  It was found that all the slope values were higher than 1.  It means that this applied compound is slightly toxic and had high antifungal activity.</w:t>
      </w:r>
    </w:p>
    <w:p w:rsidR="008B158E" w:rsidRPr="004B551C" w:rsidRDefault="008B158E" w:rsidP="004B551C">
      <w:pPr>
        <w:ind w:firstLine="284"/>
        <w:jc w:val="lowKashida"/>
        <w:rPr>
          <w:b/>
          <w:bCs/>
          <w:sz w:val="20"/>
          <w:szCs w:val="20"/>
          <w:lang w:bidi="ar-EG"/>
        </w:rPr>
      </w:pPr>
      <w:r w:rsidRPr="004B551C">
        <w:rPr>
          <w:b/>
          <w:bCs/>
          <w:sz w:val="20"/>
          <w:szCs w:val="20"/>
          <w:lang w:bidi="ar-EG"/>
        </w:rPr>
        <w:t xml:space="preserve">It can be concluded that compounds can be arranged </w:t>
      </w:r>
      <w:proofErr w:type="spellStart"/>
      <w:r w:rsidRPr="004B551C">
        <w:rPr>
          <w:b/>
          <w:bCs/>
          <w:sz w:val="20"/>
          <w:szCs w:val="20"/>
          <w:lang w:bidi="ar-EG"/>
        </w:rPr>
        <w:t>descendingly</w:t>
      </w:r>
      <w:proofErr w:type="spellEnd"/>
      <w:r w:rsidRPr="004B551C">
        <w:rPr>
          <w:b/>
          <w:bCs/>
          <w:sz w:val="20"/>
          <w:szCs w:val="20"/>
          <w:lang w:bidi="ar-EG"/>
        </w:rPr>
        <w:t xml:space="preserve"> according to their effectiveness upon </w:t>
      </w:r>
      <w:r w:rsidRPr="004B551C">
        <w:rPr>
          <w:b/>
          <w:bCs/>
          <w:i/>
          <w:iCs/>
          <w:sz w:val="20"/>
          <w:szCs w:val="20"/>
          <w:lang w:bidi="ar-EG"/>
        </w:rPr>
        <w:t xml:space="preserve">S. </w:t>
      </w:r>
      <w:proofErr w:type="spellStart"/>
      <w:r w:rsidRPr="004B551C">
        <w:rPr>
          <w:b/>
          <w:bCs/>
          <w:i/>
          <w:iCs/>
          <w:sz w:val="20"/>
          <w:szCs w:val="20"/>
          <w:lang w:bidi="ar-EG"/>
        </w:rPr>
        <w:t>rolfsii</w:t>
      </w:r>
      <w:proofErr w:type="spellEnd"/>
      <w:r w:rsidRPr="004B551C">
        <w:rPr>
          <w:b/>
          <w:bCs/>
          <w:i/>
          <w:iCs/>
          <w:sz w:val="20"/>
          <w:szCs w:val="20"/>
          <w:lang w:bidi="ar-EG"/>
        </w:rPr>
        <w:t xml:space="preserve"> </w:t>
      </w:r>
      <w:r w:rsidRPr="004B551C">
        <w:rPr>
          <w:b/>
          <w:bCs/>
          <w:sz w:val="20"/>
          <w:szCs w:val="20"/>
          <w:lang w:bidi="ar-EG"/>
        </w:rPr>
        <w:t xml:space="preserve">as follows; </w:t>
      </w:r>
    </w:p>
    <w:p w:rsidR="003734E5" w:rsidRPr="004B551C" w:rsidRDefault="008B158E" w:rsidP="004B551C">
      <w:pPr>
        <w:ind w:firstLine="284"/>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 xml:space="preserve"> &gt; methyl </w:t>
      </w:r>
      <w:proofErr w:type="spellStart"/>
      <w:r w:rsidRPr="004B551C">
        <w:rPr>
          <w:b/>
          <w:bCs/>
          <w:sz w:val="20"/>
          <w:szCs w:val="20"/>
          <w:lang w:bidi="ar-EG"/>
        </w:rPr>
        <w:t>cinnamate</w:t>
      </w:r>
      <w:proofErr w:type="spellEnd"/>
      <w:r w:rsidRPr="004B551C">
        <w:rPr>
          <w:b/>
          <w:bCs/>
          <w:sz w:val="20"/>
          <w:szCs w:val="20"/>
          <w:lang w:bidi="ar-EG"/>
        </w:rPr>
        <w:t xml:space="preserve"> &gt; </w:t>
      </w:r>
      <w:proofErr w:type="spellStart"/>
      <w:r w:rsidRPr="004B551C">
        <w:rPr>
          <w:b/>
          <w:bCs/>
          <w:sz w:val="20"/>
          <w:szCs w:val="20"/>
          <w:lang w:bidi="ar-EG"/>
        </w:rPr>
        <w:t>eugenol</w:t>
      </w:r>
      <w:proofErr w:type="spellEnd"/>
      <w:r w:rsidRPr="004B551C">
        <w:rPr>
          <w:b/>
          <w:bCs/>
          <w:sz w:val="20"/>
          <w:szCs w:val="20"/>
          <w:lang w:bidi="ar-EG"/>
        </w:rPr>
        <w:t xml:space="preserve"> </w:t>
      </w:r>
    </w:p>
    <w:p w:rsidR="008B158E" w:rsidRPr="004B551C" w:rsidRDefault="003734E5" w:rsidP="004B551C">
      <w:pPr>
        <w:ind w:firstLine="284"/>
        <w:jc w:val="center"/>
        <w:rPr>
          <w:b/>
          <w:bCs/>
          <w:sz w:val="20"/>
          <w:szCs w:val="20"/>
          <w:lang w:bidi="ar-EG"/>
        </w:rPr>
      </w:pPr>
      <w:r w:rsidRPr="004B551C">
        <w:rPr>
          <w:b/>
          <w:bCs/>
          <w:sz w:val="20"/>
          <w:szCs w:val="20"/>
          <w:lang w:bidi="ar-EG"/>
        </w:rPr>
        <w:t>&gt;</w:t>
      </w:r>
      <w:r w:rsidR="008B158E" w:rsidRPr="004B551C">
        <w:rPr>
          <w:b/>
          <w:bCs/>
          <w:sz w:val="20"/>
          <w:szCs w:val="20"/>
          <w:lang w:bidi="ar-EG"/>
        </w:rPr>
        <w:t xml:space="preserve"> linalool</w:t>
      </w:r>
      <w:r w:rsidRPr="004B551C">
        <w:rPr>
          <w:b/>
          <w:bCs/>
          <w:sz w:val="20"/>
          <w:szCs w:val="20"/>
          <w:lang w:bidi="ar-EG"/>
        </w:rPr>
        <w:t xml:space="preserve"> </w:t>
      </w:r>
      <w:r w:rsidR="008B158E" w:rsidRPr="004B551C">
        <w:rPr>
          <w:b/>
          <w:bCs/>
          <w:sz w:val="20"/>
          <w:szCs w:val="20"/>
          <w:lang w:bidi="ar-EG"/>
        </w:rPr>
        <w:t>&gt; 1,8-cineol.</w:t>
      </w:r>
    </w:p>
    <w:p w:rsidR="00260CAA" w:rsidRPr="004B551C" w:rsidRDefault="00260CAA" w:rsidP="004B551C">
      <w:pPr>
        <w:pStyle w:val="BodyTextIndent3"/>
        <w:tabs>
          <w:tab w:val="right" w:pos="0"/>
          <w:tab w:val="left" w:pos="8575"/>
        </w:tabs>
        <w:bidi w:val="0"/>
        <w:spacing w:after="0"/>
        <w:ind w:left="0"/>
        <w:jc w:val="both"/>
        <w:rPr>
          <w:b/>
          <w:bCs/>
          <w:sz w:val="20"/>
          <w:szCs w:val="20"/>
        </w:rPr>
      </w:pPr>
      <w:r w:rsidRPr="004B551C">
        <w:rPr>
          <w:b/>
          <w:bCs/>
          <w:sz w:val="20"/>
          <w:szCs w:val="20"/>
        </w:rPr>
        <w:tab/>
      </w:r>
    </w:p>
    <w:p w:rsidR="00DD0500" w:rsidRPr="004B551C" w:rsidRDefault="00DD0500" w:rsidP="004B551C">
      <w:pPr>
        <w:pStyle w:val="BodyTextIndent3"/>
        <w:tabs>
          <w:tab w:val="right" w:pos="0"/>
          <w:tab w:val="left" w:pos="8575"/>
        </w:tabs>
        <w:bidi w:val="0"/>
        <w:spacing w:after="0"/>
        <w:ind w:left="0"/>
        <w:jc w:val="both"/>
        <w:rPr>
          <w:sz w:val="20"/>
          <w:szCs w:val="20"/>
        </w:rPr>
        <w:sectPr w:rsidR="00DD0500" w:rsidRPr="004B551C" w:rsidSect="00B952E0">
          <w:type w:val="continuous"/>
          <w:pgSz w:w="12240" w:h="15840" w:code="1"/>
          <w:pgMar w:top="1440" w:right="1440" w:bottom="851" w:left="1440" w:header="720" w:footer="510" w:gutter="0"/>
          <w:cols w:num="2" w:space="720"/>
          <w:docGrid w:linePitch="360"/>
        </w:sectPr>
      </w:pPr>
    </w:p>
    <w:p w:rsidR="00260CAA" w:rsidRPr="004B551C" w:rsidRDefault="00260CAA" w:rsidP="004B551C">
      <w:pPr>
        <w:pStyle w:val="BodyTextIndent3"/>
        <w:tabs>
          <w:tab w:val="right" w:pos="0"/>
          <w:tab w:val="left" w:pos="8575"/>
        </w:tabs>
        <w:bidi w:val="0"/>
        <w:spacing w:after="0"/>
        <w:ind w:left="0"/>
        <w:jc w:val="both"/>
        <w:rPr>
          <w:sz w:val="20"/>
          <w:szCs w:val="20"/>
        </w:rPr>
      </w:pPr>
    </w:p>
    <w:p w:rsidR="0040611E" w:rsidRPr="004B551C" w:rsidRDefault="0040611E" w:rsidP="004B551C">
      <w:pPr>
        <w:ind w:left="1170" w:hanging="1170"/>
        <w:jc w:val="both"/>
        <w:rPr>
          <w:sz w:val="20"/>
          <w:szCs w:val="20"/>
          <w:lang w:bidi="ar-EG"/>
        </w:rPr>
      </w:pPr>
      <w:r w:rsidRPr="004B551C">
        <w:rPr>
          <w:b/>
          <w:bCs/>
          <w:sz w:val="20"/>
          <w:szCs w:val="20"/>
          <w:lang w:bidi="ar-EG"/>
        </w:rPr>
        <w:t>Table (1):</w:t>
      </w:r>
      <w:r w:rsidRPr="004B551C">
        <w:rPr>
          <w:sz w:val="20"/>
          <w:szCs w:val="20"/>
          <w:lang w:bidi="ar-EG"/>
        </w:rPr>
        <w:t xml:space="preserve"> Effect of the selected compounds on </w:t>
      </w:r>
      <w:proofErr w:type="spellStart"/>
      <w:r w:rsidRPr="004B551C">
        <w:rPr>
          <w:i/>
          <w:iCs/>
          <w:sz w:val="20"/>
          <w:szCs w:val="20"/>
          <w:lang w:bidi="ar-EG"/>
        </w:rPr>
        <w:t>Sclerotium</w:t>
      </w:r>
      <w:proofErr w:type="spellEnd"/>
      <w:r w:rsidRPr="004B551C">
        <w:rPr>
          <w:i/>
          <w:iCs/>
          <w:sz w:val="20"/>
          <w:szCs w:val="20"/>
          <w:lang w:bidi="ar-EG"/>
        </w:rPr>
        <w:t xml:space="preserve"> </w:t>
      </w:r>
      <w:proofErr w:type="spellStart"/>
      <w:r w:rsidRPr="004B551C">
        <w:rPr>
          <w:i/>
          <w:iCs/>
          <w:sz w:val="20"/>
          <w:szCs w:val="20"/>
          <w:lang w:bidi="ar-EG"/>
        </w:rPr>
        <w:t>rolfsii</w:t>
      </w:r>
      <w:proofErr w:type="spellEnd"/>
      <w:r w:rsidRPr="004B551C">
        <w:rPr>
          <w:sz w:val="20"/>
          <w:szCs w:val="20"/>
          <w:lang w:bidi="ar-EG"/>
        </w:rPr>
        <w:t>.</w:t>
      </w:r>
    </w:p>
    <w:tbl>
      <w:tblPr>
        <w:tblW w:w="5182"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373"/>
        <w:gridCol w:w="768"/>
        <w:gridCol w:w="768"/>
        <w:gridCol w:w="768"/>
        <w:gridCol w:w="768"/>
        <w:gridCol w:w="768"/>
        <w:gridCol w:w="1002"/>
        <w:gridCol w:w="842"/>
        <w:gridCol w:w="750"/>
        <w:gridCol w:w="1006"/>
        <w:gridCol w:w="1112"/>
      </w:tblGrid>
      <w:tr w:rsidR="0040611E" w:rsidRPr="004B551C" w:rsidTr="006E76F1">
        <w:trPr>
          <w:trHeight w:val="285"/>
          <w:jc w:val="center"/>
        </w:trPr>
        <w:tc>
          <w:tcPr>
            <w:tcW w:w="691" w:type="pct"/>
            <w:vMerge w:val="restart"/>
            <w:tcBorders>
              <w:right w:val="single" w:sz="4" w:space="0" w:color="auto"/>
            </w:tcBorders>
            <w:vAlign w:val="center"/>
          </w:tcPr>
          <w:p w:rsidR="0040611E" w:rsidRPr="004B551C" w:rsidRDefault="0040611E" w:rsidP="004B551C">
            <w:pPr>
              <w:jc w:val="center"/>
              <w:rPr>
                <w:b/>
                <w:bCs/>
                <w:sz w:val="20"/>
                <w:szCs w:val="20"/>
                <w:lang w:bidi="ar-EG"/>
              </w:rPr>
            </w:pPr>
            <w:r w:rsidRPr="004B551C">
              <w:rPr>
                <w:b/>
                <w:bCs/>
                <w:sz w:val="20"/>
                <w:szCs w:val="20"/>
                <w:lang w:bidi="ar-EG"/>
              </w:rPr>
              <w:t>Compounds tested</w:t>
            </w:r>
          </w:p>
        </w:tc>
        <w:tc>
          <w:tcPr>
            <w:tcW w:w="1933" w:type="pct"/>
            <w:gridSpan w:val="5"/>
            <w:tcBorders>
              <w:left w:val="single" w:sz="4" w:space="0" w:color="auto"/>
              <w:right w:val="single" w:sz="4" w:space="0" w:color="auto"/>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 xml:space="preserve">Concentrations in  </w:t>
            </w:r>
            <w:proofErr w:type="spellStart"/>
            <w:r w:rsidRPr="004B551C">
              <w:rPr>
                <w:b/>
                <w:bCs/>
                <w:sz w:val="20"/>
                <w:szCs w:val="20"/>
                <w:lang w:bidi="ar-EG"/>
              </w:rPr>
              <w:t>ppm</w:t>
            </w:r>
            <w:proofErr w:type="spellEnd"/>
            <w:r w:rsidRPr="004B551C">
              <w:rPr>
                <w:b/>
                <w:bCs/>
                <w:sz w:val="20"/>
                <w:szCs w:val="20"/>
                <w:lang w:bidi="ar-EG"/>
              </w:rPr>
              <w:t xml:space="preserve"> (µg/ml)</w:t>
            </w:r>
          </w:p>
        </w:tc>
        <w:tc>
          <w:tcPr>
            <w:tcW w:w="505" w:type="pct"/>
            <w:vMerge w:val="restart"/>
            <w:tcBorders>
              <w:left w:val="single" w:sz="4" w:space="0" w:color="auto"/>
            </w:tcBorders>
            <w:vAlign w:val="center"/>
          </w:tcPr>
          <w:p w:rsidR="0040611E" w:rsidRPr="004B551C" w:rsidRDefault="0040611E"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25</w:t>
            </w:r>
          </w:p>
        </w:tc>
        <w:tc>
          <w:tcPr>
            <w:tcW w:w="424" w:type="pct"/>
            <w:vMerge w:val="restart"/>
            <w:vAlign w:val="center"/>
          </w:tcPr>
          <w:p w:rsidR="0040611E" w:rsidRPr="004B551C" w:rsidRDefault="0040611E"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50</w:t>
            </w:r>
          </w:p>
        </w:tc>
        <w:tc>
          <w:tcPr>
            <w:tcW w:w="378" w:type="pct"/>
            <w:vMerge w:val="restart"/>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Slope</w:t>
            </w:r>
          </w:p>
        </w:tc>
        <w:tc>
          <w:tcPr>
            <w:tcW w:w="507" w:type="pct"/>
            <w:vMerge w:val="restart"/>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Toxicity Index</w:t>
            </w:r>
          </w:p>
        </w:tc>
        <w:tc>
          <w:tcPr>
            <w:tcW w:w="562" w:type="pct"/>
            <w:vMerge w:val="restart"/>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Relative Potency</w:t>
            </w:r>
          </w:p>
        </w:tc>
      </w:tr>
      <w:tr w:rsidR="0040611E" w:rsidRPr="004B551C" w:rsidTr="006E76F1">
        <w:trPr>
          <w:trHeight w:val="285"/>
          <w:jc w:val="center"/>
        </w:trPr>
        <w:tc>
          <w:tcPr>
            <w:tcW w:w="691" w:type="pct"/>
            <w:vMerge/>
            <w:tcBorders>
              <w:right w:val="single" w:sz="4" w:space="0" w:color="auto"/>
            </w:tcBorders>
            <w:vAlign w:val="center"/>
          </w:tcPr>
          <w:p w:rsidR="0040611E" w:rsidRPr="004B551C" w:rsidRDefault="0040611E" w:rsidP="004B551C">
            <w:pPr>
              <w:jc w:val="center"/>
              <w:rPr>
                <w:b/>
                <w:bCs/>
                <w:sz w:val="20"/>
                <w:szCs w:val="20"/>
                <w:lang w:bidi="ar-EG"/>
              </w:rPr>
            </w:pPr>
          </w:p>
        </w:tc>
        <w:tc>
          <w:tcPr>
            <w:tcW w:w="387" w:type="pct"/>
            <w:tcBorders>
              <w:left w:val="single" w:sz="4" w:space="0" w:color="auto"/>
              <w:right w:val="nil"/>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A</w:t>
            </w:r>
          </w:p>
        </w:tc>
        <w:tc>
          <w:tcPr>
            <w:tcW w:w="387" w:type="pct"/>
            <w:tcBorders>
              <w:left w:val="nil"/>
              <w:right w:val="nil"/>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B</w:t>
            </w:r>
          </w:p>
        </w:tc>
        <w:tc>
          <w:tcPr>
            <w:tcW w:w="387" w:type="pct"/>
            <w:tcBorders>
              <w:left w:val="nil"/>
              <w:right w:val="nil"/>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C</w:t>
            </w:r>
          </w:p>
        </w:tc>
        <w:tc>
          <w:tcPr>
            <w:tcW w:w="387" w:type="pct"/>
            <w:tcBorders>
              <w:left w:val="nil"/>
              <w:right w:val="nil"/>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D</w:t>
            </w:r>
          </w:p>
        </w:tc>
        <w:tc>
          <w:tcPr>
            <w:tcW w:w="387" w:type="pct"/>
            <w:tcBorders>
              <w:left w:val="nil"/>
              <w:right w:val="single" w:sz="4" w:space="0" w:color="auto"/>
            </w:tcBorders>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E</w:t>
            </w:r>
          </w:p>
        </w:tc>
        <w:tc>
          <w:tcPr>
            <w:tcW w:w="505" w:type="pct"/>
            <w:vMerge/>
            <w:tcBorders>
              <w:left w:val="single" w:sz="4" w:space="0" w:color="auto"/>
            </w:tcBorders>
            <w:vAlign w:val="center"/>
          </w:tcPr>
          <w:p w:rsidR="0040611E" w:rsidRPr="004B551C" w:rsidRDefault="0040611E" w:rsidP="004B551C">
            <w:pPr>
              <w:jc w:val="center"/>
              <w:rPr>
                <w:b/>
                <w:bCs/>
                <w:sz w:val="20"/>
                <w:szCs w:val="20"/>
                <w:lang w:bidi="ar-EG"/>
              </w:rPr>
            </w:pPr>
          </w:p>
        </w:tc>
        <w:tc>
          <w:tcPr>
            <w:tcW w:w="424" w:type="pct"/>
            <w:vMerge/>
            <w:vAlign w:val="center"/>
          </w:tcPr>
          <w:p w:rsidR="0040611E" w:rsidRPr="004B551C" w:rsidRDefault="0040611E" w:rsidP="004B551C">
            <w:pPr>
              <w:jc w:val="center"/>
              <w:rPr>
                <w:b/>
                <w:bCs/>
                <w:sz w:val="20"/>
                <w:szCs w:val="20"/>
                <w:lang w:bidi="ar-EG"/>
              </w:rPr>
            </w:pPr>
          </w:p>
        </w:tc>
        <w:tc>
          <w:tcPr>
            <w:tcW w:w="378" w:type="pct"/>
            <w:vMerge/>
            <w:shd w:val="clear" w:color="auto" w:fill="auto"/>
            <w:vAlign w:val="center"/>
          </w:tcPr>
          <w:p w:rsidR="0040611E" w:rsidRPr="004B551C" w:rsidRDefault="0040611E" w:rsidP="004B551C">
            <w:pPr>
              <w:jc w:val="center"/>
              <w:rPr>
                <w:b/>
                <w:bCs/>
                <w:sz w:val="20"/>
                <w:szCs w:val="20"/>
                <w:lang w:bidi="ar-EG"/>
              </w:rPr>
            </w:pPr>
          </w:p>
        </w:tc>
        <w:tc>
          <w:tcPr>
            <w:tcW w:w="507" w:type="pct"/>
            <w:vMerge/>
            <w:shd w:val="clear" w:color="auto" w:fill="auto"/>
            <w:vAlign w:val="center"/>
          </w:tcPr>
          <w:p w:rsidR="0040611E" w:rsidRPr="004B551C" w:rsidRDefault="0040611E" w:rsidP="004B551C">
            <w:pPr>
              <w:jc w:val="center"/>
              <w:rPr>
                <w:b/>
                <w:bCs/>
                <w:sz w:val="20"/>
                <w:szCs w:val="20"/>
                <w:lang w:bidi="ar-EG"/>
              </w:rPr>
            </w:pPr>
          </w:p>
        </w:tc>
        <w:tc>
          <w:tcPr>
            <w:tcW w:w="562" w:type="pct"/>
            <w:vMerge/>
            <w:shd w:val="clear" w:color="auto" w:fill="auto"/>
            <w:vAlign w:val="center"/>
          </w:tcPr>
          <w:p w:rsidR="0040611E" w:rsidRPr="004B551C" w:rsidRDefault="0040611E" w:rsidP="004B551C">
            <w:pPr>
              <w:jc w:val="center"/>
              <w:rPr>
                <w:b/>
                <w:bCs/>
                <w:sz w:val="20"/>
                <w:szCs w:val="20"/>
                <w:lang w:bidi="ar-EG"/>
              </w:rPr>
            </w:pPr>
          </w:p>
        </w:tc>
      </w:tr>
      <w:tr w:rsidR="0040611E" w:rsidRPr="004B551C" w:rsidTr="000477EA">
        <w:trPr>
          <w:trHeight w:val="460"/>
          <w:jc w:val="center"/>
        </w:trPr>
        <w:tc>
          <w:tcPr>
            <w:tcW w:w="691" w:type="pct"/>
            <w:tcBorders>
              <w:right w:val="single" w:sz="4" w:space="0" w:color="auto"/>
            </w:tcBorders>
            <w:vAlign w:val="center"/>
          </w:tcPr>
          <w:p w:rsidR="0040611E" w:rsidRPr="004B551C" w:rsidRDefault="0040611E"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w:t>
            </w:r>
          </w:p>
        </w:tc>
        <w:tc>
          <w:tcPr>
            <w:tcW w:w="387" w:type="pct"/>
            <w:tcBorders>
              <w:left w:val="single" w:sz="4" w:space="0" w:color="auto"/>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10.47</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45.34</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70.85</w:t>
            </w:r>
          </w:p>
        </w:tc>
        <w:tc>
          <w:tcPr>
            <w:tcW w:w="387" w:type="pct"/>
            <w:tcBorders>
              <w:lef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84.64</w:t>
            </w:r>
          </w:p>
        </w:tc>
        <w:tc>
          <w:tcPr>
            <w:tcW w:w="387" w:type="pct"/>
            <w:tcBorders>
              <w:right w:val="single" w:sz="4" w:space="0" w:color="auto"/>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91.73</w:t>
            </w:r>
          </w:p>
        </w:tc>
        <w:tc>
          <w:tcPr>
            <w:tcW w:w="505" w:type="pct"/>
            <w:tcBorders>
              <w:left w:val="single" w:sz="4" w:space="0" w:color="auto"/>
            </w:tcBorders>
            <w:vAlign w:val="center"/>
          </w:tcPr>
          <w:p w:rsidR="0040611E" w:rsidRPr="004B551C" w:rsidRDefault="0040611E" w:rsidP="004B551C">
            <w:pPr>
              <w:jc w:val="center"/>
              <w:rPr>
                <w:sz w:val="20"/>
                <w:szCs w:val="20"/>
                <w:lang w:bidi="ar-EG"/>
              </w:rPr>
            </w:pPr>
            <w:r w:rsidRPr="004B551C">
              <w:rPr>
                <w:sz w:val="20"/>
                <w:szCs w:val="20"/>
                <w:lang w:bidi="ar-EG"/>
              </w:rPr>
              <w:t>71.22</w:t>
            </w:r>
          </w:p>
        </w:tc>
        <w:tc>
          <w:tcPr>
            <w:tcW w:w="424" w:type="pct"/>
            <w:vAlign w:val="center"/>
          </w:tcPr>
          <w:p w:rsidR="0040611E" w:rsidRPr="004B551C" w:rsidRDefault="0040611E" w:rsidP="004B551C">
            <w:pPr>
              <w:jc w:val="center"/>
              <w:rPr>
                <w:b/>
                <w:bCs/>
                <w:sz w:val="20"/>
                <w:szCs w:val="20"/>
                <w:lang w:bidi="ar-EG"/>
              </w:rPr>
            </w:pPr>
            <w:r w:rsidRPr="004B551C">
              <w:rPr>
                <w:b/>
                <w:bCs/>
                <w:sz w:val="20"/>
                <w:szCs w:val="20"/>
                <w:lang w:bidi="ar-EG"/>
              </w:rPr>
              <w:t>107.39</w:t>
            </w:r>
          </w:p>
        </w:tc>
        <w:tc>
          <w:tcPr>
            <w:tcW w:w="378"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3.78</w:t>
            </w:r>
          </w:p>
        </w:tc>
        <w:tc>
          <w:tcPr>
            <w:tcW w:w="507" w:type="pct"/>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100</w:t>
            </w:r>
          </w:p>
        </w:tc>
        <w:tc>
          <w:tcPr>
            <w:tcW w:w="562" w:type="pct"/>
            <w:shd w:val="clear" w:color="auto" w:fill="auto"/>
            <w:vAlign w:val="center"/>
          </w:tcPr>
          <w:p w:rsidR="0040611E" w:rsidRPr="004B551C" w:rsidRDefault="0040611E" w:rsidP="004B551C">
            <w:pPr>
              <w:jc w:val="center"/>
              <w:rPr>
                <w:b/>
                <w:bCs/>
                <w:sz w:val="20"/>
                <w:szCs w:val="20"/>
                <w:lang w:bidi="ar-EG"/>
              </w:rPr>
            </w:pPr>
            <w:r w:rsidRPr="004B551C">
              <w:rPr>
                <w:b/>
                <w:bCs/>
                <w:sz w:val="20"/>
                <w:szCs w:val="20"/>
                <w:lang w:bidi="ar-EG"/>
              </w:rPr>
              <w:t>125076.8</w:t>
            </w:r>
          </w:p>
        </w:tc>
      </w:tr>
      <w:tr w:rsidR="0040611E" w:rsidRPr="004B551C" w:rsidTr="000477EA">
        <w:trPr>
          <w:trHeight w:val="460"/>
          <w:jc w:val="center"/>
        </w:trPr>
        <w:tc>
          <w:tcPr>
            <w:tcW w:w="691" w:type="pct"/>
            <w:tcBorders>
              <w:right w:val="single" w:sz="4" w:space="0" w:color="auto"/>
            </w:tcBorders>
            <w:vAlign w:val="center"/>
          </w:tcPr>
          <w:p w:rsidR="0040611E" w:rsidRPr="004B551C" w:rsidRDefault="0040611E" w:rsidP="004B551C">
            <w:pPr>
              <w:jc w:val="center"/>
              <w:rPr>
                <w:b/>
                <w:bCs/>
                <w:sz w:val="20"/>
                <w:szCs w:val="20"/>
                <w:lang w:bidi="ar-EG"/>
              </w:rPr>
            </w:pPr>
            <w:proofErr w:type="spellStart"/>
            <w:r w:rsidRPr="004B551C">
              <w:rPr>
                <w:b/>
                <w:bCs/>
                <w:sz w:val="20"/>
                <w:szCs w:val="20"/>
                <w:lang w:bidi="ar-EG"/>
              </w:rPr>
              <w:t>Eugenol</w:t>
            </w:r>
            <w:proofErr w:type="spellEnd"/>
            <w:r w:rsidRPr="004B551C">
              <w:rPr>
                <w:b/>
                <w:bCs/>
                <w:sz w:val="20"/>
                <w:szCs w:val="20"/>
                <w:lang w:bidi="ar-EG"/>
              </w:rPr>
              <w:t>*</w:t>
            </w:r>
          </w:p>
        </w:tc>
        <w:tc>
          <w:tcPr>
            <w:tcW w:w="387" w:type="pct"/>
            <w:tcBorders>
              <w:left w:val="single" w:sz="4" w:space="0" w:color="auto"/>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12.43</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25.39</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35.39</w:t>
            </w:r>
          </w:p>
        </w:tc>
        <w:tc>
          <w:tcPr>
            <w:tcW w:w="387" w:type="pct"/>
            <w:tcBorders>
              <w:lef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43.22</w:t>
            </w:r>
          </w:p>
        </w:tc>
        <w:tc>
          <w:tcPr>
            <w:tcW w:w="387" w:type="pct"/>
            <w:tcBorders>
              <w:right w:val="single" w:sz="4" w:space="0" w:color="auto"/>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49.50</w:t>
            </w:r>
          </w:p>
        </w:tc>
        <w:tc>
          <w:tcPr>
            <w:tcW w:w="505" w:type="pct"/>
            <w:tcBorders>
              <w:left w:val="single" w:sz="4" w:space="0" w:color="auto"/>
            </w:tcBorders>
            <w:vAlign w:val="center"/>
          </w:tcPr>
          <w:p w:rsidR="0040611E" w:rsidRPr="004B551C" w:rsidRDefault="0040611E" w:rsidP="004B551C">
            <w:pPr>
              <w:jc w:val="center"/>
              <w:rPr>
                <w:sz w:val="20"/>
                <w:szCs w:val="20"/>
                <w:lang w:bidi="ar-EG"/>
              </w:rPr>
            </w:pPr>
            <w:r w:rsidRPr="004B551C">
              <w:rPr>
                <w:sz w:val="20"/>
                <w:szCs w:val="20"/>
                <w:lang w:bidi="ar-EG"/>
              </w:rPr>
              <w:t>98.31</w:t>
            </w:r>
          </w:p>
        </w:tc>
        <w:tc>
          <w:tcPr>
            <w:tcW w:w="424" w:type="pct"/>
            <w:vAlign w:val="center"/>
          </w:tcPr>
          <w:p w:rsidR="0040611E" w:rsidRPr="004B551C" w:rsidRDefault="0040611E" w:rsidP="004B551C">
            <w:pPr>
              <w:jc w:val="center"/>
              <w:rPr>
                <w:sz w:val="20"/>
                <w:szCs w:val="20"/>
                <w:lang w:bidi="ar-EG"/>
              </w:rPr>
            </w:pPr>
            <w:r w:rsidRPr="004B551C">
              <w:rPr>
                <w:sz w:val="20"/>
                <w:szCs w:val="20"/>
                <w:lang w:bidi="ar-EG"/>
              </w:rPr>
              <w:t>254.47</w:t>
            </w:r>
          </w:p>
        </w:tc>
        <w:tc>
          <w:tcPr>
            <w:tcW w:w="378"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1.63</w:t>
            </w:r>
          </w:p>
        </w:tc>
        <w:tc>
          <w:tcPr>
            <w:tcW w:w="507"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42.2</w:t>
            </w:r>
          </w:p>
        </w:tc>
        <w:tc>
          <w:tcPr>
            <w:tcW w:w="562"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52784.22</w:t>
            </w:r>
          </w:p>
        </w:tc>
      </w:tr>
      <w:tr w:rsidR="0040611E" w:rsidRPr="004B551C" w:rsidTr="000477EA">
        <w:trPr>
          <w:trHeight w:val="460"/>
          <w:jc w:val="center"/>
        </w:trPr>
        <w:tc>
          <w:tcPr>
            <w:tcW w:w="691" w:type="pct"/>
            <w:tcBorders>
              <w:right w:val="single" w:sz="4" w:space="0" w:color="auto"/>
            </w:tcBorders>
            <w:vAlign w:val="center"/>
          </w:tcPr>
          <w:p w:rsidR="0040611E" w:rsidRPr="004B551C" w:rsidRDefault="0040611E" w:rsidP="004B551C">
            <w:pPr>
              <w:jc w:val="center"/>
              <w:rPr>
                <w:b/>
                <w:bCs/>
                <w:sz w:val="20"/>
                <w:szCs w:val="20"/>
                <w:lang w:bidi="ar-EG"/>
              </w:rPr>
            </w:pPr>
            <w:r w:rsidRPr="004B551C">
              <w:rPr>
                <w:b/>
                <w:bCs/>
                <w:sz w:val="20"/>
                <w:szCs w:val="20"/>
                <w:lang w:bidi="ar-EG"/>
              </w:rPr>
              <w:t xml:space="preserve">Methyl </w:t>
            </w:r>
            <w:proofErr w:type="spellStart"/>
            <w:r w:rsidRPr="004B551C">
              <w:rPr>
                <w:b/>
                <w:bCs/>
                <w:sz w:val="20"/>
                <w:szCs w:val="20"/>
                <w:lang w:bidi="ar-EG"/>
              </w:rPr>
              <w:t>cinnamate</w:t>
            </w:r>
            <w:proofErr w:type="spellEnd"/>
            <w:r w:rsidRPr="004B551C">
              <w:rPr>
                <w:b/>
                <w:bCs/>
                <w:sz w:val="20"/>
                <w:szCs w:val="20"/>
                <w:lang w:bidi="ar-EG"/>
              </w:rPr>
              <w:t>*</w:t>
            </w:r>
          </w:p>
        </w:tc>
        <w:tc>
          <w:tcPr>
            <w:tcW w:w="387" w:type="pct"/>
            <w:tcBorders>
              <w:left w:val="single" w:sz="4" w:space="0" w:color="auto"/>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0.95</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10.81</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27.87</w:t>
            </w:r>
          </w:p>
        </w:tc>
        <w:tc>
          <w:tcPr>
            <w:tcW w:w="387" w:type="pct"/>
            <w:tcBorders>
              <w:lef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45</w:t>
            </w:r>
          </w:p>
        </w:tc>
        <w:tc>
          <w:tcPr>
            <w:tcW w:w="387" w:type="pct"/>
            <w:tcBorders>
              <w:right w:val="single" w:sz="4" w:space="0" w:color="auto"/>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59.17</w:t>
            </w:r>
          </w:p>
        </w:tc>
        <w:tc>
          <w:tcPr>
            <w:tcW w:w="505" w:type="pct"/>
            <w:tcBorders>
              <w:left w:val="single" w:sz="4" w:space="0" w:color="auto"/>
            </w:tcBorders>
            <w:vAlign w:val="center"/>
          </w:tcPr>
          <w:p w:rsidR="0040611E" w:rsidRPr="004B551C" w:rsidRDefault="0040611E" w:rsidP="004B551C">
            <w:pPr>
              <w:jc w:val="center"/>
              <w:rPr>
                <w:sz w:val="20"/>
                <w:szCs w:val="20"/>
                <w:lang w:bidi="ar-EG"/>
              </w:rPr>
            </w:pPr>
            <w:r w:rsidRPr="004B551C">
              <w:rPr>
                <w:sz w:val="20"/>
                <w:szCs w:val="20"/>
                <w:lang w:bidi="ar-EG"/>
              </w:rPr>
              <w:t>142.01</w:t>
            </w:r>
          </w:p>
        </w:tc>
        <w:tc>
          <w:tcPr>
            <w:tcW w:w="424" w:type="pct"/>
            <w:vAlign w:val="center"/>
          </w:tcPr>
          <w:p w:rsidR="0040611E" w:rsidRPr="004B551C" w:rsidRDefault="0040611E" w:rsidP="004B551C">
            <w:pPr>
              <w:jc w:val="center"/>
              <w:rPr>
                <w:sz w:val="20"/>
                <w:szCs w:val="20"/>
                <w:lang w:bidi="ar-EG"/>
              </w:rPr>
            </w:pPr>
            <w:r w:rsidRPr="004B551C">
              <w:rPr>
                <w:sz w:val="20"/>
                <w:szCs w:val="20"/>
                <w:lang w:bidi="ar-EG"/>
              </w:rPr>
              <w:t>216.30</w:t>
            </w:r>
          </w:p>
        </w:tc>
        <w:tc>
          <w:tcPr>
            <w:tcW w:w="378"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3.69</w:t>
            </w:r>
          </w:p>
        </w:tc>
        <w:tc>
          <w:tcPr>
            <w:tcW w:w="507"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49.65</w:t>
            </w:r>
          </w:p>
        </w:tc>
        <w:tc>
          <w:tcPr>
            <w:tcW w:w="562"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62.098.94</w:t>
            </w:r>
          </w:p>
        </w:tc>
      </w:tr>
      <w:tr w:rsidR="0040611E" w:rsidRPr="004B551C" w:rsidTr="000477EA">
        <w:trPr>
          <w:trHeight w:val="460"/>
          <w:jc w:val="center"/>
        </w:trPr>
        <w:tc>
          <w:tcPr>
            <w:tcW w:w="691" w:type="pct"/>
            <w:tcBorders>
              <w:right w:val="single" w:sz="4" w:space="0" w:color="auto"/>
            </w:tcBorders>
            <w:vAlign w:val="center"/>
          </w:tcPr>
          <w:p w:rsidR="0040611E" w:rsidRPr="004B551C" w:rsidRDefault="0040611E" w:rsidP="004B551C">
            <w:pPr>
              <w:jc w:val="center"/>
              <w:rPr>
                <w:b/>
                <w:bCs/>
                <w:sz w:val="20"/>
                <w:szCs w:val="20"/>
                <w:lang w:bidi="ar-EG"/>
              </w:rPr>
            </w:pPr>
            <w:r w:rsidRPr="004B551C">
              <w:rPr>
                <w:b/>
                <w:bCs/>
                <w:sz w:val="20"/>
                <w:szCs w:val="20"/>
                <w:lang w:bidi="ar-EG"/>
              </w:rPr>
              <w:t>Linalool**</w:t>
            </w:r>
          </w:p>
        </w:tc>
        <w:tc>
          <w:tcPr>
            <w:tcW w:w="387" w:type="pct"/>
            <w:tcBorders>
              <w:left w:val="single" w:sz="4" w:space="0" w:color="auto"/>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12.71</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57.1</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93.29</w:t>
            </w:r>
          </w:p>
        </w:tc>
        <w:tc>
          <w:tcPr>
            <w:tcW w:w="387" w:type="pct"/>
            <w:tcBorders>
              <w:lef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99.75</w:t>
            </w:r>
          </w:p>
        </w:tc>
        <w:tc>
          <w:tcPr>
            <w:tcW w:w="387" w:type="pct"/>
            <w:tcBorders>
              <w:right w:val="single" w:sz="4" w:space="0" w:color="auto"/>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100</w:t>
            </w:r>
          </w:p>
        </w:tc>
        <w:tc>
          <w:tcPr>
            <w:tcW w:w="505" w:type="pct"/>
            <w:tcBorders>
              <w:left w:val="single" w:sz="4" w:space="0" w:color="auto"/>
            </w:tcBorders>
            <w:vAlign w:val="center"/>
          </w:tcPr>
          <w:p w:rsidR="0040611E" w:rsidRPr="004B551C" w:rsidRDefault="0040611E" w:rsidP="004B551C">
            <w:pPr>
              <w:jc w:val="center"/>
              <w:rPr>
                <w:sz w:val="20"/>
                <w:szCs w:val="20"/>
                <w:lang w:bidi="ar-EG"/>
              </w:rPr>
            </w:pPr>
            <w:r w:rsidRPr="004B551C">
              <w:rPr>
                <w:sz w:val="20"/>
                <w:szCs w:val="20"/>
                <w:lang w:bidi="ar-EG"/>
              </w:rPr>
              <w:t>638.72</w:t>
            </w:r>
          </w:p>
        </w:tc>
        <w:tc>
          <w:tcPr>
            <w:tcW w:w="424" w:type="pct"/>
            <w:vAlign w:val="center"/>
          </w:tcPr>
          <w:p w:rsidR="0040611E" w:rsidRPr="004B551C" w:rsidRDefault="0040611E" w:rsidP="004B551C">
            <w:pPr>
              <w:jc w:val="center"/>
              <w:rPr>
                <w:sz w:val="20"/>
                <w:szCs w:val="20"/>
                <w:lang w:bidi="ar-EG"/>
              </w:rPr>
            </w:pPr>
            <w:r w:rsidRPr="004B551C">
              <w:rPr>
                <w:sz w:val="20"/>
                <w:szCs w:val="20"/>
                <w:lang w:bidi="ar-EG"/>
              </w:rPr>
              <w:t>910.25</w:t>
            </w:r>
          </w:p>
        </w:tc>
        <w:tc>
          <w:tcPr>
            <w:tcW w:w="378"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4.38</w:t>
            </w:r>
          </w:p>
        </w:tc>
        <w:tc>
          <w:tcPr>
            <w:tcW w:w="507"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11.8</w:t>
            </w:r>
          </w:p>
        </w:tc>
        <w:tc>
          <w:tcPr>
            <w:tcW w:w="562"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14756.39</w:t>
            </w:r>
          </w:p>
        </w:tc>
      </w:tr>
      <w:tr w:rsidR="0040611E" w:rsidRPr="004B551C" w:rsidTr="000477EA">
        <w:trPr>
          <w:trHeight w:val="460"/>
          <w:jc w:val="center"/>
        </w:trPr>
        <w:tc>
          <w:tcPr>
            <w:tcW w:w="691" w:type="pct"/>
            <w:tcBorders>
              <w:right w:val="single" w:sz="4" w:space="0" w:color="auto"/>
            </w:tcBorders>
            <w:vAlign w:val="center"/>
          </w:tcPr>
          <w:p w:rsidR="0040611E" w:rsidRPr="004B551C" w:rsidRDefault="0040611E" w:rsidP="004B551C">
            <w:pPr>
              <w:jc w:val="center"/>
              <w:rPr>
                <w:b/>
                <w:bCs/>
                <w:sz w:val="20"/>
                <w:szCs w:val="20"/>
                <w:lang w:bidi="ar-EG"/>
              </w:rPr>
            </w:pPr>
            <w:r w:rsidRPr="004B551C">
              <w:rPr>
                <w:b/>
                <w:bCs/>
                <w:sz w:val="20"/>
                <w:szCs w:val="20"/>
                <w:lang w:bidi="ar-EG"/>
              </w:rPr>
              <w:t>1,8-Cineol**</w:t>
            </w:r>
          </w:p>
        </w:tc>
        <w:tc>
          <w:tcPr>
            <w:tcW w:w="387" w:type="pct"/>
            <w:tcBorders>
              <w:left w:val="single" w:sz="4" w:space="0" w:color="auto"/>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1.24</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1.8</w:t>
            </w:r>
          </w:p>
        </w:tc>
        <w:tc>
          <w:tcPr>
            <w:tcW w:w="387" w:type="pct"/>
            <w:tcBorders>
              <w:left w:val="nil"/>
              <w:righ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2.58</w:t>
            </w:r>
          </w:p>
        </w:tc>
        <w:tc>
          <w:tcPr>
            <w:tcW w:w="387" w:type="pct"/>
            <w:tcBorders>
              <w:left w:val="nil"/>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3.62</w:t>
            </w:r>
          </w:p>
        </w:tc>
        <w:tc>
          <w:tcPr>
            <w:tcW w:w="387" w:type="pct"/>
            <w:tcBorders>
              <w:right w:val="single" w:sz="4" w:space="0" w:color="auto"/>
            </w:tcBorders>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4.99</w:t>
            </w:r>
          </w:p>
        </w:tc>
        <w:tc>
          <w:tcPr>
            <w:tcW w:w="505" w:type="pct"/>
            <w:tcBorders>
              <w:left w:val="single" w:sz="4" w:space="0" w:color="auto"/>
            </w:tcBorders>
            <w:vAlign w:val="center"/>
          </w:tcPr>
          <w:p w:rsidR="0040611E" w:rsidRPr="004B551C" w:rsidRDefault="0040611E" w:rsidP="004B551C">
            <w:pPr>
              <w:jc w:val="center"/>
              <w:rPr>
                <w:sz w:val="20"/>
                <w:szCs w:val="20"/>
                <w:lang w:bidi="ar-EG"/>
              </w:rPr>
            </w:pPr>
            <w:r w:rsidRPr="004B551C">
              <w:rPr>
                <w:sz w:val="20"/>
                <w:szCs w:val="20"/>
                <w:lang w:bidi="ar-EG"/>
              </w:rPr>
              <w:t>640981</w:t>
            </w:r>
          </w:p>
        </w:tc>
        <w:tc>
          <w:tcPr>
            <w:tcW w:w="424" w:type="pct"/>
            <w:vAlign w:val="center"/>
          </w:tcPr>
          <w:p w:rsidR="0040611E" w:rsidRPr="004B551C" w:rsidRDefault="0040611E" w:rsidP="004B551C">
            <w:pPr>
              <w:jc w:val="center"/>
              <w:rPr>
                <w:sz w:val="20"/>
                <w:szCs w:val="20"/>
                <w:lang w:bidi="ar-EG"/>
              </w:rPr>
            </w:pPr>
            <w:r w:rsidRPr="004B551C">
              <w:rPr>
                <w:sz w:val="20"/>
                <w:szCs w:val="20"/>
                <w:lang w:bidi="ar-EG"/>
              </w:rPr>
              <w:t>1.34</w:t>
            </w:r>
          </w:p>
          <w:p w:rsidR="0040611E" w:rsidRPr="004B551C" w:rsidRDefault="0040611E" w:rsidP="004B551C">
            <w:pPr>
              <w:jc w:val="center"/>
              <w:rPr>
                <w:sz w:val="20"/>
                <w:szCs w:val="20"/>
                <w:lang w:bidi="ar-EG"/>
              </w:rPr>
            </w:pPr>
            <w:r w:rsidRPr="004B551C">
              <w:rPr>
                <w:sz w:val="20"/>
                <w:szCs w:val="20"/>
                <w:lang w:bidi="ar-EG"/>
              </w:rPr>
              <w:t>x10</w:t>
            </w:r>
            <w:r w:rsidRPr="004B551C">
              <w:rPr>
                <w:sz w:val="20"/>
                <w:szCs w:val="20"/>
                <w:vertAlign w:val="superscript"/>
                <w:lang w:bidi="ar-EG"/>
              </w:rPr>
              <w:t>7</w:t>
            </w:r>
          </w:p>
        </w:tc>
        <w:tc>
          <w:tcPr>
            <w:tcW w:w="378"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0.51</w:t>
            </w:r>
          </w:p>
        </w:tc>
        <w:tc>
          <w:tcPr>
            <w:tcW w:w="507"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0.0008</w:t>
            </w:r>
          </w:p>
        </w:tc>
        <w:tc>
          <w:tcPr>
            <w:tcW w:w="562" w:type="pct"/>
            <w:shd w:val="clear" w:color="auto" w:fill="auto"/>
            <w:vAlign w:val="center"/>
          </w:tcPr>
          <w:p w:rsidR="0040611E" w:rsidRPr="004B551C" w:rsidRDefault="0040611E" w:rsidP="004B551C">
            <w:pPr>
              <w:jc w:val="center"/>
              <w:rPr>
                <w:sz w:val="20"/>
                <w:szCs w:val="20"/>
                <w:lang w:bidi="ar-EG"/>
              </w:rPr>
            </w:pPr>
            <w:r w:rsidRPr="004B551C">
              <w:rPr>
                <w:sz w:val="20"/>
                <w:szCs w:val="20"/>
                <w:lang w:bidi="ar-EG"/>
              </w:rPr>
              <w:t>1</w:t>
            </w:r>
          </w:p>
        </w:tc>
      </w:tr>
    </w:tbl>
    <w:p w:rsidR="0040611E" w:rsidRPr="004B551C" w:rsidRDefault="0040611E" w:rsidP="004B551C">
      <w:pPr>
        <w:jc w:val="both"/>
        <w:rPr>
          <w:sz w:val="20"/>
          <w:szCs w:val="20"/>
          <w:lang w:bidi="ar-EG"/>
        </w:rPr>
      </w:pPr>
      <w:r w:rsidRPr="004B551C">
        <w:rPr>
          <w:sz w:val="20"/>
          <w:szCs w:val="20"/>
          <w:lang w:bidi="ar-EG"/>
        </w:rPr>
        <w:t>A, B, C, D and E concentrations are:</w:t>
      </w:r>
    </w:p>
    <w:p w:rsidR="0040611E" w:rsidRPr="004B551C" w:rsidRDefault="0040611E" w:rsidP="004B551C">
      <w:pPr>
        <w:ind w:left="426" w:hanging="142"/>
        <w:jc w:val="both"/>
        <w:rPr>
          <w:sz w:val="20"/>
          <w:szCs w:val="20"/>
          <w:lang w:bidi="ar-EG"/>
        </w:rPr>
      </w:pPr>
      <w:r w:rsidRPr="004B551C">
        <w:rPr>
          <w:sz w:val="20"/>
          <w:szCs w:val="20"/>
          <w:lang w:bidi="ar-EG"/>
        </w:rPr>
        <w:t xml:space="preserve"> </w:t>
      </w:r>
      <w:r w:rsidRPr="004B551C">
        <w:rPr>
          <w:sz w:val="20"/>
          <w:szCs w:val="20"/>
          <w:vertAlign w:val="superscript"/>
          <w:lang w:bidi="ar-EG"/>
        </w:rPr>
        <w:t xml:space="preserve">  </w:t>
      </w:r>
      <w:r w:rsidRPr="004B551C">
        <w:rPr>
          <w:sz w:val="20"/>
          <w:szCs w:val="20"/>
          <w:vertAlign w:val="superscript"/>
          <w:lang w:bidi="ar-EG"/>
        </w:rPr>
        <w:sym w:font="Wingdings 2" w:char="F0DE"/>
      </w:r>
      <w:r w:rsidRPr="004B551C">
        <w:rPr>
          <w:sz w:val="20"/>
          <w:szCs w:val="20"/>
          <w:vertAlign w:val="superscript"/>
          <w:lang w:bidi="ar-EG"/>
        </w:rPr>
        <w:t xml:space="preserve"> </w:t>
      </w:r>
      <w:r w:rsidR="009867F7" w:rsidRPr="004B551C">
        <w:rPr>
          <w:sz w:val="20"/>
          <w:szCs w:val="20"/>
          <w:lang w:bidi="ar-EG"/>
        </w:rPr>
        <w:t xml:space="preserve">50, 100, 150, 200 and 250 µg/ml.   </w:t>
      </w:r>
      <w:r w:rsidR="009867F7" w:rsidRPr="004B551C">
        <w:rPr>
          <w:sz w:val="20"/>
          <w:szCs w:val="20"/>
          <w:lang w:bidi="ar-EG"/>
        </w:rPr>
        <w:tab/>
      </w:r>
      <w:r w:rsidR="009867F7" w:rsidRPr="004B551C">
        <w:rPr>
          <w:sz w:val="20"/>
          <w:szCs w:val="20"/>
          <w:lang w:bidi="ar-EG"/>
        </w:rPr>
        <w:tab/>
      </w:r>
      <w:r w:rsidR="009867F7" w:rsidRPr="004B551C">
        <w:rPr>
          <w:sz w:val="20"/>
          <w:szCs w:val="20"/>
          <w:lang w:bidi="ar-EG"/>
        </w:rPr>
        <w:tab/>
      </w:r>
      <w:r w:rsidRPr="004B551C">
        <w:rPr>
          <w:sz w:val="20"/>
          <w:szCs w:val="20"/>
          <w:vertAlign w:val="superscript"/>
          <w:lang w:bidi="ar-EG"/>
        </w:rPr>
        <w:sym w:font="Wingdings 2" w:char="F0DE"/>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 500, 1000, 2000, 4000 and 8000 µg/ml.  </w:t>
      </w:r>
    </w:p>
    <w:p w:rsidR="009D0781" w:rsidRPr="004B551C" w:rsidRDefault="009D0781" w:rsidP="00CE09F5">
      <w:pPr>
        <w:jc w:val="both"/>
        <w:rPr>
          <w:sz w:val="20"/>
          <w:szCs w:val="20"/>
          <w:lang w:bidi="ar-EG"/>
        </w:rPr>
      </w:pPr>
    </w:p>
    <w:p w:rsidR="000B4524" w:rsidRPr="004B551C" w:rsidRDefault="000B4524" w:rsidP="004B551C">
      <w:pPr>
        <w:pStyle w:val="BodyTextIndent3"/>
        <w:tabs>
          <w:tab w:val="right" w:pos="0"/>
        </w:tabs>
        <w:bidi w:val="0"/>
        <w:spacing w:after="0"/>
        <w:ind w:left="0"/>
        <w:rPr>
          <w:sz w:val="20"/>
          <w:szCs w:val="20"/>
        </w:rPr>
        <w:sectPr w:rsidR="000B4524" w:rsidRPr="004B551C" w:rsidSect="00B952E0">
          <w:type w:val="continuous"/>
          <w:pgSz w:w="12240" w:h="15840" w:code="1"/>
          <w:pgMar w:top="1440" w:right="1440" w:bottom="851" w:left="1440" w:header="720" w:footer="510" w:gutter="0"/>
          <w:cols w:space="720"/>
          <w:docGrid w:linePitch="360"/>
        </w:sectPr>
      </w:pPr>
    </w:p>
    <w:p w:rsidR="009867F7" w:rsidRPr="004B551C" w:rsidRDefault="009867F7" w:rsidP="004B551C">
      <w:pPr>
        <w:pStyle w:val="ListParagraph"/>
        <w:numPr>
          <w:ilvl w:val="0"/>
          <w:numId w:val="13"/>
        </w:numPr>
        <w:bidi w:val="0"/>
        <w:ind w:left="284" w:hanging="284"/>
        <w:jc w:val="lowKashida"/>
        <w:rPr>
          <w:b/>
          <w:bCs/>
          <w:sz w:val="20"/>
          <w:szCs w:val="20"/>
          <w:lang w:bidi="ar-EG"/>
        </w:rPr>
      </w:pPr>
      <w:proofErr w:type="spellStart"/>
      <w:r w:rsidRPr="004B551C">
        <w:rPr>
          <w:b/>
          <w:bCs/>
          <w:i/>
          <w:iCs/>
          <w:sz w:val="20"/>
          <w:szCs w:val="20"/>
          <w:lang w:bidi="ar-EG"/>
        </w:rPr>
        <w:lastRenderedPageBreak/>
        <w:t>Rhizoctonia</w:t>
      </w:r>
      <w:proofErr w:type="spellEnd"/>
      <w:r w:rsidRPr="004B551C">
        <w:rPr>
          <w:b/>
          <w:bCs/>
          <w:i/>
          <w:iCs/>
          <w:sz w:val="20"/>
          <w:szCs w:val="20"/>
          <w:lang w:bidi="ar-EG"/>
        </w:rPr>
        <w:t xml:space="preserve"> </w:t>
      </w:r>
      <w:proofErr w:type="spellStart"/>
      <w:r w:rsidRPr="004B551C">
        <w:rPr>
          <w:b/>
          <w:bCs/>
          <w:i/>
          <w:iCs/>
          <w:sz w:val="20"/>
          <w:szCs w:val="20"/>
          <w:lang w:bidi="ar-EG"/>
        </w:rPr>
        <w:t>solani</w:t>
      </w:r>
      <w:proofErr w:type="spellEnd"/>
      <w:r w:rsidRPr="004B551C">
        <w:rPr>
          <w:b/>
          <w:bCs/>
          <w:i/>
          <w:iCs/>
          <w:sz w:val="20"/>
          <w:szCs w:val="20"/>
          <w:lang w:bidi="ar-EG"/>
        </w:rPr>
        <w:t>:</w:t>
      </w:r>
    </w:p>
    <w:p w:rsidR="000B4524" w:rsidRPr="004B551C" w:rsidRDefault="000B4524" w:rsidP="004B551C">
      <w:pPr>
        <w:ind w:firstLine="426"/>
        <w:jc w:val="lowKashida"/>
        <w:rPr>
          <w:sz w:val="20"/>
          <w:szCs w:val="20"/>
          <w:lang w:bidi="ar-EG"/>
        </w:rPr>
      </w:pPr>
      <w:r w:rsidRPr="004B551C">
        <w:rPr>
          <w:sz w:val="20"/>
          <w:szCs w:val="20"/>
          <w:lang w:bidi="ar-EG"/>
        </w:rPr>
        <w:t xml:space="preserve">The antifungal activity of selected compounds upon </w:t>
      </w:r>
      <w:r w:rsidRPr="004B551C">
        <w:rPr>
          <w:i/>
          <w:iCs/>
          <w:sz w:val="20"/>
          <w:szCs w:val="20"/>
          <w:lang w:bidi="ar-EG"/>
        </w:rPr>
        <w:t xml:space="preserve">R. </w:t>
      </w:r>
      <w:proofErr w:type="spellStart"/>
      <w:r w:rsidRPr="004B551C">
        <w:rPr>
          <w:i/>
          <w:iCs/>
          <w:sz w:val="20"/>
          <w:szCs w:val="20"/>
          <w:lang w:bidi="ar-EG"/>
        </w:rPr>
        <w:t>solani</w:t>
      </w:r>
      <w:proofErr w:type="spellEnd"/>
      <w:r w:rsidRPr="004B551C">
        <w:rPr>
          <w:sz w:val="20"/>
          <w:szCs w:val="20"/>
          <w:lang w:bidi="ar-EG"/>
        </w:rPr>
        <w:t xml:space="preserve"> is given in table (2).   The percentage of inhibition of </w:t>
      </w:r>
      <w:proofErr w:type="spellStart"/>
      <w:r w:rsidRPr="004B551C">
        <w:rPr>
          <w:sz w:val="20"/>
          <w:szCs w:val="20"/>
          <w:lang w:bidi="ar-EG"/>
        </w:rPr>
        <w:t>thymol</w:t>
      </w:r>
      <w:proofErr w:type="spellEnd"/>
      <w:r w:rsidRPr="004B551C">
        <w:rPr>
          <w:sz w:val="20"/>
          <w:szCs w:val="20"/>
          <w:lang w:bidi="ar-EG"/>
        </w:rPr>
        <w:t xml:space="preserve"> at the concentration 50 µg/ml is 35.95%, at 100 µg/ml was 86.51% and at 150, 200 and 250 µg/ml were 97.47, 99.49 and 99.88% growth inhibition, respectively.  For </w:t>
      </w:r>
      <w:proofErr w:type="spellStart"/>
      <w:r w:rsidRPr="004B551C">
        <w:rPr>
          <w:sz w:val="20"/>
          <w:szCs w:val="20"/>
          <w:lang w:bidi="ar-EG"/>
        </w:rPr>
        <w:t>eugenol</w:t>
      </w:r>
      <w:proofErr w:type="spellEnd"/>
      <w:r w:rsidRPr="004B551C">
        <w:rPr>
          <w:sz w:val="20"/>
          <w:szCs w:val="20"/>
          <w:lang w:bidi="ar-EG"/>
        </w:rPr>
        <w:t xml:space="preserve"> compound, the 50 µg/ml concentration had 11.84% growth inhibition, the 100 µg/ml gave 53.29% and the concentrations 150, 200 and 250 µg/ml had 79.48, 91.11 and 96.04% linear growth inhibition, respectively.  When using methyl </w:t>
      </w:r>
      <w:proofErr w:type="spellStart"/>
      <w:r w:rsidRPr="004B551C">
        <w:rPr>
          <w:sz w:val="20"/>
          <w:szCs w:val="20"/>
          <w:lang w:bidi="ar-EG"/>
        </w:rPr>
        <w:t>cinnamate</w:t>
      </w:r>
      <w:proofErr w:type="spellEnd"/>
      <w:r w:rsidRPr="004B551C">
        <w:rPr>
          <w:sz w:val="20"/>
          <w:szCs w:val="20"/>
          <w:lang w:bidi="ar-EG"/>
        </w:rPr>
        <w:t xml:space="preserve"> compound, the lowest concentration, 50 µg/ml, gave 12.19% growth inhibition, approximately the middle concentration, 150 µg/ml, gave 72.97% while the highest concentration, 250 µg/ml, gave 92.47% growth inhibition.  After that, for linalool compound, the 500 µg/ml concentration gave percentage of growth inhibition 44.61%, the 2000 µg/ml gave 99.97 % and the concentrations 4000 and 8000 µg/ml gave complete linear growth inhibition.  Finally, for cineol compound, the concentration of 500 µg/ml gave approximately no antifungal activity, it gave only 0.27% growth inhibition, the 4000 µg/ml showed 5.65%, while the 8000 µg/ml showed 34.64% growth inhibition.   </w:t>
      </w:r>
    </w:p>
    <w:p w:rsidR="00B952E0" w:rsidRPr="004B551C" w:rsidRDefault="000B4524" w:rsidP="004B551C">
      <w:pPr>
        <w:ind w:firstLine="426"/>
        <w:jc w:val="lowKashida"/>
        <w:rPr>
          <w:sz w:val="20"/>
          <w:szCs w:val="20"/>
          <w:lang w:bidi="ar-EG"/>
        </w:rPr>
      </w:pPr>
      <w:r w:rsidRPr="004B551C">
        <w:rPr>
          <w:sz w:val="20"/>
          <w:szCs w:val="20"/>
          <w:lang w:bidi="ar-EG"/>
        </w:rPr>
        <w:t xml:space="preserve">In general, it can be noticed that the high concentrations of the tested compound had high </w:t>
      </w:r>
      <w:r w:rsidRPr="004B551C">
        <w:rPr>
          <w:sz w:val="20"/>
          <w:szCs w:val="20"/>
          <w:lang w:bidi="ar-EG"/>
        </w:rPr>
        <w:lastRenderedPageBreak/>
        <w:t xml:space="preserve">percentage of linear growth inhibition and </w:t>
      </w:r>
      <w:proofErr w:type="spellStart"/>
      <w:r w:rsidRPr="004B551C">
        <w:rPr>
          <w:sz w:val="20"/>
          <w:szCs w:val="20"/>
          <w:lang w:bidi="ar-EG"/>
        </w:rPr>
        <w:t>vise</w:t>
      </w:r>
      <w:proofErr w:type="spellEnd"/>
      <w:r w:rsidRPr="004B551C">
        <w:rPr>
          <w:sz w:val="20"/>
          <w:szCs w:val="20"/>
          <w:lang w:bidi="ar-EG"/>
        </w:rPr>
        <w:t xml:space="preserve"> versa.  The LC</w:t>
      </w:r>
      <w:r w:rsidRPr="004B551C">
        <w:rPr>
          <w:sz w:val="20"/>
          <w:szCs w:val="20"/>
          <w:vertAlign w:val="subscript"/>
          <w:lang w:bidi="ar-EG"/>
        </w:rPr>
        <w:t>25</w:t>
      </w:r>
      <w:r w:rsidRPr="004B551C">
        <w:rPr>
          <w:sz w:val="20"/>
          <w:szCs w:val="20"/>
          <w:lang w:bidi="ar-EG"/>
        </w:rPr>
        <w:t xml:space="preserve">'s for the tested compounds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linalool and 1,8-cineol were 43.08, 66.06, 67.75, 416.78 and 5778.15 µg/ml, respectively.  The LC</w:t>
      </w:r>
      <w:r w:rsidRPr="004B551C">
        <w:rPr>
          <w:sz w:val="20"/>
          <w:szCs w:val="20"/>
          <w:vertAlign w:val="subscript"/>
          <w:lang w:bidi="ar-EG"/>
        </w:rPr>
        <w:t>50</w:t>
      </w:r>
      <w:r w:rsidRPr="004B551C">
        <w:rPr>
          <w:sz w:val="20"/>
          <w:szCs w:val="20"/>
          <w:lang w:bidi="ar-EG"/>
        </w:rPr>
        <w:t xml:space="preserve">'s for the tested compounds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linalool and 1,8-cineol were 59.28, 95.58, 102.78, 523.47 and 12669.8 µg/ml, respectively.  From the LC</w:t>
      </w:r>
      <w:r w:rsidRPr="004B551C">
        <w:rPr>
          <w:sz w:val="20"/>
          <w:szCs w:val="20"/>
          <w:vertAlign w:val="subscript"/>
          <w:lang w:bidi="ar-EG"/>
        </w:rPr>
        <w:t>50</w:t>
      </w:r>
      <w:r w:rsidRPr="004B551C">
        <w:rPr>
          <w:sz w:val="20"/>
          <w:szCs w:val="20"/>
          <w:lang w:bidi="ar-EG"/>
        </w:rPr>
        <w:t xml:space="preserve">'s of the selected compounds we attained the toxicity indexes in reference to the highest effective compound and the relative potency in reference to the lowest effective compound.  </w:t>
      </w:r>
    </w:p>
    <w:p w:rsidR="000B4524" w:rsidRPr="004B551C" w:rsidRDefault="00B952E0" w:rsidP="004B551C">
      <w:pPr>
        <w:ind w:firstLine="426"/>
        <w:jc w:val="lowKashida"/>
        <w:rPr>
          <w:sz w:val="20"/>
          <w:szCs w:val="20"/>
          <w:lang w:bidi="ar-EG"/>
        </w:rPr>
      </w:pPr>
      <w:r w:rsidRPr="004B551C">
        <w:rPr>
          <w:sz w:val="20"/>
          <w:szCs w:val="20"/>
          <w:lang w:bidi="ar-EG"/>
        </w:rPr>
        <w:t xml:space="preserve">The toxicity indexes of the tested </w:t>
      </w:r>
      <w:r w:rsidR="000B4524" w:rsidRPr="004B551C">
        <w:rPr>
          <w:sz w:val="20"/>
          <w:szCs w:val="20"/>
          <w:lang w:bidi="ar-EG"/>
        </w:rPr>
        <w:t xml:space="preserve">effective compound </w:t>
      </w:r>
      <w:proofErr w:type="spellStart"/>
      <w:r w:rsidR="000B4524" w:rsidRPr="004B551C">
        <w:rPr>
          <w:sz w:val="20"/>
          <w:szCs w:val="20"/>
          <w:lang w:bidi="ar-EG"/>
        </w:rPr>
        <w:t>thymol</w:t>
      </w:r>
      <w:proofErr w:type="spellEnd"/>
      <w:r w:rsidR="000B4524" w:rsidRPr="004B551C">
        <w:rPr>
          <w:sz w:val="20"/>
          <w:szCs w:val="20"/>
          <w:lang w:bidi="ar-EG"/>
        </w:rPr>
        <w:t xml:space="preserve"> which had recorded the highest toxicity index 100%.  The relative potencies of the selected compounds, </w:t>
      </w:r>
      <w:proofErr w:type="spellStart"/>
      <w:r w:rsidR="000B4524" w:rsidRPr="004B551C">
        <w:rPr>
          <w:sz w:val="20"/>
          <w:szCs w:val="20"/>
          <w:lang w:bidi="ar-EG"/>
        </w:rPr>
        <w:t>thymol</w:t>
      </w:r>
      <w:proofErr w:type="spellEnd"/>
      <w:r w:rsidR="000B4524" w:rsidRPr="004B551C">
        <w:rPr>
          <w:sz w:val="20"/>
          <w:szCs w:val="20"/>
          <w:lang w:bidi="ar-EG"/>
        </w:rPr>
        <w:t xml:space="preserve">, </w:t>
      </w:r>
      <w:proofErr w:type="spellStart"/>
      <w:r w:rsidR="000B4524" w:rsidRPr="004B551C">
        <w:rPr>
          <w:sz w:val="20"/>
          <w:szCs w:val="20"/>
          <w:lang w:bidi="ar-EG"/>
        </w:rPr>
        <w:t>eugenol</w:t>
      </w:r>
      <w:proofErr w:type="spellEnd"/>
      <w:r w:rsidR="000B4524" w:rsidRPr="004B551C">
        <w:rPr>
          <w:sz w:val="20"/>
          <w:szCs w:val="20"/>
          <w:lang w:bidi="ar-EG"/>
        </w:rPr>
        <w:t xml:space="preserve">, methyl </w:t>
      </w:r>
      <w:proofErr w:type="spellStart"/>
      <w:r w:rsidR="000B4524" w:rsidRPr="004B551C">
        <w:rPr>
          <w:sz w:val="20"/>
          <w:szCs w:val="20"/>
          <w:lang w:bidi="ar-EG"/>
        </w:rPr>
        <w:t>cinnamate</w:t>
      </w:r>
      <w:proofErr w:type="spellEnd"/>
      <w:r w:rsidR="000B4524" w:rsidRPr="004B551C">
        <w:rPr>
          <w:sz w:val="20"/>
          <w:szCs w:val="20"/>
          <w:lang w:bidi="ar-EG"/>
        </w:rPr>
        <w:t xml:space="preserve"> and linalool were 213.73, 132.56, 123.27 and 24.2 fold, respectively when compared with the lowest effective compound 1,8-cineol which recorded the highest  LC</w:t>
      </w:r>
      <w:r w:rsidR="000B4524" w:rsidRPr="004B551C">
        <w:rPr>
          <w:sz w:val="20"/>
          <w:szCs w:val="20"/>
          <w:vertAlign w:val="subscript"/>
          <w:lang w:bidi="ar-EG"/>
        </w:rPr>
        <w:t xml:space="preserve">50 </w:t>
      </w:r>
      <w:r w:rsidR="000B4524" w:rsidRPr="004B551C">
        <w:rPr>
          <w:sz w:val="20"/>
          <w:szCs w:val="20"/>
          <w:lang w:bidi="ar-EG"/>
        </w:rPr>
        <w:t xml:space="preserve">value. </w:t>
      </w:r>
    </w:p>
    <w:p w:rsidR="000B4524" w:rsidRPr="004B551C" w:rsidRDefault="000B4524" w:rsidP="004B551C">
      <w:pPr>
        <w:ind w:firstLine="426"/>
        <w:jc w:val="lowKashida"/>
        <w:rPr>
          <w:sz w:val="20"/>
          <w:szCs w:val="20"/>
          <w:lang w:bidi="ar-EG"/>
        </w:rPr>
      </w:pPr>
      <w:r w:rsidRPr="004B551C">
        <w:rPr>
          <w:sz w:val="20"/>
          <w:szCs w:val="20"/>
          <w:lang w:bidi="ar-EG"/>
        </w:rPr>
        <w:t xml:space="preserve">The Ldp-lines of the five tested compounds against </w:t>
      </w:r>
      <w:r w:rsidRPr="004B551C">
        <w:rPr>
          <w:i/>
          <w:iCs/>
          <w:sz w:val="20"/>
          <w:szCs w:val="20"/>
          <w:lang w:bidi="ar-EG"/>
        </w:rPr>
        <w:t xml:space="preserve">R. </w:t>
      </w:r>
      <w:proofErr w:type="spellStart"/>
      <w:r w:rsidRPr="004B551C">
        <w:rPr>
          <w:i/>
          <w:iCs/>
          <w:sz w:val="20"/>
          <w:szCs w:val="20"/>
          <w:lang w:bidi="ar-EG"/>
        </w:rPr>
        <w:t>solani</w:t>
      </w:r>
      <w:proofErr w:type="spellEnd"/>
      <w:r w:rsidRPr="004B551C">
        <w:rPr>
          <w:sz w:val="20"/>
          <w:szCs w:val="20"/>
          <w:lang w:bidi="ar-EG"/>
        </w:rPr>
        <w:t xml:space="preserve"> were presented in figure (2). The highest slope value was for linalool compound (6.81).  Then the lowest slope was 1,8-cineol compound (1.98).  The slope values for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compounds were 4.87, 4.21 and 3.73, respectively. </w:t>
      </w:r>
    </w:p>
    <w:p w:rsidR="000B4524" w:rsidRPr="004B551C" w:rsidRDefault="000B4524" w:rsidP="004B551C">
      <w:pPr>
        <w:ind w:firstLine="425"/>
        <w:jc w:val="lowKashida"/>
        <w:rPr>
          <w:b/>
          <w:bCs/>
          <w:sz w:val="20"/>
          <w:szCs w:val="20"/>
          <w:lang w:bidi="ar-EG"/>
        </w:rPr>
      </w:pPr>
      <w:r w:rsidRPr="004B551C">
        <w:rPr>
          <w:b/>
          <w:bCs/>
          <w:sz w:val="20"/>
          <w:szCs w:val="20"/>
          <w:lang w:bidi="ar-EG"/>
        </w:rPr>
        <w:lastRenderedPageBreak/>
        <w:t xml:space="preserve">It can be concluded that compounds can be arranged </w:t>
      </w:r>
      <w:proofErr w:type="spellStart"/>
      <w:r w:rsidRPr="004B551C">
        <w:rPr>
          <w:b/>
          <w:bCs/>
          <w:sz w:val="20"/>
          <w:szCs w:val="20"/>
          <w:lang w:bidi="ar-EG"/>
        </w:rPr>
        <w:t>descendingly</w:t>
      </w:r>
      <w:proofErr w:type="spellEnd"/>
      <w:r w:rsidRPr="004B551C">
        <w:rPr>
          <w:b/>
          <w:bCs/>
          <w:sz w:val="20"/>
          <w:szCs w:val="20"/>
          <w:lang w:bidi="ar-EG"/>
        </w:rPr>
        <w:t xml:space="preserve"> according to their effectiveness upon </w:t>
      </w:r>
      <w:r w:rsidRPr="004B551C">
        <w:rPr>
          <w:b/>
          <w:bCs/>
          <w:i/>
          <w:iCs/>
          <w:sz w:val="20"/>
          <w:szCs w:val="20"/>
          <w:lang w:bidi="ar-EG"/>
        </w:rPr>
        <w:t xml:space="preserve">R. </w:t>
      </w:r>
      <w:proofErr w:type="spellStart"/>
      <w:r w:rsidRPr="004B551C">
        <w:rPr>
          <w:b/>
          <w:bCs/>
          <w:i/>
          <w:iCs/>
          <w:sz w:val="20"/>
          <w:szCs w:val="20"/>
          <w:lang w:bidi="ar-EG"/>
        </w:rPr>
        <w:t>solani</w:t>
      </w:r>
      <w:proofErr w:type="spellEnd"/>
      <w:r w:rsidRPr="004B551C">
        <w:rPr>
          <w:b/>
          <w:bCs/>
          <w:i/>
          <w:iCs/>
          <w:sz w:val="20"/>
          <w:szCs w:val="20"/>
          <w:lang w:bidi="ar-EG"/>
        </w:rPr>
        <w:t xml:space="preserve"> </w:t>
      </w:r>
      <w:r w:rsidRPr="004B551C">
        <w:rPr>
          <w:b/>
          <w:bCs/>
          <w:sz w:val="20"/>
          <w:szCs w:val="20"/>
          <w:lang w:bidi="ar-EG"/>
        </w:rPr>
        <w:t xml:space="preserve">as follows; </w:t>
      </w:r>
    </w:p>
    <w:p w:rsidR="000B4524" w:rsidRPr="004B551C" w:rsidRDefault="000B4524" w:rsidP="004B551C">
      <w:pPr>
        <w:ind w:firstLine="425"/>
        <w:jc w:val="center"/>
        <w:rPr>
          <w:b/>
          <w:bCs/>
          <w:sz w:val="20"/>
          <w:szCs w:val="20"/>
          <w:lang w:bidi="ar-EG"/>
        </w:rPr>
      </w:pPr>
      <w:proofErr w:type="spellStart"/>
      <w:r w:rsidRPr="004B551C">
        <w:rPr>
          <w:b/>
          <w:bCs/>
          <w:sz w:val="20"/>
          <w:szCs w:val="20"/>
          <w:lang w:bidi="ar-EG"/>
        </w:rPr>
        <w:lastRenderedPageBreak/>
        <w:t>thymol</w:t>
      </w:r>
      <w:proofErr w:type="spellEnd"/>
      <w:r w:rsidRPr="004B551C">
        <w:rPr>
          <w:b/>
          <w:bCs/>
          <w:sz w:val="20"/>
          <w:szCs w:val="20"/>
          <w:lang w:bidi="ar-EG"/>
        </w:rPr>
        <w:t xml:space="preserve"> &gt; </w:t>
      </w:r>
      <w:proofErr w:type="spellStart"/>
      <w:r w:rsidRPr="004B551C">
        <w:rPr>
          <w:b/>
          <w:bCs/>
          <w:sz w:val="20"/>
          <w:szCs w:val="20"/>
          <w:lang w:bidi="ar-EG"/>
        </w:rPr>
        <w:t>eugenol</w:t>
      </w:r>
      <w:proofErr w:type="spellEnd"/>
      <w:r w:rsidRPr="004B551C">
        <w:rPr>
          <w:b/>
          <w:bCs/>
          <w:sz w:val="20"/>
          <w:szCs w:val="20"/>
          <w:lang w:bidi="ar-EG"/>
        </w:rPr>
        <w:t xml:space="preserve"> &gt; methyl </w:t>
      </w:r>
      <w:proofErr w:type="spellStart"/>
      <w:r w:rsidRPr="004B551C">
        <w:rPr>
          <w:b/>
          <w:bCs/>
          <w:sz w:val="20"/>
          <w:szCs w:val="20"/>
          <w:lang w:bidi="ar-EG"/>
        </w:rPr>
        <w:t>cinnamate</w:t>
      </w:r>
      <w:proofErr w:type="spellEnd"/>
      <w:r w:rsidRPr="004B551C">
        <w:rPr>
          <w:b/>
          <w:bCs/>
          <w:sz w:val="20"/>
          <w:szCs w:val="20"/>
          <w:lang w:bidi="ar-EG"/>
        </w:rPr>
        <w:t>&gt; linalool&gt; 1,8-cineol.</w:t>
      </w:r>
    </w:p>
    <w:p w:rsidR="000B4524" w:rsidRPr="004B551C" w:rsidRDefault="000B4524" w:rsidP="004B551C">
      <w:pPr>
        <w:pStyle w:val="BodyTextIndent3"/>
        <w:tabs>
          <w:tab w:val="right" w:pos="0"/>
        </w:tabs>
        <w:bidi w:val="0"/>
        <w:spacing w:after="0"/>
        <w:ind w:left="0"/>
        <w:rPr>
          <w:sz w:val="20"/>
          <w:szCs w:val="20"/>
        </w:rPr>
        <w:sectPr w:rsidR="000B4524" w:rsidRPr="004B551C" w:rsidSect="00B952E0">
          <w:type w:val="continuous"/>
          <w:pgSz w:w="12240" w:h="15840" w:code="1"/>
          <w:pgMar w:top="1440" w:right="1440" w:bottom="851" w:left="1440" w:header="720" w:footer="510" w:gutter="0"/>
          <w:cols w:num="2" w:space="720"/>
          <w:docGrid w:linePitch="360"/>
        </w:sectPr>
      </w:pPr>
    </w:p>
    <w:p w:rsidR="000B4524" w:rsidRPr="004B551C" w:rsidRDefault="000B4524" w:rsidP="004B551C">
      <w:pPr>
        <w:pStyle w:val="BodyTextIndent3"/>
        <w:tabs>
          <w:tab w:val="right" w:pos="0"/>
        </w:tabs>
        <w:bidi w:val="0"/>
        <w:spacing w:after="0"/>
        <w:ind w:left="0"/>
        <w:rPr>
          <w:sz w:val="20"/>
          <w:szCs w:val="20"/>
        </w:rPr>
      </w:pPr>
    </w:p>
    <w:p w:rsidR="000B4524" w:rsidRPr="004B551C" w:rsidRDefault="000B4524" w:rsidP="004B551C">
      <w:pPr>
        <w:ind w:left="1170" w:hanging="1170"/>
        <w:jc w:val="both"/>
        <w:rPr>
          <w:sz w:val="20"/>
          <w:szCs w:val="20"/>
          <w:lang w:bidi="ar-EG"/>
        </w:rPr>
      </w:pPr>
      <w:r w:rsidRPr="004B551C">
        <w:rPr>
          <w:b/>
          <w:bCs/>
          <w:sz w:val="20"/>
          <w:szCs w:val="20"/>
          <w:lang w:bidi="ar-EG"/>
        </w:rPr>
        <w:t>Table (2):</w:t>
      </w:r>
      <w:r w:rsidRPr="004B551C">
        <w:rPr>
          <w:sz w:val="20"/>
          <w:szCs w:val="20"/>
          <w:lang w:bidi="ar-EG"/>
        </w:rPr>
        <w:t xml:space="preserve"> Effect of the selected compounds on </w:t>
      </w:r>
      <w:proofErr w:type="spellStart"/>
      <w:r w:rsidRPr="004B551C">
        <w:rPr>
          <w:i/>
          <w:iCs/>
          <w:sz w:val="20"/>
          <w:szCs w:val="20"/>
          <w:lang w:bidi="ar-EG"/>
        </w:rPr>
        <w:t>Rhizoctonia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sz w:val="20"/>
          <w:szCs w:val="20"/>
          <w:lang w:bidi="ar-EG"/>
        </w:rPr>
        <w:t>.</w:t>
      </w:r>
    </w:p>
    <w:tbl>
      <w:tblPr>
        <w:tblW w:w="5182"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375"/>
        <w:gridCol w:w="739"/>
        <w:gridCol w:w="739"/>
        <w:gridCol w:w="740"/>
        <w:gridCol w:w="740"/>
        <w:gridCol w:w="740"/>
        <w:gridCol w:w="1022"/>
        <w:gridCol w:w="1022"/>
        <w:gridCol w:w="750"/>
        <w:gridCol w:w="1006"/>
        <w:gridCol w:w="1052"/>
      </w:tblGrid>
      <w:tr w:rsidR="000B4524" w:rsidRPr="004B551C" w:rsidTr="006E76F1">
        <w:trPr>
          <w:trHeight w:val="285"/>
          <w:jc w:val="center"/>
        </w:trPr>
        <w:tc>
          <w:tcPr>
            <w:tcW w:w="692" w:type="pct"/>
            <w:vMerge w:val="restart"/>
            <w:tcBorders>
              <w:right w:val="single" w:sz="4" w:space="0" w:color="auto"/>
            </w:tcBorders>
            <w:vAlign w:val="center"/>
          </w:tcPr>
          <w:p w:rsidR="000B4524" w:rsidRPr="004B551C" w:rsidRDefault="000B4524" w:rsidP="004B551C">
            <w:pPr>
              <w:jc w:val="center"/>
              <w:rPr>
                <w:b/>
                <w:bCs/>
                <w:sz w:val="20"/>
                <w:szCs w:val="20"/>
                <w:lang w:bidi="ar-EG"/>
              </w:rPr>
            </w:pPr>
            <w:r w:rsidRPr="004B551C">
              <w:rPr>
                <w:b/>
                <w:bCs/>
                <w:sz w:val="20"/>
                <w:szCs w:val="20"/>
                <w:lang w:bidi="ar-EG"/>
              </w:rPr>
              <w:t>Compounds tested</w:t>
            </w:r>
          </w:p>
        </w:tc>
        <w:tc>
          <w:tcPr>
            <w:tcW w:w="1863" w:type="pct"/>
            <w:gridSpan w:val="5"/>
            <w:tcBorders>
              <w:left w:val="single" w:sz="4" w:space="0" w:color="auto"/>
              <w:right w:val="single" w:sz="4" w:space="0" w:color="auto"/>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 xml:space="preserve">Concentrations in  </w:t>
            </w:r>
            <w:proofErr w:type="spellStart"/>
            <w:r w:rsidRPr="004B551C">
              <w:rPr>
                <w:b/>
                <w:bCs/>
                <w:sz w:val="20"/>
                <w:szCs w:val="20"/>
                <w:lang w:bidi="ar-EG"/>
              </w:rPr>
              <w:t>ppm</w:t>
            </w:r>
            <w:proofErr w:type="spellEnd"/>
            <w:r w:rsidRPr="004B551C">
              <w:rPr>
                <w:b/>
                <w:bCs/>
                <w:sz w:val="20"/>
                <w:szCs w:val="20"/>
                <w:lang w:bidi="ar-EG"/>
              </w:rPr>
              <w:t xml:space="preserve"> (µg/ml)</w:t>
            </w:r>
          </w:p>
        </w:tc>
        <w:tc>
          <w:tcPr>
            <w:tcW w:w="515" w:type="pct"/>
            <w:vMerge w:val="restart"/>
            <w:tcBorders>
              <w:left w:val="single" w:sz="4" w:space="0" w:color="auto"/>
            </w:tcBorders>
            <w:vAlign w:val="center"/>
          </w:tcPr>
          <w:p w:rsidR="000B4524" w:rsidRPr="004B551C" w:rsidRDefault="000B4524"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25</w:t>
            </w:r>
          </w:p>
        </w:tc>
        <w:tc>
          <w:tcPr>
            <w:tcW w:w="515" w:type="pct"/>
            <w:vMerge w:val="restart"/>
            <w:vAlign w:val="center"/>
          </w:tcPr>
          <w:p w:rsidR="000B4524" w:rsidRPr="004B551C" w:rsidRDefault="000B4524"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50</w:t>
            </w:r>
          </w:p>
        </w:tc>
        <w:tc>
          <w:tcPr>
            <w:tcW w:w="378" w:type="pct"/>
            <w:vMerge w:val="restart"/>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Slope</w:t>
            </w:r>
          </w:p>
        </w:tc>
        <w:tc>
          <w:tcPr>
            <w:tcW w:w="507" w:type="pct"/>
            <w:vMerge w:val="restart"/>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Toxicity Index</w:t>
            </w:r>
          </w:p>
        </w:tc>
        <w:tc>
          <w:tcPr>
            <w:tcW w:w="531" w:type="pct"/>
            <w:vMerge w:val="restart"/>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Relative Potency</w:t>
            </w:r>
          </w:p>
        </w:tc>
      </w:tr>
      <w:tr w:rsidR="000B4524" w:rsidRPr="004B551C" w:rsidTr="006E76F1">
        <w:trPr>
          <w:trHeight w:val="285"/>
          <w:jc w:val="center"/>
        </w:trPr>
        <w:tc>
          <w:tcPr>
            <w:tcW w:w="692" w:type="pct"/>
            <w:vMerge/>
            <w:tcBorders>
              <w:right w:val="single" w:sz="4" w:space="0" w:color="auto"/>
            </w:tcBorders>
            <w:vAlign w:val="center"/>
          </w:tcPr>
          <w:p w:rsidR="000B4524" w:rsidRPr="004B551C" w:rsidRDefault="000B4524" w:rsidP="004B551C">
            <w:pPr>
              <w:jc w:val="center"/>
              <w:rPr>
                <w:b/>
                <w:bCs/>
                <w:sz w:val="20"/>
                <w:szCs w:val="20"/>
                <w:lang w:bidi="ar-EG"/>
              </w:rPr>
            </w:pPr>
          </w:p>
        </w:tc>
        <w:tc>
          <w:tcPr>
            <w:tcW w:w="372" w:type="pct"/>
            <w:tcBorders>
              <w:left w:val="single" w:sz="4" w:space="0" w:color="auto"/>
              <w:right w:val="nil"/>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A</w:t>
            </w:r>
          </w:p>
        </w:tc>
        <w:tc>
          <w:tcPr>
            <w:tcW w:w="372" w:type="pct"/>
            <w:tcBorders>
              <w:left w:val="nil"/>
              <w:right w:val="nil"/>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B</w:t>
            </w:r>
          </w:p>
        </w:tc>
        <w:tc>
          <w:tcPr>
            <w:tcW w:w="373" w:type="pct"/>
            <w:tcBorders>
              <w:left w:val="nil"/>
              <w:right w:val="nil"/>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C</w:t>
            </w:r>
          </w:p>
        </w:tc>
        <w:tc>
          <w:tcPr>
            <w:tcW w:w="373" w:type="pct"/>
            <w:tcBorders>
              <w:left w:val="nil"/>
              <w:right w:val="nil"/>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D</w:t>
            </w:r>
          </w:p>
        </w:tc>
        <w:tc>
          <w:tcPr>
            <w:tcW w:w="373" w:type="pct"/>
            <w:tcBorders>
              <w:left w:val="nil"/>
              <w:right w:val="single" w:sz="4" w:space="0" w:color="auto"/>
            </w:tcBorders>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E</w:t>
            </w:r>
          </w:p>
        </w:tc>
        <w:tc>
          <w:tcPr>
            <w:tcW w:w="515" w:type="pct"/>
            <w:vMerge/>
            <w:tcBorders>
              <w:left w:val="single" w:sz="4" w:space="0" w:color="auto"/>
            </w:tcBorders>
            <w:vAlign w:val="center"/>
          </w:tcPr>
          <w:p w:rsidR="000B4524" w:rsidRPr="004B551C" w:rsidRDefault="000B4524" w:rsidP="004B551C">
            <w:pPr>
              <w:jc w:val="center"/>
              <w:rPr>
                <w:b/>
                <w:bCs/>
                <w:sz w:val="20"/>
                <w:szCs w:val="20"/>
                <w:lang w:bidi="ar-EG"/>
              </w:rPr>
            </w:pPr>
          </w:p>
        </w:tc>
        <w:tc>
          <w:tcPr>
            <w:tcW w:w="515" w:type="pct"/>
            <w:vMerge/>
            <w:vAlign w:val="center"/>
          </w:tcPr>
          <w:p w:rsidR="000B4524" w:rsidRPr="004B551C" w:rsidRDefault="000B4524" w:rsidP="004B551C">
            <w:pPr>
              <w:jc w:val="center"/>
              <w:rPr>
                <w:b/>
                <w:bCs/>
                <w:sz w:val="20"/>
                <w:szCs w:val="20"/>
                <w:lang w:bidi="ar-EG"/>
              </w:rPr>
            </w:pPr>
          </w:p>
        </w:tc>
        <w:tc>
          <w:tcPr>
            <w:tcW w:w="378" w:type="pct"/>
            <w:vMerge/>
            <w:shd w:val="clear" w:color="auto" w:fill="auto"/>
            <w:vAlign w:val="center"/>
          </w:tcPr>
          <w:p w:rsidR="000B4524" w:rsidRPr="004B551C" w:rsidRDefault="000B4524" w:rsidP="004B551C">
            <w:pPr>
              <w:jc w:val="center"/>
              <w:rPr>
                <w:b/>
                <w:bCs/>
                <w:sz w:val="20"/>
                <w:szCs w:val="20"/>
                <w:lang w:bidi="ar-EG"/>
              </w:rPr>
            </w:pPr>
          </w:p>
        </w:tc>
        <w:tc>
          <w:tcPr>
            <w:tcW w:w="507" w:type="pct"/>
            <w:vMerge/>
            <w:shd w:val="clear" w:color="auto" w:fill="auto"/>
            <w:vAlign w:val="center"/>
          </w:tcPr>
          <w:p w:rsidR="000B4524" w:rsidRPr="004B551C" w:rsidRDefault="000B4524" w:rsidP="004B551C">
            <w:pPr>
              <w:jc w:val="center"/>
              <w:rPr>
                <w:b/>
                <w:bCs/>
                <w:sz w:val="20"/>
                <w:szCs w:val="20"/>
                <w:lang w:bidi="ar-EG"/>
              </w:rPr>
            </w:pPr>
          </w:p>
        </w:tc>
        <w:tc>
          <w:tcPr>
            <w:tcW w:w="531" w:type="pct"/>
            <w:vMerge/>
            <w:shd w:val="clear" w:color="auto" w:fill="auto"/>
            <w:vAlign w:val="center"/>
          </w:tcPr>
          <w:p w:rsidR="000B4524" w:rsidRPr="004B551C" w:rsidRDefault="000B4524" w:rsidP="004B551C">
            <w:pPr>
              <w:jc w:val="center"/>
              <w:rPr>
                <w:b/>
                <w:bCs/>
                <w:sz w:val="20"/>
                <w:szCs w:val="20"/>
                <w:lang w:bidi="ar-EG"/>
              </w:rPr>
            </w:pPr>
          </w:p>
        </w:tc>
      </w:tr>
      <w:tr w:rsidR="000B4524" w:rsidRPr="004B551C" w:rsidTr="006E76F1">
        <w:trPr>
          <w:trHeight w:val="499"/>
          <w:jc w:val="center"/>
        </w:trPr>
        <w:tc>
          <w:tcPr>
            <w:tcW w:w="692" w:type="pct"/>
            <w:tcBorders>
              <w:right w:val="single" w:sz="4" w:space="0" w:color="auto"/>
            </w:tcBorders>
            <w:vAlign w:val="center"/>
          </w:tcPr>
          <w:p w:rsidR="000B4524" w:rsidRPr="004B551C" w:rsidRDefault="000B4524"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w:t>
            </w:r>
          </w:p>
        </w:tc>
        <w:tc>
          <w:tcPr>
            <w:tcW w:w="372" w:type="pct"/>
            <w:tcBorders>
              <w:left w:val="single" w:sz="4" w:space="0" w:color="auto"/>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35.95</w:t>
            </w:r>
          </w:p>
        </w:tc>
        <w:tc>
          <w:tcPr>
            <w:tcW w:w="372"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86.53</w:t>
            </w:r>
          </w:p>
        </w:tc>
        <w:tc>
          <w:tcPr>
            <w:tcW w:w="373"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97.47</w:t>
            </w:r>
          </w:p>
        </w:tc>
        <w:tc>
          <w:tcPr>
            <w:tcW w:w="373" w:type="pct"/>
            <w:tcBorders>
              <w:lef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99.49</w:t>
            </w:r>
          </w:p>
        </w:tc>
        <w:tc>
          <w:tcPr>
            <w:tcW w:w="373" w:type="pct"/>
            <w:tcBorders>
              <w:right w:val="single" w:sz="4" w:space="0" w:color="auto"/>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99.88</w:t>
            </w:r>
          </w:p>
        </w:tc>
        <w:tc>
          <w:tcPr>
            <w:tcW w:w="515" w:type="pct"/>
            <w:tcBorders>
              <w:left w:val="single" w:sz="4" w:space="0" w:color="auto"/>
            </w:tcBorders>
            <w:vAlign w:val="center"/>
          </w:tcPr>
          <w:p w:rsidR="000B4524" w:rsidRPr="004B551C" w:rsidRDefault="000B4524" w:rsidP="004B551C">
            <w:pPr>
              <w:jc w:val="center"/>
              <w:rPr>
                <w:sz w:val="20"/>
                <w:szCs w:val="20"/>
                <w:lang w:bidi="ar-EG"/>
              </w:rPr>
            </w:pPr>
            <w:r w:rsidRPr="004B551C">
              <w:rPr>
                <w:sz w:val="20"/>
                <w:szCs w:val="20"/>
                <w:lang w:bidi="ar-EG"/>
              </w:rPr>
              <w:t>43.08</w:t>
            </w:r>
          </w:p>
        </w:tc>
        <w:tc>
          <w:tcPr>
            <w:tcW w:w="515" w:type="pct"/>
            <w:vAlign w:val="center"/>
          </w:tcPr>
          <w:p w:rsidR="000B4524" w:rsidRPr="004B551C" w:rsidRDefault="000B4524" w:rsidP="004B551C">
            <w:pPr>
              <w:jc w:val="center"/>
              <w:rPr>
                <w:b/>
                <w:bCs/>
                <w:sz w:val="20"/>
                <w:szCs w:val="20"/>
                <w:lang w:bidi="ar-EG"/>
              </w:rPr>
            </w:pPr>
            <w:r w:rsidRPr="004B551C">
              <w:rPr>
                <w:b/>
                <w:bCs/>
                <w:sz w:val="20"/>
                <w:szCs w:val="20"/>
                <w:lang w:bidi="ar-EG"/>
              </w:rPr>
              <w:t>59.28</w:t>
            </w:r>
          </w:p>
        </w:tc>
        <w:tc>
          <w:tcPr>
            <w:tcW w:w="378"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4.87</w:t>
            </w:r>
          </w:p>
        </w:tc>
        <w:tc>
          <w:tcPr>
            <w:tcW w:w="507" w:type="pct"/>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100</w:t>
            </w:r>
          </w:p>
        </w:tc>
        <w:tc>
          <w:tcPr>
            <w:tcW w:w="531" w:type="pct"/>
            <w:shd w:val="clear" w:color="auto" w:fill="auto"/>
            <w:vAlign w:val="center"/>
          </w:tcPr>
          <w:p w:rsidR="000B4524" w:rsidRPr="004B551C" w:rsidRDefault="000B4524" w:rsidP="004B551C">
            <w:pPr>
              <w:jc w:val="center"/>
              <w:rPr>
                <w:b/>
                <w:bCs/>
                <w:sz w:val="20"/>
                <w:szCs w:val="20"/>
                <w:lang w:bidi="ar-EG"/>
              </w:rPr>
            </w:pPr>
            <w:r w:rsidRPr="004B551C">
              <w:rPr>
                <w:b/>
                <w:bCs/>
                <w:sz w:val="20"/>
                <w:szCs w:val="20"/>
                <w:lang w:bidi="ar-EG"/>
              </w:rPr>
              <w:t>213.73</w:t>
            </w:r>
          </w:p>
        </w:tc>
      </w:tr>
      <w:tr w:rsidR="000B4524" w:rsidRPr="004B551C" w:rsidTr="006E76F1">
        <w:trPr>
          <w:trHeight w:val="499"/>
          <w:jc w:val="center"/>
        </w:trPr>
        <w:tc>
          <w:tcPr>
            <w:tcW w:w="692" w:type="pct"/>
            <w:tcBorders>
              <w:right w:val="single" w:sz="4" w:space="0" w:color="auto"/>
            </w:tcBorders>
            <w:vAlign w:val="center"/>
          </w:tcPr>
          <w:p w:rsidR="000B4524" w:rsidRPr="004B551C" w:rsidRDefault="000B4524" w:rsidP="004B551C">
            <w:pPr>
              <w:jc w:val="center"/>
              <w:rPr>
                <w:b/>
                <w:bCs/>
                <w:sz w:val="20"/>
                <w:szCs w:val="20"/>
                <w:lang w:bidi="ar-EG"/>
              </w:rPr>
            </w:pPr>
            <w:proofErr w:type="spellStart"/>
            <w:r w:rsidRPr="004B551C">
              <w:rPr>
                <w:b/>
                <w:bCs/>
                <w:sz w:val="20"/>
                <w:szCs w:val="20"/>
                <w:lang w:bidi="ar-EG"/>
              </w:rPr>
              <w:t>Eugenol</w:t>
            </w:r>
            <w:proofErr w:type="spellEnd"/>
            <w:r w:rsidRPr="004B551C">
              <w:rPr>
                <w:b/>
                <w:bCs/>
                <w:sz w:val="20"/>
                <w:szCs w:val="20"/>
                <w:lang w:bidi="ar-EG"/>
              </w:rPr>
              <w:t>*</w:t>
            </w:r>
          </w:p>
        </w:tc>
        <w:tc>
          <w:tcPr>
            <w:tcW w:w="372" w:type="pct"/>
            <w:tcBorders>
              <w:left w:val="single" w:sz="4" w:space="0" w:color="auto"/>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11.84</w:t>
            </w:r>
          </w:p>
        </w:tc>
        <w:tc>
          <w:tcPr>
            <w:tcW w:w="372"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53.29</w:t>
            </w:r>
          </w:p>
        </w:tc>
        <w:tc>
          <w:tcPr>
            <w:tcW w:w="373"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79.48</w:t>
            </w:r>
          </w:p>
        </w:tc>
        <w:tc>
          <w:tcPr>
            <w:tcW w:w="373" w:type="pct"/>
            <w:tcBorders>
              <w:lef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91.11</w:t>
            </w:r>
          </w:p>
        </w:tc>
        <w:tc>
          <w:tcPr>
            <w:tcW w:w="373" w:type="pct"/>
            <w:tcBorders>
              <w:right w:val="single" w:sz="4" w:space="0" w:color="auto"/>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96.04</w:t>
            </w:r>
          </w:p>
        </w:tc>
        <w:tc>
          <w:tcPr>
            <w:tcW w:w="515" w:type="pct"/>
            <w:tcBorders>
              <w:left w:val="single" w:sz="4" w:space="0" w:color="auto"/>
            </w:tcBorders>
            <w:vAlign w:val="center"/>
          </w:tcPr>
          <w:p w:rsidR="000B4524" w:rsidRPr="004B551C" w:rsidRDefault="000B4524" w:rsidP="004B551C">
            <w:pPr>
              <w:jc w:val="center"/>
              <w:rPr>
                <w:sz w:val="20"/>
                <w:szCs w:val="20"/>
                <w:lang w:bidi="ar-EG"/>
              </w:rPr>
            </w:pPr>
            <w:r w:rsidRPr="004B551C">
              <w:rPr>
                <w:sz w:val="20"/>
                <w:szCs w:val="20"/>
                <w:lang w:bidi="ar-EG"/>
              </w:rPr>
              <w:t>66.06</w:t>
            </w:r>
          </w:p>
        </w:tc>
        <w:tc>
          <w:tcPr>
            <w:tcW w:w="515" w:type="pct"/>
            <w:vAlign w:val="center"/>
          </w:tcPr>
          <w:p w:rsidR="000B4524" w:rsidRPr="004B551C" w:rsidRDefault="000B4524" w:rsidP="004B551C">
            <w:pPr>
              <w:jc w:val="center"/>
              <w:rPr>
                <w:sz w:val="20"/>
                <w:szCs w:val="20"/>
                <w:lang w:bidi="ar-EG"/>
              </w:rPr>
            </w:pPr>
            <w:r w:rsidRPr="004B551C">
              <w:rPr>
                <w:sz w:val="20"/>
                <w:szCs w:val="20"/>
                <w:lang w:bidi="ar-EG"/>
              </w:rPr>
              <w:t>95.58</w:t>
            </w:r>
          </w:p>
        </w:tc>
        <w:tc>
          <w:tcPr>
            <w:tcW w:w="378"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4.21</w:t>
            </w:r>
          </w:p>
        </w:tc>
        <w:tc>
          <w:tcPr>
            <w:tcW w:w="507"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62.02</w:t>
            </w:r>
          </w:p>
        </w:tc>
        <w:tc>
          <w:tcPr>
            <w:tcW w:w="531"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132.56</w:t>
            </w:r>
          </w:p>
        </w:tc>
      </w:tr>
      <w:tr w:rsidR="000B4524" w:rsidRPr="004B551C" w:rsidTr="006E76F1">
        <w:trPr>
          <w:trHeight w:val="499"/>
          <w:jc w:val="center"/>
        </w:trPr>
        <w:tc>
          <w:tcPr>
            <w:tcW w:w="692" w:type="pct"/>
            <w:tcBorders>
              <w:right w:val="single" w:sz="4" w:space="0" w:color="auto"/>
            </w:tcBorders>
            <w:vAlign w:val="center"/>
          </w:tcPr>
          <w:p w:rsidR="000B4524" w:rsidRPr="004B551C" w:rsidRDefault="000B4524" w:rsidP="004B551C">
            <w:pPr>
              <w:jc w:val="center"/>
              <w:rPr>
                <w:b/>
                <w:bCs/>
                <w:sz w:val="20"/>
                <w:szCs w:val="20"/>
                <w:lang w:bidi="ar-EG"/>
              </w:rPr>
            </w:pPr>
            <w:r w:rsidRPr="004B551C">
              <w:rPr>
                <w:b/>
                <w:bCs/>
                <w:sz w:val="20"/>
                <w:szCs w:val="20"/>
                <w:lang w:bidi="ar-EG"/>
              </w:rPr>
              <w:t xml:space="preserve">Methyl </w:t>
            </w:r>
            <w:proofErr w:type="spellStart"/>
            <w:r w:rsidRPr="004B551C">
              <w:rPr>
                <w:b/>
                <w:bCs/>
                <w:sz w:val="20"/>
                <w:szCs w:val="20"/>
                <w:lang w:bidi="ar-EG"/>
              </w:rPr>
              <w:t>cinnamate</w:t>
            </w:r>
            <w:proofErr w:type="spellEnd"/>
            <w:r w:rsidRPr="004B551C">
              <w:rPr>
                <w:b/>
                <w:bCs/>
                <w:sz w:val="20"/>
                <w:szCs w:val="20"/>
                <w:lang w:bidi="ar-EG"/>
              </w:rPr>
              <w:t>*</w:t>
            </w:r>
          </w:p>
        </w:tc>
        <w:tc>
          <w:tcPr>
            <w:tcW w:w="372" w:type="pct"/>
            <w:tcBorders>
              <w:left w:val="single" w:sz="4" w:space="0" w:color="auto"/>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12.19</w:t>
            </w:r>
          </w:p>
        </w:tc>
        <w:tc>
          <w:tcPr>
            <w:tcW w:w="372"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48.23</w:t>
            </w:r>
          </w:p>
        </w:tc>
        <w:tc>
          <w:tcPr>
            <w:tcW w:w="373"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72.97</w:t>
            </w:r>
          </w:p>
        </w:tc>
        <w:tc>
          <w:tcPr>
            <w:tcW w:w="373" w:type="pct"/>
            <w:tcBorders>
              <w:lef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85.93</w:t>
            </w:r>
          </w:p>
        </w:tc>
        <w:tc>
          <w:tcPr>
            <w:tcW w:w="373" w:type="pct"/>
            <w:tcBorders>
              <w:right w:val="single" w:sz="4" w:space="0" w:color="auto"/>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92.47</w:t>
            </w:r>
          </w:p>
        </w:tc>
        <w:tc>
          <w:tcPr>
            <w:tcW w:w="515" w:type="pct"/>
            <w:tcBorders>
              <w:left w:val="single" w:sz="4" w:space="0" w:color="auto"/>
            </w:tcBorders>
            <w:vAlign w:val="center"/>
          </w:tcPr>
          <w:p w:rsidR="000B4524" w:rsidRPr="004B551C" w:rsidRDefault="000B4524" w:rsidP="004B551C">
            <w:pPr>
              <w:jc w:val="center"/>
              <w:rPr>
                <w:sz w:val="20"/>
                <w:szCs w:val="20"/>
                <w:lang w:bidi="ar-EG"/>
              </w:rPr>
            </w:pPr>
            <w:r w:rsidRPr="004B551C">
              <w:rPr>
                <w:sz w:val="20"/>
                <w:szCs w:val="20"/>
                <w:lang w:bidi="ar-EG"/>
              </w:rPr>
              <w:t>67.75</w:t>
            </w:r>
          </w:p>
        </w:tc>
        <w:tc>
          <w:tcPr>
            <w:tcW w:w="515" w:type="pct"/>
            <w:vAlign w:val="center"/>
          </w:tcPr>
          <w:p w:rsidR="000B4524" w:rsidRPr="004B551C" w:rsidRDefault="000B4524" w:rsidP="004B551C">
            <w:pPr>
              <w:jc w:val="center"/>
              <w:rPr>
                <w:sz w:val="20"/>
                <w:szCs w:val="20"/>
                <w:lang w:bidi="ar-EG"/>
              </w:rPr>
            </w:pPr>
            <w:r w:rsidRPr="004B551C">
              <w:rPr>
                <w:sz w:val="20"/>
                <w:szCs w:val="20"/>
                <w:lang w:bidi="ar-EG"/>
              </w:rPr>
              <w:t>102.78</w:t>
            </w:r>
          </w:p>
        </w:tc>
        <w:tc>
          <w:tcPr>
            <w:tcW w:w="378"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3.73</w:t>
            </w:r>
          </w:p>
        </w:tc>
        <w:tc>
          <w:tcPr>
            <w:tcW w:w="507"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57.68</w:t>
            </w:r>
          </w:p>
        </w:tc>
        <w:tc>
          <w:tcPr>
            <w:tcW w:w="531"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123.27</w:t>
            </w:r>
          </w:p>
        </w:tc>
      </w:tr>
      <w:tr w:rsidR="000B4524" w:rsidRPr="004B551C" w:rsidTr="006E76F1">
        <w:trPr>
          <w:trHeight w:val="499"/>
          <w:jc w:val="center"/>
        </w:trPr>
        <w:tc>
          <w:tcPr>
            <w:tcW w:w="692" w:type="pct"/>
            <w:tcBorders>
              <w:right w:val="single" w:sz="4" w:space="0" w:color="auto"/>
            </w:tcBorders>
            <w:vAlign w:val="center"/>
          </w:tcPr>
          <w:p w:rsidR="000B4524" w:rsidRPr="004B551C" w:rsidRDefault="000B4524" w:rsidP="004B551C">
            <w:pPr>
              <w:jc w:val="center"/>
              <w:rPr>
                <w:b/>
                <w:bCs/>
                <w:sz w:val="20"/>
                <w:szCs w:val="20"/>
                <w:lang w:bidi="ar-EG"/>
              </w:rPr>
            </w:pPr>
            <w:r w:rsidRPr="004B551C">
              <w:rPr>
                <w:b/>
                <w:bCs/>
                <w:sz w:val="20"/>
                <w:szCs w:val="20"/>
                <w:lang w:bidi="ar-EG"/>
              </w:rPr>
              <w:t>Linalool**</w:t>
            </w:r>
          </w:p>
        </w:tc>
        <w:tc>
          <w:tcPr>
            <w:tcW w:w="372" w:type="pct"/>
            <w:tcBorders>
              <w:left w:val="single" w:sz="4" w:space="0" w:color="auto"/>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44.61</w:t>
            </w:r>
          </w:p>
        </w:tc>
        <w:tc>
          <w:tcPr>
            <w:tcW w:w="372"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97.2</w:t>
            </w:r>
          </w:p>
        </w:tc>
        <w:tc>
          <w:tcPr>
            <w:tcW w:w="373"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99.97</w:t>
            </w:r>
          </w:p>
        </w:tc>
        <w:tc>
          <w:tcPr>
            <w:tcW w:w="373" w:type="pct"/>
            <w:tcBorders>
              <w:lef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100</w:t>
            </w:r>
          </w:p>
        </w:tc>
        <w:tc>
          <w:tcPr>
            <w:tcW w:w="373" w:type="pct"/>
            <w:tcBorders>
              <w:right w:val="single" w:sz="4" w:space="0" w:color="auto"/>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100</w:t>
            </w:r>
          </w:p>
        </w:tc>
        <w:tc>
          <w:tcPr>
            <w:tcW w:w="515" w:type="pct"/>
            <w:tcBorders>
              <w:left w:val="single" w:sz="4" w:space="0" w:color="auto"/>
            </w:tcBorders>
            <w:vAlign w:val="center"/>
          </w:tcPr>
          <w:p w:rsidR="000B4524" w:rsidRPr="004B551C" w:rsidRDefault="000B4524" w:rsidP="004B551C">
            <w:pPr>
              <w:jc w:val="center"/>
              <w:rPr>
                <w:sz w:val="20"/>
                <w:szCs w:val="20"/>
                <w:lang w:bidi="ar-EG"/>
              </w:rPr>
            </w:pPr>
            <w:r w:rsidRPr="004B551C">
              <w:rPr>
                <w:sz w:val="20"/>
                <w:szCs w:val="20"/>
                <w:lang w:bidi="ar-EG"/>
              </w:rPr>
              <w:t>416.78</w:t>
            </w:r>
          </w:p>
        </w:tc>
        <w:tc>
          <w:tcPr>
            <w:tcW w:w="515" w:type="pct"/>
            <w:vAlign w:val="center"/>
          </w:tcPr>
          <w:p w:rsidR="000B4524" w:rsidRPr="004B551C" w:rsidRDefault="000B4524" w:rsidP="004B551C">
            <w:pPr>
              <w:jc w:val="center"/>
              <w:rPr>
                <w:sz w:val="20"/>
                <w:szCs w:val="20"/>
                <w:lang w:bidi="ar-EG"/>
              </w:rPr>
            </w:pPr>
            <w:r w:rsidRPr="004B551C">
              <w:rPr>
                <w:sz w:val="20"/>
                <w:szCs w:val="20"/>
                <w:lang w:bidi="ar-EG"/>
              </w:rPr>
              <w:t>523.47</w:t>
            </w:r>
          </w:p>
        </w:tc>
        <w:tc>
          <w:tcPr>
            <w:tcW w:w="378"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6.81</w:t>
            </w:r>
          </w:p>
        </w:tc>
        <w:tc>
          <w:tcPr>
            <w:tcW w:w="507"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11.33</w:t>
            </w:r>
          </w:p>
        </w:tc>
        <w:tc>
          <w:tcPr>
            <w:tcW w:w="531"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24.2</w:t>
            </w:r>
          </w:p>
        </w:tc>
      </w:tr>
      <w:tr w:rsidR="000B4524" w:rsidRPr="004B551C" w:rsidTr="006E76F1">
        <w:trPr>
          <w:trHeight w:val="499"/>
          <w:jc w:val="center"/>
        </w:trPr>
        <w:tc>
          <w:tcPr>
            <w:tcW w:w="692" w:type="pct"/>
            <w:tcBorders>
              <w:right w:val="single" w:sz="4" w:space="0" w:color="auto"/>
            </w:tcBorders>
            <w:vAlign w:val="center"/>
          </w:tcPr>
          <w:p w:rsidR="000B4524" w:rsidRPr="004B551C" w:rsidRDefault="000B4524" w:rsidP="004B551C">
            <w:pPr>
              <w:jc w:val="center"/>
              <w:rPr>
                <w:b/>
                <w:bCs/>
                <w:sz w:val="20"/>
                <w:szCs w:val="20"/>
                <w:lang w:bidi="ar-EG"/>
              </w:rPr>
            </w:pPr>
            <w:r w:rsidRPr="004B551C">
              <w:rPr>
                <w:b/>
                <w:bCs/>
                <w:sz w:val="20"/>
                <w:szCs w:val="20"/>
                <w:lang w:bidi="ar-EG"/>
              </w:rPr>
              <w:t>1,8-Cineol**</w:t>
            </w:r>
          </w:p>
        </w:tc>
        <w:tc>
          <w:tcPr>
            <w:tcW w:w="372" w:type="pct"/>
            <w:tcBorders>
              <w:left w:val="single" w:sz="4" w:space="0" w:color="auto"/>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0.27</w:t>
            </w:r>
          </w:p>
        </w:tc>
        <w:tc>
          <w:tcPr>
            <w:tcW w:w="372"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1.53</w:t>
            </w:r>
          </w:p>
        </w:tc>
        <w:tc>
          <w:tcPr>
            <w:tcW w:w="373" w:type="pct"/>
            <w:tcBorders>
              <w:left w:val="nil"/>
              <w:righ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5.65</w:t>
            </w:r>
          </w:p>
        </w:tc>
        <w:tc>
          <w:tcPr>
            <w:tcW w:w="373" w:type="pct"/>
            <w:tcBorders>
              <w:left w:val="nil"/>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16.1</w:t>
            </w:r>
          </w:p>
        </w:tc>
        <w:tc>
          <w:tcPr>
            <w:tcW w:w="373" w:type="pct"/>
            <w:tcBorders>
              <w:right w:val="single" w:sz="4" w:space="0" w:color="auto"/>
            </w:tcBorders>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34.64</w:t>
            </w:r>
          </w:p>
        </w:tc>
        <w:tc>
          <w:tcPr>
            <w:tcW w:w="515" w:type="pct"/>
            <w:tcBorders>
              <w:left w:val="single" w:sz="4" w:space="0" w:color="auto"/>
            </w:tcBorders>
            <w:vAlign w:val="center"/>
          </w:tcPr>
          <w:p w:rsidR="000B4524" w:rsidRPr="004B551C" w:rsidRDefault="000B4524" w:rsidP="004B551C">
            <w:pPr>
              <w:jc w:val="center"/>
              <w:rPr>
                <w:sz w:val="20"/>
                <w:szCs w:val="20"/>
                <w:lang w:bidi="ar-EG"/>
              </w:rPr>
            </w:pPr>
            <w:r w:rsidRPr="004B551C">
              <w:rPr>
                <w:sz w:val="20"/>
                <w:szCs w:val="20"/>
                <w:lang w:bidi="ar-EG"/>
              </w:rPr>
              <w:t>5778.15</w:t>
            </w:r>
          </w:p>
        </w:tc>
        <w:tc>
          <w:tcPr>
            <w:tcW w:w="515" w:type="pct"/>
            <w:vAlign w:val="center"/>
          </w:tcPr>
          <w:p w:rsidR="000B4524" w:rsidRPr="004B551C" w:rsidRDefault="000B4524" w:rsidP="004B551C">
            <w:pPr>
              <w:jc w:val="center"/>
              <w:rPr>
                <w:sz w:val="20"/>
                <w:szCs w:val="20"/>
                <w:lang w:bidi="ar-EG"/>
              </w:rPr>
            </w:pPr>
            <w:r w:rsidRPr="004B551C">
              <w:rPr>
                <w:sz w:val="20"/>
                <w:szCs w:val="20"/>
                <w:lang w:bidi="ar-EG"/>
              </w:rPr>
              <w:t>12669.8</w:t>
            </w:r>
          </w:p>
        </w:tc>
        <w:tc>
          <w:tcPr>
            <w:tcW w:w="378"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1.98</w:t>
            </w:r>
          </w:p>
        </w:tc>
        <w:tc>
          <w:tcPr>
            <w:tcW w:w="507"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0.468</w:t>
            </w:r>
          </w:p>
        </w:tc>
        <w:tc>
          <w:tcPr>
            <w:tcW w:w="531" w:type="pct"/>
            <w:shd w:val="clear" w:color="auto" w:fill="auto"/>
            <w:vAlign w:val="center"/>
          </w:tcPr>
          <w:p w:rsidR="000B4524" w:rsidRPr="004B551C" w:rsidRDefault="000B4524" w:rsidP="004B551C">
            <w:pPr>
              <w:jc w:val="center"/>
              <w:rPr>
                <w:sz w:val="20"/>
                <w:szCs w:val="20"/>
                <w:lang w:bidi="ar-EG"/>
              </w:rPr>
            </w:pPr>
            <w:r w:rsidRPr="004B551C">
              <w:rPr>
                <w:sz w:val="20"/>
                <w:szCs w:val="20"/>
                <w:lang w:bidi="ar-EG"/>
              </w:rPr>
              <w:t>1</w:t>
            </w:r>
          </w:p>
        </w:tc>
      </w:tr>
    </w:tbl>
    <w:p w:rsidR="009867F7" w:rsidRPr="004B551C" w:rsidRDefault="009867F7" w:rsidP="004B551C">
      <w:pPr>
        <w:jc w:val="both"/>
        <w:rPr>
          <w:sz w:val="20"/>
          <w:szCs w:val="20"/>
          <w:lang w:bidi="ar-EG"/>
        </w:rPr>
      </w:pPr>
      <w:r w:rsidRPr="004B551C">
        <w:rPr>
          <w:sz w:val="20"/>
          <w:szCs w:val="20"/>
          <w:lang w:bidi="ar-EG"/>
        </w:rPr>
        <w:t>A, B, C, D and E concentrations are:</w:t>
      </w:r>
    </w:p>
    <w:p w:rsidR="009867F7" w:rsidRPr="004B551C" w:rsidRDefault="009867F7" w:rsidP="004B551C">
      <w:pPr>
        <w:ind w:left="426" w:hanging="142"/>
        <w:jc w:val="both"/>
        <w:rPr>
          <w:sz w:val="20"/>
          <w:szCs w:val="20"/>
          <w:lang w:bidi="ar-EG"/>
        </w:rPr>
      </w:pPr>
      <w:r w:rsidRPr="004B551C">
        <w:rPr>
          <w:sz w:val="20"/>
          <w:szCs w:val="20"/>
          <w:lang w:bidi="ar-EG"/>
        </w:rPr>
        <w:t xml:space="preserve"> </w:t>
      </w:r>
      <w:r w:rsidRPr="004B551C">
        <w:rPr>
          <w:sz w:val="20"/>
          <w:szCs w:val="20"/>
          <w:vertAlign w:val="superscript"/>
          <w:lang w:bidi="ar-EG"/>
        </w:rPr>
        <w:t xml:space="preserve">  </w:t>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50, 100, 150, 200 and 250 µg/ml.   </w:t>
      </w:r>
      <w:r w:rsidRPr="004B551C">
        <w:rPr>
          <w:sz w:val="20"/>
          <w:szCs w:val="20"/>
          <w:lang w:bidi="ar-EG"/>
        </w:rPr>
        <w:tab/>
      </w:r>
      <w:r w:rsidRPr="004B551C">
        <w:rPr>
          <w:sz w:val="20"/>
          <w:szCs w:val="20"/>
          <w:lang w:bidi="ar-EG"/>
        </w:rPr>
        <w:tab/>
      </w:r>
      <w:r w:rsidRPr="004B551C">
        <w:rPr>
          <w:sz w:val="20"/>
          <w:szCs w:val="20"/>
          <w:lang w:bidi="ar-EG"/>
        </w:rPr>
        <w:tab/>
      </w:r>
      <w:r w:rsidRPr="004B551C">
        <w:rPr>
          <w:sz w:val="20"/>
          <w:szCs w:val="20"/>
          <w:vertAlign w:val="superscript"/>
          <w:lang w:bidi="ar-EG"/>
        </w:rPr>
        <w:sym w:font="Wingdings 2" w:char="F0DE"/>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 500, 1000, 2000, 4000 and 8000 µg/ml.  </w:t>
      </w:r>
    </w:p>
    <w:p w:rsidR="009867F7" w:rsidRPr="004B551C" w:rsidRDefault="00197907" w:rsidP="004B551C">
      <w:pPr>
        <w:ind w:left="426" w:hanging="142"/>
        <w:jc w:val="both"/>
        <w:rPr>
          <w:sz w:val="20"/>
          <w:szCs w:val="20"/>
          <w:lang w:bidi="ar-EG"/>
        </w:rPr>
      </w:pPr>
      <w:r w:rsidRPr="004B551C">
        <w:rPr>
          <w:noProof/>
          <w:sz w:val="20"/>
          <w:szCs w:val="20"/>
          <w:lang w:eastAsia="zh-CN"/>
        </w:rPr>
        <w:drawing>
          <wp:anchor distT="0" distB="0" distL="114300" distR="114300" simplePos="0" relativeHeight="251675648" behindDoc="1" locked="0" layoutInCell="1" allowOverlap="1">
            <wp:simplePos x="0" y="0"/>
            <wp:positionH relativeFrom="column">
              <wp:posOffset>3009900</wp:posOffset>
            </wp:positionH>
            <wp:positionV relativeFrom="paragraph">
              <wp:posOffset>89535</wp:posOffset>
            </wp:positionV>
            <wp:extent cx="3076575" cy="2409825"/>
            <wp:effectExtent l="1905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srcRect/>
                    <a:stretch>
                      <a:fillRect/>
                    </a:stretch>
                  </pic:blipFill>
                  <pic:spPr bwMode="auto">
                    <a:xfrm>
                      <a:off x="0" y="0"/>
                      <a:ext cx="3076575" cy="2409825"/>
                    </a:xfrm>
                    <a:prstGeom prst="rect">
                      <a:avLst/>
                    </a:prstGeom>
                    <a:noFill/>
                    <a:ln w="9525">
                      <a:noFill/>
                      <a:miter lim="800000"/>
                      <a:headEnd/>
                      <a:tailEnd/>
                    </a:ln>
                  </pic:spPr>
                </pic:pic>
              </a:graphicData>
            </a:graphic>
          </wp:anchor>
        </w:drawing>
      </w:r>
      <w:r w:rsidR="009867F7" w:rsidRPr="004B551C">
        <w:rPr>
          <w:noProof/>
          <w:sz w:val="20"/>
          <w:szCs w:val="20"/>
          <w:lang w:eastAsia="zh-CN"/>
        </w:rPr>
        <w:drawing>
          <wp:anchor distT="0" distB="0" distL="114300" distR="114300" simplePos="0" relativeHeight="251680768" behindDoc="1" locked="0" layoutInCell="1" allowOverlap="1">
            <wp:simplePos x="0" y="0"/>
            <wp:positionH relativeFrom="column">
              <wp:posOffset>-58772</wp:posOffset>
            </wp:positionH>
            <wp:positionV relativeFrom="paragraph">
              <wp:posOffset>87914</wp:posOffset>
            </wp:positionV>
            <wp:extent cx="3074346" cy="2431915"/>
            <wp:effectExtent l="19050" t="0" r="0" b="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srcRect/>
                    <a:stretch>
                      <a:fillRect/>
                    </a:stretch>
                  </pic:blipFill>
                  <pic:spPr bwMode="auto">
                    <a:xfrm>
                      <a:off x="0" y="0"/>
                      <a:ext cx="3074346" cy="2431915"/>
                    </a:xfrm>
                    <a:prstGeom prst="rect">
                      <a:avLst/>
                    </a:prstGeom>
                    <a:noFill/>
                    <a:ln w="9525">
                      <a:noFill/>
                      <a:miter lim="800000"/>
                      <a:headEnd/>
                      <a:tailEnd/>
                    </a:ln>
                  </pic:spPr>
                </pic:pic>
              </a:graphicData>
            </a:graphic>
          </wp:anchor>
        </w:drawing>
      </w:r>
    </w:p>
    <w:p w:rsidR="009867F7" w:rsidRPr="004B551C" w:rsidRDefault="009867F7" w:rsidP="004B551C">
      <w:pPr>
        <w:ind w:left="426" w:hanging="142"/>
        <w:jc w:val="both"/>
        <w:rPr>
          <w:sz w:val="20"/>
          <w:szCs w:val="20"/>
          <w:lang w:bidi="ar-EG"/>
        </w:rPr>
      </w:pPr>
    </w:p>
    <w:p w:rsidR="009867F7" w:rsidRPr="004B551C" w:rsidRDefault="009867F7" w:rsidP="004B551C">
      <w:pPr>
        <w:ind w:left="426" w:hanging="142"/>
        <w:jc w:val="both"/>
        <w:rPr>
          <w:sz w:val="20"/>
          <w:szCs w:val="20"/>
          <w:lang w:bidi="ar-EG"/>
        </w:rPr>
      </w:pPr>
    </w:p>
    <w:p w:rsidR="009867F7" w:rsidRPr="004B551C" w:rsidRDefault="009867F7" w:rsidP="004B551C">
      <w:pPr>
        <w:ind w:left="426" w:hanging="142"/>
        <w:jc w:val="both"/>
        <w:rPr>
          <w:sz w:val="20"/>
          <w:szCs w:val="20"/>
          <w:lang w:bidi="ar-EG"/>
        </w:rPr>
      </w:pPr>
    </w:p>
    <w:p w:rsidR="000B4524" w:rsidRPr="004B551C" w:rsidRDefault="000B4524" w:rsidP="004B551C">
      <w:pPr>
        <w:ind w:left="426" w:hanging="142"/>
        <w:jc w:val="both"/>
        <w:rPr>
          <w:sz w:val="20"/>
          <w:szCs w:val="20"/>
          <w:lang w:bidi="ar-EG"/>
        </w:rPr>
      </w:pPr>
      <w:r w:rsidRPr="004B551C">
        <w:rPr>
          <w:sz w:val="20"/>
          <w:szCs w:val="20"/>
          <w:lang w:bidi="ar-EG"/>
        </w:rPr>
        <w:t xml:space="preserve"> </w:t>
      </w:r>
    </w:p>
    <w:p w:rsidR="00B952E0" w:rsidRPr="004B551C" w:rsidRDefault="00B952E0" w:rsidP="004B551C">
      <w:pPr>
        <w:ind w:left="426" w:hanging="142"/>
        <w:jc w:val="both"/>
        <w:rPr>
          <w:sz w:val="20"/>
          <w:szCs w:val="20"/>
          <w:lang w:bidi="ar-EG"/>
        </w:rPr>
      </w:pPr>
    </w:p>
    <w:p w:rsidR="00B952E0" w:rsidRPr="004B551C" w:rsidRDefault="00B952E0" w:rsidP="004B551C">
      <w:pPr>
        <w:ind w:left="426" w:hanging="142"/>
        <w:jc w:val="both"/>
        <w:rPr>
          <w:sz w:val="20"/>
          <w:szCs w:val="20"/>
          <w:lang w:bidi="ar-EG"/>
        </w:rPr>
      </w:pPr>
    </w:p>
    <w:p w:rsidR="00B952E0" w:rsidRPr="004B551C" w:rsidRDefault="00B952E0"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197907" w:rsidRPr="004B551C" w:rsidRDefault="009867F7" w:rsidP="004B551C">
      <w:pPr>
        <w:tabs>
          <w:tab w:val="left" w:pos="990"/>
        </w:tabs>
        <w:ind w:left="567" w:right="16" w:hanging="567"/>
        <w:jc w:val="both"/>
        <w:rPr>
          <w:sz w:val="20"/>
          <w:szCs w:val="20"/>
        </w:rPr>
      </w:pPr>
      <w:r w:rsidRPr="004B551C">
        <w:rPr>
          <w:b/>
          <w:bCs/>
          <w:sz w:val="20"/>
          <w:szCs w:val="20"/>
        </w:rPr>
        <w:t xml:space="preserve">Fig.(1): </w:t>
      </w:r>
      <w:r w:rsidRPr="004B551C">
        <w:rPr>
          <w:sz w:val="20"/>
          <w:szCs w:val="20"/>
        </w:rPr>
        <w:t xml:space="preserve">Ldp lines of the selected compounds </w:t>
      </w:r>
      <w:r w:rsidR="00197907" w:rsidRPr="004B551C">
        <w:rPr>
          <w:sz w:val="20"/>
          <w:szCs w:val="20"/>
        </w:rPr>
        <w:tab/>
      </w:r>
      <w:r w:rsidR="00197907" w:rsidRPr="004B551C">
        <w:rPr>
          <w:sz w:val="20"/>
          <w:szCs w:val="20"/>
        </w:rPr>
        <w:tab/>
      </w:r>
      <w:r w:rsidR="009D0781" w:rsidRPr="004B551C">
        <w:rPr>
          <w:b/>
          <w:bCs/>
          <w:sz w:val="20"/>
          <w:szCs w:val="20"/>
        </w:rPr>
        <w:t xml:space="preserve">Fig.(2): </w:t>
      </w:r>
      <w:r w:rsidR="009D0781" w:rsidRPr="004B551C">
        <w:rPr>
          <w:sz w:val="20"/>
          <w:szCs w:val="20"/>
        </w:rPr>
        <w:t xml:space="preserve">Ldp lines of the selected compounds </w:t>
      </w:r>
    </w:p>
    <w:p w:rsidR="009D0781" w:rsidRPr="004B551C" w:rsidRDefault="00197907" w:rsidP="004B551C">
      <w:pPr>
        <w:tabs>
          <w:tab w:val="left" w:pos="990"/>
        </w:tabs>
        <w:ind w:right="16"/>
        <w:jc w:val="both"/>
        <w:rPr>
          <w:sz w:val="20"/>
          <w:szCs w:val="20"/>
        </w:rPr>
      </w:pPr>
      <w:r w:rsidRPr="004B551C">
        <w:rPr>
          <w:sz w:val="20"/>
          <w:szCs w:val="20"/>
        </w:rPr>
        <w:tab/>
      </w:r>
      <w:r w:rsidRPr="004B551C">
        <w:rPr>
          <w:sz w:val="20"/>
          <w:szCs w:val="20"/>
        </w:rPr>
        <w:tab/>
        <w:t xml:space="preserve">against </w:t>
      </w:r>
      <w:r w:rsidRPr="004B551C">
        <w:rPr>
          <w:i/>
          <w:iCs/>
          <w:sz w:val="20"/>
          <w:szCs w:val="20"/>
        </w:rPr>
        <w:t xml:space="preserve">S. </w:t>
      </w:r>
      <w:proofErr w:type="spellStart"/>
      <w:r w:rsidRPr="004B551C">
        <w:rPr>
          <w:i/>
          <w:iCs/>
          <w:sz w:val="20"/>
          <w:szCs w:val="20"/>
        </w:rPr>
        <w:t>rolfsii</w:t>
      </w:r>
      <w:proofErr w:type="spellEnd"/>
      <w:r w:rsidRPr="004B551C">
        <w:rPr>
          <w:i/>
          <w:iCs/>
          <w:sz w:val="20"/>
          <w:szCs w:val="20"/>
        </w:rPr>
        <w:t xml:space="preserve">     </w:t>
      </w:r>
      <w:r w:rsidRPr="004B551C">
        <w:rPr>
          <w:i/>
          <w:iCs/>
          <w:sz w:val="20"/>
          <w:szCs w:val="20"/>
        </w:rPr>
        <w:tab/>
      </w:r>
      <w:r w:rsidRPr="004B551C">
        <w:rPr>
          <w:i/>
          <w:iCs/>
          <w:sz w:val="20"/>
          <w:szCs w:val="20"/>
        </w:rPr>
        <w:tab/>
      </w:r>
      <w:r w:rsidRPr="004B551C">
        <w:rPr>
          <w:i/>
          <w:iCs/>
          <w:sz w:val="20"/>
          <w:szCs w:val="20"/>
        </w:rPr>
        <w:tab/>
      </w:r>
      <w:r w:rsidRPr="004B551C">
        <w:rPr>
          <w:i/>
          <w:iCs/>
          <w:sz w:val="20"/>
          <w:szCs w:val="20"/>
        </w:rPr>
        <w:tab/>
      </w:r>
      <w:r w:rsidRPr="004B551C">
        <w:rPr>
          <w:i/>
          <w:iCs/>
          <w:sz w:val="20"/>
          <w:szCs w:val="20"/>
        </w:rPr>
        <w:tab/>
      </w:r>
      <w:r w:rsidRPr="004B551C">
        <w:rPr>
          <w:sz w:val="20"/>
          <w:szCs w:val="20"/>
        </w:rPr>
        <w:t>against</w:t>
      </w:r>
      <w:r w:rsidRPr="004B551C">
        <w:rPr>
          <w:i/>
          <w:iCs/>
          <w:sz w:val="20"/>
          <w:szCs w:val="20"/>
        </w:rPr>
        <w:t xml:space="preserve"> </w:t>
      </w:r>
      <w:r w:rsidR="009D0781" w:rsidRPr="004B551C">
        <w:rPr>
          <w:i/>
          <w:iCs/>
          <w:sz w:val="20"/>
          <w:szCs w:val="20"/>
        </w:rPr>
        <w:t xml:space="preserve">R. </w:t>
      </w:r>
      <w:proofErr w:type="spellStart"/>
      <w:r w:rsidR="009D0781" w:rsidRPr="004B551C">
        <w:rPr>
          <w:i/>
          <w:iCs/>
          <w:sz w:val="20"/>
          <w:szCs w:val="20"/>
        </w:rPr>
        <w:t>solani</w:t>
      </w:r>
      <w:proofErr w:type="spellEnd"/>
      <w:r w:rsidR="009D0781" w:rsidRPr="004B551C">
        <w:rPr>
          <w:sz w:val="20"/>
          <w:szCs w:val="20"/>
        </w:rPr>
        <w:t>.</w:t>
      </w:r>
    </w:p>
    <w:p w:rsidR="000B4524" w:rsidRPr="004B551C" w:rsidRDefault="000B4524" w:rsidP="004B551C">
      <w:pPr>
        <w:pStyle w:val="BodyTextIndent3"/>
        <w:tabs>
          <w:tab w:val="right" w:pos="0"/>
        </w:tabs>
        <w:bidi w:val="0"/>
        <w:spacing w:after="0"/>
        <w:ind w:left="0"/>
        <w:rPr>
          <w:sz w:val="20"/>
          <w:szCs w:val="20"/>
        </w:rPr>
      </w:pPr>
    </w:p>
    <w:p w:rsidR="0005582F" w:rsidRPr="004B551C" w:rsidRDefault="0005582F" w:rsidP="004B551C">
      <w:pPr>
        <w:rPr>
          <w:sz w:val="20"/>
          <w:szCs w:val="20"/>
        </w:rPr>
        <w:sectPr w:rsidR="0005582F" w:rsidRPr="004B551C" w:rsidSect="00B952E0">
          <w:type w:val="continuous"/>
          <w:pgSz w:w="12240" w:h="15840" w:code="1"/>
          <w:pgMar w:top="1440" w:right="1440" w:bottom="851" w:left="1440" w:header="720" w:footer="510" w:gutter="0"/>
          <w:cols w:space="720"/>
          <w:docGrid w:linePitch="360"/>
        </w:sectPr>
      </w:pPr>
    </w:p>
    <w:p w:rsidR="00CC7E67" w:rsidRPr="004B551C" w:rsidRDefault="00CC7E67" w:rsidP="004B551C">
      <w:pPr>
        <w:pStyle w:val="ListParagraph"/>
        <w:numPr>
          <w:ilvl w:val="0"/>
          <w:numId w:val="13"/>
        </w:numPr>
        <w:bidi w:val="0"/>
        <w:ind w:left="284" w:hanging="284"/>
        <w:jc w:val="lowKashida"/>
        <w:rPr>
          <w:b/>
          <w:bCs/>
          <w:sz w:val="20"/>
          <w:szCs w:val="20"/>
          <w:lang w:bidi="ar-EG"/>
        </w:rPr>
      </w:pPr>
      <w:r w:rsidRPr="004B551C">
        <w:rPr>
          <w:b/>
          <w:bCs/>
          <w:i/>
          <w:iCs/>
          <w:sz w:val="20"/>
          <w:szCs w:val="20"/>
          <w:lang w:bidi="ar-EG"/>
        </w:rPr>
        <w:lastRenderedPageBreak/>
        <w:t xml:space="preserve">Botrytis </w:t>
      </w:r>
      <w:proofErr w:type="spellStart"/>
      <w:r w:rsidRPr="004B551C">
        <w:rPr>
          <w:b/>
          <w:bCs/>
          <w:i/>
          <w:iCs/>
          <w:sz w:val="20"/>
          <w:szCs w:val="20"/>
          <w:lang w:bidi="ar-EG"/>
        </w:rPr>
        <w:t>cinerea</w:t>
      </w:r>
      <w:proofErr w:type="spellEnd"/>
      <w:r w:rsidRPr="004B551C">
        <w:rPr>
          <w:b/>
          <w:bCs/>
          <w:i/>
          <w:iCs/>
          <w:sz w:val="20"/>
          <w:szCs w:val="20"/>
          <w:lang w:bidi="ar-EG"/>
        </w:rPr>
        <w:t>:</w:t>
      </w:r>
    </w:p>
    <w:p w:rsidR="0005582F" w:rsidRPr="004B551C" w:rsidRDefault="0005582F" w:rsidP="004B551C">
      <w:pPr>
        <w:ind w:firstLine="284"/>
        <w:jc w:val="lowKashida"/>
        <w:rPr>
          <w:sz w:val="20"/>
          <w:szCs w:val="20"/>
          <w:lang w:bidi="ar-EG"/>
        </w:rPr>
      </w:pPr>
      <w:r w:rsidRPr="004B551C">
        <w:rPr>
          <w:sz w:val="20"/>
          <w:szCs w:val="20"/>
          <w:lang w:bidi="ar-EG"/>
        </w:rPr>
        <w:t xml:space="preserve">The antifungal activity of the tested compounds upon </w:t>
      </w:r>
      <w:r w:rsidRPr="004B551C">
        <w:rPr>
          <w:i/>
          <w:iCs/>
          <w:sz w:val="20"/>
          <w:szCs w:val="20"/>
          <w:lang w:bidi="ar-EG"/>
        </w:rPr>
        <w:t xml:space="preserve">B. </w:t>
      </w:r>
      <w:proofErr w:type="spellStart"/>
      <w:r w:rsidRPr="004B551C">
        <w:rPr>
          <w:i/>
          <w:iCs/>
          <w:sz w:val="20"/>
          <w:szCs w:val="20"/>
          <w:lang w:bidi="ar-EG"/>
        </w:rPr>
        <w:t>cinerea</w:t>
      </w:r>
      <w:proofErr w:type="spellEnd"/>
      <w:r w:rsidRPr="004B551C">
        <w:rPr>
          <w:sz w:val="20"/>
          <w:szCs w:val="20"/>
          <w:lang w:bidi="ar-EG"/>
        </w:rPr>
        <w:t xml:space="preserve"> after 6 days of incubation is given in table (3). From the obtained results, the inhibition percentage when using </w:t>
      </w:r>
      <w:proofErr w:type="spellStart"/>
      <w:r w:rsidRPr="004B551C">
        <w:rPr>
          <w:sz w:val="20"/>
          <w:szCs w:val="20"/>
          <w:lang w:bidi="ar-EG"/>
        </w:rPr>
        <w:t>thymol</w:t>
      </w:r>
      <w:proofErr w:type="spellEnd"/>
      <w:r w:rsidRPr="004B551C">
        <w:rPr>
          <w:sz w:val="20"/>
          <w:szCs w:val="20"/>
          <w:lang w:bidi="ar-EG"/>
        </w:rPr>
        <w:t xml:space="preserve"> compound at 50 µg/ml was 53.34%, at 250 µg/ml was 97.69% and concentrations 100, 150 and 200 µg/ml gave 81.84, 91.81 and 95.85% growth inhibition, respectively. In case of using </w:t>
      </w:r>
      <w:proofErr w:type="spellStart"/>
      <w:r w:rsidRPr="004B551C">
        <w:rPr>
          <w:sz w:val="20"/>
          <w:szCs w:val="20"/>
          <w:lang w:bidi="ar-EG"/>
        </w:rPr>
        <w:t>eugenol</w:t>
      </w:r>
      <w:proofErr w:type="spellEnd"/>
      <w:r w:rsidRPr="004B551C">
        <w:rPr>
          <w:sz w:val="20"/>
          <w:szCs w:val="20"/>
          <w:lang w:bidi="ar-EG"/>
        </w:rPr>
        <w:t xml:space="preserve">, 50 µg/ml concentration gave 10.46% growth inhibition; 250 µg/ml gave 47.66% while the concentration 100, 150 and 200 µg/ml gave 22.95, 33.04 and 41.1% growth inhibition, respectively. For methyl </w:t>
      </w:r>
      <w:proofErr w:type="spellStart"/>
      <w:r w:rsidRPr="004B551C">
        <w:rPr>
          <w:sz w:val="20"/>
          <w:szCs w:val="20"/>
          <w:lang w:bidi="ar-EG"/>
        </w:rPr>
        <w:t>cinnamate</w:t>
      </w:r>
      <w:proofErr w:type="spellEnd"/>
      <w:r w:rsidRPr="004B551C">
        <w:rPr>
          <w:sz w:val="20"/>
          <w:szCs w:val="20"/>
          <w:lang w:bidi="ar-EG"/>
        </w:rPr>
        <w:t xml:space="preserve">, the concentrations 50, 100 and 150 µg/ml gave no growth inhibition while the 200 and 250 µg/ml concentrations had 4.53 and 27.04% growth inhibition. For the lowest effective compound, </w:t>
      </w:r>
      <w:r w:rsidRPr="004B551C">
        <w:rPr>
          <w:sz w:val="20"/>
          <w:szCs w:val="20"/>
          <w:lang w:bidi="ar-EG"/>
        </w:rPr>
        <w:lastRenderedPageBreak/>
        <w:t>linalool, the 500 µg/ml concentration gave 11.66%; the 8000 µg/ml gave complete growth inhibition whereas 4000 µg/ml concentration gave 85.1% growth inhibition. The 1,8-cineol compound showed no antifungal activity at all the tested concentrations.</w:t>
      </w:r>
    </w:p>
    <w:p w:rsidR="0005582F" w:rsidRPr="004B551C" w:rsidRDefault="0005582F" w:rsidP="004B551C">
      <w:pPr>
        <w:ind w:firstLine="284"/>
        <w:jc w:val="lowKashida"/>
        <w:rPr>
          <w:sz w:val="20"/>
          <w:szCs w:val="20"/>
          <w:lang w:bidi="ar-EG"/>
        </w:rPr>
      </w:pPr>
      <w:r w:rsidRPr="004B551C">
        <w:rPr>
          <w:sz w:val="20"/>
          <w:szCs w:val="20"/>
          <w:lang w:bidi="ar-EG"/>
        </w:rPr>
        <w:t>From the LC</w:t>
      </w:r>
      <w:r w:rsidRPr="004B551C">
        <w:rPr>
          <w:sz w:val="20"/>
          <w:szCs w:val="20"/>
          <w:vertAlign w:val="subscript"/>
          <w:lang w:bidi="ar-EG"/>
        </w:rPr>
        <w:t>50</w:t>
      </w:r>
      <w:r w:rsidRPr="004B551C">
        <w:rPr>
          <w:sz w:val="20"/>
          <w:szCs w:val="20"/>
          <w:lang w:bidi="ar-EG"/>
        </w:rPr>
        <w:t xml:space="preserve"> values of the tested natural occurring compounds given in the table we concluded that the most effective compound was </w:t>
      </w:r>
      <w:proofErr w:type="spellStart"/>
      <w:r w:rsidRPr="004B551C">
        <w:rPr>
          <w:sz w:val="20"/>
          <w:szCs w:val="20"/>
          <w:lang w:bidi="ar-EG"/>
        </w:rPr>
        <w:t>thymol</w:t>
      </w:r>
      <w:proofErr w:type="spellEnd"/>
      <w:r w:rsidRPr="004B551C">
        <w:rPr>
          <w:sz w:val="20"/>
          <w:szCs w:val="20"/>
          <w:lang w:bidi="ar-EG"/>
        </w:rPr>
        <w:t xml:space="preserve"> followed by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finally linalool where the 1,8-cineol compound showed no antifungal activity on the tested fungus.  The LC</w:t>
      </w:r>
      <w:r w:rsidRPr="004B551C">
        <w:rPr>
          <w:sz w:val="20"/>
          <w:szCs w:val="20"/>
          <w:vertAlign w:val="subscript"/>
          <w:lang w:bidi="ar-EG"/>
        </w:rPr>
        <w:t>50</w:t>
      </w:r>
      <w:r w:rsidRPr="004B551C">
        <w:rPr>
          <w:sz w:val="20"/>
          <w:szCs w:val="20"/>
          <w:lang w:bidi="ar-EG"/>
        </w:rPr>
        <w:t xml:space="preserve">'s were 46.06, 270.47, 283.55 and 1048.2 µg/ml for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linalool, respectively. </w:t>
      </w:r>
    </w:p>
    <w:p w:rsidR="0005582F" w:rsidRPr="004B551C" w:rsidRDefault="0005582F" w:rsidP="004B551C">
      <w:pPr>
        <w:ind w:firstLine="284"/>
        <w:jc w:val="lowKashida"/>
        <w:rPr>
          <w:sz w:val="20"/>
          <w:szCs w:val="20"/>
          <w:lang w:bidi="ar-EG"/>
        </w:rPr>
      </w:pPr>
      <w:r w:rsidRPr="004B551C">
        <w:rPr>
          <w:sz w:val="20"/>
          <w:szCs w:val="20"/>
          <w:lang w:bidi="ar-EG"/>
        </w:rPr>
        <w:t>From the LC</w:t>
      </w:r>
      <w:r w:rsidRPr="004B551C">
        <w:rPr>
          <w:sz w:val="20"/>
          <w:szCs w:val="20"/>
          <w:vertAlign w:val="subscript"/>
          <w:lang w:bidi="ar-EG"/>
        </w:rPr>
        <w:t>50</w:t>
      </w:r>
      <w:r w:rsidRPr="004B551C">
        <w:rPr>
          <w:sz w:val="20"/>
          <w:szCs w:val="20"/>
          <w:lang w:bidi="ar-EG"/>
        </w:rPr>
        <w:t xml:space="preserve">'s of the selected compounds the toxicity indexes of the tested compounds,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linalool were 17.23, 16.43 and </w:t>
      </w:r>
      <w:r w:rsidRPr="004B551C">
        <w:rPr>
          <w:sz w:val="20"/>
          <w:szCs w:val="20"/>
          <w:lang w:bidi="ar-EG"/>
        </w:rPr>
        <w:lastRenderedPageBreak/>
        <w:t xml:space="preserve">4.45%, respectively when comparing with the highest effective compound </w:t>
      </w:r>
      <w:proofErr w:type="spellStart"/>
      <w:r w:rsidRPr="004B551C">
        <w:rPr>
          <w:sz w:val="20"/>
          <w:szCs w:val="20"/>
          <w:lang w:bidi="ar-EG"/>
        </w:rPr>
        <w:t>thymol</w:t>
      </w:r>
      <w:proofErr w:type="spellEnd"/>
      <w:r w:rsidRPr="004B551C">
        <w:rPr>
          <w:sz w:val="20"/>
          <w:szCs w:val="20"/>
          <w:lang w:bidi="ar-EG"/>
        </w:rPr>
        <w:t xml:space="preserve"> which had recorded the highest toxicity index 100%.  The relative potencies of the selected compounds,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were 22.49, 3.88 and 3.7 folds, respectively when compared with the lowest effective compound linalool which recorded the highest  LC</w:t>
      </w:r>
      <w:r w:rsidRPr="004B551C">
        <w:rPr>
          <w:sz w:val="20"/>
          <w:szCs w:val="20"/>
          <w:vertAlign w:val="subscript"/>
          <w:lang w:bidi="ar-EG"/>
        </w:rPr>
        <w:t xml:space="preserve">50 </w:t>
      </w:r>
      <w:r w:rsidRPr="004B551C">
        <w:rPr>
          <w:sz w:val="20"/>
          <w:szCs w:val="20"/>
          <w:lang w:bidi="ar-EG"/>
        </w:rPr>
        <w:t xml:space="preserve">value since 1,8-cineol showed no antifungal activity against </w:t>
      </w:r>
      <w:r w:rsidRPr="004B551C">
        <w:rPr>
          <w:i/>
          <w:iCs/>
          <w:sz w:val="20"/>
          <w:szCs w:val="20"/>
          <w:lang w:bidi="ar-EG"/>
        </w:rPr>
        <w:t xml:space="preserve">B. </w:t>
      </w:r>
      <w:proofErr w:type="spellStart"/>
      <w:r w:rsidRPr="004B551C">
        <w:rPr>
          <w:i/>
          <w:iCs/>
          <w:sz w:val="20"/>
          <w:szCs w:val="20"/>
          <w:lang w:bidi="ar-EG"/>
        </w:rPr>
        <w:t>cinerea</w:t>
      </w:r>
      <w:proofErr w:type="spellEnd"/>
      <w:r w:rsidRPr="004B551C">
        <w:rPr>
          <w:i/>
          <w:iCs/>
          <w:sz w:val="20"/>
          <w:szCs w:val="20"/>
          <w:lang w:bidi="ar-EG"/>
        </w:rPr>
        <w:t xml:space="preserve"> </w:t>
      </w:r>
      <w:r w:rsidRPr="004B551C">
        <w:rPr>
          <w:sz w:val="20"/>
          <w:szCs w:val="20"/>
          <w:lang w:bidi="ar-EG"/>
        </w:rPr>
        <w:t xml:space="preserve">at this time period. </w:t>
      </w:r>
    </w:p>
    <w:p w:rsidR="0005582F" w:rsidRPr="004B551C" w:rsidRDefault="0005582F" w:rsidP="004B551C">
      <w:pPr>
        <w:ind w:firstLine="284"/>
        <w:jc w:val="lowKashida"/>
        <w:rPr>
          <w:sz w:val="20"/>
          <w:szCs w:val="20"/>
          <w:lang w:bidi="ar-EG"/>
        </w:rPr>
      </w:pPr>
      <w:r w:rsidRPr="004B551C">
        <w:rPr>
          <w:sz w:val="20"/>
          <w:szCs w:val="20"/>
          <w:lang w:bidi="ar-EG"/>
        </w:rPr>
        <w:tab/>
        <w:t xml:space="preserve">The Ldp-lines of the selected compounds were plotted on a logarithmic paper (log concentration) in relation to percentage of fungal </w:t>
      </w:r>
      <w:r w:rsidRPr="004B551C">
        <w:rPr>
          <w:sz w:val="20"/>
          <w:szCs w:val="20"/>
          <w:lang w:bidi="ar-EG"/>
        </w:rPr>
        <w:lastRenderedPageBreak/>
        <w:t xml:space="preserve">growth inhibition as given in figure (3).  The highest slope was for methyl </w:t>
      </w:r>
      <w:proofErr w:type="spellStart"/>
      <w:r w:rsidRPr="004B551C">
        <w:rPr>
          <w:sz w:val="20"/>
          <w:szCs w:val="20"/>
          <w:lang w:bidi="ar-EG"/>
        </w:rPr>
        <w:t>cinnamate</w:t>
      </w:r>
      <w:proofErr w:type="spellEnd"/>
      <w:r w:rsidRPr="004B551C">
        <w:rPr>
          <w:sz w:val="20"/>
          <w:szCs w:val="20"/>
          <w:lang w:bidi="ar-EG"/>
        </w:rPr>
        <w:t xml:space="preserve"> (11.18) and then after, when using linalool (3.71).  The lowest slope was for </w:t>
      </w:r>
      <w:proofErr w:type="spellStart"/>
      <w:r w:rsidRPr="004B551C">
        <w:rPr>
          <w:sz w:val="20"/>
          <w:szCs w:val="20"/>
          <w:lang w:bidi="ar-EG"/>
        </w:rPr>
        <w:t>eugenol</w:t>
      </w:r>
      <w:proofErr w:type="spellEnd"/>
      <w:r w:rsidRPr="004B551C">
        <w:rPr>
          <w:sz w:val="20"/>
          <w:szCs w:val="20"/>
          <w:lang w:bidi="ar-EG"/>
        </w:rPr>
        <w:t xml:space="preserve"> compound (1.71), after that, the slope of </w:t>
      </w:r>
      <w:proofErr w:type="spellStart"/>
      <w:r w:rsidRPr="004B551C">
        <w:rPr>
          <w:sz w:val="20"/>
          <w:szCs w:val="20"/>
          <w:lang w:bidi="ar-EG"/>
        </w:rPr>
        <w:t>thymol</w:t>
      </w:r>
      <w:proofErr w:type="spellEnd"/>
      <w:r w:rsidRPr="004B551C">
        <w:rPr>
          <w:sz w:val="20"/>
          <w:szCs w:val="20"/>
          <w:lang w:bidi="ar-EG"/>
        </w:rPr>
        <w:t xml:space="preserve"> (2.74).</w:t>
      </w:r>
    </w:p>
    <w:p w:rsidR="0005582F" w:rsidRPr="004B551C" w:rsidRDefault="0005582F" w:rsidP="004B551C">
      <w:pPr>
        <w:ind w:firstLine="284"/>
        <w:jc w:val="lowKashida"/>
        <w:rPr>
          <w:b/>
          <w:bCs/>
          <w:sz w:val="20"/>
          <w:szCs w:val="20"/>
          <w:lang w:bidi="ar-EG"/>
        </w:rPr>
      </w:pPr>
      <w:r w:rsidRPr="004B551C">
        <w:rPr>
          <w:b/>
          <w:bCs/>
          <w:sz w:val="20"/>
          <w:szCs w:val="20"/>
          <w:lang w:bidi="ar-EG"/>
        </w:rPr>
        <w:t xml:space="preserve">It can be concluded that compounds can be arranged </w:t>
      </w:r>
      <w:proofErr w:type="spellStart"/>
      <w:r w:rsidRPr="004B551C">
        <w:rPr>
          <w:b/>
          <w:bCs/>
          <w:sz w:val="20"/>
          <w:szCs w:val="20"/>
          <w:lang w:bidi="ar-EG"/>
        </w:rPr>
        <w:t>descendingly</w:t>
      </w:r>
      <w:proofErr w:type="spellEnd"/>
      <w:r w:rsidRPr="004B551C">
        <w:rPr>
          <w:b/>
          <w:bCs/>
          <w:sz w:val="20"/>
          <w:szCs w:val="20"/>
          <w:lang w:bidi="ar-EG"/>
        </w:rPr>
        <w:t xml:space="preserve"> according to their effectiveness upon </w:t>
      </w:r>
      <w:r w:rsidRPr="004B551C">
        <w:rPr>
          <w:b/>
          <w:bCs/>
          <w:i/>
          <w:iCs/>
          <w:sz w:val="20"/>
          <w:szCs w:val="20"/>
          <w:lang w:bidi="ar-EG"/>
        </w:rPr>
        <w:t xml:space="preserve">B. </w:t>
      </w:r>
      <w:proofErr w:type="spellStart"/>
      <w:r w:rsidRPr="004B551C">
        <w:rPr>
          <w:b/>
          <w:bCs/>
          <w:i/>
          <w:iCs/>
          <w:sz w:val="20"/>
          <w:szCs w:val="20"/>
          <w:lang w:bidi="ar-EG"/>
        </w:rPr>
        <w:t>cinerea</w:t>
      </w:r>
      <w:proofErr w:type="spellEnd"/>
      <w:r w:rsidRPr="004B551C">
        <w:rPr>
          <w:b/>
          <w:bCs/>
          <w:sz w:val="20"/>
          <w:szCs w:val="20"/>
          <w:lang w:bidi="ar-EG"/>
        </w:rPr>
        <w:t xml:space="preserve"> after 6 days of incubation as follows; </w:t>
      </w:r>
    </w:p>
    <w:p w:rsidR="0005582F" w:rsidRPr="004B551C" w:rsidRDefault="0005582F" w:rsidP="004B551C">
      <w:pPr>
        <w:ind w:firstLine="284"/>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 xml:space="preserve"> &gt; </w:t>
      </w:r>
      <w:proofErr w:type="spellStart"/>
      <w:r w:rsidRPr="004B551C">
        <w:rPr>
          <w:b/>
          <w:bCs/>
          <w:sz w:val="20"/>
          <w:szCs w:val="20"/>
          <w:lang w:bidi="ar-EG"/>
        </w:rPr>
        <w:t>eugenol</w:t>
      </w:r>
      <w:proofErr w:type="spellEnd"/>
      <w:r w:rsidRPr="004B551C">
        <w:rPr>
          <w:b/>
          <w:bCs/>
          <w:sz w:val="20"/>
          <w:szCs w:val="20"/>
          <w:lang w:bidi="ar-EG"/>
        </w:rPr>
        <w:t xml:space="preserve"> &gt; methyl </w:t>
      </w:r>
      <w:proofErr w:type="spellStart"/>
      <w:r w:rsidRPr="004B551C">
        <w:rPr>
          <w:b/>
          <w:bCs/>
          <w:sz w:val="20"/>
          <w:szCs w:val="20"/>
          <w:lang w:bidi="ar-EG"/>
        </w:rPr>
        <w:t>cinnamate</w:t>
      </w:r>
      <w:proofErr w:type="spellEnd"/>
    </w:p>
    <w:p w:rsidR="0005582F" w:rsidRPr="004B551C" w:rsidRDefault="0005582F" w:rsidP="004B551C">
      <w:pPr>
        <w:ind w:firstLine="284"/>
        <w:jc w:val="center"/>
        <w:rPr>
          <w:b/>
          <w:bCs/>
          <w:sz w:val="20"/>
          <w:szCs w:val="20"/>
          <w:lang w:bidi="ar-EG"/>
        </w:rPr>
      </w:pPr>
      <w:r w:rsidRPr="004B551C">
        <w:rPr>
          <w:b/>
          <w:bCs/>
          <w:sz w:val="20"/>
          <w:szCs w:val="20"/>
          <w:lang w:bidi="ar-EG"/>
        </w:rPr>
        <w:t>&gt; linalool.</w:t>
      </w:r>
    </w:p>
    <w:p w:rsidR="000B4524" w:rsidRPr="004B551C" w:rsidRDefault="000B4524" w:rsidP="004B551C">
      <w:pPr>
        <w:jc w:val="center"/>
        <w:rPr>
          <w:sz w:val="20"/>
          <w:szCs w:val="20"/>
        </w:rPr>
      </w:pPr>
    </w:p>
    <w:p w:rsidR="0005582F" w:rsidRPr="004B551C" w:rsidRDefault="0005582F" w:rsidP="004B551C">
      <w:pPr>
        <w:rPr>
          <w:sz w:val="20"/>
          <w:szCs w:val="20"/>
        </w:rPr>
        <w:sectPr w:rsidR="0005582F" w:rsidRPr="004B551C" w:rsidSect="00B952E0">
          <w:type w:val="continuous"/>
          <w:pgSz w:w="12240" w:h="15840" w:code="1"/>
          <w:pgMar w:top="1440" w:right="1440" w:bottom="851" w:left="1440" w:header="720" w:footer="510" w:gutter="0"/>
          <w:cols w:num="2" w:space="720"/>
          <w:docGrid w:linePitch="360"/>
        </w:sectPr>
      </w:pPr>
    </w:p>
    <w:p w:rsidR="000477EA" w:rsidRPr="004B551C" w:rsidRDefault="000477EA" w:rsidP="004B551C">
      <w:pPr>
        <w:ind w:left="1170" w:hanging="1170"/>
        <w:jc w:val="both"/>
        <w:rPr>
          <w:b/>
          <w:bCs/>
          <w:sz w:val="20"/>
          <w:szCs w:val="20"/>
          <w:lang w:bidi="ar-EG"/>
        </w:rPr>
      </w:pPr>
    </w:p>
    <w:p w:rsidR="0005582F" w:rsidRPr="004B551C" w:rsidRDefault="0005582F" w:rsidP="004B551C">
      <w:pPr>
        <w:ind w:left="1170" w:hanging="1170"/>
        <w:jc w:val="both"/>
        <w:rPr>
          <w:sz w:val="20"/>
          <w:szCs w:val="20"/>
          <w:lang w:bidi="ar-EG"/>
        </w:rPr>
      </w:pPr>
      <w:r w:rsidRPr="004B551C">
        <w:rPr>
          <w:b/>
          <w:bCs/>
          <w:sz w:val="20"/>
          <w:szCs w:val="20"/>
          <w:lang w:bidi="ar-EG"/>
        </w:rPr>
        <w:t>Table (3):</w:t>
      </w:r>
      <w:r w:rsidRPr="004B551C">
        <w:rPr>
          <w:sz w:val="20"/>
          <w:szCs w:val="20"/>
          <w:lang w:bidi="ar-EG"/>
        </w:rPr>
        <w:t xml:space="preserve"> Effect of the selected compounds on </w:t>
      </w:r>
      <w:r w:rsidRPr="004B551C">
        <w:rPr>
          <w:i/>
          <w:iCs/>
          <w:sz w:val="20"/>
          <w:szCs w:val="20"/>
          <w:lang w:bidi="ar-EG"/>
        </w:rPr>
        <w:t xml:space="preserve">Botrytis </w:t>
      </w:r>
      <w:proofErr w:type="spellStart"/>
      <w:r w:rsidRPr="004B551C">
        <w:rPr>
          <w:i/>
          <w:iCs/>
          <w:sz w:val="20"/>
          <w:szCs w:val="20"/>
          <w:lang w:bidi="ar-EG"/>
        </w:rPr>
        <w:t>cinerea</w:t>
      </w:r>
      <w:proofErr w:type="spellEnd"/>
      <w:r w:rsidRPr="004B551C">
        <w:rPr>
          <w:sz w:val="20"/>
          <w:szCs w:val="20"/>
          <w:lang w:bidi="ar-EG"/>
        </w:rPr>
        <w:t>.</w:t>
      </w:r>
    </w:p>
    <w:p w:rsidR="0005582F" w:rsidRPr="004B551C" w:rsidRDefault="0005582F" w:rsidP="004B551C">
      <w:pPr>
        <w:ind w:left="1170" w:hanging="1170"/>
        <w:jc w:val="both"/>
        <w:rPr>
          <w:sz w:val="20"/>
          <w:szCs w:val="20"/>
          <w:lang w:bidi="ar-EG"/>
        </w:rPr>
      </w:pPr>
    </w:p>
    <w:tbl>
      <w:tblPr>
        <w:tblW w:w="5182"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375"/>
        <w:gridCol w:w="741"/>
        <w:gridCol w:w="739"/>
        <w:gridCol w:w="740"/>
        <w:gridCol w:w="740"/>
        <w:gridCol w:w="740"/>
        <w:gridCol w:w="1022"/>
        <w:gridCol w:w="1022"/>
        <w:gridCol w:w="750"/>
        <w:gridCol w:w="1006"/>
        <w:gridCol w:w="1050"/>
      </w:tblGrid>
      <w:tr w:rsidR="0005582F" w:rsidRPr="004B551C" w:rsidTr="006E76F1">
        <w:trPr>
          <w:trHeight w:val="285"/>
          <w:jc w:val="center"/>
        </w:trPr>
        <w:tc>
          <w:tcPr>
            <w:tcW w:w="692" w:type="pct"/>
            <w:vMerge w:val="restart"/>
            <w:tcBorders>
              <w:right w:val="single" w:sz="4" w:space="0" w:color="auto"/>
            </w:tcBorders>
            <w:vAlign w:val="center"/>
          </w:tcPr>
          <w:p w:rsidR="0005582F" w:rsidRPr="004B551C" w:rsidRDefault="0005582F" w:rsidP="004B551C">
            <w:pPr>
              <w:jc w:val="center"/>
              <w:rPr>
                <w:b/>
                <w:bCs/>
                <w:sz w:val="20"/>
                <w:szCs w:val="20"/>
                <w:lang w:bidi="ar-EG"/>
              </w:rPr>
            </w:pPr>
            <w:r w:rsidRPr="004B551C">
              <w:rPr>
                <w:b/>
                <w:bCs/>
                <w:sz w:val="20"/>
                <w:szCs w:val="20"/>
                <w:lang w:bidi="ar-EG"/>
              </w:rPr>
              <w:t>Compounds tested</w:t>
            </w:r>
          </w:p>
        </w:tc>
        <w:tc>
          <w:tcPr>
            <w:tcW w:w="1864" w:type="pct"/>
            <w:gridSpan w:val="5"/>
            <w:tcBorders>
              <w:left w:val="single" w:sz="4" w:space="0" w:color="auto"/>
              <w:right w:val="single" w:sz="4" w:space="0" w:color="auto"/>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 xml:space="preserve">Concentrations in  </w:t>
            </w:r>
            <w:proofErr w:type="spellStart"/>
            <w:r w:rsidRPr="004B551C">
              <w:rPr>
                <w:b/>
                <w:bCs/>
                <w:sz w:val="20"/>
                <w:szCs w:val="20"/>
                <w:lang w:bidi="ar-EG"/>
              </w:rPr>
              <w:t>ppm</w:t>
            </w:r>
            <w:proofErr w:type="spellEnd"/>
            <w:r w:rsidRPr="004B551C">
              <w:rPr>
                <w:b/>
                <w:bCs/>
                <w:sz w:val="20"/>
                <w:szCs w:val="20"/>
                <w:lang w:bidi="ar-EG"/>
              </w:rPr>
              <w:t xml:space="preserve"> (µg/ml)</w:t>
            </w:r>
          </w:p>
        </w:tc>
        <w:tc>
          <w:tcPr>
            <w:tcW w:w="515" w:type="pct"/>
            <w:vMerge w:val="restart"/>
            <w:tcBorders>
              <w:left w:val="single" w:sz="4" w:space="0" w:color="auto"/>
            </w:tcBorders>
            <w:vAlign w:val="center"/>
          </w:tcPr>
          <w:p w:rsidR="0005582F" w:rsidRPr="004B551C" w:rsidRDefault="0005582F"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25</w:t>
            </w:r>
          </w:p>
        </w:tc>
        <w:tc>
          <w:tcPr>
            <w:tcW w:w="515" w:type="pct"/>
            <w:vMerge w:val="restart"/>
            <w:vAlign w:val="center"/>
          </w:tcPr>
          <w:p w:rsidR="0005582F" w:rsidRPr="004B551C" w:rsidRDefault="0005582F"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50</w:t>
            </w:r>
          </w:p>
        </w:tc>
        <w:tc>
          <w:tcPr>
            <w:tcW w:w="378" w:type="pct"/>
            <w:vMerge w:val="restart"/>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Slope</w:t>
            </w:r>
          </w:p>
        </w:tc>
        <w:tc>
          <w:tcPr>
            <w:tcW w:w="507" w:type="pct"/>
            <w:vMerge w:val="restart"/>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Toxicity Index</w:t>
            </w:r>
          </w:p>
        </w:tc>
        <w:tc>
          <w:tcPr>
            <w:tcW w:w="529" w:type="pct"/>
            <w:vMerge w:val="restart"/>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Relative Potency</w:t>
            </w:r>
          </w:p>
        </w:tc>
      </w:tr>
      <w:tr w:rsidR="0005582F" w:rsidRPr="004B551C" w:rsidTr="006E76F1">
        <w:trPr>
          <w:trHeight w:val="285"/>
          <w:jc w:val="center"/>
        </w:trPr>
        <w:tc>
          <w:tcPr>
            <w:tcW w:w="692" w:type="pct"/>
            <w:vMerge/>
            <w:tcBorders>
              <w:right w:val="single" w:sz="4" w:space="0" w:color="auto"/>
            </w:tcBorders>
            <w:vAlign w:val="center"/>
          </w:tcPr>
          <w:p w:rsidR="0005582F" w:rsidRPr="004B551C" w:rsidRDefault="0005582F" w:rsidP="004B551C">
            <w:pPr>
              <w:jc w:val="center"/>
              <w:rPr>
                <w:b/>
                <w:bCs/>
                <w:sz w:val="20"/>
                <w:szCs w:val="20"/>
                <w:lang w:bidi="ar-EG"/>
              </w:rPr>
            </w:pPr>
          </w:p>
        </w:tc>
        <w:tc>
          <w:tcPr>
            <w:tcW w:w="373" w:type="pct"/>
            <w:tcBorders>
              <w:left w:val="single" w:sz="4" w:space="0" w:color="auto"/>
              <w:right w:val="nil"/>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A</w:t>
            </w:r>
          </w:p>
        </w:tc>
        <w:tc>
          <w:tcPr>
            <w:tcW w:w="372" w:type="pct"/>
            <w:tcBorders>
              <w:left w:val="nil"/>
              <w:right w:val="nil"/>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B</w:t>
            </w:r>
          </w:p>
        </w:tc>
        <w:tc>
          <w:tcPr>
            <w:tcW w:w="373" w:type="pct"/>
            <w:tcBorders>
              <w:left w:val="nil"/>
              <w:right w:val="nil"/>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C</w:t>
            </w:r>
          </w:p>
        </w:tc>
        <w:tc>
          <w:tcPr>
            <w:tcW w:w="373" w:type="pct"/>
            <w:tcBorders>
              <w:left w:val="nil"/>
              <w:right w:val="nil"/>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D</w:t>
            </w:r>
          </w:p>
        </w:tc>
        <w:tc>
          <w:tcPr>
            <w:tcW w:w="373" w:type="pct"/>
            <w:tcBorders>
              <w:left w:val="nil"/>
              <w:right w:val="single" w:sz="4" w:space="0" w:color="auto"/>
            </w:tcBorders>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E</w:t>
            </w:r>
          </w:p>
        </w:tc>
        <w:tc>
          <w:tcPr>
            <w:tcW w:w="515" w:type="pct"/>
            <w:vMerge/>
            <w:tcBorders>
              <w:left w:val="single" w:sz="4" w:space="0" w:color="auto"/>
            </w:tcBorders>
            <w:vAlign w:val="center"/>
          </w:tcPr>
          <w:p w:rsidR="0005582F" w:rsidRPr="004B551C" w:rsidRDefault="0005582F" w:rsidP="004B551C">
            <w:pPr>
              <w:jc w:val="center"/>
              <w:rPr>
                <w:b/>
                <w:bCs/>
                <w:sz w:val="20"/>
                <w:szCs w:val="20"/>
                <w:lang w:bidi="ar-EG"/>
              </w:rPr>
            </w:pPr>
          </w:p>
        </w:tc>
        <w:tc>
          <w:tcPr>
            <w:tcW w:w="515" w:type="pct"/>
            <w:vMerge/>
            <w:vAlign w:val="center"/>
          </w:tcPr>
          <w:p w:rsidR="0005582F" w:rsidRPr="004B551C" w:rsidRDefault="0005582F" w:rsidP="004B551C">
            <w:pPr>
              <w:jc w:val="center"/>
              <w:rPr>
                <w:b/>
                <w:bCs/>
                <w:sz w:val="20"/>
                <w:szCs w:val="20"/>
                <w:lang w:bidi="ar-EG"/>
              </w:rPr>
            </w:pPr>
          </w:p>
        </w:tc>
        <w:tc>
          <w:tcPr>
            <w:tcW w:w="378" w:type="pct"/>
            <w:vMerge/>
            <w:shd w:val="clear" w:color="auto" w:fill="auto"/>
            <w:vAlign w:val="center"/>
          </w:tcPr>
          <w:p w:rsidR="0005582F" w:rsidRPr="004B551C" w:rsidRDefault="0005582F" w:rsidP="004B551C">
            <w:pPr>
              <w:jc w:val="center"/>
              <w:rPr>
                <w:b/>
                <w:bCs/>
                <w:sz w:val="20"/>
                <w:szCs w:val="20"/>
                <w:lang w:bidi="ar-EG"/>
              </w:rPr>
            </w:pPr>
          </w:p>
        </w:tc>
        <w:tc>
          <w:tcPr>
            <w:tcW w:w="507" w:type="pct"/>
            <w:vMerge/>
            <w:shd w:val="clear" w:color="auto" w:fill="auto"/>
            <w:vAlign w:val="center"/>
          </w:tcPr>
          <w:p w:rsidR="0005582F" w:rsidRPr="004B551C" w:rsidRDefault="0005582F" w:rsidP="004B551C">
            <w:pPr>
              <w:jc w:val="center"/>
              <w:rPr>
                <w:b/>
                <w:bCs/>
                <w:sz w:val="20"/>
                <w:szCs w:val="20"/>
                <w:lang w:bidi="ar-EG"/>
              </w:rPr>
            </w:pPr>
          </w:p>
        </w:tc>
        <w:tc>
          <w:tcPr>
            <w:tcW w:w="529" w:type="pct"/>
            <w:vMerge/>
            <w:shd w:val="clear" w:color="auto" w:fill="auto"/>
            <w:vAlign w:val="center"/>
          </w:tcPr>
          <w:p w:rsidR="0005582F" w:rsidRPr="004B551C" w:rsidRDefault="0005582F" w:rsidP="004B551C">
            <w:pPr>
              <w:jc w:val="center"/>
              <w:rPr>
                <w:b/>
                <w:bCs/>
                <w:sz w:val="20"/>
                <w:szCs w:val="20"/>
                <w:lang w:bidi="ar-EG"/>
              </w:rPr>
            </w:pPr>
          </w:p>
        </w:tc>
      </w:tr>
      <w:tr w:rsidR="0005582F" w:rsidRPr="004B551C" w:rsidTr="006E76F1">
        <w:trPr>
          <w:trHeight w:val="499"/>
          <w:jc w:val="center"/>
        </w:trPr>
        <w:tc>
          <w:tcPr>
            <w:tcW w:w="692" w:type="pct"/>
            <w:tcBorders>
              <w:right w:val="single" w:sz="4" w:space="0" w:color="auto"/>
            </w:tcBorders>
            <w:vAlign w:val="center"/>
          </w:tcPr>
          <w:p w:rsidR="0005582F" w:rsidRPr="004B551C" w:rsidRDefault="0005582F"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w:t>
            </w:r>
          </w:p>
        </w:tc>
        <w:tc>
          <w:tcPr>
            <w:tcW w:w="373" w:type="pct"/>
            <w:tcBorders>
              <w:left w:val="single" w:sz="4" w:space="0" w:color="auto"/>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53.34</w:t>
            </w:r>
          </w:p>
        </w:tc>
        <w:tc>
          <w:tcPr>
            <w:tcW w:w="372"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81.84</w:t>
            </w:r>
          </w:p>
        </w:tc>
        <w:tc>
          <w:tcPr>
            <w:tcW w:w="373"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91.81</w:t>
            </w:r>
          </w:p>
        </w:tc>
        <w:tc>
          <w:tcPr>
            <w:tcW w:w="373" w:type="pct"/>
            <w:tcBorders>
              <w:lef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95.85</w:t>
            </w:r>
          </w:p>
        </w:tc>
        <w:tc>
          <w:tcPr>
            <w:tcW w:w="373" w:type="pct"/>
            <w:tcBorders>
              <w:right w:val="single" w:sz="4" w:space="0" w:color="auto"/>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97.69</w:t>
            </w:r>
          </w:p>
        </w:tc>
        <w:tc>
          <w:tcPr>
            <w:tcW w:w="515" w:type="pct"/>
            <w:tcBorders>
              <w:left w:val="single" w:sz="4" w:space="0" w:color="auto"/>
            </w:tcBorders>
            <w:vAlign w:val="center"/>
          </w:tcPr>
          <w:p w:rsidR="0005582F" w:rsidRPr="004B551C" w:rsidRDefault="0005582F" w:rsidP="004B551C">
            <w:pPr>
              <w:jc w:val="center"/>
              <w:rPr>
                <w:sz w:val="20"/>
                <w:szCs w:val="20"/>
                <w:lang w:bidi="ar-EG"/>
              </w:rPr>
            </w:pPr>
            <w:r w:rsidRPr="004B551C">
              <w:rPr>
                <w:sz w:val="20"/>
                <w:szCs w:val="20"/>
                <w:lang w:bidi="ar-EG"/>
              </w:rPr>
              <w:t>26.45</w:t>
            </w:r>
          </w:p>
        </w:tc>
        <w:tc>
          <w:tcPr>
            <w:tcW w:w="515" w:type="pct"/>
            <w:vAlign w:val="center"/>
          </w:tcPr>
          <w:p w:rsidR="0005582F" w:rsidRPr="004B551C" w:rsidRDefault="0005582F" w:rsidP="004B551C">
            <w:pPr>
              <w:jc w:val="center"/>
              <w:rPr>
                <w:b/>
                <w:bCs/>
                <w:sz w:val="20"/>
                <w:szCs w:val="20"/>
                <w:lang w:bidi="ar-EG"/>
              </w:rPr>
            </w:pPr>
            <w:r w:rsidRPr="004B551C">
              <w:rPr>
                <w:b/>
                <w:bCs/>
                <w:sz w:val="20"/>
                <w:szCs w:val="20"/>
                <w:lang w:bidi="ar-EG"/>
              </w:rPr>
              <w:t>46.60</w:t>
            </w:r>
          </w:p>
        </w:tc>
        <w:tc>
          <w:tcPr>
            <w:tcW w:w="378"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2.74</w:t>
            </w:r>
          </w:p>
        </w:tc>
        <w:tc>
          <w:tcPr>
            <w:tcW w:w="507" w:type="pct"/>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100</w:t>
            </w:r>
          </w:p>
        </w:tc>
        <w:tc>
          <w:tcPr>
            <w:tcW w:w="529" w:type="pct"/>
            <w:shd w:val="clear" w:color="auto" w:fill="auto"/>
            <w:vAlign w:val="center"/>
          </w:tcPr>
          <w:p w:rsidR="0005582F" w:rsidRPr="004B551C" w:rsidRDefault="0005582F" w:rsidP="004B551C">
            <w:pPr>
              <w:jc w:val="center"/>
              <w:rPr>
                <w:b/>
                <w:bCs/>
                <w:sz w:val="20"/>
                <w:szCs w:val="20"/>
                <w:lang w:bidi="ar-EG"/>
              </w:rPr>
            </w:pPr>
            <w:r w:rsidRPr="004B551C">
              <w:rPr>
                <w:b/>
                <w:bCs/>
                <w:sz w:val="20"/>
                <w:szCs w:val="20"/>
                <w:lang w:bidi="ar-EG"/>
              </w:rPr>
              <w:t>22.49</w:t>
            </w:r>
          </w:p>
        </w:tc>
      </w:tr>
      <w:tr w:rsidR="0005582F" w:rsidRPr="004B551C" w:rsidTr="006E76F1">
        <w:trPr>
          <w:trHeight w:val="499"/>
          <w:jc w:val="center"/>
        </w:trPr>
        <w:tc>
          <w:tcPr>
            <w:tcW w:w="692" w:type="pct"/>
            <w:tcBorders>
              <w:right w:val="single" w:sz="4" w:space="0" w:color="auto"/>
            </w:tcBorders>
            <w:vAlign w:val="center"/>
          </w:tcPr>
          <w:p w:rsidR="0005582F" w:rsidRPr="004B551C" w:rsidRDefault="0005582F" w:rsidP="004B551C">
            <w:pPr>
              <w:jc w:val="center"/>
              <w:rPr>
                <w:b/>
                <w:bCs/>
                <w:sz w:val="20"/>
                <w:szCs w:val="20"/>
                <w:lang w:bidi="ar-EG"/>
              </w:rPr>
            </w:pPr>
            <w:proofErr w:type="spellStart"/>
            <w:r w:rsidRPr="004B551C">
              <w:rPr>
                <w:b/>
                <w:bCs/>
                <w:sz w:val="20"/>
                <w:szCs w:val="20"/>
                <w:lang w:bidi="ar-EG"/>
              </w:rPr>
              <w:t>Eugenol</w:t>
            </w:r>
            <w:proofErr w:type="spellEnd"/>
            <w:r w:rsidRPr="004B551C">
              <w:rPr>
                <w:b/>
                <w:bCs/>
                <w:sz w:val="20"/>
                <w:szCs w:val="20"/>
                <w:lang w:bidi="ar-EG"/>
              </w:rPr>
              <w:t>*</w:t>
            </w:r>
          </w:p>
        </w:tc>
        <w:tc>
          <w:tcPr>
            <w:tcW w:w="373" w:type="pct"/>
            <w:tcBorders>
              <w:left w:val="single" w:sz="4" w:space="0" w:color="auto"/>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10.46</w:t>
            </w:r>
          </w:p>
        </w:tc>
        <w:tc>
          <w:tcPr>
            <w:tcW w:w="372"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22.95</w:t>
            </w:r>
          </w:p>
        </w:tc>
        <w:tc>
          <w:tcPr>
            <w:tcW w:w="373"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33.04</w:t>
            </w:r>
          </w:p>
        </w:tc>
        <w:tc>
          <w:tcPr>
            <w:tcW w:w="373" w:type="pct"/>
            <w:tcBorders>
              <w:lef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41.1</w:t>
            </w:r>
          </w:p>
        </w:tc>
        <w:tc>
          <w:tcPr>
            <w:tcW w:w="373" w:type="pct"/>
            <w:tcBorders>
              <w:right w:val="single" w:sz="4" w:space="0" w:color="auto"/>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47.66</w:t>
            </w:r>
          </w:p>
        </w:tc>
        <w:tc>
          <w:tcPr>
            <w:tcW w:w="515" w:type="pct"/>
            <w:tcBorders>
              <w:left w:val="single" w:sz="4" w:space="0" w:color="auto"/>
            </w:tcBorders>
            <w:vAlign w:val="center"/>
          </w:tcPr>
          <w:p w:rsidR="0005582F" w:rsidRPr="004B551C" w:rsidRDefault="0005582F" w:rsidP="004B551C">
            <w:pPr>
              <w:jc w:val="center"/>
              <w:rPr>
                <w:sz w:val="20"/>
                <w:szCs w:val="20"/>
                <w:lang w:bidi="ar-EG"/>
              </w:rPr>
            </w:pPr>
            <w:r w:rsidRPr="004B551C">
              <w:rPr>
                <w:sz w:val="20"/>
                <w:szCs w:val="20"/>
                <w:lang w:bidi="ar-EG"/>
              </w:rPr>
              <w:t>109.29</w:t>
            </w:r>
          </w:p>
        </w:tc>
        <w:tc>
          <w:tcPr>
            <w:tcW w:w="515" w:type="pct"/>
            <w:vAlign w:val="center"/>
          </w:tcPr>
          <w:p w:rsidR="0005582F" w:rsidRPr="004B551C" w:rsidRDefault="0005582F" w:rsidP="004B551C">
            <w:pPr>
              <w:jc w:val="center"/>
              <w:rPr>
                <w:sz w:val="20"/>
                <w:szCs w:val="20"/>
                <w:lang w:bidi="ar-EG"/>
              </w:rPr>
            </w:pPr>
            <w:r w:rsidRPr="004B551C">
              <w:rPr>
                <w:sz w:val="20"/>
                <w:szCs w:val="20"/>
                <w:lang w:bidi="ar-EG"/>
              </w:rPr>
              <w:t>270.47</w:t>
            </w:r>
          </w:p>
        </w:tc>
        <w:tc>
          <w:tcPr>
            <w:tcW w:w="378"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1.71</w:t>
            </w:r>
          </w:p>
        </w:tc>
        <w:tc>
          <w:tcPr>
            <w:tcW w:w="507"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17.23</w:t>
            </w:r>
          </w:p>
        </w:tc>
        <w:tc>
          <w:tcPr>
            <w:tcW w:w="529"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3.88</w:t>
            </w:r>
          </w:p>
        </w:tc>
      </w:tr>
      <w:tr w:rsidR="0005582F" w:rsidRPr="004B551C" w:rsidTr="006E76F1">
        <w:trPr>
          <w:trHeight w:val="499"/>
          <w:jc w:val="center"/>
        </w:trPr>
        <w:tc>
          <w:tcPr>
            <w:tcW w:w="692" w:type="pct"/>
            <w:tcBorders>
              <w:right w:val="single" w:sz="4" w:space="0" w:color="auto"/>
            </w:tcBorders>
            <w:vAlign w:val="center"/>
          </w:tcPr>
          <w:p w:rsidR="0005582F" w:rsidRPr="004B551C" w:rsidRDefault="0005582F" w:rsidP="004B551C">
            <w:pPr>
              <w:jc w:val="center"/>
              <w:rPr>
                <w:b/>
                <w:bCs/>
                <w:sz w:val="20"/>
                <w:szCs w:val="20"/>
                <w:lang w:bidi="ar-EG"/>
              </w:rPr>
            </w:pPr>
            <w:r w:rsidRPr="004B551C">
              <w:rPr>
                <w:b/>
                <w:bCs/>
                <w:sz w:val="20"/>
                <w:szCs w:val="20"/>
                <w:lang w:bidi="ar-EG"/>
              </w:rPr>
              <w:t xml:space="preserve">Methyl </w:t>
            </w:r>
            <w:proofErr w:type="spellStart"/>
            <w:r w:rsidRPr="004B551C">
              <w:rPr>
                <w:b/>
                <w:bCs/>
                <w:sz w:val="20"/>
                <w:szCs w:val="20"/>
                <w:lang w:bidi="ar-EG"/>
              </w:rPr>
              <w:t>cinnamate</w:t>
            </w:r>
            <w:proofErr w:type="spellEnd"/>
            <w:r w:rsidRPr="004B551C">
              <w:rPr>
                <w:b/>
                <w:bCs/>
                <w:sz w:val="20"/>
                <w:szCs w:val="20"/>
                <w:lang w:bidi="ar-EG"/>
              </w:rPr>
              <w:t>*</w:t>
            </w:r>
          </w:p>
        </w:tc>
        <w:tc>
          <w:tcPr>
            <w:tcW w:w="373" w:type="pct"/>
            <w:tcBorders>
              <w:left w:val="single" w:sz="4" w:space="0" w:color="auto"/>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2"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3"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3" w:type="pct"/>
            <w:tcBorders>
              <w:lef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4.53</w:t>
            </w:r>
          </w:p>
        </w:tc>
        <w:tc>
          <w:tcPr>
            <w:tcW w:w="373" w:type="pct"/>
            <w:tcBorders>
              <w:right w:val="single" w:sz="4" w:space="0" w:color="auto"/>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27.04</w:t>
            </w:r>
          </w:p>
        </w:tc>
        <w:tc>
          <w:tcPr>
            <w:tcW w:w="515" w:type="pct"/>
            <w:tcBorders>
              <w:left w:val="single" w:sz="4" w:space="0" w:color="auto"/>
            </w:tcBorders>
            <w:vAlign w:val="center"/>
          </w:tcPr>
          <w:p w:rsidR="0005582F" w:rsidRPr="004B551C" w:rsidRDefault="0005582F" w:rsidP="004B551C">
            <w:pPr>
              <w:jc w:val="center"/>
              <w:rPr>
                <w:sz w:val="20"/>
                <w:szCs w:val="20"/>
                <w:lang w:bidi="ar-EG"/>
              </w:rPr>
            </w:pPr>
            <w:r w:rsidRPr="004B551C">
              <w:rPr>
                <w:sz w:val="20"/>
                <w:szCs w:val="20"/>
                <w:lang w:bidi="ar-EG"/>
              </w:rPr>
              <w:t>246.77</w:t>
            </w:r>
          </w:p>
        </w:tc>
        <w:tc>
          <w:tcPr>
            <w:tcW w:w="515" w:type="pct"/>
            <w:vAlign w:val="center"/>
          </w:tcPr>
          <w:p w:rsidR="0005582F" w:rsidRPr="004B551C" w:rsidRDefault="0005582F" w:rsidP="004B551C">
            <w:pPr>
              <w:jc w:val="center"/>
              <w:rPr>
                <w:sz w:val="20"/>
                <w:szCs w:val="20"/>
                <w:lang w:bidi="ar-EG"/>
              </w:rPr>
            </w:pPr>
            <w:r w:rsidRPr="004B551C">
              <w:rPr>
                <w:sz w:val="20"/>
                <w:szCs w:val="20"/>
                <w:lang w:bidi="ar-EG"/>
              </w:rPr>
              <w:t>283.55</w:t>
            </w:r>
          </w:p>
        </w:tc>
        <w:tc>
          <w:tcPr>
            <w:tcW w:w="378"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11.18</w:t>
            </w:r>
          </w:p>
        </w:tc>
        <w:tc>
          <w:tcPr>
            <w:tcW w:w="507"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16.43</w:t>
            </w:r>
          </w:p>
        </w:tc>
        <w:tc>
          <w:tcPr>
            <w:tcW w:w="529"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3.7</w:t>
            </w:r>
          </w:p>
        </w:tc>
      </w:tr>
      <w:tr w:rsidR="0005582F" w:rsidRPr="004B551C" w:rsidTr="006E76F1">
        <w:trPr>
          <w:trHeight w:val="499"/>
          <w:jc w:val="center"/>
        </w:trPr>
        <w:tc>
          <w:tcPr>
            <w:tcW w:w="692" w:type="pct"/>
            <w:tcBorders>
              <w:right w:val="single" w:sz="4" w:space="0" w:color="auto"/>
            </w:tcBorders>
            <w:vAlign w:val="center"/>
          </w:tcPr>
          <w:p w:rsidR="0005582F" w:rsidRPr="004B551C" w:rsidRDefault="0005582F" w:rsidP="004B551C">
            <w:pPr>
              <w:jc w:val="center"/>
              <w:rPr>
                <w:b/>
                <w:bCs/>
                <w:sz w:val="20"/>
                <w:szCs w:val="20"/>
                <w:lang w:bidi="ar-EG"/>
              </w:rPr>
            </w:pPr>
            <w:r w:rsidRPr="004B551C">
              <w:rPr>
                <w:b/>
                <w:bCs/>
                <w:sz w:val="20"/>
                <w:szCs w:val="20"/>
                <w:lang w:bidi="ar-EG"/>
              </w:rPr>
              <w:t>Linalool**</w:t>
            </w:r>
          </w:p>
        </w:tc>
        <w:tc>
          <w:tcPr>
            <w:tcW w:w="373" w:type="pct"/>
            <w:tcBorders>
              <w:left w:val="single" w:sz="4" w:space="0" w:color="auto"/>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11.66</w:t>
            </w:r>
          </w:p>
        </w:tc>
        <w:tc>
          <w:tcPr>
            <w:tcW w:w="372"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46.98</w:t>
            </w:r>
          </w:p>
        </w:tc>
        <w:tc>
          <w:tcPr>
            <w:tcW w:w="373"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85.1</w:t>
            </w:r>
          </w:p>
        </w:tc>
        <w:tc>
          <w:tcPr>
            <w:tcW w:w="373" w:type="pct"/>
            <w:tcBorders>
              <w:lef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98.38</w:t>
            </w:r>
          </w:p>
        </w:tc>
        <w:tc>
          <w:tcPr>
            <w:tcW w:w="373" w:type="pct"/>
            <w:tcBorders>
              <w:right w:val="single" w:sz="4" w:space="0" w:color="auto"/>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100</w:t>
            </w:r>
          </w:p>
        </w:tc>
        <w:tc>
          <w:tcPr>
            <w:tcW w:w="515" w:type="pct"/>
            <w:tcBorders>
              <w:left w:val="single" w:sz="4" w:space="0" w:color="auto"/>
            </w:tcBorders>
            <w:vAlign w:val="center"/>
          </w:tcPr>
          <w:p w:rsidR="0005582F" w:rsidRPr="004B551C" w:rsidRDefault="0005582F" w:rsidP="004B551C">
            <w:pPr>
              <w:jc w:val="center"/>
              <w:rPr>
                <w:sz w:val="20"/>
                <w:szCs w:val="20"/>
                <w:lang w:bidi="ar-EG"/>
              </w:rPr>
            </w:pPr>
            <w:r w:rsidRPr="004B551C">
              <w:rPr>
                <w:sz w:val="20"/>
                <w:szCs w:val="20"/>
                <w:lang w:bidi="ar-EG"/>
              </w:rPr>
              <w:t>689.6</w:t>
            </w:r>
          </w:p>
        </w:tc>
        <w:tc>
          <w:tcPr>
            <w:tcW w:w="515" w:type="pct"/>
            <w:vAlign w:val="center"/>
          </w:tcPr>
          <w:p w:rsidR="0005582F" w:rsidRPr="004B551C" w:rsidRDefault="0005582F" w:rsidP="004B551C">
            <w:pPr>
              <w:jc w:val="center"/>
              <w:rPr>
                <w:sz w:val="20"/>
                <w:szCs w:val="20"/>
                <w:lang w:bidi="ar-EG"/>
              </w:rPr>
            </w:pPr>
            <w:r w:rsidRPr="004B551C">
              <w:rPr>
                <w:sz w:val="20"/>
                <w:szCs w:val="20"/>
                <w:lang w:bidi="ar-EG"/>
              </w:rPr>
              <w:t>1048.2</w:t>
            </w:r>
          </w:p>
        </w:tc>
        <w:tc>
          <w:tcPr>
            <w:tcW w:w="378"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3.71</w:t>
            </w:r>
          </w:p>
        </w:tc>
        <w:tc>
          <w:tcPr>
            <w:tcW w:w="507"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4.45</w:t>
            </w:r>
          </w:p>
        </w:tc>
        <w:tc>
          <w:tcPr>
            <w:tcW w:w="529"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1</w:t>
            </w:r>
          </w:p>
        </w:tc>
      </w:tr>
      <w:tr w:rsidR="0005582F" w:rsidRPr="004B551C" w:rsidTr="006E76F1">
        <w:trPr>
          <w:trHeight w:val="499"/>
          <w:jc w:val="center"/>
        </w:trPr>
        <w:tc>
          <w:tcPr>
            <w:tcW w:w="692" w:type="pct"/>
            <w:tcBorders>
              <w:right w:val="single" w:sz="4" w:space="0" w:color="auto"/>
            </w:tcBorders>
            <w:vAlign w:val="center"/>
          </w:tcPr>
          <w:p w:rsidR="0005582F" w:rsidRPr="004B551C" w:rsidRDefault="0005582F" w:rsidP="004B551C">
            <w:pPr>
              <w:jc w:val="center"/>
              <w:rPr>
                <w:b/>
                <w:bCs/>
                <w:sz w:val="20"/>
                <w:szCs w:val="20"/>
                <w:lang w:bidi="ar-EG"/>
              </w:rPr>
            </w:pPr>
            <w:r w:rsidRPr="004B551C">
              <w:rPr>
                <w:b/>
                <w:bCs/>
                <w:sz w:val="20"/>
                <w:szCs w:val="20"/>
                <w:lang w:bidi="ar-EG"/>
              </w:rPr>
              <w:t>1,8-Cineol**</w:t>
            </w:r>
          </w:p>
        </w:tc>
        <w:tc>
          <w:tcPr>
            <w:tcW w:w="373" w:type="pct"/>
            <w:tcBorders>
              <w:left w:val="single" w:sz="4" w:space="0" w:color="auto"/>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2"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3" w:type="pct"/>
            <w:tcBorders>
              <w:left w:val="nil"/>
              <w:righ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3" w:type="pct"/>
            <w:tcBorders>
              <w:left w:val="nil"/>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373" w:type="pct"/>
            <w:tcBorders>
              <w:right w:val="single" w:sz="4" w:space="0" w:color="auto"/>
            </w:tcBorders>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0</w:t>
            </w:r>
          </w:p>
        </w:tc>
        <w:tc>
          <w:tcPr>
            <w:tcW w:w="515" w:type="pct"/>
            <w:tcBorders>
              <w:left w:val="single" w:sz="4" w:space="0" w:color="auto"/>
            </w:tcBorders>
            <w:vAlign w:val="center"/>
          </w:tcPr>
          <w:p w:rsidR="0005582F" w:rsidRPr="004B551C" w:rsidRDefault="0005582F" w:rsidP="004B551C">
            <w:pPr>
              <w:jc w:val="center"/>
              <w:rPr>
                <w:sz w:val="20"/>
                <w:szCs w:val="20"/>
                <w:lang w:bidi="ar-EG"/>
              </w:rPr>
            </w:pPr>
            <w:r w:rsidRPr="004B551C">
              <w:rPr>
                <w:sz w:val="20"/>
                <w:szCs w:val="20"/>
                <w:lang w:bidi="ar-EG"/>
              </w:rPr>
              <w:t>-</w:t>
            </w:r>
          </w:p>
        </w:tc>
        <w:tc>
          <w:tcPr>
            <w:tcW w:w="515" w:type="pct"/>
            <w:vAlign w:val="center"/>
          </w:tcPr>
          <w:p w:rsidR="0005582F" w:rsidRPr="004B551C" w:rsidRDefault="0005582F" w:rsidP="004B551C">
            <w:pPr>
              <w:jc w:val="center"/>
              <w:rPr>
                <w:sz w:val="20"/>
                <w:szCs w:val="20"/>
                <w:lang w:bidi="ar-EG"/>
              </w:rPr>
            </w:pPr>
            <w:r w:rsidRPr="004B551C">
              <w:rPr>
                <w:sz w:val="20"/>
                <w:szCs w:val="20"/>
                <w:lang w:bidi="ar-EG"/>
              </w:rPr>
              <w:t>-</w:t>
            </w:r>
          </w:p>
        </w:tc>
        <w:tc>
          <w:tcPr>
            <w:tcW w:w="378"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w:t>
            </w:r>
          </w:p>
        </w:tc>
        <w:tc>
          <w:tcPr>
            <w:tcW w:w="507"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w:t>
            </w:r>
          </w:p>
        </w:tc>
        <w:tc>
          <w:tcPr>
            <w:tcW w:w="529" w:type="pct"/>
            <w:shd w:val="clear" w:color="auto" w:fill="auto"/>
            <w:vAlign w:val="center"/>
          </w:tcPr>
          <w:p w:rsidR="0005582F" w:rsidRPr="004B551C" w:rsidRDefault="0005582F" w:rsidP="004B551C">
            <w:pPr>
              <w:jc w:val="center"/>
              <w:rPr>
                <w:sz w:val="20"/>
                <w:szCs w:val="20"/>
                <w:lang w:bidi="ar-EG"/>
              </w:rPr>
            </w:pPr>
            <w:r w:rsidRPr="004B551C">
              <w:rPr>
                <w:sz w:val="20"/>
                <w:szCs w:val="20"/>
                <w:lang w:bidi="ar-EG"/>
              </w:rPr>
              <w:t>-</w:t>
            </w:r>
          </w:p>
        </w:tc>
      </w:tr>
    </w:tbl>
    <w:p w:rsidR="00606658" w:rsidRPr="004B551C" w:rsidRDefault="00606658" w:rsidP="004B551C">
      <w:pPr>
        <w:jc w:val="both"/>
        <w:rPr>
          <w:sz w:val="20"/>
          <w:szCs w:val="20"/>
          <w:lang w:bidi="ar-EG"/>
        </w:rPr>
      </w:pPr>
      <w:r w:rsidRPr="004B551C">
        <w:rPr>
          <w:sz w:val="20"/>
          <w:szCs w:val="20"/>
          <w:lang w:bidi="ar-EG"/>
        </w:rPr>
        <w:t>A, B, C, D and E concentrations are:</w:t>
      </w:r>
    </w:p>
    <w:p w:rsidR="00606658" w:rsidRPr="004B551C" w:rsidRDefault="00606658" w:rsidP="004B551C">
      <w:pPr>
        <w:ind w:left="426" w:hanging="142"/>
        <w:jc w:val="both"/>
        <w:rPr>
          <w:sz w:val="20"/>
          <w:szCs w:val="20"/>
          <w:lang w:bidi="ar-EG"/>
        </w:rPr>
      </w:pPr>
      <w:r w:rsidRPr="004B551C">
        <w:rPr>
          <w:sz w:val="20"/>
          <w:szCs w:val="20"/>
          <w:lang w:bidi="ar-EG"/>
        </w:rPr>
        <w:t xml:space="preserve"> </w:t>
      </w:r>
      <w:r w:rsidRPr="004B551C">
        <w:rPr>
          <w:sz w:val="20"/>
          <w:szCs w:val="20"/>
          <w:vertAlign w:val="superscript"/>
          <w:lang w:bidi="ar-EG"/>
        </w:rPr>
        <w:t xml:space="preserve">  </w:t>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50, 100, 150, 200 and 250 µg/ml.   </w:t>
      </w:r>
      <w:r w:rsidRPr="004B551C">
        <w:rPr>
          <w:sz w:val="20"/>
          <w:szCs w:val="20"/>
          <w:lang w:bidi="ar-EG"/>
        </w:rPr>
        <w:tab/>
      </w:r>
      <w:r w:rsidRPr="004B551C">
        <w:rPr>
          <w:sz w:val="20"/>
          <w:szCs w:val="20"/>
          <w:lang w:bidi="ar-EG"/>
        </w:rPr>
        <w:tab/>
      </w:r>
      <w:r w:rsidRPr="004B551C">
        <w:rPr>
          <w:sz w:val="20"/>
          <w:szCs w:val="20"/>
          <w:lang w:bidi="ar-EG"/>
        </w:rPr>
        <w:tab/>
      </w:r>
      <w:r w:rsidRPr="004B551C">
        <w:rPr>
          <w:sz w:val="20"/>
          <w:szCs w:val="20"/>
          <w:vertAlign w:val="superscript"/>
          <w:lang w:bidi="ar-EG"/>
        </w:rPr>
        <w:sym w:font="Wingdings 2" w:char="F0DE"/>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 500, 1000, 2000, 4000 and 8000 µg/ml.  </w:t>
      </w:r>
    </w:p>
    <w:p w:rsidR="000477EA" w:rsidRPr="004B551C" w:rsidRDefault="000477EA" w:rsidP="004B551C">
      <w:pPr>
        <w:rPr>
          <w:sz w:val="20"/>
          <w:szCs w:val="20"/>
        </w:rPr>
      </w:pPr>
    </w:p>
    <w:p w:rsidR="000477EA" w:rsidRPr="004B551C" w:rsidRDefault="000477EA" w:rsidP="004B551C">
      <w:pPr>
        <w:rPr>
          <w:sz w:val="20"/>
          <w:szCs w:val="20"/>
        </w:rPr>
        <w:sectPr w:rsidR="000477EA" w:rsidRPr="004B551C" w:rsidSect="00B952E0">
          <w:type w:val="continuous"/>
          <w:pgSz w:w="12240" w:h="15840" w:code="1"/>
          <w:pgMar w:top="1440" w:right="1440" w:bottom="851" w:left="1440" w:header="720" w:footer="510" w:gutter="0"/>
          <w:cols w:space="720"/>
          <w:docGrid w:linePitch="360"/>
        </w:sectPr>
      </w:pPr>
    </w:p>
    <w:p w:rsidR="00CC7E67" w:rsidRPr="004B551C" w:rsidRDefault="00CC7E67" w:rsidP="004B551C">
      <w:pPr>
        <w:jc w:val="lowKashida"/>
        <w:rPr>
          <w:b/>
          <w:bCs/>
          <w:i/>
          <w:iCs/>
          <w:sz w:val="20"/>
          <w:szCs w:val="20"/>
          <w:lang w:bidi="ar-EG"/>
        </w:rPr>
      </w:pPr>
      <w:r w:rsidRPr="004B551C">
        <w:rPr>
          <w:b/>
          <w:bCs/>
          <w:sz w:val="20"/>
          <w:szCs w:val="20"/>
          <w:lang w:bidi="ar-EG"/>
        </w:rPr>
        <w:lastRenderedPageBreak/>
        <w:t xml:space="preserve">(d) </w:t>
      </w:r>
      <w:proofErr w:type="spellStart"/>
      <w:r w:rsidRPr="004B551C">
        <w:rPr>
          <w:b/>
          <w:bCs/>
          <w:i/>
          <w:iCs/>
          <w:sz w:val="20"/>
          <w:szCs w:val="20"/>
          <w:lang w:bidi="ar-EG"/>
        </w:rPr>
        <w:t>Fusarium</w:t>
      </w:r>
      <w:proofErr w:type="spellEnd"/>
      <w:r w:rsidRPr="004B551C">
        <w:rPr>
          <w:b/>
          <w:bCs/>
          <w:i/>
          <w:iCs/>
          <w:sz w:val="20"/>
          <w:szCs w:val="20"/>
          <w:lang w:bidi="ar-EG"/>
        </w:rPr>
        <w:t xml:space="preserve"> </w:t>
      </w:r>
      <w:proofErr w:type="spellStart"/>
      <w:r w:rsidRPr="004B551C">
        <w:rPr>
          <w:b/>
          <w:bCs/>
          <w:i/>
          <w:iCs/>
          <w:sz w:val="20"/>
          <w:szCs w:val="20"/>
          <w:lang w:bidi="ar-EG"/>
        </w:rPr>
        <w:t>oxysporum</w:t>
      </w:r>
      <w:proofErr w:type="spellEnd"/>
      <w:r w:rsidRPr="004B551C">
        <w:rPr>
          <w:b/>
          <w:bCs/>
          <w:i/>
          <w:iCs/>
          <w:sz w:val="20"/>
          <w:szCs w:val="20"/>
          <w:lang w:bidi="ar-EG"/>
        </w:rPr>
        <w:t>:</w:t>
      </w:r>
    </w:p>
    <w:p w:rsidR="00D911CF" w:rsidRPr="004B551C" w:rsidRDefault="00D911CF" w:rsidP="004B551C">
      <w:pPr>
        <w:ind w:firstLine="284"/>
        <w:jc w:val="lowKashida"/>
        <w:rPr>
          <w:sz w:val="20"/>
          <w:szCs w:val="20"/>
          <w:lang w:bidi="ar-EG"/>
        </w:rPr>
      </w:pPr>
      <w:r w:rsidRPr="004B551C">
        <w:rPr>
          <w:sz w:val="20"/>
          <w:szCs w:val="20"/>
          <w:lang w:bidi="ar-EG"/>
        </w:rPr>
        <w:t xml:space="preserve">The antifungal activity of the tested compounds upon </w:t>
      </w:r>
      <w:r w:rsidRPr="004B551C">
        <w:rPr>
          <w:i/>
          <w:iCs/>
          <w:sz w:val="20"/>
          <w:szCs w:val="20"/>
          <w:lang w:bidi="ar-EG"/>
        </w:rPr>
        <w:t xml:space="preserve">F. </w:t>
      </w:r>
      <w:proofErr w:type="spellStart"/>
      <w:r w:rsidRPr="004B551C">
        <w:rPr>
          <w:i/>
          <w:iCs/>
          <w:sz w:val="20"/>
          <w:szCs w:val="20"/>
          <w:lang w:bidi="ar-EG"/>
        </w:rPr>
        <w:t>oxysporum</w:t>
      </w:r>
      <w:proofErr w:type="spellEnd"/>
      <w:r w:rsidRPr="004B551C">
        <w:rPr>
          <w:sz w:val="20"/>
          <w:szCs w:val="20"/>
          <w:lang w:bidi="ar-EG"/>
        </w:rPr>
        <w:t xml:space="preserve"> after 6 days of incubation is given in table (4).  From the obtained results, the inhibition percentage when using </w:t>
      </w:r>
      <w:proofErr w:type="spellStart"/>
      <w:r w:rsidRPr="004B551C">
        <w:rPr>
          <w:sz w:val="20"/>
          <w:szCs w:val="20"/>
          <w:lang w:bidi="ar-EG"/>
        </w:rPr>
        <w:t>thymol</w:t>
      </w:r>
      <w:proofErr w:type="spellEnd"/>
      <w:r w:rsidRPr="004B551C">
        <w:rPr>
          <w:sz w:val="20"/>
          <w:szCs w:val="20"/>
          <w:lang w:bidi="ar-EG"/>
        </w:rPr>
        <w:t xml:space="preserve"> compound after 6 days of incubation at 50 µg/ml was 16.93%, at 250 µg/ml was 98.41% and concentrations 100, 150 and 200 µg/ml gave 65.08, 87.98 and 95.82% growth inhibition, respectively. In case of using </w:t>
      </w:r>
      <w:proofErr w:type="spellStart"/>
      <w:r w:rsidRPr="004B551C">
        <w:rPr>
          <w:sz w:val="20"/>
          <w:szCs w:val="20"/>
          <w:lang w:bidi="ar-EG"/>
        </w:rPr>
        <w:t>eugenol</w:t>
      </w:r>
      <w:proofErr w:type="spellEnd"/>
      <w:r w:rsidRPr="004B551C">
        <w:rPr>
          <w:sz w:val="20"/>
          <w:szCs w:val="20"/>
          <w:lang w:bidi="ar-EG"/>
        </w:rPr>
        <w:t xml:space="preserve">, 50 µg/ml concentration gave 3.91% growth inhibition; 250 µg/ml gave 57.29% while the concentration 100, 150 and 200 µg/ml gave 17.78, 33.23 and 46.57% growth inhibition, respectively.  For methyl </w:t>
      </w:r>
      <w:proofErr w:type="spellStart"/>
      <w:r w:rsidRPr="004B551C">
        <w:rPr>
          <w:sz w:val="20"/>
          <w:szCs w:val="20"/>
          <w:lang w:bidi="ar-EG"/>
        </w:rPr>
        <w:t>cinnamate</w:t>
      </w:r>
      <w:proofErr w:type="spellEnd"/>
      <w:r w:rsidRPr="004B551C">
        <w:rPr>
          <w:sz w:val="20"/>
          <w:szCs w:val="20"/>
          <w:lang w:bidi="ar-EG"/>
        </w:rPr>
        <w:t>, the lowest concentration (50 µg/ml) gave 0.06% growth inhibition, approximately middle concentration (150 µg/ml) had 11.14% linear growth inhibition while the highest concentration (250 µg/ml) had 39.05% growth inhibition.  For the lowest effective compound, linalool 500 µg/ml concentration gave 1.36%; the 8000 µg/ml gave complete growth inhibition whereas 4000 µg/ml concentration gave 80.64% growth inhibition.  The 1,8-cineol compound showed no antifungal activity for concentrations 500, 1000, 2000 and 4000 µg/ml and gave only 10.67% growth inhibition at 8000 µg/ml concentration.</w:t>
      </w:r>
    </w:p>
    <w:p w:rsidR="00D911CF" w:rsidRPr="004B551C" w:rsidRDefault="00D911CF" w:rsidP="004B551C">
      <w:pPr>
        <w:ind w:firstLine="720"/>
        <w:jc w:val="lowKashida"/>
        <w:rPr>
          <w:sz w:val="20"/>
          <w:szCs w:val="20"/>
          <w:lang w:bidi="ar-EG"/>
        </w:rPr>
      </w:pPr>
      <w:r w:rsidRPr="004B551C">
        <w:rPr>
          <w:sz w:val="20"/>
          <w:szCs w:val="20"/>
          <w:lang w:bidi="ar-EG"/>
        </w:rPr>
        <w:lastRenderedPageBreak/>
        <w:t>From the LC</w:t>
      </w:r>
      <w:r w:rsidRPr="004B551C">
        <w:rPr>
          <w:sz w:val="20"/>
          <w:szCs w:val="20"/>
          <w:vertAlign w:val="subscript"/>
          <w:lang w:bidi="ar-EG"/>
        </w:rPr>
        <w:t>50</w:t>
      </w:r>
      <w:r w:rsidRPr="004B551C">
        <w:rPr>
          <w:sz w:val="20"/>
          <w:szCs w:val="20"/>
          <w:lang w:bidi="ar-EG"/>
        </w:rPr>
        <w:t xml:space="preserve"> values of the tested natural occurring compounds given in the table we concluded that the most effective compound was </w:t>
      </w:r>
      <w:proofErr w:type="spellStart"/>
      <w:r w:rsidRPr="004B551C">
        <w:rPr>
          <w:sz w:val="20"/>
          <w:szCs w:val="20"/>
          <w:lang w:bidi="ar-EG"/>
        </w:rPr>
        <w:t>thymol</w:t>
      </w:r>
      <w:proofErr w:type="spellEnd"/>
      <w:r w:rsidRPr="004B551C">
        <w:rPr>
          <w:sz w:val="20"/>
          <w:szCs w:val="20"/>
          <w:lang w:bidi="ar-EG"/>
        </w:rPr>
        <w:t xml:space="preserve"> followed by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finally linalool where the 1,8-cineol compound showed no antifungal activity on the tested fungus.  The LC</w:t>
      </w:r>
      <w:r w:rsidRPr="004B551C">
        <w:rPr>
          <w:sz w:val="20"/>
          <w:szCs w:val="20"/>
          <w:vertAlign w:val="subscript"/>
          <w:lang w:bidi="ar-EG"/>
        </w:rPr>
        <w:t>50</w:t>
      </w:r>
      <w:r w:rsidRPr="004B551C">
        <w:rPr>
          <w:sz w:val="20"/>
          <w:szCs w:val="20"/>
          <w:lang w:bidi="ar-EG"/>
        </w:rPr>
        <w:t xml:space="preserve">'s were 81.89, 214.74, 290.66 and 1357.4 µg/ml for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linalool, respectively. </w:t>
      </w:r>
    </w:p>
    <w:p w:rsidR="00D911CF" w:rsidRPr="004B551C" w:rsidRDefault="00D911CF" w:rsidP="004B551C">
      <w:pPr>
        <w:ind w:firstLine="426"/>
        <w:jc w:val="lowKashida"/>
        <w:rPr>
          <w:sz w:val="20"/>
          <w:szCs w:val="20"/>
          <w:lang w:bidi="ar-EG"/>
        </w:rPr>
      </w:pPr>
      <w:r w:rsidRPr="004B551C">
        <w:rPr>
          <w:sz w:val="20"/>
          <w:szCs w:val="20"/>
          <w:lang w:bidi="ar-EG"/>
        </w:rPr>
        <w:t>According to the LC</w:t>
      </w:r>
      <w:r w:rsidRPr="004B551C">
        <w:rPr>
          <w:sz w:val="20"/>
          <w:szCs w:val="20"/>
          <w:vertAlign w:val="subscript"/>
          <w:lang w:bidi="ar-EG"/>
        </w:rPr>
        <w:t>50</w:t>
      </w:r>
      <w:r w:rsidRPr="004B551C">
        <w:rPr>
          <w:sz w:val="20"/>
          <w:szCs w:val="20"/>
          <w:lang w:bidi="ar-EG"/>
        </w:rPr>
        <w:t xml:space="preserve"> values, the toxicity indexes of the tested compounds,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linalool were 38.14, 28.16 and 6.03%, respectively when comparing with the highest effective compound </w:t>
      </w:r>
      <w:proofErr w:type="spellStart"/>
      <w:r w:rsidRPr="004B551C">
        <w:rPr>
          <w:sz w:val="20"/>
          <w:szCs w:val="20"/>
          <w:lang w:bidi="ar-EG"/>
        </w:rPr>
        <w:t>thymol</w:t>
      </w:r>
      <w:proofErr w:type="spellEnd"/>
      <w:r w:rsidRPr="004B551C">
        <w:rPr>
          <w:sz w:val="20"/>
          <w:szCs w:val="20"/>
          <w:lang w:bidi="ar-EG"/>
        </w:rPr>
        <w:t xml:space="preserve"> which had recorded the highest toxicity index 100%.  The relative potencies of the selected compounds,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were 16.58, 6.32 and 4.67 folds, respectively when compared with the lowest effective linalool compound.</w:t>
      </w:r>
    </w:p>
    <w:p w:rsidR="00D911CF" w:rsidRPr="004B551C" w:rsidRDefault="00D911CF" w:rsidP="004B551C">
      <w:pPr>
        <w:ind w:firstLine="426"/>
        <w:jc w:val="lowKashida"/>
        <w:rPr>
          <w:sz w:val="20"/>
          <w:szCs w:val="20"/>
          <w:lang w:bidi="ar-EG"/>
        </w:rPr>
      </w:pPr>
      <w:r w:rsidRPr="004B551C">
        <w:rPr>
          <w:sz w:val="20"/>
          <w:szCs w:val="20"/>
          <w:lang w:bidi="ar-EG"/>
        </w:rPr>
        <w:t xml:space="preserve">The Ldp-lines of the selected compounds were plotted on a logarithmic paper (log concentration) in relation to percentage of fungal growth inhibition as given in figure (4).  The highest slope was for linalool compound (5.14) and then after, when using </w:t>
      </w:r>
      <w:proofErr w:type="spellStart"/>
      <w:r w:rsidRPr="004B551C">
        <w:rPr>
          <w:sz w:val="20"/>
          <w:szCs w:val="20"/>
          <w:lang w:bidi="ar-EG"/>
        </w:rPr>
        <w:t>thymol</w:t>
      </w:r>
      <w:proofErr w:type="spellEnd"/>
      <w:r w:rsidRPr="004B551C">
        <w:rPr>
          <w:sz w:val="20"/>
          <w:szCs w:val="20"/>
          <w:lang w:bidi="ar-EG"/>
        </w:rPr>
        <w:t xml:space="preserve"> (4.47).  The lowest slope was for </w:t>
      </w:r>
      <w:proofErr w:type="spellStart"/>
      <w:r w:rsidRPr="004B551C">
        <w:rPr>
          <w:sz w:val="20"/>
          <w:szCs w:val="20"/>
          <w:lang w:bidi="ar-EG"/>
        </w:rPr>
        <w:t>eugenol</w:t>
      </w:r>
      <w:proofErr w:type="spellEnd"/>
      <w:r w:rsidRPr="004B551C">
        <w:rPr>
          <w:sz w:val="20"/>
          <w:szCs w:val="20"/>
          <w:lang w:bidi="ar-EG"/>
        </w:rPr>
        <w:t xml:space="preserve"> </w:t>
      </w:r>
      <w:r w:rsidRPr="004B551C">
        <w:rPr>
          <w:sz w:val="20"/>
          <w:szCs w:val="20"/>
          <w:lang w:bidi="ar-EG"/>
        </w:rPr>
        <w:lastRenderedPageBreak/>
        <w:t xml:space="preserve">compound (2.78), after that, the slope of methyl </w:t>
      </w:r>
      <w:proofErr w:type="spellStart"/>
      <w:r w:rsidRPr="004B551C">
        <w:rPr>
          <w:sz w:val="20"/>
          <w:szCs w:val="20"/>
          <w:lang w:bidi="ar-EG"/>
        </w:rPr>
        <w:t>cinnamate</w:t>
      </w:r>
      <w:proofErr w:type="spellEnd"/>
      <w:r w:rsidRPr="004B551C">
        <w:rPr>
          <w:sz w:val="20"/>
          <w:szCs w:val="20"/>
          <w:lang w:bidi="ar-EG"/>
        </w:rPr>
        <w:t xml:space="preserve"> (4.24).</w:t>
      </w:r>
    </w:p>
    <w:p w:rsidR="00D911CF" w:rsidRPr="004B551C" w:rsidRDefault="00D911CF" w:rsidP="004B551C">
      <w:pPr>
        <w:ind w:firstLine="540"/>
        <w:jc w:val="lowKashida"/>
        <w:rPr>
          <w:b/>
          <w:bCs/>
          <w:sz w:val="20"/>
          <w:szCs w:val="20"/>
          <w:lang w:bidi="ar-EG"/>
        </w:rPr>
      </w:pPr>
      <w:r w:rsidRPr="004B551C">
        <w:rPr>
          <w:b/>
          <w:bCs/>
          <w:sz w:val="20"/>
          <w:szCs w:val="20"/>
          <w:lang w:bidi="ar-EG"/>
        </w:rPr>
        <w:t>It can be concluded that compounds can be arranged</w:t>
      </w:r>
      <w:r w:rsidR="00C76DF7" w:rsidRPr="004B551C">
        <w:rPr>
          <w:b/>
          <w:bCs/>
          <w:sz w:val="20"/>
          <w:szCs w:val="20"/>
          <w:lang w:bidi="ar-EG"/>
        </w:rPr>
        <w:t xml:space="preserve">    </w:t>
      </w:r>
      <w:r w:rsidRPr="004B551C">
        <w:rPr>
          <w:b/>
          <w:bCs/>
          <w:sz w:val="20"/>
          <w:szCs w:val="20"/>
          <w:lang w:bidi="ar-EG"/>
        </w:rPr>
        <w:t xml:space="preserve"> </w:t>
      </w:r>
      <w:proofErr w:type="spellStart"/>
      <w:r w:rsidRPr="004B551C">
        <w:rPr>
          <w:b/>
          <w:bCs/>
          <w:sz w:val="20"/>
          <w:szCs w:val="20"/>
          <w:lang w:bidi="ar-EG"/>
        </w:rPr>
        <w:t>descendingly</w:t>
      </w:r>
      <w:proofErr w:type="spellEnd"/>
      <w:r w:rsidR="00C76DF7" w:rsidRPr="004B551C">
        <w:rPr>
          <w:b/>
          <w:bCs/>
          <w:sz w:val="20"/>
          <w:szCs w:val="20"/>
          <w:lang w:bidi="ar-EG"/>
        </w:rPr>
        <w:t xml:space="preserve">   </w:t>
      </w:r>
      <w:r w:rsidRPr="004B551C">
        <w:rPr>
          <w:b/>
          <w:bCs/>
          <w:sz w:val="20"/>
          <w:szCs w:val="20"/>
          <w:lang w:bidi="ar-EG"/>
        </w:rPr>
        <w:t xml:space="preserve"> according</w:t>
      </w:r>
      <w:r w:rsidR="00C76DF7" w:rsidRPr="004B551C">
        <w:rPr>
          <w:b/>
          <w:bCs/>
          <w:sz w:val="20"/>
          <w:szCs w:val="20"/>
          <w:lang w:bidi="ar-EG"/>
        </w:rPr>
        <w:t xml:space="preserve">    </w:t>
      </w:r>
      <w:r w:rsidRPr="004B551C">
        <w:rPr>
          <w:b/>
          <w:bCs/>
          <w:sz w:val="20"/>
          <w:szCs w:val="20"/>
          <w:lang w:bidi="ar-EG"/>
        </w:rPr>
        <w:t xml:space="preserve"> to</w:t>
      </w:r>
      <w:r w:rsidR="00C76DF7" w:rsidRPr="004B551C">
        <w:rPr>
          <w:b/>
          <w:bCs/>
          <w:sz w:val="20"/>
          <w:szCs w:val="20"/>
          <w:lang w:bidi="ar-EG"/>
        </w:rPr>
        <w:t xml:space="preserve">     </w:t>
      </w:r>
      <w:r w:rsidRPr="004B551C">
        <w:rPr>
          <w:b/>
          <w:bCs/>
          <w:sz w:val="20"/>
          <w:szCs w:val="20"/>
          <w:lang w:bidi="ar-EG"/>
        </w:rPr>
        <w:t xml:space="preserve"> their </w:t>
      </w:r>
    </w:p>
    <w:p w:rsidR="00C76DF7" w:rsidRPr="004B551C" w:rsidRDefault="00C76DF7" w:rsidP="004B551C">
      <w:pPr>
        <w:jc w:val="lowKashida"/>
        <w:rPr>
          <w:b/>
          <w:bCs/>
          <w:sz w:val="20"/>
          <w:szCs w:val="20"/>
          <w:lang w:bidi="ar-EG"/>
        </w:rPr>
      </w:pPr>
      <w:r w:rsidRPr="004B551C">
        <w:rPr>
          <w:b/>
          <w:bCs/>
          <w:sz w:val="20"/>
          <w:szCs w:val="20"/>
          <w:lang w:bidi="ar-EG"/>
        </w:rPr>
        <w:lastRenderedPageBreak/>
        <w:t xml:space="preserve">effectiveness upon </w:t>
      </w:r>
      <w:r w:rsidRPr="004B551C">
        <w:rPr>
          <w:b/>
          <w:bCs/>
          <w:i/>
          <w:iCs/>
          <w:sz w:val="20"/>
          <w:szCs w:val="20"/>
          <w:lang w:bidi="ar-EG"/>
        </w:rPr>
        <w:t xml:space="preserve">F. </w:t>
      </w:r>
      <w:proofErr w:type="spellStart"/>
      <w:r w:rsidRPr="004B551C">
        <w:rPr>
          <w:b/>
          <w:bCs/>
          <w:i/>
          <w:iCs/>
          <w:sz w:val="20"/>
          <w:szCs w:val="20"/>
          <w:lang w:bidi="ar-EG"/>
        </w:rPr>
        <w:t>oxysporum</w:t>
      </w:r>
      <w:proofErr w:type="spellEnd"/>
      <w:r w:rsidRPr="004B551C">
        <w:rPr>
          <w:b/>
          <w:bCs/>
          <w:sz w:val="20"/>
          <w:szCs w:val="20"/>
          <w:lang w:bidi="ar-EG"/>
        </w:rPr>
        <w:t xml:space="preserve"> as follows; </w:t>
      </w:r>
    </w:p>
    <w:p w:rsidR="00D911CF" w:rsidRPr="004B551C" w:rsidRDefault="00D911CF"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 xml:space="preserve"> &gt; </w:t>
      </w:r>
      <w:proofErr w:type="spellStart"/>
      <w:r w:rsidRPr="004B551C">
        <w:rPr>
          <w:b/>
          <w:bCs/>
          <w:sz w:val="20"/>
          <w:szCs w:val="20"/>
          <w:lang w:bidi="ar-EG"/>
        </w:rPr>
        <w:t>eugenol</w:t>
      </w:r>
      <w:proofErr w:type="spellEnd"/>
      <w:r w:rsidRPr="004B551C">
        <w:rPr>
          <w:b/>
          <w:bCs/>
          <w:sz w:val="20"/>
          <w:szCs w:val="20"/>
          <w:lang w:bidi="ar-EG"/>
        </w:rPr>
        <w:t xml:space="preserve"> &gt; methyl </w:t>
      </w:r>
      <w:proofErr w:type="spellStart"/>
      <w:r w:rsidRPr="004B551C">
        <w:rPr>
          <w:b/>
          <w:bCs/>
          <w:sz w:val="20"/>
          <w:szCs w:val="20"/>
          <w:lang w:bidi="ar-EG"/>
        </w:rPr>
        <w:t>cinnamate</w:t>
      </w:r>
      <w:proofErr w:type="spellEnd"/>
      <w:r w:rsidRPr="004B551C">
        <w:rPr>
          <w:b/>
          <w:bCs/>
          <w:sz w:val="20"/>
          <w:szCs w:val="20"/>
          <w:lang w:bidi="ar-EG"/>
        </w:rPr>
        <w:t>&gt; linalool.</w:t>
      </w:r>
    </w:p>
    <w:p w:rsidR="00D911CF" w:rsidRPr="004B551C" w:rsidRDefault="00D911CF" w:rsidP="004B551C">
      <w:pPr>
        <w:rPr>
          <w:b/>
          <w:bCs/>
          <w:sz w:val="20"/>
          <w:szCs w:val="20"/>
          <w:lang w:bidi="ar-EG"/>
        </w:rPr>
      </w:pPr>
    </w:p>
    <w:p w:rsidR="00D911CF" w:rsidRPr="004B551C" w:rsidRDefault="00D911CF" w:rsidP="004B551C">
      <w:pPr>
        <w:rPr>
          <w:b/>
          <w:bCs/>
          <w:sz w:val="20"/>
          <w:szCs w:val="20"/>
          <w:lang w:bidi="ar-EG"/>
        </w:rPr>
        <w:sectPr w:rsidR="00D911CF" w:rsidRPr="004B551C" w:rsidSect="00B952E0">
          <w:type w:val="continuous"/>
          <w:pgSz w:w="12240" w:h="15840" w:code="1"/>
          <w:pgMar w:top="1440" w:right="1440" w:bottom="851" w:left="1440" w:header="720" w:footer="510" w:gutter="0"/>
          <w:cols w:num="2" w:space="720"/>
          <w:docGrid w:linePitch="360"/>
        </w:sectPr>
      </w:pPr>
    </w:p>
    <w:p w:rsidR="00D911CF" w:rsidRPr="004B551C" w:rsidRDefault="00D911CF" w:rsidP="004B551C">
      <w:pPr>
        <w:rPr>
          <w:b/>
          <w:bCs/>
          <w:sz w:val="20"/>
          <w:szCs w:val="20"/>
          <w:lang w:bidi="ar-EG"/>
        </w:rPr>
      </w:pPr>
    </w:p>
    <w:p w:rsidR="00D911CF" w:rsidRPr="004B551C" w:rsidRDefault="00D911CF" w:rsidP="004B551C">
      <w:pPr>
        <w:ind w:left="1170" w:hanging="1170"/>
        <w:jc w:val="both"/>
        <w:rPr>
          <w:sz w:val="20"/>
          <w:szCs w:val="20"/>
          <w:lang w:bidi="ar-EG"/>
        </w:rPr>
      </w:pPr>
      <w:r w:rsidRPr="004B551C">
        <w:rPr>
          <w:b/>
          <w:bCs/>
          <w:sz w:val="20"/>
          <w:szCs w:val="20"/>
          <w:lang w:bidi="ar-EG"/>
        </w:rPr>
        <w:t>Table (4):</w:t>
      </w:r>
      <w:r w:rsidRPr="004B551C">
        <w:rPr>
          <w:sz w:val="20"/>
          <w:szCs w:val="20"/>
          <w:lang w:bidi="ar-EG"/>
        </w:rPr>
        <w:t xml:space="preserve"> Effect of the selected compounds on </w:t>
      </w:r>
      <w:proofErr w:type="spellStart"/>
      <w:r w:rsidRPr="004B551C">
        <w:rPr>
          <w:i/>
          <w:iCs/>
          <w:sz w:val="20"/>
          <w:szCs w:val="20"/>
          <w:lang w:bidi="ar-EG"/>
        </w:rPr>
        <w:t>Fusarium</w:t>
      </w:r>
      <w:proofErr w:type="spellEnd"/>
      <w:r w:rsidRPr="004B551C">
        <w:rPr>
          <w:i/>
          <w:iCs/>
          <w:sz w:val="20"/>
          <w:szCs w:val="20"/>
          <w:lang w:bidi="ar-EG"/>
        </w:rPr>
        <w:t xml:space="preserve"> </w:t>
      </w:r>
      <w:proofErr w:type="spellStart"/>
      <w:r w:rsidRPr="004B551C">
        <w:rPr>
          <w:i/>
          <w:iCs/>
          <w:sz w:val="20"/>
          <w:szCs w:val="20"/>
          <w:lang w:bidi="ar-EG"/>
        </w:rPr>
        <w:t>oxysporum</w:t>
      </w:r>
      <w:proofErr w:type="spellEnd"/>
      <w:r w:rsidRPr="004B551C">
        <w:rPr>
          <w:i/>
          <w:iCs/>
          <w:sz w:val="20"/>
          <w:szCs w:val="20"/>
          <w:lang w:bidi="ar-EG"/>
        </w:rPr>
        <w:t xml:space="preserve"> </w:t>
      </w:r>
      <w:r w:rsidRPr="004B551C">
        <w:rPr>
          <w:sz w:val="20"/>
          <w:szCs w:val="20"/>
          <w:lang w:bidi="ar-EG"/>
        </w:rPr>
        <w:t xml:space="preserve"> after 6 days of incubation.</w:t>
      </w:r>
    </w:p>
    <w:tbl>
      <w:tblPr>
        <w:tblW w:w="5182"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377"/>
        <w:gridCol w:w="731"/>
        <w:gridCol w:w="731"/>
        <w:gridCol w:w="730"/>
        <w:gridCol w:w="730"/>
        <w:gridCol w:w="734"/>
        <w:gridCol w:w="1094"/>
        <w:gridCol w:w="1012"/>
        <w:gridCol w:w="750"/>
        <w:gridCol w:w="1006"/>
        <w:gridCol w:w="1030"/>
      </w:tblGrid>
      <w:tr w:rsidR="00D911CF" w:rsidRPr="004B551C" w:rsidTr="00606658">
        <w:trPr>
          <w:trHeight w:val="285"/>
          <w:jc w:val="center"/>
        </w:trPr>
        <w:tc>
          <w:tcPr>
            <w:tcW w:w="693" w:type="pct"/>
            <w:vMerge w:val="restart"/>
            <w:tcBorders>
              <w:right w:val="single" w:sz="4" w:space="0" w:color="auto"/>
            </w:tcBorders>
            <w:vAlign w:val="center"/>
          </w:tcPr>
          <w:p w:rsidR="00D911CF" w:rsidRPr="004B551C" w:rsidRDefault="00D911CF" w:rsidP="004B551C">
            <w:pPr>
              <w:jc w:val="center"/>
              <w:rPr>
                <w:b/>
                <w:bCs/>
                <w:sz w:val="20"/>
                <w:szCs w:val="20"/>
                <w:lang w:bidi="ar-EG"/>
              </w:rPr>
            </w:pPr>
            <w:r w:rsidRPr="004B551C">
              <w:rPr>
                <w:b/>
                <w:bCs/>
                <w:sz w:val="20"/>
                <w:szCs w:val="20"/>
                <w:lang w:bidi="ar-EG"/>
              </w:rPr>
              <w:t>Compounds tested</w:t>
            </w:r>
          </w:p>
        </w:tc>
        <w:tc>
          <w:tcPr>
            <w:tcW w:w="1842" w:type="pct"/>
            <w:gridSpan w:val="5"/>
            <w:tcBorders>
              <w:left w:val="single" w:sz="4" w:space="0" w:color="auto"/>
              <w:right w:val="single" w:sz="4" w:space="0" w:color="auto"/>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 xml:space="preserve">Concentrations in  </w:t>
            </w:r>
            <w:proofErr w:type="spellStart"/>
            <w:r w:rsidRPr="004B551C">
              <w:rPr>
                <w:b/>
                <w:bCs/>
                <w:sz w:val="20"/>
                <w:szCs w:val="20"/>
                <w:lang w:bidi="ar-EG"/>
              </w:rPr>
              <w:t>ppm</w:t>
            </w:r>
            <w:proofErr w:type="spellEnd"/>
            <w:r w:rsidRPr="004B551C">
              <w:rPr>
                <w:b/>
                <w:bCs/>
                <w:sz w:val="20"/>
                <w:szCs w:val="20"/>
                <w:lang w:bidi="ar-EG"/>
              </w:rPr>
              <w:t xml:space="preserve"> (µg/ml)</w:t>
            </w:r>
          </w:p>
        </w:tc>
        <w:tc>
          <w:tcPr>
            <w:tcW w:w="551" w:type="pct"/>
            <w:vMerge w:val="restart"/>
            <w:tcBorders>
              <w:left w:val="single" w:sz="4" w:space="0" w:color="auto"/>
            </w:tcBorders>
            <w:vAlign w:val="center"/>
          </w:tcPr>
          <w:p w:rsidR="00D911CF" w:rsidRPr="004B551C" w:rsidRDefault="00D911CF"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25</w:t>
            </w:r>
          </w:p>
        </w:tc>
        <w:tc>
          <w:tcPr>
            <w:tcW w:w="510" w:type="pct"/>
            <w:vMerge w:val="restart"/>
            <w:vAlign w:val="center"/>
          </w:tcPr>
          <w:p w:rsidR="00D911CF" w:rsidRPr="004B551C" w:rsidRDefault="00D911CF"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50</w:t>
            </w:r>
          </w:p>
        </w:tc>
        <w:tc>
          <w:tcPr>
            <w:tcW w:w="378" w:type="pct"/>
            <w:vMerge w:val="restart"/>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Slope</w:t>
            </w:r>
          </w:p>
        </w:tc>
        <w:tc>
          <w:tcPr>
            <w:tcW w:w="507" w:type="pct"/>
            <w:vMerge w:val="restart"/>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Toxicity Index</w:t>
            </w:r>
          </w:p>
        </w:tc>
        <w:tc>
          <w:tcPr>
            <w:tcW w:w="520" w:type="pct"/>
            <w:vMerge w:val="restart"/>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Relative Potency</w:t>
            </w:r>
          </w:p>
        </w:tc>
      </w:tr>
      <w:tr w:rsidR="00D911CF" w:rsidRPr="004B551C" w:rsidTr="00606658">
        <w:trPr>
          <w:trHeight w:val="285"/>
          <w:jc w:val="center"/>
        </w:trPr>
        <w:tc>
          <w:tcPr>
            <w:tcW w:w="693" w:type="pct"/>
            <w:vMerge/>
            <w:tcBorders>
              <w:right w:val="single" w:sz="4" w:space="0" w:color="auto"/>
            </w:tcBorders>
            <w:vAlign w:val="center"/>
          </w:tcPr>
          <w:p w:rsidR="00D911CF" w:rsidRPr="004B551C" w:rsidRDefault="00D911CF" w:rsidP="004B551C">
            <w:pPr>
              <w:jc w:val="center"/>
              <w:rPr>
                <w:b/>
                <w:bCs/>
                <w:sz w:val="20"/>
                <w:szCs w:val="20"/>
                <w:lang w:bidi="ar-EG"/>
              </w:rPr>
            </w:pPr>
          </w:p>
        </w:tc>
        <w:tc>
          <w:tcPr>
            <w:tcW w:w="368" w:type="pct"/>
            <w:tcBorders>
              <w:left w:val="single" w:sz="4" w:space="0" w:color="auto"/>
              <w:right w:val="nil"/>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A</w:t>
            </w:r>
          </w:p>
        </w:tc>
        <w:tc>
          <w:tcPr>
            <w:tcW w:w="368" w:type="pct"/>
            <w:tcBorders>
              <w:left w:val="nil"/>
              <w:right w:val="nil"/>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B</w:t>
            </w:r>
          </w:p>
        </w:tc>
        <w:tc>
          <w:tcPr>
            <w:tcW w:w="368" w:type="pct"/>
            <w:tcBorders>
              <w:left w:val="nil"/>
              <w:right w:val="nil"/>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C</w:t>
            </w:r>
          </w:p>
        </w:tc>
        <w:tc>
          <w:tcPr>
            <w:tcW w:w="368" w:type="pct"/>
            <w:tcBorders>
              <w:left w:val="nil"/>
              <w:right w:val="nil"/>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D</w:t>
            </w:r>
          </w:p>
        </w:tc>
        <w:tc>
          <w:tcPr>
            <w:tcW w:w="370" w:type="pct"/>
            <w:tcBorders>
              <w:left w:val="nil"/>
              <w:right w:val="single" w:sz="4" w:space="0" w:color="auto"/>
            </w:tcBorders>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E</w:t>
            </w:r>
          </w:p>
        </w:tc>
        <w:tc>
          <w:tcPr>
            <w:tcW w:w="551" w:type="pct"/>
            <w:vMerge/>
            <w:tcBorders>
              <w:left w:val="single" w:sz="4" w:space="0" w:color="auto"/>
            </w:tcBorders>
            <w:vAlign w:val="center"/>
          </w:tcPr>
          <w:p w:rsidR="00D911CF" w:rsidRPr="004B551C" w:rsidRDefault="00D911CF" w:rsidP="004B551C">
            <w:pPr>
              <w:jc w:val="center"/>
              <w:rPr>
                <w:b/>
                <w:bCs/>
                <w:sz w:val="20"/>
                <w:szCs w:val="20"/>
                <w:lang w:bidi="ar-EG"/>
              </w:rPr>
            </w:pPr>
          </w:p>
        </w:tc>
        <w:tc>
          <w:tcPr>
            <w:tcW w:w="510" w:type="pct"/>
            <w:vMerge/>
            <w:vAlign w:val="center"/>
          </w:tcPr>
          <w:p w:rsidR="00D911CF" w:rsidRPr="004B551C" w:rsidRDefault="00D911CF" w:rsidP="004B551C">
            <w:pPr>
              <w:jc w:val="center"/>
              <w:rPr>
                <w:b/>
                <w:bCs/>
                <w:sz w:val="20"/>
                <w:szCs w:val="20"/>
                <w:lang w:bidi="ar-EG"/>
              </w:rPr>
            </w:pPr>
          </w:p>
        </w:tc>
        <w:tc>
          <w:tcPr>
            <w:tcW w:w="378" w:type="pct"/>
            <w:vMerge/>
            <w:shd w:val="clear" w:color="auto" w:fill="auto"/>
            <w:vAlign w:val="center"/>
          </w:tcPr>
          <w:p w:rsidR="00D911CF" w:rsidRPr="004B551C" w:rsidRDefault="00D911CF" w:rsidP="004B551C">
            <w:pPr>
              <w:jc w:val="center"/>
              <w:rPr>
                <w:b/>
                <w:bCs/>
                <w:sz w:val="20"/>
                <w:szCs w:val="20"/>
                <w:lang w:bidi="ar-EG"/>
              </w:rPr>
            </w:pPr>
          </w:p>
        </w:tc>
        <w:tc>
          <w:tcPr>
            <w:tcW w:w="507" w:type="pct"/>
            <w:vMerge/>
            <w:shd w:val="clear" w:color="auto" w:fill="auto"/>
            <w:vAlign w:val="center"/>
          </w:tcPr>
          <w:p w:rsidR="00D911CF" w:rsidRPr="004B551C" w:rsidRDefault="00D911CF" w:rsidP="004B551C">
            <w:pPr>
              <w:jc w:val="center"/>
              <w:rPr>
                <w:b/>
                <w:bCs/>
                <w:sz w:val="20"/>
                <w:szCs w:val="20"/>
                <w:lang w:bidi="ar-EG"/>
              </w:rPr>
            </w:pPr>
          </w:p>
        </w:tc>
        <w:tc>
          <w:tcPr>
            <w:tcW w:w="520" w:type="pct"/>
            <w:vMerge/>
            <w:shd w:val="clear" w:color="auto" w:fill="auto"/>
            <w:vAlign w:val="center"/>
          </w:tcPr>
          <w:p w:rsidR="00D911CF" w:rsidRPr="004B551C" w:rsidRDefault="00D911CF" w:rsidP="004B551C">
            <w:pPr>
              <w:jc w:val="center"/>
              <w:rPr>
                <w:b/>
                <w:bCs/>
                <w:sz w:val="20"/>
                <w:szCs w:val="20"/>
                <w:lang w:bidi="ar-EG"/>
              </w:rPr>
            </w:pPr>
          </w:p>
        </w:tc>
      </w:tr>
      <w:tr w:rsidR="00D911CF" w:rsidRPr="004B551C" w:rsidTr="00606658">
        <w:trPr>
          <w:trHeight w:val="499"/>
          <w:jc w:val="center"/>
        </w:trPr>
        <w:tc>
          <w:tcPr>
            <w:tcW w:w="693" w:type="pct"/>
            <w:tcBorders>
              <w:right w:val="single" w:sz="4" w:space="0" w:color="auto"/>
            </w:tcBorders>
            <w:vAlign w:val="center"/>
          </w:tcPr>
          <w:p w:rsidR="00D911CF" w:rsidRPr="004B551C" w:rsidRDefault="00D911CF"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w:t>
            </w:r>
          </w:p>
        </w:tc>
        <w:tc>
          <w:tcPr>
            <w:tcW w:w="368" w:type="pct"/>
            <w:tcBorders>
              <w:left w:val="single" w:sz="4" w:space="0" w:color="auto"/>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16.93</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65.08</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87.98</w:t>
            </w:r>
          </w:p>
        </w:tc>
        <w:tc>
          <w:tcPr>
            <w:tcW w:w="368" w:type="pct"/>
            <w:tcBorders>
              <w:lef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95.82</w:t>
            </w:r>
          </w:p>
        </w:tc>
        <w:tc>
          <w:tcPr>
            <w:tcW w:w="370" w:type="pct"/>
            <w:tcBorders>
              <w:right w:val="single" w:sz="4" w:space="0" w:color="auto"/>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98.41</w:t>
            </w:r>
          </w:p>
        </w:tc>
        <w:tc>
          <w:tcPr>
            <w:tcW w:w="551" w:type="pct"/>
            <w:tcBorders>
              <w:left w:val="single" w:sz="4" w:space="0" w:color="auto"/>
            </w:tcBorders>
            <w:vAlign w:val="center"/>
          </w:tcPr>
          <w:p w:rsidR="00D911CF" w:rsidRPr="004B551C" w:rsidRDefault="00D911CF" w:rsidP="004B551C">
            <w:pPr>
              <w:jc w:val="center"/>
              <w:rPr>
                <w:sz w:val="20"/>
                <w:szCs w:val="20"/>
                <w:lang w:bidi="ar-EG"/>
              </w:rPr>
            </w:pPr>
            <w:r w:rsidRPr="004B551C">
              <w:rPr>
                <w:sz w:val="20"/>
                <w:szCs w:val="20"/>
                <w:lang w:bidi="ar-EG"/>
              </w:rPr>
              <w:t>57.84</w:t>
            </w:r>
          </w:p>
        </w:tc>
        <w:tc>
          <w:tcPr>
            <w:tcW w:w="510" w:type="pct"/>
            <w:vAlign w:val="center"/>
          </w:tcPr>
          <w:p w:rsidR="00D911CF" w:rsidRPr="004B551C" w:rsidRDefault="00D911CF" w:rsidP="004B551C">
            <w:pPr>
              <w:jc w:val="center"/>
              <w:rPr>
                <w:b/>
                <w:bCs/>
                <w:sz w:val="20"/>
                <w:szCs w:val="20"/>
                <w:lang w:bidi="ar-EG"/>
              </w:rPr>
            </w:pPr>
            <w:r w:rsidRPr="004B551C">
              <w:rPr>
                <w:b/>
                <w:bCs/>
                <w:sz w:val="20"/>
                <w:szCs w:val="20"/>
                <w:lang w:bidi="ar-EG"/>
              </w:rPr>
              <w:t>81.89</w:t>
            </w:r>
          </w:p>
        </w:tc>
        <w:tc>
          <w:tcPr>
            <w:tcW w:w="378"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4.47</w:t>
            </w:r>
          </w:p>
        </w:tc>
        <w:tc>
          <w:tcPr>
            <w:tcW w:w="507" w:type="pct"/>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100</w:t>
            </w:r>
          </w:p>
        </w:tc>
        <w:tc>
          <w:tcPr>
            <w:tcW w:w="520" w:type="pct"/>
            <w:shd w:val="clear" w:color="auto" w:fill="auto"/>
            <w:vAlign w:val="center"/>
          </w:tcPr>
          <w:p w:rsidR="00D911CF" w:rsidRPr="004B551C" w:rsidRDefault="00D911CF" w:rsidP="004B551C">
            <w:pPr>
              <w:jc w:val="center"/>
              <w:rPr>
                <w:b/>
                <w:bCs/>
                <w:sz w:val="20"/>
                <w:szCs w:val="20"/>
                <w:lang w:bidi="ar-EG"/>
              </w:rPr>
            </w:pPr>
            <w:r w:rsidRPr="004B551C">
              <w:rPr>
                <w:b/>
                <w:bCs/>
                <w:sz w:val="20"/>
                <w:szCs w:val="20"/>
                <w:lang w:bidi="ar-EG"/>
              </w:rPr>
              <w:t>16.58</w:t>
            </w:r>
          </w:p>
        </w:tc>
      </w:tr>
      <w:tr w:rsidR="00D911CF" w:rsidRPr="004B551C" w:rsidTr="00606658">
        <w:trPr>
          <w:trHeight w:val="499"/>
          <w:jc w:val="center"/>
        </w:trPr>
        <w:tc>
          <w:tcPr>
            <w:tcW w:w="693" w:type="pct"/>
            <w:tcBorders>
              <w:right w:val="single" w:sz="4" w:space="0" w:color="auto"/>
            </w:tcBorders>
            <w:vAlign w:val="center"/>
          </w:tcPr>
          <w:p w:rsidR="00D911CF" w:rsidRPr="004B551C" w:rsidRDefault="00D911CF" w:rsidP="004B551C">
            <w:pPr>
              <w:jc w:val="center"/>
              <w:rPr>
                <w:b/>
                <w:bCs/>
                <w:sz w:val="20"/>
                <w:szCs w:val="20"/>
                <w:lang w:bidi="ar-EG"/>
              </w:rPr>
            </w:pPr>
            <w:proofErr w:type="spellStart"/>
            <w:r w:rsidRPr="004B551C">
              <w:rPr>
                <w:b/>
                <w:bCs/>
                <w:sz w:val="20"/>
                <w:szCs w:val="20"/>
                <w:lang w:bidi="ar-EG"/>
              </w:rPr>
              <w:t>Eugenol</w:t>
            </w:r>
            <w:proofErr w:type="spellEnd"/>
            <w:r w:rsidRPr="004B551C">
              <w:rPr>
                <w:b/>
                <w:bCs/>
                <w:sz w:val="20"/>
                <w:szCs w:val="20"/>
                <w:lang w:bidi="ar-EG"/>
              </w:rPr>
              <w:t>*</w:t>
            </w:r>
          </w:p>
        </w:tc>
        <w:tc>
          <w:tcPr>
            <w:tcW w:w="368" w:type="pct"/>
            <w:tcBorders>
              <w:left w:val="single" w:sz="4" w:space="0" w:color="auto"/>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3.91</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17.78</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33.23</w:t>
            </w:r>
          </w:p>
        </w:tc>
        <w:tc>
          <w:tcPr>
            <w:tcW w:w="368" w:type="pct"/>
            <w:tcBorders>
              <w:lef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46.57</w:t>
            </w:r>
          </w:p>
        </w:tc>
        <w:tc>
          <w:tcPr>
            <w:tcW w:w="370" w:type="pct"/>
            <w:tcBorders>
              <w:right w:val="single" w:sz="4" w:space="0" w:color="auto"/>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57.29</w:t>
            </w:r>
          </w:p>
        </w:tc>
        <w:tc>
          <w:tcPr>
            <w:tcW w:w="551" w:type="pct"/>
            <w:tcBorders>
              <w:left w:val="single" w:sz="4" w:space="0" w:color="auto"/>
            </w:tcBorders>
            <w:vAlign w:val="center"/>
          </w:tcPr>
          <w:p w:rsidR="00D911CF" w:rsidRPr="004B551C" w:rsidRDefault="00D911CF" w:rsidP="004B551C">
            <w:pPr>
              <w:jc w:val="center"/>
              <w:rPr>
                <w:sz w:val="20"/>
                <w:szCs w:val="20"/>
                <w:lang w:bidi="ar-EG"/>
              </w:rPr>
            </w:pPr>
            <w:r w:rsidRPr="004B551C">
              <w:rPr>
                <w:sz w:val="20"/>
                <w:szCs w:val="20"/>
                <w:lang w:bidi="ar-EG"/>
              </w:rPr>
              <w:t>122.90</w:t>
            </w:r>
          </w:p>
        </w:tc>
        <w:tc>
          <w:tcPr>
            <w:tcW w:w="510" w:type="pct"/>
            <w:vAlign w:val="center"/>
          </w:tcPr>
          <w:p w:rsidR="00D911CF" w:rsidRPr="004B551C" w:rsidRDefault="00D911CF" w:rsidP="004B551C">
            <w:pPr>
              <w:jc w:val="center"/>
              <w:rPr>
                <w:sz w:val="20"/>
                <w:szCs w:val="20"/>
                <w:lang w:bidi="ar-EG"/>
              </w:rPr>
            </w:pPr>
            <w:r w:rsidRPr="004B551C">
              <w:rPr>
                <w:sz w:val="20"/>
                <w:szCs w:val="20"/>
                <w:lang w:bidi="ar-EG"/>
              </w:rPr>
              <w:t>214.74</w:t>
            </w:r>
          </w:p>
        </w:tc>
        <w:tc>
          <w:tcPr>
            <w:tcW w:w="378"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2.78</w:t>
            </w:r>
          </w:p>
        </w:tc>
        <w:tc>
          <w:tcPr>
            <w:tcW w:w="507"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38.14</w:t>
            </w:r>
          </w:p>
        </w:tc>
        <w:tc>
          <w:tcPr>
            <w:tcW w:w="520"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6.32</w:t>
            </w:r>
          </w:p>
        </w:tc>
      </w:tr>
      <w:tr w:rsidR="00D911CF" w:rsidRPr="004B551C" w:rsidTr="00606658">
        <w:trPr>
          <w:trHeight w:val="499"/>
          <w:jc w:val="center"/>
        </w:trPr>
        <w:tc>
          <w:tcPr>
            <w:tcW w:w="693" w:type="pct"/>
            <w:tcBorders>
              <w:right w:val="single" w:sz="4" w:space="0" w:color="auto"/>
            </w:tcBorders>
            <w:vAlign w:val="center"/>
          </w:tcPr>
          <w:p w:rsidR="00D911CF" w:rsidRPr="004B551C" w:rsidRDefault="00D911CF" w:rsidP="004B551C">
            <w:pPr>
              <w:jc w:val="center"/>
              <w:rPr>
                <w:b/>
                <w:bCs/>
                <w:sz w:val="20"/>
                <w:szCs w:val="20"/>
                <w:lang w:bidi="ar-EG"/>
              </w:rPr>
            </w:pPr>
            <w:r w:rsidRPr="004B551C">
              <w:rPr>
                <w:b/>
                <w:bCs/>
                <w:sz w:val="20"/>
                <w:szCs w:val="20"/>
                <w:lang w:bidi="ar-EG"/>
              </w:rPr>
              <w:t xml:space="preserve">Methyl </w:t>
            </w:r>
            <w:proofErr w:type="spellStart"/>
            <w:r w:rsidRPr="004B551C">
              <w:rPr>
                <w:b/>
                <w:bCs/>
                <w:sz w:val="20"/>
                <w:szCs w:val="20"/>
                <w:lang w:bidi="ar-EG"/>
              </w:rPr>
              <w:t>cinnamate</w:t>
            </w:r>
            <w:proofErr w:type="spellEnd"/>
            <w:r w:rsidRPr="004B551C">
              <w:rPr>
                <w:b/>
                <w:bCs/>
                <w:sz w:val="20"/>
                <w:szCs w:val="20"/>
                <w:lang w:bidi="ar-EG"/>
              </w:rPr>
              <w:t>*</w:t>
            </w:r>
          </w:p>
        </w:tc>
        <w:tc>
          <w:tcPr>
            <w:tcW w:w="368" w:type="pct"/>
            <w:tcBorders>
              <w:left w:val="single" w:sz="4" w:space="0" w:color="auto"/>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0.06</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2.5</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11.14</w:t>
            </w:r>
          </w:p>
        </w:tc>
        <w:tc>
          <w:tcPr>
            <w:tcW w:w="368" w:type="pct"/>
            <w:tcBorders>
              <w:lef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24.54</w:t>
            </w:r>
          </w:p>
        </w:tc>
        <w:tc>
          <w:tcPr>
            <w:tcW w:w="370" w:type="pct"/>
            <w:tcBorders>
              <w:right w:val="single" w:sz="4" w:space="0" w:color="auto"/>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39.05</w:t>
            </w:r>
          </w:p>
        </w:tc>
        <w:tc>
          <w:tcPr>
            <w:tcW w:w="551" w:type="pct"/>
            <w:tcBorders>
              <w:left w:val="single" w:sz="4" w:space="0" w:color="auto"/>
            </w:tcBorders>
            <w:vAlign w:val="center"/>
          </w:tcPr>
          <w:p w:rsidR="00D911CF" w:rsidRPr="004B551C" w:rsidRDefault="00D911CF" w:rsidP="004B551C">
            <w:pPr>
              <w:jc w:val="center"/>
              <w:rPr>
                <w:sz w:val="20"/>
                <w:szCs w:val="20"/>
                <w:lang w:bidi="ar-EG"/>
              </w:rPr>
            </w:pPr>
            <w:r w:rsidRPr="004B551C">
              <w:rPr>
                <w:sz w:val="20"/>
                <w:szCs w:val="20"/>
                <w:lang w:bidi="ar-EG"/>
              </w:rPr>
              <w:t>201.58</w:t>
            </w:r>
          </w:p>
        </w:tc>
        <w:tc>
          <w:tcPr>
            <w:tcW w:w="510" w:type="pct"/>
            <w:vAlign w:val="center"/>
          </w:tcPr>
          <w:p w:rsidR="00D911CF" w:rsidRPr="004B551C" w:rsidRDefault="00D911CF" w:rsidP="004B551C">
            <w:pPr>
              <w:jc w:val="center"/>
              <w:rPr>
                <w:sz w:val="20"/>
                <w:szCs w:val="20"/>
                <w:lang w:bidi="ar-EG"/>
              </w:rPr>
            </w:pPr>
            <w:r w:rsidRPr="004B551C">
              <w:rPr>
                <w:sz w:val="20"/>
                <w:szCs w:val="20"/>
                <w:lang w:bidi="ar-EG"/>
              </w:rPr>
              <w:t>290.66</w:t>
            </w:r>
          </w:p>
        </w:tc>
        <w:tc>
          <w:tcPr>
            <w:tcW w:w="378"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4.24</w:t>
            </w:r>
          </w:p>
        </w:tc>
        <w:tc>
          <w:tcPr>
            <w:tcW w:w="507"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28.16</w:t>
            </w:r>
          </w:p>
        </w:tc>
        <w:tc>
          <w:tcPr>
            <w:tcW w:w="520"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4.67</w:t>
            </w:r>
          </w:p>
        </w:tc>
      </w:tr>
      <w:tr w:rsidR="00D911CF" w:rsidRPr="004B551C" w:rsidTr="00606658">
        <w:trPr>
          <w:trHeight w:val="499"/>
          <w:jc w:val="center"/>
        </w:trPr>
        <w:tc>
          <w:tcPr>
            <w:tcW w:w="693" w:type="pct"/>
            <w:tcBorders>
              <w:right w:val="single" w:sz="4" w:space="0" w:color="auto"/>
            </w:tcBorders>
            <w:vAlign w:val="center"/>
          </w:tcPr>
          <w:p w:rsidR="00D911CF" w:rsidRPr="004B551C" w:rsidRDefault="00D911CF" w:rsidP="004B551C">
            <w:pPr>
              <w:jc w:val="center"/>
              <w:rPr>
                <w:b/>
                <w:bCs/>
                <w:sz w:val="20"/>
                <w:szCs w:val="20"/>
                <w:lang w:bidi="ar-EG"/>
              </w:rPr>
            </w:pPr>
            <w:r w:rsidRPr="004B551C">
              <w:rPr>
                <w:b/>
                <w:bCs/>
                <w:sz w:val="20"/>
                <w:szCs w:val="20"/>
                <w:lang w:bidi="ar-EG"/>
              </w:rPr>
              <w:t>Linalool**</w:t>
            </w:r>
          </w:p>
        </w:tc>
        <w:tc>
          <w:tcPr>
            <w:tcW w:w="368" w:type="pct"/>
            <w:tcBorders>
              <w:left w:val="single" w:sz="4" w:space="0" w:color="auto"/>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1.36</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24.76</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80.64</w:t>
            </w:r>
          </w:p>
        </w:tc>
        <w:tc>
          <w:tcPr>
            <w:tcW w:w="368" w:type="pct"/>
            <w:tcBorders>
              <w:lef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99.21</w:t>
            </w:r>
          </w:p>
        </w:tc>
        <w:tc>
          <w:tcPr>
            <w:tcW w:w="370" w:type="pct"/>
            <w:tcBorders>
              <w:right w:val="single" w:sz="4" w:space="0" w:color="auto"/>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100</w:t>
            </w:r>
          </w:p>
        </w:tc>
        <w:tc>
          <w:tcPr>
            <w:tcW w:w="551" w:type="pct"/>
            <w:tcBorders>
              <w:left w:val="single" w:sz="4" w:space="0" w:color="auto"/>
            </w:tcBorders>
            <w:vAlign w:val="center"/>
          </w:tcPr>
          <w:p w:rsidR="00D911CF" w:rsidRPr="004B551C" w:rsidRDefault="00D911CF" w:rsidP="004B551C">
            <w:pPr>
              <w:jc w:val="center"/>
              <w:rPr>
                <w:sz w:val="20"/>
                <w:szCs w:val="20"/>
                <w:lang w:bidi="ar-EG"/>
              </w:rPr>
            </w:pPr>
            <w:r w:rsidRPr="004B551C">
              <w:rPr>
                <w:sz w:val="20"/>
                <w:szCs w:val="20"/>
                <w:lang w:bidi="ar-EG"/>
              </w:rPr>
              <w:t>1003.42</w:t>
            </w:r>
          </w:p>
        </w:tc>
        <w:tc>
          <w:tcPr>
            <w:tcW w:w="510" w:type="pct"/>
            <w:vAlign w:val="center"/>
          </w:tcPr>
          <w:p w:rsidR="00D911CF" w:rsidRPr="004B551C" w:rsidRDefault="00D911CF" w:rsidP="004B551C">
            <w:pPr>
              <w:jc w:val="center"/>
              <w:rPr>
                <w:sz w:val="20"/>
                <w:szCs w:val="20"/>
                <w:lang w:bidi="ar-EG"/>
              </w:rPr>
            </w:pPr>
            <w:r w:rsidRPr="004B551C">
              <w:rPr>
                <w:sz w:val="20"/>
                <w:szCs w:val="20"/>
                <w:lang w:bidi="ar-EG"/>
              </w:rPr>
              <w:t>1357.4</w:t>
            </w:r>
          </w:p>
        </w:tc>
        <w:tc>
          <w:tcPr>
            <w:tcW w:w="378"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5.14</w:t>
            </w:r>
          </w:p>
        </w:tc>
        <w:tc>
          <w:tcPr>
            <w:tcW w:w="507"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6.03</w:t>
            </w:r>
          </w:p>
        </w:tc>
        <w:tc>
          <w:tcPr>
            <w:tcW w:w="520"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w:t>
            </w:r>
          </w:p>
        </w:tc>
      </w:tr>
      <w:tr w:rsidR="00D911CF" w:rsidRPr="004B551C" w:rsidTr="00606658">
        <w:trPr>
          <w:trHeight w:val="499"/>
          <w:jc w:val="center"/>
        </w:trPr>
        <w:tc>
          <w:tcPr>
            <w:tcW w:w="693" w:type="pct"/>
            <w:tcBorders>
              <w:right w:val="single" w:sz="4" w:space="0" w:color="auto"/>
            </w:tcBorders>
            <w:vAlign w:val="center"/>
          </w:tcPr>
          <w:p w:rsidR="00D911CF" w:rsidRPr="004B551C" w:rsidRDefault="00D911CF" w:rsidP="004B551C">
            <w:pPr>
              <w:jc w:val="center"/>
              <w:rPr>
                <w:b/>
                <w:bCs/>
                <w:sz w:val="20"/>
                <w:szCs w:val="20"/>
                <w:lang w:bidi="ar-EG"/>
              </w:rPr>
            </w:pPr>
            <w:r w:rsidRPr="004B551C">
              <w:rPr>
                <w:b/>
                <w:bCs/>
                <w:sz w:val="20"/>
                <w:szCs w:val="20"/>
                <w:lang w:bidi="ar-EG"/>
              </w:rPr>
              <w:t>1,8-Cineol**</w:t>
            </w:r>
          </w:p>
        </w:tc>
        <w:tc>
          <w:tcPr>
            <w:tcW w:w="368" w:type="pct"/>
            <w:tcBorders>
              <w:left w:val="single" w:sz="4" w:space="0" w:color="auto"/>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0.0</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0.0</w:t>
            </w:r>
          </w:p>
        </w:tc>
        <w:tc>
          <w:tcPr>
            <w:tcW w:w="368" w:type="pct"/>
            <w:tcBorders>
              <w:left w:val="nil"/>
              <w:righ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0.0</w:t>
            </w:r>
          </w:p>
        </w:tc>
        <w:tc>
          <w:tcPr>
            <w:tcW w:w="368" w:type="pct"/>
            <w:tcBorders>
              <w:left w:val="nil"/>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0.0</w:t>
            </w:r>
          </w:p>
        </w:tc>
        <w:tc>
          <w:tcPr>
            <w:tcW w:w="370" w:type="pct"/>
            <w:tcBorders>
              <w:right w:val="single" w:sz="4" w:space="0" w:color="auto"/>
            </w:tcBorders>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10.67</w:t>
            </w:r>
          </w:p>
        </w:tc>
        <w:tc>
          <w:tcPr>
            <w:tcW w:w="551" w:type="pct"/>
            <w:tcBorders>
              <w:left w:val="single" w:sz="4" w:space="0" w:color="auto"/>
            </w:tcBorders>
            <w:vAlign w:val="center"/>
          </w:tcPr>
          <w:p w:rsidR="00D911CF" w:rsidRPr="004B551C" w:rsidRDefault="00D911CF" w:rsidP="004B551C">
            <w:pPr>
              <w:jc w:val="center"/>
              <w:rPr>
                <w:sz w:val="20"/>
                <w:szCs w:val="20"/>
                <w:lang w:bidi="ar-EG"/>
              </w:rPr>
            </w:pPr>
            <w:r w:rsidRPr="004B551C">
              <w:rPr>
                <w:sz w:val="20"/>
                <w:szCs w:val="20"/>
                <w:lang w:bidi="ar-EG"/>
              </w:rPr>
              <w:t>-</w:t>
            </w:r>
          </w:p>
        </w:tc>
        <w:tc>
          <w:tcPr>
            <w:tcW w:w="510" w:type="pct"/>
            <w:vAlign w:val="center"/>
          </w:tcPr>
          <w:p w:rsidR="00D911CF" w:rsidRPr="004B551C" w:rsidRDefault="00D911CF" w:rsidP="004B551C">
            <w:pPr>
              <w:jc w:val="center"/>
              <w:rPr>
                <w:sz w:val="20"/>
                <w:szCs w:val="20"/>
                <w:lang w:bidi="ar-EG"/>
              </w:rPr>
            </w:pPr>
            <w:r w:rsidRPr="004B551C">
              <w:rPr>
                <w:sz w:val="20"/>
                <w:szCs w:val="20"/>
                <w:lang w:bidi="ar-EG"/>
              </w:rPr>
              <w:t>-</w:t>
            </w:r>
          </w:p>
        </w:tc>
        <w:tc>
          <w:tcPr>
            <w:tcW w:w="378"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w:t>
            </w:r>
          </w:p>
        </w:tc>
        <w:tc>
          <w:tcPr>
            <w:tcW w:w="507"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w:t>
            </w:r>
          </w:p>
        </w:tc>
        <w:tc>
          <w:tcPr>
            <w:tcW w:w="520" w:type="pct"/>
            <w:shd w:val="clear" w:color="auto" w:fill="auto"/>
            <w:vAlign w:val="center"/>
          </w:tcPr>
          <w:p w:rsidR="00D911CF" w:rsidRPr="004B551C" w:rsidRDefault="00D911CF" w:rsidP="004B551C">
            <w:pPr>
              <w:jc w:val="center"/>
              <w:rPr>
                <w:sz w:val="20"/>
                <w:szCs w:val="20"/>
                <w:lang w:bidi="ar-EG"/>
              </w:rPr>
            </w:pPr>
            <w:r w:rsidRPr="004B551C">
              <w:rPr>
                <w:sz w:val="20"/>
                <w:szCs w:val="20"/>
                <w:lang w:bidi="ar-EG"/>
              </w:rPr>
              <w:t>-</w:t>
            </w:r>
          </w:p>
        </w:tc>
      </w:tr>
    </w:tbl>
    <w:p w:rsidR="00606658" w:rsidRPr="004B551C" w:rsidRDefault="00606658" w:rsidP="004B551C">
      <w:pPr>
        <w:jc w:val="both"/>
        <w:rPr>
          <w:sz w:val="20"/>
          <w:szCs w:val="20"/>
          <w:lang w:bidi="ar-EG"/>
        </w:rPr>
      </w:pPr>
      <w:r w:rsidRPr="004B551C">
        <w:rPr>
          <w:sz w:val="20"/>
          <w:szCs w:val="20"/>
          <w:lang w:bidi="ar-EG"/>
        </w:rPr>
        <w:t>A, B, C, D and E concentrations are:</w:t>
      </w:r>
    </w:p>
    <w:p w:rsidR="00606658" w:rsidRPr="004B551C" w:rsidRDefault="00606658" w:rsidP="004B551C">
      <w:pPr>
        <w:ind w:left="426" w:hanging="142"/>
        <w:jc w:val="both"/>
        <w:rPr>
          <w:sz w:val="20"/>
          <w:szCs w:val="20"/>
          <w:lang w:bidi="ar-EG"/>
        </w:rPr>
      </w:pPr>
      <w:r w:rsidRPr="004B551C">
        <w:rPr>
          <w:sz w:val="20"/>
          <w:szCs w:val="20"/>
          <w:lang w:bidi="ar-EG"/>
        </w:rPr>
        <w:t xml:space="preserve"> </w:t>
      </w:r>
      <w:r w:rsidRPr="004B551C">
        <w:rPr>
          <w:sz w:val="20"/>
          <w:szCs w:val="20"/>
          <w:vertAlign w:val="superscript"/>
          <w:lang w:bidi="ar-EG"/>
        </w:rPr>
        <w:t xml:space="preserve">  </w:t>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50, 100, 150, 200 and 250 µg/ml.   </w:t>
      </w:r>
      <w:r w:rsidRPr="004B551C">
        <w:rPr>
          <w:sz w:val="20"/>
          <w:szCs w:val="20"/>
          <w:lang w:bidi="ar-EG"/>
        </w:rPr>
        <w:tab/>
      </w:r>
      <w:r w:rsidRPr="004B551C">
        <w:rPr>
          <w:sz w:val="20"/>
          <w:szCs w:val="20"/>
          <w:lang w:bidi="ar-EG"/>
        </w:rPr>
        <w:tab/>
      </w:r>
      <w:r w:rsidRPr="004B551C">
        <w:rPr>
          <w:sz w:val="20"/>
          <w:szCs w:val="20"/>
          <w:lang w:bidi="ar-EG"/>
        </w:rPr>
        <w:tab/>
      </w:r>
      <w:r w:rsidRPr="004B551C">
        <w:rPr>
          <w:sz w:val="20"/>
          <w:szCs w:val="20"/>
          <w:vertAlign w:val="superscript"/>
          <w:lang w:bidi="ar-EG"/>
        </w:rPr>
        <w:sym w:font="Wingdings 2" w:char="F0DE"/>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 500, 1000, 2000, 4000 and 8000 µg/ml.  </w:t>
      </w:r>
    </w:p>
    <w:p w:rsidR="00606658" w:rsidRPr="004B551C" w:rsidRDefault="00606658" w:rsidP="004B551C">
      <w:pPr>
        <w:ind w:left="426" w:hanging="142"/>
        <w:jc w:val="both"/>
        <w:rPr>
          <w:sz w:val="20"/>
          <w:szCs w:val="20"/>
          <w:lang w:bidi="ar-EG"/>
        </w:rPr>
      </w:pPr>
      <w:r w:rsidRPr="004B551C">
        <w:rPr>
          <w:noProof/>
          <w:sz w:val="20"/>
          <w:szCs w:val="20"/>
          <w:lang w:eastAsia="zh-CN"/>
        </w:rPr>
        <w:drawing>
          <wp:anchor distT="0" distB="0" distL="114300" distR="114300" simplePos="0" relativeHeight="251677696" behindDoc="1" locked="0" layoutInCell="1" allowOverlap="1">
            <wp:simplePos x="0" y="0"/>
            <wp:positionH relativeFrom="column">
              <wp:posOffset>2917893</wp:posOffset>
            </wp:positionH>
            <wp:positionV relativeFrom="paragraph">
              <wp:posOffset>58704</wp:posOffset>
            </wp:positionV>
            <wp:extent cx="3301459" cy="2509736"/>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3301459" cy="2509736"/>
                    </a:xfrm>
                    <a:prstGeom prst="rect">
                      <a:avLst/>
                    </a:prstGeom>
                    <a:noFill/>
                    <a:ln w="9525">
                      <a:noFill/>
                      <a:miter lim="800000"/>
                      <a:headEnd/>
                      <a:tailEnd/>
                    </a:ln>
                  </pic:spPr>
                </pic:pic>
              </a:graphicData>
            </a:graphic>
          </wp:anchor>
        </w:drawing>
      </w:r>
      <w:r w:rsidRPr="004B551C">
        <w:rPr>
          <w:noProof/>
          <w:sz w:val="20"/>
          <w:szCs w:val="20"/>
          <w:lang w:eastAsia="zh-CN"/>
        </w:rPr>
        <w:drawing>
          <wp:anchor distT="0" distB="0" distL="114300" distR="114300" simplePos="0" relativeHeight="251682816" behindDoc="1" locked="0" layoutInCell="1" allowOverlap="1">
            <wp:simplePos x="0" y="0"/>
            <wp:positionH relativeFrom="column">
              <wp:posOffset>-215265</wp:posOffset>
            </wp:positionH>
            <wp:positionV relativeFrom="paragraph">
              <wp:posOffset>58420</wp:posOffset>
            </wp:positionV>
            <wp:extent cx="3171190" cy="2567940"/>
            <wp:effectExtent l="19050" t="0" r="0" b="0"/>
            <wp:wrapNone/>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3171190" cy="2567940"/>
                    </a:xfrm>
                    <a:prstGeom prst="rect">
                      <a:avLst/>
                    </a:prstGeom>
                    <a:noFill/>
                    <a:ln w="9525">
                      <a:noFill/>
                      <a:miter lim="800000"/>
                      <a:headEnd/>
                      <a:tailEnd/>
                    </a:ln>
                  </pic:spPr>
                </pic:pic>
              </a:graphicData>
            </a:graphic>
          </wp:anchor>
        </w:drawing>
      </w:r>
    </w:p>
    <w:p w:rsidR="00606658" w:rsidRPr="004B551C" w:rsidRDefault="00606658"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9D0781" w:rsidRPr="004B551C" w:rsidRDefault="009D0781" w:rsidP="004B551C">
      <w:pPr>
        <w:ind w:left="426" w:hanging="142"/>
        <w:jc w:val="both"/>
        <w:rPr>
          <w:sz w:val="20"/>
          <w:szCs w:val="20"/>
          <w:lang w:bidi="ar-EG"/>
        </w:rPr>
      </w:pPr>
    </w:p>
    <w:p w:rsidR="00606658" w:rsidRPr="004B551C" w:rsidRDefault="00606658" w:rsidP="004B551C">
      <w:pPr>
        <w:tabs>
          <w:tab w:val="left" w:pos="630"/>
        </w:tabs>
        <w:ind w:right="16"/>
        <w:rPr>
          <w:b/>
          <w:bCs/>
          <w:sz w:val="20"/>
          <w:szCs w:val="20"/>
        </w:rPr>
      </w:pPr>
      <w:r w:rsidRPr="004B551C">
        <w:rPr>
          <w:b/>
          <w:bCs/>
          <w:sz w:val="20"/>
          <w:szCs w:val="20"/>
        </w:rPr>
        <w:tab/>
      </w:r>
    </w:p>
    <w:p w:rsidR="00606658" w:rsidRPr="004B551C" w:rsidRDefault="00606658" w:rsidP="004B551C">
      <w:pPr>
        <w:tabs>
          <w:tab w:val="left" w:pos="630"/>
        </w:tabs>
        <w:ind w:right="16"/>
        <w:rPr>
          <w:sz w:val="20"/>
          <w:szCs w:val="20"/>
        </w:rPr>
      </w:pPr>
      <w:r w:rsidRPr="004B551C">
        <w:rPr>
          <w:b/>
          <w:bCs/>
          <w:sz w:val="20"/>
          <w:szCs w:val="20"/>
        </w:rPr>
        <w:t xml:space="preserve">Fig.(3): </w:t>
      </w:r>
      <w:r w:rsidRPr="004B551C">
        <w:rPr>
          <w:sz w:val="20"/>
          <w:szCs w:val="20"/>
        </w:rPr>
        <w:t>Ldp lines of the selected compounds</w:t>
      </w:r>
      <w:r w:rsidRPr="004B551C">
        <w:rPr>
          <w:i/>
          <w:iCs/>
          <w:sz w:val="20"/>
          <w:szCs w:val="20"/>
        </w:rPr>
        <w:t xml:space="preserve"> </w:t>
      </w:r>
      <w:r w:rsidRPr="004B551C">
        <w:rPr>
          <w:i/>
          <w:iCs/>
          <w:sz w:val="20"/>
          <w:szCs w:val="20"/>
        </w:rPr>
        <w:tab/>
      </w:r>
      <w:r w:rsidRPr="004B551C">
        <w:rPr>
          <w:i/>
          <w:iCs/>
          <w:sz w:val="20"/>
          <w:szCs w:val="20"/>
        </w:rPr>
        <w:tab/>
      </w:r>
      <w:r w:rsidR="00E92E2D" w:rsidRPr="004B551C">
        <w:rPr>
          <w:b/>
          <w:bCs/>
          <w:sz w:val="20"/>
          <w:szCs w:val="20"/>
        </w:rPr>
        <w:t xml:space="preserve">Fig.(4): </w:t>
      </w:r>
      <w:r w:rsidR="00E92E2D" w:rsidRPr="004B551C">
        <w:rPr>
          <w:sz w:val="20"/>
          <w:szCs w:val="20"/>
        </w:rPr>
        <w:t>Ldp lines of the selected compounds</w:t>
      </w:r>
    </w:p>
    <w:p w:rsidR="009D0781" w:rsidRPr="004B551C" w:rsidRDefault="00606658" w:rsidP="004B551C">
      <w:pPr>
        <w:tabs>
          <w:tab w:val="left" w:pos="630"/>
        </w:tabs>
        <w:ind w:right="16"/>
        <w:rPr>
          <w:i/>
          <w:iCs/>
          <w:sz w:val="20"/>
          <w:szCs w:val="20"/>
        </w:rPr>
      </w:pPr>
      <w:r w:rsidRPr="004B551C">
        <w:rPr>
          <w:sz w:val="20"/>
          <w:szCs w:val="20"/>
        </w:rPr>
        <w:tab/>
      </w:r>
      <w:r w:rsidRPr="004B551C">
        <w:rPr>
          <w:sz w:val="20"/>
          <w:szCs w:val="20"/>
        </w:rPr>
        <w:tab/>
      </w:r>
      <w:r w:rsidRPr="004B551C">
        <w:rPr>
          <w:sz w:val="20"/>
          <w:szCs w:val="20"/>
        </w:rPr>
        <w:tab/>
        <w:t xml:space="preserve">      against </w:t>
      </w:r>
      <w:r w:rsidRPr="004B551C">
        <w:rPr>
          <w:i/>
          <w:iCs/>
          <w:sz w:val="20"/>
          <w:szCs w:val="20"/>
        </w:rPr>
        <w:t xml:space="preserve">B. </w:t>
      </w:r>
      <w:proofErr w:type="spellStart"/>
      <w:r w:rsidRPr="004B551C">
        <w:rPr>
          <w:i/>
          <w:iCs/>
          <w:sz w:val="20"/>
          <w:szCs w:val="20"/>
        </w:rPr>
        <w:t>cinerea</w:t>
      </w:r>
      <w:proofErr w:type="spellEnd"/>
      <w:r w:rsidRPr="004B551C">
        <w:rPr>
          <w:i/>
          <w:iCs/>
          <w:sz w:val="20"/>
          <w:szCs w:val="20"/>
        </w:rPr>
        <w:tab/>
      </w:r>
      <w:r w:rsidRPr="004B551C">
        <w:rPr>
          <w:i/>
          <w:iCs/>
          <w:sz w:val="20"/>
          <w:szCs w:val="20"/>
        </w:rPr>
        <w:tab/>
      </w:r>
      <w:r w:rsidRPr="004B551C">
        <w:rPr>
          <w:i/>
          <w:iCs/>
          <w:sz w:val="20"/>
          <w:szCs w:val="20"/>
        </w:rPr>
        <w:tab/>
      </w:r>
      <w:r w:rsidRPr="004B551C">
        <w:rPr>
          <w:sz w:val="20"/>
          <w:szCs w:val="20"/>
        </w:rPr>
        <w:tab/>
      </w:r>
      <w:r w:rsidRPr="004B551C">
        <w:rPr>
          <w:sz w:val="20"/>
          <w:szCs w:val="20"/>
        </w:rPr>
        <w:tab/>
      </w:r>
      <w:r w:rsidR="00E92E2D" w:rsidRPr="004B551C">
        <w:rPr>
          <w:sz w:val="20"/>
          <w:szCs w:val="20"/>
        </w:rPr>
        <w:t xml:space="preserve"> against </w:t>
      </w:r>
      <w:r w:rsidR="00E92E2D" w:rsidRPr="004B551C">
        <w:rPr>
          <w:i/>
          <w:iCs/>
          <w:sz w:val="20"/>
          <w:szCs w:val="20"/>
        </w:rPr>
        <w:t xml:space="preserve">F. </w:t>
      </w:r>
      <w:proofErr w:type="spellStart"/>
      <w:r w:rsidR="00E92E2D" w:rsidRPr="004B551C">
        <w:rPr>
          <w:i/>
          <w:iCs/>
          <w:sz w:val="20"/>
          <w:szCs w:val="20"/>
        </w:rPr>
        <w:t>oxysporum</w:t>
      </w:r>
      <w:proofErr w:type="spellEnd"/>
      <w:r w:rsidR="00E92E2D" w:rsidRPr="004B551C">
        <w:rPr>
          <w:i/>
          <w:iCs/>
          <w:sz w:val="20"/>
          <w:szCs w:val="20"/>
        </w:rPr>
        <w:t xml:space="preserve"> </w:t>
      </w:r>
    </w:p>
    <w:p w:rsidR="00606658" w:rsidRPr="004B551C" w:rsidRDefault="00606658" w:rsidP="004B551C">
      <w:pPr>
        <w:tabs>
          <w:tab w:val="left" w:pos="630"/>
        </w:tabs>
        <w:ind w:right="16"/>
        <w:rPr>
          <w:sz w:val="20"/>
          <w:szCs w:val="20"/>
          <w:lang w:bidi="ar-EG"/>
        </w:rPr>
      </w:pPr>
    </w:p>
    <w:p w:rsidR="00EC1ED5" w:rsidRPr="004B551C" w:rsidRDefault="00EC1ED5" w:rsidP="004B551C">
      <w:pPr>
        <w:jc w:val="both"/>
        <w:rPr>
          <w:sz w:val="20"/>
          <w:szCs w:val="20"/>
          <w:lang w:bidi="ar-EG"/>
        </w:rPr>
        <w:sectPr w:rsidR="00EC1ED5" w:rsidRPr="004B551C" w:rsidSect="00B952E0">
          <w:type w:val="continuous"/>
          <w:pgSz w:w="12240" w:h="15840" w:code="1"/>
          <w:pgMar w:top="1440" w:right="1440" w:bottom="851" w:left="1440" w:header="720" w:footer="510" w:gutter="0"/>
          <w:cols w:space="720"/>
          <w:docGrid w:linePitch="360"/>
        </w:sectPr>
      </w:pPr>
    </w:p>
    <w:p w:rsidR="00CC7E67" w:rsidRPr="004B551C" w:rsidRDefault="00CC7E67" w:rsidP="004B551C">
      <w:pPr>
        <w:jc w:val="lowKashida"/>
        <w:rPr>
          <w:b/>
          <w:bCs/>
          <w:i/>
          <w:iCs/>
          <w:sz w:val="20"/>
          <w:szCs w:val="20"/>
          <w:lang w:bidi="ar-EG"/>
        </w:rPr>
      </w:pPr>
      <w:r w:rsidRPr="004B551C">
        <w:rPr>
          <w:b/>
          <w:bCs/>
          <w:sz w:val="20"/>
          <w:szCs w:val="20"/>
          <w:lang w:bidi="ar-EG"/>
        </w:rPr>
        <w:lastRenderedPageBreak/>
        <w:t xml:space="preserve"> (e) </w:t>
      </w:r>
      <w:proofErr w:type="spellStart"/>
      <w:r w:rsidRPr="004B551C">
        <w:rPr>
          <w:b/>
          <w:bCs/>
          <w:i/>
          <w:iCs/>
          <w:sz w:val="20"/>
          <w:szCs w:val="20"/>
          <w:lang w:bidi="ar-EG"/>
        </w:rPr>
        <w:t>Alternaria</w:t>
      </w:r>
      <w:proofErr w:type="spellEnd"/>
      <w:r w:rsidRPr="004B551C">
        <w:rPr>
          <w:b/>
          <w:bCs/>
          <w:i/>
          <w:iCs/>
          <w:sz w:val="20"/>
          <w:szCs w:val="20"/>
          <w:lang w:bidi="ar-EG"/>
        </w:rPr>
        <w:t xml:space="preserve"> </w:t>
      </w:r>
      <w:proofErr w:type="spellStart"/>
      <w:r w:rsidRPr="004B551C">
        <w:rPr>
          <w:b/>
          <w:bCs/>
          <w:i/>
          <w:iCs/>
          <w:sz w:val="20"/>
          <w:szCs w:val="20"/>
          <w:lang w:bidi="ar-EG"/>
        </w:rPr>
        <w:t>solani</w:t>
      </w:r>
      <w:proofErr w:type="spellEnd"/>
      <w:r w:rsidRPr="004B551C">
        <w:rPr>
          <w:b/>
          <w:bCs/>
          <w:i/>
          <w:iCs/>
          <w:sz w:val="20"/>
          <w:szCs w:val="20"/>
          <w:lang w:bidi="ar-EG"/>
        </w:rPr>
        <w:t>:</w:t>
      </w:r>
    </w:p>
    <w:p w:rsidR="00EC1ED5" w:rsidRPr="004B551C" w:rsidRDefault="00EC1ED5" w:rsidP="004B551C">
      <w:pPr>
        <w:ind w:firstLine="284"/>
        <w:jc w:val="lowKashida"/>
        <w:rPr>
          <w:sz w:val="20"/>
          <w:szCs w:val="20"/>
          <w:lang w:bidi="ar-EG"/>
        </w:rPr>
      </w:pPr>
      <w:r w:rsidRPr="004B551C">
        <w:rPr>
          <w:sz w:val="20"/>
          <w:szCs w:val="20"/>
          <w:lang w:bidi="ar-EG"/>
        </w:rPr>
        <w:t xml:space="preserve">The antifungal activity of tested compounds upon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i/>
          <w:iCs/>
          <w:sz w:val="20"/>
          <w:szCs w:val="20"/>
          <w:lang w:bidi="ar-EG"/>
        </w:rPr>
        <w:t xml:space="preserve"> </w:t>
      </w:r>
      <w:r w:rsidRPr="004B551C">
        <w:rPr>
          <w:sz w:val="20"/>
          <w:szCs w:val="20"/>
          <w:lang w:bidi="ar-EG"/>
        </w:rPr>
        <w:t xml:space="preserve">after 10 days of incubations is given in table (5). From the obtained results, the inhibition percentage at 50 µg/ml of </w:t>
      </w:r>
      <w:proofErr w:type="spellStart"/>
      <w:r w:rsidRPr="004B551C">
        <w:rPr>
          <w:sz w:val="20"/>
          <w:szCs w:val="20"/>
          <w:lang w:bidi="ar-EG"/>
        </w:rPr>
        <w:t>thymol</w:t>
      </w:r>
      <w:proofErr w:type="spellEnd"/>
      <w:r w:rsidRPr="004B551C">
        <w:rPr>
          <w:sz w:val="20"/>
          <w:szCs w:val="20"/>
          <w:lang w:bidi="ar-EG"/>
        </w:rPr>
        <w:t xml:space="preserve"> was 3.37%, at 150 µg/ml was 47.32% and at 250 µg/ml concentration gave 77.43% growth inhi</w:t>
      </w:r>
      <w:r w:rsidRPr="004B551C">
        <w:rPr>
          <w:sz w:val="20"/>
          <w:szCs w:val="20"/>
        </w:rPr>
        <w:t>bition</w:t>
      </w:r>
      <w:r w:rsidRPr="004B551C">
        <w:rPr>
          <w:sz w:val="20"/>
          <w:szCs w:val="20"/>
          <w:lang w:bidi="ar-EG"/>
        </w:rPr>
        <w:t xml:space="preserve">. The 50 µg/ml concentration of </w:t>
      </w:r>
      <w:proofErr w:type="spellStart"/>
      <w:r w:rsidRPr="004B551C">
        <w:rPr>
          <w:sz w:val="20"/>
          <w:szCs w:val="20"/>
          <w:lang w:bidi="ar-EG"/>
        </w:rPr>
        <w:t>eugenol</w:t>
      </w:r>
      <w:proofErr w:type="spellEnd"/>
      <w:r w:rsidRPr="004B551C">
        <w:rPr>
          <w:sz w:val="20"/>
          <w:szCs w:val="20"/>
          <w:lang w:bidi="ar-EG"/>
        </w:rPr>
        <w:t xml:space="preserve"> gave 0.29% growth inhibition; 150 µg/ml gave 9.28% while the concentration 250 µg/ml gave 25.52% growth inhibition.  The lowest concentration (50 µg/ml) of methyl </w:t>
      </w:r>
      <w:proofErr w:type="spellStart"/>
      <w:r w:rsidRPr="004B551C">
        <w:rPr>
          <w:sz w:val="20"/>
          <w:szCs w:val="20"/>
          <w:lang w:bidi="ar-EG"/>
        </w:rPr>
        <w:t>cinnamate</w:t>
      </w:r>
      <w:proofErr w:type="spellEnd"/>
      <w:r w:rsidRPr="004B551C">
        <w:rPr>
          <w:sz w:val="20"/>
          <w:szCs w:val="20"/>
          <w:lang w:bidi="ar-EG"/>
        </w:rPr>
        <w:t xml:space="preserve"> didn’t give any growth inhibition, approximately middle concentration (150 µg/ml) had 6.94% linear growth inhibition percentage while the highest concentration (250 µg/ml) had 94.04 growth </w:t>
      </w:r>
      <w:r w:rsidRPr="004B551C">
        <w:rPr>
          <w:sz w:val="20"/>
          <w:szCs w:val="20"/>
          <w:lang w:bidi="ar-EG"/>
        </w:rPr>
        <w:lastRenderedPageBreak/>
        <w:t xml:space="preserve">inhibition. The 500 µg/ml concentration of linalool gave 5.57%; the 8000 µg/ml gave 35.61% whereas 4000 µg/ml concentration gave 16.32% growth inhibition.  Finally, for the fourth time in a row the low concentrations of 1,8-cineol results in higher percentage of linear growth than the high ones, the 500 µg/ml concentrations of 1,8-cineol showed only 6.46% growth inhibition, the 2000 µg/ml showed 4.39% and the 8000 µg/ml showed 2.88% growth inhibition.  </w:t>
      </w:r>
    </w:p>
    <w:p w:rsidR="00EC1ED5" w:rsidRPr="004B551C" w:rsidRDefault="00EC1ED5" w:rsidP="004B551C">
      <w:pPr>
        <w:ind w:firstLine="426"/>
        <w:jc w:val="lowKashida"/>
        <w:rPr>
          <w:sz w:val="20"/>
          <w:szCs w:val="20"/>
          <w:lang w:bidi="ar-EG"/>
        </w:rPr>
      </w:pPr>
      <w:r w:rsidRPr="004B551C">
        <w:rPr>
          <w:sz w:val="20"/>
          <w:szCs w:val="20"/>
          <w:lang w:bidi="ar-EG"/>
        </w:rPr>
        <w:t>From the LC</w:t>
      </w:r>
      <w:r w:rsidRPr="004B551C">
        <w:rPr>
          <w:sz w:val="20"/>
          <w:szCs w:val="20"/>
          <w:vertAlign w:val="subscript"/>
          <w:lang w:bidi="ar-EG"/>
        </w:rPr>
        <w:t>50</w:t>
      </w:r>
      <w:r w:rsidRPr="004B551C">
        <w:rPr>
          <w:sz w:val="20"/>
          <w:szCs w:val="20"/>
          <w:lang w:bidi="ar-EG"/>
        </w:rPr>
        <w:t xml:space="preserve">'s of the selected compounds the toxicity indexes of the tested compounds, </w:t>
      </w:r>
      <w:proofErr w:type="spellStart"/>
      <w:r w:rsidRPr="004B551C">
        <w:rPr>
          <w:sz w:val="20"/>
          <w:szCs w:val="20"/>
          <w:lang w:bidi="ar-EG"/>
        </w:rPr>
        <w:t>eugenol</w:t>
      </w:r>
      <w:proofErr w:type="spellEnd"/>
      <w:r w:rsidRPr="004B551C">
        <w:rPr>
          <w:sz w:val="20"/>
          <w:szCs w:val="20"/>
          <w:lang w:bidi="ar-EG"/>
        </w:rPr>
        <w:t xml:space="preserve">, methyl </w:t>
      </w:r>
      <w:proofErr w:type="spellStart"/>
      <w:r w:rsidRPr="004B551C">
        <w:rPr>
          <w:sz w:val="20"/>
          <w:szCs w:val="20"/>
          <w:lang w:bidi="ar-EG"/>
        </w:rPr>
        <w:t>cinnamate</w:t>
      </w:r>
      <w:proofErr w:type="spellEnd"/>
      <w:r w:rsidRPr="004B551C">
        <w:rPr>
          <w:sz w:val="20"/>
          <w:szCs w:val="20"/>
          <w:lang w:bidi="ar-EG"/>
        </w:rPr>
        <w:t xml:space="preserve"> and linalool were 37.77, 81.31 and 0.85%, respectively when comparing with the highest effective compound </w:t>
      </w:r>
      <w:proofErr w:type="spellStart"/>
      <w:r w:rsidRPr="004B551C">
        <w:rPr>
          <w:sz w:val="20"/>
          <w:szCs w:val="20"/>
          <w:lang w:bidi="ar-EG"/>
        </w:rPr>
        <w:t>thymol</w:t>
      </w:r>
      <w:proofErr w:type="spellEnd"/>
      <w:r w:rsidRPr="004B551C">
        <w:rPr>
          <w:sz w:val="20"/>
          <w:szCs w:val="20"/>
          <w:lang w:bidi="ar-EG"/>
        </w:rPr>
        <w:t xml:space="preserve"> which had recorded the </w:t>
      </w:r>
      <w:r w:rsidRPr="004B551C">
        <w:rPr>
          <w:sz w:val="20"/>
          <w:szCs w:val="20"/>
          <w:lang w:bidi="ar-EG"/>
        </w:rPr>
        <w:lastRenderedPageBreak/>
        <w:t xml:space="preserve">highest toxicity index 100%.  The relative potencies of the selected compounds, </w:t>
      </w:r>
      <w:proofErr w:type="spellStart"/>
      <w:r w:rsidRPr="004B551C">
        <w:rPr>
          <w:sz w:val="20"/>
          <w:szCs w:val="20"/>
          <w:lang w:bidi="ar-EG"/>
        </w:rPr>
        <w:t>thymol</w:t>
      </w:r>
      <w:proofErr w:type="spellEnd"/>
      <w:r w:rsidRPr="004B551C">
        <w:rPr>
          <w:sz w:val="20"/>
          <w:szCs w:val="20"/>
          <w:lang w:bidi="ar-EG"/>
        </w:rPr>
        <w:t xml:space="preserve">, </w:t>
      </w:r>
      <w:proofErr w:type="spellStart"/>
      <w:r w:rsidRPr="004B551C">
        <w:rPr>
          <w:sz w:val="20"/>
          <w:szCs w:val="20"/>
          <w:lang w:bidi="ar-EG"/>
        </w:rPr>
        <w:t>eugenol</w:t>
      </w:r>
      <w:proofErr w:type="spellEnd"/>
      <w:r w:rsidRPr="004B551C">
        <w:rPr>
          <w:sz w:val="20"/>
          <w:szCs w:val="20"/>
          <w:lang w:bidi="ar-EG"/>
        </w:rPr>
        <w:t xml:space="preserve"> and methyl </w:t>
      </w:r>
      <w:proofErr w:type="spellStart"/>
      <w:r w:rsidRPr="004B551C">
        <w:rPr>
          <w:sz w:val="20"/>
          <w:szCs w:val="20"/>
          <w:lang w:bidi="ar-EG"/>
        </w:rPr>
        <w:t>cinnamate</w:t>
      </w:r>
      <w:proofErr w:type="spellEnd"/>
      <w:r w:rsidRPr="004B551C">
        <w:rPr>
          <w:sz w:val="20"/>
          <w:szCs w:val="20"/>
          <w:lang w:bidi="ar-EG"/>
        </w:rPr>
        <w:t xml:space="preserve"> were 117.88, 44.52 and 95.85 folds, respectively when compared with the lowest effective compound linalool which recorded the highest  LC</w:t>
      </w:r>
      <w:r w:rsidRPr="004B551C">
        <w:rPr>
          <w:sz w:val="20"/>
          <w:szCs w:val="20"/>
          <w:vertAlign w:val="subscript"/>
          <w:lang w:bidi="ar-EG"/>
        </w:rPr>
        <w:t>50</w:t>
      </w:r>
      <w:r w:rsidRPr="004B551C">
        <w:rPr>
          <w:sz w:val="20"/>
          <w:szCs w:val="20"/>
          <w:lang w:bidi="ar-EG"/>
        </w:rPr>
        <w:t xml:space="preserve">. </w:t>
      </w:r>
    </w:p>
    <w:p w:rsidR="00EC1ED5" w:rsidRPr="004B551C" w:rsidRDefault="00EC1ED5" w:rsidP="004B551C">
      <w:pPr>
        <w:ind w:firstLine="539"/>
        <w:jc w:val="lowKashida"/>
        <w:rPr>
          <w:sz w:val="20"/>
          <w:szCs w:val="20"/>
          <w:lang w:bidi="ar-EG"/>
        </w:rPr>
      </w:pPr>
      <w:r w:rsidRPr="004B551C">
        <w:rPr>
          <w:sz w:val="20"/>
          <w:szCs w:val="20"/>
          <w:lang w:bidi="ar-EG"/>
        </w:rPr>
        <w:t xml:space="preserve">The Ldp-lines of the selected compounds were plotted on a logarithmic paper (log concentration) in relation to percentage of fungal growth inhibition as given in figure (5).  The highest slope was for methyl </w:t>
      </w:r>
      <w:proofErr w:type="spellStart"/>
      <w:r w:rsidRPr="004B551C">
        <w:rPr>
          <w:sz w:val="20"/>
          <w:szCs w:val="20"/>
          <w:lang w:bidi="ar-EG"/>
        </w:rPr>
        <w:lastRenderedPageBreak/>
        <w:t>cinnamate</w:t>
      </w:r>
      <w:proofErr w:type="spellEnd"/>
      <w:r w:rsidRPr="004B551C">
        <w:rPr>
          <w:sz w:val="20"/>
          <w:szCs w:val="20"/>
          <w:lang w:bidi="ar-EG"/>
        </w:rPr>
        <w:t xml:space="preserve"> (13.7) and then after, when using </w:t>
      </w:r>
      <w:proofErr w:type="spellStart"/>
      <w:r w:rsidRPr="004B551C">
        <w:rPr>
          <w:sz w:val="20"/>
          <w:szCs w:val="20"/>
          <w:lang w:bidi="ar-EG"/>
        </w:rPr>
        <w:t>thymol</w:t>
      </w:r>
      <w:proofErr w:type="spellEnd"/>
      <w:r w:rsidRPr="004B551C">
        <w:rPr>
          <w:sz w:val="20"/>
          <w:szCs w:val="20"/>
          <w:lang w:bidi="ar-EG"/>
        </w:rPr>
        <w:t xml:space="preserve"> (3.7).  The lowest slope was for linalool compound (1.02), after that, the slope of </w:t>
      </w:r>
      <w:proofErr w:type="spellStart"/>
      <w:r w:rsidRPr="004B551C">
        <w:rPr>
          <w:sz w:val="20"/>
          <w:szCs w:val="20"/>
          <w:lang w:bidi="ar-EG"/>
        </w:rPr>
        <w:t>eugenol</w:t>
      </w:r>
      <w:proofErr w:type="spellEnd"/>
      <w:r w:rsidRPr="004B551C">
        <w:rPr>
          <w:sz w:val="20"/>
          <w:szCs w:val="20"/>
          <w:lang w:bidi="ar-EG"/>
        </w:rPr>
        <w:t xml:space="preserve"> (3).</w:t>
      </w:r>
    </w:p>
    <w:p w:rsidR="00EC1ED5" w:rsidRPr="004B551C" w:rsidRDefault="00EC1ED5" w:rsidP="004B551C">
      <w:pPr>
        <w:ind w:firstLine="539"/>
        <w:jc w:val="lowKashida"/>
        <w:rPr>
          <w:b/>
          <w:bCs/>
          <w:sz w:val="20"/>
          <w:szCs w:val="20"/>
          <w:lang w:bidi="ar-EG"/>
        </w:rPr>
      </w:pPr>
      <w:r w:rsidRPr="004B551C">
        <w:rPr>
          <w:b/>
          <w:bCs/>
          <w:sz w:val="20"/>
          <w:szCs w:val="20"/>
          <w:lang w:bidi="ar-EG"/>
        </w:rPr>
        <w:t xml:space="preserve">It can be concluded that compounds can be arranged </w:t>
      </w:r>
      <w:proofErr w:type="spellStart"/>
      <w:r w:rsidRPr="004B551C">
        <w:rPr>
          <w:b/>
          <w:bCs/>
          <w:sz w:val="20"/>
          <w:szCs w:val="20"/>
          <w:lang w:bidi="ar-EG"/>
        </w:rPr>
        <w:t>descendingly</w:t>
      </w:r>
      <w:proofErr w:type="spellEnd"/>
      <w:r w:rsidRPr="004B551C">
        <w:rPr>
          <w:b/>
          <w:bCs/>
          <w:sz w:val="20"/>
          <w:szCs w:val="20"/>
          <w:lang w:bidi="ar-EG"/>
        </w:rPr>
        <w:t xml:space="preserve"> according to their effectiveness upon </w:t>
      </w:r>
      <w:r w:rsidRPr="004B551C">
        <w:rPr>
          <w:b/>
          <w:bCs/>
          <w:i/>
          <w:iCs/>
          <w:sz w:val="20"/>
          <w:szCs w:val="20"/>
          <w:lang w:bidi="ar-EG"/>
        </w:rPr>
        <w:t xml:space="preserve">A. </w:t>
      </w:r>
      <w:proofErr w:type="spellStart"/>
      <w:r w:rsidRPr="004B551C">
        <w:rPr>
          <w:b/>
          <w:bCs/>
          <w:i/>
          <w:iCs/>
          <w:sz w:val="20"/>
          <w:szCs w:val="20"/>
          <w:lang w:bidi="ar-EG"/>
        </w:rPr>
        <w:t>solani</w:t>
      </w:r>
      <w:proofErr w:type="spellEnd"/>
      <w:r w:rsidRPr="004B551C">
        <w:rPr>
          <w:b/>
          <w:bCs/>
          <w:sz w:val="20"/>
          <w:szCs w:val="20"/>
          <w:lang w:bidi="ar-EG"/>
        </w:rPr>
        <w:t xml:space="preserve">  after 10 days of incubation as follows; </w:t>
      </w:r>
    </w:p>
    <w:p w:rsidR="000A05EC" w:rsidRPr="004B551C" w:rsidRDefault="00EC1ED5"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 xml:space="preserve"> &gt; methyl </w:t>
      </w:r>
      <w:proofErr w:type="spellStart"/>
      <w:r w:rsidRPr="004B551C">
        <w:rPr>
          <w:b/>
          <w:bCs/>
          <w:sz w:val="20"/>
          <w:szCs w:val="20"/>
          <w:lang w:bidi="ar-EG"/>
        </w:rPr>
        <w:t>cinnamate</w:t>
      </w:r>
      <w:proofErr w:type="spellEnd"/>
      <w:r w:rsidRPr="004B551C">
        <w:rPr>
          <w:b/>
          <w:bCs/>
          <w:sz w:val="20"/>
          <w:szCs w:val="20"/>
          <w:lang w:bidi="ar-EG"/>
        </w:rPr>
        <w:t xml:space="preserve">&gt; </w:t>
      </w:r>
      <w:proofErr w:type="spellStart"/>
      <w:r w:rsidRPr="004B551C">
        <w:rPr>
          <w:b/>
          <w:bCs/>
          <w:sz w:val="20"/>
          <w:szCs w:val="20"/>
          <w:lang w:bidi="ar-EG"/>
        </w:rPr>
        <w:t>eugenol</w:t>
      </w:r>
      <w:proofErr w:type="spellEnd"/>
      <w:r w:rsidRPr="004B551C">
        <w:rPr>
          <w:b/>
          <w:bCs/>
          <w:sz w:val="20"/>
          <w:szCs w:val="20"/>
          <w:lang w:bidi="ar-EG"/>
        </w:rPr>
        <w:t xml:space="preserve"> &gt; linalool.</w:t>
      </w:r>
    </w:p>
    <w:p w:rsidR="000A05EC" w:rsidRPr="004B551C" w:rsidRDefault="000A05EC" w:rsidP="004B551C">
      <w:pPr>
        <w:rPr>
          <w:b/>
          <w:bCs/>
          <w:sz w:val="20"/>
          <w:szCs w:val="20"/>
          <w:lang w:bidi="ar-EG"/>
        </w:rPr>
      </w:pPr>
    </w:p>
    <w:p w:rsidR="008F261E" w:rsidRPr="004B551C" w:rsidRDefault="008F261E" w:rsidP="004B551C">
      <w:pPr>
        <w:rPr>
          <w:b/>
          <w:bCs/>
          <w:sz w:val="20"/>
          <w:szCs w:val="20"/>
          <w:lang w:bidi="ar-EG"/>
        </w:rPr>
      </w:pPr>
    </w:p>
    <w:p w:rsidR="008F261E" w:rsidRPr="004B551C" w:rsidRDefault="008F261E" w:rsidP="004B551C">
      <w:pPr>
        <w:rPr>
          <w:b/>
          <w:bCs/>
          <w:sz w:val="20"/>
          <w:szCs w:val="20"/>
          <w:lang w:bidi="ar-EG"/>
        </w:rPr>
        <w:sectPr w:rsidR="008F261E" w:rsidRPr="004B551C" w:rsidSect="00B952E0">
          <w:type w:val="continuous"/>
          <w:pgSz w:w="12240" w:h="15840" w:code="1"/>
          <w:pgMar w:top="1440" w:right="1440" w:bottom="851" w:left="1440" w:header="680" w:footer="510" w:gutter="0"/>
          <w:cols w:num="2" w:space="720"/>
          <w:docGrid w:linePitch="360"/>
        </w:sectPr>
      </w:pPr>
    </w:p>
    <w:p w:rsidR="000477EA" w:rsidRPr="004B551C" w:rsidRDefault="000477EA" w:rsidP="004B551C">
      <w:pPr>
        <w:jc w:val="both"/>
        <w:rPr>
          <w:b/>
          <w:bCs/>
          <w:sz w:val="20"/>
          <w:szCs w:val="20"/>
          <w:lang w:bidi="ar-EG"/>
        </w:rPr>
      </w:pPr>
    </w:p>
    <w:p w:rsidR="008F261E" w:rsidRPr="004B551C" w:rsidRDefault="008F261E" w:rsidP="004B551C">
      <w:pPr>
        <w:jc w:val="both"/>
        <w:rPr>
          <w:sz w:val="20"/>
          <w:szCs w:val="20"/>
          <w:lang w:bidi="ar-EG"/>
        </w:rPr>
      </w:pPr>
      <w:r w:rsidRPr="004B551C">
        <w:rPr>
          <w:b/>
          <w:bCs/>
          <w:sz w:val="20"/>
          <w:szCs w:val="20"/>
          <w:lang w:bidi="ar-EG"/>
        </w:rPr>
        <w:t>Table (5):</w:t>
      </w:r>
      <w:r w:rsidRPr="004B551C">
        <w:rPr>
          <w:sz w:val="20"/>
          <w:szCs w:val="20"/>
          <w:lang w:bidi="ar-EG"/>
        </w:rPr>
        <w:t xml:space="preserve"> Effect of the selected compounds on </w:t>
      </w:r>
      <w:proofErr w:type="spellStart"/>
      <w:r w:rsidRPr="004B551C">
        <w:rPr>
          <w:i/>
          <w:iCs/>
          <w:sz w:val="20"/>
          <w:szCs w:val="20"/>
          <w:lang w:bidi="ar-EG"/>
        </w:rPr>
        <w:t>Alternaria</w:t>
      </w:r>
      <w:proofErr w:type="spellEnd"/>
      <w:r w:rsidRPr="004B551C">
        <w:rPr>
          <w:i/>
          <w:iCs/>
          <w:sz w:val="20"/>
          <w:szCs w:val="20"/>
          <w:lang w:bidi="ar-EG"/>
        </w:rPr>
        <w:t xml:space="preserve"> </w:t>
      </w:r>
      <w:proofErr w:type="spellStart"/>
      <w:r w:rsidRPr="004B551C">
        <w:rPr>
          <w:i/>
          <w:iCs/>
          <w:sz w:val="20"/>
          <w:szCs w:val="20"/>
          <w:lang w:bidi="ar-EG"/>
        </w:rPr>
        <w:t>solani</w:t>
      </w:r>
      <w:proofErr w:type="spellEnd"/>
      <w:r w:rsidRPr="004B551C">
        <w:rPr>
          <w:i/>
          <w:iCs/>
          <w:sz w:val="20"/>
          <w:szCs w:val="20"/>
          <w:lang w:bidi="ar-EG"/>
        </w:rPr>
        <w:t xml:space="preserve"> </w:t>
      </w:r>
      <w:r w:rsidRPr="004B551C">
        <w:rPr>
          <w:sz w:val="20"/>
          <w:szCs w:val="20"/>
          <w:lang w:bidi="ar-EG"/>
        </w:rPr>
        <w:t>after 10 days of incubation.</w:t>
      </w:r>
    </w:p>
    <w:tbl>
      <w:tblPr>
        <w:tblW w:w="5182" w:type="pct"/>
        <w:jc w:val="center"/>
        <w:tblInd w:w="-318" w:type="dxa"/>
        <w:tblBorders>
          <w:top w:val="double" w:sz="4" w:space="0" w:color="auto"/>
          <w:left w:val="double" w:sz="4" w:space="0" w:color="auto"/>
          <w:bottom w:val="double" w:sz="4" w:space="0" w:color="auto"/>
          <w:right w:val="double" w:sz="4" w:space="0" w:color="auto"/>
          <w:insideH w:val="single" w:sz="4" w:space="0" w:color="auto"/>
        </w:tblBorders>
        <w:tblLook w:val="01E0"/>
      </w:tblPr>
      <w:tblGrid>
        <w:gridCol w:w="1379"/>
        <w:gridCol w:w="729"/>
        <w:gridCol w:w="729"/>
        <w:gridCol w:w="728"/>
        <w:gridCol w:w="728"/>
        <w:gridCol w:w="734"/>
        <w:gridCol w:w="1094"/>
        <w:gridCol w:w="1022"/>
        <w:gridCol w:w="750"/>
        <w:gridCol w:w="1006"/>
        <w:gridCol w:w="1026"/>
      </w:tblGrid>
      <w:tr w:rsidR="008F261E" w:rsidRPr="004B551C" w:rsidTr="00606658">
        <w:trPr>
          <w:trHeight w:val="285"/>
          <w:jc w:val="center"/>
        </w:trPr>
        <w:tc>
          <w:tcPr>
            <w:tcW w:w="694" w:type="pct"/>
            <w:vMerge w:val="restart"/>
            <w:tcBorders>
              <w:right w:val="single" w:sz="4" w:space="0" w:color="auto"/>
            </w:tcBorders>
            <w:vAlign w:val="center"/>
          </w:tcPr>
          <w:p w:rsidR="008F261E" w:rsidRPr="004B551C" w:rsidRDefault="008F261E" w:rsidP="004B551C">
            <w:pPr>
              <w:jc w:val="center"/>
              <w:rPr>
                <w:b/>
                <w:bCs/>
                <w:sz w:val="20"/>
                <w:szCs w:val="20"/>
                <w:lang w:bidi="ar-EG"/>
              </w:rPr>
            </w:pPr>
            <w:r w:rsidRPr="004B551C">
              <w:rPr>
                <w:b/>
                <w:bCs/>
                <w:sz w:val="20"/>
                <w:szCs w:val="20"/>
                <w:lang w:bidi="ar-EG"/>
              </w:rPr>
              <w:t>Compounds tested</w:t>
            </w:r>
          </w:p>
        </w:tc>
        <w:tc>
          <w:tcPr>
            <w:tcW w:w="1838" w:type="pct"/>
            <w:gridSpan w:val="5"/>
            <w:tcBorders>
              <w:left w:val="single" w:sz="4" w:space="0" w:color="auto"/>
              <w:right w:val="single" w:sz="4" w:space="0" w:color="auto"/>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 xml:space="preserve">Concentrations in  </w:t>
            </w:r>
            <w:proofErr w:type="spellStart"/>
            <w:r w:rsidRPr="004B551C">
              <w:rPr>
                <w:b/>
                <w:bCs/>
                <w:sz w:val="20"/>
                <w:szCs w:val="20"/>
                <w:lang w:bidi="ar-EG"/>
              </w:rPr>
              <w:t>ppm</w:t>
            </w:r>
            <w:proofErr w:type="spellEnd"/>
            <w:r w:rsidRPr="004B551C">
              <w:rPr>
                <w:b/>
                <w:bCs/>
                <w:sz w:val="20"/>
                <w:szCs w:val="20"/>
                <w:lang w:bidi="ar-EG"/>
              </w:rPr>
              <w:t xml:space="preserve"> (µg/ml)</w:t>
            </w:r>
          </w:p>
        </w:tc>
        <w:tc>
          <w:tcPr>
            <w:tcW w:w="551" w:type="pct"/>
            <w:vMerge w:val="restart"/>
            <w:tcBorders>
              <w:left w:val="single" w:sz="4" w:space="0" w:color="auto"/>
            </w:tcBorders>
            <w:vAlign w:val="center"/>
          </w:tcPr>
          <w:p w:rsidR="008F261E" w:rsidRPr="004B551C" w:rsidRDefault="008F261E"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25</w:t>
            </w:r>
          </w:p>
        </w:tc>
        <w:tc>
          <w:tcPr>
            <w:tcW w:w="515" w:type="pct"/>
            <w:vMerge w:val="restart"/>
            <w:vAlign w:val="center"/>
          </w:tcPr>
          <w:p w:rsidR="008F261E" w:rsidRPr="004B551C" w:rsidRDefault="008F261E" w:rsidP="004B551C">
            <w:pPr>
              <w:jc w:val="center"/>
              <w:rPr>
                <w:b/>
                <w:bCs/>
                <w:sz w:val="20"/>
                <w:szCs w:val="20"/>
                <w:lang w:bidi="ar-EG"/>
              </w:rPr>
            </w:pPr>
            <w:r w:rsidRPr="004B551C">
              <w:rPr>
                <w:b/>
                <w:bCs/>
                <w:sz w:val="20"/>
                <w:szCs w:val="20"/>
                <w:lang w:bidi="ar-EG"/>
              </w:rPr>
              <w:t>LC</w:t>
            </w:r>
            <w:r w:rsidRPr="004B551C">
              <w:rPr>
                <w:b/>
                <w:bCs/>
                <w:sz w:val="20"/>
                <w:szCs w:val="20"/>
                <w:vertAlign w:val="subscript"/>
                <w:lang w:bidi="ar-EG"/>
              </w:rPr>
              <w:t>50</w:t>
            </w:r>
          </w:p>
        </w:tc>
        <w:tc>
          <w:tcPr>
            <w:tcW w:w="378" w:type="pct"/>
            <w:vMerge w:val="restar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Slope</w:t>
            </w:r>
          </w:p>
        </w:tc>
        <w:tc>
          <w:tcPr>
            <w:tcW w:w="507" w:type="pct"/>
            <w:vMerge w:val="restar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Toxicity Index</w:t>
            </w:r>
          </w:p>
        </w:tc>
        <w:tc>
          <w:tcPr>
            <w:tcW w:w="518" w:type="pct"/>
            <w:vMerge w:val="restar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Relative Potency</w:t>
            </w:r>
          </w:p>
        </w:tc>
      </w:tr>
      <w:tr w:rsidR="008F261E" w:rsidRPr="004B551C" w:rsidTr="00606658">
        <w:trPr>
          <w:trHeight w:val="285"/>
          <w:jc w:val="center"/>
        </w:trPr>
        <w:tc>
          <w:tcPr>
            <w:tcW w:w="694" w:type="pct"/>
            <w:vMerge/>
            <w:tcBorders>
              <w:right w:val="single" w:sz="4" w:space="0" w:color="auto"/>
            </w:tcBorders>
            <w:vAlign w:val="center"/>
          </w:tcPr>
          <w:p w:rsidR="008F261E" w:rsidRPr="004B551C" w:rsidRDefault="008F261E" w:rsidP="004B551C">
            <w:pPr>
              <w:jc w:val="center"/>
              <w:rPr>
                <w:b/>
                <w:bCs/>
                <w:sz w:val="20"/>
                <w:szCs w:val="20"/>
                <w:lang w:bidi="ar-EG"/>
              </w:rPr>
            </w:pPr>
          </w:p>
        </w:tc>
        <w:tc>
          <w:tcPr>
            <w:tcW w:w="367" w:type="pct"/>
            <w:tcBorders>
              <w:left w:val="single" w:sz="4" w:space="0" w:color="auto"/>
              <w:right w:val="nil"/>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A</w:t>
            </w:r>
          </w:p>
        </w:tc>
        <w:tc>
          <w:tcPr>
            <w:tcW w:w="367" w:type="pct"/>
            <w:tcBorders>
              <w:left w:val="nil"/>
              <w:right w:val="nil"/>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B</w:t>
            </w:r>
          </w:p>
        </w:tc>
        <w:tc>
          <w:tcPr>
            <w:tcW w:w="367" w:type="pct"/>
            <w:tcBorders>
              <w:left w:val="nil"/>
              <w:right w:val="nil"/>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C</w:t>
            </w:r>
          </w:p>
        </w:tc>
        <w:tc>
          <w:tcPr>
            <w:tcW w:w="367" w:type="pct"/>
            <w:tcBorders>
              <w:left w:val="nil"/>
              <w:right w:val="nil"/>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D</w:t>
            </w:r>
          </w:p>
        </w:tc>
        <w:tc>
          <w:tcPr>
            <w:tcW w:w="370" w:type="pct"/>
            <w:tcBorders>
              <w:left w:val="nil"/>
              <w:right w:val="single" w:sz="4" w:space="0" w:color="auto"/>
            </w:tcBorders>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E</w:t>
            </w:r>
          </w:p>
        </w:tc>
        <w:tc>
          <w:tcPr>
            <w:tcW w:w="551" w:type="pct"/>
            <w:vMerge/>
            <w:tcBorders>
              <w:left w:val="single" w:sz="4" w:space="0" w:color="auto"/>
            </w:tcBorders>
            <w:vAlign w:val="center"/>
          </w:tcPr>
          <w:p w:rsidR="008F261E" w:rsidRPr="004B551C" w:rsidRDefault="008F261E" w:rsidP="004B551C">
            <w:pPr>
              <w:jc w:val="center"/>
              <w:rPr>
                <w:b/>
                <w:bCs/>
                <w:sz w:val="20"/>
                <w:szCs w:val="20"/>
                <w:lang w:bidi="ar-EG"/>
              </w:rPr>
            </w:pPr>
          </w:p>
        </w:tc>
        <w:tc>
          <w:tcPr>
            <w:tcW w:w="515" w:type="pct"/>
            <w:vMerge/>
            <w:vAlign w:val="center"/>
          </w:tcPr>
          <w:p w:rsidR="008F261E" w:rsidRPr="004B551C" w:rsidRDefault="008F261E" w:rsidP="004B551C">
            <w:pPr>
              <w:jc w:val="center"/>
              <w:rPr>
                <w:b/>
                <w:bCs/>
                <w:sz w:val="20"/>
                <w:szCs w:val="20"/>
                <w:lang w:bidi="ar-EG"/>
              </w:rPr>
            </w:pPr>
          </w:p>
        </w:tc>
        <w:tc>
          <w:tcPr>
            <w:tcW w:w="378" w:type="pct"/>
            <w:vMerge/>
            <w:shd w:val="clear" w:color="auto" w:fill="auto"/>
            <w:vAlign w:val="center"/>
          </w:tcPr>
          <w:p w:rsidR="008F261E" w:rsidRPr="004B551C" w:rsidRDefault="008F261E" w:rsidP="004B551C">
            <w:pPr>
              <w:jc w:val="center"/>
              <w:rPr>
                <w:b/>
                <w:bCs/>
                <w:sz w:val="20"/>
                <w:szCs w:val="20"/>
                <w:lang w:bidi="ar-EG"/>
              </w:rPr>
            </w:pPr>
          </w:p>
        </w:tc>
        <w:tc>
          <w:tcPr>
            <w:tcW w:w="507" w:type="pct"/>
            <w:vMerge/>
            <w:shd w:val="clear" w:color="auto" w:fill="auto"/>
            <w:vAlign w:val="center"/>
          </w:tcPr>
          <w:p w:rsidR="008F261E" w:rsidRPr="004B551C" w:rsidRDefault="008F261E" w:rsidP="004B551C">
            <w:pPr>
              <w:jc w:val="center"/>
              <w:rPr>
                <w:b/>
                <w:bCs/>
                <w:sz w:val="20"/>
                <w:szCs w:val="20"/>
                <w:lang w:bidi="ar-EG"/>
              </w:rPr>
            </w:pPr>
          </w:p>
        </w:tc>
        <w:tc>
          <w:tcPr>
            <w:tcW w:w="518" w:type="pct"/>
            <w:vMerge/>
            <w:shd w:val="clear" w:color="auto" w:fill="auto"/>
            <w:vAlign w:val="center"/>
          </w:tcPr>
          <w:p w:rsidR="008F261E" w:rsidRPr="004B551C" w:rsidRDefault="008F261E" w:rsidP="004B551C">
            <w:pPr>
              <w:jc w:val="center"/>
              <w:rPr>
                <w:b/>
                <w:bCs/>
                <w:sz w:val="20"/>
                <w:szCs w:val="20"/>
                <w:lang w:bidi="ar-EG"/>
              </w:rPr>
            </w:pPr>
          </w:p>
        </w:tc>
      </w:tr>
      <w:tr w:rsidR="008F261E" w:rsidRPr="004B551C" w:rsidTr="00606658">
        <w:trPr>
          <w:trHeight w:val="499"/>
          <w:jc w:val="center"/>
        </w:trPr>
        <w:tc>
          <w:tcPr>
            <w:tcW w:w="694" w:type="pct"/>
            <w:tcBorders>
              <w:right w:val="single" w:sz="4" w:space="0" w:color="auto"/>
            </w:tcBorders>
            <w:vAlign w:val="center"/>
          </w:tcPr>
          <w:p w:rsidR="008F261E" w:rsidRPr="004B551C" w:rsidRDefault="008F261E" w:rsidP="004B551C">
            <w:pPr>
              <w:jc w:val="center"/>
              <w:rPr>
                <w:b/>
                <w:bCs/>
                <w:sz w:val="20"/>
                <w:szCs w:val="20"/>
                <w:lang w:bidi="ar-EG"/>
              </w:rPr>
            </w:pPr>
            <w:proofErr w:type="spellStart"/>
            <w:r w:rsidRPr="004B551C">
              <w:rPr>
                <w:b/>
                <w:bCs/>
                <w:sz w:val="20"/>
                <w:szCs w:val="20"/>
                <w:lang w:bidi="ar-EG"/>
              </w:rPr>
              <w:t>Thymol</w:t>
            </w:r>
            <w:proofErr w:type="spellEnd"/>
            <w:r w:rsidRPr="004B551C">
              <w:rPr>
                <w:b/>
                <w:bCs/>
                <w:sz w:val="20"/>
                <w:szCs w:val="20"/>
                <w:lang w:bidi="ar-EG"/>
              </w:rPr>
              <w:t>*</w:t>
            </w:r>
          </w:p>
        </w:tc>
        <w:tc>
          <w:tcPr>
            <w:tcW w:w="367" w:type="pct"/>
            <w:tcBorders>
              <w:left w:val="single" w:sz="4" w:space="0" w:color="auto"/>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3.37</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23.62</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47.32</w:t>
            </w:r>
          </w:p>
        </w:tc>
        <w:tc>
          <w:tcPr>
            <w:tcW w:w="367" w:type="pct"/>
            <w:tcBorders>
              <w:lef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65.35</w:t>
            </w:r>
          </w:p>
        </w:tc>
        <w:tc>
          <w:tcPr>
            <w:tcW w:w="370" w:type="pct"/>
            <w:tcBorders>
              <w:right w:val="single" w:sz="4" w:space="0" w:color="auto"/>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77.43</w:t>
            </w:r>
          </w:p>
        </w:tc>
        <w:tc>
          <w:tcPr>
            <w:tcW w:w="551" w:type="pct"/>
            <w:tcBorders>
              <w:left w:val="single" w:sz="4" w:space="0" w:color="auto"/>
            </w:tcBorders>
            <w:vAlign w:val="center"/>
          </w:tcPr>
          <w:p w:rsidR="008F261E" w:rsidRPr="004B551C" w:rsidRDefault="008F261E" w:rsidP="004B551C">
            <w:pPr>
              <w:jc w:val="center"/>
              <w:rPr>
                <w:sz w:val="20"/>
                <w:szCs w:val="20"/>
                <w:lang w:bidi="ar-EG"/>
              </w:rPr>
            </w:pPr>
            <w:r w:rsidRPr="004B551C">
              <w:rPr>
                <w:sz w:val="20"/>
                <w:szCs w:val="20"/>
                <w:lang w:bidi="ar-EG"/>
              </w:rPr>
              <w:t>102.78</w:t>
            </w:r>
          </w:p>
        </w:tc>
        <w:tc>
          <w:tcPr>
            <w:tcW w:w="515" w:type="pct"/>
            <w:vAlign w:val="center"/>
          </w:tcPr>
          <w:p w:rsidR="008F261E" w:rsidRPr="004B551C" w:rsidRDefault="008F261E" w:rsidP="004B551C">
            <w:pPr>
              <w:jc w:val="center"/>
              <w:rPr>
                <w:b/>
                <w:bCs/>
                <w:sz w:val="20"/>
                <w:szCs w:val="20"/>
                <w:lang w:bidi="ar-EG"/>
              </w:rPr>
            </w:pPr>
            <w:r w:rsidRPr="004B551C">
              <w:rPr>
                <w:b/>
                <w:bCs/>
                <w:sz w:val="20"/>
                <w:szCs w:val="20"/>
                <w:lang w:bidi="ar-EG"/>
              </w:rPr>
              <w:t>156.41</w:t>
            </w:r>
          </w:p>
        </w:tc>
        <w:tc>
          <w:tcPr>
            <w:tcW w:w="378" w:type="pc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3.70</w:t>
            </w:r>
          </w:p>
        </w:tc>
        <w:tc>
          <w:tcPr>
            <w:tcW w:w="507" w:type="pc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100</w:t>
            </w:r>
          </w:p>
        </w:tc>
        <w:tc>
          <w:tcPr>
            <w:tcW w:w="518" w:type="pct"/>
            <w:shd w:val="clear" w:color="auto" w:fill="auto"/>
            <w:vAlign w:val="center"/>
          </w:tcPr>
          <w:p w:rsidR="008F261E" w:rsidRPr="004B551C" w:rsidRDefault="008F261E" w:rsidP="004B551C">
            <w:pPr>
              <w:jc w:val="center"/>
              <w:rPr>
                <w:b/>
                <w:bCs/>
                <w:sz w:val="20"/>
                <w:szCs w:val="20"/>
                <w:lang w:bidi="ar-EG"/>
              </w:rPr>
            </w:pPr>
            <w:r w:rsidRPr="004B551C">
              <w:rPr>
                <w:b/>
                <w:bCs/>
                <w:sz w:val="20"/>
                <w:szCs w:val="20"/>
                <w:lang w:bidi="ar-EG"/>
              </w:rPr>
              <w:t>117.88</w:t>
            </w:r>
          </w:p>
        </w:tc>
      </w:tr>
      <w:tr w:rsidR="008F261E" w:rsidRPr="004B551C" w:rsidTr="00606658">
        <w:trPr>
          <w:trHeight w:val="499"/>
          <w:jc w:val="center"/>
        </w:trPr>
        <w:tc>
          <w:tcPr>
            <w:tcW w:w="694" w:type="pct"/>
            <w:tcBorders>
              <w:right w:val="single" w:sz="4" w:space="0" w:color="auto"/>
            </w:tcBorders>
            <w:vAlign w:val="center"/>
          </w:tcPr>
          <w:p w:rsidR="008F261E" w:rsidRPr="004B551C" w:rsidRDefault="008F261E" w:rsidP="004B551C">
            <w:pPr>
              <w:jc w:val="center"/>
              <w:rPr>
                <w:b/>
                <w:bCs/>
                <w:sz w:val="20"/>
                <w:szCs w:val="20"/>
                <w:lang w:bidi="ar-EG"/>
              </w:rPr>
            </w:pPr>
            <w:proofErr w:type="spellStart"/>
            <w:r w:rsidRPr="004B551C">
              <w:rPr>
                <w:b/>
                <w:bCs/>
                <w:sz w:val="20"/>
                <w:szCs w:val="20"/>
                <w:lang w:bidi="ar-EG"/>
              </w:rPr>
              <w:t>Eugenol</w:t>
            </w:r>
            <w:proofErr w:type="spellEnd"/>
            <w:r w:rsidRPr="004B551C">
              <w:rPr>
                <w:b/>
                <w:bCs/>
                <w:sz w:val="20"/>
                <w:szCs w:val="20"/>
                <w:lang w:bidi="ar-EG"/>
              </w:rPr>
              <w:t>*</w:t>
            </w:r>
          </w:p>
        </w:tc>
        <w:tc>
          <w:tcPr>
            <w:tcW w:w="367" w:type="pct"/>
            <w:tcBorders>
              <w:left w:val="single" w:sz="4" w:space="0" w:color="auto"/>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0.29</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3.21</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9.28</w:t>
            </w:r>
          </w:p>
        </w:tc>
        <w:tc>
          <w:tcPr>
            <w:tcW w:w="367" w:type="pct"/>
            <w:tcBorders>
              <w:lef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17.13</w:t>
            </w:r>
          </w:p>
        </w:tc>
        <w:tc>
          <w:tcPr>
            <w:tcW w:w="370" w:type="pct"/>
            <w:tcBorders>
              <w:right w:val="single" w:sz="4" w:space="0" w:color="auto"/>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25.52</w:t>
            </w:r>
          </w:p>
        </w:tc>
        <w:tc>
          <w:tcPr>
            <w:tcW w:w="551" w:type="pct"/>
            <w:tcBorders>
              <w:left w:val="single" w:sz="4" w:space="0" w:color="auto"/>
            </w:tcBorders>
            <w:vAlign w:val="center"/>
          </w:tcPr>
          <w:p w:rsidR="008F261E" w:rsidRPr="004B551C" w:rsidRDefault="008F261E" w:rsidP="004B551C">
            <w:pPr>
              <w:jc w:val="center"/>
              <w:rPr>
                <w:sz w:val="20"/>
                <w:szCs w:val="20"/>
                <w:lang w:bidi="ar-EG"/>
              </w:rPr>
            </w:pPr>
            <w:r w:rsidRPr="004B551C">
              <w:rPr>
                <w:sz w:val="20"/>
                <w:szCs w:val="20"/>
                <w:lang w:bidi="ar-EG"/>
              </w:rPr>
              <w:t>246.88</w:t>
            </w:r>
          </w:p>
        </w:tc>
        <w:tc>
          <w:tcPr>
            <w:tcW w:w="515" w:type="pct"/>
            <w:vAlign w:val="center"/>
          </w:tcPr>
          <w:p w:rsidR="008F261E" w:rsidRPr="004B551C" w:rsidRDefault="008F261E" w:rsidP="004B551C">
            <w:pPr>
              <w:jc w:val="center"/>
              <w:rPr>
                <w:sz w:val="20"/>
                <w:szCs w:val="20"/>
                <w:lang w:bidi="ar-EG"/>
              </w:rPr>
            </w:pPr>
            <w:r w:rsidRPr="004B551C">
              <w:rPr>
                <w:sz w:val="20"/>
                <w:szCs w:val="20"/>
                <w:lang w:bidi="ar-EG"/>
              </w:rPr>
              <w:t>414.13</w:t>
            </w:r>
          </w:p>
        </w:tc>
        <w:tc>
          <w:tcPr>
            <w:tcW w:w="37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w:t>
            </w:r>
          </w:p>
        </w:tc>
        <w:tc>
          <w:tcPr>
            <w:tcW w:w="507"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37.77</w:t>
            </w:r>
          </w:p>
        </w:tc>
        <w:tc>
          <w:tcPr>
            <w:tcW w:w="51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44.52</w:t>
            </w:r>
          </w:p>
        </w:tc>
      </w:tr>
      <w:tr w:rsidR="008F261E" w:rsidRPr="004B551C" w:rsidTr="00606658">
        <w:trPr>
          <w:trHeight w:val="499"/>
          <w:jc w:val="center"/>
        </w:trPr>
        <w:tc>
          <w:tcPr>
            <w:tcW w:w="694" w:type="pct"/>
            <w:tcBorders>
              <w:right w:val="single" w:sz="4" w:space="0" w:color="auto"/>
            </w:tcBorders>
            <w:vAlign w:val="center"/>
          </w:tcPr>
          <w:p w:rsidR="008F261E" w:rsidRPr="004B551C" w:rsidRDefault="008F261E" w:rsidP="004B551C">
            <w:pPr>
              <w:jc w:val="center"/>
              <w:rPr>
                <w:b/>
                <w:bCs/>
                <w:sz w:val="20"/>
                <w:szCs w:val="20"/>
                <w:lang w:bidi="ar-EG"/>
              </w:rPr>
            </w:pPr>
            <w:r w:rsidRPr="004B551C">
              <w:rPr>
                <w:b/>
                <w:bCs/>
                <w:sz w:val="20"/>
                <w:szCs w:val="20"/>
                <w:lang w:bidi="ar-EG"/>
              </w:rPr>
              <w:t xml:space="preserve">Methyl </w:t>
            </w:r>
            <w:proofErr w:type="spellStart"/>
            <w:r w:rsidRPr="004B551C">
              <w:rPr>
                <w:b/>
                <w:bCs/>
                <w:sz w:val="20"/>
                <w:szCs w:val="20"/>
                <w:lang w:bidi="ar-EG"/>
              </w:rPr>
              <w:t>cinnamate</w:t>
            </w:r>
            <w:proofErr w:type="spellEnd"/>
            <w:r w:rsidRPr="004B551C">
              <w:rPr>
                <w:b/>
                <w:bCs/>
                <w:sz w:val="20"/>
                <w:szCs w:val="20"/>
                <w:lang w:bidi="ar-EG"/>
              </w:rPr>
              <w:t>*</w:t>
            </w:r>
          </w:p>
        </w:tc>
        <w:tc>
          <w:tcPr>
            <w:tcW w:w="367" w:type="pct"/>
            <w:tcBorders>
              <w:left w:val="single" w:sz="4" w:space="0" w:color="auto"/>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0</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0</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6.94</w:t>
            </w:r>
          </w:p>
        </w:tc>
        <w:tc>
          <w:tcPr>
            <w:tcW w:w="367" w:type="pct"/>
            <w:tcBorders>
              <w:lef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59.13</w:t>
            </w:r>
          </w:p>
        </w:tc>
        <w:tc>
          <w:tcPr>
            <w:tcW w:w="370" w:type="pct"/>
            <w:tcBorders>
              <w:right w:val="single" w:sz="4" w:space="0" w:color="auto"/>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94.04</w:t>
            </w:r>
          </w:p>
        </w:tc>
        <w:tc>
          <w:tcPr>
            <w:tcW w:w="551" w:type="pct"/>
            <w:tcBorders>
              <w:left w:val="single" w:sz="4" w:space="0" w:color="auto"/>
            </w:tcBorders>
            <w:vAlign w:val="center"/>
          </w:tcPr>
          <w:p w:rsidR="008F261E" w:rsidRPr="004B551C" w:rsidRDefault="008F261E" w:rsidP="004B551C">
            <w:pPr>
              <w:jc w:val="center"/>
              <w:rPr>
                <w:sz w:val="20"/>
                <w:szCs w:val="20"/>
                <w:lang w:bidi="ar-EG"/>
              </w:rPr>
            </w:pPr>
            <w:r w:rsidRPr="004B551C">
              <w:rPr>
                <w:sz w:val="20"/>
                <w:szCs w:val="20"/>
                <w:lang w:bidi="ar-EG"/>
              </w:rPr>
              <w:t>171.76</w:t>
            </w:r>
          </w:p>
        </w:tc>
        <w:tc>
          <w:tcPr>
            <w:tcW w:w="515" w:type="pct"/>
            <w:vAlign w:val="center"/>
          </w:tcPr>
          <w:p w:rsidR="008F261E" w:rsidRPr="004B551C" w:rsidRDefault="008F261E" w:rsidP="004B551C">
            <w:pPr>
              <w:jc w:val="center"/>
              <w:rPr>
                <w:sz w:val="20"/>
                <w:szCs w:val="20"/>
                <w:lang w:bidi="ar-EG"/>
              </w:rPr>
            </w:pPr>
            <w:r w:rsidRPr="004B551C">
              <w:rPr>
                <w:sz w:val="20"/>
                <w:szCs w:val="20"/>
                <w:lang w:bidi="ar-EG"/>
              </w:rPr>
              <w:t>192.37</w:t>
            </w:r>
          </w:p>
        </w:tc>
        <w:tc>
          <w:tcPr>
            <w:tcW w:w="37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13.7</w:t>
            </w:r>
          </w:p>
        </w:tc>
        <w:tc>
          <w:tcPr>
            <w:tcW w:w="507"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81.31</w:t>
            </w:r>
          </w:p>
        </w:tc>
        <w:tc>
          <w:tcPr>
            <w:tcW w:w="51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95.85</w:t>
            </w:r>
          </w:p>
        </w:tc>
      </w:tr>
      <w:tr w:rsidR="008F261E" w:rsidRPr="004B551C" w:rsidTr="00606658">
        <w:trPr>
          <w:trHeight w:val="499"/>
          <w:jc w:val="center"/>
        </w:trPr>
        <w:tc>
          <w:tcPr>
            <w:tcW w:w="694" w:type="pct"/>
            <w:tcBorders>
              <w:right w:val="single" w:sz="4" w:space="0" w:color="auto"/>
            </w:tcBorders>
            <w:vAlign w:val="center"/>
          </w:tcPr>
          <w:p w:rsidR="008F261E" w:rsidRPr="004B551C" w:rsidRDefault="008F261E" w:rsidP="004B551C">
            <w:pPr>
              <w:jc w:val="center"/>
              <w:rPr>
                <w:b/>
                <w:bCs/>
                <w:sz w:val="20"/>
                <w:szCs w:val="20"/>
                <w:lang w:bidi="ar-EG"/>
              </w:rPr>
            </w:pPr>
            <w:r w:rsidRPr="004B551C">
              <w:rPr>
                <w:b/>
                <w:bCs/>
                <w:sz w:val="20"/>
                <w:szCs w:val="20"/>
                <w:lang w:bidi="ar-EG"/>
              </w:rPr>
              <w:t>Linalool**</w:t>
            </w:r>
          </w:p>
        </w:tc>
        <w:tc>
          <w:tcPr>
            <w:tcW w:w="367" w:type="pct"/>
            <w:tcBorders>
              <w:left w:val="single" w:sz="4" w:space="0" w:color="auto"/>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5.57</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9.9</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16.32</w:t>
            </w:r>
          </w:p>
        </w:tc>
        <w:tc>
          <w:tcPr>
            <w:tcW w:w="367" w:type="pct"/>
            <w:tcBorders>
              <w:lef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24.98</w:t>
            </w:r>
          </w:p>
        </w:tc>
        <w:tc>
          <w:tcPr>
            <w:tcW w:w="370" w:type="pct"/>
            <w:tcBorders>
              <w:right w:val="single" w:sz="4" w:space="0" w:color="auto"/>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35.61</w:t>
            </w:r>
          </w:p>
        </w:tc>
        <w:tc>
          <w:tcPr>
            <w:tcW w:w="551" w:type="pct"/>
            <w:tcBorders>
              <w:left w:val="single" w:sz="4" w:space="0" w:color="auto"/>
            </w:tcBorders>
            <w:vAlign w:val="center"/>
          </w:tcPr>
          <w:p w:rsidR="008F261E" w:rsidRPr="004B551C" w:rsidRDefault="008F261E" w:rsidP="004B551C">
            <w:pPr>
              <w:jc w:val="center"/>
              <w:rPr>
                <w:sz w:val="20"/>
                <w:szCs w:val="20"/>
                <w:lang w:bidi="ar-EG"/>
              </w:rPr>
            </w:pPr>
            <w:r w:rsidRPr="004B551C">
              <w:rPr>
                <w:sz w:val="20"/>
                <w:szCs w:val="20"/>
                <w:lang w:bidi="ar-EG"/>
              </w:rPr>
              <w:t>4006.3</w:t>
            </w:r>
          </w:p>
        </w:tc>
        <w:tc>
          <w:tcPr>
            <w:tcW w:w="515" w:type="pct"/>
            <w:vAlign w:val="center"/>
          </w:tcPr>
          <w:p w:rsidR="008F261E" w:rsidRPr="004B551C" w:rsidRDefault="008F261E" w:rsidP="004B551C">
            <w:pPr>
              <w:jc w:val="center"/>
              <w:rPr>
                <w:sz w:val="20"/>
                <w:szCs w:val="20"/>
                <w:lang w:bidi="ar-EG"/>
              </w:rPr>
            </w:pPr>
            <w:r w:rsidRPr="004B551C">
              <w:rPr>
                <w:sz w:val="20"/>
                <w:szCs w:val="20"/>
                <w:lang w:bidi="ar-EG"/>
              </w:rPr>
              <w:t>18438.1</w:t>
            </w:r>
          </w:p>
        </w:tc>
        <w:tc>
          <w:tcPr>
            <w:tcW w:w="37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1.02</w:t>
            </w:r>
          </w:p>
        </w:tc>
        <w:tc>
          <w:tcPr>
            <w:tcW w:w="507"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0.85</w:t>
            </w:r>
          </w:p>
        </w:tc>
        <w:tc>
          <w:tcPr>
            <w:tcW w:w="51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1</w:t>
            </w:r>
          </w:p>
        </w:tc>
      </w:tr>
      <w:tr w:rsidR="008F261E" w:rsidRPr="004B551C" w:rsidTr="00606658">
        <w:trPr>
          <w:trHeight w:val="499"/>
          <w:jc w:val="center"/>
        </w:trPr>
        <w:tc>
          <w:tcPr>
            <w:tcW w:w="694" w:type="pct"/>
            <w:tcBorders>
              <w:right w:val="single" w:sz="4" w:space="0" w:color="auto"/>
            </w:tcBorders>
            <w:vAlign w:val="center"/>
          </w:tcPr>
          <w:p w:rsidR="008F261E" w:rsidRPr="004B551C" w:rsidRDefault="008F261E" w:rsidP="004B551C">
            <w:pPr>
              <w:jc w:val="center"/>
              <w:rPr>
                <w:b/>
                <w:bCs/>
                <w:sz w:val="20"/>
                <w:szCs w:val="20"/>
                <w:lang w:bidi="ar-EG"/>
              </w:rPr>
            </w:pPr>
            <w:r w:rsidRPr="004B551C">
              <w:rPr>
                <w:b/>
                <w:bCs/>
                <w:sz w:val="20"/>
                <w:szCs w:val="20"/>
                <w:lang w:bidi="ar-EG"/>
              </w:rPr>
              <w:t>1,8-Cineol**</w:t>
            </w:r>
          </w:p>
        </w:tc>
        <w:tc>
          <w:tcPr>
            <w:tcW w:w="367" w:type="pct"/>
            <w:tcBorders>
              <w:left w:val="single" w:sz="4" w:space="0" w:color="auto"/>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6.46</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5.34</w:t>
            </w:r>
          </w:p>
        </w:tc>
        <w:tc>
          <w:tcPr>
            <w:tcW w:w="367" w:type="pct"/>
            <w:tcBorders>
              <w:left w:val="nil"/>
              <w:righ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4.39</w:t>
            </w:r>
          </w:p>
        </w:tc>
        <w:tc>
          <w:tcPr>
            <w:tcW w:w="367" w:type="pct"/>
            <w:tcBorders>
              <w:left w:val="nil"/>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3.58</w:t>
            </w:r>
          </w:p>
        </w:tc>
        <w:tc>
          <w:tcPr>
            <w:tcW w:w="370" w:type="pct"/>
            <w:tcBorders>
              <w:right w:val="single" w:sz="4" w:space="0" w:color="auto"/>
            </w:tcBorders>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2.88</w:t>
            </w:r>
          </w:p>
        </w:tc>
        <w:tc>
          <w:tcPr>
            <w:tcW w:w="551" w:type="pct"/>
            <w:tcBorders>
              <w:left w:val="single" w:sz="4" w:space="0" w:color="auto"/>
            </w:tcBorders>
            <w:vAlign w:val="center"/>
          </w:tcPr>
          <w:p w:rsidR="008F261E" w:rsidRPr="004B551C" w:rsidRDefault="008F261E" w:rsidP="004B551C">
            <w:pPr>
              <w:jc w:val="center"/>
              <w:rPr>
                <w:sz w:val="20"/>
                <w:szCs w:val="20"/>
                <w:lang w:bidi="ar-EG"/>
              </w:rPr>
            </w:pPr>
            <w:r w:rsidRPr="004B551C">
              <w:rPr>
                <w:sz w:val="20"/>
                <w:szCs w:val="20"/>
                <w:lang w:bidi="ar-EG"/>
              </w:rPr>
              <w:t>-</w:t>
            </w:r>
          </w:p>
        </w:tc>
        <w:tc>
          <w:tcPr>
            <w:tcW w:w="515" w:type="pct"/>
            <w:vAlign w:val="center"/>
          </w:tcPr>
          <w:p w:rsidR="008F261E" w:rsidRPr="004B551C" w:rsidRDefault="008F261E" w:rsidP="004B551C">
            <w:pPr>
              <w:jc w:val="center"/>
              <w:rPr>
                <w:sz w:val="20"/>
                <w:szCs w:val="20"/>
                <w:lang w:bidi="ar-EG"/>
              </w:rPr>
            </w:pPr>
            <w:r w:rsidRPr="004B551C">
              <w:rPr>
                <w:sz w:val="20"/>
                <w:szCs w:val="20"/>
                <w:lang w:bidi="ar-EG"/>
              </w:rPr>
              <w:t>-</w:t>
            </w:r>
          </w:p>
        </w:tc>
        <w:tc>
          <w:tcPr>
            <w:tcW w:w="37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- 0.32</w:t>
            </w:r>
          </w:p>
        </w:tc>
        <w:tc>
          <w:tcPr>
            <w:tcW w:w="507"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w:t>
            </w:r>
          </w:p>
        </w:tc>
        <w:tc>
          <w:tcPr>
            <w:tcW w:w="518" w:type="pct"/>
            <w:shd w:val="clear" w:color="auto" w:fill="auto"/>
            <w:vAlign w:val="center"/>
          </w:tcPr>
          <w:p w:rsidR="008F261E" w:rsidRPr="004B551C" w:rsidRDefault="008F261E" w:rsidP="004B551C">
            <w:pPr>
              <w:jc w:val="center"/>
              <w:rPr>
                <w:sz w:val="20"/>
                <w:szCs w:val="20"/>
                <w:lang w:bidi="ar-EG"/>
              </w:rPr>
            </w:pPr>
            <w:r w:rsidRPr="004B551C">
              <w:rPr>
                <w:sz w:val="20"/>
                <w:szCs w:val="20"/>
                <w:lang w:bidi="ar-EG"/>
              </w:rPr>
              <w:t>-</w:t>
            </w:r>
          </w:p>
        </w:tc>
      </w:tr>
    </w:tbl>
    <w:p w:rsidR="00606658" w:rsidRPr="004B551C" w:rsidRDefault="00606658" w:rsidP="004B551C">
      <w:pPr>
        <w:jc w:val="both"/>
        <w:rPr>
          <w:sz w:val="20"/>
          <w:szCs w:val="20"/>
          <w:lang w:bidi="ar-EG"/>
        </w:rPr>
      </w:pPr>
      <w:r w:rsidRPr="004B551C">
        <w:rPr>
          <w:sz w:val="20"/>
          <w:szCs w:val="20"/>
          <w:lang w:bidi="ar-EG"/>
        </w:rPr>
        <w:t>A, B, C, D and E concentrations are:</w:t>
      </w:r>
    </w:p>
    <w:p w:rsidR="00606658" w:rsidRPr="004B551C" w:rsidRDefault="00606658" w:rsidP="004B551C">
      <w:pPr>
        <w:ind w:left="426" w:hanging="142"/>
        <w:jc w:val="both"/>
        <w:rPr>
          <w:sz w:val="20"/>
          <w:szCs w:val="20"/>
          <w:lang w:bidi="ar-EG"/>
        </w:rPr>
      </w:pPr>
      <w:r w:rsidRPr="004B551C">
        <w:rPr>
          <w:sz w:val="20"/>
          <w:szCs w:val="20"/>
          <w:lang w:bidi="ar-EG"/>
        </w:rPr>
        <w:t xml:space="preserve"> </w:t>
      </w:r>
      <w:r w:rsidRPr="004B551C">
        <w:rPr>
          <w:sz w:val="20"/>
          <w:szCs w:val="20"/>
          <w:vertAlign w:val="superscript"/>
          <w:lang w:bidi="ar-EG"/>
        </w:rPr>
        <w:t xml:space="preserve">  </w:t>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50, 100, 150, 200 and 250 µg/ml.   </w:t>
      </w:r>
      <w:r w:rsidRPr="004B551C">
        <w:rPr>
          <w:sz w:val="20"/>
          <w:szCs w:val="20"/>
          <w:lang w:bidi="ar-EG"/>
        </w:rPr>
        <w:tab/>
      </w:r>
      <w:r w:rsidRPr="004B551C">
        <w:rPr>
          <w:sz w:val="20"/>
          <w:szCs w:val="20"/>
          <w:lang w:bidi="ar-EG"/>
        </w:rPr>
        <w:tab/>
      </w:r>
      <w:r w:rsidRPr="004B551C">
        <w:rPr>
          <w:sz w:val="20"/>
          <w:szCs w:val="20"/>
          <w:lang w:bidi="ar-EG"/>
        </w:rPr>
        <w:tab/>
      </w:r>
      <w:r w:rsidRPr="004B551C">
        <w:rPr>
          <w:sz w:val="20"/>
          <w:szCs w:val="20"/>
          <w:vertAlign w:val="superscript"/>
          <w:lang w:bidi="ar-EG"/>
        </w:rPr>
        <w:sym w:font="Wingdings 2" w:char="F0DE"/>
      </w:r>
      <w:r w:rsidRPr="004B551C">
        <w:rPr>
          <w:sz w:val="20"/>
          <w:szCs w:val="20"/>
          <w:vertAlign w:val="superscript"/>
          <w:lang w:bidi="ar-EG"/>
        </w:rPr>
        <w:sym w:font="Wingdings 2" w:char="F0DE"/>
      </w:r>
      <w:r w:rsidRPr="004B551C">
        <w:rPr>
          <w:sz w:val="20"/>
          <w:szCs w:val="20"/>
          <w:vertAlign w:val="superscript"/>
          <w:lang w:bidi="ar-EG"/>
        </w:rPr>
        <w:t xml:space="preserve"> </w:t>
      </w:r>
      <w:r w:rsidRPr="004B551C">
        <w:rPr>
          <w:sz w:val="20"/>
          <w:szCs w:val="20"/>
          <w:lang w:bidi="ar-EG"/>
        </w:rPr>
        <w:t xml:space="preserve"> 500, 1000, 2000, 4000 and 8000 µg/ml.  </w:t>
      </w:r>
    </w:p>
    <w:p w:rsidR="008F261E" w:rsidRPr="004B551C" w:rsidRDefault="00606658" w:rsidP="004B551C">
      <w:pPr>
        <w:ind w:left="426" w:hanging="142"/>
        <w:jc w:val="both"/>
        <w:rPr>
          <w:sz w:val="20"/>
          <w:szCs w:val="20"/>
          <w:lang w:bidi="ar-EG"/>
        </w:rPr>
      </w:pPr>
      <w:r w:rsidRPr="004B551C">
        <w:rPr>
          <w:noProof/>
          <w:sz w:val="20"/>
          <w:szCs w:val="20"/>
          <w:lang w:eastAsia="zh-CN"/>
        </w:rPr>
        <w:drawing>
          <wp:anchor distT="0" distB="0" distL="114300" distR="114300" simplePos="0" relativeHeight="251678720" behindDoc="1" locked="0" layoutInCell="1" allowOverlap="1">
            <wp:simplePos x="0" y="0"/>
            <wp:positionH relativeFrom="column">
              <wp:posOffset>1264190</wp:posOffset>
            </wp:positionH>
            <wp:positionV relativeFrom="paragraph">
              <wp:posOffset>111571</wp:posOffset>
            </wp:positionV>
            <wp:extent cx="3152167" cy="2587557"/>
            <wp:effectExtent l="19050" t="0" r="0" b="0"/>
            <wp:wrapNone/>
            <wp:docPr id="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3152167" cy="2587557"/>
                    </a:xfrm>
                    <a:prstGeom prst="rect">
                      <a:avLst/>
                    </a:prstGeom>
                    <a:noFill/>
                    <a:ln w="9525">
                      <a:noFill/>
                      <a:miter lim="800000"/>
                      <a:headEnd/>
                      <a:tailEnd/>
                    </a:ln>
                  </pic:spPr>
                </pic:pic>
              </a:graphicData>
            </a:graphic>
          </wp:anchor>
        </w:drawing>
      </w:r>
    </w:p>
    <w:p w:rsidR="008F261E" w:rsidRPr="004B551C" w:rsidRDefault="008F261E" w:rsidP="004B551C">
      <w:pPr>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8F261E" w:rsidRPr="004B551C" w:rsidRDefault="008F261E" w:rsidP="004B551C">
      <w:pPr>
        <w:ind w:left="426" w:hanging="142"/>
        <w:jc w:val="both"/>
        <w:rPr>
          <w:sz w:val="20"/>
          <w:szCs w:val="20"/>
          <w:lang w:bidi="ar-EG"/>
        </w:rPr>
      </w:pPr>
    </w:p>
    <w:p w:rsidR="00E92E2D" w:rsidRPr="004B551C" w:rsidRDefault="00E92E2D" w:rsidP="004B551C">
      <w:pPr>
        <w:ind w:left="426" w:hanging="142"/>
        <w:jc w:val="both"/>
        <w:rPr>
          <w:sz w:val="20"/>
          <w:szCs w:val="20"/>
          <w:lang w:bidi="ar-EG"/>
        </w:rPr>
      </w:pPr>
    </w:p>
    <w:p w:rsidR="00E92E2D" w:rsidRPr="004B551C" w:rsidRDefault="00E92E2D" w:rsidP="004B551C">
      <w:pPr>
        <w:ind w:left="426" w:hanging="142"/>
        <w:jc w:val="both"/>
        <w:rPr>
          <w:sz w:val="20"/>
          <w:szCs w:val="20"/>
          <w:lang w:bidi="ar-EG"/>
        </w:rPr>
      </w:pPr>
    </w:p>
    <w:p w:rsidR="00E92E2D" w:rsidRPr="004B551C" w:rsidRDefault="00E92E2D" w:rsidP="004B551C">
      <w:pPr>
        <w:ind w:left="426" w:hanging="142"/>
        <w:jc w:val="both"/>
        <w:rPr>
          <w:sz w:val="20"/>
          <w:szCs w:val="20"/>
          <w:lang w:bidi="ar-EG"/>
        </w:rPr>
      </w:pPr>
    </w:p>
    <w:p w:rsidR="00E92E2D" w:rsidRPr="004B551C" w:rsidRDefault="00E92E2D" w:rsidP="004B551C">
      <w:pPr>
        <w:ind w:right="16"/>
        <w:jc w:val="center"/>
        <w:rPr>
          <w:sz w:val="20"/>
          <w:szCs w:val="20"/>
          <w:lang w:bidi="ar-EG"/>
        </w:rPr>
      </w:pPr>
      <w:r w:rsidRPr="004B551C">
        <w:rPr>
          <w:b/>
          <w:bCs/>
          <w:sz w:val="20"/>
          <w:szCs w:val="20"/>
        </w:rPr>
        <w:t xml:space="preserve">Fig.(5): </w:t>
      </w:r>
      <w:r w:rsidRPr="004B551C">
        <w:rPr>
          <w:sz w:val="20"/>
          <w:szCs w:val="20"/>
        </w:rPr>
        <w:t xml:space="preserve">Ldp lines of the selected compounds against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i/>
          <w:iCs/>
          <w:sz w:val="20"/>
          <w:szCs w:val="20"/>
          <w:lang w:bidi="ar-EG"/>
        </w:rPr>
        <w:t xml:space="preserve"> </w:t>
      </w:r>
    </w:p>
    <w:p w:rsidR="008F261E" w:rsidRPr="004B551C" w:rsidRDefault="008F261E" w:rsidP="004B551C">
      <w:pPr>
        <w:rPr>
          <w:sz w:val="20"/>
          <w:szCs w:val="20"/>
        </w:rPr>
      </w:pPr>
    </w:p>
    <w:p w:rsidR="000477EA" w:rsidRPr="004B551C" w:rsidRDefault="000477EA" w:rsidP="004B551C">
      <w:pPr>
        <w:autoSpaceDE w:val="0"/>
        <w:autoSpaceDN w:val="0"/>
        <w:adjustRightInd w:val="0"/>
        <w:ind w:firstLine="709"/>
        <w:jc w:val="both"/>
        <w:rPr>
          <w:b/>
          <w:bCs/>
          <w:sz w:val="20"/>
          <w:szCs w:val="20"/>
        </w:rPr>
        <w:sectPr w:rsidR="000477EA" w:rsidRPr="004B551C" w:rsidSect="00B952E0">
          <w:type w:val="continuous"/>
          <w:pgSz w:w="12240" w:h="15840" w:code="1"/>
          <w:pgMar w:top="1440" w:right="1440" w:bottom="851" w:left="1440" w:header="720" w:footer="510" w:gutter="0"/>
          <w:cols w:space="720"/>
          <w:docGrid w:linePitch="360"/>
        </w:sectPr>
      </w:pPr>
    </w:p>
    <w:p w:rsidR="008F261E" w:rsidRPr="004B551C" w:rsidRDefault="00BB72A2" w:rsidP="004B551C">
      <w:pPr>
        <w:autoSpaceDE w:val="0"/>
        <w:autoSpaceDN w:val="0"/>
        <w:adjustRightInd w:val="0"/>
        <w:ind w:left="426" w:hanging="426"/>
        <w:jc w:val="both"/>
        <w:rPr>
          <w:b/>
          <w:bCs/>
          <w:sz w:val="20"/>
          <w:szCs w:val="20"/>
        </w:rPr>
      </w:pPr>
      <w:r w:rsidRPr="004B551C">
        <w:rPr>
          <w:b/>
          <w:bCs/>
          <w:sz w:val="20"/>
          <w:szCs w:val="20"/>
        </w:rPr>
        <w:lastRenderedPageBreak/>
        <w:t xml:space="preserve">II. </w:t>
      </w:r>
      <w:r w:rsidR="008F261E" w:rsidRPr="004B551C">
        <w:rPr>
          <w:b/>
          <w:bCs/>
          <w:sz w:val="20"/>
          <w:szCs w:val="20"/>
        </w:rPr>
        <w:t xml:space="preserve">Determination of the Minimum Inhibitory Concentration (MIC’s): </w:t>
      </w:r>
    </w:p>
    <w:p w:rsidR="008F261E" w:rsidRPr="004B551C" w:rsidRDefault="008F261E" w:rsidP="004B551C">
      <w:pPr>
        <w:ind w:firstLine="426"/>
        <w:jc w:val="lowKashida"/>
        <w:rPr>
          <w:sz w:val="20"/>
          <w:szCs w:val="20"/>
          <w:lang w:bidi="ar-EG"/>
        </w:rPr>
      </w:pPr>
      <w:r w:rsidRPr="004B551C">
        <w:rPr>
          <w:sz w:val="20"/>
          <w:szCs w:val="20"/>
          <w:lang w:bidi="ar-EG"/>
        </w:rPr>
        <w:t xml:space="preserve">From the results represented in table (6); the lowest MIC’s were that of </w:t>
      </w:r>
      <w:proofErr w:type="spellStart"/>
      <w:r w:rsidRPr="004B551C">
        <w:rPr>
          <w:sz w:val="20"/>
          <w:szCs w:val="20"/>
          <w:lang w:bidi="ar-EG"/>
        </w:rPr>
        <w:t>thymol</w:t>
      </w:r>
      <w:proofErr w:type="spellEnd"/>
      <w:r w:rsidRPr="004B551C">
        <w:rPr>
          <w:sz w:val="20"/>
          <w:szCs w:val="20"/>
          <w:lang w:bidi="ar-EG"/>
        </w:rPr>
        <w:t xml:space="preserve"> against the five tested fungi namely, </w:t>
      </w:r>
      <w:r w:rsidRPr="004B551C">
        <w:rPr>
          <w:i/>
          <w:iCs/>
          <w:sz w:val="20"/>
          <w:szCs w:val="20"/>
          <w:lang w:bidi="ar-EG"/>
        </w:rPr>
        <w:t xml:space="preserve">S. </w:t>
      </w:r>
      <w:proofErr w:type="spellStart"/>
      <w:r w:rsidRPr="004B551C">
        <w:rPr>
          <w:i/>
          <w:iCs/>
          <w:sz w:val="20"/>
          <w:szCs w:val="20"/>
          <w:lang w:bidi="ar-EG"/>
        </w:rPr>
        <w:t>rolfsii</w:t>
      </w:r>
      <w:proofErr w:type="spellEnd"/>
      <w:r w:rsidRPr="004B551C">
        <w:rPr>
          <w:i/>
          <w:iCs/>
          <w:sz w:val="20"/>
          <w:szCs w:val="20"/>
          <w:lang w:bidi="ar-EG"/>
        </w:rPr>
        <w:t xml:space="preserve">, R. </w:t>
      </w:r>
      <w:proofErr w:type="spellStart"/>
      <w:r w:rsidRPr="004B551C">
        <w:rPr>
          <w:i/>
          <w:iCs/>
          <w:sz w:val="20"/>
          <w:szCs w:val="20"/>
          <w:lang w:bidi="ar-EG"/>
        </w:rPr>
        <w:t>solani</w:t>
      </w:r>
      <w:proofErr w:type="spellEnd"/>
      <w:r w:rsidRPr="004B551C">
        <w:rPr>
          <w:i/>
          <w:iCs/>
          <w:sz w:val="20"/>
          <w:szCs w:val="20"/>
          <w:lang w:bidi="ar-EG"/>
        </w:rPr>
        <w:t xml:space="preserve">, F. </w:t>
      </w:r>
      <w:proofErr w:type="spellStart"/>
      <w:r w:rsidRPr="004B551C">
        <w:rPr>
          <w:i/>
          <w:iCs/>
          <w:sz w:val="20"/>
          <w:szCs w:val="20"/>
          <w:lang w:bidi="ar-EG"/>
        </w:rPr>
        <w:t>oxysporum</w:t>
      </w:r>
      <w:proofErr w:type="spellEnd"/>
      <w:r w:rsidRPr="004B551C">
        <w:rPr>
          <w:i/>
          <w:iCs/>
          <w:sz w:val="20"/>
          <w:szCs w:val="20"/>
          <w:lang w:bidi="ar-EG"/>
        </w:rPr>
        <w:t xml:space="preserve">, B. </w:t>
      </w:r>
      <w:proofErr w:type="spellStart"/>
      <w:r w:rsidRPr="004B551C">
        <w:rPr>
          <w:i/>
          <w:iCs/>
          <w:sz w:val="20"/>
          <w:szCs w:val="20"/>
          <w:lang w:bidi="ar-EG"/>
        </w:rPr>
        <w:t>cinerea</w:t>
      </w:r>
      <w:proofErr w:type="spellEnd"/>
      <w:r w:rsidRPr="004B551C">
        <w:rPr>
          <w:i/>
          <w:iCs/>
          <w:sz w:val="20"/>
          <w:szCs w:val="20"/>
          <w:lang w:bidi="ar-EG"/>
        </w:rPr>
        <w:t xml:space="preserve"> </w:t>
      </w:r>
      <w:r w:rsidRPr="004B551C">
        <w:rPr>
          <w:sz w:val="20"/>
          <w:szCs w:val="20"/>
          <w:lang w:bidi="ar-EG"/>
        </w:rPr>
        <w:t xml:space="preserve">and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sz w:val="20"/>
          <w:szCs w:val="20"/>
          <w:lang w:bidi="ar-EG"/>
        </w:rPr>
        <w:t xml:space="preserve">.  The MIC’s of </w:t>
      </w:r>
      <w:proofErr w:type="spellStart"/>
      <w:r w:rsidRPr="004B551C">
        <w:rPr>
          <w:sz w:val="20"/>
          <w:szCs w:val="20"/>
          <w:lang w:bidi="ar-EG"/>
        </w:rPr>
        <w:t>thymol</w:t>
      </w:r>
      <w:proofErr w:type="spellEnd"/>
      <w:r w:rsidRPr="004B551C">
        <w:rPr>
          <w:sz w:val="20"/>
          <w:szCs w:val="20"/>
          <w:lang w:bidi="ar-EG"/>
        </w:rPr>
        <w:t xml:space="preserve"> were 100µg/ml against </w:t>
      </w:r>
      <w:r w:rsidRPr="004B551C">
        <w:rPr>
          <w:sz w:val="20"/>
          <w:szCs w:val="20"/>
        </w:rPr>
        <w:t>four of the five fungi tested</w:t>
      </w:r>
      <w:r w:rsidRPr="004B551C">
        <w:rPr>
          <w:sz w:val="20"/>
          <w:szCs w:val="20"/>
          <w:lang w:bidi="ar-EG"/>
        </w:rPr>
        <w:t xml:space="preserve"> except for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i/>
          <w:iCs/>
          <w:sz w:val="20"/>
          <w:szCs w:val="20"/>
          <w:lang w:bidi="ar-EG"/>
        </w:rPr>
        <w:t xml:space="preserve"> </w:t>
      </w:r>
      <w:r w:rsidRPr="004B551C">
        <w:rPr>
          <w:sz w:val="20"/>
          <w:szCs w:val="20"/>
          <w:lang w:bidi="ar-EG"/>
        </w:rPr>
        <w:t>where the MIC was 150 µg/ml</w:t>
      </w:r>
      <w:r w:rsidRPr="004B551C">
        <w:rPr>
          <w:i/>
          <w:iCs/>
          <w:sz w:val="20"/>
          <w:szCs w:val="20"/>
          <w:lang w:bidi="ar-EG"/>
        </w:rPr>
        <w:t xml:space="preserve">.  </w:t>
      </w:r>
      <w:r w:rsidRPr="004B551C">
        <w:rPr>
          <w:sz w:val="20"/>
          <w:szCs w:val="20"/>
          <w:lang w:bidi="ar-EG"/>
        </w:rPr>
        <w:t xml:space="preserve">The MIC’s of </w:t>
      </w:r>
      <w:proofErr w:type="spellStart"/>
      <w:r w:rsidRPr="004B551C">
        <w:rPr>
          <w:sz w:val="20"/>
          <w:szCs w:val="20"/>
          <w:lang w:bidi="ar-EG"/>
        </w:rPr>
        <w:t>eugenol</w:t>
      </w:r>
      <w:proofErr w:type="spellEnd"/>
      <w:r w:rsidRPr="004B551C">
        <w:rPr>
          <w:sz w:val="20"/>
          <w:szCs w:val="20"/>
          <w:lang w:bidi="ar-EG"/>
        </w:rPr>
        <w:t xml:space="preserve"> were 150 µg/ml for </w:t>
      </w:r>
      <w:r w:rsidRPr="004B551C">
        <w:rPr>
          <w:i/>
          <w:iCs/>
          <w:sz w:val="20"/>
          <w:szCs w:val="20"/>
          <w:lang w:bidi="ar-EG"/>
        </w:rPr>
        <w:t xml:space="preserve">S. </w:t>
      </w:r>
      <w:proofErr w:type="spellStart"/>
      <w:r w:rsidRPr="004B551C">
        <w:rPr>
          <w:i/>
          <w:iCs/>
          <w:sz w:val="20"/>
          <w:szCs w:val="20"/>
          <w:lang w:bidi="ar-EG"/>
        </w:rPr>
        <w:lastRenderedPageBreak/>
        <w:t>rolfsii</w:t>
      </w:r>
      <w:proofErr w:type="spellEnd"/>
      <w:r w:rsidRPr="004B551C">
        <w:rPr>
          <w:i/>
          <w:iCs/>
          <w:sz w:val="20"/>
          <w:szCs w:val="20"/>
          <w:lang w:bidi="ar-EG"/>
        </w:rPr>
        <w:t xml:space="preserve"> </w:t>
      </w:r>
      <w:r w:rsidRPr="004B551C">
        <w:rPr>
          <w:sz w:val="20"/>
          <w:szCs w:val="20"/>
          <w:lang w:bidi="ar-EG"/>
        </w:rPr>
        <w:t>and</w:t>
      </w:r>
      <w:r w:rsidRPr="004B551C">
        <w:rPr>
          <w:i/>
          <w:iCs/>
          <w:sz w:val="20"/>
          <w:szCs w:val="20"/>
          <w:lang w:bidi="ar-EG"/>
        </w:rPr>
        <w:t xml:space="preserve"> R. </w:t>
      </w:r>
      <w:proofErr w:type="spellStart"/>
      <w:r w:rsidRPr="004B551C">
        <w:rPr>
          <w:i/>
          <w:iCs/>
          <w:sz w:val="20"/>
          <w:szCs w:val="20"/>
          <w:lang w:bidi="ar-EG"/>
        </w:rPr>
        <w:t>solani</w:t>
      </w:r>
      <w:proofErr w:type="spellEnd"/>
      <w:r w:rsidRPr="004B551C">
        <w:rPr>
          <w:i/>
          <w:iCs/>
          <w:sz w:val="20"/>
          <w:szCs w:val="20"/>
          <w:lang w:bidi="ar-EG"/>
        </w:rPr>
        <w:t xml:space="preserve">; </w:t>
      </w:r>
      <w:r w:rsidRPr="004B551C">
        <w:rPr>
          <w:sz w:val="20"/>
          <w:szCs w:val="20"/>
          <w:lang w:bidi="ar-EG"/>
        </w:rPr>
        <w:t xml:space="preserve">  200 µg/ml for </w:t>
      </w:r>
      <w:r w:rsidRPr="004B551C">
        <w:rPr>
          <w:i/>
          <w:iCs/>
          <w:sz w:val="20"/>
          <w:szCs w:val="20"/>
          <w:lang w:bidi="ar-EG"/>
        </w:rPr>
        <w:t xml:space="preserve">F. </w:t>
      </w:r>
      <w:proofErr w:type="spellStart"/>
      <w:r w:rsidRPr="004B551C">
        <w:rPr>
          <w:i/>
          <w:iCs/>
          <w:sz w:val="20"/>
          <w:szCs w:val="20"/>
          <w:lang w:bidi="ar-EG"/>
        </w:rPr>
        <w:t>oxsysproum</w:t>
      </w:r>
      <w:proofErr w:type="spellEnd"/>
      <w:r w:rsidRPr="004B551C">
        <w:rPr>
          <w:sz w:val="20"/>
          <w:szCs w:val="20"/>
        </w:rPr>
        <w:t xml:space="preserve"> and 250 </w:t>
      </w:r>
      <w:r w:rsidRPr="004B551C">
        <w:rPr>
          <w:sz w:val="20"/>
          <w:szCs w:val="20"/>
          <w:lang w:bidi="ar-EG"/>
        </w:rPr>
        <w:t xml:space="preserve">µg/ml for both </w:t>
      </w:r>
      <w:r w:rsidRPr="004B551C">
        <w:rPr>
          <w:i/>
          <w:iCs/>
          <w:sz w:val="20"/>
          <w:szCs w:val="20"/>
          <w:lang w:bidi="ar-EG"/>
        </w:rPr>
        <w:t xml:space="preserve">B. </w:t>
      </w:r>
      <w:proofErr w:type="spellStart"/>
      <w:r w:rsidRPr="004B551C">
        <w:rPr>
          <w:i/>
          <w:iCs/>
          <w:sz w:val="20"/>
          <w:szCs w:val="20"/>
          <w:lang w:bidi="ar-EG"/>
        </w:rPr>
        <w:t>cinerea</w:t>
      </w:r>
      <w:proofErr w:type="spellEnd"/>
      <w:r w:rsidRPr="004B551C">
        <w:rPr>
          <w:i/>
          <w:iCs/>
          <w:sz w:val="20"/>
          <w:szCs w:val="20"/>
          <w:lang w:bidi="ar-EG"/>
        </w:rPr>
        <w:t xml:space="preserve"> </w:t>
      </w:r>
      <w:r w:rsidRPr="004B551C">
        <w:rPr>
          <w:sz w:val="20"/>
          <w:szCs w:val="20"/>
          <w:lang w:bidi="ar-EG"/>
        </w:rPr>
        <w:t xml:space="preserve">and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i/>
          <w:iCs/>
          <w:sz w:val="20"/>
          <w:szCs w:val="20"/>
          <w:lang w:bidi="ar-EG"/>
        </w:rPr>
        <w:t>.</w:t>
      </w:r>
      <w:r w:rsidRPr="004B551C">
        <w:rPr>
          <w:sz w:val="20"/>
          <w:szCs w:val="20"/>
          <w:lang w:bidi="ar-EG"/>
        </w:rPr>
        <w:t xml:space="preserve"> </w:t>
      </w:r>
    </w:p>
    <w:p w:rsidR="008F261E" w:rsidRPr="004B551C" w:rsidRDefault="008F261E" w:rsidP="004B551C">
      <w:pPr>
        <w:ind w:firstLine="426"/>
        <w:jc w:val="lowKashida"/>
        <w:rPr>
          <w:sz w:val="20"/>
          <w:szCs w:val="20"/>
          <w:lang w:bidi="ar-EG"/>
        </w:rPr>
      </w:pPr>
      <w:r w:rsidRPr="004B551C">
        <w:rPr>
          <w:sz w:val="20"/>
          <w:szCs w:val="20"/>
          <w:lang w:bidi="ar-EG"/>
        </w:rPr>
        <w:t xml:space="preserve">The MIC of methyl </w:t>
      </w:r>
      <w:proofErr w:type="spellStart"/>
      <w:r w:rsidRPr="004B551C">
        <w:rPr>
          <w:sz w:val="20"/>
          <w:szCs w:val="20"/>
          <w:lang w:bidi="ar-EG"/>
        </w:rPr>
        <w:t>cinnamate</w:t>
      </w:r>
      <w:proofErr w:type="spellEnd"/>
      <w:r w:rsidRPr="004B551C">
        <w:rPr>
          <w:sz w:val="20"/>
          <w:szCs w:val="20"/>
          <w:lang w:bidi="ar-EG"/>
        </w:rPr>
        <w:t xml:space="preserve"> was 150 µg/ml for </w:t>
      </w:r>
      <w:r w:rsidRPr="004B551C">
        <w:rPr>
          <w:i/>
          <w:iCs/>
          <w:sz w:val="20"/>
          <w:szCs w:val="20"/>
          <w:lang w:bidi="ar-EG"/>
        </w:rPr>
        <w:t xml:space="preserve">R. </w:t>
      </w:r>
      <w:proofErr w:type="spellStart"/>
      <w:r w:rsidRPr="004B551C">
        <w:rPr>
          <w:i/>
          <w:iCs/>
          <w:sz w:val="20"/>
          <w:szCs w:val="20"/>
          <w:lang w:bidi="ar-EG"/>
        </w:rPr>
        <w:t>solani</w:t>
      </w:r>
      <w:proofErr w:type="spellEnd"/>
      <w:r w:rsidRPr="004B551C">
        <w:rPr>
          <w:i/>
          <w:iCs/>
          <w:sz w:val="20"/>
          <w:szCs w:val="20"/>
          <w:lang w:bidi="ar-EG"/>
        </w:rPr>
        <w:t>;</w:t>
      </w:r>
      <w:r w:rsidRPr="004B551C">
        <w:rPr>
          <w:sz w:val="20"/>
          <w:szCs w:val="20"/>
          <w:lang w:bidi="ar-EG"/>
        </w:rPr>
        <w:t xml:space="preserve">   200 µg/ml for </w:t>
      </w:r>
      <w:r w:rsidRPr="004B551C">
        <w:rPr>
          <w:i/>
          <w:iCs/>
          <w:sz w:val="20"/>
          <w:szCs w:val="20"/>
          <w:lang w:bidi="ar-EG"/>
        </w:rPr>
        <w:t xml:space="preserve">S. </w:t>
      </w:r>
      <w:proofErr w:type="spellStart"/>
      <w:r w:rsidRPr="004B551C">
        <w:rPr>
          <w:i/>
          <w:iCs/>
          <w:sz w:val="20"/>
          <w:szCs w:val="20"/>
          <w:lang w:bidi="ar-EG"/>
        </w:rPr>
        <w:t>rolfsii</w:t>
      </w:r>
      <w:proofErr w:type="spellEnd"/>
      <w:r w:rsidRPr="004B551C">
        <w:rPr>
          <w:i/>
          <w:iCs/>
          <w:sz w:val="20"/>
          <w:szCs w:val="20"/>
          <w:lang w:bidi="ar-EG"/>
        </w:rPr>
        <w:t xml:space="preserve"> </w:t>
      </w:r>
      <w:r w:rsidRPr="004B551C">
        <w:rPr>
          <w:sz w:val="20"/>
          <w:szCs w:val="20"/>
          <w:lang w:bidi="ar-EG"/>
        </w:rPr>
        <w:t xml:space="preserve">and </w:t>
      </w:r>
      <w:r w:rsidRPr="004B551C">
        <w:rPr>
          <w:i/>
          <w:iCs/>
          <w:sz w:val="20"/>
          <w:szCs w:val="20"/>
          <w:lang w:bidi="ar-EG"/>
        </w:rPr>
        <w:t xml:space="preserve">A. </w:t>
      </w:r>
      <w:proofErr w:type="spellStart"/>
      <w:r w:rsidRPr="004B551C">
        <w:rPr>
          <w:i/>
          <w:iCs/>
          <w:sz w:val="20"/>
          <w:szCs w:val="20"/>
          <w:lang w:bidi="ar-EG"/>
        </w:rPr>
        <w:t>solani</w:t>
      </w:r>
      <w:proofErr w:type="spellEnd"/>
      <w:r w:rsidRPr="004B551C">
        <w:rPr>
          <w:sz w:val="20"/>
          <w:szCs w:val="20"/>
        </w:rPr>
        <w:t xml:space="preserve">; whereas they were 250 </w:t>
      </w:r>
      <w:r w:rsidRPr="004B551C">
        <w:rPr>
          <w:sz w:val="20"/>
          <w:szCs w:val="20"/>
          <w:lang w:bidi="ar-EG"/>
        </w:rPr>
        <w:t xml:space="preserve">µg/ml for both </w:t>
      </w:r>
      <w:r w:rsidRPr="004B551C">
        <w:rPr>
          <w:i/>
          <w:iCs/>
          <w:sz w:val="20"/>
          <w:szCs w:val="20"/>
          <w:lang w:bidi="ar-EG"/>
        </w:rPr>
        <w:t xml:space="preserve">F. </w:t>
      </w:r>
      <w:proofErr w:type="spellStart"/>
      <w:r w:rsidRPr="004B551C">
        <w:rPr>
          <w:i/>
          <w:iCs/>
          <w:sz w:val="20"/>
          <w:szCs w:val="20"/>
          <w:lang w:bidi="ar-EG"/>
        </w:rPr>
        <w:t>oxsyproum</w:t>
      </w:r>
      <w:proofErr w:type="spellEnd"/>
      <w:r w:rsidRPr="004B551C">
        <w:rPr>
          <w:i/>
          <w:iCs/>
          <w:sz w:val="20"/>
          <w:szCs w:val="20"/>
          <w:lang w:bidi="ar-EG"/>
        </w:rPr>
        <w:t xml:space="preserve"> </w:t>
      </w:r>
      <w:r w:rsidRPr="004B551C">
        <w:rPr>
          <w:sz w:val="20"/>
          <w:szCs w:val="20"/>
          <w:lang w:bidi="ar-EG"/>
        </w:rPr>
        <w:t>and</w:t>
      </w:r>
      <w:r w:rsidRPr="004B551C">
        <w:rPr>
          <w:i/>
          <w:iCs/>
          <w:sz w:val="20"/>
          <w:szCs w:val="20"/>
          <w:lang w:bidi="ar-EG"/>
        </w:rPr>
        <w:t xml:space="preserve"> B. </w:t>
      </w:r>
      <w:proofErr w:type="spellStart"/>
      <w:r w:rsidRPr="004B551C">
        <w:rPr>
          <w:i/>
          <w:iCs/>
          <w:sz w:val="20"/>
          <w:szCs w:val="20"/>
          <w:lang w:bidi="ar-EG"/>
        </w:rPr>
        <w:t>cinerea</w:t>
      </w:r>
      <w:proofErr w:type="spellEnd"/>
      <w:r w:rsidRPr="004B551C">
        <w:rPr>
          <w:i/>
          <w:iCs/>
          <w:sz w:val="20"/>
          <w:szCs w:val="20"/>
          <w:lang w:bidi="ar-EG"/>
        </w:rPr>
        <w:t>.</w:t>
      </w:r>
      <w:r w:rsidRPr="004B551C">
        <w:rPr>
          <w:sz w:val="20"/>
          <w:szCs w:val="20"/>
          <w:lang w:bidi="ar-EG"/>
        </w:rPr>
        <w:t xml:space="preserve"> </w:t>
      </w:r>
    </w:p>
    <w:p w:rsidR="008F261E" w:rsidRPr="004B551C" w:rsidRDefault="008F261E" w:rsidP="004B551C">
      <w:pPr>
        <w:ind w:firstLine="426"/>
        <w:jc w:val="lowKashida"/>
        <w:rPr>
          <w:sz w:val="20"/>
          <w:szCs w:val="20"/>
          <w:lang w:bidi="ar-EG"/>
        </w:rPr>
      </w:pPr>
      <w:r w:rsidRPr="004B551C">
        <w:rPr>
          <w:sz w:val="20"/>
          <w:szCs w:val="20"/>
          <w:lang w:bidi="ar-EG"/>
        </w:rPr>
        <w:t xml:space="preserve">While the MIC’s of linalool was 2000 µg/ml for </w:t>
      </w:r>
      <w:r w:rsidRPr="004B551C">
        <w:rPr>
          <w:i/>
          <w:iCs/>
          <w:sz w:val="20"/>
          <w:szCs w:val="20"/>
          <w:lang w:bidi="ar-EG"/>
        </w:rPr>
        <w:t xml:space="preserve">F. </w:t>
      </w:r>
      <w:proofErr w:type="spellStart"/>
      <w:r w:rsidRPr="004B551C">
        <w:rPr>
          <w:i/>
          <w:iCs/>
          <w:sz w:val="20"/>
          <w:szCs w:val="20"/>
          <w:lang w:bidi="ar-EG"/>
        </w:rPr>
        <w:t>oxysproum</w:t>
      </w:r>
      <w:proofErr w:type="spellEnd"/>
      <w:r w:rsidRPr="004B551C">
        <w:rPr>
          <w:i/>
          <w:iCs/>
          <w:sz w:val="20"/>
          <w:szCs w:val="20"/>
          <w:lang w:bidi="ar-EG"/>
        </w:rPr>
        <w:t xml:space="preserve">; </w:t>
      </w:r>
      <w:r w:rsidRPr="004B551C">
        <w:rPr>
          <w:sz w:val="20"/>
          <w:szCs w:val="20"/>
          <w:lang w:bidi="ar-EG"/>
        </w:rPr>
        <w:t xml:space="preserve">1000 µg/ml for </w:t>
      </w:r>
      <w:r w:rsidRPr="004B551C">
        <w:rPr>
          <w:i/>
          <w:iCs/>
          <w:sz w:val="20"/>
          <w:szCs w:val="20"/>
          <w:lang w:bidi="ar-EG"/>
        </w:rPr>
        <w:t xml:space="preserve">S. </w:t>
      </w:r>
      <w:proofErr w:type="spellStart"/>
      <w:r w:rsidRPr="004B551C">
        <w:rPr>
          <w:i/>
          <w:iCs/>
          <w:sz w:val="20"/>
          <w:szCs w:val="20"/>
          <w:lang w:bidi="ar-EG"/>
        </w:rPr>
        <w:t>rolfsii</w:t>
      </w:r>
      <w:proofErr w:type="spellEnd"/>
      <w:r w:rsidRPr="004B551C">
        <w:rPr>
          <w:i/>
          <w:iCs/>
          <w:sz w:val="20"/>
          <w:szCs w:val="20"/>
          <w:lang w:bidi="ar-EG"/>
        </w:rPr>
        <w:t xml:space="preserve">, R. </w:t>
      </w:r>
      <w:proofErr w:type="spellStart"/>
      <w:r w:rsidRPr="004B551C">
        <w:rPr>
          <w:i/>
          <w:iCs/>
          <w:sz w:val="20"/>
          <w:szCs w:val="20"/>
          <w:lang w:bidi="ar-EG"/>
        </w:rPr>
        <w:t>solani</w:t>
      </w:r>
      <w:proofErr w:type="spellEnd"/>
      <w:r w:rsidRPr="004B551C">
        <w:rPr>
          <w:i/>
          <w:iCs/>
          <w:sz w:val="20"/>
          <w:szCs w:val="20"/>
          <w:lang w:bidi="ar-EG"/>
        </w:rPr>
        <w:t xml:space="preserve"> </w:t>
      </w:r>
      <w:r w:rsidRPr="004B551C">
        <w:rPr>
          <w:sz w:val="20"/>
          <w:szCs w:val="20"/>
          <w:lang w:bidi="ar-EG"/>
        </w:rPr>
        <w:t xml:space="preserve">and </w:t>
      </w:r>
      <w:r w:rsidRPr="004B551C">
        <w:rPr>
          <w:i/>
          <w:iCs/>
          <w:sz w:val="20"/>
          <w:szCs w:val="20"/>
          <w:lang w:bidi="ar-EG"/>
        </w:rPr>
        <w:lastRenderedPageBreak/>
        <w:t xml:space="preserve">A. </w:t>
      </w:r>
      <w:proofErr w:type="spellStart"/>
      <w:r w:rsidRPr="004B551C">
        <w:rPr>
          <w:i/>
          <w:iCs/>
          <w:sz w:val="20"/>
          <w:szCs w:val="20"/>
          <w:lang w:bidi="ar-EG"/>
        </w:rPr>
        <w:t>solani</w:t>
      </w:r>
      <w:proofErr w:type="spellEnd"/>
      <w:r w:rsidRPr="004B551C">
        <w:rPr>
          <w:i/>
          <w:iCs/>
          <w:sz w:val="20"/>
          <w:szCs w:val="20"/>
          <w:lang w:bidi="ar-EG"/>
        </w:rPr>
        <w:t>;</w:t>
      </w:r>
      <w:r w:rsidRPr="004B551C">
        <w:rPr>
          <w:sz w:val="20"/>
          <w:szCs w:val="20"/>
          <w:lang w:bidi="ar-EG"/>
        </w:rPr>
        <w:t xml:space="preserve"> also the MIC of linalool against </w:t>
      </w:r>
      <w:r w:rsidRPr="004B551C">
        <w:rPr>
          <w:i/>
          <w:iCs/>
          <w:sz w:val="20"/>
          <w:szCs w:val="20"/>
          <w:lang w:bidi="ar-EG"/>
        </w:rPr>
        <w:t xml:space="preserve">B. </w:t>
      </w:r>
      <w:proofErr w:type="spellStart"/>
      <w:r w:rsidRPr="004B551C">
        <w:rPr>
          <w:i/>
          <w:iCs/>
          <w:sz w:val="20"/>
          <w:szCs w:val="20"/>
          <w:lang w:bidi="ar-EG"/>
        </w:rPr>
        <w:t>cinerea</w:t>
      </w:r>
      <w:proofErr w:type="spellEnd"/>
      <w:r w:rsidRPr="004B551C">
        <w:rPr>
          <w:i/>
          <w:iCs/>
          <w:sz w:val="20"/>
          <w:szCs w:val="20"/>
          <w:lang w:bidi="ar-EG"/>
        </w:rPr>
        <w:t xml:space="preserve"> </w:t>
      </w:r>
      <w:r w:rsidRPr="004B551C">
        <w:rPr>
          <w:sz w:val="20"/>
          <w:szCs w:val="20"/>
          <w:lang w:bidi="ar-EG"/>
        </w:rPr>
        <w:t>was 500 µg/ml.</w:t>
      </w:r>
    </w:p>
    <w:p w:rsidR="008F261E" w:rsidRPr="004B551C" w:rsidRDefault="008F261E" w:rsidP="004B551C">
      <w:pPr>
        <w:ind w:firstLine="426"/>
        <w:jc w:val="lowKashida"/>
        <w:rPr>
          <w:sz w:val="20"/>
          <w:szCs w:val="20"/>
          <w:lang w:bidi="ar-EG"/>
        </w:rPr>
      </w:pPr>
      <w:r w:rsidRPr="004B551C">
        <w:rPr>
          <w:sz w:val="20"/>
          <w:szCs w:val="20"/>
          <w:lang w:bidi="ar-EG"/>
        </w:rPr>
        <w:lastRenderedPageBreak/>
        <w:t>In contrast, the 1,8-cineol compound had not any inhibitory effect even at 8000 µg/ml against the five fungal strains tested.</w:t>
      </w:r>
    </w:p>
    <w:p w:rsidR="000477EA" w:rsidRPr="004B551C" w:rsidRDefault="000477EA" w:rsidP="004B551C">
      <w:pPr>
        <w:ind w:left="1260" w:hanging="1260"/>
        <w:jc w:val="lowKashida"/>
        <w:rPr>
          <w:b/>
          <w:bCs/>
          <w:sz w:val="20"/>
          <w:szCs w:val="20"/>
          <w:lang w:bidi="ar-EG"/>
        </w:rPr>
        <w:sectPr w:rsidR="000477EA" w:rsidRPr="004B551C" w:rsidSect="00B952E0">
          <w:type w:val="continuous"/>
          <w:pgSz w:w="12240" w:h="15840" w:code="1"/>
          <w:pgMar w:top="1440" w:right="1440" w:bottom="851" w:left="1440" w:header="720" w:footer="510" w:gutter="0"/>
          <w:cols w:num="2" w:space="720"/>
          <w:docGrid w:linePitch="360"/>
        </w:sectPr>
      </w:pPr>
    </w:p>
    <w:p w:rsidR="00606658" w:rsidRPr="004B551C" w:rsidRDefault="00606658" w:rsidP="004B551C">
      <w:pPr>
        <w:ind w:left="1260" w:hanging="1260"/>
        <w:jc w:val="lowKashida"/>
        <w:rPr>
          <w:b/>
          <w:bCs/>
          <w:sz w:val="20"/>
          <w:szCs w:val="20"/>
          <w:lang w:bidi="ar-EG"/>
        </w:rPr>
      </w:pPr>
    </w:p>
    <w:p w:rsidR="00BB72A2" w:rsidRPr="004B551C" w:rsidRDefault="00BB72A2" w:rsidP="004B551C">
      <w:pPr>
        <w:ind w:left="1260" w:hanging="1260"/>
        <w:jc w:val="lowKashida"/>
        <w:rPr>
          <w:b/>
          <w:bCs/>
          <w:sz w:val="20"/>
          <w:szCs w:val="20"/>
          <w:lang w:bidi="ar-EG"/>
        </w:rPr>
      </w:pPr>
    </w:p>
    <w:p w:rsidR="008F261E" w:rsidRPr="004B551C" w:rsidRDefault="008F261E" w:rsidP="004B551C">
      <w:pPr>
        <w:ind w:left="1260" w:hanging="1260"/>
        <w:jc w:val="lowKashida"/>
        <w:rPr>
          <w:b/>
          <w:bCs/>
          <w:i/>
          <w:iCs/>
          <w:sz w:val="20"/>
          <w:szCs w:val="20"/>
          <w:lang w:bidi="ar-EG"/>
        </w:rPr>
      </w:pPr>
      <w:r w:rsidRPr="004B551C">
        <w:rPr>
          <w:b/>
          <w:bCs/>
          <w:sz w:val="20"/>
          <w:szCs w:val="20"/>
          <w:lang w:bidi="ar-EG"/>
        </w:rPr>
        <w:t xml:space="preserve">Table (6): Minimum inhibitory concentrations (MICs) of </w:t>
      </w:r>
      <w:proofErr w:type="spellStart"/>
      <w:r w:rsidRPr="004B551C">
        <w:rPr>
          <w:b/>
          <w:bCs/>
          <w:sz w:val="20"/>
          <w:szCs w:val="20"/>
          <w:lang w:bidi="ar-EG"/>
        </w:rPr>
        <w:t>thymol</w:t>
      </w:r>
      <w:proofErr w:type="spellEnd"/>
      <w:r w:rsidRPr="004B551C">
        <w:rPr>
          <w:b/>
          <w:bCs/>
          <w:sz w:val="20"/>
          <w:szCs w:val="20"/>
          <w:lang w:bidi="ar-EG"/>
        </w:rPr>
        <w:t xml:space="preserve">, </w:t>
      </w:r>
      <w:proofErr w:type="spellStart"/>
      <w:r w:rsidRPr="004B551C">
        <w:rPr>
          <w:b/>
          <w:bCs/>
          <w:sz w:val="20"/>
          <w:szCs w:val="20"/>
          <w:lang w:bidi="ar-EG"/>
        </w:rPr>
        <w:t>eugenol</w:t>
      </w:r>
      <w:proofErr w:type="spellEnd"/>
      <w:r w:rsidRPr="004B551C">
        <w:rPr>
          <w:b/>
          <w:bCs/>
          <w:sz w:val="20"/>
          <w:szCs w:val="20"/>
          <w:lang w:bidi="ar-EG"/>
        </w:rPr>
        <w:t>, methyl-</w:t>
      </w:r>
      <w:proofErr w:type="spellStart"/>
      <w:r w:rsidRPr="004B551C">
        <w:rPr>
          <w:b/>
          <w:bCs/>
          <w:sz w:val="20"/>
          <w:szCs w:val="20"/>
          <w:lang w:bidi="ar-EG"/>
        </w:rPr>
        <w:t>cinnamate</w:t>
      </w:r>
      <w:proofErr w:type="spellEnd"/>
      <w:r w:rsidRPr="004B551C">
        <w:rPr>
          <w:b/>
          <w:bCs/>
          <w:sz w:val="20"/>
          <w:szCs w:val="20"/>
          <w:lang w:bidi="ar-EG"/>
        </w:rPr>
        <w:t>, linalool and 1,8-cineol compounds against tested fungi</w:t>
      </w:r>
      <w:r w:rsidRPr="004B551C">
        <w:rPr>
          <w:b/>
          <w:bCs/>
          <w:i/>
          <w:iCs/>
          <w:sz w:val="20"/>
          <w:szCs w:val="20"/>
          <w:lang w:bidi="ar-EG"/>
        </w:rPr>
        <w:t>.</w:t>
      </w:r>
    </w:p>
    <w:tbl>
      <w:tblPr>
        <w:tblStyle w:val="TableGrid"/>
        <w:tblW w:w="5000" w:type="pct"/>
        <w:jc w:val="center"/>
        <w:tblLook w:val="04A0"/>
      </w:tblPr>
      <w:tblGrid>
        <w:gridCol w:w="1675"/>
        <w:gridCol w:w="1431"/>
        <w:gridCol w:w="1580"/>
        <w:gridCol w:w="1747"/>
        <w:gridCol w:w="1580"/>
        <w:gridCol w:w="1563"/>
      </w:tblGrid>
      <w:tr w:rsidR="008F261E" w:rsidRPr="004B551C" w:rsidTr="009867F7">
        <w:trPr>
          <w:trHeight w:val="506"/>
          <w:jc w:val="center"/>
        </w:trPr>
        <w:tc>
          <w:tcPr>
            <w:tcW w:w="875" w:type="pct"/>
            <w:tcBorders>
              <w:left w:val="nil"/>
              <w:right w:val="nil"/>
            </w:tcBorders>
          </w:tcPr>
          <w:p w:rsidR="008F261E" w:rsidRPr="004B551C" w:rsidRDefault="00907E7E" w:rsidP="004B551C">
            <w:pPr>
              <w:autoSpaceDE w:val="0"/>
              <w:autoSpaceDN w:val="0"/>
              <w:adjustRightInd w:val="0"/>
              <w:jc w:val="right"/>
              <w:rPr>
                <w:b/>
                <w:bCs/>
                <w:sz w:val="20"/>
                <w:szCs w:val="20"/>
              </w:rPr>
            </w:pPr>
            <w:r w:rsidRPr="004B551C">
              <w:rPr>
                <w:b/>
                <w:bCs/>
                <w:noProof/>
                <w:sz w:val="20"/>
                <w:szCs w:val="20"/>
              </w:rPr>
              <w:pict>
                <v:shapetype id="_x0000_t32" coordsize="21600,21600" o:spt="32" o:oned="t" path="m,l21600,21600e" filled="f">
                  <v:path arrowok="t" fillok="f" o:connecttype="none"/>
                  <o:lock v:ext="edit" shapetype="t"/>
                </v:shapetype>
                <v:shape id="_x0000_s1030" type="#_x0000_t32" style="position:absolute;left:0;text-align:left;margin-left:-5.45pt;margin-top:-.65pt;width:75pt;height:26.25pt;z-index:251669504" o:connectortype="straight"/>
              </w:pict>
            </w:r>
            <w:r w:rsidR="008F261E" w:rsidRPr="004B551C">
              <w:rPr>
                <w:b/>
                <w:bCs/>
                <w:sz w:val="20"/>
                <w:szCs w:val="20"/>
              </w:rPr>
              <w:t xml:space="preserve">Comp. </w:t>
            </w:r>
          </w:p>
          <w:p w:rsidR="008F261E" w:rsidRPr="004B551C" w:rsidRDefault="008F261E" w:rsidP="004B551C">
            <w:pPr>
              <w:autoSpaceDE w:val="0"/>
              <w:autoSpaceDN w:val="0"/>
              <w:adjustRightInd w:val="0"/>
              <w:rPr>
                <w:b/>
                <w:bCs/>
                <w:sz w:val="20"/>
                <w:szCs w:val="20"/>
              </w:rPr>
            </w:pPr>
            <w:r w:rsidRPr="004B551C">
              <w:rPr>
                <w:b/>
                <w:bCs/>
                <w:sz w:val="20"/>
                <w:szCs w:val="20"/>
              </w:rPr>
              <w:t>Fungi</w:t>
            </w:r>
          </w:p>
        </w:tc>
        <w:tc>
          <w:tcPr>
            <w:tcW w:w="747" w:type="pct"/>
            <w:tcBorders>
              <w:left w:val="nil"/>
              <w:right w:val="nil"/>
            </w:tcBorders>
            <w:vAlign w:val="center"/>
          </w:tcPr>
          <w:p w:rsidR="008F261E" w:rsidRPr="004B551C" w:rsidRDefault="008F261E" w:rsidP="004B551C">
            <w:pPr>
              <w:autoSpaceDE w:val="0"/>
              <w:autoSpaceDN w:val="0"/>
              <w:adjustRightInd w:val="0"/>
              <w:jc w:val="center"/>
              <w:rPr>
                <w:b/>
                <w:bCs/>
                <w:sz w:val="20"/>
                <w:szCs w:val="20"/>
              </w:rPr>
            </w:pPr>
            <w:proofErr w:type="spellStart"/>
            <w:r w:rsidRPr="004B551C">
              <w:rPr>
                <w:b/>
                <w:bCs/>
                <w:sz w:val="20"/>
                <w:szCs w:val="20"/>
              </w:rPr>
              <w:t>Thymol</w:t>
            </w:r>
            <w:proofErr w:type="spellEnd"/>
          </w:p>
        </w:tc>
        <w:tc>
          <w:tcPr>
            <w:tcW w:w="825" w:type="pct"/>
            <w:tcBorders>
              <w:left w:val="nil"/>
              <w:right w:val="nil"/>
            </w:tcBorders>
            <w:vAlign w:val="center"/>
          </w:tcPr>
          <w:p w:rsidR="008F261E" w:rsidRPr="004B551C" w:rsidRDefault="008F261E" w:rsidP="004B551C">
            <w:pPr>
              <w:autoSpaceDE w:val="0"/>
              <w:autoSpaceDN w:val="0"/>
              <w:adjustRightInd w:val="0"/>
              <w:jc w:val="center"/>
              <w:rPr>
                <w:b/>
                <w:bCs/>
                <w:sz w:val="20"/>
                <w:szCs w:val="20"/>
              </w:rPr>
            </w:pPr>
            <w:proofErr w:type="spellStart"/>
            <w:r w:rsidRPr="004B551C">
              <w:rPr>
                <w:b/>
                <w:bCs/>
                <w:sz w:val="20"/>
                <w:szCs w:val="20"/>
              </w:rPr>
              <w:t>Eugenol</w:t>
            </w:r>
            <w:proofErr w:type="spellEnd"/>
          </w:p>
        </w:tc>
        <w:tc>
          <w:tcPr>
            <w:tcW w:w="912" w:type="pct"/>
            <w:tcBorders>
              <w:left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xml:space="preserve">Methyl </w:t>
            </w:r>
            <w:proofErr w:type="spellStart"/>
            <w:r w:rsidRPr="004B551C">
              <w:rPr>
                <w:b/>
                <w:bCs/>
                <w:sz w:val="20"/>
                <w:szCs w:val="20"/>
              </w:rPr>
              <w:t>cinnamate</w:t>
            </w:r>
            <w:proofErr w:type="spellEnd"/>
          </w:p>
        </w:tc>
        <w:tc>
          <w:tcPr>
            <w:tcW w:w="825" w:type="pct"/>
            <w:tcBorders>
              <w:left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Linalool</w:t>
            </w:r>
          </w:p>
        </w:tc>
        <w:tc>
          <w:tcPr>
            <w:tcW w:w="816" w:type="pct"/>
            <w:tcBorders>
              <w:left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1,8-cineol</w:t>
            </w:r>
          </w:p>
        </w:tc>
      </w:tr>
      <w:tr w:rsidR="008F261E" w:rsidRPr="004B551C" w:rsidTr="00606658">
        <w:trPr>
          <w:trHeight w:val="313"/>
          <w:jc w:val="center"/>
        </w:trPr>
        <w:tc>
          <w:tcPr>
            <w:tcW w:w="875" w:type="pct"/>
            <w:tcBorders>
              <w:left w:val="nil"/>
              <w:bottom w:val="nil"/>
              <w:right w:val="nil"/>
            </w:tcBorders>
          </w:tcPr>
          <w:p w:rsidR="008F261E" w:rsidRPr="004B551C" w:rsidRDefault="008F261E" w:rsidP="004B551C">
            <w:pPr>
              <w:autoSpaceDE w:val="0"/>
              <w:autoSpaceDN w:val="0"/>
              <w:adjustRightInd w:val="0"/>
              <w:jc w:val="both"/>
              <w:rPr>
                <w:b/>
                <w:bCs/>
                <w:sz w:val="20"/>
                <w:szCs w:val="20"/>
              </w:rPr>
            </w:pPr>
            <w:r w:rsidRPr="004B551C">
              <w:rPr>
                <w:i/>
                <w:iCs/>
                <w:sz w:val="20"/>
                <w:szCs w:val="20"/>
                <w:lang w:bidi="ar-EG"/>
              </w:rPr>
              <w:t xml:space="preserve">S. </w:t>
            </w:r>
            <w:proofErr w:type="spellStart"/>
            <w:r w:rsidRPr="004B551C">
              <w:rPr>
                <w:i/>
                <w:iCs/>
                <w:sz w:val="20"/>
                <w:szCs w:val="20"/>
                <w:lang w:bidi="ar-EG"/>
              </w:rPr>
              <w:t>rolfsii</w:t>
            </w:r>
            <w:proofErr w:type="spellEnd"/>
          </w:p>
        </w:tc>
        <w:tc>
          <w:tcPr>
            <w:tcW w:w="747" w:type="pct"/>
            <w:tcBorders>
              <w:left w:val="nil"/>
              <w:bottom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100</w:t>
            </w:r>
          </w:p>
        </w:tc>
        <w:tc>
          <w:tcPr>
            <w:tcW w:w="825" w:type="pct"/>
            <w:tcBorders>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150</w:t>
            </w:r>
          </w:p>
        </w:tc>
        <w:tc>
          <w:tcPr>
            <w:tcW w:w="912" w:type="pct"/>
            <w:tcBorders>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200</w:t>
            </w:r>
          </w:p>
        </w:tc>
        <w:tc>
          <w:tcPr>
            <w:tcW w:w="825" w:type="pct"/>
            <w:tcBorders>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1000</w:t>
            </w:r>
          </w:p>
        </w:tc>
        <w:tc>
          <w:tcPr>
            <w:tcW w:w="816" w:type="pct"/>
            <w:tcBorders>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&gt; 8000</w:t>
            </w:r>
          </w:p>
        </w:tc>
      </w:tr>
      <w:tr w:rsidR="008F261E" w:rsidRPr="004B551C" w:rsidTr="00606658">
        <w:trPr>
          <w:trHeight w:val="313"/>
          <w:jc w:val="center"/>
        </w:trPr>
        <w:tc>
          <w:tcPr>
            <w:tcW w:w="875" w:type="pct"/>
            <w:tcBorders>
              <w:top w:val="nil"/>
              <w:left w:val="nil"/>
              <w:bottom w:val="nil"/>
              <w:right w:val="nil"/>
            </w:tcBorders>
          </w:tcPr>
          <w:p w:rsidR="008F261E" w:rsidRPr="004B551C" w:rsidRDefault="008F261E" w:rsidP="004B551C">
            <w:pPr>
              <w:autoSpaceDE w:val="0"/>
              <w:autoSpaceDN w:val="0"/>
              <w:adjustRightInd w:val="0"/>
              <w:jc w:val="both"/>
              <w:rPr>
                <w:b/>
                <w:bCs/>
                <w:sz w:val="20"/>
                <w:szCs w:val="20"/>
              </w:rPr>
            </w:pPr>
            <w:r w:rsidRPr="004B551C">
              <w:rPr>
                <w:i/>
                <w:iCs/>
                <w:sz w:val="20"/>
                <w:szCs w:val="20"/>
                <w:lang w:bidi="ar-EG"/>
              </w:rPr>
              <w:t xml:space="preserve">R. </w:t>
            </w:r>
            <w:proofErr w:type="spellStart"/>
            <w:r w:rsidRPr="004B551C">
              <w:rPr>
                <w:i/>
                <w:iCs/>
                <w:sz w:val="20"/>
                <w:szCs w:val="20"/>
                <w:lang w:bidi="ar-EG"/>
              </w:rPr>
              <w:t>solani</w:t>
            </w:r>
            <w:proofErr w:type="spellEnd"/>
          </w:p>
        </w:tc>
        <w:tc>
          <w:tcPr>
            <w:tcW w:w="747" w:type="pct"/>
            <w:tcBorders>
              <w:top w:val="nil"/>
              <w:left w:val="nil"/>
              <w:bottom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100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150</w:t>
            </w:r>
          </w:p>
        </w:tc>
        <w:tc>
          <w:tcPr>
            <w:tcW w:w="912"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150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1000</w:t>
            </w:r>
          </w:p>
        </w:tc>
        <w:tc>
          <w:tcPr>
            <w:tcW w:w="816" w:type="pct"/>
            <w:tcBorders>
              <w:top w:val="nil"/>
              <w:left w:val="nil"/>
              <w:bottom w:val="nil"/>
              <w:right w:val="nil"/>
            </w:tcBorders>
            <w:vAlign w:val="center"/>
          </w:tcPr>
          <w:p w:rsidR="008F261E" w:rsidRPr="004B551C" w:rsidRDefault="00606658" w:rsidP="004B551C">
            <w:pPr>
              <w:autoSpaceDE w:val="0"/>
              <w:autoSpaceDN w:val="0"/>
              <w:adjustRightInd w:val="0"/>
              <w:jc w:val="center"/>
              <w:rPr>
                <w:sz w:val="20"/>
                <w:szCs w:val="20"/>
              </w:rPr>
            </w:pPr>
            <w:r w:rsidRPr="004B551C">
              <w:rPr>
                <w:sz w:val="20"/>
                <w:szCs w:val="20"/>
              </w:rPr>
              <w:t>&gt;</w:t>
            </w:r>
            <w:r w:rsidR="008F261E" w:rsidRPr="004B551C">
              <w:rPr>
                <w:sz w:val="20"/>
                <w:szCs w:val="20"/>
              </w:rPr>
              <w:t xml:space="preserve"> 8000</w:t>
            </w:r>
          </w:p>
        </w:tc>
      </w:tr>
      <w:tr w:rsidR="008F261E" w:rsidRPr="004B551C" w:rsidTr="00606658">
        <w:trPr>
          <w:trHeight w:val="313"/>
          <w:jc w:val="center"/>
        </w:trPr>
        <w:tc>
          <w:tcPr>
            <w:tcW w:w="875" w:type="pct"/>
            <w:tcBorders>
              <w:top w:val="nil"/>
              <w:left w:val="nil"/>
              <w:bottom w:val="nil"/>
              <w:right w:val="nil"/>
            </w:tcBorders>
          </w:tcPr>
          <w:p w:rsidR="008F261E" w:rsidRPr="004B551C" w:rsidRDefault="008F261E" w:rsidP="004B551C">
            <w:pPr>
              <w:autoSpaceDE w:val="0"/>
              <w:autoSpaceDN w:val="0"/>
              <w:adjustRightInd w:val="0"/>
              <w:jc w:val="both"/>
              <w:rPr>
                <w:b/>
                <w:bCs/>
                <w:sz w:val="20"/>
                <w:szCs w:val="20"/>
              </w:rPr>
            </w:pPr>
            <w:r w:rsidRPr="004B551C">
              <w:rPr>
                <w:i/>
                <w:iCs/>
                <w:sz w:val="20"/>
                <w:szCs w:val="20"/>
                <w:lang w:bidi="ar-EG"/>
              </w:rPr>
              <w:t xml:space="preserve">B. </w:t>
            </w:r>
            <w:proofErr w:type="spellStart"/>
            <w:r w:rsidRPr="004B551C">
              <w:rPr>
                <w:i/>
                <w:iCs/>
                <w:sz w:val="20"/>
                <w:szCs w:val="20"/>
                <w:lang w:bidi="ar-EG"/>
              </w:rPr>
              <w:t>cinerea</w:t>
            </w:r>
            <w:proofErr w:type="spellEnd"/>
          </w:p>
        </w:tc>
        <w:tc>
          <w:tcPr>
            <w:tcW w:w="747" w:type="pct"/>
            <w:tcBorders>
              <w:top w:val="nil"/>
              <w:left w:val="nil"/>
              <w:bottom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100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&gt; 250</w:t>
            </w:r>
          </w:p>
        </w:tc>
        <w:tc>
          <w:tcPr>
            <w:tcW w:w="912"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250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500</w:t>
            </w:r>
          </w:p>
        </w:tc>
        <w:tc>
          <w:tcPr>
            <w:tcW w:w="816"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&gt; 8000</w:t>
            </w:r>
          </w:p>
        </w:tc>
      </w:tr>
      <w:tr w:rsidR="008F261E" w:rsidRPr="004B551C" w:rsidTr="00606658">
        <w:trPr>
          <w:trHeight w:val="313"/>
          <w:jc w:val="center"/>
        </w:trPr>
        <w:tc>
          <w:tcPr>
            <w:tcW w:w="875" w:type="pct"/>
            <w:tcBorders>
              <w:top w:val="nil"/>
              <w:left w:val="nil"/>
              <w:bottom w:val="nil"/>
              <w:right w:val="nil"/>
            </w:tcBorders>
          </w:tcPr>
          <w:p w:rsidR="008F261E" w:rsidRPr="004B551C" w:rsidRDefault="008F261E" w:rsidP="004B551C">
            <w:pPr>
              <w:autoSpaceDE w:val="0"/>
              <w:autoSpaceDN w:val="0"/>
              <w:adjustRightInd w:val="0"/>
              <w:jc w:val="both"/>
              <w:rPr>
                <w:b/>
                <w:bCs/>
                <w:sz w:val="20"/>
                <w:szCs w:val="20"/>
              </w:rPr>
            </w:pPr>
            <w:r w:rsidRPr="004B551C">
              <w:rPr>
                <w:i/>
                <w:iCs/>
                <w:sz w:val="20"/>
                <w:szCs w:val="20"/>
                <w:lang w:bidi="ar-EG"/>
              </w:rPr>
              <w:t xml:space="preserve">F. </w:t>
            </w:r>
            <w:proofErr w:type="spellStart"/>
            <w:r w:rsidRPr="004B551C">
              <w:rPr>
                <w:i/>
                <w:iCs/>
                <w:sz w:val="20"/>
                <w:szCs w:val="20"/>
                <w:lang w:bidi="ar-EG"/>
              </w:rPr>
              <w:t>oxysporum</w:t>
            </w:r>
            <w:proofErr w:type="spellEnd"/>
          </w:p>
        </w:tc>
        <w:tc>
          <w:tcPr>
            <w:tcW w:w="747" w:type="pct"/>
            <w:tcBorders>
              <w:top w:val="nil"/>
              <w:left w:val="nil"/>
              <w:bottom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100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200</w:t>
            </w:r>
          </w:p>
        </w:tc>
        <w:tc>
          <w:tcPr>
            <w:tcW w:w="912"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250</w:t>
            </w:r>
          </w:p>
        </w:tc>
        <w:tc>
          <w:tcPr>
            <w:tcW w:w="825"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2000</w:t>
            </w:r>
          </w:p>
        </w:tc>
        <w:tc>
          <w:tcPr>
            <w:tcW w:w="816" w:type="pct"/>
            <w:tcBorders>
              <w:top w:val="nil"/>
              <w:left w:val="nil"/>
              <w:bottom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&gt; 8000</w:t>
            </w:r>
          </w:p>
        </w:tc>
      </w:tr>
      <w:tr w:rsidR="008F261E" w:rsidRPr="004B551C" w:rsidTr="00606658">
        <w:trPr>
          <w:trHeight w:val="313"/>
          <w:jc w:val="center"/>
        </w:trPr>
        <w:tc>
          <w:tcPr>
            <w:tcW w:w="875" w:type="pct"/>
            <w:tcBorders>
              <w:top w:val="nil"/>
              <w:left w:val="nil"/>
              <w:right w:val="nil"/>
            </w:tcBorders>
          </w:tcPr>
          <w:p w:rsidR="008F261E" w:rsidRPr="004B551C" w:rsidRDefault="008F261E" w:rsidP="004B551C">
            <w:pPr>
              <w:autoSpaceDE w:val="0"/>
              <w:autoSpaceDN w:val="0"/>
              <w:adjustRightInd w:val="0"/>
              <w:jc w:val="both"/>
              <w:rPr>
                <w:b/>
                <w:bCs/>
                <w:sz w:val="20"/>
                <w:szCs w:val="20"/>
              </w:rPr>
            </w:pPr>
            <w:r w:rsidRPr="004B551C">
              <w:rPr>
                <w:i/>
                <w:iCs/>
                <w:sz w:val="20"/>
                <w:szCs w:val="20"/>
                <w:lang w:bidi="ar-EG"/>
              </w:rPr>
              <w:t xml:space="preserve">A. </w:t>
            </w:r>
            <w:proofErr w:type="spellStart"/>
            <w:r w:rsidRPr="004B551C">
              <w:rPr>
                <w:i/>
                <w:iCs/>
                <w:sz w:val="20"/>
                <w:szCs w:val="20"/>
                <w:lang w:bidi="ar-EG"/>
              </w:rPr>
              <w:t>solani</w:t>
            </w:r>
            <w:proofErr w:type="spellEnd"/>
          </w:p>
        </w:tc>
        <w:tc>
          <w:tcPr>
            <w:tcW w:w="747" w:type="pct"/>
            <w:tcBorders>
              <w:top w:val="nil"/>
              <w:left w:val="nil"/>
              <w:right w:val="nil"/>
            </w:tcBorders>
            <w:vAlign w:val="center"/>
          </w:tcPr>
          <w:p w:rsidR="008F261E" w:rsidRPr="004B551C" w:rsidRDefault="008F261E" w:rsidP="004B551C">
            <w:pPr>
              <w:autoSpaceDE w:val="0"/>
              <w:autoSpaceDN w:val="0"/>
              <w:adjustRightInd w:val="0"/>
              <w:jc w:val="center"/>
              <w:rPr>
                <w:b/>
                <w:bCs/>
                <w:sz w:val="20"/>
                <w:szCs w:val="20"/>
              </w:rPr>
            </w:pPr>
            <w:r w:rsidRPr="004B551C">
              <w:rPr>
                <w:b/>
                <w:bCs/>
                <w:sz w:val="20"/>
                <w:szCs w:val="20"/>
              </w:rPr>
              <w:t>≤ 150</w:t>
            </w:r>
          </w:p>
        </w:tc>
        <w:tc>
          <w:tcPr>
            <w:tcW w:w="825" w:type="pct"/>
            <w:tcBorders>
              <w:top w:val="nil"/>
              <w:left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250</w:t>
            </w:r>
          </w:p>
        </w:tc>
        <w:tc>
          <w:tcPr>
            <w:tcW w:w="912" w:type="pct"/>
            <w:tcBorders>
              <w:top w:val="nil"/>
              <w:left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200</w:t>
            </w:r>
          </w:p>
        </w:tc>
        <w:tc>
          <w:tcPr>
            <w:tcW w:w="825" w:type="pct"/>
            <w:tcBorders>
              <w:top w:val="nil"/>
              <w:left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 1000</w:t>
            </w:r>
          </w:p>
        </w:tc>
        <w:tc>
          <w:tcPr>
            <w:tcW w:w="816" w:type="pct"/>
            <w:tcBorders>
              <w:top w:val="nil"/>
              <w:left w:val="nil"/>
              <w:right w:val="nil"/>
            </w:tcBorders>
            <w:vAlign w:val="center"/>
          </w:tcPr>
          <w:p w:rsidR="008F261E" w:rsidRPr="004B551C" w:rsidRDefault="008F261E" w:rsidP="004B551C">
            <w:pPr>
              <w:autoSpaceDE w:val="0"/>
              <w:autoSpaceDN w:val="0"/>
              <w:adjustRightInd w:val="0"/>
              <w:jc w:val="center"/>
              <w:rPr>
                <w:sz w:val="20"/>
                <w:szCs w:val="20"/>
              </w:rPr>
            </w:pPr>
            <w:r w:rsidRPr="004B551C">
              <w:rPr>
                <w:sz w:val="20"/>
                <w:szCs w:val="20"/>
              </w:rPr>
              <w:t>&gt; 8000</w:t>
            </w:r>
          </w:p>
        </w:tc>
      </w:tr>
    </w:tbl>
    <w:p w:rsidR="008F261E" w:rsidRPr="004B551C" w:rsidRDefault="008F261E" w:rsidP="004B551C">
      <w:pPr>
        <w:rPr>
          <w:b/>
          <w:bCs/>
          <w:sz w:val="20"/>
          <w:szCs w:val="20"/>
        </w:rPr>
      </w:pPr>
    </w:p>
    <w:p w:rsidR="005844F2" w:rsidRPr="004B551C" w:rsidRDefault="005844F2" w:rsidP="004B551C">
      <w:pPr>
        <w:autoSpaceDE w:val="0"/>
        <w:autoSpaceDN w:val="0"/>
        <w:adjustRightInd w:val="0"/>
        <w:rPr>
          <w:b/>
          <w:bCs/>
          <w:sz w:val="20"/>
          <w:szCs w:val="20"/>
        </w:rPr>
        <w:sectPr w:rsidR="005844F2" w:rsidRPr="004B551C" w:rsidSect="00B952E0">
          <w:type w:val="continuous"/>
          <w:pgSz w:w="12240" w:h="15840" w:code="1"/>
          <w:pgMar w:top="1440" w:right="1440" w:bottom="851" w:left="1440" w:header="720" w:footer="510" w:gutter="0"/>
          <w:cols w:space="720"/>
          <w:docGrid w:linePitch="360"/>
        </w:sectPr>
      </w:pPr>
    </w:p>
    <w:p w:rsidR="005844F2" w:rsidRPr="004B551C" w:rsidRDefault="00A05D85" w:rsidP="004B551C">
      <w:pPr>
        <w:autoSpaceDE w:val="0"/>
        <w:autoSpaceDN w:val="0"/>
        <w:adjustRightInd w:val="0"/>
        <w:rPr>
          <w:b/>
          <w:bCs/>
          <w:sz w:val="20"/>
          <w:szCs w:val="20"/>
        </w:rPr>
      </w:pPr>
      <w:r w:rsidRPr="004B551C">
        <w:rPr>
          <w:b/>
          <w:bCs/>
          <w:sz w:val="20"/>
          <w:szCs w:val="20"/>
        </w:rPr>
        <w:lastRenderedPageBreak/>
        <w:t>4.</w:t>
      </w:r>
      <w:r w:rsidR="000D6972" w:rsidRPr="004B551C">
        <w:rPr>
          <w:b/>
          <w:bCs/>
          <w:sz w:val="20"/>
          <w:szCs w:val="20"/>
        </w:rPr>
        <w:t xml:space="preserve"> </w:t>
      </w:r>
      <w:r w:rsidR="00C77128" w:rsidRPr="004B551C">
        <w:rPr>
          <w:b/>
          <w:bCs/>
          <w:sz w:val="20"/>
          <w:szCs w:val="20"/>
        </w:rPr>
        <w:t>Discussion</w:t>
      </w:r>
      <w:r w:rsidR="005844F2" w:rsidRPr="004B551C">
        <w:rPr>
          <w:b/>
          <w:bCs/>
          <w:sz w:val="20"/>
          <w:szCs w:val="20"/>
        </w:rPr>
        <w:t>:</w:t>
      </w:r>
    </w:p>
    <w:p w:rsidR="005844F2" w:rsidRPr="004B551C" w:rsidRDefault="005844F2" w:rsidP="004B551C">
      <w:pPr>
        <w:ind w:firstLine="426"/>
        <w:jc w:val="lowKashida"/>
        <w:rPr>
          <w:rFonts w:eastAsia="AdvEPSTIM"/>
          <w:sz w:val="20"/>
          <w:szCs w:val="20"/>
        </w:rPr>
      </w:pPr>
      <w:r w:rsidRPr="004B551C">
        <w:rPr>
          <w:rFonts w:eastAsia="AdvEPSTIM"/>
          <w:sz w:val="20"/>
          <w:szCs w:val="20"/>
        </w:rPr>
        <w:t xml:space="preserve">The presence and growth of microorganisms in food may cause spoilage and result a reduction in quality and quantity </w:t>
      </w:r>
      <w:r w:rsidRPr="004B551C">
        <w:rPr>
          <w:rFonts w:eastAsia="AdvEPSTIM"/>
          <w:b/>
          <w:bCs/>
          <w:sz w:val="20"/>
          <w:szCs w:val="20"/>
        </w:rPr>
        <w:t>(</w:t>
      </w:r>
      <w:proofErr w:type="spellStart"/>
      <w:r w:rsidRPr="004B551C">
        <w:rPr>
          <w:rFonts w:eastAsia="AdvEPSTIM"/>
          <w:b/>
          <w:bCs/>
          <w:sz w:val="20"/>
          <w:szCs w:val="20"/>
        </w:rPr>
        <w:t>Soliman</w:t>
      </w:r>
      <w:proofErr w:type="spellEnd"/>
      <w:r w:rsidRPr="004B551C">
        <w:rPr>
          <w:rFonts w:eastAsia="AdvEPSTIM"/>
          <w:b/>
          <w:bCs/>
          <w:sz w:val="20"/>
          <w:szCs w:val="20"/>
        </w:rPr>
        <w:t xml:space="preserve"> and </w:t>
      </w:r>
      <w:proofErr w:type="spellStart"/>
      <w:r w:rsidRPr="004B551C">
        <w:rPr>
          <w:rFonts w:eastAsia="AdvEPSTIM"/>
          <w:b/>
          <w:bCs/>
          <w:sz w:val="20"/>
          <w:szCs w:val="20"/>
        </w:rPr>
        <w:t>Badeaa</w:t>
      </w:r>
      <w:proofErr w:type="spellEnd"/>
      <w:r w:rsidRPr="004B551C">
        <w:rPr>
          <w:rFonts w:eastAsia="AdvEPSTIM"/>
          <w:b/>
          <w:bCs/>
          <w:sz w:val="20"/>
          <w:szCs w:val="20"/>
        </w:rPr>
        <w:t>, 2002)</w:t>
      </w:r>
      <w:r w:rsidRPr="004B551C">
        <w:rPr>
          <w:rFonts w:eastAsia="AdvEPSTIM"/>
          <w:sz w:val="20"/>
          <w:szCs w:val="20"/>
        </w:rPr>
        <w:t>.</w:t>
      </w:r>
      <w:r w:rsidR="001F5256" w:rsidRPr="004B551C">
        <w:rPr>
          <w:rFonts w:eastAsia="AdvEPSTIM"/>
          <w:sz w:val="20"/>
          <w:szCs w:val="20"/>
        </w:rPr>
        <w:t xml:space="preserve"> </w:t>
      </w:r>
      <w:r w:rsidRPr="004B551C">
        <w:rPr>
          <w:rFonts w:eastAsia="AdvEPSTIM"/>
          <w:sz w:val="20"/>
          <w:szCs w:val="20"/>
        </w:rPr>
        <w:t xml:space="preserve">One of the two mechanisms determining how food-borne diseases are primarily caused, is by infection as a consequence of consuming foods contaminated with the growth of pathogenic microorganisms, such as bacteria, mould, viruses and parasites </w:t>
      </w:r>
      <w:r w:rsidRPr="004B551C">
        <w:rPr>
          <w:rFonts w:eastAsia="AdvEPSTIM"/>
          <w:b/>
          <w:bCs/>
          <w:sz w:val="20"/>
          <w:szCs w:val="20"/>
        </w:rPr>
        <w:t>(</w:t>
      </w:r>
      <w:proofErr w:type="spellStart"/>
      <w:r w:rsidRPr="004B551C">
        <w:rPr>
          <w:rFonts w:eastAsia="AdvEPSTIM"/>
          <w:b/>
          <w:bCs/>
          <w:sz w:val="20"/>
          <w:szCs w:val="20"/>
        </w:rPr>
        <w:t>Vattem</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2004)</w:t>
      </w:r>
      <w:r w:rsidRPr="004B551C">
        <w:rPr>
          <w:rFonts w:eastAsia="AdvEPSTIM"/>
          <w:sz w:val="20"/>
          <w:szCs w:val="20"/>
        </w:rPr>
        <w:t>. In addition to passive transfer of food pathogens, active growth may also occur in foods, for instance because of improper storage, which leads to marked increases in poses important public health and economic concerns for the human society</w:t>
      </w:r>
      <w:r w:rsidRPr="004B551C">
        <w:rPr>
          <w:rFonts w:eastAsia="AdvEPSTIM"/>
          <w:b/>
          <w:bCs/>
          <w:sz w:val="20"/>
          <w:szCs w:val="20"/>
        </w:rPr>
        <w:t>(</w:t>
      </w:r>
      <w:proofErr w:type="spellStart"/>
      <w:r w:rsidRPr="004B551C">
        <w:rPr>
          <w:rFonts w:eastAsia="AdvEPSTIM"/>
          <w:b/>
          <w:bCs/>
          <w:sz w:val="20"/>
          <w:szCs w:val="20"/>
        </w:rPr>
        <w:t>Celiktas</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2007).</w:t>
      </w:r>
      <w:r w:rsidRPr="004B551C">
        <w:rPr>
          <w:rFonts w:eastAsia="AdvEPSTIM"/>
          <w:sz w:val="20"/>
          <w:szCs w:val="20"/>
        </w:rPr>
        <w:t xml:space="preserve"> </w:t>
      </w:r>
    </w:p>
    <w:p w:rsidR="005844F2" w:rsidRPr="004B551C" w:rsidRDefault="005844F2" w:rsidP="004B551C">
      <w:pPr>
        <w:ind w:firstLine="426"/>
        <w:jc w:val="lowKashida"/>
        <w:rPr>
          <w:rFonts w:eastAsia="AdvEPSTIM"/>
          <w:sz w:val="20"/>
          <w:szCs w:val="20"/>
        </w:rPr>
      </w:pPr>
      <w:r w:rsidRPr="004B551C">
        <w:rPr>
          <w:rFonts w:eastAsia="AdvEPSTIM"/>
          <w:sz w:val="20"/>
          <w:szCs w:val="20"/>
        </w:rPr>
        <w:t xml:space="preserve">Recently, several investigations have been conducted into the antifungal actions of essential oils against </w:t>
      </w:r>
      <w:proofErr w:type="spellStart"/>
      <w:r w:rsidRPr="004B551C">
        <w:rPr>
          <w:rFonts w:eastAsia="AdvEPSTIM"/>
          <w:sz w:val="20"/>
          <w:szCs w:val="20"/>
        </w:rPr>
        <w:t>phytopathogenic</w:t>
      </w:r>
      <w:proofErr w:type="spellEnd"/>
      <w:r w:rsidRPr="004B551C">
        <w:rPr>
          <w:rFonts w:eastAsia="AdvEPSTIM"/>
          <w:sz w:val="20"/>
          <w:szCs w:val="20"/>
        </w:rPr>
        <w:t xml:space="preserve"> fungi </w:t>
      </w:r>
      <w:r w:rsidRPr="004B551C">
        <w:rPr>
          <w:rFonts w:eastAsia="AdvEPSTIM"/>
          <w:b/>
          <w:bCs/>
          <w:sz w:val="20"/>
          <w:szCs w:val="20"/>
        </w:rPr>
        <w:t>(</w:t>
      </w:r>
      <w:proofErr w:type="spellStart"/>
      <w:r w:rsidRPr="004B551C">
        <w:rPr>
          <w:rFonts w:eastAsia="AdvEPSTIM"/>
          <w:b/>
          <w:bCs/>
          <w:sz w:val="20"/>
          <w:szCs w:val="20"/>
        </w:rPr>
        <w:t>Shimoni</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 xml:space="preserve">1993; </w:t>
      </w:r>
      <w:proofErr w:type="spellStart"/>
      <w:r w:rsidRPr="004B551C">
        <w:rPr>
          <w:rFonts w:eastAsia="AdvEPSTIM"/>
          <w:b/>
          <w:bCs/>
          <w:sz w:val="20"/>
          <w:szCs w:val="20"/>
        </w:rPr>
        <w:t>Zygadlo</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 xml:space="preserve">1994; Prudent </w:t>
      </w:r>
      <w:r w:rsidRPr="004B551C">
        <w:rPr>
          <w:rFonts w:eastAsia="AdvEPSTIM"/>
          <w:b/>
          <w:bCs/>
          <w:i/>
          <w:iCs/>
          <w:sz w:val="20"/>
          <w:szCs w:val="20"/>
        </w:rPr>
        <w:t xml:space="preserve">et al., </w:t>
      </w:r>
      <w:r w:rsidRPr="004B551C">
        <w:rPr>
          <w:rFonts w:eastAsia="AdvEPSTIM"/>
          <w:b/>
          <w:bCs/>
          <w:sz w:val="20"/>
          <w:szCs w:val="20"/>
        </w:rPr>
        <w:t xml:space="preserve">1995; </w:t>
      </w:r>
      <w:proofErr w:type="spellStart"/>
      <w:r w:rsidRPr="004B551C">
        <w:rPr>
          <w:rFonts w:eastAsia="AdvEPSTIM"/>
          <w:b/>
          <w:bCs/>
          <w:sz w:val="20"/>
          <w:szCs w:val="20"/>
        </w:rPr>
        <w:t>Zygadlo</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 xml:space="preserve">1995; </w:t>
      </w:r>
      <w:proofErr w:type="spellStart"/>
      <w:r w:rsidRPr="004B551C">
        <w:rPr>
          <w:rFonts w:eastAsia="AdvEPSTIM"/>
          <w:b/>
          <w:bCs/>
          <w:sz w:val="20"/>
          <w:szCs w:val="20"/>
        </w:rPr>
        <w:t>Carta</w:t>
      </w:r>
      <w:proofErr w:type="spellEnd"/>
      <w:r w:rsidRPr="004B551C">
        <w:rPr>
          <w:rFonts w:eastAsia="AdvEPSTIM"/>
          <w:b/>
          <w:bCs/>
          <w:sz w:val="20"/>
          <w:szCs w:val="20"/>
        </w:rPr>
        <w:t xml:space="preserve"> </w:t>
      </w:r>
      <w:r w:rsidRPr="004B551C">
        <w:rPr>
          <w:rFonts w:eastAsia="AdvEPSTIM"/>
          <w:b/>
          <w:bCs/>
          <w:i/>
          <w:iCs/>
          <w:sz w:val="20"/>
          <w:szCs w:val="20"/>
        </w:rPr>
        <w:t xml:space="preserve">et al., </w:t>
      </w:r>
      <w:r w:rsidRPr="004B551C">
        <w:rPr>
          <w:rFonts w:eastAsia="AdvEPSTIM"/>
          <w:b/>
          <w:bCs/>
          <w:sz w:val="20"/>
          <w:szCs w:val="20"/>
        </w:rPr>
        <w:t xml:space="preserve">1996 and Bishop and </w:t>
      </w:r>
      <w:proofErr w:type="spellStart"/>
      <w:r w:rsidRPr="004B551C">
        <w:rPr>
          <w:rFonts w:eastAsia="AdvEPSTIM"/>
          <w:b/>
          <w:bCs/>
          <w:sz w:val="20"/>
          <w:szCs w:val="20"/>
        </w:rPr>
        <w:t>Thorton</w:t>
      </w:r>
      <w:proofErr w:type="spellEnd"/>
      <w:r w:rsidRPr="004B551C">
        <w:rPr>
          <w:rFonts w:eastAsia="AdvEPSTIM"/>
          <w:b/>
          <w:bCs/>
          <w:sz w:val="20"/>
          <w:szCs w:val="20"/>
        </w:rPr>
        <w:t xml:space="preserve"> 1997).</w:t>
      </w:r>
      <w:r w:rsidRPr="004B551C">
        <w:rPr>
          <w:rFonts w:eastAsia="AdvEPSTIM"/>
          <w:sz w:val="20"/>
          <w:szCs w:val="20"/>
        </w:rPr>
        <w:t xml:space="preserve">  </w:t>
      </w:r>
    </w:p>
    <w:p w:rsidR="005844F2" w:rsidRPr="004B551C" w:rsidRDefault="005844F2" w:rsidP="004B551C">
      <w:pPr>
        <w:ind w:firstLine="426"/>
        <w:jc w:val="both"/>
        <w:rPr>
          <w:sz w:val="20"/>
          <w:szCs w:val="20"/>
        </w:rPr>
      </w:pPr>
      <w:r w:rsidRPr="004B551C">
        <w:rPr>
          <w:sz w:val="20"/>
          <w:szCs w:val="20"/>
          <w:lang w:bidi="ar-EG"/>
        </w:rPr>
        <w:t>Accordingly, an investigation was carried out to elucidate the effect of five naturally occurring compounds</w:t>
      </w:r>
      <w:r w:rsidR="00807D6F" w:rsidRPr="004B551C">
        <w:rPr>
          <w:sz w:val="20"/>
          <w:szCs w:val="20"/>
          <w:lang w:bidi="ar-EG"/>
        </w:rPr>
        <w:t xml:space="preserve"> namely </w:t>
      </w:r>
      <w:proofErr w:type="spellStart"/>
      <w:r w:rsidR="00807D6F" w:rsidRPr="004B551C">
        <w:rPr>
          <w:sz w:val="20"/>
          <w:szCs w:val="20"/>
          <w:lang w:bidi="ar-EG"/>
        </w:rPr>
        <w:t>eugenol</w:t>
      </w:r>
      <w:proofErr w:type="spellEnd"/>
      <w:r w:rsidR="00807D6F" w:rsidRPr="004B551C">
        <w:rPr>
          <w:sz w:val="20"/>
          <w:szCs w:val="20"/>
          <w:lang w:bidi="ar-EG"/>
        </w:rPr>
        <w:t xml:space="preserve">, </w:t>
      </w:r>
      <w:proofErr w:type="spellStart"/>
      <w:r w:rsidR="00807D6F" w:rsidRPr="004B551C">
        <w:rPr>
          <w:sz w:val="20"/>
          <w:szCs w:val="20"/>
          <w:lang w:bidi="ar-EG"/>
        </w:rPr>
        <w:t>thymol</w:t>
      </w:r>
      <w:proofErr w:type="spellEnd"/>
      <w:r w:rsidR="00807D6F" w:rsidRPr="004B551C">
        <w:rPr>
          <w:sz w:val="20"/>
          <w:szCs w:val="20"/>
          <w:lang w:bidi="ar-EG"/>
        </w:rPr>
        <w:t xml:space="preserve">, methyl </w:t>
      </w:r>
      <w:proofErr w:type="spellStart"/>
      <w:r w:rsidR="00807D6F" w:rsidRPr="004B551C">
        <w:rPr>
          <w:sz w:val="20"/>
          <w:szCs w:val="20"/>
          <w:lang w:bidi="ar-EG"/>
        </w:rPr>
        <w:t>cinnamate</w:t>
      </w:r>
      <w:proofErr w:type="spellEnd"/>
      <w:r w:rsidR="00807D6F" w:rsidRPr="004B551C">
        <w:rPr>
          <w:sz w:val="20"/>
          <w:szCs w:val="20"/>
          <w:lang w:bidi="ar-EG"/>
        </w:rPr>
        <w:t>, linalool and 1,8-cineol</w:t>
      </w:r>
      <w:r w:rsidRPr="004B551C">
        <w:rPr>
          <w:sz w:val="20"/>
          <w:szCs w:val="20"/>
          <w:lang w:bidi="ar-EG"/>
        </w:rPr>
        <w:t xml:space="preserve"> on some </w:t>
      </w:r>
      <w:proofErr w:type="spellStart"/>
      <w:r w:rsidRPr="004B551C">
        <w:rPr>
          <w:sz w:val="20"/>
          <w:szCs w:val="20"/>
          <w:lang w:bidi="ar-EG"/>
        </w:rPr>
        <w:t>phytopathogenic</w:t>
      </w:r>
      <w:proofErr w:type="spellEnd"/>
      <w:r w:rsidRPr="004B551C">
        <w:rPr>
          <w:sz w:val="20"/>
          <w:szCs w:val="20"/>
          <w:lang w:bidi="ar-EG"/>
        </w:rPr>
        <w:t xml:space="preserve"> fungi.  From our obtained results we can </w:t>
      </w:r>
      <w:proofErr w:type="spellStart"/>
      <w:r w:rsidRPr="004B551C">
        <w:rPr>
          <w:sz w:val="20"/>
          <w:szCs w:val="20"/>
          <w:lang w:bidi="ar-EG"/>
        </w:rPr>
        <w:t>conclud</w:t>
      </w:r>
      <w:proofErr w:type="spellEnd"/>
      <w:r w:rsidRPr="004B551C">
        <w:rPr>
          <w:sz w:val="20"/>
          <w:szCs w:val="20"/>
          <w:lang w:bidi="ar-EG"/>
        </w:rPr>
        <w:t xml:space="preserve"> that </w:t>
      </w:r>
      <w:proofErr w:type="spellStart"/>
      <w:r w:rsidRPr="004B551C">
        <w:rPr>
          <w:sz w:val="20"/>
          <w:szCs w:val="20"/>
          <w:lang w:bidi="ar-EG"/>
        </w:rPr>
        <w:t>thymol</w:t>
      </w:r>
      <w:proofErr w:type="spellEnd"/>
      <w:r w:rsidRPr="004B551C">
        <w:rPr>
          <w:sz w:val="20"/>
          <w:szCs w:val="20"/>
          <w:lang w:bidi="ar-EG"/>
        </w:rPr>
        <w:t xml:space="preserve"> was the most effective compound against all the fungi under studying. This was in harmony with that obtained by </w:t>
      </w:r>
      <w:proofErr w:type="spellStart"/>
      <w:r w:rsidRPr="004B551C">
        <w:rPr>
          <w:b/>
          <w:bCs/>
          <w:sz w:val="20"/>
          <w:szCs w:val="20"/>
        </w:rPr>
        <w:t>Tsao</w:t>
      </w:r>
      <w:proofErr w:type="spellEnd"/>
      <w:r w:rsidRPr="004B551C">
        <w:rPr>
          <w:b/>
          <w:bCs/>
          <w:sz w:val="20"/>
          <w:szCs w:val="20"/>
        </w:rPr>
        <w:t xml:space="preserve"> and Zhou, 2000 </w:t>
      </w:r>
      <w:r w:rsidRPr="004B551C">
        <w:rPr>
          <w:sz w:val="20"/>
          <w:szCs w:val="20"/>
        </w:rPr>
        <w:t xml:space="preserve">who found that </w:t>
      </w:r>
      <w:proofErr w:type="spellStart"/>
      <w:r w:rsidRPr="004B551C">
        <w:rPr>
          <w:sz w:val="20"/>
          <w:szCs w:val="20"/>
        </w:rPr>
        <w:t>thymol</w:t>
      </w:r>
      <w:proofErr w:type="spellEnd"/>
      <w:r w:rsidRPr="004B551C">
        <w:rPr>
          <w:sz w:val="20"/>
          <w:szCs w:val="20"/>
        </w:rPr>
        <w:t xml:space="preserve"> was the most potent inhibitor of </w:t>
      </w:r>
      <w:r w:rsidRPr="004B551C">
        <w:rPr>
          <w:i/>
          <w:iCs/>
          <w:sz w:val="20"/>
          <w:szCs w:val="20"/>
        </w:rPr>
        <w:t xml:space="preserve">B. </w:t>
      </w:r>
      <w:proofErr w:type="spellStart"/>
      <w:r w:rsidRPr="004B551C">
        <w:rPr>
          <w:i/>
          <w:iCs/>
          <w:sz w:val="20"/>
          <w:szCs w:val="20"/>
        </w:rPr>
        <w:t>cinerea</w:t>
      </w:r>
      <w:proofErr w:type="spellEnd"/>
      <w:r w:rsidRPr="004B551C">
        <w:rPr>
          <w:sz w:val="20"/>
          <w:szCs w:val="20"/>
        </w:rPr>
        <w:t xml:space="preserve"> and </w:t>
      </w:r>
      <w:r w:rsidRPr="004B551C">
        <w:rPr>
          <w:i/>
          <w:iCs/>
          <w:sz w:val="20"/>
          <w:szCs w:val="20"/>
        </w:rPr>
        <w:t xml:space="preserve">M. </w:t>
      </w:r>
      <w:proofErr w:type="spellStart"/>
      <w:r w:rsidRPr="004B551C">
        <w:rPr>
          <w:i/>
          <w:iCs/>
          <w:sz w:val="20"/>
          <w:szCs w:val="20"/>
        </w:rPr>
        <w:t>fructicola</w:t>
      </w:r>
      <w:proofErr w:type="spellEnd"/>
      <w:r w:rsidRPr="004B551C">
        <w:rPr>
          <w:sz w:val="20"/>
          <w:szCs w:val="20"/>
        </w:rPr>
        <w:t xml:space="preserve">. </w:t>
      </w:r>
      <w:r w:rsidR="00C77128" w:rsidRPr="004B551C">
        <w:rPr>
          <w:sz w:val="20"/>
          <w:szCs w:val="20"/>
        </w:rPr>
        <w:t xml:space="preserve">It prevented completely the </w:t>
      </w:r>
      <w:r w:rsidRPr="004B551C">
        <w:rPr>
          <w:sz w:val="20"/>
          <w:szCs w:val="20"/>
        </w:rPr>
        <w:t xml:space="preserve">spore germination and </w:t>
      </w:r>
      <w:proofErr w:type="spellStart"/>
      <w:r w:rsidRPr="004B551C">
        <w:rPr>
          <w:sz w:val="20"/>
          <w:szCs w:val="20"/>
        </w:rPr>
        <w:t>mycelial</w:t>
      </w:r>
      <w:proofErr w:type="spellEnd"/>
      <w:r w:rsidRPr="004B551C">
        <w:rPr>
          <w:sz w:val="20"/>
          <w:szCs w:val="20"/>
        </w:rPr>
        <w:t xml:space="preserve"> growth of </w:t>
      </w:r>
      <w:r w:rsidRPr="004B551C">
        <w:rPr>
          <w:i/>
          <w:iCs/>
          <w:sz w:val="20"/>
          <w:szCs w:val="20"/>
        </w:rPr>
        <w:t xml:space="preserve">B. </w:t>
      </w:r>
      <w:proofErr w:type="spellStart"/>
      <w:r w:rsidRPr="004B551C">
        <w:rPr>
          <w:i/>
          <w:iCs/>
          <w:sz w:val="20"/>
          <w:szCs w:val="20"/>
        </w:rPr>
        <w:t>cinerea</w:t>
      </w:r>
      <w:proofErr w:type="spellEnd"/>
      <w:r w:rsidRPr="004B551C">
        <w:rPr>
          <w:i/>
          <w:iCs/>
          <w:sz w:val="20"/>
          <w:szCs w:val="20"/>
        </w:rPr>
        <w:t xml:space="preserve"> </w:t>
      </w:r>
      <w:r w:rsidRPr="004B551C">
        <w:rPr>
          <w:sz w:val="20"/>
          <w:szCs w:val="20"/>
        </w:rPr>
        <w:t xml:space="preserve">and </w:t>
      </w:r>
      <w:r w:rsidRPr="004B551C">
        <w:rPr>
          <w:i/>
          <w:iCs/>
          <w:sz w:val="20"/>
          <w:szCs w:val="20"/>
        </w:rPr>
        <w:t xml:space="preserve">M. </w:t>
      </w:r>
      <w:proofErr w:type="spellStart"/>
      <w:r w:rsidRPr="004B551C">
        <w:rPr>
          <w:i/>
          <w:iCs/>
          <w:sz w:val="20"/>
          <w:szCs w:val="20"/>
        </w:rPr>
        <w:t>fructicola</w:t>
      </w:r>
      <w:proofErr w:type="spellEnd"/>
      <w:r w:rsidRPr="004B551C">
        <w:rPr>
          <w:sz w:val="20"/>
          <w:szCs w:val="20"/>
        </w:rPr>
        <w:t xml:space="preserve"> at 100 µg/ml. Even at 10 µg/ml medium (0.25 mg/</w:t>
      </w:r>
      <w:proofErr w:type="spellStart"/>
      <w:r w:rsidRPr="004B551C">
        <w:rPr>
          <w:sz w:val="20"/>
          <w:szCs w:val="20"/>
        </w:rPr>
        <w:t>petri</w:t>
      </w:r>
      <w:proofErr w:type="spellEnd"/>
      <w:r w:rsidRPr="004B551C">
        <w:rPr>
          <w:sz w:val="20"/>
          <w:szCs w:val="20"/>
        </w:rPr>
        <w:t xml:space="preserve"> dish), it exhibited 82% inhibition at 48 h against </w:t>
      </w:r>
      <w:r w:rsidRPr="004B551C">
        <w:rPr>
          <w:i/>
          <w:iCs/>
          <w:sz w:val="20"/>
          <w:szCs w:val="20"/>
        </w:rPr>
        <w:t xml:space="preserve">B. </w:t>
      </w:r>
      <w:proofErr w:type="spellStart"/>
      <w:r w:rsidRPr="004B551C">
        <w:rPr>
          <w:i/>
          <w:iCs/>
          <w:sz w:val="20"/>
          <w:szCs w:val="20"/>
        </w:rPr>
        <w:t>cinerea</w:t>
      </w:r>
      <w:proofErr w:type="spellEnd"/>
      <w:r w:rsidRPr="004B551C">
        <w:rPr>
          <w:sz w:val="20"/>
          <w:szCs w:val="20"/>
        </w:rPr>
        <w:t xml:space="preserve">, and  57% inhibition against </w:t>
      </w:r>
      <w:r w:rsidRPr="004B551C">
        <w:rPr>
          <w:i/>
          <w:iCs/>
          <w:sz w:val="20"/>
          <w:szCs w:val="20"/>
        </w:rPr>
        <w:t xml:space="preserve">M. </w:t>
      </w:r>
      <w:proofErr w:type="spellStart"/>
      <w:r w:rsidRPr="004B551C">
        <w:rPr>
          <w:i/>
          <w:iCs/>
          <w:sz w:val="20"/>
          <w:szCs w:val="20"/>
        </w:rPr>
        <w:t>fructicola</w:t>
      </w:r>
      <w:proofErr w:type="spellEnd"/>
      <w:r w:rsidRPr="004B551C">
        <w:rPr>
          <w:sz w:val="20"/>
          <w:szCs w:val="20"/>
        </w:rPr>
        <w:t>.</w:t>
      </w:r>
    </w:p>
    <w:p w:rsidR="004F4194" w:rsidRPr="004B551C" w:rsidRDefault="004F4194" w:rsidP="004B551C">
      <w:pPr>
        <w:ind w:firstLine="426"/>
        <w:jc w:val="both"/>
        <w:rPr>
          <w:sz w:val="20"/>
          <w:szCs w:val="20"/>
        </w:rPr>
      </w:pPr>
    </w:p>
    <w:p w:rsidR="00924565" w:rsidRPr="004B551C" w:rsidRDefault="00924565" w:rsidP="004B551C">
      <w:pPr>
        <w:autoSpaceDE w:val="0"/>
        <w:autoSpaceDN w:val="0"/>
        <w:adjustRightInd w:val="0"/>
        <w:jc w:val="lowKashida"/>
        <w:rPr>
          <w:b/>
          <w:bCs/>
          <w:sz w:val="20"/>
          <w:szCs w:val="20"/>
        </w:rPr>
      </w:pPr>
      <w:r w:rsidRPr="004B551C">
        <w:rPr>
          <w:b/>
          <w:bCs/>
          <w:sz w:val="20"/>
          <w:szCs w:val="20"/>
        </w:rPr>
        <w:t>Biological activity of natural compounds in relation to their chemical structure:</w:t>
      </w:r>
    </w:p>
    <w:p w:rsidR="00924565" w:rsidRPr="004B551C" w:rsidRDefault="00924565" w:rsidP="004B551C">
      <w:pPr>
        <w:autoSpaceDE w:val="0"/>
        <w:autoSpaceDN w:val="0"/>
        <w:adjustRightInd w:val="0"/>
        <w:ind w:firstLine="426"/>
        <w:jc w:val="both"/>
        <w:rPr>
          <w:sz w:val="20"/>
          <w:szCs w:val="20"/>
        </w:rPr>
      </w:pPr>
      <w:r w:rsidRPr="004B551C">
        <w:rPr>
          <w:rFonts w:eastAsia="Batang"/>
          <w:sz w:val="20"/>
          <w:szCs w:val="20"/>
        </w:rPr>
        <w:t xml:space="preserve">In the antimicrobial action of essential oil components, the </w:t>
      </w:r>
      <w:proofErr w:type="spellStart"/>
      <w:r w:rsidRPr="004B551C">
        <w:rPr>
          <w:rFonts w:eastAsia="Batang"/>
          <w:sz w:val="20"/>
          <w:szCs w:val="20"/>
        </w:rPr>
        <w:t>lipophilic</w:t>
      </w:r>
      <w:proofErr w:type="spellEnd"/>
      <w:r w:rsidRPr="004B551C">
        <w:rPr>
          <w:rFonts w:eastAsia="Batang"/>
          <w:sz w:val="20"/>
          <w:szCs w:val="20"/>
        </w:rPr>
        <w:t xml:space="preserve"> character of their </w:t>
      </w:r>
      <w:r w:rsidRPr="004B551C">
        <w:rPr>
          <w:rFonts w:eastAsia="Batang"/>
          <w:sz w:val="20"/>
          <w:szCs w:val="20"/>
        </w:rPr>
        <w:lastRenderedPageBreak/>
        <w:t xml:space="preserve">hydrocarbon skeleton and the hydrophilic character of their functional groups are of the main importance. The activity rank of essential oil components is as follows: phenols &gt; </w:t>
      </w:r>
      <w:proofErr w:type="spellStart"/>
      <w:r w:rsidRPr="004B551C">
        <w:rPr>
          <w:rFonts w:eastAsia="Batang"/>
          <w:sz w:val="20"/>
          <w:szCs w:val="20"/>
        </w:rPr>
        <w:t>aldehydes</w:t>
      </w:r>
      <w:proofErr w:type="spellEnd"/>
      <w:r w:rsidRPr="004B551C">
        <w:rPr>
          <w:rFonts w:eastAsia="Batang"/>
          <w:sz w:val="20"/>
          <w:szCs w:val="20"/>
        </w:rPr>
        <w:t xml:space="preserve"> &gt; </w:t>
      </w:r>
      <w:proofErr w:type="spellStart"/>
      <w:r w:rsidRPr="004B551C">
        <w:rPr>
          <w:rFonts w:eastAsia="Batang"/>
          <w:sz w:val="20"/>
          <w:szCs w:val="20"/>
        </w:rPr>
        <w:t>ketones</w:t>
      </w:r>
      <w:proofErr w:type="spellEnd"/>
      <w:r w:rsidRPr="004B551C">
        <w:rPr>
          <w:rFonts w:eastAsia="Batang"/>
          <w:sz w:val="20"/>
          <w:szCs w:val="20"/>
        </w:rPr>
        <w:t xml:space="preserve"> &gt; alcohols &gt; ethers &gt; hydrocarbons. The highest activity was reported for phenols – </w:t>
      </w:r>
      <w:proofErr w:type="spellStart"/>
      <w:r w:rsidRPr="004B551C">
        <w:rPr>
          <w:rFonts w:eastAsia="Batang"/>
          <w:sz w:val="20"/>
          <w:szCs w:val="20"/>
        </w:rPr>
        <w:t>thymol</w:t>
      </w:r>
      <w:proofErr w:type="spellEnd"/>
      <w:r w:rsidRPr="004B551C">
        <w:rPr>
          <w:rFonts w:eastAsia="Batang"/>
          <w:sz w:val="20"/>
          <w:szCs w:val="20"/>
        </w:rPr>
        <w:t xml:space="preserve">, </w:t>
      </w:r>
      <w:proofErr w:type="spellStart"/>
      <w:r w:rsidRPr="004B551C">
        <w:rPr>
          <w:rFonts w:eastAsia="Batang"/>
          <w:sz w:val="20"/>
          <w:szCs w:val="20"/>
        </w:rPr>
        <w:t>carvacrol</w:t>
      </w:r>
      <w:proofErr w:type="spellEnd"/>
      <w:r w:rsidRPr="004B551C">
        <w:rPr>
          <w:rFonts w:eastAsia="Batang"/>
          <w:sz w:val="20"/>
          <w:szCs w:val="20"/>
        </w:rPr>
        <w:t xml:space="preserve"> and </w:t>
      </w:r>
      <w:proofErr w:type="spellStart"/>
      <w:r w:rsidRPr="004B551C">
        <w:rPr>
          <w:rFonts w:eastAsia="Batang"/>
          <w:sz w:val="20"/>
          <w:szCs w:val="20"/>
        </w:rPr>
        <w:t>eugenol</w:t>
      </w:r>
      <w:proofErr w:type="spellEnd"/>
      <w:r w:rsidRPr="004B551C">
        <w:rPr>
          <w:rFonts w:eastAsia="Batang"/>
          <w:sz w:val="20"/>
          <w:szCs w:val="20"/>
        </w:rPr>
        <w:t xml:space="preserve">, which is explained by the acidic nature of the hydroxyl group, forming a hydrogen bond with an enzyme active center </w:t>
      </w:r>
      <w:r w:rsidR="00522BBA" w:rsidRPr="004B551C">
        <w:rPr>
          <w:rFonts w:eastAsia="Batang"/>
          <w:b/>
          <w:bCs/>
          <w:sz w:val="20"/>
          <w:szCs w:val="20"/>
        </w:rPr>
        <w:t>(</w:t>
      </w:r>
      <w:proofErr w:type="spellStart"/>
      <w:r w:rsidR="00522BBA" w:rsidRPr="004B551C">
        <w:rPr>
          <w:rFonts w:eastAsia="Batang"/>
          <w:b/>
          <w:bCs/>
          <w:sz w:val="20"/>
          <w:szCs w:val="20"/>
        </w:rPr>
        <w:t>Kalemba</w:t>
      </w:r>
      <w:proofErr w:type="spellEnd"/>
      <w:r w:rsidR="00522BBA" w:rsidRPr="004B551C">
        <w:rPr>
          <w:rFonts w:eastAsia="Batang"/>
          <w:b/>
          <w:bCs/>
          <w:sz w:val="20"/>
          <w:szCs w:val="20"/>
        </w:rPr>
        <w:t xml:space="preserve"> and </w:t>
      </w:r>
      <w:proofErr w:type="spellStart"/>
      <w:r w:rsidR="00522BBA" w:rsidRPr="004B551C">
        <w:rPr>
          <w:rFonts w:eastAsia="Batang"/>
          <w:b/>
          <w:bCs/>
          <w:sz w:val="20"/>
          <w:szCs w:val="20"/>
        </w:rPr>
        <w:t>Kunicka</w:t>
      </w:r>
      <w:proofErr w:type="spellEnd"/>
      <w:r w:rsidR="00522BBA" w:rsidRPr="004B551C">
        <w:rPr>
          <w:rFonts w:eastAsia="Batang"/>
          <w:sz w:val="20"/>
          <w:szCs w:val="20"/>
        </w:rPr>
        <w:t xml:space="preserve"> </w:t>
      </w:r>
      <w:r w:rsidR="00522BBA" w:rsidRPr="004B551C">
        <w:rPr>
          <w:rFonts w:eastAsia="Batang"/>
          <w:b/>
          <w:bCs/>
          <w:sz w:val="20"/>
          <w:szCs w:val="20"/>
        </w:rPr>
        <w:t>2003)</w:t>
      </w:r>
      <w:r w:rsidRPr="004B551C">
        <w:rPr>
          <w:rFonts w:eastAsia="Batang"/>
          <w:sz w:val="20"/>
          <w:szCs w:val="20"/>
        </w:rPr>
        <w:t xml:space="preserve">. Therefore, essential oils with phenols as main compounds express the highest activity against microorganisms, and their activity spectrum is the broadest. </w:t>
      </w:r>
    </w:p>
    <w:p w:rsidR="005844F2" w:rsidRPr="004B551C" w:rsidRDefault="00522BBA" w:rsidP="004B551C">
      <w:pPr>
        <w:autoSpaceDE w:val="0"/>
        <w:autoSpaceDN w:val="0"/>
        <w:adjustRightInd w:val="0"/>
        <w:ind w:firstLine="426"/>
        <w:jc w:val="lowKashida"/>
        <w:rPr>
          <w:sz w:val="20"/>
          <w:szCs w:val="20"/>
        </w:rPr>
      </w:pPr>
      <w:r w:rsidRPr="004B551C">
        <w:rPr>
          <w:b/>
          <w:bCs/>
          <w:sz w:val="20"/>
          <w:szCs w:val="20"/>
        </w:rPr>
        <w:t>T</w:t>
      </w:r>
      <w:r w:rsidR="005844F2" w:rsidRPr="004B551C">
        <w:rPr>
          <w:sz w:val="20"/>
          <w:szCs w:val="20"/>
        </w:rPr>
        <w:t xml:space="preserve">he antifungal activity of 47 kinds of essential oils and several related compounds </w:t>
      </w:r>
      <w:r w:rsidRPr="004B551C">
        <w:rPr>
          <w:sz w:val="20"/>
          <w:szCs w:val="20"/>
        </w:rPr>
        <w:t xml:space="preserve">were examined </w:t>
      </w:r>
      <w:r w:rsidR="005844F2" w:rsidRPr="004B551C">
        <w:rPr>
          <w:sz w:val="20"/>
          <w:szCs w:val="20"/>
        </w:rPr>
        <w:t xml:space="preserve">against seven fungi. The results suggest that secondary alcohols (e.g., 2-octanol, L-menthol, </w:t>
      </w:r>
      <w:proofErr w:type="spellStart"/>
      <w:r w:rsidR="005844F2" w:rsidRPr="004B551C">
        <w:rPr>
          <w:sz w:val="20"/>
          <w:szCs w:val="20"/>
        </w:rPr>
        <w:t>borneol</w:t>
      </w:r>
      <w:proofErr w:type="spellEnd"/>
      <w:r w:rsidR="005844F2" w:rsidRPr="004B551C">
        <w:rPr>
          <w:sz w:val="20"/>
          <w:szCs w:val="20"/>
        </w:rPr>
        <w:t xml:space="preserve">) and tertiary alcohols (e.g., linalool) possess a markedly lower antifungal activity as compared to primary alcohols such as </w:t>
      </w:r>
      <w:proofErr w:type="spellStart"/>
      <w:r w:rsidR="005844F2" w:rsidRPr="004B551C">
        <w:rPr>
          <w:sz w:val="20"/>
          <w:szCs w:val="20"/>
        </w:rPr>
        <w:t>cinnamyl</w:t>
      </w:r>
      <w:proofErr w:type="spellEnd"/>
      <w:r w:rsidR="005844F2" w:rsidRPr="004B551C">
        <w:rPr>
          <w:sz w:val="20"/>
          <w:szCs w:val="20"/>
        </w:rPr>
        <w:t xml:space="preserve"> alcohol, </w:t>
      </w:r>
      <w:proofErr w:type="spellStart"/>
      <w:r w:rsidR="005844F2" w:rsidRPr="004B551C">
        <w:rPr>
          <w:sz w:val="20"/>
          <w:szCs w:val="20"/>
        </w:rPr>
        <w:t>geraniol</w:t>
      </w:r>
      <w:proofErr w:type="spellEnd"/>
      <w:r w:rsidR="005844F2" w:rsidRPr="004B551C">
        <w:rPr>
          <w:sz w:val="20"/>
          <w:szCs w:val="20"/>
        </w:rPr>
        <w:t xml:space="preserve">, and </w:t>
      </w:r>
      <w:proofErr w:type="spellStart"/>
      <w:r w:rsidR="005844F2" w:rsidRPr="004B551C">
        <w:rPr>
          <w:sz w:val="20"/>
          <w:szCs w:val="20"/>
        </w:rPr>
        <w:t>citronellol</w:t>
      </w:r>
      <w:proofErr w:type="spellEnd"/>
      <w:r w:rsidR="005844F2" w:rsidRPr="004B551C">
        <w:rPr>
          <w:sz w:val="20"/>
          <w:szCs w:val="20"/>
        </w:rPr>
        <w:t xml:space="preserve">. The antifungal activity of </w:t>
      </w:r>
      <w:proofErr w:type="spellStart"/>
      <w:r w:rsidR="005844F2" w:rsidRPr="004B551C">
        <w:rPr>
          <w:sz w:val="20"/>
          <w:szCs w:val="20"/>
        </w:rPr>
        <w:t>eugenol</w:t>
      </w:r>
      <w:proofErr w:type="spellEnd"/>
      <w:r w:rsidR="005844F2" w:rsidRPr="004B551C">
        <w:rPr>
          <w:sz w:val="20"/>
          <w:szCs w:val="20"/>
        </w:rPr>
        <w:t xml:space="preserve"> (4-allyl-guaiacol), a </w:t>
      </w:r>
      <w:proofErr w:type="spellStart"/>
      <w:r w:rsidR="005844F2" w:rsidRPr="004B551C">
        <w:rPr>
          <w:sz w:val="20"/>
          <w:szCs w:val="20"/>
        </w:rPr>
        <w:t>phenolic</w:t>
      </w:r>
      <w:proofErr w:type="spellEnd"/>
      <w:r w:rsidR="005844F2" w:rsidRPr="004B551C">
        <w:rPr>
          <w:sz w:val="20"/>
          <w:szCs w:val="20"/>
        </w:rPr>
        <w:t xml:space="preserve"> compound, was found to be 8-10 times higher than that of </w:t>
      </w:r>
      <w:proofErr w:type="spellStart"/>
      <w:r w:rsidR="005844F2" w:rsidRPr="004B551C">
        <w:rPr>
          <w:sz w:val="20"/>
          <w:szCs w:val="20"/>
        </w:rPr>
        <w:t>guaiacol</w:t>
      </w:r>
      <w:proofErr w:type="spellEnd"/>
      <w:r w:rsidR="005844F2" w:rsidRPr="004B551C">
        <w:rPr>
          <w:sz w:val="20"/>
          <w:szCs w:val="20"/>
        </w:rPr>
        <w:t xml:space="preserve"> </w:t>
      </w:r>
      <w:r w:rsidR="005844F2" w:rsidRPr="004B551C">
        <w:rPr>
          <w:i/>
          <w:iCs/>
          <w:sz w:val="20"/>
          <w:szCs w:val="20"/>
        </w:rPr>
        <w:t>(</w:t>
      </w:r>
      <w:r w:rsidR="005844F2" w:rsidRPr="004B551C">
        <w:rPr>
          <w:sz w:val="20"/>
          <w:szCs w:val="20"/>
        </w:rPr>
        <w:t>o-</w:t>
      </w:r>
      <w:proofErr w:type="spellStart"/>
      <w:r w:rsidR="005844F2" w:rsidRPr="004B551C">
        <w:rPr>
          <w:sz w:val="20"/>
          <w:szCs w:val="20"/>
        </w:rPr>
        <w:t>methoxyphenol</w:t>
      </w:r>
      <w:proofErr w:type="spellEnd"/>
      <w:r w:rsidR="005844F2" w:rsidRPr="004B551C">
        <w:rPr>
          <w:sz w:val="20"/>
          <w:szCs w:val="20"/>
        </w:rPr>
        <w:t xml:space="preserve">) and 3-4 times higher than that of creosol (4-methylguaiacol). From the molecular structure, it is clear that the addition of alkyl or </w:t>
      </w:r>
      <w:proofErr w:type="spellStart"/>
      <w:r w:rsidR="005844F2" w:rsidRPr="004B551C">
        <w:rPr>
          <w:sz w:val="20"/>
          <w:szCs w:val="20"/>
        </w:rPr>
        <w:t>alkenyl</w:t>
      </w:r>
      <w:proofErr w:type="spellEnd"/>
      <w:r w:rsidR="005844F2" w:rsidRPr="004B551C">
        <w:rPr>
          <w:sz w:val="20"/>
          <w:szCs w:val="20"/>
        </w:rPr>
        <w:t xml:space="preserve"> groups to the benzene ring of either phenol or </w:t>
      </w:r>
      <w:proofErr w:type="spellStart"/>
      <w:r w:rsidR="005844F2" w:rsidRPr="004B551C">
        <w:rPr>
          <w:sz w:val="20"/>
          <w:szCs w:val="20"/>
        </w:rPr>
        <w:t>guaiacol</w:t>
      </w:r>
      <w:proofErr w:type="spellEnd"/>
      <w:r w:rsidR="005844F2" w:rsidRPr="004B551C">
        <w:rPr>
          <w:sz w:val="20"/>
          <w:szCs w:val="20"/>
        </w:rPr>
        <w:t xml:space="preserve"> enhanced the antimicrobial activity. The activity of these </w:t>
      </w:r>
      <w:proofErr w:type="spellStart"/>
      <w:r w:rsidR="005844F2" w:rsidRPr="004B551C">
        <w:rPr>
          <w:sz w:val="20"/>
          <w:szCs w:val="20"/>
        </w:rPr>
        <w:t>phenolic</w:t>
      </w:r>
      <w:proofErr w:type="spellEnd"/>
      <w:r w:rsidR="005844F2" w:rsidRPr="004B551C">
        <w:rPr>
          <w:sz w:val="20"/>
          <w:szCs w:val="20"/>
        </w:rPr>
        <w:t xml:space="preserve"> compounds appeared to depend on the size of the added alkyl or </w:t>
      </w:r>
      <w:proofErr w:type="spellStart"/>
      <w:r w:rsidR="005844F2" w:rsidRPr="004B551C">
        <w:rPr>
          <w:sz w:val="20"/>
          <w:szCs w:val="20"/>
        </w:rPr>
        <w:t>alkenyl</w:t>
      </w:r>
      <w:proofErr w:type="spellEnd"/>
      <w:r w:rsidR="005844F2" w:rsidRPr="004B551C">
        <w:rPr>
          <w:sz w:val="20"/>
          <w:szCs w:val="20"/>
        </w:rPr>
        <w:t xml:space="preserve"> group, where the larger the size of the alkyl or </w:t>
      </w:r>
      <w:proofErr w:type="spellStart"/>
      <w:r w:rsidR="005844F2" w:rsidRPr="004B551C">
        <w:rPr>
          <w:sz w:val="20"/>
          <w:szCs w:val="20"/>
        </w:rPr>
        <w:t>alkenyl</w:t>
      </w:r>
      <w:proofErr w:type="spellEnd"/>
      <w:r w:rsidR="005844F2" w:rsidRPr="004B551C">
        <w:rPr>
          <w:sz w:val="20"/>
          <w:szCs w:val="20"/>
        </w:rPr>
        <w:t xml:space="preserve"> group, the stronger the antimicrobial activity </w:t>
      </w:r>
      <w:r w:rsidR="005844F2" w:rsidRPr="004B551C">
        <w:rPr>
          <w:b/>
          <w:bCs/>
          <w:sz w:val="20"/>
          <w:szCs w:val="20"/>
        </w:rPr>
        <w:t xml:space="preserve">(Kurita </w:t>
      </w:r>
      <w:r w:rsidR="005844F2" w:rsidRPr="004B551C">
        <w:rPr>
          <w:b/>
          <w:bCs/>
          <w:i/>
          <w:iCs/>
          <w:sz w:val="20"/>
          <w:szCs w:val="20"/>
        </w:rPr>
        <w:t xml:space="preserve">et al., </w:t>
      </w:r>
      <w:r w:rsidR="005844F2" w:rsidRPr="004B551C">
        <w:rPr>
          <w:b/>
          <w:bCs/>
          <w:sz w:val="20"/>
          <w:szCs w:val="20"/>
        </w:rPr>
        <w:t xml:space="preserve">1981, </w:t>
      </w:r>
      <w:proofErr w:type="spellStart"/>
      <w:r w:rsidR="005844F2" w:rsidRPr="004B551C">
        <w:rPr>
          <w:b/>
          <w:bCs/>
          <w:sz w:val="20"/>
          <w:szCs w:val="20"/>
        </w:rPr>
        <w:t>Knobloch</w:t>
      </w:r>
      <w:proofErr w:type="spellEnd"/>
      <w:r w:rsidR="005844F2" w:rsidRPr="004B551C">
        <w:rPr>
          <w:b/>
          <w:bCs/>
          <w:i/>
          <w:iCs/>
          <w:sz w:val="20"/>
          <w:szCs w:val="20"/>
        </w:rPr>
        <w:t xml:space="preserve"> et al., </w:t>
      </w:r>
      <w:r w:rsidR="005844F2" w:rsidRPr="004B551C">
        <w:rPr>
          <w:b/>
          <w:bCs/>
          <w:sz w:val="20"/>
          <w:szCs w:val="20"/>
        </w:rPr>
        <w:t xml:space="preserve">1989 and </w:t>
      </w:r>
      <w:proofErr w:type="spellStart"/>
      <w:r w:rsidR="005844F2" w:rsidRPr="004B551C">
        <w:rPr>
          <w:b/>
          <w:bCs/>
          <w:sz w:val="20"/>
          <w:szCs w:val="20"/>
        </w:rPr>
        <w:t>Pelczar</w:t>
      </w:r>
      <w:proofErr w:type="spellEnd"/>
      <w:r w:rsidR="005844F2" w:rsidRPr="004B551C">
        <w:rPr>
          <w:b/>
          <w:bCs/>
          <w:sz w:val="20"/>
          <w:szCs w:val="20"/>
        </w:rPr>
        <w:t xml:space="preserve"> </w:t>
      </w:r>
      <w:r w:rsidR="005844F2" w:rsidRPr="004B551C">
        <w:rPr>
          <w:b/>
          <w:bCs/>
          <w:i/>
          <w:iCs/>
          <w:sz w:val="20"/>
          <w:szCs w:val="20"/>
        </w:rPr>
        <w:t xml:space="preserve">et al., </w:t>
      </w:r>
      <w:r w:rsidR="005844F2" w:rsidRPr="004B551C">
        <w:rPr>
          <w:b/>
          <w:bCs/>
          <w:sz w:val="20"/>
          <w:szCs w:val="20"/>
        </w:rPr>
        <w:t>1993).</w:t>
      </w:r>
      <w:r w:rsidR="005844F2" w:rsidRPr="004B551C">
        <w:rPr>
          <w:sz w:val="20"/>
          <w:szCs w:val="20"/>
        </w:rPr>
        <w:t xml:space="preserve"> Because alkyl or </w:t>
      </w:r>
      <w:proofErr w:type="spellStart"/>
      <w:r w:rsidR="005844F2" w:rsidRPr="004B551C">
        <w:rPr>
          <w:sz w:val="20"/>
          <w:szCs w:val="20"/>
        </w:rPr>
        <w:t>alkenyl</w:t>
      </w:r>
      <w:proofErr w:type="spellEnd"/>
      <w:r w:rsidR="005844F2" w:rsidRPr="004B551C">
        <w:rPr>
          <w:sz w:val="20"/>
          <w:szCs w:val="20"/>
        </w:rPr>
        <w:t xml:space="preserve"> groups are hydrophobic, these results indicate that </w:t>
      </w:r>
      <w:proofErr w:type="spellStart"/>
      <w:r w:rsidR="005844F2" w:rsidRPr="004B551C">
        <w:rPr>
          <w:sz w:val="20"/>
          <w:szCs w:val="20"/>
        </w:rPr>
        <w:t>hydrophobicity</w:t>
      </w:r>
      <w:proofErr w:type="spellEnd"/>
      <w:r w:rsidR="005844F2" w:rsidRPr="004B551C">
        <w:rPr>
          <w:sz w:val="20"/>
          <w:szCs w:val="20"/>
        </w:rPr>
        <w:t xml:space="preserve"> above a minimum extent was required for </w:t>
      </w:r>
      <w:proofErr w:type="spellStart"/>
      <w:r w:rsidR="005844F2" w:rsidRPr="004B551C">
        <w:rPr>
          <w:sz w:val="20"/>
          <w:szCs w:val="20"/>
        </w:rPr>
        <w:t>phenolic</w:t>
      </w:r>
      <w:proofErr w:type="spellEnd"/>
      <w:r w:rsidR="005844F2" w:rsidRPr="004B551C">
        <w:rPr>
          <w:sz w:val="20"/>
          <w:szCs w:val="20"/>
        </w:rPr>
        <w:t xml:space="preserve"> compounds to show a potent antimicrobial effect.</w:t>
      </w:r>
    </w:p>
    <w:p w:rsidR="00522BBA" w:rsidRPr="004B551C" w:rsidRDefault="00522BBA" w:rsidP="004B551C">
      <w:pPr>
        <w:autoSpaceDE w:val="0"/>
        <w:autoSpaceDN w:val="0"/>
        <w:adjustRightInd w:val="0"/>
        <w:ind w:firstLine="426"/>
        <w:jc w:val="both"/>
        <w:rPr>
          <w:sz w:val="20"/>
          <w:szCs w:val="20"/>
        </w:rPr>
      </w:pPr>
      <w:r w:rsidRPr="004B551C">
        <w:rPr>
          <w:sz w:val="20"/>
          <w:szCs w:val="20"/>
        </w:rPr>
        <w:t xml:space="preserve">The exact cause-effect relation for the mode of action of </w:t>
      </w:r>
      <w:proofErr w:type="spellStart"/>
      <w:r w:rsidRPr="004B551C">
        <w:rPr>
          <w:sz w:val="20"/>
          <w:szCs w:val="20"/>
        </w:rPr>
        <w:t>phenolic</w:t>
      </w:r>
      <w:proofErr w:type="spellEnd"/>
      <w:r w:rsidRPr="004B551C">
        <w:rPr>
          <w:sz w:val="20"/>
          <w:szCs w:val="20"/>
        </w:rPr>
        <w:t xml:space="preserve"> compounds has not been determined yet, but </w:t>
      </w:r>
      <w:proofErr w:type="spellStart"/>
      <w:r w:rsidRPr="004B551C">
        <w:rPr>
          <w:b/>
          <w:bCs/>
          <w:sz w:val="20"/>
          <w:szCs w:val="20"/>
        </w:rPr>
        <w:t>Davdison</w:t>
      </w:r>
      <w:proofErr w:type="spellEnd"/>
      <w:r w:rsidRPr="004B551C">
        <w:rPr>
          <w:b/>
          <w:bCs/>
          <w:sz w:val="20"/>
          <w:szCs w:val="20"/>
        </w:rPr>
        <w:t xml:space="preserve"> (1993) </w:t>
      </w:r>
      <w:r w:rsidRPr="004B551C">
        <w:rPr>
          <w:sz w:val="20"/>
          <w:szCs w:val="20"/>
        </w:rPr>
        <w:t xml:space="preserve">indicated that, it </w:t>
      </w:r>
      <w:r w:rsidRPr="004B551C">
        <w:rPr>
          <w:sz w:val="20"/>
          <w:szCs w:val="20"/>
        </w:rPr>
        <w:lastRenderedPageBreak/>
        <w:t>may deactivate essential enzymes, reacting with the cell membrane or disturbing material functionality.</w:t>
      </w:r>
    </w:p>
    <w:p w:rsidR="000D6972" w:rsidRPr="004B551C" w:rsidRDefault="000D6972" w:rsidP="004B551C">
      <w:pPr>
        <w:autoSpaceDE w:val="0"/>
        <w:autoSpaceDN w:val="0"/>
        <w:adjustRightInd w:val="0"/>
        <w:jc w:val="both"/>
        <w:rPr>
          <w:b/>
          <w:bCs/>
          <w:sz w:val="20"/>
          <w:szCs w:val="20"/>
        </w:rPr>
      </w:pPr>
    </w:p>
    <w:p w:rsidR="00DB137D" w:rsidRPr="004B551C" w:rsidRDefault="000D6972" w:rsidP="004B551C">
      <w:pPr>
        <w:autoSpaceDE w:val="0"/>
        <w:autoSpaceDN w:val="0"/>
        <w:adjustRightInd w:val="0"/>
        <w:jc w:val="both"/>
        <w:rPr>
          <w:rFonts w:eastAsia="Batang"/>
          <w:sz w:val="20"/>
          <w:szCs w:val="20"/>
        </w:rPr>
      </w:pPr>
      <w:r w:rsidRPr="004B551C">
        <w:rPr>
          <w:b/>
          <w:bCs/>
          <w:sz w:val="20"/>
          <w:szCs w:val="20"/>
        </w:rPr>
        <w:t>Conclusion</w:t>
      </w:r>
    </w:p>
    <w:p w:rsidR="000D6972" w:rsidRDefault="00DB137D" w:rsidP="004B551C">
      <w:pPr>
        <w:autoSpaceDE w:val="0"/>
        <w:autoSpaceDN w:val="0"/>
        <w:adjustRightInd w:val="0"/>
        <w:ind w:firstLine="426"/>
        <w:jc w:val="both"/>
        <w:rPr>
          <w:rFonts w:eastAsia="Batang"/>
          <w:sz w:val="20"/>
          <w:szCs w:val="20"/>
        </w:rPr>
      </w:pPr>
      <w:r w:rsidRPr="004B551C">
        <w:rPr>
          <w:rFonts w:eastAsia="Batang"/>
          <w:sz w:val="20"/>
          <w:szCs w:val="20"/>
        </w:rPr>
        <w:t xml:space="preserve">According to the hypothesis relationship between chemical structure of natural compound and antifungal activity; </w:t>
      </w:r>
      <w:proofErr w:type="spellStart"/>
      <w:r w:rsidRPr="004B551C">
        <w:rPr>
          <w:rFonts w:eastAsia="Batang"/>
          <w:sz w:val="20"/>
          <w:szCs w:val="20"/>
        </w:rPr>
        <w:t>thymol</w:t>
      </w:r>
      <w:proofErr w:type="spellEnd"/>
      <w:r w:rsidRPr="004B551C">
        <w:rPr>
          <w:rFonts w:eastAsia="Batang"/>
          <w:sz w:val="20"/>
          <w:szCs w:val="20"/>
        </w:rPr>
        <w:t xml:space="preserve"> and </w:t>
      </w:r>
      <w:proofErr w:type="spellStart"/>
      <w:r w:rsidRPr="004B551C">
        <w:rPr>
          <w:rFonts w:eastAsia="Batang"/>
          <w:sz w:val="20"/>
          <w:szCs w:val="20"/>
        </w:rPr>
        <w:t>eugenol</w:t>
      </w:r>
      <w:proofErr w:type="spellEnd"/>
      <w:r w:rsidRPr="004B551C">
        <w:rPr>
          <w:rFonts w:eastAsia="Batang"/>
          <w:sz w:val="20"/>
          <w:szCs w:val="20"/>
        </w:rPr>
        <w:t xml:space="preserve"> (</w:t>
      </w:r>
      <w:proofErr w:type="spellStart"/>
      <w:r w:rsidRPr="004B551C">
        <w:rPr>
          <w:rFonts w:eastAsia="Batang"/>
          <w:sz w:val="20"/>
          <w:szCs w:val="20"/>
        </w:rPr>
        <w:t>phenolic</w:t>
      </w:r>
      <w:proofErr w:type="spellEnd"/>
      <w:r w:rsidRPr="004B551C">
        <w:rPr>
          <w:rFonts w:eastAsia="Batang"/>
          <w:sz w:val="20"/>
          <w:szCs w:val="20"/>
        </w:rPr>
        <w:t xml:space="preserve"> compound) were the most predominant antifungal activity towards the tested fungi followed by methyl </w:t>
      </w:r>
      <w:proofErr w:type="spellStart"/>
      <w:r w:rsidRPr="004B551C">
        <w:rPr>
          <w:rFonts w:eastAsia="Batang"/>
          <w:sz w:val="20"/>
          <w:szCs w:val="20"/>
        </w:rPr>
        <w:t>cinnamate</w:t>
      </w:r>
      <w:proofErr w:type="spellEnd"/>
      <w:r w:rsidRPr="004B551C">
        <w:rPr>
          <w:rFonts w:eastAsia="Batang"/>
          <w:sz w:val="20"/>
          <w:szCs w:val="20"/>
        </w:rPr>
        <w:t xml:space="preserve"> (as a part of </w:t>
      </w:r>
      <w:proofErr w:type="spellStart"/>
      <w:r w:rsidRPr="004B551C">
        <w:rPr>
          <w:rFonts w:eastAsia="Batang"/>
          <w:sz w:val="20"/>
          <w:szCs w:val="20"/>
        </w:rPr>
        <w:t>keto</w:t>
      </w:r>
      <w:proofErr w:type="spellEnd"/>
      <w:r w:rsidRPr="004B551C">
        <w:rPr>
          <w:rFonts w:eastAsia="Batang"/>
          <w:sz w:val="20"/>
          <w:szCs w:val="20"/>
        </w:rPr>
        <w:t xml:space="preserve"> compound)  where the lowest antifungal activity were linalool and 1,8-cineol (tertiary alcohol and ether).</w:t>
      </w:r>
    </w:p>
    <w:p w:rsidR="00CE09F5" w:rsidRPr="004B551C" w:rsidRDefault="00CE09F5" w:rsidP="004B551C">
      <w:pPr>
        <w:autoSpaceDE w:val="0"/>
        <w:autoSpaceDN w:val="0"/>
        <w:adjustRightInd w:val="0"/>
        <w:ind w:firstLine="426"/>
        <w:jc w:val="both"/>
        <w:rPr>
          <w:rFonts w:eastAsia="Batang"/>
          <w:sz w:val="20"/>
          <w:szCs w:val="20"/>
        </w:rPr>
      </w:pPr>
    </w:p>
    <w:p w:rsidR="000D6972" w:rsidRPr="004B551C" w:rsidRDefault="000D6972" w:rsidP="004B551C">
      <w:pPr>
        <w:autoSpaceDE w:val="0"/>
        <w:autoSpaceDN w:val="0"/>
        <w:adjustRightInd w:val="0"/>
        <w:jc w:val="both"/>
        <w:rPr>
          <w:b/>
          <w:bCs/>
          <w:sz w:val="20"/>
          <w:szCs w:val="20"/>
        </w:rPr>
      </w:pPr>
      <w:r w:rsidRPr="004B551C">
        <w:rPr>
          <w:b/>
          <w:bCs/>
          <w:sz w:val="20"/>
          <w:szCs w:val="20"/>
        </w:rPr>
        <w:t>Corresponding author</w:t>
      </w:r>
    </w:p>
    <w:p w:rsidR="007F1798" w:rsidRPr="004B551C" w:rsidRDefault="007F1798" w:rsidP="004B551C">
      <w:pPr>
        <w:jc w:val="both"/>
        <w:rPr>
          <w:sz w:val="20"/>
          <w:szCs w:val="20"/>
        </w:rPr>
      </w:pPr>
      <w:r w:rsidRPr="004B551C">
        <w:rPr>
          <w:sz w:val="20"/>
          <w:szCs w:val="20"/>
        </w:rPr>
        <w:t>El-</w:t>
      </w:r>
      <w:proofErr w:type="spellStart"/>
      <w:r w:rsidRPr="004B551C">
        <w:rPr>
          <w:sz w:val="20"/>
          <w:szCs w:val="20"/>
        </w:rPr>
        <w:t>Shiekh</w:t>
      </w:r>
      <w:proofErr w:type="spellEnd"/>
      <w:r w:rsidRPr="004B551C">
        <w:rPr>
          <w:sz w:val="20"/>
          <w:szCs w:val="20"/>
        </w:rPr>
        <w:t>, Y. W. A</w:t>
      </w:r>
    </w:p>
    <w:p w:rsidR="007F1798" w:rsidRPr="004B551C" w:rsidRDefault="007F1798" w:rsidP="004B551C">
      <w:pPr>
        <w:pStyle w:val="BodyTextIndent3"/>
        <w:tabs>
          <w:tab w:val="right" w:pos="0"/>
        </w:tabs>
        <w:bidi w:val="0"/>
        <w:spacing w:after="0"/>
        <w:ind w:left="0"/>
        <w:jc w:val="both"/>
        <w:rPr>
          <w:sz w:val="20"/>
          <w:szCs w:val="20"/>
        </w:rPr>
      </w:pPr>
      <w:r w:rsidRPr="004B551C">
        <w:rPr>
          <w:sz w:val="20"/>
          <w:szCs w:val="20"/>
        </w:rPr>
        <w:t>Pesticides Formulation Department, Central Agricultural Pesticides Laboratory, Agricultural Research Center</w:t>
      </w:r>
    </w:p>
    <w:p w:rsidR="007F1798" w:rsidRPr="004B551C" w:rsidRDefault="00907E7E" w:rsidP="004B551C">
      <w:pPr>
        <w:jc w:val="both"/>
        <w:rPr>
          <w:color w:val="0000FF"/>
          <w:sz w:val="20"/>
          <w:szCs w:val="20"/>
        </w:rPr>
      </w:pPr>
      <w:hyperlink r:id="rId23" w:history="1">
        <w:r w:rsidR="007F1798" w:rsidRPr="004B551C">
          <w:rPr>
            <w:rStyle w:val="Hyperlink"/>
            <w:sz w:val="20"/>
            <w:szCs w:val="20"/>
            <w:u w:val="none"/>
          </w:rPr>
          <w:t>yasserwahied@yahoo.com</w:t>
        </w:r>
      </w:hyperlink>
      <w:r w:rsidR="007D1193" w:rsidRPr="004B551C">
        <w:rPr>
          <w:color w:val="0000FF"/>
          <w:sz w:val="20"/>
          <w:szCs w:val="20"/>
        </w:rPr>
        <w:t xml:space="preserve"> </w:t>
      </w:r>
      <w:r w:rsidR="007F1798" w:rsidRPr="004B551C">
        <w:rPr>
          <w:color w:val="0000FF"/>
          <w:sz w:val="20"/>
          <w:szCs w:val="20"/>
        </w:rPr>
        <w:t xml:space="preserve"> </w:t>
      </w:r>
    </w:p>
    <w:p w:rsidR="000D6972" w:rsidRPr="004B551C" w:rsidRDefault="000D6972" w:rsidP="004B551C">
      <w:pPr>
        <w:autoSpaceDE w:val="0"/>
        <w:autoSpaceDN w:val="0"/>
        <w:adjustRightInd w:val="0"/>
        <w:jc w:val="both"/>
        <w:rPr>
          <w:b/>
          <w:bCs/>
          <w:sz w:val="20"/>
          <w:szCs w:val="20"/>
        </w:rPr>
      </w:pPr>
    </w:p>
    <w:p w:rsidR="005844F2" w:rsidRPr="004B551C" w:rsidRDefault="000D6972" w:rsidP="004B551C">
      <w:pPr>
        <w:autoSpaceDE w:val="0"/>
        <w:autoSpaceDN w:val="0"/>
        <w:adjustRightInd w:val="0"/>
        <w:jc w:val="both"/>
        <w:rPr>
          <w:b/>
          <w:bCs/>
          <w:sz w:val="20"/>
          <w:szCs w:val="20"/>
        </w:rPr>
      </w:pPr>
      <w:r w:rsidRPr="004B551C">
        <w:rPr>
          <w:b/>
          <w:bCs/>
          <w:sz w:val="20"/>
          <w:szCs w:val="20"/>
        </w:rPr>
        <w:t>References</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Barnard, M.; </w:t>
      </w:r>
      <w:proofErr w:type="spellStart"/>
      <w:r w:rsidRPr="004B551C">
        <w:rPr>
          <w:sz w:val="20"/>
          <w:szCs w:val="20"/>
        </w:rPr>
        <w:t>Padgitt</w:t>
      </w:r>
      <w:proofErr w:type="spellEnd"/>
      <w:r w:rsidRPr="004B551C">
        <w:rPr>
          <w:sz w:val="20"/>
          <w:szCs w:val="20"/>
        </w:rPr>
        <w:t xml:space="preserve">, M. and Uri, N.D. </w:t>
      </w:r>
      <w:r w:rsidRPr="004B551C">
        <w:rPr>
          <w:b/>
          <w:bCs/>
          <w:sz w:val="20"/>
          <w:szCs w:val="20"/>
        </w:rPr>
        <w:t>(1997)</w:t>
      </w:r>
      <w:r w:rsidRPr="004B551C">
        <w:rPr>
          <w:sz w:val="20"/>
          <w:szCs w:val="20"/>
        </w:rPr>
        <w:t>. Pesticide use and its measurement. Int. Pest Control</w:t>
      </w:r>
      <w:r w:rsidR="00A05D85" w:rsidRPr="004B551C">
        <w:rPr>
          <w:sz w:val="20"/>
          <w:szCs w:val="20"/>
        </w:rPr>
        <w:t>,</w:t>
      </w:r>
      <w:r w:rsidRPr="004B551C">
        <w:rPr>
          <w:sz w:val="20"/>
          <w:szCs w:val="20"/>
        </w:rPr>
        <w:t xml:space="preserve"> 39,</w:t>
      </w:r>
      <w:r w:rsidR="00A05D85" w:rsidRPr="004B551C">
        <w:rPr>
          <w:sz w:val="20"/>
          <w:szCs w:val="20"/>
        </w:rPr>
        <w:t>:</w:t>
      </w:r>
      <w:r w:rsidRPr="004B551C">
        <w:rPr>
          <w:sz w:val="20"/>
          <w:szCs w:val="20"/>
        </w:rPr>
        <w:t xml:space="preserve"> 161–164.</w:t>
      </w:r>
    </w:p>
    <w:p w:rsidR="00DE5360" w:rsidRPr="004B551C" w:rsidRDefault="00DE5360" w:rsidP="00CE09F5">
      <w:pPr>
        <w:pStyle w:val="NoSpacing"/>
        <w:numPr>
          <w:ilvl w:val="0"/>
          <w:numId w:val="14"/>
        </w:numPr>
        <w:ind w:left="360"/>
        <w:jc w:val="both"/>
        <w:rPr>
          <w:sz w:val="20"/>
          <w:szCs w:val="20"/>
          <w:lang w:bidi="ar-EG"/>
        </w:rPr>
      </w:pPr>
      <w:r w:rsidRPr="004B551C">
        <w:rPr>
          <w:sz w:val="20"/>
          <w:szCs w:val="20"/>
          <w:lang w:bidi="ar-EG"/>
        </w:rPr>
        <w:t xml:space="preserve">Bishop, C. D. and </w:t>
      </w:r>
      <w:proofErr w:type="spellStart"/>
      <w:r w:rsidRPr="004B551C">
        <w:rPr>
          <w:sz w:val="20"/>
          <w:szCs w:val="20"/>
          <w:lang w:bidi="ar-EG"/>
        </w:rPr>
        <w:t>Thorton</w:t>
      </w:r>
      <w:proofErr w:type="spellEnd"/>
      <w:r w:rsidRPr="004B551C">
        <w:rPr>
          <w:sz w:val="20"/>
          <w:szCs w:val="20"/>
          <w:lang w:bidi="ar-EG"/>
        </w:rPr>
        <w:t xml:space="preserve">, I. B. </w:t>
      </w:r>
      <w:r w:rsidRPr="004B551C">
        <w:rPr>
          <w:b/>
          <w:bCs/>
          <w:sz w:val="20"/>
          <w:szCs w:val="20"/>
          <w:lang w:bidi="ar-EG"/>
        </w:rPr>
        <w:t xml:space="preserve">(1997). </w:t>
      </w:r>
      <w:r w:rsidRPr="004B551C">
        <w:rPr>
          <w:sz w:val="20"/>
          <w:szCs w:val="20"/>
          <w:lang w:bidi="ar-EG"/>
        </w:rPr>
        <w:t xml:space="preserve"> Evaluation of the antifungal activity of the essential oil of </w:t>
      </w:r>
      <w:proofErr w:type="spellStart"/>
      <w:r w:rsidRPr="004B551C">
        <w:rPr>
          <w:i/>
          <w:iCs/>
          <w:sz w:val="20"/>
          <w:szCs w:val="20"/>
          <w:lang w:bidi="ar-EG"/>
        </w:rPr>
        <w:t>Monarda</w:t>
      </w:r>
      <w:proofErr w:type="spellEnd"/>
      <w:r w:rsidRPr="004B551C">
        <w:rPr>
          <w:i/>
          <w:iCs/>
          <w:sz w:val="20"/>
          <w:szCs w:val="20"/>
          <w:lang w:bidi="ar-EG"/>
        </w:rPr>
        <w:t xml:space="preserve"> </w:t>
      </w:r>
      <w:proofErr w:type="spellStart"/>
      <w:r w:rsidRPr="004B551C">
        <w:rPr>
          <w:i/>
          <w:iCs/>
          <w:sz w:val="20"/>
          <w:szCs w:val="20"/>
          <w:lang w:bidi="ar-EG"/>
        </w:rPr>
        <w:t>citriodora</w:t>
      </w:r>
      <w:proofErr w:type="spellEnd"/>
      <w:r w:rsidRPr="004B551C">
        <w:rPr>
          <w:sz w:val="20"/>
          <w:szCs w:val="20"/>
          <w:lang w:bidi="ar-EG"/>
        </w:rPr>
        <w:t xml:space="preserve"> var. </w:t>
      </w:r>
      <w:proofErr w:type="spellStart"/>
      <w:r w:rsidRPr="004B551C">
        <w:rPr>
          <w:i/>
          <w:iCs/>
          <w:sz w:val="20"/>
          <w:szCs w:val="20"/>
          <w:lang w:bidi="ar-EG"/>
        </w:rPr>
        <w:t>citridora</w:t>
      </w:r>
      <w:proofErr w:type="spellEnd"/>
      <w:r w:rsidRPr="004B551C">
        <w:rPr>
          <w:i/>
          <w:iCs/>
          <w:sz w:val="20"/>
          <w:szCs w:val="20"/>
          <w:lang w:bidi="ar-EG"/>
        </w:rPr>
        <w:t xml:space="preserve"> </w:t>
      </w:r>
      <w:r w:rsidRPr="004B551C">
        <w:rPr>
          <w:sz w:val="20"/>
          <w:szCs w:val="20"/>
          <w:lang w:bidi="ar-EG"/>
        </w:rPr>
        <w:t xml:space="preserve">and </w:t>
      </w:r>
      <w:proofErr w:type="spellStart"/>
      <w:r w:rsidRPr="004B551C">
        <w:rPr>
          <w:i/>
          <w:iCs/>
          <w:sz w:val="20"/>
          <w:szCs w:val="20"/>
          <w:lang w:bidi="ar-EG"/>
        </w:rPr>
        <w:t>Melaleuca</w:t>
      </w:r>
      <w:proofErr w:type="spellEnd"/>
      <w:r w:rsidRPr="004B551C">
        <w:rPr>
          <w:i/>
          <w:iCs/>
          <w:sz w:val="20"/>
          <w:szCs w:val="20"/>
          <w:lang w:bidi="ar-EG"/>
        </w:rPr>
        <w:t xml:space="preserve"> </w:t>
      </w:r>
      <w:proofErr w:type="spellStart"/>
      <w:r w:rsidRPr="004B551C">
        <w:rPr>
          <w:i/>
          <w:iCs/>
          <w:sz w:val="20"/>
          <w:szCs w:val="20"/>
          <w:lang w:bidi="ar-EG"/>
        </w:rPr>
        <w:t>alternifolia</w:t>
      </w:r>
      <w:proofErr w:type="spellEnd"/>
      <w:r w:rsidRPr="004B551C">
        <w:rPr>
          <w:i/>
          <w:iCs/>
          <w:sz w:val="20"/>
          <w:szCs w:val="20"/>
          <w:lang w:bidi="ar-EG"/>
        </w:rPr>
        <w:t xml:space="preserve"> </w:t>
      </w:r>
      <w:r w:rsidRPr="004B551C">
        <w:rPr>
          <w:sz w:val="20"/>
          <w:szCs w:val="20"/>
          <w:lang w:bidi="ar-EG"/>
        </w:rPr>
        <w:t xml:space="preserve">on post-harvest pathogens.  J. </w:t>
      </w:r>
      <w:proofErr w:type="spellStart"/>
      <w:r w:rsidRPr="004B551C">
        <w:rPr>
          <w:sz w:val="20"/>
          <w:szCs w:val="20"/>
          <w:lang w:bidi="ar-EG"/>
        </w:rPr>
        <w:t>Essent</w:t>
      </w:r>
      <w:proofErr w:type="spellEnd"/>
      <w:r w:rsidRPr="004B551C">
        <w:rPr>
          <w:sz w:val="20"/>
          <w:szCs w:val="20"/>
          <w:lang w:bidi="ar-EG"/>
        </w:rPr>
        <w:t>. Oil Res.</w:t>
      </w:r>
      <w:r w:rsidR="00A05D85" w:rsidRPr="004B551C">
        <w:rPr>
          <w:sz w:val="20"/>
          <w:szCs w:val="20"/>
          <w:lang w:bidi="ar-EG"/>
        </w:rPr>
        <w:t>,</w:t>
      </w:r>
      <w:r w:rsidRPr="004B551C">
        <w:rPr>
          <w:b/>
          <w:bCs/>
          <w:sz w:val="20"/>
          <w:szCs w:val="20"/>
          <w:lang w:bidi="ar-EG"/>
        </w:rPr>
        <w:t xml:space="preserve">  9: </w:t>
      </w:r>
      <w:r w:rsidRPr="004B551C">
        <w:rPr>
          <w:sz w:val="20"/>
          <w:szCs w:val="20"/>
          <w:lang w:bidi="ar-EG"/>
        </w:rPr>
        <w:t>77 – 82.</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Bouchra</w:t>
      </w:r>
      <w:proofErr w:type="spellEnd"/>
      <w:r w:rsidRPr="004B551C">
        <w:rPr>
          <w:sz w:val="20"/>
          <w:szCs w:val="20"/>
        </w:rPr>
        <w:t xml:space="preserve">, C.; Mohamed </w:t>
      </w:r>
      <w:proofErr w:type="spellStart"/>
      <w:r w:rsidRPr="004B551C">
        <w:rPr>
          <w:sz w:val="20"/>
          <w:szCs w:val="20"/>
        </w:rPr>
        <w:t>Achouri</w:t>
      </w:r>
      <w:proofErr w:type="spellEnd"/>
      <w:r w:rsidRPr="004B551C">
        <w:rPr>
          <w:sz w:val="20"/>
          <w:szCs w:val="20"/>
        </w:rPr>
        <w:t xml:space="preserve">; </w:t>
      </w:r>
      <w:proofErr w:type="spellStart"/>
      <w:r w:rsidRPr="004B551C">
        <w:rPr>
          <w:sz w:val="20"/>
          <w:szCs w:val="20"/>
        </w:rPr>
        <w:t>Hassani</w:t>
      </w:r>
      <w:proofErr w:type="spellEnd"/>
      <w:r w:rsidRPr="004B551C">
        <w:rPr>
          <w:sz w:val="20"/>
          <w:szCs w:val="20"/>
        </w:rPr>
        <w:t xml:space="preserve">, L. M. I. and Mohamed, </w:t>
      </w:r>
      <w:proofErr w:type="spellStart"/>
      <w:r w:rsidRPr="004B551C">
        <w:rPr>
          <w:sz w:val="20"/>
          <w:szCs w:val="20"/>
        </w:rPr>
        <w:t>Hmamouchi</w:t>
      </w:r>
      <w:proofErr w:type="spellEnd"/>
      <w:r w:rsidRPr="004B551C">
        <w:rPr>
          <w:sz w:val="20"/>
          <w:szCs w:val="20"/>
        </w:rPr>
        <w:t xml:space="preserve"> </w:t>
      </w:r>
      <w:r w:rsidRPr="004B551C">
        <w:rPr>
          <w:b/>
          <w:bCs/>
          <w:sz w:val="20"/>
          <w:szCs w:val="20"/>
        </w:rPr>
        <w:t>(2003).</w:t>
      </w:r>
      <w:r w:rsidRPr="004B551C">
        <w:rPr>
          <w:sz w:val="20"/>
          <w:szCs w:val="20"/>
        </w:rPr>
        <w:t xml:space="preserve">  Chemical composition and antifungal activity of essential oils of seven Moroccan </w:t>
      </w:r>
      <w:proofErr w:type="spellStart"/>
      <w:r w:rsidRPr="004B551C">
        <w:rPr>
          <w:sz w:val="20"/>
          <w:szCs w:val="20"/>
        </w:rPr>
        <w:t>Labiatae</w:t>
      </w:r>
      <w:proofErr w:type="spellEnd"/>
      <w:r w:rsidRPr="004B551C">
        <w:rPr>
          <w:sz w:val="20"/>
          <w:szCs w:val="20"/>
        </w:rPr>
        <w:t xml:space="preserve"> against </w:t>
      </w:r>
      <w:r w:rsidRPr="004B551C">
        <w:rPr>
          <w:i/>
          <w:iCs/>
          <w:sz w:val="20"/>
          <w:szCs w:val="20"/>
        </w:rPr>
        <w:t xml:space="preserve">Botrytis </w:t>
      </w:r>
      <w:proofErr w:type="spellStart"/>
      <w:r w:rsidRPr="004B551C">
        <w:rPr>
          <w:i/>
          <w:iCs/>
          <w:sz w:val="20"/>
          <w:szCs w:val="20"/>
        </w:rPr>
        <w:t>cinerea</w:t>
      </w:r>
      <w:proofErr w:type="spellEnd"/>
      <w:r w:rsidRPr="004B551C">
        <w:rPr>
          <w:sz w:val="20"/>
          <w:szCs w:val="20"/>
        </w:rPr>
        <w:t xml:space="preserve"> </w:t>
      </w:r>
      <w:proofErr w:type="spellStart"/>
      <w:r w:rsidRPr="004B551C">
        <w:rPr>
          <w:sz w:val="20"/>
          <w:szCs w:val="20"/>
        </w:rPr>
        <w:t>Pers</w:t>
      </w:r>
      <w:proofErr w:type="spellEnd"/>
      <w:r w:rsidRPr="004B551C">
        <w:rPr>
          <w:sz w:val="20"/>
          <w:szCs w:val="20"/>
        </w:rPr>
        <w:t xml:space="preserve">: Fr. Journal of </w:t>
      </w:r>
      <w:proofErr w:type="spellStart"/>
      <w:r w:rsidRPr="004B551C">
        <w:rPr>
          <w:sz w:val="20"/>
          <w:szCs w:val="20"/>
        </w:rPr>
        <w:t>Ethnopharmacology</w:t>
      </w:r>
      <w:proofErr w:type="spellEnd"/>
      <w:r w:rsidRPr="004B551C">
        <w:rPr>
          <w:sz w:val="20"/>
          <w:szCs w:val="20"/>
        </w:rPr>
        <w:t>. 89(1): 165-169</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Boyraz</w:t>
      </w:r>
      <w:proofErr w:type="spellEnd"/>
      <w:r w:rsidRPr="004B551C">
        <w:rPr>
          <w:sz w:val="20"/>
          <w:szCs w:val="20"/>
        </w:rPr>
        <w:t xml:space="preserve">, N. and </w:t>
      </w:r>
      <w:proofErr w:type="spellStart"/>
      <w:r w:rsidRPr="004B551C">
        <w:rPr>
          <w:sz w:val="20"/>
          <w:szCs w:val="20"/>
        </w:rPr>
        <w:t>Özcan</w:t>
      </w:r>
      <w:proofErr w:type="spellEnd"/>
      <w:r w:rsidRPr="004B551C">
        <w:rPr>
          <w:sz w:val="20"/>
          <w:szCs w:val="20"/>
        </w:rPr>
        <w:t xml:space="preserve">, M. </w:t>
      </w:r>
      <w:r w:rsidRPr="004B551C">
        <w:rPr>
          <w:b/>
          <w:bCs/>
          <w:sz w:val="20"/>
          <w:szCs w:val="20"/>
        </w:rPr>
        <w:t>(2006)</w:t>
      </w:r>
      <w:r w:rsidRPr="004B551C">
        <w:rPr>
          <w:sz w:val="20"/>
          <w:szCs w:val="20"/>
        </w:rPr>
        <w:t xml:space="preserve">. Inhibition of </w:t>
      </w:r>
      <w:proofErr w:type="spellStart"/>
      <w:r w:rsidRPr="004B551C">
        <w:rPr>
          <w:sz w:val="20"/>
          <w:szCs w:val="20"/>
        </w:rPr>
        <w:t>phytopathogenic</w:t>
      </w:r>
      <w:proofErr w:type="spellEnd"/>
      <w:r w:rsidRPr="004B551C">
        <w:rPr>
          <w:sz w:val="20"/>
          <w:szCs w:val="20"/>
        </w:rPr>
        <w:t xml:space="preserve"> fungi by essential oil, hydrosol, ground material and extract of summer savory (</w:t>
      </w:r>
      <w:proofErr w:type="spellStart"/>
      <w:r w:rsidRPr="004B551C">
        <w:rPr>
          <w:i/>
          <w:iCs/>
          <w:sz w:val="20"/>
          <w:szCs w:val="20"/>
        </w:rPr>
        <w:t>Satureja</w:t>
      </w:r>
      <w:proofErr w:type="spellEnd"/>
      <w:r w:rsidRPr="004B551C">
        <w:rPr>
          <w:i/>
          <w:iCs/>
          <w:sz w:val="20"/>
          <w:szCs w:val="20"/>
        </w:rPr>
        <w:t xml:space="preserve"> </w:t>
      </w:r>
      <w:proofErr w:type="spellStart"/>
      <w:r w:rsidRPr="004B551C">
        <w:rPr>
          <w:i/>
          <w:iCs/>
          <w:sz w:val="20"/>
          <w:szCs w:val="20"/>
        </w:rPr>
        <w:t>hortensis</w:t>
      </w:r>
      <w:proofErr w:type="spellEnd"/>
      <w:r w:rsidRPr="004B551C">
        <w:rPr>
          <w:sz w:val="20"/>
          <w:szCs w:val="20"/>
        </w:rPr>
        <w:t xml:space="preserve"> L.) growing wild in Turkey.  Int. J. Food </w:t>
      </w:r>
      <w:proofErr w:type="spellStart"/>
      <w:r w:rsidRPr="004B551C">
        <w:rPr>
          <w:sz w:val="20"/>
          <w:szCs w:val="20"/>
        </w:rPr>
        <w:t>Microbiol</w:t>
      </w:r>
      <w:proofErr w:type="spellEnd"/>
      <w:r w:rsidRPr="004B551C">
        <w:rPr>
          <w:sz w:val="20"/>
          <w:szCs w:val="20"/>
        </w:rPr>
        <w:t>.</w:t>
      </w:r>
      <w:r w:rsidR="00A05D85" w:rsidRPr="004B551C">
        <w:rPr>
          <w:sz w:val="20"/>
          <w:szCs w:val="20"/>
        </w:rPr>
        <w:t>,</w:t>
      </w:r>
      <w:r w:rsidRPr="004B551C">
        <w:rPr>
          <w:sz w:val="20"/>
          <w:szCs w:val="20"/>
        </w:rPr>
        <w:t xml:space="preserve"> 107: 238–242.</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Brent, K.J. and </w:t>
      </w:r>
      <w:proofErr w:type="spellStart"/>
      <w:r w:rsidRPr="004B551C">
        <w:rPr>
          <w:sz w:val="20"/>
          <w:szCs w:val="20"/>
        </w:rPr>
        <w:t>Hollomon</w:t>
      </w:r>
      <w:proofErr w:type="spellEnd"/>
      <w:r w:rsidRPr="004B551C">
        <w:rPr>
          <w:sz w:val="20"/>
          <w:szCs w:val="20"/>
        </w:rPr>
        <w:t xml:space="preserve">, D.W. </w:t>
      </w:r>
      <w:r w:rsidRPr="004B551C">
        <w:rPr>
          <w:b/>
          <w:bCs/>
          <w:sz w:val="20"/>
          <w:szCs w:val="20"/>
        </w:rPr>
        <w:t>(1998)</w:t>
      </w:r>
      <w:r w:rsidRPr="004B551C">
        <w:rPr>
          <w:sz w:val="20"/>
          <w:szCs w:val="20"/>
        </w:rPr>
        <w:t xml:space="preserve">. Fungicide Resistance: The Assessment of Risk. Monograph No. 2. FRAC, Global Crop Protection Federation, Brussels, pp. 1–48. </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Burt, S., </w:t>
      </w:r>
      <w:r w:rsidRPr="004B551C">
        <w:rPr>
          <w:b/>
          <w:bCs/>
          <w:sz w:val="20"/>
          <w:szCs w:val="20"/>
        </w:rPr>
        <w:t>(2004).</w:t>
      </w:r>
      <w:r w:rsidRPr="004B551C">
        <w:rPr>
          <w:sz w:val="20"/>
          <w:szCs w:val="20"/>
        </w:rPr>
        <w:t xml:space="preserve"> Essential oils: their antibacterial properties and potential applications in foods — a review. International Journal of Food Microbiology</w:t>
      </w:r>
      <w:r w:rsidR="00A05D85" w:rsidRPr="004B551C">
        <w:rPr>
          <w:sz w:val="20"/>
          <w:szCs w:val="20"/>
        </w:rPr>
        <w:t>,</w:t>
      </w:r>
      <w:r w:rsidRPr="004B551C">
        <w:rPr>
          <w:sz w:val="20"/>
          <w:szCs w:val="20"/>
        </w:rPr>
        <w:t xml:space="preserve"> 94</w:t>
      </w:r>
      <w:r w:rsidR="00A05D85" w:rsidRPr="004B551C">
        <w:rPr>
          <w:sz w:val="20"/>
          <w:szCs w:val="20"/>
        </w:rPr>
        <w:t>:</w:t>
      </w:r>
      <w:r w:rsidRPr="004B551C">
        <w:rPr>
          <w:sz w:val="20"/>
          <w:szCs w:val="20"/>
        </w:rPr>
        <w:t xml:space="preserve"> 223–253.</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Carta</w:t>
      </w:r>
      <w:proofErr w:type="spellEnd"/>
      <w:r w:rsidRPr="004B551C">
        <w:rPr>
          <w:sz w:val="20"/>
          <w:szCs w:val="20"/>
          <w:lang w:bidi="ar-EG"/>
        </w:rPr>
        <w:t xml:space="preserve">, C.; </w:t>
      </w:r>
      <w:proofErr w:type="spellStart"/>
      <w:r w:rsidRPr="004B551C">
        <w:rPr>
          <w:sz w:val="20"/>
          <w:szCs w:val="20"/>
          <w:lang w:bidi="ar-EG"/>
        </w:rPr>
        <w:t>Moretti</w:t>
      </w:r>
      <w:proofErr w:type="spellEnd"/>
      <w:r w:rsidRPr="004B551C">
        <w:rPr>
          <w:sz w:val="20"/>
          <w:szCs w:val="20"/>
          <w:lang w:bidi="ar-EG"/>
        </w:rPr>
        <w:t xml:space="preserve">, M. D. L. and </w:t>
      </w:r>
      <w:proofErr w:type="spellStart"/>
      <w:r w:rsidRPr="004B551C">
        <w:rPr>
          <w:sz w:val="20"/>
          <w:szCs w:val="20"/>
          <w:lang w:bidi="ar-EG"/>
        </w:rPr>
        <w:t>Peana</w:t>
      </w:r>
      <w:proofErr w:type="spellEnd"/>
      <w:r w:rsidRPr="004B551C">
        <w:rPr>
          <w:sz w:val="20"/>
          <w:szCs w:val="20"/>
          <w:lang w:bidi="ar-EG"/>
        </w:rPr>
        <w:t xml:space="preserve">, A. T. </w:t>
      </w:r>
      <w:r w:rsidRPr="004B551C">
        <w:rPr>
          <w:b/>
          <w:bCs/>
          <w:sz w:val="20"/>
          <w:szCs w:val="20"/>
          <w:lang w:bidi="ar-EG"/>
        </w:rPr>
        <w:t>(1996).</w:t>
      </w:r>
      <w:r w:rsidRPr="004B551C">
        <w:rPr>
          <w:sz w:val="20"/>
          <w:szCs w:val="20"/>
          <w:lang w:bidi="ar-EG"/>
        </w:rPr>
        <w:t xml:space="preserve">  Activity of the oil of </w:t>
      </w:r>
      <w:r w:rsidRPr="004B551C">
        <w:rPr>
          <w:i/>
          <w:iCs/>
          <w:sz w:val="20"/>
          <w:szCs w:val="20"/>
          <w:lang w:bidi="ar-EG"/>
        </w:rPr>
        <w:t xml:space="preserve">Salvia </w:t>
      </w:r>
      <w:proofErr w:type="spellStart"/>
      <w:r w:rsidRPr="004B551C">
        <w:rPr>
          <w:i/>
          <w:iCs/>
          <w:sz w:val="20"/>
          <w:szCs w:val="20"/>
          <w:lang w:bidi="ar-EG"/>
        </w:rPr>
        <w:t>officinialis</w:t>
      </w:r>
      <w:proofErr w:type="spellEnd"/>
      <w:r w:rsidRPr="004B551C">
        <w:rPr>
          <w:i/>
          <w:iCs/>
          <w:sz w:val="20"/>
          <w:szCs w:val="20"/>
          <w:lang w:bidi="ar-EG"/>
        </w:rPr>
        <w:t xml:space="preserve"> </w:t>
      </w:r>
      <w:r w:rsidRPr="004B551C">
        <w:rPr>
          <w:sz w:val="20"/>
          <w:szCs w:val="20"/>
          <w:lang w:bidi="ar-EG"/>
        </w:rPr>
        <w:t xml:space="preserve">L. against </w:t>
      </w:r>
      <w:r w:rsidRPr="004B551C">
        <w:rPr>
          <w:i/>
          <w:iCs/>
          <w:sz w:val="20"/>
          <w:szCs w:val="20"/>
          <w:lang w:bidi="ar-EG"/>
        </w:rPr>
        <w:t xml:space="preserve">Botrytis </w:t>
      </w:r>
      <w:proofErr w:type="spellStart"/>
      <w:r w:rsidRPr="004B551C">
        <w:rPr>
          <w:i/>
          <w:iCs/>
          <w:sz w:val="20"/>
          <w:szCs w:val="20"/>
          <w:lang w:bidi="ar-EG"/>
        </w:rPr>
        <w:t>cinerea</w:t>
      </w:r>
      <w:proofErr w:type="spellEnd"/>
      <w:r w:rsidRPr="004B551C">
        <w:rPr>
          <w:sz w:val="20"/>
          <w:szCs w:val="20"/>
          <w:lang w:bidi="ar-EG"/>
        </w:rPr>
        <w:t xml:space="preserve">. J. </w:t>
      </w:r>
      <w:proofErr w:type="spellStart"/>
      <w:r w:rsidRPr="004B551C">
        <w:rPr>
          <w:sz w:val="20"/>
          <w:szCs w:val="20"/>
          <w:lang w:bidi="ar-EG"/>
        </w:rPr>
        <w:t>Essent</w:t>
      </w:r>
      <w:proofErr w:type="spellEnd"/>
      <w:r w:rsidRPr="004B551C">
        <w:rPr>
          <w:sz w:val="20"/>
          <w:szCs w:val="20"/>
          <w:lang w:bidi="ar-EG"/>
        </w:rPr>
        <w:t>. Oil Res.</w:t>
      </w:r>
      <w:r w:rsidR="00A05D85" w:rsidRPr="004B551C">
        <w:rPr>
          <w:sz w:val="20"/>
          <w:szCs w:val="20"/>
          <w:lang w:bidi="ar-EG"/>
        </w:rPr>
        <w:t>,</w:t>
      </w:r>
      <w:r w:rsidRPr="004B551C">
        <w:rPr>
          <w:b/>
          <w:bCs/>
          <w:sz w:val="20"/>
          <w:szCs w:val="20"/>
          <w:lang w:bidi="ar-EG"/>
        </w:rPr>
        <w:t xml:space="preserve"> </w:t>
      </w:r>
      <w:r w:rsidRPr="004B551C">
        <w:rPr>
          <w:sz w:val="20"/>
          <w:szCs w:val="20"/>
          <w:lang w:bidi="ar-EG"/>
        </w:rPr>
        <w:t xml:space="preserve">  8: 399 – 404.</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Celiktas</w:t>
      </w:r>
      <w:proofErr w:type="spellEnd"/>
      <w:r w:rsidRPr="004B551C">
        <w:rPr>
          <w:sz w:val="20"/>
          <w:szCs w:val="20"/>
          <w:lang w:bidi="ar-EG"/>
        </w:rPr>
        <w:t xml:space="preserve">, O. </w:t>
      </w:r>
      <w:proofErr w:type="spellStart"/>
      <w:r w:rsidRPr="004B551C">
        <w:rPr>
          <w:sz w:val="20"/>
          <w:szCs w:val="20"/>
          <w:lang w:bidi="ar-EG"/>
        </w:rPr>
        <w:t>Yesil</w:t>
      </w:r>
      <w:proofErr w:type="spellEnd"/>
      <w:r w:rsidRPr="004B551C">
        <w:rPr>
          <w:sz w:val="20"/>
          <w:szCs w:val="20"/>
          <w:lang w:bidi="ar-EG"/>
        </w:rPr>
        <w:t xml:space="preserve">; </w:t>
      </w:r>
      <w:proofErr w:type="spellStart"/>
      <w:r w:rsidRPr="004B551C">
        <w:rPr>
          <w:sz w:val="20"/>
          <w:szCs w:val="20"/>
          <w:lang w:bidi="ar-EG"/>
        </w:rPr>
        <w:t>Kocabas</w:t>
      </w:r>
      <w:proofErr w:type="spellEnd"/>
      <w:r w:rsidRPr="004B551C">
        <w:rPr>
          <w:sz w:val="20"/>
          <w:szCs w:val="20"/>
          <w:lang w:bidi="ar-EG"/>
        </w:rPr>
        <w:t xml:space="preserve">, E. E. </w:t>
      </w:r>
      <w:proofErr w:type="spellStart"/>
      <w:r w:rsidRPr="004B551C">
        <w:rPr>
          <w:sz w:val="20"/>
          <w:szCs w:val="20"/>
          <w:lang w:bidi="ar-EG"/>
        </w:rPr>
        <w:t>Hames</w:t>
      </w:r>
      <w:proofErr w:type="spellEnd"/>
      <w:r w:rsidRPr="004B551C">
        <w:rPr>
          <w:sz w:val="20"/>
          <w:szCs w:val="20"/>
          <w:lang w:bidi="ar-EG"/>
        </w:rPr>
        <w:t xml:space="preserve">; </w:t>
      </w:r>
      <w:proofErr w:type="spellStart"/>
      <w:r w:rsidRPr="004B551C">
        <w:rPr>
          <w:sz w:val="20"/>
          <w:szCs w:val="20"/>
          <w:lang w:bidi="ar-EG"/>
        </w:rPr>
        <w:t>Bedir</w:t>
      </w:r>
      <w:proofErr w:type="spellEnd"/>
      <w:r w:rsidRPr="004B551C">
        <w:rPr>
          <w:sz w:val="20"/>
          <w:szCs w:val="20"/>
          <w:lang w:bidi="ar-EG"/>
        </w:rPr>
        <w:t xml:space="preserve">, E.; Vardar </w:t>
      </w:r>
      <w:proofErr w:type="spellStart"/>
      <w:r w:rsidRPr="004B551C">
        <w:rPr>
          <w:sz w:val="20"/>
          <w:szCs w:val="20"/>
          <w:lang w:bidi="ar-EG"/>
        </w:rPr>
        <w:t>Sukan</w:t>
      </w:r>
      <w:proofErr w:type="spellEnd"/>
      <w:r w:rsidRPr="004B551C">
        <w:rPr>
          <w:sz w:val="20"/>
          <w:szCs w:val="20"/>
          <w:lang w:bidi="ar-EG"/>
        </w:rPr>
        <w:t xml:space="preserve">, F.; </w:t>
      </w:r>
      <w:proofErr w:type="spellStart"/>
      <w:r w:rsidRPr="004B551C">
        <w:rPr>
          <w:sz w:val="20"/>
          <w:szCs w:val="20"/>
          <w:lang w:bidi="ar-EG"/>
        </w:rPr>
        <w:t>Ozek</w:t>
      </w:r>
      <w:proofErr w:type="spellEnd"/>
      <w:r w:rsidRPr="004B551C">
        <w:rPr>
          <w:sz w:val="20"/>
          <w:szCs w:val="20"/>
          <w:lang w:bidi="ar-EG"/>
        </w:rPr>
        <w:t xml:space="preserve"> T. and </w:t>
      </w:r>
      <w:proofErr w:type="spellStart"/>
      <w:r w:rsidRPr="004B551C">
        <w:rPr>
          <w:sz w:val="20"/>
          <w:szCs w:val="20"/>
          <w:lang w:bidi="ar-EG"/>
        </w:rPr>
        <w:t>Baser.K</w:t>
      </w:r>
      <w:proofErr w:type="spellEnd"/>
      <w:r w:rsidRPr="004B551C">
        <w:rPr>
          <w:sz w:val="20"/>
          <w:szCs w:val="20"/>
          <w:lang w:bidi="ar-EG"/>
        </w:rPr>
        <w:t xml:space="preserve">. H. C. </w:t>
      </w:r>
      <w:r w:rsidRPr="004B551C">
        <w:rPr>
          <w:b/>
          <w:bCs/>
          <w:sz w:val="20"/>
          <w:szCs w:val="20"/>
          <w:lang w:bidi="ar-EG"/>
        </w:rPr>
        <w:t>(2007).</w:t>
      </w:r>
      <w:r w:rsidRPr="004B551C">
        <w:rPr>
          <w:sz w:val="20"/>
          <w:szCs w:val="20"/>
          <w:lang w:bidi="ar-EG"/>
        </w:rPr>
        <w:t xml:space="preserve"> Antimicrobial activities of methanol extracts and essential oils of </w:t>
      </w:r>
      <w:proofErr w:type="spellStart"/>
      <w:r w:rsidRPr="004B551C">
        <w:rPr>
          <w:i/>
          <w:iCs/>
          <w:sz w:val="20"/>
          <w:szCs w:val="20"/>
          <w:lang w:bidi="ar-EG"/>
        </w:rPr>
        <w:t>Rosmarinus</w:t>
      </w:r>
      <w:proofErr w:type="spellEnd"/>
      <w:r w:rsidRPr="004B551C">
        <w:rPr>
          <w:i/>
          <w:iCs/>
          <w:sz w:val="20"/>
          <w:szCs w:val="20"/>
          <w:lang w:bidi="ar-EG"/>
        </w:rPr>
        <w:t xml:space="preserve"> </w:t>
      </w:r>
      <w:proofErr w:type="spellStart"/>
      <w:r w:rsidRPr="004B551C">
        <w:rPr>
          <w:i/>
          <w:iCs/>
          <w:sz w:val="20"/>
          <w:szCs w:val="20"/>
          <w:lang w:bidi="ar-EG"/>
        </w:rPr>
        <w:t>officinalis</w:t>
      </w:r>
      <w:proofErr w:type="spellEnd"/>
      <w:r w:rsidRPr="004B551C">
        <w:rPr>
          <w:sz w:val="20"/>
          <w:szCs w:val="20"/>
          <w:lang w:bidi="ar-EG"/>
        </w:rPr>
        <w:t>, depending on location and seasonal variations.  Food Chemistry. 100(2):</w:t>
      </w:r>
      <w:r w:rsidRPr="004B551C">
        <w:rPr>
          <w:b/>
          <w:bCs/>
          <w:sz w:val="20"/>
          <w:szCs w:val="20"/>
          <w:lang w:bidi="ar-EG"/>
        </w:rPr>
        <w:t xml:space="preserve"> </w:t>
      </w:r>
      <w:r w:rsidRPr="004B551C">
        <w:rPr>
          <w:sz w:val="20"/>
          <w:szCs w:val="20"/>
          <w:lang w:bidi="ar-EG"/>
        </w:rPr>
        <w:t xml:space="preserve">553 – 559. </w:t>
      </w:r>
    </w:p>
    <w:p w:rsidR="00DE5360" w:rsidRPr="004B551C" w:rsidRDefault="00DE5360" w:rsidP="00CE09F5">
      <w:pPr>
        <w:pStyle w:val="NoSpacing"/>
        <w:numPr>
          <w:ilvl w:val="0"/>
          <w:numId w:val="14"/>
        </w:numPr>
        <w:ind w:left="360"/>
        <w:jc w:val="both"/>
        <w:rPr>
          <w:rFonts w:eastAsia="AdvTimes"/>
          <w:sz w:val="20"/>
          <w:szCs w:val="20"/>
        </w:rPr>
      </w:pPr>
      <w:r w:rsidRPr="004B551C">
        <w:rPr>
          <w:rFonts w:eastAsia="AdvTimes"/>
          <w:sz w:val="20"/>
          <w:szCs w:val="20"/>
        </w:rPr>
        <w:lastRenderedPageBreak/>
        <w:t xml:space="preserve">Davidson, P. M. </w:t>
      </w:r>
      <w:r w:rsidRPr="004B551C">
        <w:rPr>
          <w:rFonts w:eastAsia="AdvTimes"/>
          <w:b/>
          <w:bCs/>
          <w:sz w:val="20"/>
          <w:szCs w:val="20"/>
        </w:rPr>
        <w:t>(1993).</w:t>
      </w:r>
      <w:r w:rsidRPr="004B551C">
        <w:rPr>
          <w:rFonts w:eastAsia="AdvTimes"/>
          <w:sz w:val="20"/>
          <w:szCs w:val="20"/>
        </w:rPr>
        <w:t xml:space="preserve"> </w:t>
      </w:r>
      <w:proofErr w:type="spellStart"/>
      <w:r w:rsidRPr="004B551C">
        <w:rPr>
          <w:rFonts w:eastAsia="AdvTimes"/>
          <w:sz w:val="20"/>
          <w:szCs w:val="20"/>
        </w:rPr>
        <w:t>Parabens</w:t>
      </w:r>
      <w:proofErr w:type="spellEnd"/>
      <w:r w:rsidRPr="004B551C">
        <w:rPr>
          <w:rFonts w:eastAsia="AdvTimes"/>
          <w:sz w:val="20"/>
          <w:szCs w:val="20"/>
        </w:rPr>
        <w:t xml:space="preserve"> and </w:t>
      </w:r>
      <w:proofErr w:type="spellStart"/>
      <w:r w:rsidRPr="004B551C">
        <w:rPr>
          <w:rFonts w:eastAsia="AdvTimes"/>
          <w:sz w:val="20"/>
          <w:szCs w:val="20"/>
        </w:rPr>
        <w:t>phenoli</w:t>
      </w:r>
      <w:proofErr w:type="spellEnd"/>
      <w:r w:rsidRPr="004B551C">
        <w:rPr>
          <w:rFonts w:eastAsia="AdvTimes"/>
          <w:sz w:val="20"/>
          <w:szCs w:val="20"/>
        </w:rPr>
        <w:t xml:space="preserve"> </w:t>
      </w:r>
      <w:proofErr w:type="spellStart"/>
      <w:r w:rsidRPr="004B551C">
        <w:rPr>
          <w:rFonts w:eastAsia="AdvTimes"/>
          <w:sz w:val="20"/>
          <w:szCs w:val="20"/>
        </w:rPr>
        <w:t>compunds.In</w:t>
      </w:r>
      <w:proofErr w:type="spellEnd"/>
      <w:r w:rsidRPr="004B551C">
        <w:rPr>
          <w:rFonts w:eastAsia="AdvTimes"/>
          <w:sz w:val="20"/>
          <w:szCs w:val="20"/>
        </w:rPr>
        <w:t xml:space="preserve">: P. M. Davidson, &amp; A. L. </w:t>
      </w:r>
      <w:proofErr w:type="spellStart"/>
      <w:r w:rsidRPr="004B551C">
        <w:rPr>
          <w:rFonts w:eastAsia="AdvTimes"/>
          <w:sz w:val="20"/>
          <w:szCs w:val="20"/>
        </w:rPr>
        <w:t>Branen</w:t>
      </w:r>
      <w:proofErr w:type="spellEnd"/>
      <w:r w:rsidRPr="004B551C">
        <w:rPr>
          <w:rFonts w:eastAsia="AdvTimes"/>
          <w:sz w:val="20"/>
          <w:szCs w:val="20"/>
        </w:rPr>
        <w:t xml:space="preserve"> (Eds.), Antimicrobials in foods (pp.263 .305).New York, Marcel Dekker, Inc.</w:t>
      </w:r>
    </w:p>
    <w:p w:rsidR="00DE5360" w:rsidRPr="004B551C" w:rsidRDefault="00DE5360" w:rsidP="00CE09F5">
      <w:pPr>
        <w:pStyle w:val="NoSpacing"/>
        <w:numPr>
          <w:ilvl w:val="0"/>
          <w:numId w:val="14"/>
        </w:numPr>
        <w:ind w:left="360"/>
        <w:jc w:val="both"/>
        <w:rPr>
          <w:sz w:val="20"/>
          <w:szCs w:val="20"/>
        </w:rPr>
      </w:pPr>
      <w:r w:rsidRPr="004B551C">
        <w:rPr>
          <w:bCs/>
          <w:sz w:val="20"/>
          <w:szCs w:val="20"/>
        </w:rPr>
        <w:t xml:space="preserve">Finney, D. J. </w:t>
      </w:r>
      <w:r w:rsidRPr="004B551C">
        <w:rPr>
          <w:b/>
          <w:sz w:val="20"/>
          <w:szCs w:val="20"/>
        </w:rPr>
        <w:t>(1971).</w:t>
      </w:r>
      <w:r w:rsidRPr="004B551C">
        <w:rPr>
          <w:sz w:val="20"/>
          <w:szCs w:val="20"/>
        </w:rPr>
        <w:t xml:space="preserve"> </w:t>
      </w:r>
      <w:proofErr w:type="spellStart"/>
      <w:r w:rsidRPr="004B551C">
        <w:rPr>
          <w:sz w:val="20"/>
          <w:szCs w:val="20"/>
        </w:rPr>
        <w:t>Probit</w:t>
      </w:r>
      <w:proofErr w:type="spellEnd"/>
      <w:r w:rsidRPr="004B551C">
        <w:rPr>
          <w:sz w:val="20"/>
          <w:szCs w:val="20"/>
        </w:rPr>
        <w:t xml:space="preserve"> Analysis (3</w:t>
      </w:r>
      <w:r w:rsidRPr="004B551C">
        <w:rPr>
          <w:sz w:val="20"/>
          <w:szCs w:val="20"/>
          <w:vertAlign w:val="superscript"/>
        </w:rPr>
        <w:t>rd</w:t>
      </w:r>
      <w:r w:rsidRPr="004B551C">
        <w:rPr>
          <w:sz w:val="20"/>
          <w:szCs w:val="20"/>
        </w:rPr>
        <w:t xml:space="preserve"> ed. Cambridge Univ. Press, London).</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Fletcher, J.; Bender, C.; </w:t>
      </w:r>
      <w:proofErr w:type="spellStart"/>
      <w:r w:rsidRPr="004B551C">
        <w:rPr>
          <w:sz w:val="20"/>
          <w:szCs w:val="20"/>
        </w:rPr>
        <w:t>Budowle</w:t>
      </w:r>
      <w:proofErr w:type="spellEnd"/>
      <w:r w:rsidRPr="004B551C">
        <w:rPr>
          <w:sz w:val="20"/>
          <w:szCs w:val="20"/>
        </w:rPr>
        <w:t xml:space="preserve">, B.; Cobb, W.T.; Gold, S.E.; </w:t>
      </w:r>
      <w:proofErr w:type="spellStart"/>
      <w:r w:rsidRPr="004B551C">
        <w:rPr>
          <w:sz w:val="20"/>
          <w:szCs w:val="20"/>
        </w:rPr>
        <w:t>Ishimaru</w:t>
      </w:r>
      <w:proofErr w:type="spellEnd"/>
      <w:r w:rsidRPr="004B551C">
        <w:rPr>
          <w:sz w:val="20"/>
          <w:szCs w:val="20"/>
        </w:rPr>
        <w:t xml:space="preserve">, C.A.; Luster, D.; Melcher, U.; </w:t>
      </w:r>
      <w:proofErr w:type="spellStart"/>
      <w:r w:rsidRPr="004B551C">
        <w:rPr>
          <w:sz w:val="20"/>
          <w:szCs w:val="20"/>
        </w:rPr>
        <w:t>Murch</w:t>
      </w:r>
      <w:proofErr w:type="spellEnd"/>
      <w:r w:rsidRPr="004B551C">
        <w:rPr>
          <w:sz w:val="20"/>
          <w:szCs w:val="20"/>
        </w:rPr>
        <w:t xml:space="preserve">, R.; </w:t>
      </w:r>
      <w:proofErr w:type="spellStart"/>
      <w:r w:rsidRPr="004B551C">
        <w:rPr>
          <w:sz w:val="20"/>
          <w:szCs w:val="20"/>
        </w:rPr>
        <w:t>Scherm</w:t>
      </w:r>
      <w:proofErr w:type="spellEnd"/>
      <w:r w:rsidRPr="004B551C">
        <w:rPr>
          <w:sz w:val="20"/>
          <w:szCs w:val="20"/>
        </w:rPr>
        <w:t xml:space="preserve">, H.; Seem, R.C.; Sherwood, J.L.; </w:t>
      </w:r>
      <w:proofErr w:type="spellStart"/>
      <w:r w:rsidRPr="004B551C">
        <w:rPr>
          <w:sz w:val="20"/>
          <w:szCs w:val="20"/>
        </w:rPr>
        <w:t>Sobral</w:t>
      </w:r>
      <w:proofErr w:type="spellEnd"/>
      <w:r w:rsidRPr="004B551C">
        <w:rPr>
          <w:sz w:val="20"/>
          <w:szCs w:val="20"/>
        </w:rPr>
        <w:t xml:space="preserve">, B.W. and </w:t>
      </w:r>
      <w:proofErr w:type="spellStart"/>
      <w:r w:rsidRPr="004B551C">
        <w:rPr>
          <w:sz w:val="20"/>
          <w:szCs w:val="20"/>
        </w:rPr>
        <w:t>Tolin</w:t>
      </w:r>
      <w:proofErr w:type="spellEnd"/>
      <w:r w:rsidRPr="004B551C">
        <w:rPr>
          <w:sz w:val="20"/>
          <w:szCs w:val="20"/>
        </w:rPr>
        <w:t xml:space="preserve">, S.A., </w:t>
      </w:r>
      <w:r w:rsidRPr="004B551C">
        <w:rPr>
          <w:b/>
          <w:bCs/>
          <w:sz w:val="20"/>
          <w:szCs w:val="20"/>
        </w:rPr>
        <w:t>(2006).</w:t>
      </w:r>
      <w:r w:rsidRPr="004B551C">
        <w:rPr>
          <w:sz w:val="20"/>
          <w:szCs w:val="20"/>
        </w:rPr>
        <w:t xml:space="preserve"> Plant pathogen forensics: capabilities, needs, and recommendations. </w:t>
      </w:r>
      <w:proofErr w:type="spellStart"/>
      <w:r w:rsidRPr="004B551C">
        <w:rPr>
          <w:sz w:val="20"/>
          <w:szCs w:val="20"/>
        </w:rPr>
        <w:t>Microbiol</w:t>
      </w:r>
      <w:proofErr w:type="spellEnd"/>
      <w:r w:rsidRPr="004B551C">
        <w:rPr>
          <w:sz w:val="20"/>
          <w:szCs w:val="20"/>
        </w:rPr>
        <w:t>. Mol. Biol.</w:t>
      </w:r>
      <w:r w:rsidR="00A05D85" w:rsidRPr="004B551C">
        <w:rPr>
          <w:sz w:val="20"/>
          <w:szCs w:val="20"/>
        </w:rPr>
        <w:t>,</w:t>
      </w:r>
      <w:r w:rsidRPr="004B551C">
        <w:rPr>
          <w:sz w:val="20"/>
          <w:szCs w:val="20"/>
        </w:rPr>
        <w:t xml:space="preserve"> R 70</w:t>
      </w:r>
      <w:r w:rsidR="00A05D85" w:rsidRPr="004B551C">
        <w:rPr>
          <w:sz w:val="20"/>
          <w:szCs w:val="20"/>
        </w:rPr>
        <w:t>:</w:t>
      </w:r>
      <w:r w:rsidRPr="004B551C">
        <w:rPr>
          <w:sz w:val="20"/>
          <w:szCs w:val="20"/>
        </w:rPr>
        <w:t xml:space="preserve"> 450–471.</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Guillén</w:t>
      </w:r>
      <w:proofErr w:type="spellEnd"/>
      <w:r w:rsidRPr="004B551C">
        <w:rPr>
          <w:sz w:val="20"/>
          <w:szCs w:val="20"/>
        </w:rPr>
        <w:t xml:space="preserve">, F.; Zapata, J.; </w:t>
      </w:r>
      <w:proofErr w:type="spellStart"/>
      <w:r w:rsidRPr="004B551C">
        <w:rPr>
          <w:sz w:val="20"/>
          <w:szCs w:val="20"/>
        </w:rPr>
        <w:t>Martínez</w:t>
      </w:r>
      <w:proofErr w:type="spellEnd"/>
      <w:r w:rsidRPr="004B551C">
        <w:rPr>
          <w:sz w:val="20"/>
          <w:szCs w:val="20"/>
        </w:rPr>
        <w:t xml:space="preserve">-Romero, D.; Castillo, S.; Serrano, M. and Valero, D. </w:t>
      </w:r>
      <w:r w:rsidRPr="004B551C">
        <w:rPr>
          <w:b/>
          <w:bCs/>
          <w:sz w:val="20"/>
          <w:szCs w:val="20"/>
        </w:rPr>
        <w:t>(2007)</w:t>
      </w:r>
      <w:r w:rsidRPr="004B551C">
        <w:rPr>
          <w:sz w:val="20"/>
          <w:szCs w:val="20"/>
        </w:rPr>
        <w:t>. Improvement of the overall quality of table grapes stored under modified atmosphere packaging in combination with natural antimicrobial compounds. J. Food Sci.</w:t>
      </w:r>
      <w:r w:rsidR="00A05D85" w:rsidRPr="004B551C">
        <w:rPr>
          <w:sz w:val="20"/>
          <w:szCs w:val="20"/>
        </w:rPr>
        <w:t>,</w:t>
      </w:r>
      <w:r w:rsidRPr="004B551C">
        <w:rPr>
          <w:sz w:val="20"/>
          <w:szCs w:val="20"/>
        </w:rPr>
        <w:t xml:space="preserve"> 72: 185–190.</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Isman</w:t>
      </w:r>
      <w:proofErr w:type="spellEnd"/>
      <w:r w:rsidRPr="004B551C">
        <w:rPr>
          <w:sz w:val="20"/>
          <w:szCs w:val="20"/>
        </w:rPr>
        <w:t xml:space="preserve">, M.B. </w:t>
      </w:r>
      <w:r w:rsidRPr="004B551C">
        <w:rPr>
          <w:b/>
          <w:bCs/>
          <w:sz w:val="20"/>
          <w:szCs w:val="20"/>
        </w:rPr>
        <w:t>(2000)</w:t>
      </w:r>
      <w:r w:rsidRPr="004B551C">
        <w:rPr>
          <w:sz w:val="20"/>
          <w:szCs w:val="20"/>
        </w:rPr>
        <w:t>. Plant essential oils for pest and disease management. Crop Protect.</w:t>
      </w:r>
      <w:r w:rsidR="00A05D85" w:rsidRPr="004B551C">
        <w:rPr>
          <w:sz w:val="20"/>
          <w:szCs w:val="20"/>
        </w:rPr>
        <w:t>,</w:t>
      </w:r>
      <w:r w:rsidRPr="004B551C">
        <w:rPr>
          <w:sz w:val="20"/>
          <w:szCs w:val="20"/>
        </w:rPr>
        <w:t xml:space="preserve"> 19</w:t>
      </w:r>
      <w:r w:rsidR="00A05D85" w:rsidRPr="004B551C">
        <w:rPr>
          <w:sz w:val="20"/>
          <w:szCs w:val="20"/>
        </w:rPr>
        <w:t>:</w:t>
      </w:r>
      <w:r w:rsidRPr="004B551C">
        <w:rPr>
          <w:sz w:val="20"/>
          <w:szCs w:val="20"/>
        </w:rPr>
        <w:t xml:space="preserve"> 603–608.</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Joong-Hyeop</w:t>
      </w:r>
      <w:proofErr w:type="spellEnd"/>
      <w:r w:rsidRPr="004B551C">
        <w:rPr>
          <w:sz w:val="20"/>
          <w:szCs w:val="20"/>
          <w:lang w:bidi="ar-EG"/>
        </w:rPr>
        <w:t xml:space="preserve">; </w:t>
      </w:r>
      <w:proofErr w:type="spellStart"/>
      <w:r w:rsidRPr="004B551C">
        <w:rPr>
          <w:sz w:val="20"/>
          <w:szCs w:val="20"/>
          <w:lang w:bidi="ar-EG"/>
        </w:rPr>
        <w:t>Gyung</w:t>
      </w:r>
      <w:proofErr w:type="spellEnd"/>
      <w:r w:rsidRPr="004B551C">
        <w:rPr>
          <w:sz w:val="20"/>
          <w:szCs w:val="20"/>
          <w:lang w:bidi="ar-EG"/>
        </w:rPr>
        <w:t xml:space="preserve"> </w:t>
      </w:r>
      <w:proofErr w:type="spellStart"/>
      <w:r w:rsidRPr="004B551C">
        <w:rPr>
          <w:sz w:val="20"/>
          <w:szCs w:val="20"/>
          <w:lang w:bidi="ar-EG"/>
        </w:rPr>
        <w:t>Ja</w:t>
      </w:r>
      <w:proofErr w:type="spellEnd"/>
      <w:r w:rsidRPr="004B551C">
        <w:rPr>
          <w:sz w:val="20"/>
          <w:szCs w:val="20"/>
          <w:lang w:bidi="ar-EG"/>
        </w:rPr>
        <w:t xml:space="preserve"> </w:t>
      </w:r>
      <w:proofErr w:type="spellStart"/>
      <w:r w:rsidRPr="004B551C">
        <w:rPr>
          <w:sz w:val="20"/>
          <w:szCs w:val="20"/>
          <w:lang w:bidi="ar-EG"/>
        </w:rPr>
        <w:t>Chot</w:t>
      </w:r>
      <w:proofErr w:type="spellEnd"/>
      <w:r w:rsidRPr="004B551C">
        <w:rPr>
          <w:sz w:val="20"/>
          <w:szCs w:val="20"/>
          <w:lang w:bidi="ar-EG"/>
        </w:rPr>
        <w:t xml:space="preserve">; </w:t>
      </w:r>
      <w:proofErr w:type="spellStart"/>
      <w:r w:rsidRPr="004B551C">
        <w:rPr>
          <w:sz w:val="20"/>
          <w:szCs w:val="20"/>
          <w:lang w:bidi="ar-EG"/>
        </w:rPr>
        <w:t>Hyang</w:t>
      </w:r>
      <w:proofErr w:type="spellEnd"/>
      <w:r w:rsidRPr="004B551C">
        <w:rPr>
          <w:sz w:val="20"/>
          <w:szCs w:val="20"/>
          <w:lang w:bidi="ar-EG"/>
        </w:rPr>
        <w:t xml:space="preserve"> Burn Lee; </w:t>
      </w:r>
      <w:proofErr w:type="spellStart"/>
      <w:r w:rsidRPr="004B551C">
        <w:rPr>
          <w:sz w:val="20"/>
          <w:szCs w:val="20"/>
          <w:lang w:bidi="ar-EG"/>
        </w:rPr>
        <w:t>Kyoung</w:t>
      </w:r>
      <w:proofErr w:type="spellEnd"/>
      <w:r w:rsidRPr="004B551C">
        <w:rPr>
          <w:sz w:val="20"/>
          <w:szCs w:val="20"/>
          <w:lang w:bidi="ar-EG"/>
        </w:rPr>
        <w:t xml:space="preserve"> Mo Kim; Hack Sung Jung; </w:t>
      </w:r>
      <w:proofErr w:type="spellStart"/>
      <w:r w:rsidRPr="004B551C">
        <w:rPr>
          <w:sz w:val="20"/>
          <w:szCs w:val="20"/>
          <w:lang w:bidi="ar-EG"/>
        </w:rPr>
        <w:t>Seon</w:t>
      </w:r>
      <w:proofErr w:type="spellEnd"/>
      <w:r w:rsidRPr="004B551C">
        <w:rPr>
          <w:sz w:val="20"/>
          <w:szCs w:val="20"/>
          <w:lang w:bidi="ar-EG"/>
        </w:rPr>
        <w:t xml:space="preserve"> Woo Lee; </w:t>
      </w:r>
      <w:proofErr w:type="spellStart"/>
      <w:r w:rsidRPr="004B551C">
        <w:rPr>
          <w:sz w:val="20"/>
          <w:szCs w:val="20"/>
          <w:lang w:bidi="ar-EG"/>
        </w:rPr>
        <w:t>Kyoung</w:t>
      </w:r>
      <w:proofErr w:type="spellEnd"/>
      <w:r w:rsidRPr="004B551C">
        <w:rPr>
          <w:sz w:val="20"/>
          <w:szCs w:val="20"/>
          <w:lang w:bidi="ar-EG"/>
        </w:rPr>
        <w:t xml:space="preserve"> </w:t>
      </w:r>
      <w:proofErr w:type="spellStart"/>
      <w:r w:rsidRPr="004B551C">
        <w:rPr>
          <w:sz w:val="20"/>
          <w:szCs w:val="20"/>
          <w:lang w:bidi="ar-EG"/>
        </w:rPr>
        <w:t>Soo</w:t>
      </w:r>
      <w:proofErr w:type="spellEnd"/>
      <w:r w:rsidRPr="004B551C">
        <w:rPr>
          <w:sz w:val="20"/>
          <w:szCs w:val="20"/>
          <w:lang w:bidi="ar-EG"/>
        </w:rPr>
        <w:t xml:space="preserve"> Jang; </w:t>
      </w:r>
      <w:proofErr w:type="spellStart"/>
      <w:r w:rsidRPr="004B551C">
        <w:rPr>
          <w:sz w:val="20"/>
          <w:szCs w:val="20"/>
          <w:lang w:bidi="ar-EG"/>
        </w:rPr>
        <w:t>Kwang</w:t>
      </w:r>
      <w:proofErr w:type="spellEnd"/>
      <w:r w:rsidRPr="004B551C">
        <w:rPr>
          <w:sz w:val="20"/>
          <w:szCs w:val="20"/>
          <w:lang w:bidi="ar-EG"/>
        </w:rPr>
        <w:t xml:space="preserve"> </w:t>
      </w:r>
      <w:proofErr w:type="spellStart"/>
      <w:r w:rsidRPr="004B551C">
        <w:rPr>
          <w:sz w:val="20"/>
          <w:szCs w:val="20"/>
          <w:lang w:bidi="ar-EG"/>
        </w:rPr>
        <w:t>Yun</w:t>
      </w:r>
      <w:proofErr w:type="spellEnd"/>
      <w:r w:rsidRPr="004B551C">
        <w:rPr>
          <w:sz w:val="20"/>
          <w:szCs w:val="20"/>
          <w:lang w:bidi="ar-EG"/>
        </w:rPr>
        <w:t xml:space="preserve"> Cho and Jin-</w:t>
      </w:r>
      <w:proofErr w:type="spellStart"/>
      <w:r w:rsidRPr="004B551C">
        <w:rPr>
          <w:sz w:val="20"/>
          <w:szCs w:val="20"/>
          <w:lang w:bidi="ar-EG"/>
        </w:rPr>
        <w:t>Cheol</w:t>
      </w:r>
      <w:proofErr w:type="spellEnd"/>
      <w:r w:rsidRPr="004B551C">
        <w:rPr>
          <w:sz w:val="20"/>
          <w:szCs w:val="20"/>
          <w:lang w:bidi="ar-EG"/>
        </w:rPr>
        <w:t xml:space="preserve"> Kim </w:t>
      </w:r>
      <w:r w:rsidRPr="004B551C">
        <w:rPr>
          <w:b/>
          <w:bCs/>
          <w:sz w:val="20"/>
          <w:szCs w:val="20"/>
          <w:lang w:bidi="ar-EG"/>
        </w:rPr>
        <w:t>(2005).</w:t>
      </w:r>
      <w:r w:rsidRPr="004B551C">
        <w:rPr>
          <w:sz w:val="20"/>
          <w:szCs w:val="20"/>
          <w:lang w:bidi="ar-EG"/>
        </w:rPr>
        <w:t xml:space="preserve"> </w:t>
      </w:r>
      <w:proofErr w:type="spellStart"/>
      <w:r w:rsidRPr="004B551C">
        <w:rPr>
          <w:sz w:val="20"/>
          <w:szCs w:val="20"/>
          <w:lang w:bidi="ar-EG"/>
        </w:rPr>
        <w:t>Griseofulvin</w:t>
      </w:r>
      <w:proofErr w:type="spellEnd"/>
      <w:r w:rsidRPr="004B551C">
        <w:rPr>
          <w:sz w:val="20"/>
          <w:szCs w:val="20"/>
          <w:lang w:bidi="ar-EG"/>
        </w:rPr>
        <w:t xml:space="preserve"> from </w:t>
      </w:r>
      <w:proofErr w:type="spellStart"/>
      <w:r w:rsidRPr="004B551C">
        <w:rPr>
          <w:i/>
          <w:iCs/>
          <w:sz w:val="20"/>
          <w:szCs w:val="20"/>
          <w:lang w:bidi="ar-EG"/>
        </w:rPr>
        <w:t>Xylaraia</w:t>
      </w:r>
      <w:proofErr w:type="spellEnd"/>
      <w:r w:rsidRPr="004B551C">
        <w:rPr>
          <w:i/>
          <w:iCs/>
          <w:sz w:val="20"/>
          <w:szCs w:val="20"/>
          <w:lang w:bidi="ar-EG"/>
        </w:rPr>
        <w:t xml:space="preserve"> </w:t>
      </w:r>
      <w:r w:rsidRPr="004B551C">
        <w:rPr>
          <w:sz w:val="20"/>
          <w:szCs w:val="20"/>
          <w:lang w:bidi="ar-EG"/>
        </w:rPr>
        <w:t xml:space="preserve">sp. strain F0010, and </w:t>
      </w:r>
      <w:proofErr w:type="spellStart"/>
      <w:r w:rsidRPr="004B551C">
        <w:rPr>
          <w:sz w:val="20"/>
          <w:szCs w:val="20"/>
          <w:lang w:bidi="ar-EG"/>
        </w:rPr>
        <w:t>endophytic</w:t>
      </w:r>
      <w:proofErr w:type="spellEnd"/>
      <w:r w:rsidRPr="004B551C">
        <w:rPr>
          <w:sz w:val="20"/>
          <w:szCs w:val="20"/>
          <w:lang w:bidi="ar-EG"/>
        </w:rPr>
        <w:t xml:space="preserve"> fungus of </w:t>
      </w:r>
      <w:proofErr w:type="spellStart"/>
      <w:r w:rsidRPr="004B551C">
        <w:rPr>
          <w:i/>
          <w:iCs/>
          <w:sz w:val="20"/>
          <w:szCs w:val="20"/>
          <w:lang w:bidi="ar-EG"/>
        </w:rPr>
        <w:t>Abies</w:t>
      </w:r>
      <w:proofErr w:type="spellEnd"/>
      <w:r w:rsidRPr="004B551C">
        <w:rPr>
          <w:i/>
          <w:iCs/>
          <w:sz w:val="20"/>
          <w:szCs w:val="20"/>
          <w:lang w:bidi="ar-EG"/>
        </w:rPr>
        <w:t xml:space="preserve"> </w:t>
      </w:r>
      <w:proofErr w:type="spellStart"/>
      <w:r w:rsidRPr="004B551C">
        <w:rPr>
          <w:i/>
          <w:iCs/>
          <w:sz w:val="20"/>
          <w:szCs w:val="20"/>
          <w:lang w:bidi="ar-EG"/>
        </w:rPr>
        <w:t>holophylla</w:t>
      </w:r>
      <w:proofErr w:type="spellEnd"/>
      <w:r w:rsidRPr="004B551C">
        <w:rPr>
          <w:i/>
          <w:iCs/>
          <w:sz w:val="20"/>
          <w:szCs w:val="20"/>
          <w:lang w:bidi="ar-EG"/>
        </w:rPr>
        <w:t xml:space="preserve"> </w:t>
      </w:r>
      <w:r w:rsidRPr="004B551C">
        <w:rPr>
          <w:sz w:val="20"/>
          <w:szCs w:val="20"/>
          <w:lang w:bidi="ar-EG"/>
        </w:rPr>
        <w:t xml:space="preserve">and its antifungal activity against plant pathogenic fungi. J. of Microbiological  </w:t>
      </w:r>
      <w:proofErr w:type="spellStart"/>
      <w:r w:rsidRPr="004B551C">
        <w:rPr>
          <w:sz w:val="20"/>
          <w:szCs w:val="20"/>
          <w:lang w:bidi="ar-EG"/>
        </w:rPr>
        <w:t>Biotechnol</w:t>
      </w:r>
      <w:proofErr w:type="spellEnd"/>
      <w:r w:rsidRPr="004B551C">
        <w:rPr>
          <w:sz w:val="20"/>
          <w:szCs w:val="20"/>
          <w:lang w:bidi="ar-EG"/>
        </w:rPr>
        <w:t>., 15(1)</w:t>
      </w:r>
      <w:r w:rsidR="00377E4B" w:rsidRPr="004B551C">
        <w:rPr>
          <w:b/>
          <w:bCs/>
          <w:sz w:val="20"/>
          <w:szCs w:val="20"/>
          <w:lang w:bidi="ar-EG"/>
        </w:rPr>
        <w:t>:</w:t>
      </w:r>
      <w:r w:rsidRPr="004B551C">
        <w:rPr>
          <w:sz w:val="20"/>
          <w:szCs w:val="20"/>
          <w:lang w:bidi="ar-EG"/>
        </w:rPr>
        <w:t xml:space="preserve"> 112 – 117. </w:t>
      </w:r>
    </w:p>
    <w:p w:rsidR="00DE5360" w:rsidRPr="004B551C" w:rsidRDefault="00DE5360" w:rsidP="00CE09F5">
      <w:pPr>
        <w:pStyle w:val="NoSpacing"/>
        <w:numPr>
          <w:ilvl w:val="0"/>
          <w:numId w:val="14"/>
        </w:numPr>
        <w:ind w:left="360"/>
        <w:jc w:val="both"/>
        <w:rPr>
          <w:rFonts w:eastAsia="Batang"/>
          <w:sz w:val="20"/>
          <w:szCs w:val="20"/>
        </w:rPr>
      </w:pPr>
      <w:proofErr w:type="spellStart"/>
      <w:r w:rsidRPr="004B551C">
        <w:rPr>
          <w:rFonts w:eastAsia="Batang"/>
          <w:sz w:val="20"/>
          <w:szCs w:val="20"/>
        </w:rPr>
        <w:t>Kalemba</w:t>
      </w:r>
      <w:proofErr w:type="spellEnd"/>
      <w:r w:rsidRPr="004B551C">
        <w:rPr>
          <w:rFonts w:eastAsia="Batang"/>
          <w:sz w:val="20"/>
          <w:szCs w:val="20"/>
        </w:rPr>
        <w:t xml:space="preserve">, D. and </w:t>
      </w:r>
      <w:proofErr w:type="spellStart"/>
      <w:r w:rsidRPr="004B551C">
        <w:rPr>
          <w:rFonts w:eastAsia="Batang"/>
          <w:sz w:val="20"/>
          <w:szCs w:val="20"/>
        </w:rPr>
        <w:t>Kunicka</w:t>
      </w:r>
      <w:proofErr w:type="spellEnd"/>
      <w:r w:rsidRPr="004B551C">
        <w:rPr>
          <w:rFonts w:eastAsia="Batang"/>
          <w:sz w:val="20"/>
          <w:szCs w:val="20"/>
        </w:rPr>
        <w:t xml:space="preserve">, A. </w:t>
      </w:r>
      <w:r w:rsidRPr="004B551C">
        <w:rPr>
          <w:rFonts w:eastAsia="Batang"/>
          <w:b/>
          <w:bCs/>
          <w:sz w:val="20"/>
          <w:szCs w:val="20"/>
        </w:rPr>
        <w:t xml:space="preserve">(2003). </w:t>
      </w:r>
      <w:r w:rsidRPr="004B551C">
        <w:rPr>
          <w:rFonts w:eastAsia="Batang"/>
          <w:sz w:val="20"/>
          <w:szCs w:val="20"/>
        </w:rPr>
        <w:t xml:space="preserve">Antibacterial and Antifungal Properties of Essential Oils. Current Medicinal Chemistry, 10: 813-829 </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Knobloch</w:t>
      </w:r>
      <w:proofErr w:type="spellEnd"/>
      <w:r w:rsidRPr="004B551C">
        <w:rPr>
          <w:sz w:val="20"/>
          <w:szCs w:val="20"/>
        </w:rPr>
        <w:t xml:space="preserve">, K.; Pauli, A.; </w:t>
      </w:r>
      <w:proofErr w:type="spellStart"/>
      <w:r w:rsidRPr="004B551C">
        <w:rPr>
          <w:sz w:val="20"/>
          <w:szCs w:val="20"/>
        </w:rPr>
        <w:t>Iberl</w:t>
      </w:r>
      <w:proofErr w:type="spellEnd"/>
      <w:r w:rsidRPr="004B551C">
        <w:rPr>
          <w:sz w:val="20"/>
          <w:szCs w:val="20"/>
        </w:rPr>
        <w:t xml:space="preserve">, B.; </w:t>
      </w:r>
      <w:proofErr w:type="spellStart"/>
      <w:r w:rsidRPr="004B551C">
        <w:rPr>
          <w:sz w:val="20"/>
          <w:szCs w:val="20"/>
        </w:rPr>
        <w:t>Weigand</w:t>
      </w:r>
      <w:proofErr w:type="spellEnd"/>
      <w:r w:rsidRPr="004B551C">
        <w:rPr>
          <w:sz w:val="20"/>
          <w:szCs w:val="20"/>
        </w:rPr>
        <w:t xml:space="preserve">, H. and Weis, N. </w:t>
      </w:r>
      <w:r w:rsidRPr="004B551C">
        <w:rPr>
          <w:b/>
          <w:bCs/>
          <w:sz w:val="20"/>
          <w:szCs w:val="20"/>
        </w:rPr>
        <w:t xml:space="preserve">(1989).  </w:t>
      </w:r>
      <w:r w:rsidRPr="004B551C">
        <w:rPr>
          <w:sz w:val="20"/>
          <w:szCs w:val="20"/>
        </w:rPr>
        <w:t xml:space="preserve">Antibacterial and antifungal properties of essential oil components. J. </w:t>
      </w:r>
      <w:proofErr w:type="spellStart"/>
      <w:r w:rsidRPr="004B551C">
        <w:rPr>
          <w:sz w:val="20"/>
          <w:szCs w:val="20"/>
        </w:rPr>
        <w:t>Essent</w:t>
      </w:r>
      <w:proofErr w:type="spellEnd"/>
      <w:r w:rsidRPr="004B551C">
        <w:rPr>
          <w:sz w:val="20"/>
          <w:szCs w:val="20"/>
        </w:rPr>
        <w:t>. Oil Res.</w:t>
      </w:r>
      <w:r w:rsidR="00A05D85" w:rsidRPr="004B551C">
        <w:rPr>
          <w:sz w:val="20"/>
          <w:szCs w:val="20"/>
        </w:rPr>
        <w:t>,</w:t>
      </w:r>
      <w:r w:rsidRPr="004B551C">
        <w:rPr>
          <w:sz w:val="20"/>
          <w:szCs w:val="20"/>
        </w:rPr>
        <w:t xml:space="preserve"> 1</w:t>
      </w:r>
      <w:r w:rsidRPr="004B551C">
        <w:rPr>
          <w:b/>
          <w:bCs/>
          <w:sz w:val="20"/>
          <w:szCs w:val="20"/>
        </w:rPr>
        <w:t>:</w:t>
      </w:r>
      <w:r w:rsidRPr="004B551C">
        <w:rPr>
          <w:sz w:val="20"/>
          <w:szCs w:val="20"/>
        </w:rPr>
        <w:t>118-119.</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Kumar,  R.; </w:t>
      </w:r>
      <w:proofErr w:type="spellStart"/>
      <w:r w:rsidRPr="004B551C">
        <w:rPr>
          <w:sz w:val="20"/>
          <w:szCs w:val="20"/>
        </w:rPr>
        <w:t>Shukla</w:t>
      </w:r>
      <w:proofErr w:type="spellEnd"/>
      <w:r w:rsidRPr="004B551C">
        <w:rPr>
          <w:sz w:val="20"/>
          <w:szCs w:val="20"/>
        </w:rPr>
        <w:t xml:space="preserve">, R.; Singh, P.; Prasad, C.S. and </w:t>
      </w:r>
      <w:proofErr w:type="spellStart"/>
      <w:r w:rsidRPr="004B551C">
        <w:rPr>
          <w:sz w:val="20"/>
          <w:szCs w:val="20"/>
        </w:rPr>
        <w:t>Dubey</w:t>
      </w:r>
      <w:proofErr w:type="spellEnd"/>
      <w:r w:rsidRPr="004B551C">
        <w:rPr>
          <w:sz w:val="20"/>
          <w:szCs w:val="20"/>
        </w:rPr>
        <w:t xml:space="preserve">, N.K. </w:t>
      </w:r>
      <w:r w:rsidRPr="004B551C">
        <w:rPr>
          <w:b/>
          <w:bCs/>
          <w:sz w:val="20"/>
          <w:szCs w:val="20"/>
        </w:rPr>
        <w:t>(2008)</w:t>
      </w:r>
      <w:r w:rsidRPr="004B551C">
        <w:rPr>
          <w:sz w:val="20"/>
          <w:szCs w:val="20"/>
        </w:rPr>
        <w:t xml:space="preserve">. Assessment of </w:t>
      </w:r>
      <w:r w:rsidRPr="004B551C">
        <w:rPr>
          <w:i/>
          <w:iCs/>
          <w:sz w:val="20"/>
          <w:szCs w:val="20"/>
        </w:rPr>
        <w:t xml:space="preserve">Thymus </w:t>
      </w:r>
      <w:proofErr w:type="spellStart"/>
      <w:r w:rsidRPr="004B551C">
        <w:rPr>
          <w:i/>
          <w:iCs/>
          <w:sz w:val="20"/>
          <w:szCs w:val="20"/>
        </w:rPr>
        <w:t>vulgaris</w:t>
      </w:r>
      <w:proofErr w:type="spellEnd"/>
      <w:r w:rsidRPr="004B551C">
        <w:rPr>
          <w:sz w:val="20"/>
          <w:szCs w:val="20"/>
        </w:rPr>
        <w:t xml:space="preserve"> L. essential oil as a safe botanical preservative against post harvest fungal infestation of food commodities. </w:t>
      </w:r>
      <w:proofErr w:type="spellStart"/>
      <w:r w:rsidRPr="004B551C">
        <w:rPr>
          <w:sz w:val="20"/>
          <w:szCs w:val="20"/>
        </w:rPr>
        <w:t>Innov</w:t>
      </w:r>
      <w:proofErr w:type="spellEnd"/>
      <w:r w:rsidRPr="004B551C">
        <w:rPr>
          <w:sz w:val="20"/>
          <w:szCs w:val="20"/>
        </w:rPr>
        <w:t xml:space="preserve">.  Food  Sci. </w:t>
      </w:r>
      <w:proofErr w:type="spellStart"/>
      <w:r w:rsidRPr="004B551C">
        <w:rPr>
          <w:sz w:val="20"/>
          <w:szCs w:val="20"/>
        </w:rPr>
        <w:t>Emerg</w:t>
      </w:r>
      <w:proofErr w:type="spellEnd"/>
      <w:r w:rsidRPr="004B551C">
        <w:rPr>
          <w:sz w:val="20"/>
          <w:szCs w:val="20"/>
        </w:rPr>
        <w:t>. Technol.</w:t>
      </w:r>
      <w:r w:rsidR="00A05D85" w:rsidRPr="004B551C">
        <w:rPr>
          <w:sz w:val="20"/>
          <w:szCs w:val="20"/>
        </w:rPr>
        <w:t>,</w:t>
      </w:r>
      <w:r w:rsidRPr="004B551C">
        <w:rPr>
          <w:sz w:val="20"/>
          <w:szCs w:val="20"/>
        </w:rPr>
        <w:t xml:space="preserve"> 9: 575–580.</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Kurita, N.; Miyaji, M.; </w:t>
      </w:r>
      <w:proofErr w:type="spellStart"/>
      <w:r w:rsidRPr="004B551C">
        <w:rPr>
          <w:sz w:val="20"/>
          <w:szCs w:val="20"/>
        </w:rPr>
        <w:t>Kurane</w:t>
      </w:r>
      <w:proofErr w:type="spellEnd"/>
      <w:r w:rsidRPr="004B551C">
        <w:rPr>
          <w:sz w:val="20"/>
          <w:szCs w:val="20"/>
        </w:rPr>
        <w:t xml:space="preserve">, R. and </w:t>
      </w:r>
      <w:proofErr w:type="spellStart"/>
      <w:r w:rsidRPr="004B551C">
        <w:rPr>
          <w:sz w:val="20"/>
          <w:szCs w:val="20"/>
        </w:rPr>
        <w:t>Takahara</w:t>
      </w:r>
      <w:proofErr w:type="spellEnd"/>
      <w:r w:rsidRPr="004B551C">
        <w:rPr>
          <w:sz w:val="20"/>
          <w:szCs w:val="20"/>
        </w:rPr>
        <w:t xml:space="preserve">, Y. </w:t>
      </w:r>
      <w:r w:rsidRPr="004B551C">
        <w:rPr>
          <w:b/>
          <w:bCs/>
          <w:sz w:val="20"/>
          <w:szCs w:val="20"/>
        </w:rPr>
        <w:t>(1981).</w:t>
      </w:r>
      <w:r w:rsidRPr="004B551C">
        <w:rPr>
          <w:sz w:val="20"/>
          <w:szCs w:val="20"/>
        </w:rPr>
        <w:t xml:space="preserve"> Antifungal activity of components of essential oils. Agric. Biol. Chem</w:t>
      </w:r>
      <w:r w:rsidRPr="004B551C">
        <w:rPr>
          <w:b/>
          <w:bCs/>
          <w:sz w:val="20"/>
          <w:szCs w:val="20"/>
        </w:rPr>
        <w:t>.</w:t>
      </w:r>
      <w:r w:rsidR="00273B51" w:rsidRPr="004B551C">
        <w:rPr>
          <w:b/>
          <w:bCs/>
          <w:sz w:val="20"/>
          <w:szCs w:val="20"/>
        </w:rPr>
        <w:t>,</w:t>
      </w:r>
      <w:r w:rsidRPr="004B551C">
        <w:rPr>
          <w:b/>
          <w:bCs/>
          <w:sz w:val="20"/>
          <w:szCs w:val="20"/>
        </w:rPr>
        <w:t xml:space="preserve"> </w:t>
      </w:r>
      <w:r w:rsidRPr="004B551C">
        <w:rPr>
          <w:sz w:val="20"/>
          <w:szCs w:val="20"/>
        </w:rPr>
        <w:t>45: 945-952.</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Lee, S.O.; </w:t>
      </w:r>
      <w:proofErr w:type="spellStart"/>
      <w:r w:rsidRPr="004B551C">
        <w:rPr>
          <w:sz w:val="20"/>
          <w:szCs w:val="20"/>
        </w:rPr>
        <w:t>Choi</w:t>
      </w:r>
      <w:proofErr w:type="spellEnd"/>
      <w:r w:rsidRPr="004B551C">
        <w:rPr>
          <w:sz w:val="20"/>
          <w:szCs w:val="20"/>
        </w:rPr>
        <w:t xml:space="preserve">, G.J.; Jang, K.S.; Lim, H. K.; Cho, K.Y. and Kim, J.C. </w:t>
      </w:r>
      <w:r w:rsidRPr="004B551C">
        <w:rPr>
          <w:b/>
          <w:bCs/>
          <w:sz w:val="20"/>
          <w:szCs w:val="20"/>
        </w:rPr>
        <w:t>(2007)</w:t>
      </w:r>
      <w:r w:rsidRPr="004B551C">
        <w:rPr>
          <w:sz w:val="20"/>
          <w:szCs w:val="20"/>
        </w:rPr>
        <w:t xml:space="preserve">. Antifungal activity of five plant essential oils as fumigant against postharvest and </w:t>
      </w:r>
      <w:proofErr w:type="spellStart"/>
      <w:r w:rsidRPr="004B551C">
        <w:rPr>
          <w:sz w:val="20"/>
          <w:szCs w:val="20"/>
        </w:rPr>
        <w:t>soilborne</w:t>
      </w:r>
      <w:proofErr w:type="spellEnd"/>
      <w:r w:rsidRPr="004B551C">
        <w:rPr>
          <w:sz w:val="20"/>
          <w:szCs w:val="20"/>
        </w:rPr>
        <w:t xml:space="preserve"> plant pathogenic fungi. Plant </w:t>
      </w:r>
      <w:proofErr w:type="spellStart"/>
      <w:r w:rsidRPr="004B551C">
        <w:rPr>
          <w:sz w:val="20"/>
          <w:szCs w:val="20"/>
        </w:rPr>
        <w:t>Pathol</w:t>
      </w:r>
      <w:proofErr w:type="spellEnd"/>
      <w:r w:rsidRPr="004B551C">
        <w:rPr>
          <w:sz w:val="20"/>
          <w:szCs w:val="20"/>
        </w:rPr>
        <w:t>. J.</w:t>
      </w:r>
      <w:r w:rsidR="00273B51" w:rsidRPr="004B551C">
        <w:rPr>
          <w:sz w:val="20"/>
          <w:szCs w:val="20"/>
        </w:rPr>
        <w:t>,</w:t>
      </w:r>
      <w:r w:rsidRPr="004B551C">
        <w:rPr>
          <w:sz w:val="20"/>
          <w:szCs w:val="20"/>
        </w:rPr>
        <w:t xml:space="preserve"> 23: 97–102.</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Lovkova</w:t>
      </w:r>
      <w:proofErr w:type="spellEnd"/>
      <w:r w:rsidRPr="004B551C">
        <w:rPr>
          <w:sz w:val="20"/>
          <w:szCs w:val="20"/>
        </w:rPr>
        <w:t xml:space="preserve">, M.Y.A.; </w:t>
      </w:r>
      <w:proofErr w:type="spellStart"/>
      <w:r w:rsidRPr="004B551C">
        <w:rPr>
          <w:sz w:val="20"/>
          <w:szCs w:val="20"/>
        </w:rPr>
        <w:t>Buzuk</w:t>
      </w:r>
      <w:proofErr w:type="spellEnd"/>
      <w:r w:rsidRPr="004B551C">
        <w:rPr>
          <w:sz w:val="20"/>
          <w:szCs w:val="20"/>
        </w:rPr>
        <w:t xml:space="preserve">, G.N.; </w:t>
      </w:r>
      <w:proofErr w:type="spellStart"/>
      <w:r w:rsidRPr="004B551C">
        <w:rPr>
          <w:sz w:val="20"/>
          <w:szCs w:val="20"/>
        </w:rPr>
        <w:t>Sokolova</w:t>
      </w:r>
      <w:proofErr w:type="spellEnd"/>
      <w:r w:rsidRPr="004B551C">
        <w:rPr>
          <w:sz w:val="20"/>
          <w:szCs w:val="20"/>
        </w:rPr>
        <w:t xml:space="preserve">, S.M. and </w:t>
      </w:r>
      <w:proofErr w:type="spellStart"/>
      <w:r w:rsidRPr="004B551C">
        <w:rPr>
          <w:sz w:val="20"/>
          <w:szCs w:val="20"/>
        </w:rPr>
        <w:t>Klimenteva</w:t>
      </w:r>
      <w:proofErr w:type="spellEnd"/>
      <w:r w:rsidRPr="004B551C">
        <w:rPr>
          <w:sz w:val="20"/>
          <w:szCs w:val="20"/>
        </w:rPr>
        <w:t>, N.I.</w:t>
      </w:r>
      <w:r w:rsidRPr="004B551C">
        <w:rPr>
          <w:b/>
          <w:bCs/>
          <w:sz w:val="20"/>
          <w:szCs w:val="20"/>
        </w:rPr>
        <w:t xml:space="preserve"> (2001)</w:t>
      </w:r>
      <w:r w:rsidRPr="004B551C">
        <w:rPr>
          <w:sz w:val="20"/>
          <w:szCs w:val="20"/>
        </w:rPr>
        <w:t xml:space="preserve">. Chemical features of medicinal plants. Appl. </w:t>
      </w:r>
      <w:proofErr w:type="spellStart"/>
      <w:r w:rsidRPr="004B551C">
        <w:rPr>
          <w:sz w:val="20"/>
          <w:szCs w:val="20"/>
        </w:rPr>
        <w:t>Biochem</w:t>
      </w:r>
      <w:proofErr w:type="spellEnd"/>
      <w:r w:rsidRPr="004B551C">
        <w:rPr>
          <w:sz w:val="20"/>
          <w:szCs w:val="20"/>
        </w:rPr>
        <w:t xml:space="preserve">. </w:t>
      </w:r>
      <w:proofErr w:type="spellStart"/>
      <w:r w:rsidRPr="004B551C">
        <w:rPr>
          <w:sz w:val="20"/>
          <w:szCs w:val="20"/>
        </w:rPr>
        <w:t>Microbiol</w:t>
      </w:r>
      <w:proofErr w:type="spellEnd"/>
      <w:r w:rsidRPr="004B551C">
        <w:rPr>
          <w:sz w:val="20"/>
          <w:szCs w:val="20"/>
        </w:rPr>
        <w:t>.</w:t>
      </w:r>
      <w:r w:rsidR="00273B51" w:rsidRPr="004B551C">
        <w:rPr>
          <w:sz w:val="20"/>
          <w:szCs w:val="20"/>
        </w:rPr>
        <w:t>,</w:t>
      </w:r>
      <w:r w:rsidRPr="004B551C">
        <w:rPr>
          <w:sz w:val="20"/>
          <w:szCs w:val="20"/>
        </w:rPr>
        <w:t xml:space="preserve"> 37: 229–237.</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Magan</w:t>
      </w:r>
      <w:proofErr w:type="spellEnd"/>
      <w:r w:rsidRPr="004B551C">
        <w:rPr>
          <w:sz w:val="20"/>
          <w:szCs w:val="20"/>
        </w:rPr>
        <w:t xml:space="preserve">, N., </w:t>
      </w:r>
      <w:proofErr w:type="spellStart"/>
      <w:r w:rsidRPr="004B551C">
        <w:rPr>
          <w:sz w:val="20"/>
          <w:szCs w:val="20"/>
        </w:rPr>
        <w:t>Sanchis</w:t>
      </w:r>
      <w:proofErr w:type="spellEnd"/>
      <w:r w:rsidRPr="004B551C">
        <w:rPr>
          <w:sz w:val="20"/>
          <w:szCs w:val="20"/>
        </w:rPr>
        <w:t xml:space="preserve">, V., </w:t>
      </w:r>
      <w:proofErr w:type="spellStart"/>
      <w:r w:rsidRPr="004B551C">
        <w:rPr>
          <w:sz w:val="20"/>
          <w:szCs w:val="20"/>
        </w:rPr>
        <w:t>Akdred</w:t>
      </w:r>
      <w:proofErr w:type="spellEnd"/>
      <w:r w:rsidRPr="004B551C">
        <w:rPr>
          <w:sz w:val="20"/>
          <w:szCs w:val="20"/>
        </w:rPr>
        <w:t xml:space="preserve">, D., </w:t>
      </w:r>
      <w:r w:rsidRPr="004B551C">
        <w:rPr>
          <w:b/>
          <w:bCs/>
          <w:sz w:val="20"/>
          <w:szCs w:val="20"/>
        </w:rPr>
        <w:t>(2004).</w:t>
      </w:r>
      <w:r w:rsidRPr="004B551C">
        <w:rPr>
          <w:sz w:val="20"/>
          <w:szCs w:val="20"/>
        </w:rPr>
        <w:t xml:space="preserve"> Role of spoilage fungi in seed deterioration. In: Aurora, </w:t>
      </w:r>
      <w:r w:rsidRPr="004B551C">
        <w:rPr>
          <w:sz w:val="20"/>
          <w:szCs w:val="20"/>
        </w:rPr>
        <w:lastRenderedPageBreak/>
        <w:t xml:space="preserve">D.K. (Ed.), Fungal Biotechnology in Agricultural, Food and Environmental Applications. </w:t>
      </w:r>
      <w:proofErr w:type="spellStart"/>
      <w:r w:rsidRPr="004B551C">
        <w:rPr>
          <w:sz w:val="20"/>
          <w:szCs w:val="20"/>
        </w:rPr>
        <w:t>Marcell</w:t>
      </w:r>
      <w:proofErr w:type="spellEnd"/>
      <w:r w:rsidRPr="004B551C">
        <w:rPr>
          <w:sz w:val="20"/>
          <w:szCs w:val="20"/>
        </w:rPr>
        <w:t xml:space="preserve"> Dekker, pp. 311–323. Chapter 28.</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Martínez</w:t>
      </w:r>
      <w:proofErr w:type="spellEnd"/>
      <w:r w:rsidRPr="004B551C">
        <w:rPr>
          <w:sz w:val="20"/>
          <w:szCs w:val="20"/>
        </w:rPr>
        <w:t xml:space="preserve">-Romero, D.; Castillo, S.; Serrano, M.; </w:t>
      </w:r>
      <w:proofErr w:type="spellStart"/>
      <w:r w:rsidRPr="004B551C">
        <w:rPr>
          <w:sz w:val="20"/>
          <w:szCs w:val="20"/>
        </w:rPr>
        <w:t>Valverde</w:t>
      </w:r>
      <w:proofErr w:type="spellEnd"/>
      <w:r w:rsidRPr="004B551C">
        <w:rPr>
          <w:sz w:val="20"/>
          <w:szCs w:val="20"/>
        </w:rPr>
        <w:t xml:space="preserve">, J.M.; </w:t>
      </w:r>
      <w:proofErr w:type="spellStart"/>
      <w:r w:rsidRPr="004B551C">
        <w:rPr>
          <w:sz w:val="20"/>
          <w:szCs w:val="20"/>
        </w:rPr>
        <w:t>Guillén</w:t>
      </w:r>
      <w:proofErr w:type="spellEnd"/>
      <w:r w:rsidRPr="004B551C">
        <w:rPr>
          <w:sz w:val="20"/>
          <w:szCs w:val="20"/>
        </w:rPr>
        <w:t xml:space="preserve">, F. and Valero, D. </w:t>
      </w:r>
      <w:r w:rsidRPr="004B551C">
        <w:rPr>
          <w:b/>
          <w:bCs/>
          <w:sz w:val="20"/>
          <w:szCs w:val="20"/>
        </w:rPr>
        <w:t>(2004)</w:t>
      </w:r>
      <w:r w:rsidRPr="004B551C">
        <w:rPr>
          <w:sz w:val="20"/>
          <w:szCs w:val="20"/>
        </w:rPr>
        <w:t xml:space="preserve">. The use of natural aromatic essential oils helps to maintain postharvest quality of ‘Crimson’ table grapes. p. 1723–1727. In: Proc. 5th Int. Postharvest </w:t>
      </w:r>
      <w:proofErr w:type="spellStart"/>
      <w:r w:rsidRPr="004B551C">
        <w:rPr>
          <w:sz w:val="20"/>
          <w:szCs w:val="20"/>
        </w:rPr>
        <w:t>Symp</w:t>
      </w:r>
      <w:proofErr w:type="spellEnd"/>
      <w:r w:rsidRPr="004B551C">
        <w:rPr>
          <w:sz w:val="20"/>
          <w:szCs w:val="20"/>
        </w:rPr>
        <w:t>. 6–11 June 2004, Verona, Italy.</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Misra</w:t>
      </w:r>
      <w:proofErr w:type="spellEnd"/>
      <w:r w:rsidRPr="004B551C">
        <w:rPr>
          <w:sz w:val="20"/>
          <w:szCs w:val="20"/>
        </w:rPr>
        <w:t xml:space="preserve">, G. and </w:t>
      </w:r>
      <w:proofErr w:type="spellStart"/>
      <w:r w:rsidRPr="004B551C">
        <w:rPr>
          <w:sz w:val="20"/>
          <w:szCs w:val="20"/>
        </w:rPr>
        <w:t>Pavlostathis</w:t>
      </w:r>
      <w:proofErr w:type="spellEnd"/>
      <w:r w:rsidRPr="004B551C">
        <w:rPr>
          <w:sz w:val="20"/>
          <w:szCs w:val="20"/>
        </w:rPr>
        <w:t xml:space="preserve">, S.G. </w:t>
      </w:r>
      <w:r w:rsidRPr="004B551C">
        <w:rPr>
          <w:b/>
          <w:bCs/>
          <w:sz w:val="20"/>
          <w:szCs w:val="20"/>
        </w:rPr>
        <w:t>(1997)</w:t>
      </w:r>
      <w:r w:rsidRPr="004B551C">
        <w:rPr>
          <w:sz w:val="20"/>
          <w:szCs w:val="20"/>
        </w:rPr>
        <w:t xml:space="preserve">. Biodegradation kinetics of </w:t>
      </w:r>
      <w:proofErr w:type="spellStart"/>
      <w:r w:rsidRPr="004B551C">
        <w:rPr>
          <w:sz w:val="20"/>
          <w:szCs w:val="20"/>
        </w:rPr>
        <w:t>monoterpenes</w:t>
      </w:r>
      <w:proofErr w:type="spellEnd"/>
      <w:r w:rsidRPr="004B551C">
        <w:rPr>
          <w:sz w:val="20"/>
          <w:szCs w:val="20"/>
        </w:rPr>
        <w:t xml:space="preserve"> in liquid and soil-slurry systems. Appl. </w:t>
      </w:r>
      <w:proofErr w:type="spellStart"/>
      <w:r w:rsidRPr="004B551C">
        <w:rPr>
          <w:sz w:val="20"/>
          <w:szCs w:val="20"/>
        </w:rPr>
        <w:t>Microbiol</w:t>
      </w:r>
      <w:proofErr w:type="spellEnd"/>
      <w:r w:rsidRPr="004B551C">
        <w:rPr>
          <w:sz w:val="20"/>
          <w:szCs w:val="20"/>
        </w:rPr>
        <w:t xml:space="preserve">. </w:t>
      </w:r>
      <w:proofErr w:type="spellStart"/>
      <w:r w:rsidRPr="004B551C">
        <w:rPr>
          <w:sz w:val="20"/>
          <w:szCs w:val="20"/>
        </w:rPr>
        <w:t>Biotechnol</w:t>
      </w:r>
      <w:proofErr w:type="spellEnd"/>
      <w:r w:rsidRPr="004B551C">
        <w:rPr>
          <w:sz w:val="20"/>
          <w:szCs w:val="20"/>
        </w:rPr>
        <w:t>.</w:t>
      </w:r>
      <w:r w:rsidR="00273B51" w:rsidRPr="004B551C">
        <w:rPr>
          <w:sz w:val="20"/>
          <w:szCs w:val="20"/>
        </w:rPr>
        <w:t>,</w:t>
      </w:r>
      <w:r w:rsidRPr="004B551C">
        <w:rPr>
          <w:sz w:val="20"/>
          <w:szCs w:val="20"/>
        </w:rPr>
        <w:t xml:space="preserve"> 47</w:t>
      </w:r>
      <w:r w:rsidR="00273B51" w:rsidRPr="004B551C">
        <w:rPr>
          <w:sz w:val="20"/>
          <w:szCs w:val="20"/>
        </w:rPr>
        <w:t>:</w:t>
      </w:r>
      <w:r w:rsidRPr="004B551C">
        <w:rPr>
          <w:sz w:val="20"/>
          <w:szCs w:val="20"/>
        </w:rPr>
        <w:t xml:space="preserve"> 572–577.</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Montesinos</w:t>
      </w:r>
      <w:proofErr w:type="spellEnd"/>
      <w:r w:rsidRPr="004B551C">
        <w:rPr>
          <w:sz w:val="20"/>
          <w:szCs w:val="20"/>
        </w:rPr>
        <w:t xml:space="preserve">, E., </w:t>
      </w:r>
      <w:r w:rsidRPr="004B551C">
        <w:rPr>
          <w:b/>
          <w:bCs/>
          <w:sz w:val="20"/>
          <w:szCs w:val="20"/>
        </w:rPr>
        <w:t>(2003).</w:t>
      </w:r>
      <w:r w:rsidRPr="004B551C">
        <w:rPr>
          <w:sz w:val="20"/>
          <w:szCs w:val="20"/>
        </w:rPr>
        <w:t xml:space="preserve"> Development, registration and commercialization of microbial pesticides for plant protection. Int. </w:t>
      </w:r>
      <w:proofErr w:type="spellStart"/>
      <w:r w:rsidRPr="004B551C">
        <w:rPr>
          <w:sz w:val="20"/>
          <w:szCs w:val="20"/>
        </w:rPr>
        <w:t>Microbiol</w:t>
      </w:r>
      <w:proofErr w:type="spellEnd"/>
      <w:r w:rsidRPr="004B551C">
        <w:rPr>
          <w:sz w:val="20"/>
          <w:szCs w:val="20"/>
        </w:rPr>
        <w:t>.</w:t>
      </w:r>
      <w:r w:rsidR="00273B51" w:rsidRPr="004B551C">
        <w:rPr>
          <w:sz w:val="20"/>
          <w:szCs w:val="20"/>
        </w:rPr>
        <w:t>,</w:t>
      </w:r>
      <w:r w:rsidRPr="004B551C">
        <w:rPr>
          <w:sz w:val="20"/>
          <w:szCs w:val="20"/>
        </w:rPr>
        <w:t xml:space="preserve"> 6</w:t>
      </w:r>
      <w:r w:rsidR="00273B51" w:rsidRPr="004B551C">
        <w:rPr>
          <w:sz w:val="20"/>
          <w:szCs w:val="20"/>
        </w:rPr>
        <w:t>:</w:t>
      </w:r>
      <w:r w:rsidRPr="004B551C">
        <w:rPr>
          <w:sz w:val="20"/>
          <w:szCs w:val="20"/>
        </w:rPr>
        <w:t xml:space="preserve"> 245–252.</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Nickelsen</w:t>
      </w:r>
      <w:proofErr w:type="spellEnd"/>
      <w:r w:rsidRPr="004B551C">
        <w:rPr>
          <w:sz w:val="20"/>
          <w:szCs w:val="20"/>
        </w:rPr>
        <w:t xml:space="preserve">, L., </w:t>
      </w:r>
      <w:proofErr w:type="spellStart"/>
      <w:r w:rsidRPr="004B551C">
        <w:rPr>
          <w:sz w:val="20"/>
          <w:szCs w:val="20"/>
        </w:rPr>
        <w:t>Jakobsen</w:t>
      </w:r>
      <w:proofErr w:type="spellEnd"/>
      <w:r w:rsidRPr="004B551C">
        <w:rPr>
          <w:sz w:val="20"/>
          <w:szCs w:val="20"/>
        </w:rPr>
        <w:t xml:space="preserve">, M., </w:t>
      </w:r>
      <w:r w:rsidRPr="004B551C">
        <w:rPr>
          <w:b/>
          <w:bCs/>
          <w:sz w:val="20"/>
          <w:szCs w:val="20"/>
        </w:rPr>
        <w:t>(1997).</w:t>
      </w:r>
      <w:r w:rsidRPr="004B551C">
        <w:rPr>
          <w:sz w:val="20"/>
          <w:szCs w:val="20"/>
        </w:rPr>
        <w:t xml:space="preserve"> Quantitative risk analysis of maize product. Food Control</w:t>
      </w:r>
      <w:r w:rsidR="00273B51" w:rsidRPr="004B551C">
        <w:rPr>
          <w:sz w:val="20"/>
          <w:szCs w:val="20"/>
        </w:rPr>
        <w:t>,</w:t>
      </w:r>
      <w:r w:rsidRPr="004B551C">
        <w:rPr>
          <w:sz w:val="20"/>
          <w:szCs w:val="20"/>
        </w:rPr>
        <w:t xml:space="preserve"> 3</w:t>
      </w:r>
      <w:r w:rsidR="00273B51" w:rsidRPr="004B551C">
        <w:rPr>
          <w:sz w:val="20"/>
          <w:szCs w:val="20"/>
        </w:rPr>
        <w:t>:</w:t>
      </w:r>
      <w:r w:rsidRPr="004B551C">
        <w:rPr>
          <w:sz w:val="20"/>
          <w:szCs w:val="20"/>
        </w:rPr>
        <w:t xml:space="preserve"> 149–159.</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Pelczar</w:t>
      </w:r>
      <w:proofErr w:type="spellEnd"/>
      <w:r w:rsidRPr="004B551C">
        <w:rPr>
          <w:sz w:val="20"/>
          <w:szCs w:val="20"/>
        </w:rPr>
        <w:t>, M. J.; Chan, E. C. S. and Krieg, N. R.</w:t>
      </w:r>
      <w:r w:rsidRPr="004B551C">
        <w:rPr>
          <w:b/>
          <w:bCs/>
          <w:sz w:val="20"/>
          <w:szCs w:val="20"/>
        </w:rPr>
        <w:t xml:space="preserve"> (1993).</w:t>
      </w:r>
      <w:r w:rsidRPr="004B551C">
        <w:rPr>
          <w:sz w:val="20"/>
          <w:szCs w:val="20"/>
        </w:rPr>
        <w:t xml:space="preserve"> Control of microorganism: Chemical agents. In Microbiology: Concepts and Applications; McGraw-Hill: New York, Pp 221- 241.</w:t>
      </w:r>
    </w:p>
    <w:p w:rsidR="00DE5360" w:rsidRPr="004B551C" w:rsidRDefault="00DE5360" w:rsidP="00CE09F5">
      <w:pPr>
        <w:pStyle w:val="NoSpacing"/>
        <w:numPr>
          <w:ilvl w:val="0"/>
          <w:numId w:val="14"/>
        </w:numPr>
        <w:ind w:left="360"/>
        <w:jc w:val="both"/>
        <w:rPr>
          <w:sz w:val="20"/>
          <w:szCs w:val="20"/>
          <w:lang w:bidi="ar-EG"/>
        </w:rPr>
      </w:pPr>
      <w:r w:rsidRPr="004B551C">
        <w:rPr>
          <w:sz w:val="20"/>
          <w:szCs w:val="20"/>
          <w:lang w:bidi="ar-EG"/>
        </w:rPr>
        <w:t xml:space="preserve">Prudent, D; </w:t>
      </w:r>
      <w:proofErr w:type="spellStart"/>
      <w:r w:rsidRPr="004B551C">
        <w:rPr>
          <w:sz w:val="20"/>
          <w:szCs w:val="20"/>
          <w:lang w:bidi="ar-EG"/>
        </w:rPr>
        <w:t>Perineau</w:t>
      </w:r>
      <w:proofErr w:type="spellEnd"/>
      <w:r w:rsidRPr="004B551C">
        <w:rPr>
          <w:sz w:val="20"/>
          <w:szCs w:val="20"/>
          <w:lang w:bidi="ar-EG"/>
        </w:rPr>
        <w:t xml:space="preserve">, F.; </w:t>
      </w:r>
      <w:proofErr w:type="spellStart"/>
      <w:r w:rsidRPr="004B551C">
        <w:rPr>
          <w:sz w:val="20"/>
          <w:szCs w:val="20"/>
          <w:lang w:bidi="ar-EG"/>
        </w:rPr>
        <w:t>Bessiere</w:t>
      </w:r>
      <w:proofErr w:type="spellEnd"/>
      <w:r w:rsidRPr="004B551C">
        <w:rPr>
          <w:sz w:val="20"/>
          <w:szCs w:val="20"/>
          <w:lang w:bidi="ar-EG"/>
        </w:rPr>
        <w:t xml:space="preserve">, J. M.; Michel G. M. and </w:t>
      </w:r>
      <w:proofErr w:type="spellStart"/>
      <w:r w:rsidRPr="004B551C">
        <w:rPr>
          <w:sz w:val="20"/>
          <w:szCs w:val="20"/>
          <w:lang w:bidi="ar-EG"/>
        </w:rPr>
        <w:t>Baccou</w:t>
      </w:r>
      <w:proofErr w:type="spellEnd"/>
      <w:r w:rsidRPr="004B551C">
        <w:rPr>
          <w:sz w:val="20"/>
          <w:szCs w:val="20"/>
          <w:lang w:bidi="ar-EG"/>
        </w:rPr>
        <w:t xml:space="preserve">, J. C. </w:t>
      </w:r>
      <w:r w:rsidRPr="004B551C">
        <w:rPr>
          <w:b/>
          <w:bCs/>
          <w:sz w:val="20"/>
          <w:szCs w:val="20"/>
          <w:lang w:bidi="ar-EG"/>
        </w:rPr>
        <w:t>(1995).</w:t>
      </w:r>
      <w:r w:rsidRPr="004B551C">
        <w:rPr>
          <w:sz w:val="20"/>
          <w:szCs w:val="20"/>
          <w:lang w:bidi="ar-EG"/>
        </w:rPr>
        <w:t xml:space="preserve">  Analysis of the essential oils wild </w:t>
      </w:r>
      <w:r w:rsidRPr="004B551C">
        <w:rPr>
          <w:i/>
          <w:iCs/>
          <w:sz w:val="20"/>
          <w:szCs w:val="20"/>
          <w:lang w:bidi="ar-EG"/>
        </w:rPr>
        <w:t>Oregano</w:t>
      </w:r>
      <w:r w:rsidRPr="004B551C">
        <w:rPr>
          <w:sz w:val="20"/>
          <w:szCs w:val="20"/>
          <w:lang w:bidi="ar-EG"/>
        </w:rPr>
        <w:t xml:space="preserve"> from Martinique (</w:t>
      </w:r>
      <w:r w:rsidRPr="004B551C">
        <w:rPr>
          <w:i/>
          <w:iCs/>
          <w:sz w:val="20"/>
          <w:szCs w:val="20"/>
          <w:lang w:bidi="ar-EG"/>
        </w:rPr>
        <w:t xml:space="preserve">Coleus aromatics </w:t>
      </w:r>
      <w:proofErr w:type="spellStart"/>
      <w:r w:rsidRPr="004B551C">
        <w:rPr>
          <w:sz w:val="20"/>
          <w:szCs w:val="20"/>
          <w:lang w:bidi="ar-EG"/>
        </w:rPr>
        <w:t>Benth</w:t>
      </w:r>
      <w:proofErr w:type="spellEnd"/>
      <w:r w:rsidRPr="004B551C">
        <w:rPr>
          <w:sz w:val="20"/>
          <w:szCs w:val="20"/>
          <w:lang w:bidi="ar-EG"/>
        </w:rPr>
        <w:t xml:space="preserve">.) – evaluation of its </w:t>
      </w:r>
      <w:proofErr w:type="spellStart"/>
      <w:r w:rsidRPr="004B551C">
        <w:rPr>
          <w:sz w:val="20"/>
          <w:szCs w:val="20"/>
          <w:lang w:bidi="ar-EG"/>
        </w:rPr>
        <w:t>bacteriostatic</w:t>
      </w:r>
      <w:proofErr w:type="spellEnd"/>
      <w:r w:rsidRPr="004B551C">
        <w:rPr>
          <w:sz w:val="20"/>
          <w:szCs w:val="20"/>
          <w:lang w:bidi="ar-EG"/>
        </w:rPr>
        <w:t xml:space="preserve"> and </w:t>
      </w:r>
      <w:proofErr w:type="spellStart"/>
      <w:r w:rsidRPr="004B551C">
        <w:rPr>
          <w:sz w:val="20"/>
          <w:szCs w:val="20"/>
          <w:lang w:bidi="ar-EG"/>
        </w:rPr>
        <w:t>fungistatic</w:t>
      </w:r>
      <w:proofErr w:type="spellEnd"/>
      <w:r w:rsidRPr="004B551C">
        <w:rPr>
          <w:sz w:val="20"/>
          <w:szCs w:val="20"/>
          <w:lang w:bidi="ar-EG"/>
        </w:rPr>
        <w:t xml:space="preserve"> properties.  J. </w:t>
      </w:r>
      <w:proofErr w:type="spellStart"/>
      <w:r w:rsidRPr="004B551C">
        <w:rPr>
          <w:sz w:val="20"/>
          <w:szCs w:val="20"/>
          <w:lang w:bidi="ar-EG"/>
        </w:rPr>
        <w:t>Essent</w:t>
      </w:r>
      <w:proofErr w:type="spellEnd"/>
      <w:r w:rsidRPr="004B551C">
        <w:rPr>
          <w:sz w:val="20"/>
          <w:szCs w:val="20"/>
          <w:lang w:bidi="ar-EG"/>
        </w:rPr>
        <w:t>. Oil Res.</w:t>
      </w:r>
      <w:r w:rsidR="00795BB6" w:rsidRPr="004B551C">
        <w:rPr>
          <w:sz w:val="20"/>
          <w:szCs w:val="20"/>
          <w:lang w:bidi="ar-EG"/>
        </w:rPr>
        <w:t>,</w:t>
      </w:r>
      <w:r w:rsidRPr="004B551C">
        <w:rPr>
          <w:b/>
          <w:bCs/>
          <w:sz w:val="20"/>
          <w:szCs w:val="20"/>
          <w:lang w:bidi="ar-EG"/>
        </w:rPr>
        <w:t xml:space="preserve"> 7:</w:t>
      </w:r>
      <w:r w:rsidRPr="004B551C">
        <w:rPr>
          <w:sz w:val="20"/>
          <w:szCs w:val="20"/>
          <w:lang w:bidi="ar-EG"/>
        </w:rPr>
        <w:t>165 – 173.</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Reddy, M.V.B.; Angers, P.; </w:t>
      </w:r>
      <w:proofErr w:type="spellStart"/>
      <w:r w:rsidRPr="004B551C">
        <w:rPr>
          <w:sz w:val="20"/>
          <w:szCs w:val="20"/>
        </w:rPr>
        <w:t>Gosselin</w:t>
      </w:r>
      <w:proofErr w:type="spellEnd"/>
      <w:r w:rsidRPr="004B551C">
        <w:rPr>
          <w:sz w:val="20"/>
          <w:szCs w:val="20"/>
        </w:rPr>
        <w:t xml:space="preserve">, A. and </w:t>
      </w:r>
      <w:proofErr w:type="spellStart"/>
      <w:r w:rsidRPr="004B551C">
        <w:rPr>
          <w:sz w:val="20"/>
          <w:szCs w:val="20"/>
        </w:rPr>
        <w:t>Aru</w:t>
      </w:r>
      <w:proofErr w:type="spellEnd"/>
      <w:r w:rsidRPr="004B551C">
        <w:rPr>
          <w:sz w:val="20"/>
          <w:szCs w:val="20"/>
        </w:rPr>
        <w:t xml:space="preserve">, </w:t>
      </w:r>
      <w:proofErr w:type="spellStart"/>
      <w:r w:rsidRPr="004B551C">
        <w:rPr>
          <w:sz w:val="20"/>
          <w:szCs w:val="20"/>
        </w:rPr>
        <w:t>l.J</w:t>
      </w:r>
      <w:proofErr w:type="spellEnd"/>
      <w:r w:rsidRPr="004B551C">
        <w:rPr>
          <w:sz w:val="20"/>
          <w:szCs w:val="20"/>
        </w:rPr>
        <w:t xml:space="preserve">. </w:t>
      </w:r>
      <w:r w:rsidRPr="004B551C">
        <w:rPr>
          <w:b/>
          <w:bCs/>
          <w:sz w:val="20"/>
          <w:szCs w:val="20"/>
        </w:rPr>
        <w:t>(1998</w:t>
      </w:r>
      <w:r w:rsidRPr="004B551C">
        <w:rPr>
          <w:sz w:val="20"/>
          <w:szCs w:val="20"/>
        </w:rPr>
        <w:t xml:space="preserve">). Characterization and use of essential oil from </w:t>
      </w:r>
      <w:r w:rsidRPr="004B551C">
        <w:rPr>
          <w:i/>
          <w:iCs/>
          <w:sz w:val="20"/>
          <w:szCs w:val="20"/>
        </w:rPr>
        <w:t xml:space="preserve">Thymus </w:t>
      </w:r>
      <w:proofErr w:type="spellStart"/>
      <w:r w:rsidRPr="004B551C">
        <w:rPr>
          <w:i/>
          <w:iCs/>
          <w:sz w:val="20"/>
          <w:szCs w:val="20"/>
        </w:rPr>
        <w:t>vulgaris</w:t>
      </w:r>
      <w:proofErr w:type="spellEnd"/>
      <w:r w:rsidRPr="004B551C">
        <w:rPr>
          <w:sz w:val="20"/>
          <w:szCs w:val="20"/>
        </w:rPr>
        <w:t xml:space="preserve"> against </w:t>
      </w:r>
      <w:r w:rsidRPr="004B551C">
        <w:rPr>
          <w:i/>
          <w:iCs/>
          <w:sz w:val="20"/>
          <w:szCs w:val="20"/>
        </w:rPr>
        <w:t xml:space="preserve">Botrytis </w:t>
      </w:r>
      <w:proofErr w:type="spellStart"/>
      <w:r w:rsidRPr="004B551C">
        <w:rPr>
          <w:i/>
          <w:iCs/>
          <w:sz w:val="20"/>
          <w:szCs w:val="20"/>
        </w:rPr>
        <w:t>cinerea</w:t>
      </w:r>
      <w:proofErr w:type="spellEnd"/>
      <w:r w:rsidRPr="004B551C">
        <w:rPr>
          <w:sz w:val="20"/>
          <w:szCs w:val="20"/>
        </w:rPr>
        <w:t xml:space="preserve"> and </w:t>
      </w:r>
      <w:proofErr w:type="spellStart"/>
      <w:r w:rsidRPr="004B551C">
        <w:rPr>
          <w:i/>
          <w:iCs/>
          <w:sz w:val="20"/>
          <w:szCs w:val="20"/>
        </w:rPr>
        <w:t>Rhizopus</w:t>
      </w:r>
      <w:proofErr w:type="spellEnd"/>
      <w:r w:rsidRPr="004B551C">
        <w:rPr>
          <w:i/>
          <w:iCs/>
          <w:sz w:val="20"/>
          <w:szCs w:val="20"/>
        </w:rPr>
        <w:t xml:space="preserve"> </w:t>
      </w:r>
      <w:proofErr w:type="spellStart"/>
      <w:r w:rsidRPr="004B551C">
        <w:rPr>
          <w:i/>
          <w:iCs/>
          <w:sz w:val="20"/>
          <w:szCs w:val="20"/>
        </w:rPr>
        <w:t>stolonifer</w:t>
      </w:r>
      <w:proofErr w:type="spellEnd"/>
      <w:r w:rsidRPr="004B551C">
        <w:rPr>
          <w:i/>
          <w:iCs/>
          <w:sz w:val="20"/>
          <w:szCs w:val="20"/>
        </w:rPr>
        <w:t xml:space="preserve"> </w:t>
      </w:r>
      <w:r w:rsidRPr="004B551C">
        <w:rPr>
          <w:sz w:val="20"/>
          <w:szCs w:val="20"/>
        </w:rPr>
        <w:t xml:space="preserve">in strawberry fruits. </w:t>
      </w:r>
      <w:proofErr w:type="spellStart"/>
      <w:r w:rsidRPr="004B551C">
        <w:rPr>
          <w:sz w:val="20"/>
          <w:szCs w:val="20"/>
        </w:rPr>
        <w:t>Phytochemistry</w:t>
      </w:r>
      <w:proofErr w:type="spellEnd"/>
      <w:r w:rsidR="00795BB6" w:rsidRPr="004B551C">
        <w:rPr>
          <w:sz w:val="20"/>
          <w:szCs w:val="20"/>
        </w:rPr>
        <w:t>,</w:t>
      </w:r>
      <w:r w:rsidRPr="004B551C">
        <w:rPr>
          <w:sz w:val="20"/>
          <w:szCs w:val="20"/>
        </w:rPr>
        <w:t xml:space="preserve"> 47: 1515–1520.</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Romanazzi</w:t>
      </w:r>
      <w:proofErr w:type="spellEnd"/>
      <w:r w:rsidRPr="004B551C">
        <w:rPr>
          <w:sz w:val="20"/>
          <w:szCs w:val="20"/>
        </w:rPr>
        <w:t xml:space="preserve">, G.; </w:t>
      </w:r>
      <w:proofErr w:type="spellStart"/>
      <w:r w:rsidRPr="004B551C">
        <w:rPr>
          <w:sz w:val="20"/>
          <w:szCs w:val="20"/>
        </w:rPr>
        <w:t>Karabulut</w:t>
      </w:r>
      <w:proofErr w:type="spellEnd"/>
      <w:r w:rsidRPr="004B551C">
        <w:rPr>
          <w:sz w:val="20"/>
          <w:szCs w:val="20"/>
        </w:rPr>
        <w:t xml:space="preserve">, O.A. and </w:t>
      </w:r>
      <w:proofErr w:type="spellStart"/>
      <w:r w:rsidRPr="004B551C">
        <w:rPr>
          <w:sz w:val="20"/>
          <w:szCs w:val="20"/>
        </w:rPr>
        <w:t>Smilanick</w:t>
      </w:r>
      <w:proofErr w:type="spellEnd"/>
      <w:r w:rsidRPr="004B551C">
        <w:rPr>
          <w:sz w:val="20"/>
          <w:szCs w:val="20"/>
        </w:rPr>
        <w:t xml:space="preserve">, J.L. </w:t>
      </w:r>
      <w:r w:rsidRPr="004B551C">
        <w:rPr>
          <w:b/>
          <w:bCs/>
          <w:sz w:val="20"/>
          <w:szCs w:val="20"/>
        </w:rPr>
        <w:t>(2007)</w:t>
      </w:r>
      <w:r w:rsidRPr="004B551C">
        <w:rPr>
          <w:sz w:val="20"/>
          <w:szCs w:val="20"/>
        </w:rPr>
        <w:t xml:space="preserve">. Combination of </w:t>
      </w:r>
      <w:proofErr w:type="spellStart"/>
      <w:r w:rsidRPr="004B551C">
        <w:rPr>
          <w:sz w:val="20"/>
          <w:szCs w:val="20"/>
        </w:rPr>
        <w:t>chitosan</w:t>
      </w:r>
      <w:proofErr w:type="spellEnd"/>
      <w:r w:rsidRPr="004B551C">
        <w:rPr>
          <w:sz w:val="20"/>
          <w:szCs w:val="20"/>
        </w:rPr>
        <w:t xml:space="preserve"> and ethanol to control postharvest gray mold of table grapes.  Postharvest  Biol. Technol.</w:t>
      </w:r>
      <w:r w:rsidR="00795BB6" w:rsidRPr="004B551C">
        <w:rPr>
          <w:sz w:val="20"/>
          <w:szCs w:val="20"/>
        </w:rPr>
        <w:t>,</w:t>
      </w:r>
      <w:r w:rsidRPr="004B551C">
        <w:rPr>
          <w:sz w:val="20"/>
          <w:szCs w:val="20"/>
        </w:rPr>
        <w:t xml:space="preserve"> 45: 134–140.</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Shephard</w:t>
      </w:r>
      <w:proofErr w:type="spellEnd"/>
      <w:r w:rsidRPr="004B551C">
        <w:rPr>
          <w:sz w:val="20"/>
          <w:szCs w:val="20"/>
        </w:rPr>
        <w:t xml:space="preserve">, G.S., </w:t>
      </w:r>
      <w:r w:rsidRPr="004B551C">
        <w:rPr>
          <w:b/>
          <w:bCs/>
          <w:sz w:val="20"/>
          <w:szCs w:val="20"/>
        </w:rPr>
        <w:t>(2008).</w:t>
      </w:r>
      <w:r w:rsidRPr="004B551C">
        <w:rPr>
          <w:sz w:val="20"/>
          <w:szCs w:val="20"/>
        </w:rPr>
        <w:t xml:space="preserve"> Risk assessment of </w:t>
      </w:r>
      <w:proofErr w:type="spellStart"/>
      <w:r w:rsidRPr="004B551C">
        <w:rPr>
          <w:sz w:val="20"/>
          <w:szCs w:val="20"/>
        </w:rPr>
        <w:t>aﬂatoxins</w:t>
      </w:r>
      <w:proofErr w:type="spellEnd"/>
      <w:r w:rsidRPr="004B551C">
        <w:rPr>
          <w:sz w:val="20"/>
          <w:szCs w:val="20"/>
        </w:rPr>
        <w:t xml:space="preserve"> in food in Africa. Food  </w:t>
      </w:r>
      <w:proofErr w:type="spellStart"/>
      <w:r w:rsidRPr="004B551C">
        <w:rPr>
          <w:sz w:val="20"/>
          <w:szCs w:val="20"/>
        </w:rPr>
        <w:t>Addit</w:t>
      </w:r>
      <w:proofErr w:type="spellEnd"/>
      <w:r w:rsidRPr="004B551C">
        <w:rPr>
          <w:sz w:val="20"/>
          <w:szCs w:val="20"/>
        </w:rPr>
        <w:t xml:space="preserve">. </w:t>
      </w:r>
      <w:proofErr w:type="spellStart"/>
      <w:r w:rsidRPr="004B551C">
        <w:rPr>
          <w:sz w:val="20"/>
          <w:szCs w:val="20"/>
        </w:rPr>
        <w:t>Contam</w:t>
      </w:r>
      <w:proofErr w:type="spellEnd"/>
      <w:r w:rsidRPr="004B551C">
        <w:rPr>
          <w:sz w:val="20"/>
          <w:szCs w:val="20"/>
        </w:rPr>
        <w:t>. 25</w:t>
      </w:r>
      <w:r w:rsidR="00795BB6" w:rsidRPr="004B551C">
        <w:rPr>
          <w:sz w:val="20"/>
          <w:szCs w:val="20"/>
        </w:rPr>
        <w:t>:</w:t>
      </w:r>
      <w:r w:rsidRPr="004B551C">
        <w:rPr>
          <w:sz w:val="20"/>
          <w:szCs w:val="20"/>
        </w:rPr>
        <w:t xml:space="preserve"> 1246–1256.</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Shimoni</w:t>
      </w:r>
      <w:proofErr w:type="spellEnd"/>
      <w:r w:rsidRPr="004B551C">
        <w:rPr>
          <w:sz w:val="20"/>
          <w:szCs w:val="20"/>
          <w:lang w:bidi="ar-EG"/>
        </w:rPr>
        <w:t xml:space="preserve">, M; </w:t>
      </w:r>
      <w:proofErr w:type="spellStart"/>
      <w:r w:rsidRPr="004B551C">
        <w:rPr>
          <w:sz w:val="20"/>
          <w:szCs w:val="20"/>
          <w:lang w:bidi="ar-EG"/>
        </w:rPr>
        <w:t>Putievsky</w:t>
      </w:r>
      <w:proofErr w:type="spellEnd"/>
      <w:r w:rsidRPr="004B551C">
        <w:rPr>
          <w:sz w:val="20"/>
          <w:szCs w:val="20"/>
          <w:lang w:bidi="ar-EG"/>
        </w:rPr>
        <w:t xml:space="preserve">, E.; </w:t>
      </w:r>
      <w:proofErr w:type="spellStart"/>
      <w:r w:rsidRPr="004B551C">
        <w:rPr>
          <w:sz w:val="20"/>
          <w:szCs w:val="20"/>
          <w:lang w:bidi="ar-EG"/>
        </w:rPr>
        <w:t>Ravid</w:t>
      </w:r>
      <w:proofErr w:type="spellEnd"/>
      <w:r w:rsidRPr="004B551C">
        <w:rPr>
          <w:sz w:val="20"/>
          <w:szCs w:val="20"/>
          <w:lang w:bidi="ar-EG"/>
        </w:rPr>
        <w:t xml:space="preserve">, U. and </w:t>
      </w:r>
      <w:proofErr w:type="spellStart"/>
      <w:r w:rsidRPr="004B551C">
        <w:rPr>
          <w:sz w:val="20"/>
          <w:szCs w:val="20"/>
          <w:lang w:bidi="ar-EG"/>
        </w:rPr>
        <w:t>Reuveni</w:t>
      </w:r>
      <w:proofErr w:type="spellEnd"/>
      <w:r w:rsidRPr="004B551C">
        <w:rPr>
          <w:sz w:val="20"/>
          <w:szCs w:val="20"/>
          <w:lang w:bidi="ar-EG"/>
        </w:rPr>
        <w:t xml:space="preserve">, R. </w:t>
      </w:r>
      <w:r w:rsidRPr="004B551C">
        <w:rPr>
          <w:b/>
          <w:bCs/>
          <w:sz w:val="20"/>
          <w:szCs w:val="20"/>
          <w:lang w:bidi="ar-EG"/>
        </w:rPr>
        <w:t>(1993).</w:t>
      </w:r>
      <w:r w:rsidRPr="004B551C">
        <w:rPr>
          <w:sz w:val="20"/>
          <w:szCs w:val="20"/>
          <w:lang w:bidi="ar-EG"/>
        </w:rPr>
        <w:t xml:space="preserve">  Antifungal activity of volatile fractions of essential oils from four aromatic wild plants in Israel.  J. Chem. Ecol.</w:t>
      </w:r>
      <w:r w:rsidR="00795BB6" w:rsidRPr="004B551C">
        <w:rPr>
          <w:sz w:val="20"/>
          <w:szCs w:val="20"/>
          <w:lang w:bidi="ar-EG"/>
        </w:rPr>
        <w:t>,</w:t>
      </w:r>
      <w:r w:rsidRPr="004B551C">
        <w:rPr>
          <w:sz w:val="20"/>
          <w:szCs w:val="20"/>
          <w:lang w:bidi="ar-EG"/>
        </w:rPr>
        <w:t xml:space="preserve"> 19: 1129 – 1133.</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Singh, K., </w:t>
      </w:r>
      <w:proofErr w:type="spellStart"/>
      <w:r w:rsidRPr="004B551C">
        <w:rPr>
          <w:sz w:val="20"/>
          <w:szCs w:val="20"/>
        </w:rPr>
        <w:t>Frisvad</w:t>
      </w:r>
      <w:proofErr w:type="spellEnd"/>
      <w:r w:rsidRPr="004B551C">
        <w:rPr>
          <w:sz w:val="20"/>
          <w:szCs w:val="20"/>
        </w:rPr>
        <w:t xml:space="preserve">, J.C., </w:t>
      </w:r>
      <w:proofErr w:type="spellStart"/>
      <w:r w:rsidRPr="004B551C">
        <w:rPr>
          <w:sz w:val="20"/>
          <w:szCs w:val="20"/>
        </w:rPr>
        <w:t>Thrane</w:t>
      </w:r>
      <w:proofErr w:type="spellEnd"/>
      <w:r w:rsidRPr="004B551C">
        <w:rPr>
          <w:sz w:val="20"/>
          <w:szCs w:val="20"/>
        </w:rPr>
        <w:t xml:space="preserve">, U., </w:t>
      </w:r>
      <w:proofErr w:type="spellStart"/>
      <w:r w:rsidRPr="004B551C">
        <w:rPr>
          <w:sz w:val="20"/>
          <w:szCs w:val="20"/>
        </w:rPr>
        <w:t>Mathur</w:t>
      </w:r>
      <w:proofErr w:type="spellEnd"/>
      <w:r w:rsidRPr="004B551C">
        <w:rPr>
          <w:sz w:val="20"/>
          <w:szCs w:val="20"/>
        </w:rPr>
        <w:t xml:space="preserve">, S.B., </w:t>
      </w:r>
      <w:r w:rsidRPr="004B551C">
        <w:rPr>
          <w:b/>
          <w:bCs/>
          <w:sz w:val="20"/>
          <w:szCs w:val="20"/>
        </w:rPr>
        <w:t>(1991).</w:t>
      </w:r>
      <w:r w:rsidRPr="004B551C">
        <w:rPr>
          <w:sz w:val="20"/>
          <w:szCs w:val="20"/>
        </w:rPr>
        <w:t xml:space="preserve"> An Illustrated Manual on </w:t>
      </w:r>
      <w:proofErr w:type="spellStart"/>
      <w:r w:rsidRPr="004B551C">
        <w:rPr>
          <w:sz w:val="20"/>
          <w:szCs w:val="20"/>
        </w:rPr>
        <w:t>Identiﬁcation</w:t>
      </w:r>
      <w:proofErr w:type="spellEnd"/>
      <w:r w:rsidRPr="004B551C">
        <w:rPr>
          <w:sz w:val="20"/>
          <w:szCs w:val="20"/>
        </w:rPr>
        <w:t xml:space="preserve"> of Some Seed-borne </w:t>
      </w:r>
      <w:proofErr w:type="spellStart"/>
      <w:r w:rsidRPr="004B551C">
        <w:rPr>
          <w:i/>
          <w:iCs/>
          <w:sz w:val="20"/>
          <w:szCs w:val="20"/>
        </w:rPr>
        <w:t>Aspergilli</w:t>
      </w:r>
      <w:proofErr w:type="spellEnd"/>
      <w:r w:rsidRPr="004B551C">
        <w:rPr>
          <w:i/>
          <w:iCs/>
          <w:sz w:val="20"/>
          <w:szCs w:val="20"/>
        </w:rPr>
        <w:t xml:space="preserve">, </w:t>
      </w:r>
      <w:proofErr w:type="spellStart"/>
      <w:r w:rsidRPr="004B551C">
        <w:rPr>
          <w:i/>
          <w:iCs/>
          <w:sz w:val="20"/>
          <w:szCs w:val="20"/>
        </w:rPr>
        <w:t>Fusaria</w:t>
      </w:r>
      <w:proofErr w:type="spellEnd"/>
      <w:r w:rsidRPr="004B551C">
        <w:rPr>
          <w:i/>
          <w:iCs/>
          <w:sz w:val="20"/>
          <w:szCs w:val="20"/>
        </w:rPr>
        <w:t xml:space="preserve">, </w:t>
      </w:r>
      <w:proofErr w:type="spellStart"/>
      <w:r w:rsidRPr="004B551C">
        <w:rPr>
          <w:i/>
          <w:iCs/>
          <w:sz w:val="20"/>
          <w:szCs w:val="20"/>
        </w:rPr>
        <w:t>Penicillia</w:t>
      </w:r>
      <w:proofErr w:type="spellEnd"/>
      <w:r w:rsidRPr="004B551C">
        <w:rPr>
          <w:sz w:val="20"/>
          <w:szCs w:val="20"/>
        </w:rPr>
        <w:t xml:space="preserve"> and their </w:t>
      </w:r>
      <w:proofErr w:type="spellStart"/>
      <w:r w:rsidRPr="004B551C">
        <w:rPr>
          <w:sz w:val="20"/>
          <w:szCs w:val="20"/>
        </w:rPr>
        <w:t>Mycotoxins</w:t>
      </w:r>
      <w:proofErr w:type="spellEnd"/>
      <w:r w:rsidRPr="004B551C">
        <w:rPr>
          <w:sz w:val="20"/>
          <w:szCs w:val="20"/>
        </w:rPr>
        <w:t xml:space="preserve">. </w:t>
      </w:r>
      <w:proofErr w:type="spellStart"/>
      <w:r w:rsidRPr="004B551C">
        <w:rPr>
          <w:sz w:val="20"/>
          <w:szCs w:val="20"/>
        </w:rPr>
        <w:t>Jordbrugsforlaget</w:t>
      </w:r>
      <w:proofErr w:type="spellEnd"/>
      <w:r w:rsidRPr="004B551C">
        <w:rPr>
          <w:sz w:val="20"/>
          <w:szCs w:val="20"/>
        </w:rPr>
        <w:t>, Frederiksberg, Denmark. 133 pp.</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lastRenderedPageBreak/>
        <w:t>Sirot</w:t>
      </w:r>
      <w:proofErr w:type="spellEnd"/>
      <w:r w:rsidRPr="004B551C">
        <w:rPr>
          <w:sz w:val="20"/>
          <w:szCs w:val="20"/>
        </w:rPr>
        <w:t xml:space="preserve">, J. </w:t>
      </w:r>
      <w:r w:rsidRPr="004B551C">
        <w:rPr>
          <w:b/>
          <w:bCs/>
          <w:sz w:val="20"/>
          <w:szCs w:val="20"/>
        </w:rPr>
        <w:t>(1990)</w:t>
      </w:r>
      <w:r w:rsidRPr="004B551C">
        <w:rPr>
          <w:sz w:val="20"/>
          <w:szCs w:val="20"/>
        </w:rPr>
        <w:t xml:space="preserve">.  </w:t>
      </w:r>
      <w:proofErr w:type="spellStart"/>
      <w:r w:rsidRPr="004B551C">
        <w:rPr>
          <w:sz w:val="20"/>
          <w:szCs w:val="20"/>
        </w:rPr>
        <w:t>Bactèriologie</w:t>
      </w:r>
      <w:proofErr w:type="spellEnd"/>
      <w:r w:rsidRPr="004B551C">
        <w:rPr>
          <w:sz w:val="20"/>
          <w:szCs w:val="20"/>
        </w:rPr>
        <w:t xml:space="preserve"> </w:t>
      </w:r>
      <w:proofErr w:type="spellStart"/>
      <w:r w:rsidRPr="004B551C">
        <w:rPr>
          <w:sz w:val="20"/>
          <w:szCs w:val="20"/>
        </w:rPr>
        <w:t>Mèdicale</w:t>
      </w:r>
      <w:proofErr w:type="spellEnd"/>
      <w:r w:rsidRPr="004B551C">
        <w:rPr>
          <w:sz w:val="20"/>
          <w:szCs w:val="20"/>
        </w:rPr>
        <w:t xml:space="preserve">, 2nd Ed., Edits. L. Le Minor and M. </w:t>
      </w:r>
      <w:proofErr w:type="spellStart"/>
      <w:r w:rsidRPr="004B551C">
        <w:rPr>
          <w:sz w:val="20"/>
          <w:szCs w:val="20"/>
        </w:rPr>
        <w:t>Vèron</w:t>
      </w:r>
      <w:proofErr w:type="spellEnd"/>
      <w:r w:rsidRPr="004B551C">
        <w:rPr>
          <w:sz w:val="20"/>
          <w:szCs w:val="20"/>
        </w:rPr>
        <w:t>, pp. 303, Paris.</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Soliman</w:t>
      </w:r>
      <w:proofErr w:type="spellEnd"/>
      <w:r w:rsidRPr="004B551C">
        <w:rPr>
          <w:sz w:val="20"/>
          <w:szCs w:val="20"/>
          <w:lang w:bidi="ar-EG"/>
        </w:rPr>
        <w:t xml:space="preserve">, K. M. and </w:t>
      </w:r>
      <w:proofErr w:type="spellStart"/>
      <w:r w:rsidRPr="004B551C">
        <w:rPr>
          <w:sz w:val="20"/>
          <w:szCs w:val="20"/>
          <w:lang w:bidi="ar-EG"/>
        </w:rPr>
        <w:t>Badeaa</w:t>
      </w:r>
      <w:proofErr w:type="spellEnd"/>
      <w:r w:rsidRPr="004B551C">
        <w:rPr>
          <w:sz w:val="20"/>
          <w:szCs w:val="20"/>
          <w:lang w:bidi="ar-EG"/>
        </w:rPr>
        <w:t xml:space="preserve">, R. I. </w:t>
      </w:r>
      <w:r w:rsidRPr="004B551C">
        <w:rPr>
          <w:b/>
          <w:bCs/>
          <w:sz w:val="20"/>
          <w:szCs w:val="20"/>
          <w:lang w:bidi="ar-EG"/>
        </w:rPr>
        <w:t>(2002)</w:t>
      </w:r>
      <w:r w:rsidRPr="004B551C">
        <w:rPr>
          <w:sz w:val="20"/>
          <w:szCs w:val="20"/>
          <w:lang w:bidi="ar-EG"/>
        </w:rPr>
        <w:t xml:space="preserve">.  Effect of oil extracted from some medicinal plants on different </w:t>
      </w:r>
      <w:proofErr w:type="spellStart"/>
      <w:r w:rsidRPr="004B551C">
        <w:rPr>
          <w:sz w:val="20"/>
          <w:szCs w:val="20"/>
          <w:lang w:bidi="ar-EG"/>
        </w:rPr>
        <w:t>mycotoxigenic</w:t>
      </w:r>
      <w:proofErr w:type="spellEnd"/>
      <w:r w:rsidRPr="004B551C">
        <w:rPr>
          <w:sz w:val="20"/>
          <w:szCs w:val="20"/>
          <w:lang w:bidi="ar-EG"/>
        </w:rPr>
        <w:t xml:space="preserve"> fungi.  Food and Chemical Toxicology.  40: 1669-1675.</w:t>
      </w:r>
    </w:p>
    <w:p w:rsidR="00DE5360" w:rsidRPr="004B551C" w:rsidRDefault="00DE5360" w:rsidP="00CE09F5">
      <w:pPr>
        <w:pStyle w:val="NoSpacing"/>
        <w:numPr>
          <w:ilvl w:val="0"/>
          <w:numId w:val="14"/>
        </w:numPr>
        <w:ind w:left="360"/>
        <w:jc w:val="both"/>
        <w:rPr>
          <w:sz w:val="20"/>
          <w:szCs w:val="20"/>
        </w:rPr>
      </w:pPr>
      <w:r w:rsidRPr="004B551C">
        <w:rPr>
          <w:bCs/>
          <w:sz w:val="20"/>
          <w:szCs w:val="20"/>
        </w:rPr>
        <w:t xml:space="preserve">Sun, Y. P. </w:t>
      </w:r>
      <w:r w:rsidRPr="004B551C">
        <w:rPr>
          <w:b/>
          <w:sz w:val="20"/>
          <w:szCs w:val="20"/>
        </w:rPr>
        <w:t>(1950):</w:t>
      </w:r>
      <w:r w:rsidRPr="004B551C">
        <w:rPr>
          <w:sz w:val="20"/>
          <w:szCs w:val="20"/>
        </w:rPr>
        <w:t xml:space="preserve"> Toxicity Index and improved method of comparing the relative toxicity of insecticides.</w:t>
      </w:r>
      <w:r w:rsidRPr="004B551C">
        <w:rPr>
          <w:iCs/>
          <w:sz w:val="20"/>
          <w:szCs w:val="20"/>
        </w:rPr>
        <w:t xml:space="preserve"> J. Econ. Entom., 43: 45 – 53</w:t>
      </w:r>
      <w:r w:rsidRPr="004B551C">
        <w:rPr>
          <w:sz w:val="20"/>
          <w:szCs w:val="20"/>
        </w:rPr>
        <w:t>.</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Sztejnberg</w:t>
      </w:r>
      <w:proofErr w:type="spellEnd"/>
      <w:r w:rsidRPr="004B551C">
        <w:rPr>
          <w:sz w:val="20"/>
          <w:szCs w:val="20"/>
        </w:rPr>
        <w:t xml:space="preserve">, A. H.; </w:t>
      </w:r>
      <w:proofErr w:type="spellStart"/>
      <w:r w:rsidRPr="004B551C">
        <w:rPr>
          <w:sz w:val="20"/>
          <w:szCs w:val="20"/>
        </w:rPr>
        <w:t>Azaizi</w:t>
      </w:r>
      <w:proofErr w:type="spellEnd"/>
      <w:r w:rsidRPr="004B551C">
        <w:rPr>
          <w:sz w:val="20"/>
          <w:szCs w:val="20"/>
        </w:rPr>
        <w:t xml:space="preserve">, I and Chet </w:t>
      </w:r>
      <w:r w:rsidRPr="004B551C">
        <w:rPr>
          <w:b/>
          <w:bCs/>
          <w:sz w:val="20"/>
          <w:szCs w:val="20"/>
        </w:rPr>
        <w:t xml:space="preserve">(1983). </w:t>
      </w:r>
      <w:r w:rsidRPr="004B551C">
        <w:rPr>
          <w:sz w:val="20"/>
          <w:szCs w:val="20"/>
        </w:rPr>
        <w:t xml:space="preserve">The possible role of </w:t>
      </w:r>
      <w:proofErr w:type="spellStart"/>
      <w:r w:rsidRPr="004B551C">
        <w:rPr>
          <w:sz w:val="20"/>
          <w:szCs w:val="20"/>
        </w:rPr>
        <w:t>phenolic</w:t>
      </w:r>
      <w:proofErr w:type="spellEnd"/>
      <w:r w:rsidRPr="004B551C">
        <w:rPr>
          <w:sz w:val="20"/>
          <w:szCs w:val="20"/>
        </w:rPr>
        <w:t xml:space="preserve"> compounds in resistance of horticultural crops to </w:t>
      </w:r>
      <w:proofErr w:type="spellStart"/>
      <w:r w:rsidRPr="004B551C">
        <w:rPr>
          <w:i/>
          <w:iCs/>
          <w:sz w:val="20"/>
          <w:szCs w:val="20"/>
        </w:rPr>
        <w:t>Dematophtora</w:t>
      </w:r>
      <w:proofErr w:type="spellEnd"/>
      <w:r w:rsidRPr="004B551C">
        <w:rPr>
          <w:i/>
          <w:iCs/>
          <w:sz w:val="20"/>
          <w:szCs w:val="20"/>
        </w:rPr>
        <w:t xml:space="preserve"> </w:t>
      </w:r>
      <w:proofErr w:type="spellStart"/>
      <w:r w:rsidRPr="004B551C">
        <w:rPr>
          <w:i/>
          <w:iCs/>
          <w:sz w:val="20"/>
          <w:szCs w:val="20"/>
        </w:rPr>
        <w:t>necatrix</w:t>
      </w:r>
      <w:proofErr w:type="spellEnd"/>
      <w:r w:rsidRPr="004B551C">
        <w:rPr>
          <w:i/>
          <w:iCs/>
          <w:sz w:val="20"/>
          <w:szCs w:val="20"/>
        </w:rPr>
        <w:t xml:space="preserve"> </w:t>
      </w:r>
      <w:proofErr w:type="spellStart"/>
      <w:r w:rsidRPr="004B551C">
        <w:rPr>
          <w:sz w:val="20"/>
          <w:szCs w:val="20"/>
        </w:rPr>
        <w:t>Hartig</w:t>
      </w:r>
      <w:proofErr w:type="spellEnd"/>
      <w:r w:rsidRPr="004B551C">
        <w:rPr>
          <w:sz w:val="20"/>
          <w:szCs w:val="20"/>
        </w:rPr>
        <w:t xml:space="preserve">. </w:t>
      </w:r>
      <w:proofErr w:type="spellStart"/>
      <w:r w:rsidRPr="004B551C">
        <w:rPr>
          <w:sz w:val="20"/>
          <w:szCs w:val="20"/>
        </w:rPr>
        <w:t>Phytopath</w:t>
      </w:r>
      <w:proofErr w:type="spellEnd"/>
      <w:r w:rsidRPr="004B551C">
        <w:rPr>
          <w:sz w:val="20"/>
          <w:szCs w:val="20"/>
        </w:rPr>
        <w:t>.  Z. 107:</w:t>
      </w:r>
      <w:r w:rsidRPr="004B551C">
        <w:rPr>
          <w:b/>
          <w:bCs/>
          <w:sz w:val="20"/>
          <w:szCs w:val="20"/>
        </w:rPr>
        <w:t xml:space="preserve"> </w:t>
      </w:r>
      <w:r w:rsidRPr="004B551C">
        <w:rPr>
          <w:sz w:val="20"/>
          <w:szCs w:val="20"/>
        </w:rPr>
        <w:t>318 – 326.</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Tripathi</w:t>
      </w:r>
      <w:proofErr w:type="spellEnd"/>
      <w:r w:rsidRPr="004B551C">
        <w:rPr>
          <w:sz w:val="20"/>
          <w:szCs w:val="20"/>
        </w:rPr>
        <w:t xml:space="preserve">, P.; </w:t>
      </w:r>
      <w:proofErr w:type="spellStart"/>
      <w:r w:rsidRPr="004B551C">
        <w:rPr>
          <w:sz w:val="20"/>
          <w:szCs w:val="20"/>
        </w:rPr>
        <w:t>Dubey</w:t>
      </w:r>
      <w:proofErr w:type="spellEnd"/>
      <w:r w:rsidRPr="004B551C">
        <w:rPr>
          <w:sz w:val="20"/>
          <w:szCs w:val="20"/>
        </w:rPr>
        <w:t xml:space="preserve">, N.K. and </w:t>
      </w:r>
      <w:proofErr w:type="spellStart"/>
      <w:r w:rsidRPr="004B551C">
        <w:rPr>
          <w:sz w:val="20"/>
          <w:szCs w:val="20"/>
        </w:rPr>
        <w:t>Shukla</w:t>
      </w:r>
      <w:proofErr w:type="spellEnd"/>
      <w:r w:rsidRPr="004B551C">
        <w:rPr>
          <w:sz w:val="20"/>
          <w:szCs w:val="20"/>
        </w:rPr>
        <w:t xml:space="preserve">, A. </w:t>
      </w:r>
      <w:r w:rsidRPr="004B551C">
        <w:rPr>
          <w:b/>
          <w:bCs/>
          <w:sz w:val="20"/>
          <w:szCs w:val="20"/>
        </w:rPr>
        <w:t>(2008)</w:t>
      </w:r>
      <w:r w:rsidRPr="004B551C">
        <w:rPr>
          <w:sz w:val="20"/>
          <w:szCs w:val="20"/>
        </w:rPr>
        <w:t xml:space="preserve">. Use of some essential oils as post-harvest botanical fungicides in the management of grey mould of grapes caused by </w:t>
      </w:r>
      <w:r w:rsidRPr="004B551C">
        <w:rPr>
          <w:i/>
          <w:iCs/>
          <w:sz w:val="20"/>
          <w:szCs w:val="20"/>
        </w:rPr>
        <w:t xml:space="preserve">Botrytis </w:t>
      </w:r>
      <w:proofErr w:type="spellStart"/>
      <w:r w:rsidRPr="004B551C">
        <w:rPr>
          <w:i/>
          <w:iCs/>
          <w:sz w:val="20"/>
          <w:szCs w:val="20"/>
        </w:rPr>
        <w:t>cinerea</w:t>
      </w:r>
      <w:proofErr w:type="spellEnd"/>
      <w:r w:rsidRPr="004B551C">
        <w:rPr>
          <w:sz w:val="20"/>
          <w:szCs w:val="20"/>
        </w:rPr>
        <w:t xml:space="preserve">. World J. </w:t>
      </w:r>
      <w:proofErr w:type="spellStart"/>
      <w:r w:rsidRPr="004B551C">
        <w:rPr>
          <w:sz w:val="20"/>
          <w:szCs w:val="20"/>
        </w:rPr>
        <w:t>Microbiol</w:t>
      </w:r>
      <w:proofErr w:type="spellEnd"/>
      <w:r w:rsidRPr="004B551C">
        <w:rPr>
          <w:sz w:val="20"/>
          <w:szCs w:val="20"/>
        </w:rPr>
        <w:t xml:space="preserve">. </w:t>
      </w:r>
      <w:proofErr w:type="spellStart"/>
      <w:r w:rsidRPr="004B551C">
        <w:rPr>
          <w:sz w:val="20"/>
          <w:szCs w:val="20"/>
        </w:rPr>
        <w:t>Biotechnol</w:t>
      </w:r>
      <w:proofErr w:type="spellEnd"/>
      <w:r w:rsidRPr="004B551C">
        <w:rPr>
          <w:sz w:val="20"/>
          <w:szCs w:val="20"/>
        </w:rPr>
        <w:t>.</w:t>
      </w:r>
      <w:r w:rsidR="00795BB6" w:rsidRPr="004B551C">
        <w:rPr>
          <w:sz w:val="20"/>
          <w:szCs w:val="20"/>
        </w:rPr>
        <w:t>,</w:t>
      </w:r>
      <w:r w:rsidRPr="004B551C">
        <w:rPr>
          <w:i/>
          <w:iCs/>
          <w:sz w:val="20"/>
          <w:szCs w:val="20"/>
        </w:rPr>
        <w:t xml:space="preserve"> </w:t>
      </w:r>
      <w:r w:rsidRPr="004B551C">
        <w:rPr>
          <w:sz w:val="20"/>
          <w:szCs w:val="20"/>
        </w:rPr>
        <w:t>24:</w:t>
      </w:r>
      <w:r w:rsidRPr="004B551C">
        <w:rPr>
          <w:i/>
          <w:iCs/>
          <w:sz w:val="20"/>
          <w:szCs w:val="20"/>
        </w:rPr>
        <w:t xml:space="preserve"> </w:t>
      </w:r>
      <w:r w:rsidRPr="004B551C">
        <w:rPr>
          <w:sz w:val="20"/>
          <w:szCs w:val="20"/>
        </w:rPr>
        <w:t>39– 46.</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Tsao</w:t>
      </w:r>
      <w:proofErr w:type="spellEnd"/>
      <w:r w:rsidRPr="004B551C">
        <w:rPr>
          <w:sz w:val="20"/>
          <w:szCs w:val="20"/>
        </w:rPr>
        <w:t xml:space="preserve">, R. and Zhou, T. </w:t>
      </w:r>
      <w:r w:rsidRPr="004B551C">
        <w:rPr>
          <w:b/>
          <w:bCs/>
          <w:sz w:val="20"/>
          <w:szCs w:val="20"/>
        </w:rPr>
        <w:t>(2000).</w:t>
      </w:r>
      <w:r w:rsidRPr="004B551C">
        <w:rPr>
          <w:sz w:val="20"/>
          <w:szCs w:val="20"/>
        </w:rPr>
        <w:t xml:space="preserve"> Antifungal activity of </w:t>
      </w:r>
      <w:proofErr w:type="spellStart"/>
      <w:r w:rsidRPr="004B551C">
        <w:rPr>
          <w:sz w:val="20"/>
          <w:szCs w:val="20"/>
        </w:rPr>
        <w:t>monoterpenoids</w:t>
      </w:r>
      <w:proofErr w:type="spellEnd"/>
      <w:r w:rsidRPr="004B551C">
        <w:rPr>
          <w:sz w:val="20"/>
          <w:szCs w:val="20"/>
        </w:rPr>
        <w:t xml:space="preserve"> against postharvest pathogens </w:t>
      </w:r>
      <w:r w:rsidRPr="004B551C">
        <w:rPr>
          <w:i/>
          <w:iCs/>
          <w:sz w:val="20"/>
          <w:szCs w:val="20"/>
        </w:rPr>
        <w:t xml:space="preserve">Botrytis </w:t>
      </w:r>
      <w:proofErr w:type="spellStart"/>
      <w:r w:rsidRPr="004B551C">
        <w:rPr>
          <w:i/>
          <w:iCs/>
          <w:sz w:val="20"/>
          <w:szCs w:val="20"/>
        </w:rPr>
        <w:t>cinerea</w:t>
      </w:r>
      <w:proofErr w:type="spellEnd"/>
      <w:r w:rsidRPr="004B551C">
        <w:rPr>
          <w:sz w:val="20"/>
          <w:szCs w:val="20"/>
        </w:rPr>
        <w:t xml:space="preserve"> and </w:t>
      </w:r>
      <w:proofErr w:type="spellStart"/>
      <w:r w:rsidRPr="004B551C">
        <w:rPr>
          <w:i/>
          <w:iCs/>
          <w:sz w:val="20"/>
          <w:szCs w:val="20"/>
        </w:rPr>
        <w:t>Monilinia</w:t>
      </w:r>
      <w:proofErr w:type="spellEnd"/>
      <w:r w:rsidRPr="004B551C">
        <w:rPr>
          <w:i/>
          <w:iCs/>
          <w:sz w:val="20"/>
          <w:szCs w:val="20"/>
        </w:rPr>
        <w:t xml:space="preserve"> </w:t>
      </w:r>
      <w:proofErr w:type="spellStart"/>
      <w:r w:rsidRPr="004B551C">
        <w:rPr>
          <w:i/>
          <w:iCs/>
          <w:sz w:val="20"/>
          <w:szCs w:val="20"/>
        </w:rPr>
        <w:t>fructicola</w:t>
      </w:r>
      <w:proofErr w:type="spellEnd"/>
      <w:r w:rsidRPr="004B551C">
        <w:rPr>
          <w:sz w:val="20"/>
          <w:szCs w:val="20"/>
        </w:rPr>
        <w:t xml:space="preserve">. Journal of Essential Oil Research.  12(1): 113-121 </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Valero, D.; </w:t>
      </w:r>
      <w:proofErr w:type="spellStart"/>
      <w:r w:rsidRPr="004B551C">
        <w:rPr>
          <w:sz w:val="20"/>
          <w:szCs w:val="20"/>
        </w:rPr>
        <w:t>Valverde</w:t>
      </w:r>
      <w:proofErr w:type="spellEnd"/>
      <w:r w:rsidRPr="004B551C">
        <w:rPr>
          <w:sz w:val="20"/>
          <w:szCs w:val="20"/>
        </w:rPr>
        <w:t xml:space="preserve">, J.M.; </w:t>
      </w:r>
      <w:proofErr w:type="spellStart"/>
      <w:r w:rsidRPr="004B551C">
        <w:rPr>
          <w:sz w:val="20"/>
          <w:szCs w:val="20"/>
        </w:rPr>
        <w:t>Martínez</w:t>
      </w:r>
      <w:proofErr w:type="spellEnd"/>
      <w:r w:rsidRPr="004B551C">
        <w:rPr>
          <w:sz w:val="20"/>
          <w:szCs w:val="20"/>
        </w:rPr>
        <w:t xml:space="preserve">-Romero, D.; </w:t>
      </w:r>
      <w:proofErr w:type="spellStart"/>
      <w:r w:rsidRPr="004B551C">
        <w:rPr>
          <w:sz w:val="20"/>
          <w:szCs w:val="20"/>
        </w:rPr>
        <w:t>Guillén</w:t>
      </w:r>
      <w:proofErr w:type="spellEnd"/>
      <w:r w:rsidRPr="004B551C">
        <w:rPr>
          <w:sz w:val="20"/>
          <w:szCs w:val="20"/>
        </w:rPr>
        <w:t xml:space="preserve">, F.; Castillo, S. and Serrano, M. </w:t>
      </w:r>
      <w:r w:rsidRPr="004B551C">
        <w:rPr>
          <w:b/>
          <w:bCs/>
          <w:sz w:val="20"/>
          <w:szCs w:val="20"/>
        </w:rPr>
        <w:t>(2006)</w:t>
      </w:r>
      <w:r w:rsidRPr="004B551C">
        <w:rPr>
          <w:sz w:val="20"/>
          <w:szCs w:val="20"/>
        </w:rPr>
        <w:t xml:space="preserve">. The combination of modified atmosphere packaging with </w:t>
      </w:r>
      <w:proofErr w:type="spellStart"/>
      <w:r w:rsidRPr="004B551C">
        <w:rPr>
          <w:sz w:val="20"/>
          <w:szCs w:val="20"/>
        </w:rPr>
        <w:t>eugenol</w:t>
      </w:r>
      <w:proofErr w:type="spellEnd"/>
      <w:r w:rsidRPr="004B551C">
        <w:rPr>
          <w:sz w:val="20"/>
          <w:szCs w:val="20"/>
        </w:rPr>
        <w:t xml:space="preserve"> or </w:t>
      </w:r>
      <w:proofErr w:type="spellStart"/>
      <w:r w:rsidRPr="004B551C">
        <w:rPr>
          <w:sz w:val="20"/>
          <w:szCs w:val="20"/>
        </w:rPr>
        <w:t>thymol</w:t>
      </w:r>
      <w:proofErr w:type="spellEnd"/>
      <w:r w:rsidRPr="004B551C">
        <w:rPr>
          <w:sz w:val="20"/>
          <w:szCs w:val="20"/>
        </w:rPr>
        <w:t xml:space="preserve"> to maintain quality, safety and functional properties of table grapes. Postharvest Biol. Technol.</w:t>
      </w:r>
      <w:r w:rsidR="00795BB6" w:rsidRPr="004B551C">
        <w:rPr>
          <w:sz w:val="20"/>
          <w:szCs w:val="20"/>
        </w:rPr>
        <w:t>,</w:t>
      </w:r>
      <w:r w:rsidRPr="004B551C">
        <w:rPr>
          <w:sz w:val="20"/>
          <w:szCs w:val="20"/>
        </w:rPr>
        <w:t xml:space="preserve"> 41: 317–327.</w:t>
      </w:r>
    </w:p>
    <w:p w:rsidR="00DE5360" w:rsidRPr="004B551C" w:rsidRDefault="00DE5360" w:rsidP="00CE09F5">
      <w:pPr>
        <w:pStyle w:val="NoSpacing"/>
        <w:numPr>
          <w:ilvl w:val="0"/>
          <w:numId w:val="14"/>
        </w:numPr>
        <w:ind w:left="360"/>
        <w:jc w:val="both"/>
        <w:rPr>
          <w:b/>
          <w:bCs/>
          <w:sz w:val="20"/>
          <w:szCs w:val="20"/>
          <w:lang w:bidi="ar-EG"/>
        </w:rPr>
      </w:pPr>
      <w:proofErr w:type="spellStart"/>
      <w:r w:rsidRPr="004B551C">
        <w:rPr>
          <w:rFonts w:eastAsia="AdvEPSTIM"/>
          <w:sz w:val="20"/>
          <w:szCs w:val="20"/>
        </w:rPr>
        <w:t>Vattem</w:t>
      </w:r>
      <w:proofErr w:type="spellEnd"/>
      <w:r w:rsidRPr="004B551C">
        <w:rPr>
          <w:rFonts w:eastAsia="AdvEPSTIM"/>
          <w:sz w:val="20"/>
          <w:szCs w:val="20"/>
        </w:rPr>
        <w:t xml:space="preserve">, D. A.; Lin, Y. T.; </w:t>
      </w:r>
      <w:proofErr w:type="spellStart"/>
      <w:r w:rsidRPr="004B551C">
        <w:rPr>
          <w:rFonts w:eastAsia="AdvEPSTIM"/>
          <w:sz w:val="20"/>
          <w:szCs w:val="20"/>
        </w:rPr>
        <w:t>Labbe</w:t>
      </w:r>
      <w:proofErr w:type="spellEnd"/>
      <w:r w:rsidRPr="004B551C">
        <w:rPr>
          <w:rFonts w:eastAsia="AdvEPSTIM"/>
          <w:sz w:val="20"/>
          <w:szCs w:val="20"/>
        </w:rPr>
        <w:t xml:space="preserve">, R. G. and </w:t>
      </w:r>
      <w:proofErr w:type="spellStart"/>
      <w:r w:rsidRPr="004B551C">
        <w:rPr>
          <w:rFonts w:eastAsia="AdvEPSTIM"/>
          <w:sz w:val="20"/>
          <w:szCs w:val="20"/>
        </w:rPr>
        <w:t>Shetty</w:t>
      </w:r>
      <w:proofErr w:type="spellEnd"/>
      <w:r w:rsidRPr="004B551C">
        <w:rPr>
          <w:rFonts w:eastAsia="AdvEPSTIM"/>
          <w:sz w:val="20"/>
          <w:szCs w:val="20"/>
        </w:rPr>
        <w:t>, K.</w:t>
      </w:r>
      <w:r w:rsidRPr="004B551C">
        <w:rPr>
          <w:rFonts w:eastAsia="AdvEPSTIM"/>
          <w:b/>
          <w:bCs/>
          <w:sz w:val="20"/>
          <w:szCs w:val="20"/>
        </w:rPr>
        <w:t xml:space="preserve"> (2004)</w:t>
      </w:r>
      <w:r w:rsidRPr="004B551C">
        <w:rPr>
          <w:rFonts w:eastAsia="AdvEPSTIM"/>
          <w:sz w:val="20"/>
          <w:szCs w:val="20"/>
        </w:rPr>
        <w:t xml:space="preserve">. </w:t>
      </w:r>
      <w:proofErr w:type="spellStart"/>
      <w:r w:rsidRPr="004B551C">
        <w:rPr>
          <w:rFonts w:eastAsia="AdvEPSTIM"/>
          <w:sz w:val="20"/>
          <w:szCs w:val="20"/>
        </w:rPr>
        <w:t>Phenolic</w:t>
      </w:r>
      <w:proofErr w:type="spellEnd"/>
      <w:r w:rsidRPr="004B551C">
        <w:rPr>
          <w:rFonts w:eastAsia="AdvEPSTIM"/>
          <w:sz w:val="20"/>
          <w:szCs w:val="20"/>
        </w:rPr>
        <w:t xml:space="preserve"> antioxidant mobilization in cranberry </w:t>
      </w:r>
      <w:proofErr w:type="spellStart"/>
      <w:r w:rsidRPr="004B551C">
        <w:rPr>
          <w:rFonts w:eastAsia="AdvEPSTIM"/>
          <w:sz w:val="20"/>
          <w:szCs w:val="20"/>
        </w:rPr>
        <w:t>pomace</w:t>
      </w:r>
      <w:proofErr w:type="spellEnd"/>
      <w:r w:rsidRPr="004B551C">
        <w:rPr>
          <w:rFonts w:eastAsia="AdvEPSTIM"/>
          <w:sz w:val="20"/>
          <w:szCs w:val="20"/>
        </w:rPr>
        <w:t xml:space="preserve"> by solid-state </w:t>
      </w:r>
      <w:proofErr w:type="spellStart"/>
      <w:r w:rsidRPr="004B551C">
        <w:rPr>
          <w:rFonts w:eastAsia="AdvEPSTIM"/>
          <w:sz w:val="20"/>
          <w:szCs w:val="20"/>
        </w:rPr>
        <w:t>bioprocessing</w:t>
      </w:r>
      <w:proofErr w:type="spellEnd"/>
      <w:r w:rsidRPr="004B551C">
        <w:rPr>
          <w:rFonts w:eastAsia="AdvEPSTIM"/>
          <w:sz w:val="20"/>
          <w:szCs w:val="20"/>
        </w:rPr>
        <w:t xml:space="preserve"> using food grade fungus </w:t>
      </w:r>
      <w:proofErr w:type="spellStart"/>
      <w:r w:rsidRPr="004B551C">
        <w:rPr>
          <w:rFonts w:eastAsia="AdvEPSTIM"/>
          <w:i/>
          <w:iCs/>
          <w:sz w:val="20"/>
          <w:szCs w:val="20"/>
        </w:rPr>
        <w:t>Lentinus</w:t>
      </w:r>
      <w:proofErr w:type="spellEnd"/>
      <w:r w:rsidRPr="004B551C">
        <w:rPr>
          <w:rFonts w:eastAsia="AdvEPSTIM"/>
          <w:i/>
          <w:iCs/>
          <w:sz w:val="20"/>
          <w:szCs w:val="20"/>
        </w:rPr>
        <w:t xml:space="preserve"> </w:t>
      </w:r>
      <w:proofErr w:type="spellStart"/>
      <w:r w:rsidRPr="004B551C">
        <w:rPr>
          <w:rFonts w:eastAsia="AdvEPSTIM"/>
          <w:i/>
          <w:iCs/>
          <w:sz w:val="20"/>
          <w:szCs w:val="20"/>
        </w:rPr>
        <w:t>edodes</w:t>
      </w:r>
      <w:proofErr w:type="spellEnd"/>
      <w:r w:rsidRPr="004B551C">
        <w:rPr>
          <w:rFonts w:eastAsia="AdvEPSTIM"/>
          <w:sz w:val="20"/>
          <w:szCs w:val="20"/>
        </w:rPr>
        <w:t xml:space="preserve"> and effect on antimicrobial activity against select food-borne pathogens. Innovative Food Science and Emerging Technologies. 5: 81 - 91.</w:t>
      </w:r>
    </w:p>
    <w:p w:rsidR="00DE5360" w:rsidRPr="004B551C" w:rsidRDefault="00DE5360" w:rsidP="00CE09F5">
      <w:pPr>
        <w:pStyle w:val="NoSpacing"/>
        <w:numPr>
          <w:ilvl w:val="0"/>
          <w:numId w:val="14"/>
        </w:numPr>
        <w:ind w:left="360"/>
        <w:jc w:val="both"/>
        <w:rPr>
          <w:sz w:val="20"/>
          <w:szCs w:val="20"/>
        </w:rPr>
      </w:pPr>
      <w:proofErr w:type="spellStart"/>
      <w:r w:rsidRPr="004B551C">
        <w:rPr>
          <w:sz w:val="20"/>
          <w:szCs w:val="20"/>
        </w:rPr>
        <w:t>Viuda-Martos</w:t>
      </w:r>
      <w:proofErr w:type="spellEnd"/>
      <w:r w:rsidRPr="004B551C">
        <w:rPr>
          <w:sz w:val="20"/>
          <w:szCs w:val="20"/>
        </w:rPr>
        <w:t>, M.; Ruiz-</w:t>
      </w:r>
      <w:proofErr w:type="spellStart"/>
      <w:r w:rsidRPr="004B551C">
        <w:rPr>
          <w:sz w:val="20"/>
          <w:szCs w:val="20"/>
        </w:rPr>
        <w:t>Navajas</w:t>
      </w:r>
      <w:proofErr w:type="spellEnd"/>
      <w:r w:rsidRPr="004B551C">
        <w:rPr>
          <w:sz w:val="20"/>
          <w:szCs w:val="20"/>
        </w:rPr>
        <w:t xml:space="preserve">, Y.; </w:t>
      </w:r>
      <w:proofErr w:type="spellStart"/>
      <w:r w:rsidRPr="004B551C">
        <w:rPr>
          <w:sz w:val="20"/>
          <w:szCs w:val="20"/>
        </w:rPr>
        <w:t>Fernández-López</w:t>
      </w:r>
      <w:proofErr w:type="spellEnd"/>
      <w:r w:rsidRPr="004B551C">
        <w:rPr>
          <w:sz w:val="20"/>
          <w:szCs w:val="20"/>
        </w:rPr>
        <w:t xml:space="preserve">, J. and </w:t>
      </w:r>
      <w:proofErr w:type="spellStart"/>
      <w:r w:rsidRPr="004B551C">
        <w:rPr>
          <w:sz w:val="20"/>
          <w:szCs w:val="20"/>
        </w:rPr>
        <w:t>PérezÁlvarez</w:t>
      </w:r>
      <w:proofErr w:type="spellEnd"/>
      <w:r w:rsidRPr="004B551C">
        <w:rPr>
          <w:sz w:val="20"/>
          <w:szCs w:val="20"/>
        </w:rPr>
        <w:t xml:space="preserve">, J.A. </w:t>
      </w:r>
      <w:r w:rsidRPr="004B551C">
        <w:rPr>
          <w:b/>
          <w:bCs/>
          <w:sz w:val="20"/>
          <w:szCs w:val="20"/>
        </w:rPr>
        <w:t>(2007)</w:t>
      </w:r>
      <w:r w:rsidRPr="004B551C">
        <w:rPr>
          <w:sz w:val="20"/>
          <w:szCs w:val="20"/>
        </w:rPr>
        <w:t xml:space="preserve">. Antifungal activities of thyme, clove and </w:t>
      </w:r>
      <w:proofErr w:type="spellStart"/>
      <w:r w:rsidRPr="004B551C">
        <w:rPr>
          <w:sz w:val="20"/>
          <w:szCs w:val="20"/>
        </w:rPr>
        <w:t>oreganum</w:t>
      </w:r>
      <w:proofErr w:type="spellEnd"/>
      <w:r w:rsidRPr="004B551C">
        <w:rPr>
          <w:sz w:val="20"/>
          <w:szCs w:val="20"/>
        </w:rPr>
        <w:t xml:space="preserve"> essential oils. J. Food </w:t>
      </w:r>
      <w:proofErr w:type="spellStart"/>
      <w:r w:rsidRPr="004B551C">
        <w:rPr>
          <w:sz w:val="20"/>
          <w:szCs w:val="20"/>
        </w:rPr>
        <w:t>Saf</w:t>
      </w:r>
      <w:proofErr w:type="spellEnd"/>
      <w:r w:rsidRPr="004B551C">
        <w:rPr>
          <w:sz w:val="20"/>
          <w:szCs w:val="20"/>
        </w:rPr>
        <w:t>.</w:t>
      </w:r>
      <w:r w:rsidR="00795BB6" w:rsidRPr="004B551C">
        <w:rPr>
          <w:sz w:val="20"/>
          <w:szCs w:val="20"/>
        </w:rPr>
        <w:t>,</w:t>
      </w:r>
      <w:r w:rsidRPr="004B551C">
        <w:rPr>
          <w:sz w:val="20"/>
          <w:szCs w:val="20"/>
        </w:rPr>
        <w:t xml:space="preserve"> 27: 91–101.</w:t>
      </w:r>
    </w:p>
    <w:p w:rsidR="00DE5360" w:rsidRPr="004B551C" w:rsidRDefault="00DE5360" w:rsidP="00CE09F5">
      <w:pPr>
        <w:pStyle w:val="NoSpacing"/>
        <w:numPr>
          <w:ilvl w:val="0"/>
          <w:numId w:val="14"/>
        </w:numPr>
        <w:ind w:left="360"/>
        <w:jc w:val="both"/>
        <w:rPr>
          <w:sz w:val="20"/>
          <w:szCs w:val="20"/>
        </w:rPr>
      </w:pPr>
      <w:r w:rsidRPr="004B551C">
        <w:rPr>
          <w:sz w:val="20"/>
          <w:szCs w:val="20"/>
        </w:rPr>
        <w:t xml:space="preserve">Yu, J., </w:t>
      </w:r>
      <w:proofErr w:type="spellStart"/>
      <w:r w:rsidRPr="004B551C">
        <w:rPr>
          <w:sz w:val="20"/>
          <w:szCs w:val="20"/>
        </w:rPr>
        <w:t>Mohawed</w:t>
      </w:r>
      <w:proofErr w:type="spellEnd"/>
      <w:r w:rsidRPr="004B551C">
        <w:rPr>
          <w:sz w:val="20"/>
          <w:szCs w:val="20"/>
        </w:rPr>
        <w:t xml:space="preserve">, S.M., </w:t>
      </w:r>
      <w:proofErr w:type="spellStart"/>
      <w:r w:rsidRPr="004B551C">
        <w:rPr>
          <w:sz w:val="20"/>
          <w:szCs w:val="20"/>
        </w:rPr>
        <w:t>Bhatnagar</w:t>
      </w:r>
      <w:proofErr w:type="spellEnd"/>
      <w:r w:rsidRPr="004B551C">
        <w:rPr>
          <w:sz w:val="20"/>
          <w:szCs w:val="20"/>
        </w:rPr>
        <w:t xml:space="preserve">, D. and Cleveland, T.E., </w:t>
      </w:r>
      <w:r w:rsidRPr="004B551C">
        <w:rPr>
          <w:b/>
          <w:bCs/>
          <w:sz w:val="20"/>
          <w:szCs w:val="20"/>
        </w:rPr>
        <w:t>(2003).</w:t>
      </w:r>
      <w:r w:rsidRPr="004B551C">
        <w:rPr>
          <w:sz w:val="20"/>
          <w:szCs w:val="20"/>
        </w:rPr>
        <w:t xml:space="preserve"> Substrate-induced lipase gene expression and </w:t>
      </w:r>
      <w:proofErr w:type="spellStart"/>
      <w:r w:rsidRPr="004B551C">
        <w:rPr>
          <w:sz w:val="20"/>
          <w:szCs w:val="20"/>
        </w:rPr>
        <w:t>aﬂatoxin</w:t>
      </w:r>
      <w:proofErr w:type="spellEnd"/>
      <w:r w:rsidRPr="004B551C">
        <w:rPr>
          <w:sz w:val="20"/>
          <w:szCs w:val="20"/>
        </w:rPr>
        <w:t xml:space="preserve"> production in </w:t>
      </w:r>
      <w:proofErr w:type="spellStart"/>
      <w:r w:rsidRPr="004B551C">
        <w:rPr>
          <w:i/>
          <w:iCs/>
          <w:sz w:val="20"/>
          <w:szCs w:val="20"/>
        </w:rPr>
        <w:t>Aspergillus</w:t>
      </w:r>
      <w:proofErr w:type="spellEnd"/>
      <w:r w:rsidRPr="004B551C">
        <w:rPr>
          <w:i/>
          <w:iCs/>
          <w:sz w:val="20"/>
          <w:szCs w:val="20"/>
        </w:rPr>
        <w:t xml:space="preserve"> </w:t>
      </w:r>
      <w:proofErr w:type="spellStart"/>
      <w:r w:rsidRPr="004B551C">
        <w:rPr>
          <w:i/>
          <w:iCs/>
          <w:sz w:val="20"/>
          <w:szCs w:val="20"/>
        </w:rPr>
        <w:t>parasiticus</w:t>
      </w:r>
      <w:proofErr w:type="spellEnd"/>
      <w:r w:rsidRPr="004B551C">
        <w:rPr>
          <w:sz w:val="20"/>
          <w:szCs w:val="20"/>
        </w:rPr>
        <w:t xml:space="preserve"> and </w:t>
      </w:r>
      <w:proofErr w:type="spellStart"/>
      <w:r w:rsidRPr="004B551C">
        <w:rPr>
          <w:i/>
          <w:iCs/>
          <w:sz w:val="20"/>
          <w:szCs w:val="20"/>
        </w:rPr>
        <w:t>Aspergillus</w:t>
      </w:r>
      <w:proofErr w:type="spellEnd"/>
      <w:r w:rsidRPr="004B551C">
        <w:rPr>
          <w:i/>
          <w:iCs/>
          <w:sz w:val="20"/>
          <w:szCs w:val="20"/>
        </w:rPr>
        <w:t xml:space="preserve"> </w:t>
      </w:r>
      <w:proofErr w:type="spellStart"/>
      <w:r w:rsidRPr="004B551C">
        <w:rPr>
          <w:i/>
          <w:iCs/>
          <w:sz w:val="20"/>
          <w:szCs w:val="20"/>
        </w:rPr>
        <w:t>ﬂavus</w:t>
      </w:r>
      <w:proofErr w:type="spellEnd"/>
      <w:r w:rsidRPr="004B551C">
        <w:rPr>
          <w:i/>
          <w:iCs/>
          <w:sz w:val="20"/>
          <w:szCs w:val="20"/>
        </w:rPr>
        <w:t>.</w:t>
      </w:r>
      <w:r w:rsidRPr="004B551C">
        <w:rPr>
          <w:sz w:val="20"/>
          <w:szCs w:val="20"/>
        </w:rPr>
        <w:t xml:space="preserve"> Journal of Applied Microbiology</w:t>
      </w:r>
      <w:r w:rsidR="00795BB6" w:rsidRPr="004B551C">
        <w:rPr>
          <w:sz w:val="20"/>
          <w:szCs w:val="20"/>
        </w:rPr>
        <w:t>,</w:t>
      </w:r>
      <w:r w:rsidRPr="004B551C">
        <w:rPr>
          <w:sz w:val="20"/>
          <w:szCs w:val="20"/>
        </w:rPr>
        <w:t xml:space="preserve"> 95</w:t>
      </w:r>
      <w:r w:rsidR="00795BB6" w:rsidRPr="004B551C">
        <w:rPr>
          <w:sz w:val="20"/>
          <w:szCs w:val="20"/>
        </w:rPr>
        <w:t>:</w:t>
      </w:r>
      <w:r w:rsidRPr="004B551C">
        <w:rPr>
          <w:sz w:val="20"/>
          <w:szCs w:val="20"/>
        </w:rPr>
        <w:t xml:space="preserve"> 1334–1342.</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Zygadlo</w:t>
      </w:r>
      <w:proofErr w:type="spellEnd"/>
      <w:r w:rsidRPr="004B551C">
        <w:rPr>
          <w:sz w:val="20"/>
          <w:szCs w:val="20"/>
          <w:lang w:bidi="ar-EG"/>
        </w:rPr>
        <w:t xml:space="preserve">, J. A. and </w:t>
      </w:r>
      <w:proofErr w:type="spellStart"/>
      <w:r w:rsidRPr="004B551C">
        <w:rPr>
          <w:sz w:val="20"/>
          <w:szCs w:val="20"/>
          <w:lang w:bidi="ar-EG"/>
        </w:rPr>
        <w:t>Grosso</w:t>
      </w:r>
      <w:proofErr w:type="spellEnd"/>
      <w:r w:rsidRPr="004B551C">
        <w:rPr>
          <w:sz w:val="20"/>
          <w:szCs w:val="20"/>
          <w:lang w:bidi="ar-EG"/>
        </w:rPr>
        <w:t xml:space="preserve">, N. R. </w:t>
      </w:r>
      <w:r w:rsidRPr="004B551C">
        <w:rPr>
          <w:b/>
          <w:bCs/>
          <w:sz w:val="20"/>
          <w:szCs w:val="20"/>
          <w:lang w:bidi="ar-EG"/>
        </w:rPr>
        <w:t>(1995).</w:t>
      </w:r>
      <w:r w:rsidR="00CE09F5">
        <w:rPr>
          <w:sz w:val="20"/>
          <w:szCs w:val="20"/>
          <w:lang w:bidi="ar-EG"/>
        </w:rPr>
        <w:t xml:space="preserve"> </w:t>
      </w:r>
      <w:r w:rsidRPr="004B551C">
        <w:rPr>
          <w:sz w:val="20"/>
          <w:szCs w:val="20"/>
          <w:lang w:bidi="ar-EG"/>
        </w:rPr>
        <w:t xml:space="preserve">Comparative study of the antifungal activity of essential oils from aromatic wild in the Central Region of Argentina. </w:t>
      </w:r>
      <w:proofErr w:type="spellStart"/>
      <w:r w:rsidRPr="004B551C">
        <w:rPr>
          <w:sz w:val="20"/>
          <w:szCs w:val="20"/>
          <w:lang w:bidi="ar-EG"/>
        </w:rPr>
        <w:t>Flav</w:t>
      </w:r>
      <w:proofErr w:type="spellEnd"/>
      <w:r w:rsidRPr="004B551C">
        <w:rPr>
          <w:sz w:val="20"/>
          <w:szCs w:val="20"/>
          <w:lang w:bidi="ar-EG"/>
        </w:rPr>
        <w:t xml:space="preserve">. </w:t>
      </w:r>
      <w:proofErr w:type="spellStart"/>
      <w:r w:rsidRPr="004B551C">
        <w:rPr>
          <w:sz w:val="20"/>
          <w:szCs w:val="20"/>
          <w:lang w:bidi="ar-EG"/>
        </w:rPr>
        <w:t>Frag</w:t>
      </w:r>
      <w:proofErr w:type="spellEnd"/>
      <w:r w:rsidRPr="004B551C">
        <w:rPr>
          <w:sz w:val="20"/>
          <w:szCs w:val="20"/>
          <w:lang w:bidi="ar-EG"/>
        </w:rPr>
        <w:t>. J.</w:t>
      </w:r>
      <w:r w:rsidR="00795BB6" w:rsidRPr="004B551C">
        <w:rPr>
          <w:sz w:val="20"/>
          <w:szCs w:val="20"/>
          <w:lang w:bidi="ar-EG"/>
        </w:rPr>
        <w:t>,</w:t>
      </w:r>
      <w:r w:rsidR="00CE09F5">
        <w:rPr>
          <w:sz w:val="20"/>
          <w:szCs w:val="20"/>
          <w:lang w:bidi="ar-EG"/>
        </w:rPr>
        <w:t xml:space="preserve"> 10:</w:t>
      </w:r>
      <w:r w:rsidRPr="004B551C">
        <w:rPr>
          <w:sz w:val="20"/>
          <w:szCs w:val="20"/>
          <w:lang w:bidi="ar-EG"/>
        </w:rPr>
        <w:t>113–118.</w:t>
      </w:r>
    </w:p>
    <w:p w:rsidR="00DE5360" w:rsidRPr="004B551C" w:rsidRDefault="00DE5360" w:rsidP="00CE09F5">
      <w:pPr>
        <w:pStyle w:val="NoSpacing"/>
        <w:numPr>
          <w:ilvl w:val="0"/>
          <w:numId w:val="14"/>
        </w:numPr>
        <w:ind w:left="360"/>
        <w:jc w:val="both"/>
        <w:rPr>
          <w:sz w:val="20"/>
          <w:szCs w:val="20"/>
          <w:lang w:bidi="ar-EG"/>
        </w:rPr>
      </w:pPr>
      <w:proofErr w:type="spellStart"/>
      <w:r w:rsidRPr="004B551C">
        <w:rPr>
          <w:sz w:val="20"/>
          <w:szCs w:val="20"/>
          <w:lang w:bidi="ar-EG"/>
        </w:rPr>
        <w:t>Zygadlo</w:t>
      </w:r>
      <w:proofErr w:type="spellEnd"/>
      <w:r w:rsidRPr="004B551C">
        <w:rPr>
          <w:sz w:val="20"/>
          <w:szCs w:val="20"/>
          <w:lang w:bidi="ar-EG"/>
        </w:rPr>
        <w:t xml:space="preserve">, J. A.; Guzman, C. A. and </w:t>
      </w:r>
      <w:proofErr w:type="spellStart"/>
      <w:r w:rsidRPr="004B551C">
        <w:rPr>
          <w:sz w:val="20"/>
          <w:szCs w:val="20"/>
          <w:lang w:bidi="ar-EG"/>
        </w:rPr>
        <w:t>Grosso</w:t>
      </w:r>
      <w:proofErr w:type="spellEnd"/>
      <w:r w:rsidRPr="004B551C">
        <w:rPr>
          <w:sz w:val="20"/>
          <w:szCs w:val="20"/>
          <w:lang w:bidi="ar-EG"/>
        </w:rPr>
        <w:t xml:space="preserve">, N. R. </w:t>
      </w:r>
      <w:r w:rsidRPr="004B551C">
        <w:rPr>
          <w:b/>
          <w:bCs/>
          <w:sz w:val="20"/>
          <w:szCs w:val="20"/>
          <w:lang w:bidi="ar-EG"/>
        </w:rPr>
        <w:t>(1994).</w:t>
      </w:r>
      <w:r w:rsidRPr="004B551C">
        <w:rPr>
          <w:sz w:val="20"/>
          <w:szCs w:val="20"/>
          <w:lang w:bidi="ar-EG"/>
        </w:rPr>
        <w:t xml:space="preserve"> Antifungal properties of the leaf oil of </w:t>
      </w:r>
      <w:proofErr w:type="spellStart"/>
      <w:r w:rsidRPr="004B551C">
        <w:rPr>
          <w:i/>
          <w:iCs/>
          <w:sz w:val="20"/>
          <w:szCs w:val="20"/>
          <w:lang w:bidi="ar-EG"/>
        </w:rPr>
        <w:t>Tagetes</w:t>
      </w:r>
      <w:proofErr w:type="spellEnd"/>
      <w:r w:rsidRPr="004B551C">
        <w:rPr>
          <w:i/>
          <w:iCs/>
          <w:sz w:val="20"/>
          <w:szCs w:val="20"/>
          <w:lang w:bidi="ar-EG"/>
        </w:rPr>
        <w:t xml:space="preserve"> </w:t>
      </w:r>
      <w:proofErr w:type="spellStart"/>
      <w:r w:rsidRPr="004B551C">
        <w:rPr>
          <w:i/>
          <w:iCs/>
          <w:sz w:val="20"/>
          <w:szCs w:val="20"/>
          <w:lang w:bidi="ar-EG"/>
        </w:rPr>
        <w:t>minula</w:t>
      </w:r>
      <w:proofErr w:type="spellEnd"/>
      <w:r w:rsidRPr="004B551C">
        <w:rPr>
          <w:i/>
          <w:iCs/>
          <w:sz w:val="20"/>
          <w:szCs w:val="20"/>
          <w:lang w:bidi="ar-EG"/>
        </w:rPr>
        <w:t xml:space="preserve"> </w:t>
      </w:r>
      <w:r w:rsidRPr="004B551C">
        <w:rPr>
          <w:sz w:val="20"/>
          <w:szCs w:val="20"/>
          <w:lang w:bidi="ar-EG"/>
        </w:rPr>
        <w:t xml:space="preserve">and </w:t>
      </w:r>
      <w:proofErr w:type="spellStart"/>
      <w:r w:rsidRPr="004B551C">
        <w:rPr>
          <w:i/>
          <w:iCs/>
          <w:sz w:val="20"/>
          <w:szCs w:val="20"/>
          <w:lang w:bidi="ar-EG"/>
        </w:rPr>
        <w:t>Tagets</w:t>
      </w:r>
      <w:proofErr w:type="spellEnd"/>
      <w:r w:rsidRPr="004B551C">
        <w:rPr>
          <w:i/>
          <w:iCs/>
          <w:sz w:val="20"/>
          <w:szCs w:val="20"/>
          <w:lang w:bidi="ar-EG"/>
        </w:rPr>
        <w:t xml:space="preserve"> </w:t>
      </w:r>
      <w:proofErr w:type="spellStart"/>
      <w:r w:rsidRPr="004B551C">
        <w:rPr>
          <w:i/>
          <w:iCs/>
          <w:sz w:val="20"/>
          <w:szCs w:val="20"/>
          <w:lang w:bidi="ar-EG"/>
        </w:rPr>
        <w:t>filifolia</w:t>
      </w:r>
      <w:proofErr w:type="spellEnd"/>
      <w:r w:rsidRPr="004B551C">
        <w:rPr>
          <w:i/>
          <w:iCs/>
          <w:sz w:val="20"/>
          <w:szCs w:val="20"/>
          <w:lang w:bidi="ar-EG"/>
        </w:rPr>
        <w:t xml:space="preserve"> </w:t>
      </w:r>
      <w:r w:rsidRPr="004B551C">
        <w:rPr>
          <w:sz w:val="20"/>
          <w:szCs w:val="20"/>
          <w:lang w:bidi="ar-EG"/>
        </w:rPr>
        <w:t xml:space="preserve">Lag. J. </w:t>
      </w:r>
      <w:proofErr w:type="spellStart"/>
      <w:r w:rsidRPr="004B551C">
        <w:rPr>
          <w:sz w:val="20"/>
          <w:szCs w:val="20"/>
          <w:lang w:bidi="ar-EG"/>
        </w:rPr>
        <w:t>Essent</w:t>
      </w:r>
      <w:proofErr w:type="spellEnd"/>
      <w:r w:rsidRPr="004B551C">
        <w:rPr>
          <w:sz w:val="20"/>
          <w:szCs w:val="20"/>
          <w:lang w:bidi="ar-EG"/>
        </w:rPr>
        <w:t>. Oil Res.</w:t>
      </w:r>
      <w:r w:rsidR="00795BB6" w:rsidRPr="004B551C">
        <w:rPr>
          <w:sz w:val="20"/>
          <w:szCs w:val="20"/>
          <w:lang w:bidi="ar-EG"/>
        </w:rPr>
        <w:t>,</w:t>
      </w:r>
      <w:r w:rsidRPr="004B551C">
        <w:rPr>
          <w:sz w:val="20"/>
          <w:szCs w:val="20"/>
          <w:lang w:bidi="ar-EG"/>
        </w:rPr>
        <w:t xml:space="preserve"> 6: 617 – 621.</w:t>
      </w:r>
    </w:p>
    <w:p w:rsidR="007F1798" w:rsidRPr="004B551C" w:rsidRDefault="007F1798" w:rsidP="004B551C">
      <w:pPr>
        <w:autoSpaceDE w:val="0"/>
        <w:autoSpaceDN w:val="0"/>
        <w:adjustRightInd w:val="0"/>
        <w:jc w:val="both"/>
        <w:rPr>
          <w:rFonts w:eastAsia="Batang"/>
          <w:sz w:val="20"/>
          <w:szCs w:val="20"/>
        </w:rPr>
        <w:sectPr w:rsidR="007F1798" w:rsidRPr="004B551C" w:rsidSect="0009314B">
          <w:type w:val="continuous"/>
          <w:pgSz w:w="12240" w:h="15840" w:code="1"/>
          <w:pgMar w:top="1440" w:right="1361" w:bottom="851" w:left="1361" w:header="720" w:footer="510" w:gutter="0"/>
          <w:cols w:num="2" w:space="720"/>
          <w:docGrid w:linePitch="360"/>
        </w:sectPr>
      </w:pPr>
    </w:p>
    <w:p w:rsidR="00522BBA" w:rsidRDefault="00522BBA" w:rsidP="004B551C">
      <w:pPr>
        <w:autoSpaceDE w:val="0"/>
        <w:autoSpaceDN w:val="0"/>
        <w:adjustRightInd w:val="0"/>
        <w:jc w:val="both"/>
        <w:rPr>
          <w:rFonts w:eastAsia="Batang"/>
          <w:sz w:val="20"/>
          <w:szCs w:val="20"/>
        </w:rPr>
      </w:pPr>
    </w:p>
    <w:p w:rsidR="00CE09F5" w:rsidRPr="004B551C" w:rsidRDefault="00CE09F5" w:rsidP="004B551C">
      <w:pPr>
        <w:autoSpaceDE w:val="0"/>
        <w:autoSpaceDN w:val="0"/>
        <w:adjustRightInd w:val="0"/>
        <w:jc w:val="both"/>
        <w:rPr>
          <w:rFonts w:eastAsia="Batang"/>
          <w:sz w:val="20"/>
          <w:szCs w:val="20"/>
        </w:rPr>
      </w:pPr>
      <w:r>
        <w:rPr>
          <w:rFonts w:eastAsia="Batang"/>
          <w:sz w:val="20"/>
          <w:szCs w:val="20"/>
        </w:rPr>
        <w:t>5/5/2012</w:t>
      </w:r>
    </w:p>
    <w:sectPr w:rsidR="00CE09F5" w:rsidRPr="004B551C" w:rsidSect="007F1798">
      <w:type w:val="continuous"/>
      <w:pgSz w:w="12240" w:h="15840" w:code="1"/>
      <w:pgMar w:top="1440" w:right="1361" w:bottom="851" w:left="1361"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1C" w:rsidRDefault="004B551C">
      <w:r>
        <w:separator/>
      </w:r>
    </w:p>
  </w:endnote>
  <w:endnote w:type="continuationSeparator" w:id="0">
    <w:p w:rsidR="004B551C" w:rsidRDefault="004B5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dvEPSTIM">
    <w:altName w:val="Arial Unicode MS"/>
    <w:panose1 w:val="00000000000000000000"/>
    <w:charset w:val="80"/>
    <w:family w:val="auto"/>
    <w:notTrueType/>
    <w:pitch w:val="default"/>
    <w:sig w:usb0="00000001" w:usb1="08070000" w:usb2="00000010" w:usb3="00000000" w:csb0="00020000" w:csb1="00000000"/>
  </w:font>
  <w:font w:name="AdvTimes">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1C" w:rsidRDefault="004B551C" w:rsidP="002443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551C" w:rsidRDefault="004B55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51719"/>
      <w:docPartObj>
        <w:docPartGallery w:val="Page Numbers (Bottom of Page)"/>
        <w:docPartUnique/>
      </w:docPartObj>
    </w:sdtPr>
    <w:sdtEndPr>
      <w:rPr>
        <w:sz w:val="20"/>
        <w:szCs w:val="20"/>
      </w:rPr>
    </w:sdtEndPr>
    <w:sdtContent>
      <w:p w:rsidR="004B551C" w:rsidRPr="004B551C" w:rsidRDefault="004B551C">
        <w:pPr>
          <w:pStyle w:val="Footer"/>
          <w:jc w:val="center"/>
          <w:rPr>
            <w:sz w:val="20"/>
            <w:szCs w:val="20"/>
          </w:rPr>
        </w:pPr>
        <w:r w:rsidRPr="004B551C">
          <w:rPr>
            <w:sz w:val="20"/>
            <w:szCs w:val="20"/>
          </w:rPr>
          <w:fldChar w:fldCharType="begin"/>
        </w:r>
        <w:r w:rsidRPr="004B551C">
          <w:rPr>
            <w:sz w:val="20"/>
            <w:szCs w:val="20"/>
          </w:rPr>
          <w:instrText xml:space="preserve"> PAGE   \* MERGEFORMAT </w:instrText>
        </w:r>
        <w:r w:rsidRPr="004B551C">
          <w:rPr>
            <w:sz w:val="20"/>
            <w:szCs w:val="20"/>
          </w:rPr>
          <w:fldChar w:fldCharType="separate"/>
        </w:r>
        <w:r w:rsidR="00CE09F5">
          <w:rPr>
            <w:noProof/>
            <w:sz w:val="20"/>
            <w:szCs w:val="20"/>
          </w:rPr>
          <w:t>114</w:t>
        </w:r>
        <w:r w:rsidRPr="004B551C">
          <w:rPr>
            <w:sz w:val="20"/>
            <w:szCs w:val="20"/>
          </w:rPr>
          <w:fldChar w:fldCharType="end"/>
        </w:r>
      </w:p>
    </w:sdtContent>
  </w:sdt>
  <w:p w:rsidR="004B551C" w:rsidRDefault="004B551C" w:rsidP="00276BF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1C" w:rsidRDefault="004B551C">
      <w:r>
        <w:separator/>
      </w:r>
    </w:p>
  </w:footnote>
  <w:footnote w:type="continuationSeparator" w:id="0">
    <w:p w:rsidR="004B551C" w:rsidRDefault="004B5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1C" w:rsidRPr="00276BF4" w:rsidRDefault="004B551C" w:rsidP="00276BF4">
    <w:pPr>
      <w:pBdr>
        <w:bottom w:val="thinThickMediumGap" w:sz="12" w:space="1" w:color="auto"/>
      </w:pBdr>
      <w:tabs>
        <w:tab w:val="left" w:pos="9360"/>
      </w:tabs>
      <w:jc w:val="center"/>
      <w:rPr>
        <w:sz w:val="20"/>
        <w:szCs w:val="20"/>
      </w:rPr>
    </w:pPr>
    <w:r w:rsidRPr="001F3F6D">
      <w:rPr>
        <w:sz w:val="20"/>
        <w:szCs w:val="20"/>
      </w:rPr>
      <w:t>Nature and Science 201</w:t>
    </w:r>
    <w:r>
      <w:rPr>
        <w:sz w:val="20"/>
        <w:szCs w:val="20"/>
      </w:rPr>
      <w:t>2</w:t>
    </w:r>
    <w:r w:rsidRPr="001F3F6D">
      <w:rPr>
        <w:sz w:val="20"/>
        <w:szCs w:val="20"/>
      </w:rPr>
      <w:t>;</w:t>
    </w:r>
    <w:r>
      <w:rPr>
        <w:sz w:val="20"/>
        <w:szCs w:val="20"/>
      </w:rPr>
      <w:t>10</w:t>
    </w:r>
    <w:r w:rsidRPr="001F3F6D">
      <w:rPr>
        <w:sz w:val="20"/>
        <w:szCs w:val="20"/>
      </w:rPr>
      <w:t>(</w:t>
    </w:r>
    <w:r>
      <w:rPr>
        <w:sz w:val="20"/>
        <w:szCs w:val="20"/>
      </w:rPr>
      <w:t>6</w:t>
    </w:r>
    <w:r w:rsidRPr="001F3F6D">
      <w:rPr>
        <w:sz w:val="20"/>
        <w:szCs w:val="20"/>
      </w:rPr>
      <w:t xml:space="preserve">) </w:t>
    </w:r>
    <w:r w:rsidRPr="001F3F6D">
      <w:rPr>
        <w:color w:val="000000"/>
        <w:sz w:val="20"/>
        <w:szCs w:val="20"/>
      </w:rPr>
      <w:t xml:space="preserve">        </w:t>
    </w:r>
    <w:r>
      <w:rPr>
        <w:color w:val="000000"/>
        <w:sz w:val="20"/>
        <w:szCs w:val="20"/>
      </w:rPr>
      <w:t xml:space="preserve">                  </w:t>
    </w:r>
    <w:r w:rsidRPr="001F3F6D">
      <w:rPr>
        <w:color w:val="000000"/>
        <w:sz w:val="20"/>
        <w:szCs w:val="20"/>
      </w:rPr>
      <w:t xml:space="preserve">                 </w:t>
    </w:r>
    <w:hyperlink r:id="rId1" w:history="1">
      <w:r w:rsidRPr="001F3F6D">
        <w:rPr>
          <w:rStyle w:val="Hyperlink"/>
          <w:sz w:val="20"/>
          <w:szCs w:val="20"/>
        </w:rPr>
        <w:t>http://www.sciencepub.net/nature</w:t>
      </w:r>
    </w:hyperlink>
    <w:r>
      <w:rPr>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F56"/>
    <w:multiLevelType w:val="hybridMultilevel"/>
    <w:tmpl w:val="41C237E2"/>
    <w:lvl w:ilvl="0" w:tplc="4CE6A84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260C9"/>
    <w:multiLevelType w:val="hybridMultilevel"/>
    <w:tmpl w:val="C2E21428"/>
    <w:lvl w:ilvl="0" w:tplc="6694BF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E74DF1"/>
    <w:multiLevelType w:val="hybridMultilevel"/>
    <w:tmpl w:val="DD9AEB22"/>
    <w:lvl w:ilvl="0" w:tplc="7DB86AF2">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6C27A9"/>
    <w:multiLevelType w:val="hybridMultilevel"/>
    <w:tmpl w:val="1C5C7050"/>
    <w:lvl w:ilvl="0" w:tplc="754446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95DD2"/>
    <w:multiLevelType w:val="multilevel"/>
    <w:tmpl w:val="063EFB6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293C0FE6"/>
    <w:multiLevelType w:val="hybridMultilevel"/>
    <w:tmpl w:val="1638D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307EA"/>
    <w:multiLevelType w:val="hybridMultilevel"/>
    <w:tmpl w:val="9816EF10"/>
    <w:lvl w:ilvl="0" w:tplc="59AA61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61254B7"/>
    <w:multiLevelType w:val="hybridMultilevel"/>
    <w:tmpl w:val="76CCD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42299D"/>
    <w:multiLevelType w:val="hybridMultilevel"/>
    <w:tmpl w:val="2026C0DA"/>
    <w:lvl w:ilvl="0" w:tplc="6B3EAB74">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9">
    <w:nsid w:val="4B653721"/>
    <w:multiLevelType w:val="hybridMultilevel"/>
    <w:tmpl w:val="C826CCFE"/>
    <w:lvl w:ilvl="0" w:tplc="05CA5E3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61D6D05"/>
    <w:multiLevelType w:val="hybridMultilevel"/>
    <w:tmpl w:val="BC06D0A4"/>
    <w:lvl w:ilvl="0" w:tplc="482C4A9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D555E7E"/>
    <w:multiLevelType w:val="hybridMultilevel"/>
    <w:tmpl w:val="635C3348"/>
    <w:lvl w:ilvl="0" w:tplc="9F527CE2">
      <w:start w:val="1"/>
      <w:numFmt w:val="upperLetter"/>
      <w:lvlText w:val="(%1)"/>
      <w:lvlJc w:val="left"/>
      <w:pPr>
        <w:tabs>
          <w:tab w:val="num" w:pos="555"/>
        </w:tabs>
        <w:ind w:left="555" w:hanging="37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9E11DF"/>
    <w:multiLevelType w:val="hybridMultilevel"/>
    <w:tmpl w:val="737499C4"/>
    <w:lvl w:ilvl="0" w:tplc="5F885C72">
      <w:start w:val="1"/>
      <w:numFmt w:val="decimal"/>
      <w:lvlText w:val="%1."/>
      <w:lvlJc w:val="left"/>
      <w:pPr>
        <w:tabs>
          <w:tab w:val="num" w:pos="720"/>
        </w:tabs>
        <w:ind w:left="720" w:hanging="360"/>
      </w:pPr>
      <w:rPr>
        <w:rFonts w:hint="default"/>
      </w:rPr>
    </w:lvl>
    <w:lvl w:ilvl="1" w:tplc="FE5A5838">
      <w:numFmt w:val="none"/>
      <w:lvlText w:val=""/>
      <w:lvlJc w:val="left"/>
      <w:pPr>
        <w:tabs>
          <w:tab w:val="num" w:pos="360"/>
        </w:tabs>
      </w:pPr>
    </w:lvl>
    <w:lvl w:ilvl="2" w:tplc="C1C094E2">
      <w:numFmt w:val="none"/>
      <w:lvlText w:val=""/>
      <w:lvlJc w:val="left"/>
      <w:pPr>
        <w:tabs>
          <w:tab w:val="num" w:pos="360"/>
        </w:tabs>
      </w:pPr>
    </w:lvl>
    <w:lvl w:ilvl="3" w:tplc="4538C8E2">
      <w:numFmt w:val="none"/>
      <w:lvlText w:val=""/>
      <w:lvlJc w:val="left"/>
      <w:pPr>
        <w:tabs>
          <w:tab w:val="num" w:pos="360"/>
        </w:tabs>
      </w:pPr>
    </w:lvl>
    <w:lvl w:ilvl="4" w:tplc="3BB2A3CE">
      <w:numFmt w:val="none"/>
      <w:lvlText w:val=""/>
      <w:lvlJc w:val="left"/>
      <w:pPr>
        <w:tabs>
          <w:tab w:val="num" w:pos="360"/>
        </w:tabs>
      </w:pPr>
    </w:lvl>
    <w:lvl w:ilvl="5" w:tplc="ABCE9FAC">
      <w:numFmt w:val="none"/>
      <w:lvlText w:val=""/>
      <w:lvlJc w:val="left"/>
      <w:pPr>
        <w:tabs>
          <w:tab w:val="num" w:pos="360"/>
        </w:tabs>
      </w:pPr>
    </w:lvl>
    <w:lvl w:ilvl="6" w:tplc="1F8A4262">
      <w:numFmt w:val="none"/>
      <w:lvlText w:val=""/>
      <w:lvlJc w:val="left"/>
      <w:pPr>
        <w:tabs>
          <w:tab w:val="num" w:pos="360"/>
        </w:tabs>
      </w:pPr>
    </w:lvl>
    <w:lvl w:ilvl="7" w:tplc="1F321BC4">
      <w:numFmt w:val="none"/>
      <w:lvlText w:val=""/>
      <w:lvlJc w:val="left"/>
      <w:pPr>
        <w:tabs>
          <w:tab w:val="num" w:pos="360"/>
        </w:tabs>
      </w:pPr>
    </w:lvl>
    <w:lvl w:ilvl="8" w:tplc="A7A4CAD2">
      <w:numFmt w:val="none"/>
      <w:lvlText w:val=""/>
      <w:lvlJc w:val="left"/>
      <w:pPr>
        <w:tabs>
          <w:tab w:val="num" w:pos="360"/>
        </w:tabs>
      </w:pPr>
    </w:lvl>
  </w:abstractNum>
  <w:abstractNum w:abstractNumId="13">
    <w:nsid w:val="7639335F"/>
    <w:multiLevelType w:val="hybridMultilevel"/>
    <w:tmpl w:val="35883086"/>
    <w:lvl w:ilvl="0" w:tplc="6400BCB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1"/>
  </w:num>
  <w:num w:numId="7">
    <w:abstractNumId w:val="13"/>
  </w:num>
  <w:num w:numId="8">
    <w:abstractNumId w:val="7"/>
  </w:num>
  <w:num w:numId="9">
    <w:abstractNumId w:val="0"/>
  </w:num>
  <w:num w:numId="10">
    <w:abstractNumId w:val="3"/>
  </w:num>
  <w:num w:numId="11">
    <w:abstractNumId w:val="12"/>
  </w:num>
  <w:num w:numId="12">
    <w:abstractNumId w:val="9"/>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
  <w:rsids>
    <w:rsidRoot w:val="00EE0016"/>
    <w:rsid w:val="00016108"/>
    <w:rsid w:val="00024808"/>
    <w:rsid w:val="000477EA"/>
    <w:rsid w:val="0005582F"/>
    <w:rsid w:val="00066784"/>
    <w:rsid w:val="00081BA6"/>
    <w:rsid w:val="00092842"/>
    <w:rsid w:val="0009314B"/>
    <w:rsid w:val="000A05EC"/>
    <w:rsid w:val="000B4524"/>
    <w:rsid w:val="000B6915"/>
    <w:rsid w:val="000D6972"/>
    <w:rsid w:val="000E0700"/>
    <w:rsid w:val="00197907"/>
    <w:rsid w:val="001A5ECB"/>
    <w:rsid w:val="001A7A1C"/>
    <w:rsid w:val="001D0111"/>
    <w:rsid w:val="001F5256"/>
    <w:rsid w:val="00236D44"/>
    <w:rsid w:val="00244353"/>
    <w:rsid w:val="00253187"/>
    <w:rsid w:val="00260CAA"/>
    <w:rsid w:val="00273B51"/>
    <w:rsid w:val="0027500F"/>
    <w:rsid w:val="00275E29"/>
    <w:rsid w:val="00276BF4"/>
    <w:rsid w:val="00284329"/>
    <w:rsid w:val="0028740C"/>
    <w:rsid w:val="002B5076"/>
    <w:rsid w:val="002C0DB3"/>
    <w:rsid w:val="002C31C7"/>
    <w:rsid w:val="00306F36"/>
    <w:rsid w:val="0035488D"/>
    <w:rsid w:val="003734E5"/>
    <w:rsid w:val="00377E4B"/>
    <w:rsid w:val="0038554F"/>
    <w:rsid w:val="003A2830"/>
    <w:rsid w:val="003B1A96"/>
    <w:rsid w:val="0040364F"/>
    <w:rsid w:val="0040611E"/>
    <w:rsid w:val="004A3192"/>
    <w:rsid w:val="004B551C"/>
    <w:rsid w:val="004E1253"/>
    <w:rsid w:val="004F4194"/>
    <w:rsid w:val="005202B2"/>
    <w:rsid w:val="00522BBA"/>
    <w:rsid w:val="0057675D"/>
    <w:rsid w:val="005844F2"/>
    <w:rsid w:val="00590393"/>
    <w:rsid w:val="005C763C"/>
    <w:rsid w:val="005E2BBF"/>
    <w:rsid w:val="00606658"/>
    <w:rsid w:val="00630172"/>
    <w:rsid w:val="006465DE"/>
    <w:rsid w:val="0068662F"/>
    <w:rsid w:val="006874C1"/>
    <w:rsid w:val="006A29ED"/>
    <w:rsid w:val="006E76F1"/>
    <w:rsid w:val="00741EFF"/>
    <w:rsid w:val="0078246A"/>
    <w:rsid w:val="00790D22"/>
    <w:rsid w:val="00795BB6"/>
    <w:rsid w:val="007D1193"/>
    <w:rsid w:val="007D75CA"/>
    <w:rsid w:val="007F1798"/>
    <w:rsid w:val="008047B0"/>
    <w:rsid w:val="00807D6F"/>
    <w:rsid w:val="00852C1C"/>
    <w:rsid w:val="00862643"/>
    <w:rsid w:val="00877AD6"/>
    <w:rsid w:val="008939D7"/>
    <w:rsid w:val="008943D1"/>
    <w:rsid w:val="008A0E76"/>
    <w:rsid w:val="008B158E"/>
    <w:rsid w:val="008C6058"/>
    <w:rsid w:val="008F261E"/>
    <w:rsid w:val="009077B3"/>
    <w:rsid w:val="00907E7E"/>
    <w:rsid w:val="00924565"/>
    <w:rsid w:val="009272BA"/>
    <w:rsid w:val="00974E44"/>
    <w:rsid w:val="009867F7"/>
    <w:rsid w:val="009A34A1"/>
    <w:rsid w:val="009D0781"/>
    <w:rsid w:val="009F6CEA"/>
    <w:rsid w:val="00A05D85"/>
    <w:rsid w:val="00A3788C"/>
    <w:rsid w:val="00A45EF8"/>
    <w:rsid w:val="00A74F92"/>
    <w:rsid w:val="00A90E36"/>
    <w:rsid w:val="00AB1286"/>
    <w:rsid w:val="00AC61BC"/>
    <w:rsid w:val="00B1617C"/>
    <w:rsid w:val="00B820B0"/>
    <w:rsid w:val="00B851E0"/>
    <w:rsid w:val="00B952E0"/>
    <w:rsid w:val="00BB727C"/>
    <w:rsid w:val="00BB72A2"/>
    <w:rsid w:val="00BE4468"/>
    <w:rsid w:val="00C07E81"/>
    <w:rsid w:val="00C13B4C"/>
    <w:rsid w:val="00C5682F"/>
    <w:rsid w:val="00C76DF7"/>
    <w:rsid w:val="00C77128"/>
    <w:rsid w:val="00C84B68"/>
    <w:rsid w:val="00CA57E9"/>
    <w:rsid w:val="00CC7E67"/>
    <w:rsid w:val="00CE0161"/>
    <w:rsid w:val="00CE09F5"/>
    <w:rsid w:val="00CF7EF4"/>
    <w:rsid w:val="00D15F32"/>
    <w:rsid w:val="00D23954"/>
    <w:rsid w:val="00D27AF5"/>
    <w:rsid w:val="00D27BD8"/>
    <w:rsid w:val="00D77255"/>
    <w:rsid w:val="00D911CF"/>
    <w:rsid w:val="00DA1C2C"/>
    <w:rsid w:val="00DB137D"/>
    <w:rsid w:val="00DC0F2C"/>
    <w:rsid w:val="00DD0500"/>
    <w:rsid w:val="00DE5360"/>
    <w:rsid w:val="00E75E1F"/>
    <w:rsid w:val="00E80FD6"/>
    <w:rsid w:val="00E83CC2"/>
    <w:rsid w:val="00E90B50"/>
    <w:rsid w:val="00E92E2D"/>
    <w:rsid w:val="00E946D4"/>
    <w:rsid w:val="00EA1BD8"/>
    <w:rsid w:val="00EA38F0"/>
    <w:rsid w:val="00EA42FF"/>
    <w:rsid w:val="00EA6583"/>
    <w:rsid w:val="00EB011D"/>
    <w:rsid w:val="00EB6329"/>
    <w:rsid w:val="00EC1ED5"/>
    <w:rsid w:val="00EC3D45"/>
    <w:rsid w:val="00EE0016"/>
    <w:rsid w:val="00F47227"/>
    <w:rsid w:val="00F6552F"/>
    <w:rsid w:val="00F771BA"/>
    <w:rsid w:val="00F939D8"/>
    <w:rsid w:val="00FD56E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0016"/>
    <w:rPr>
      <w:rFonts w:eastAsia="Times New Roman"/>
      <w:sz w:val="24"/>
      <w:szCs w:val="24"/>
    </w:rPr>
  </w:style>
  <w:style w:type="paragraph" w:styleId="Heading1">
    <w:name w:val="heading 1"/>
    <w:basedOn w:val="Normal"/>
    <w:next w:val="Normal"/>
    <w:link w:val="Heading1Char"/>
    <w:qFormat/>
    <w:rsid w:val="004A3192"/>
    <w:pPr>
      <w:keepNext/>
      <w:bidi/>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A3192"/>
    <w:pPr>
      <w:keepNext/>
      <w:bidi/>
      <w:spacing w:before="240" w:after="60"/>
      <w:outlineLvl w:val="1"/>
    </w:pPr>
    <w:rPr>
      <w:rFonts w:ascii="Arial" w:hAnsi="Arial" w:cs="Arial"/>
      <w:b/>
      <w:bCs/>
      <w:i/>
      <w:iCs/>
      <w:sz w:val="28"/>
      <w:szCs w:val="28"/>
    </w:rPr>
  </w:style>
  <w:style w:type="paragraph" w:styleId="Heading7">
    <w:name w:val="heading 7"/>
    <w:basedOn w:val="Normal"/>
    <w:next w:val="Normal"/>
    <w:link w:val="Heading7Char"/>
    <w:uiPriority w:val="9"/>
    <w:unhideWhenUsed/>
    <w:qFormat/>
    <w:rsid w:val="00260CAA"/>
    <w:pPr>
      <w:keepNext/>
      <w:keepLines/>
      <w:bidi/>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192"/>
    <w:rPr>
      <w:rFonts w:ascii="Cambria" w:eastAsia="Times New Roman" w:hAnsi="Cambria"/>
      <w:b/>
      <w:bCs/>
      <w:kern w:val="32"/>
      <w:sz w:val="32"/>
      <w:szCs w:val="32"/>
    </w:rPr>
  </w:style>
  <w:style w:type="character" w:customStyle="1" w:styleId="Heading2Char">
    <w:name w:val="Heading 2 Char"/>
    <w:basedOn w:val="DefaultParagraphFont"/>
    <w:link w:val="Heading2"/>
    <w:rsid w:val="004A3192"/>
    <w:rPr>
      <w:rFonts w:ascii="Arial" w:eastAsia="Times New Roman" w:hAnsi="Arial" w:cs="Arial"/>
      <w:b/>
      <w:bCs/>
      <w:i/>
      <w:iCs/>
      <w:sz w:val="28"/>
      <w:szCs w:val="28"/>
    </w:rPr>
  </w:style>
  <w:style w:type="paragraph" w:styleId="NormalWeb">
    <w:name w:val="Normal (Web)"/>
    <w:basedOn w:val="Normal"/>
    <w:rsid w:val="00EE0016"/>
    <w:pPr>
      <w:spacing w:before="100" w:beforeAutospacing="1" w:after="100" w:afterAutospacing="1"/>
    </w:pPr>
  </w:style>
  <w:style w:type="paragraph" w:styleId="Footer">
    <w:name w:val="footer"/>
    <w:basedOn w:val="Normal"/>
    <w:link w:val="FooterChar"/>
    <w:uiPriority w:val="99"/>
    <w:rsid w:val="00EE0016"/>
    <w:pPr>
      <w:tabs>
        <w:tab w:val="center" w:pos="4320"/>
        <w:tab w:val="right" w:pos="8640"/>
      </w:tabs>
    </w:pPr>
  </w:style>
  <w:style w:type="character" w:customStyle="1" w:styleId="FooterChar">
    <w:name w:val="Footer Char"/>
    <w:basedOn w:val="DefaultParagraphFont"/>
    <w:link w:val="Footer"/>
    <w:uiPriority w:val="99"/>
    <w:rsid w:val="004A3192"/>
    <w:rPr>
      <w:rFonts w:eastAsia="Times New Roman"/>
      <w:sz w:val="24"/>
      <w:szCs w:val="24"/>
    </w:rPr>
  </w:style>
  <w:style w:type="character" w:styleId="PageNumber">
    <w:name w:val="page number"/>
    <w:rsid w:val="00EE0016"/>
    <w:rPr>
      <w:rFonts w:cs="Times New Roman"/>
    </w:rPr>
  </w:style>
  <w:style w:type="paragraph" w:styleId="BalloonText">
    <w:name w:val="Balloon Text"/>
    <w:basedOn w:val="Normal"/>
    <w:link w:val="BalloonTextChar"/>
    <w:uiPriority w:val="99"/>
    <w:semiHidden/>
    <w:rsid w:val="00EE0016"/>
    <w:rPr>
      <w:rFonts w:ascii="Tahoma" w:hAnsi="Tahoma" w:cs="Tahoma"/>
      <w:sz w:val="16"/>
      <w:szCs w:val="16"/>
    </w:rPr>
  </w:style>
  <w:style w:type="character" w:customStyle="1" w:styleId="BalloonTextChar">
    <w:name w:val="Balloon Text Char"/>
    <w:basedOn w:val="DefaultParagraphFont"/>
    <w:link w:val="BalloonText"/>
    <w:uiPriority w:val="99"/>
    <w:semiHidden/>
    <w:rsid w:val="004A3192"/>
    <w:rPr>
      <w:rFonts w:ascii="Tahoma" w:eastAsia="Times New Roman" w:hAnsi="Tahoma" w:cs="Tahoma"/>
      <w:sz w:val="16"/>
      <w:szCs w:val="16"/>
    </w:rPr>
  </w:style>
  <w:style w:type="paragraph" w:styleId="Header">
    <w:name w:val="header"/>
    <w:basedOn w:val="Normal"/>
    <w:link w:val="HeaderChar"/>
    <w:uiPriority w:val="99"/>
    <w:rsid w:val="00974E44"/>
    <w:pPr>
      <w:tabs>
        <w:tab w:val="center" w:pos="4153"/>
        <w:tab w:val="right" w:pos="8306"/>
      </w:tabs>
    </w:pPr>
  </w:style>
  <w:style w:type="character" w:customStyle="1" w:styleId="HeaderChar">
    <w:name w:val="Header Char"/>
    <w:basedOn w:val="DefaultParagraphFont"/>
    <w:link w:val="Header"/>
    <w:uiPriority w:val="99"/>
    <w:rsid w:val="00974E44"/>
    <w:rPr>
      <w:rFonts w:eastAsia="Times New Roman"/>
      <w:sz w:val="24"/>
      <w:szCs w:val="24"/>
    </w:rPr>
  </w:style>
  <w:style w:type="character" w:styleId="Hyperlink">
    <w:name w:val="Hyperlink"/>
    <w:basedOn w:val="DefaultParagraphFont"/>
    <w:uiPriority w:val="99"/>
    <w:unhideWhenUsed/>
    <w:rsid w:val="00974E44"/>
    <w:rPr>
      <w:color w:val="0000FF"/>
      <w:u w:val="single"/>
    </w:rPr>
  </w:style>
  <w:style w:type="paragraph" w:styleId="NoSpacing">
    <w:name w:val="No Spacing"/>
    <w:uiPriority w:val="1"/>
    <w:qFormat/>
    <w:rsid w:val="00974E44"/>
    <w:rPr>
      <w:rFonts w:eastAsia="Times New Roman"/>
      <w:sz w:val="24"/>
      <w:szCs w:val="24"/>
    </w:rPr>
  </w:style>
  <w:style w:type="table" w:styleId="TableGrid">
    <w:name w:val="Table Grid"/>
    <w:basedOn w:val="TableNormal"/>
    <w:rsid w:val="00FD56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rsid w:val="00B820B0"/>
    <w:rPr>
      <w:sz w:val="16"/>
      <w:szCs w:val="16"/>
    </w:rPr>
  </w:style>
  <w:style w:type="paragraph" w:styleId="CommentText">
    <w:name w:val="annotation text"/>
    <w:basedOn w:val="Normal"/>
    <w:link w:val="CommentTextChar"/>
    <w:uiPriority w:val="99"/>
    <w:rsid w:val="00B820B0"/>
    <w:pPr>
      <w:bidi/>
    </w:pPr>
    <w:rPr>
      <w:rFonts w:cs="Simplified Arabic"/>
      <w:sz w:val="20"/>
      <w:szCs w:val="20"/>
    </w:rPr>
  </w:style>
  <w:style w:type="character" w:customStyle="1" w:styleId="CommentTextChar">
    <w:name w:val="Comment Text Char"/>
    <w:basedOn w:val="DefaultParagraphFont"/>
    <w:link w:val="CommentText"/>
    <w:uiPriority w:val="99"/>
    <w:rsid w:val="00B820B0"/>
    <w:rPr>
      <w:rFonts w:eastAsia="Times New Roman" w:cs="Simplified Arabic"/>
    </w:rPr>
  </w:style>
  <w:style w:type="paragraph" w:styleId="ListParagraph">
    <w:name w:val="List Paragraph"/>
    <w:basedOn w:val="Normal"/>
    <w:qFormat/>
    <w:rsid w:val="00B820B0"/>
    <w:pPr>
      <w:bidi/>
      <w:ind w:left="720"/>
    </w:pPr>
    <w:rPr>
      <w:rFonts w:cs="Simplified Arabic"/>
      <w:sz w:val="28"/>
      <w:szCs w:val="28"/>
    </w:rPr>
  </w:style>
  <w:style w:type="paragraph" w:styleId="DocumentMap">
    <w:name w:val="Document Map"/>
    <w:basedOn w:val="Normal"/>
    <w:link w:val="DocumentMapChar"/>
    <w:rsid w:val="004A3192"/>
    <w:pPr>
      <w:shd w:val="clear" w:color="auto" w:fill="000080"/>
      <w:bidi/>
    </w:pPr>
    <w:rPr>
      <w:rFonts w:ascii="Tahoma" w:hAnsi="Tahoma" w:cs="Tahoma"/>
      <w:sz w:val="20"/>
      <w:szCs w:val="20"/>
    </w:rPr>
  </w:style>
  <w:style w:type="character" w:customStyle="1" w:styleId="DocumentMapChar">
    <w:name w:val="Document Map Char"/>
    <w:basedOn w:val="DefaultParagraphFont"/>
    <w:link w:val="DocumentMap"/>
    <w:rsid w:val="004A3192"/>
    <w:rPr>
      <w:rFonts w:ascii="Tahoma" w:eastAsia="Times New Roman" w:hAnsi="Tahoma" w:cs="Tahoma"/>
      <w:shd w:val="clear" w:color="auto" w:fill="000080"/>
    </w:rPr>
  </w:style>
  <w:style w:type="table" w:styleId="TableTheme">
    <w:name w:val="Table Theme"/>
    <w:basedOn w:val="TableNormal"/>
    <w:rsid w:val="004A3192"/>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rsid w:val="004A3192"/>
    <w:pPr>
      <w:jc w:val="lowKashida"/>
    </w:pPr>
    <w:rPr>
      <w:sz w:val="20"/>
      <w:szCs w:val="20"/>
    </w:rPr>
  </w:style>
  <w:style w:type="character" w:customStyle="1" w:styleId="BodyText3Char">
    <w:name w:val="Body Text 3 Char"/>
    <w:basedOn w:val="DefaultParagraphFont"/>
    <w:link w:val="BodyText3"/>
    <w:rsid w:val="004A3192"/>
    <w:rPr>
      <w:rFonts w:eastAsia="Times New Roman"/>
    </w:rPr>
  </w:style>
  <w:style w:type="paragraph" w:styleId="Title">
    <w:name w:val="Title"/>
    <w:basedOn w:val="Normal"/>
    <w:next w:val="Normal"/>
    <w:link w:val="TitleChar"/>
    <w:qFormat/>
    <w:rsid w:val="004A3192"/>
    <w:pPr>
      <w:bidi/>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A3192"/>
    <w:rPr>
      <w:rFonts w:ascii="Cambria" w:eastAsia="Times New Roman" w:hAnsi="Cambria"/>
      <w:b/>
      <w:bCs/>
      <w:kern w:val="28"/>
      <w:sz w:val="32"/>
      <w:szCs w:val="32"/>
    </w:rPr>
  </w:style>
  <w:style w:type="paragraph" w:styleId="BodyText2">
    <w:name w:val="Body Text 2"/>
    <w:basedOn w:val="Normal"/>
    <w:link w:val="BodyText2Char"/>
    <w:rsid w:val="004A3192"/>
    <w:pPr>
      <w:bidi/>
      <w:spacing w:after="120" w:line="480" w:lineRule="auto"/>
    </w:pPr>
  </w:style>
  <w:style w:type="character" w:customStyle="1" w:styleId="BodyText2Char">
    <w:name w:val="Body Text 2 Char"/>
    <w:basedOn w:val="DefaultParagraphFont"/>
    <w:link w:val="BodyText2"/>
    <w:rsid w:val="004A3192"/>
    <w:rPr>
      <w:rFonts w:eastAsia="Times New Roman"/>
      <w:sz w:val="24"/>
      <w:szCs w:val="24"/>
    </w:rPr>
  </w:style>
  <w:style w:type="paragraph" w:styleId="CommentSubject">
    <w:name w:val="annotation subject"/>
    <w:basedOn w:val="CommentText"/>
    <w:next w:val="CommentText"/>
    <w:link w:val="CommentSubjectChar"/>
    <w:uiPriority w:val="99"/>
    <w:unhideWhenUsed/>
    <w:rsid w:val="004A3192"/>
    <w:rPr>
      <w:rFonts w:cs="Times New Roman"/>
      <w:b/>
      <w:bCs/>
    </w:rPr>
  </w:style>
  <w:style w:type="character" w:customStyle="1" w:styleId="CommentSubjectChar">
    <w:name w:val="Comment Subject Char"/>
    <w:basedOn w:val="CommentTextChar"/>
    <w:link w:val="CommentSubject"/>
    <w:uiPriority w:val="99"/>
    <w:rsid w:val="004A3192"/>
    <w:rPr>
      <w:b/>
      <w:bCs/>
    </w:rPr>
  </w:style>
  <w:style w:type="character" w:customStyle="1" w:styleId="Heading7Char">
    <w:name w:val="Heading 7 Char"/>
    <w:basedOn w:val="DefaultParagraphFont"/>
    <w:link w:val="Heading7"/>
    <w:uiPriority w:val="9"/>
    <w:rsid w:val="00260CAA"/>
    <w:rPr>
      <w:rFonts w:asciiTheme="majorHAnsi" w:eastAsiaTheme="majorEastAsia" w:hAnsiTheme="majorHAnsi" w:cstheme="majorBidi"/>
      <w:i/>
      <w:iCs/>
      <w:color w:val="404040" w:themeColor="text1" w:themeTint="BF"/>
      <w:sz w:val="24"/>
      <w:szCs w:val="24"/>
    </w:rPr>
  </w:style>
  <w:style w:type="paragraph" w:styleId="BodyTextIndent3">
    <w:name w:val="Body Text Indent 3"/>
    <w:basedOn w:val="Normal"/>
    <w:link w:val="BodyTextIndent3Char"/>
    <w:uiPriority w:val="99"/>
    <w:unhideWhenUsed/>
    <w:rsid w:val="00260CAA"/>
    <w:pPr>
      <w:bidi/>
      <w:spacing w:after="120"/>
      <w:ind w:left="360"/>
    </w:pPr>
    <w:rPr>
      <w:sz w:val="16"/>
      <w:szCs w:val="16"/>
    </w:rPr>
  </w:style>
  <w:style w:type="character" w:customStyle="1" w:styleId="BodyTextIndent3Char">
    <w:name w:val="Body Text Indent 3 Char"/>
    <w:basedOn w:val="DefaultParagraphFont"/>
    <w:link w:val="BodyTextIndent3"/>
    <w:uiPriority w:val="99"/>
    <w:rsid w:val="00260CAA"/>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17895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serwahied@yahoo.com" TargetMode="Externa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mailto:yasserwahied@yahoo.com"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9354-1843-4255-BB61-A13B4CF7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5993</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Effect of amino acids on the growth and production of steroids in date palm using tissue culture technique</vt:lpstr>
    </vt:vector>
  </TitlesOfParts>
  <Company>ACPFG, Uni odf Adelaide</Company>
  <LinksUpToDate>false</LinksUpToDate>
  <CharactersWithSpaces>39431</CharactersWithSpaces>
  <SharedDoc>false</SharedDoc>
  <HLinks>
    <vt:vector size="24" baseType="variant">
      <vt:variant>
        <vt:i4>7864411</vt:i4>
      </vt:variant>
      <vt:variant>
        <vt:i4>9</vt:i4>
      </vt:variant>
      <vt:variant>
        <vt:i4>0</vt:i4>
      </vt:variant>
      <vt:variant>
        <vt:i4>5</vt:i4>
      </vt:variant>
      <vt:variant>
        <vt:lpwstr>mailto:yasserwahied@yahoo.com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7864411</vt:i4>
      </vt:variant>
      <vt:variant>
        <vt:i4>0</vt:i4>
      </vt:variant>
      <vt:variant>
        <vt:i4>0</vt:i4>
      </vt:variant>
      <vt:variant>
        <vt:i4>5</vt:i4>
      </vt:variant>
      <vt:variant>
        <vt:lpwstr>mailto:yasserwahied@yahoo.com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amino acids on the growth and production of steroids in date palm using tissue culture technique</dc:title>
  <dc:creator>Gehan</dc:creator>
  <cp:lastModifiedBy>Administrator</cp:lastModifiedBy>
  <cp:revision>4</cp:revision>
  <cp:lastPrinted>2012-06-17T08:41:00Z</cp:lastPrinted>
  <dcterms:created xsi:type="dcterms:W3CDTF">2012-06-21T00:22:00Z</dcterms:created>
  <dcterms:modified xsi:type="dcterms:W3CDTF">2012-06-21T04:30:00Z</dcterms:modified>
</cp:coreProperties>
</file>