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F7" w:rsidRPr="00CC621D" w:rsidRDefault="006D3930" w:rsidP="00ED11B1">
      <w:pPr>
        <w:pStyle w:val="NoSpacing"/>
        <w:adjustRightInd w:val="0"/>
        <w:snapToGrid w:val="0"/>
        <w:jc w:val="center"/>
        <w:rPr>
          <w:rFonts w:ascii="Times New Roman" w:hAnsi="Times New Roman" w:cs="Times New Roman"/>
          <w:b/>
          <w:sz w:val="20"/>
          <w:szCs w:val="20"/>
        </w:rPr>
      </w:pPr>
      <w:r w:rsidRPr="00CC621D">
        <w:rPr>
          <w:rFonts w:ascii="Times New Roman" w:hAnsi="Times New Roman" w:cs="Times New Roman"/>
          <w:b/>
          <w:sz w:val="20"/>
          <w:szCs w:val="20"/>
        </w:rPr>
        <w:t xml:space="preserve">A </w:t>
      </w:r>
      <w:r w:rsidR="005E6F1D" w:rsidRPr="00CC621D">
        <w:rPr>
          <w:rFonts w:ascii="Times New Roman" w:hAnsi="Times New Roman" w:cs="Times New Roman"/>
          <w:b/>
          <w:sz w:val="20"/>
          <w:szCs w:val="20"/>
        </w:rPr>
        <w:t xml:space="preserve">Comparative Assessment of the Municipal Solid Waste Management Services </w:t>
      </w:r>
    </w:p>
    <w:p w:rsidR="004C3BF7" w:rsidRPr="00CC621D" w:rsidRDefault="004C3BF7" w:rsidP="00ED11B1">
      <w:pPr>
        <w:pStyle w:val="NoSpacing"/>
        <w:adjustRightInd w:val="0"/>
        <w:snapToGrid w:val="0"/>
        <w:jc w:val="center"/>
        <w:rPr>
          <w:rFonts w:ascii="Times New Roman" w:hAnsi="Times New Roman" w:cs="Times New Roman"/>
          <w:b/>
          <w:sz w:val="20"/>
          <w:szCs w:val="20"/>
        </w:rPr>
      </w:pPr>
    </w:p>
    <w:p w:rsidR="004C3BF7" w:rsidRDefault="004C3BF7" w:rsidP="00ED11B1">
      <w:pPr>
        <w:pStyle w:val="NoSpacing"/>
        <w:adjustRightInd w:val="0"/>
        <w:snapToGrid w:val="0"/>
        <w:jc w:val="center"/>
        <w:rPr>
          <w:rFonts w:ascii="Times New Roman" w:hAnsi="Times New Roman" w:cs="Times New Roman"/>
          <w:sz w:val="20"/>
          <w:szCs w:val="20"/>
          <w:lang w:eastAsia="zh-CN"/>
        </w:rPr>
      </w:pPr>
      <w:proofErr w:type="spellStart"/>
      <w:r w:rsidRPr="00CC621D">
        <w:rPr>
          <w:rFonts w:ascii="Times New Roman" w:hAnsi="Times New Roman" w:cs="Times New Roman"/>
          <w:sz w:val="20"/>
          <w:szCs w:val="20"/>
        </w:rPr>
        <w:t>Kadafa</w:t>
      </w:r>
      <w:proofErr w:type="spellEnd"/>
      <w:r w:rsidRPr="00CC621D">
        <w:rPr>
          <w:rFonts w:ascii="Times New Roman" w:hAnsi="Times New Roman" w:cs="Times New Roman"/>
          <w:sz w:val="20"/>
          <w:szCs w:val="20"/>
        </w:rPr>
        <w:t xml:space="preserve">, </w:t>
      </w:r>
      <w:proofErr w:type="spellStart"/>
      <w:r w:rsidRPr="00CC621D">
        <w:rPr>
          <w:rFonts w:ascii="Times New Roman" w:hAnsi="Times New Roman" w:cs="Times New Roman"/>
          <w:sz w:val="20"/>
          <w:szCs w:val="20"/>
        </w:rPr>
        <w:t>Adati</w:t>
      </w:r>
      <w:proofErr w:type="spellEnd"/>
      <w:r w:rsidRPr="00CC621D">
        <w:rPr>
          <w:rFonts w:ascii="Times New Roman" w:hAnsi="Times New Roman" w:cs="Times New Roman"/>
          <w:sz w:val="20"/>
          <w:szCs w:val="20"/>
        </w:rPr>
        <w:t xml:space="preserve"> </w:t>
      </w:r>
      <w:proofErr w:type="spellStart"/>
      <w:r w:rsidRPr="00CC621D">
        <w:rPr>
          <w:rFonts w:ascii="Times New Roman" w:hAnsi="Times New Roman" w:cs="Times New Roman"/>
          <w:sz w:val="20"/>
          <w:szCs w:val="20"/>
        </w:rPr>
        <w:t>Ayuba</w:t>
      </w:r>
      <w:proofErr w:type="spellEnd"/>
      <w:r w:rsidRPr="00CC621D">
        <w:rPr>
          <w:rFonts w:ascii="Times New Roman" w:hAnsi="Times New Roman" w:cs="Times New Roman"/>
          <w:sz w:val="20"/>
          <w:szCs w:val="20"/>
        </w:rPr>
        <w:t xml:space="preserve">; </w:t>
      </w:r>
      <w:proofErr w:type="spellStart"/>
      <w:r w:rsidRPr="00CC621D">
        <w:rPr>
          <w:rFonts w:ascii="Times New Roman" w:hAnsi="Times New Roman" w:cs="Times New Roman"/>
          <w:sz w:val="20"/>
          <w:szCs w:val="20"/>
        </w:rPr>
        <w:t>Latifah</w:t>
      </w:r>
      <w:proofErr w:type="spellEnd"/>
      <w:r w:rsidRPr="00CC621D">
        <w:rPr>
          <w:rFonts w:ascii="Times New Roman" w:hAnsi="Times New Roman" w:cs="Times New Roman"/>
          <w:sz w:val="20"/>
          <w:szCs w:val="20"/>
        </w:rPr>
        <w:t xml:space="preserve">, </w:t>
      </w:r>
      <w:proofErr w:type="spellStart"/>
      <w:r w:rsidRPr="00CC621D">
        <w:rPr>
          <w:rFonts w:ascii="Times New Roman" w:hAnsi="Times New Roman" w:cs="Times New Roman"/>
          <w:sz w:val="20"/>
          <w:szCs w:val="20"/>
        </w:rPr>
        <w:t>Abd</w:t>
      </w:r>
      <w:proofErr w:type="spellEnd"/>
      <w:r w:rsidRPr="00CC621D">
        <w:rPr>
          <w:rFonts w:ascii="Times New Roman" w:hAnsi="Times New Roman" w:cs="Times New Roman"/>
          <w:sz w:val="20"/>
          <w:szCs w:val="20"/>
        </w:rPr>
        <w:t xml:space="preserve"> </w:t>
      </w:r>
      <w:proofErr w:type="spellStart"/>
      <w:r w:rsidRPr="00CC621D">
        <w:rPr>
          <w:rFonts w:ascii="Times New Roman" w:hAnsi="Times New Roman" w:cs="Times New Roman"/>
          <w:sz w:val="20"/>
          <w:szCs w:val="20"/>
        </w:rPr>
        <w:t>Manaf</w:t>
      </w:r>
      <w:proofErr w:type="spellEnd"/>
      <w:r w:rsidRPr="00CC621D">
        <w:rPr>
          <w:rFonts w:ascii="Times New Roman" w:hAnsi="Times New Roman" w:cs="Times New Roman"/>
          <w:sz w:val="20"/>
          <w:szCs w:val="20"/>
        </w:rPr>
        <w:t xml:space="preserve">; Abdullah, Ho Sabrina; </w:t>
      </w:r>
      <w:proofErr w:type="spellStart"/>
      <w:r w:rsidRPr="00CC621D">
        <w:rPr>
          <w:rFonts w:ascii="Times New Roman" w:hAnsi="Times New Roman" w:cs="Times New Roman"/>
          <w:sz w:val="20"/>
          <w:szCs w:val="20"/>
        </w:rPr>
        <w:t>Sulaiman</w:t>
      </w:r>
      <w:proofErr w:type="spellEnd"/>
      <w:r w:rsidRPr="00CC621D">
        <w:rPr>
          <w:rFonts w:ascii="Times New Roman" w:hAnsi="Times New Roman" w:cs="Times New Roman"/>
          <w:sz w:val="20"/>
          <w:szCs w:val="20"/>
        </w:rPr>
        <w:t>,</w:t>
      </w:r>
      <w:r w:rsidRPr="00CC621D">
        <w:rPr>
          <w:rFonts w:ascii="Times New Roman" w:hAnsi="Times New Roman" w:cs="Times New Roman"/>
          <w:bCs/>
          <w:sz w:val="20"/>
          <w:szCs w:val="20"/>
        </w:rPr>
        <w:t xml:space="preserve"> </w:t>
      </w:r>
      <w:r w:rsidRPr="00CC621D">
        <w:rPr>
          <w:rFonts w:ascii="Times New Roman" w:hAnsi="Times New Roman" w:cs="Times New Roman"/>
          <w:sz w:val="20"/>
          <w:szCs w:val="20"/>
        </w:rPr>
        <w:t>Wan</w:t>
      </w:r>
      <w:r w:rsidRPr="00CC621D">
        <w:rPr>
          <w:rStyle w:val="Hyperlink"/>
          <w:rFonts w:ascii="Times New Roman" w:hAnsi="Times New Roman" w:cs="Times New Roman"/>
          <w:bCs/>
          <w:sz w:val="20"/>
          <w:szCs w:val="20"/>
          <w:u w:val="none"/>
        </w:rPr>
        <w:t xml:space="preserve"> </w:t>
      </w:r>
      <w:proofErr w:type="spellStart"/>
      <w:r w:rsidRPr="00CC621D">
        <w:rPr>
          <w:rStyle w:val="Hyperlink"/>
          <w:rFonts w:ascii="Times New Roman" w:hAnsi="Times New Roman" w:cs="Times New Roman"/>
          <w:bCs/>
          <w:sz w:val="20"/>
          <w:szCs w:val="20"/>
          <w:u w:val="none"/>
        </w:rPr>
        <w:t>Azmin</w:t>
      </w:r>
      <w:proofErr w:type="spellEnd"/>
      <w:r w:rsidRPr="00CC621D">
        <w:rPr>
          <w:rFonts w:ascii="Times New Roman" w:hAnsi="Times New Roman" w:cs="Times New Roman"/>
          <w:sz w:val="20"/>
          <w:szCs w:val="20"/>
        </w:rPr>
        <w:t xml:space="preserve"> </w:t>
      </w:r>
    </w:p>
    <w:p w:rsidR="006B0A96" w:rsidRPr="006B0A96" w:rsidRDefault="006B0A96" w:rsidP="00ED11B1">
      <w:pPr>
        <w:pStyle w:val="NoSpacing"/>
        <w:adjustRightInd w:val="0"/>
        <w:snapToGrid w:val="0"/>
        <w:jc w:val="center"/>
        <w:rPr>
          <w:rFonts w:ascii="Times New Roman" w:hAnsi="Times New Roman" w:cs="Times New Roman"/>
          <w:sz w:val="20"/>
          <w:szCs w:val="20"/>
          <w:lang w:eastAsia="zh-CN"/>
        </w:rPr>
      </w:pPr>
    </w:p>
    <w:p w:rsidR="004C3BF7" w:rsidRPr="00CC621D" w:rsidRDefault="004C3BF7" w:rsidP="00ED11B1">
      <w:pPr>
        <w:pStyle w:val="NoSpacing"/>
        <w:adjustRightInd w:val="0"/>
        <w:snapToGrid w:val="0"/>
        <w:jc w:val="center"/>
        <w:rPr>
          <w:rFonts w:ascii="Times New Roman" w:hAnsi="Times New Roman" w:cs="Times New Roman"/>
          <w:sz w:val="20"/>
          <w:szCs w:val="20"/>
          <w:lang w:val="en-US"/>
        </w:rPr>
      </w:pPr>
      <w:r w:rsidRPr="00CC621D">
        <w:rPr>
          <w:rFonts w:ascii="Times New Roman" w:hAnsi="Times New Roman" w:cs="Times New Roman"/>
          <w:sz w:val="20"/>
          <w:szCs w:val="20"/>
        </w:rPr>
        <w:t>Department of Environmental Management</w:t>
      </w:r>
      <w:r w:rsidR="006B0A96">
        <w:rPr>
          <w:rFonts w:ascii="Times New Roman" w:hAnsi="Times New Roman" w:cs="Times New Roman" w:hint="eastAsia"/>
          <w:sz w:val="20"/>
          <w:szCs w:val="20"/>
          <w:lang w:eastAsia="zh-CN"/>
        </w:rPr>
        <w:t xml:space="preserve">, </w:t>
      </w:r>
      <w:proofErr w:type="spellStart"/>
      <w:r w:rsidRPr="00CC621D">
        <w:rPr>
          <w:rFonts w:ascii="Times New Roman" w:hAnsi="Times New Roman" w:cs="Times New Roman"/>
          <w:sz w:val="20"/>
          <w:szCs w:val="20"/>
        </w:rPr>
        <w:t>Universiti</w:t>
      </w:r>
      <w:proofErr w:type="spellEnd"/>
      <w:r w:rsidRPr="00CC621D">
        <w:rPr>
          <w:rFonts w:ascii="Times New Roman" w:hAnsi="Times New Roman" w:cs="Times New Roman"/>
          <w:sz w:val="20"/>
          <w:szCs w:val="20"/>
        </w:rPr>
        <w:t xml:space="preserve"> Putra Malaysia</w:t>
      </w:r>
      <w:r w:rsidR="006B0A96">
        <w:rPr>
          <w:rFonts w:ascii="Times New Roman" w:hAnsi="Times New Roman" w:cs="Times New Roman" w:hint="eastAsia"/>
          <w:sz w:val="20"/>
          <w:szCs w:val="20"/>
          <w:lang w:eastAsia="zh-CN"/>
        </w:rPr>
        <w:t>,</w:t>
      </w:r>
      <w:r w:rsidR="00280796">
        <w:rPr>
          <w:rFonts w:ascii="Times New Roman" w:hAnsi="Times New Roman" w:cs="Times New Roman" w:hint="eastAsia"/>
          <w:sz w:val="20"/>
          <w:szCs w:val="20"/>
          <w:lang w:eastAsia="zh-CN"/>
        </w:rPr>
        <w:t xml:space="preserve"> </w:t>
      </w:r>
      <w:r w:rsidRPr="00CC621D">
        <w:rPr>
          <w:rFonts w:ascii="Times New Roman" w:hAnsi="Times New Roman" w:cs="Times New Roman"/>
          <w:sz w:val="20"/>
          <w:szCs w:val="20"/>
        </w:rPr>
        <w:t xml:space="preserve">43400 </w:t>
      </w:r>
      <w:proofErr w:type="spellStart"/>
      <w:r w:rsidRPr="00CC621D">
        <w:rPr>
          <w:rFonts w:ascii="Times New Roman" w:hAnsi="Times New Roman" w:cs="Times New Roman"/>
          <w:sz w:val="20"/>
          <w:szCs w:val="20"/>
        </w:rPr>
        <w:t>Darul</w:t>
      </w:r>
      <w:proofErr w:type="spellEnd"/>
      <w:r w:rsidRPr="00CC621D">
        <w:rPr>
          <w:rFonts w:ascii="Times New Roman" w:hAnsi="Times New Roman" w:cs="Times New Roman"/>
          <w:sz w:val="20"/>
          <w:szCs w:val="20"/>
        </w:rPr>
        <w:t xml:space="preserve"> </w:t>
      </w:r>
      <w:proofErr w:type="spellStart"/>
      <w:r w:rsidRPr="00CC621D">
        <w:rPr>
          <w:rFonts w:ascii="Times New Roman" w:hAnsi="Times New Roman" w:cs="Times New Roman"/>
          <w:sz w:val="20"/>
          <w:szCs w:val="20"/>
        </w:rPr>
        <w:t>Eshan</w:t>
      </w:r>
      <w:proofErr w:type="spellEnd"/>
      <w:r w:rsidRPr="00CC621D">
        <w:rPr>
          <w:rFonts w:ascii="Times New Roman" w:hAnsi="Times New Roman" w:cs="Times New Roman"/>
          <w:sz w:val="20"/>
          <w:szCs w:val="20"/>
        </w:rPr>
        <w:t xml:space="preserve">, </w:t>
      </w:r>
      <w:proofErr w:type="spellStart"/>
      <w:r w:rsidRPr="00CC621D">
        <w:rPr>
          <w:rFonts w:ascii="Times New Roman" w:hAnsi="Times New Roman" w:cs="Times New Roman"/>
          <w:sz w:val="20"/>
          <w:szCs w:val="20"/>
        </w:rPr>
        <w:t>Serdang</w:t>
      </w:r>
      <w:proofErr w:type="spellEnd"/>
      <w:r w:rsidR="006B0A96">
        <w:rPr>
          <w:rFonts w:ascii="Times New Roman" w:hAnsi="Times New Roman" w:cs="Times New Roman" w:hint="eastAsia"/>
          <w:sz w:val="20"/>
          <w:szCs w:val="20"/>
          <w:lang w:eastAsia="zh-CN"/>
        </w:rPr>
        <w:t xml:space="preserve">, </w:t>
      </w:r>
      <w:r w:rsidRPr="00CC621D">
        <w:rPr>
          <w:rFonts w:ascii="Times New Roman" w:hAnsi="Times New Roman" w:cs="Times New Roman"/>
          <w:sz w:val="20"/>
          <w:szCs w:val="20"/>
        </w:rPr>
        <w:t>Selangor, Malaysia</w:t>
      </w:r>
      <w:r w:rsidR="006B0A96">
        <w:rPr>
          <w:rFonts w:ascii="Times New Roman" w:hAnsi="Times New Roman" w:cs="Times New Roman" w:hint="eastAsia"/>
          <w:sz w:val="20"/>
          <w:szCs w:val="20"/>
          <w:lang w:eastAsia="zh-CN"/>
        </w:rPr>
        <w:t xml:space="preserve">, </w:t>
      </w:r>
      <w:r w:rsidRPr="00CC621D">
        <w:rPr>
          <w:rFonts w:ascii="Times New Roman" w:hAnsi="Times New Roman" w:cs="Times New Roman"/>
          <w:sz w:val="20"/>
          <w:szCs w:val="20"/>
        </w:rPr>
        <w:t>Telephone: +60192172925</w:t>
      </w:r>
      <w:r w:rsidR="006B0A96">
        <w:rPr>
          <w:rFonts w:ascii="Times New Roman" w:hAnsi="Times New Roman" w:cs="Times New Roman" w:hint="eastAsia"/>
          <w:sz w:val="20"/>
          <w:szCs w:val="20"/>
          <w:lang w:eastAsia="zh-CN"/>
        </w:rPr>
        <w:t xml:space="preserve">, </w:t>
      </w:r>
      <w:r w:rsidRPr="00CC621D">
        <w:rPr>
          <w:rFonts w:ascii="Times New Roman" w:hAnsi="Times New Roman" w:cs="Times New Roman"/>
          <w:sz w:val="20"/>
          <w:szCs w:val="20"/>
          <w:lang w:val="en-US"/>
        </w:rPr>
        <w:t xml:space="preserve">E-mail: </w:t>
      </w:r>
      <w:hyperlink r:id="rId7" w:history="1">
        <w:r w:rsidR="00D80CA5" w:rsidRPr="00CC621D">
          <w:rPr>
            <w:rStyle w:val="Hyperlink"/>
            <w:rFonts w:ascii="Times New Roman" w:hAnsi="Times New Roman" w:cs="Times New Roman"/>
            <w:sz w:val="20"/>
            <w:szCs w:val="20"/>
            <w:lang w:val="en-US"/>
          </w:rPr>
          <w:t>kwaala@yahoo.com</w:t>
        </w:r>
      </w:hyperlink>
    </w:p>
    <w:p w:rsidR="00D80CA5" w:rsidRPr="00CC621D" w:rsidRDefault="00D80CA5" w:rsidP="00ED11B1">
      <w:pPr>
        <w:pStyle w:val="NoSpacing"/>
        <w:adjustRightInd w:val="0"/>
        <w:snapToGrid w:val="0"/>
        <w:jc w:val="center"/>
        <w:rPr>
          <w:rFonts w:ascii="Times New Roman" w:hAnsi="Times New Roman" w:cs="Times New Roman"/>
          <w:sz w:val="20"/>
          <w:szCs w:val="20"/>
        </w:rPr>
      </w:pPr>
    </w:p>
    <w:p w:rsidR="004868CF" w:rsidRDefault="004C3BF7" w:rsidP="00ED11B1">
      <w:pPr>
        <w:adjustRightInd w:val="0"/>
        <w:snapToGrid w:val="0"/>
        <w:spacing w:after="0" w:line="240" w:lineRule="auto"/>
        <w:jc w:val="both"/>
        <w:rPr>
          <w:rFonts w:ascii="Times New Roman" w:hAnsi="Times New Roman" w:cs="Times New Roman"/>
          <w:sz w:val="20"/>
          <w:szCs w:val="20"/>
          <w:lang w:val="en-US" w:eastAsia="zh-CN"/>
        </w:rPr>
      </w:pPr>
      <w:r w:rsidRPr="00CC621D">
        <w:rPr>
          <w:rFonts w:ascii="Times New Roman" w:hAnsi="Times New Roman" w:cs="Times New Roman"/>
          <w:b/>
          <w:sz w:val="20"/>
          <w:szCs w:val="20"/>
        </w:rPr>
        <w:t>Abstract</w:t>
      </w:r>
      <w:r w:rsidR="000D7E54" w:rsidRPr="00CC621D">
        <w:rPr>
          <w:rFonts w:ascii="Times New Roman" w:hAnsi="Times New Roman" w:cs="Times New Roman"/>
          <w:b/>
          <w:sz w:val="20"/>
          <w:szCs w:val="20"/>
        </w:rPr>
        <w:t xml:space="preserve">: </w:t>
      </w:r>
      <w:r w:rsidR="004868CF" w:rsidRPr="00CC621D">
        <w:rPr>
          <w:rFonts w:ascii="Times New Roman" w:hAnsi="Times New Roman" w:cs="Times New Roman"/>
          <w:sz w:val="20"/>
          <w:szCs w:val="20"/>
        </w:rPr>
        <w:t xml:space="preserve">Mankind naturally depends on the environment to sustain their lives but </w:t>
      </w:r>
      <w:r w:rsidR="00D80CA5" w:rsidRPr="00CC621D">
        <w:rPr>
          <w:rFonts w:ascii="Times New Roman" w:hAnsi="Times New Roman" w:cs="Times New Roman"/>
          <w:sz w:val="20"/>
          <w:szCs w:val="20"/>
        </w:rPr>
        <w:t xml:space="preserve">solid waste </w:t>
      </w:r>
      <w:r w:rsidR="004868CF" w:rsidRPr="00CC621D">
        <w:rPr>
          <w:rFonts w:ascii="Times New Roman" w:hAnsi="Times New Roman" w:cs="Times New Roman"/>
          <w:sz w:val="20"/>
          <w:szCs w:val="20"/>
        </w:rPr>
        <w:t>is one of the three major environmental problems in Nigeria, Malaysia and many other developing and even the developed countries are threatened by this. Waste management generally plays a significant role in the ability of nature to sustain life within its capacity and therefore</w:t>
      </w:r>
      <w:r w:rsidR="004868CF" w:rsidRPr="00CC621D">
        <w:rPr>
          <w:rFonts w:ascii="Times New Roman" w:hAnsi="Times New Roman" w:cs="Times New Roman"/>
          <w:sz w:val="20"/>
          <w:szCs w:val="20"/>
          <w:lang w:val="en-US"/>
        </w:rPr>
        <w:t xml:space="preserve"> an integral part of urban and environmental management in every city. </w:t>
      </w:r>
      <w:r w:rsidR="004868CF" w:rsidRPr="00CC621D">
        <w:rPr>
          <w:rFonts w:ascii="Times New Roman" w:hAnsi="Times New Roman" w:cs="Times New Roman"/>
          <w:sz w:val="20"/>
          <w:szCs w:val="20"/>
        </w:rPr>
        <w:t>Currently municipal solid waste management is a globally challenging issue especially in developing countries, due to its adverse environmental effects. This research is a comparative study aimed at</w:t>
      </w:r>
      <w:r w:rsidR="004868CF" w:rsidRPr="00CC621D">
        <w:rPr>
          <w:rFonts w:ascii="Times New Roman" w:hAnsi="Times New Roman" w:cs="Times New Roman"/>
          <w:sz w:val="20"/>
          <w:szCs w:val="20"/>
          <w:lang w:val="en-US"/>
        </w:rPr>
        <w:t xml:space="preserve"> rating </w:t>
      </w:r>
      <w:r w:rsidR="00336550" w:rsidRPr="00CC621D">
        <w:rPr>
          <w:rFonts w:ascii="Times New Roman" w:hAnsi="Times New Roman" w:cs="Times New Roman"/>
          <w:sz w:val="20"/>
          <w:szCs w:val="20"/>
          <w:lang w:val="en-US"/>
        </w:rPr>
        <w:t xml:space="preserve">municipal solid waste management services </w:t>
      </w:r>
      <w:r w:rsidR="004868CF" w:rsidRPr="00CC621D">
        <w:rPr>
          <w:rFonts w:ascii="Times New Roman" w:hAnsi="Times New Roman" w:cs="Times New Roman"/>
          <w:sz w:val="20"/>
          <w:szCs w:val="20"/>
          <w:lang w:val="en-US"/>
        </w:rPr>
        <w:t xml:space="preserve">in FCT Abuja and Putrajaya towards identifying deficient areas requiring improvements. Residential </w:t>
      </w:r>
      <w:r w:rsidR="00D80CA5" w:rsidRPr="00CC621D">
        <w:rPr>
          <w:rFonts w:ascii="Times New Roman" w:hAnsi="Times New Roman" w:cs="Times New Roman"/>
          <w:sz w:val="20"/>
          <w:szCs w:val="20"/>
          <w:lang w:val="en-US"/>
        </w:rPr>
        <w:t>questionnaire were used for the as</w:t>
      </w:r>
      <w:r w:rsidR="004868CF" w:rsidRPr="00CC621D">
        <w:rPr>
          <w:rFonts w:ascii="Times New Roman" w:hAnsi="Times New Roman" w:cs="Times New Roman"/>
          <w:sz w:val="20"/>
          <w:szCs w:val="20"/>
          <w:lang w:val="en-US"/>
        </w:rPr>
        <w:t xml:space="preserve">sessment. The data obtained was analyzed using qualitative and quantitative methods; specifically descriptive, parametric and nonparametric statistics. </w:t>
      </w:r>
      <w:r w:rsidR="00336550" w:rsidRPr="00CC621D">
        <w:rPr>
          <w:rFonts w:ascii="Times New Roman" w:hAnsi="Times New Roman" w:cs="Times New Roman"/>
          <w:sz w:val="20"/>
          <w:szCs w:val="20"/>
          <w:lang w:val="en-US"/>
        </w:rPr>
        <w:t xml:space="preserve"> </w:t>
      </w:r>
    </w:p>
    <w:p w:rsidR="00DF7A77" w:rsidRDefault="00ED11B1" w:rsidP="00ED11B1">
      <w:pPr>
        <w:adjustRightInd w:val="0"/>
        <w:snapToGrid w:val="0"/>
        <w:spacing w:after="0" w:line="240" w:lineRule="auto"/>
        <w:jc w:val="both"/>
      </w:pPr>
      <w:r>
        <w:rPr>
          <w:rFonts w:ascii="Times New Roman" w:hAnsi="Times New Roman" w:cs="Times New Roman"/>
          <w:sz w:val="20"/>
          <w:szCs w:val="20"/>
        </w:rPr>
        <w:t>[</w:t>
      </w:r>
      <w:proofErr w:type="spellStart"/>
      <w:r w:rsidRPr="00CC621D">
        <w:rPr>
          <w:rFonts w:ascii="Times New Roman" w:hAnsi="Times New Roman" w:cs="Times New Roman"/>
          <w:sz w:val="20"/>
          <w:szCs w:val="20"/>
        </w:rPr>
        <w:t>Kadafa</w:t>
      </w:r>
      <w:proofErr w:type="spellEnd"/>
      <w:r w:rsidRPr="00CC621D">
        <w:rPr>
          <w:rFonts w:ascii="Times New Roman" w:hAnsi="Times New Roman" w:cs="Times New Roman"/>
          <w:sz w:val="20"/>
          <w:szCs w:val="20"/>
        </w:rPr>
        <w:t xml:space="preserve">, </w:t>
      </w:r>
      <w:proofErr w:type="spellStart"/>
      <w:r w:rsidRPr="00CC621D">
        <w:rPr>
          <w:rFonts w:ascii="Times New Roman" w:hAnsi="Times New Roman" w:cs="Times New Roman"/>
          <w:sz w:val="20"/>
          <w:szCs w:val="20"/>
        </w:rPr>
        <w:t>Adati</w:t>
      </w:r>
      <w:proofErr w:type="spellEnd"/>
      <w:r w:rsidRPr="00CC621D">
        <w:rPr>
          <w:rFonts w:ascii="Times New Roman" w:hAnsi="Times New Roman" w:cs="Times New Roman"/>
          <w:sz w:val="20"/>
          <w:szCs w:val="20"/>
        </w:rPr>
        <w:t xml:space="preserve"> </w:t>
      </w:r>
      <w:proofErr w:type="spellStart"/>
      <w:r w:rsidRPr="00CC621D">
        <w:rPr>
          <w:rFonts w:ascii="Times New Roman" w:hAnsi="Times New Roman" w:cs="Times New Roman"/>
          <w:sz w:val="20"/>
          <w:szCs w:val="20"/>
        </w:rPr>
        <w:t>Ayuba</w:t>
      </w:r>
      <w:proofErr w:type="spellEnd"/>
      <w:r w:rsidRPr="00CC621D">
        <w:rPr>
          <w:rFonts w:ascii="Times New Roman" w:hAnsi="Times New Roman" w:cs="Times New Roman"/>
          <w:sz w:val="20"/>
          <w:szCs w:val="20"/>
        </w:rPr>
        <w:t xml:space="preserve">; </w:t>
      </w:r>
      <w:proofErr w:type="spellStart"/>
      <w:r w:rsidRPr="00CC621D">
        <w:rPr>
          <w:rFonts w:ascii="Times New Roman" w:hAnsi="Times New Roman" w:cs="Times New Roman"/>
          <w:sz w:val="20"/>
          <w:szCs w:val="20"/>
        </w:rPr>
        <w:t>Latifah</w:t>
      </w:r>
      <w:proofErr w:type="spellEnd"/>
      <w:r w:rsidRPr="00CC621D">
        <w:rPr>
          <w:rFonts w:ascii="Times New Roman" w:hAnsi="Times New Roman" w:cs="Times New Roman"/>
          <w:sz w:val="20"/>
          <w:szCs w:val="20"/>
        </w:rPr>
        <w:t xml:space="preserve">, </w:t>
      </w:r>
      <w:proofErr w:type="spellStart"/>
      <w:r w:rsidRPr="00CC621D">
        <w:rPr>
          <w:rFonts w:ascii="Times New Roman" w:hAnsi="Times New Roman" w:cs="Times New Roman"/>
          <w:sz w:val="20"/>
          <w:szCs w:val="20"/>
        </w:rPr>
        <w:t>Abd</w:t>
      </w:r>
      <w:proofErr w:type="spellEnd"/>
      <w:r w:rsidRPr="00CC621D">
        <w:rPr>
          <w:rFonts w:ascii="Times New Roman" w:hAnsi="Times New Roman" w:cs="Times New Roman"/>
          <w:sz w:val="20"/>
          <w:szCs w:val="20"/>
        </w:rPr>
        <w:t xml:space="preserve"> </w:t>
      </w:r>
      <w:proofErr w:type="spellStart"/>
      <w:r w:rsidRPr="00CC621D">
        <w:rPr>
          <w:rFonts w:ascii="Times New Roman" w:hAnsi="Times New Roman" w:cs="Times New Roman"/>
          <w:sz w:val="20"/>
          <w:szCs w:val="20"/>
        </w:rPr>
        <w:t>Manaf</w:t>
      </w:r>
      <w:proofErr w:type="spellEnd"/>
      <w:r w:rsidRPr="00CC621D">
        <w:rPr>
          <w:rFonts w:ascii="Times New Roman" w:hAnsi="Times New Roman" w:cs="Times New Roman"/>
          <w:sz w:val="20"/>
          <w:szCs w:val="20"/>
        </w:rPr>
        <w:t xml:space="preserve">; Abdullah, Ho Sabrina; </w:t>
      </w:r>
      <w:proofErr w:type="spellStart"/>
      <w:r w:rsidRPr="00CC621D">
        <w:rPr>
          <w:rFonts w:ascii="Times New Roman" w:hAnsi="Times New Roman" w:cs="Times New Roman"/>
          <w:sz w:val="20"/>
          <w:szCs w:val="20"/>
        </w:rPr>
        <w:t>Sulaiman</w:t>
      </w:r>
      <w:proofErr w:type="spellEnd"/>
      <w:r w:rsidRPr="00CC621D">
        <w:rPr>
          <w:rFonts w:ascii="Times New Roman" w:hAnsi="Times New Roman" w:cs="Times New Roman"/>
          <w:sz w:val="20"/>
          <w:szCs w:val="20"/>
        </w:rPr>
        <w:t>,</w:t>
      </w:r>
      <w:r w:rsidRPr="00CC621D">
        <w:rPr>
          <w:rFonts w:ascii="Times New Roman" w:hAnsi="Times New Roman" w:cs="Times New Roman"/>
          <w:bCs/>
          <w:sz w:val="20"/>
          <w:szCs w:val="20"/>
        </w:rPr>
        <w:t xml:space="preserve"> </w:t>
      </w:r>
      <w:r w:rsidRPr="00CC621D">
        <w:rPr>
          <w:rFonts w:ascii="Times New Roman" w:hAnsi="Times New Roman" w:cs="Times New Roman"/>
          <w:sz w:val="20"/>
          <w:szCs w:val="20"/>
        </w:rPr>
        <w:t>Wan</w:t>
      </w:r>
      <w:r w:rsidRPr="00CC621D">
        <w:rPr>
          <w:rStyle w:val="Hyperlink"/>
          <w:rFonts w:ascii="Times New Roman" w:hAnsi="Times New Roman" w:cs="Times New Roman"/>
          <w:bCs/>
          <w:sz w:val="20"/>
          <w:szCs w:val="20"/>
          <w:u w:val="none"/>
        </w:rPr>
        <w:t xml:space="preserve"> </w:t>
      </w:r>
      <w:proofErr w:type="spellStart"/>
      <w:r w:rsidRPr="00CC621D">
        <w:rPr>
          <w:rStyle w:val="Hyperlink"/>
          <w:rFonts w:ascii="Times New Roman" w:hAnsi="Times New Roman" w:cs="Times New Roman"/>
          <w:bCs/>
          <w:sz w:val="20"/>
          <w:szCs w:val="20"/>
          <w:u w:val="none"/>
        </w:rPr>
        <w:t>Azmin</w:t>
      </w:r>
      <w:proofErr w:type="spellEnd"/>
      <w:r>
        <w:rPr>
          <w:rStyle w:val="Hyperlink"/>
          <w:rFonts w:ascii="Times New Roman" w:hAnsi="Times New Roman" w:cs="Times New Roman"/>
          <w:bCs/>
          <w:sz w:val="20"/>
          <w:szCs w:val="20"/>
          <w:u w:val="none"/>
        </w:rPr>
        <w:t>.</w:t>
      </w:r>
      <w:r w:rsidRPr="00CC621D">
        <w:rPr>
          <w:rFonts w:ascii="Times New Roman" w:hAnsi="Times New Roman" w:cs="Times New Roman"/>
          <w:b/>
          <w:sz w:val="20"/>
          <w:szCs w:val="20"/>
        </w:rPr>
        <w:t xml:space="preserve"> A Comparative Assessment of the Municipal Solid Waste Management Services</w:t>
      </w:r>
      <w:r>
        <w:rPr>
          <w:rFonts w:ascii="Times New Roman" w:hAnsi="Times New Roman" w:cs="Times New Roman"/>
          <w:b/>
          <w:sz w:val="20"/>
          <w:szCs w:val="20"/>
        </w:rPr>
        <w:t>.</w:t>
      </w:r>
      <w:r w:rsidRPr="00CC621D">
        <w:rPr>
          <w:rFonts w:ascii="Times New Roman" w:hAnsi="Times New Roman" w:cs="Times New Roman"/>
          <w:b/>
          <w:sz w:val="20"/>
          <w:szCs w:val="20"/>
        </w:rPr>
        <w:t xml:space="preserve"> </w:t>
      </w:r>
      <w:r w:rsidR="00DF7A77">
        <w:rPr>
          <w:bCs/>
          <w:i/>
          <w:sz w:val="20"/>
          <w:szCs w:val="20"/>
          <w:lang w:bidi="ar-EG"/>
        </w:rPr>
        <w:t xml:space="preserve">Nat </w:t>
      </w:r>
      <w:proofErr w:type="spellStart"/>
      <w:r w:rsidR="00DF7A77">
        <w:rPr>
          <w:bCs/>
          <w:i/>
          <w:sz w:val="20"/>
          <w:szCs w:val="20"/>
          <w:lang w:bidi="ar-EG"/>
        </w:rPr>
        <w:t>Sci</w:t>
      </w:r>
      <w:proofErr w:type="spellEnd"/>
      <w:r w:rsidR="00DF7A77">
        <w:rPr>
          <w:bCs/>
          <w:sz w:val="20"/>
          <w:szCs w:val="20"/>
          <w:lang w:bidi="ar-EG"/>
        </w:rPr>
        <w:t xml:space="preserve"> </w:t>
      </w:r>
      <w:r w:rsidR="00DF7A77">
        <w:rPr>
          <w:sz w:val="20"/>
          <w:szCs w:val="20"/>
          <w:lang w:bidi="ar-EG"/>
        </w:rPr>
        <w:t>2013;11(</w:t>
      </w:r>
      <w:r w:rsidR="00DF7A77">
        <w:rPr>
          <w:sz w:val="20"/>
          <w:szCs w:val="20"/>
          <w:lang w:eastAsia="zh-CN" w:bidi="ar-EG"/>
        </w:rPr>
        <w:t>6</w:t>
      </w:r>
      <w:r w:rsidR="00DF7A77">
        <w:rPr>
          <w:sz w:val="20"/>
          <w:szCs w:val="20"/>
          <w:lang w:bidi="ar-EG"/>
        </w:rPr>
        <w:t>):</w:t>
      </w:r>
      <w:r>
        <w:rPr>
          <w:sz w:val="20"/>
          <w:szCs w:val="20"/>
          <w:lang w:bidi="ar-EG"/>
        </w:rPr>
        <w:t>154</w:t>
      </w:r>
      <w:r w:rsidR="00DF7A77">
        <w:rPr>
          <w:sz w:val="20"/>
          <w:szCs w:val="20"/>
          <w:lang w:bidi="ar-EG"/>
        </w:rPr>
        <w:t>-</w:t>
      </w:r>
      <w:r w:rsidR="003B7ACB">
        <w:rPr>
          <w:sz w:val="20"/>
          <w:szCs w:val="20"/>
          <w:lang w:bidi="ar-EG"/>
        </w:rPr>
        <w:t>164</w:t>
      </w:r>
      <w:r w:rsidR="00DF7A77">
        <w:rPr>
          <w:sz w:val="20"/>
          <w:szCs w:val="20"/>
          <w:lang w:bidi="ar-EG"/>
        </w:rPr>
        <w:t xml:space="preserve">]. (ISSN: 1545-0740). </w:t>
      </w:r>
      <w:hyperlink r:id="rId8" w:history="1">
        <w:r w:rsidRPr="0023622C">
          <w:rPr>
            <w:rStyle w:val="Hyperlink"/>
            <w:sz w:val="20"/>
            <w:szCs w:val="20"/>
            <w:lang w:bidi="ar-EG"/>
          </w:rPr>
          <w:t>http://www.sciencepub.net</w:t>
        </w:r>
        <w:r w:rsidRPr="0023622C">
          <w:rPr>
            <w:rStyle w:val="Hyperlink"/>
            <w:sz w:val="20"/>
            <w:szCs w:val="20"/>
            <w:lang w:eastAsia="zh-CN"/>
          </w:rPr>
          <w:t>/nature</w:t>
        </w:r>
        <w:r w:rsidRPr="00C368CD">
          <w:rPr>
            <w:rStyle w:val="Hyperlink"/>
            <w:u w:val="none"/>
          </w:rPr>
          <w:t>. 18</w:t>
        </w:r>
      </w:hyperlink>
    </w:p>
    <w:p w:rsidR="00ED11B1" w:rsidRPr="00DF7A77" w:rsidRDefault="00ED11B1" w:rsidP="00ED11B1">
      <w:pPr>
        <w:adjustRightInd w:val="0"/>
        <w:snapToGrid w:val="0"/>
        <w:spacing w:after="0" w:line="240" w:lineRule="auto"/>
        <w:jc w:val="both"/>
        <w:rPr>
          <w:rFonts w:ascii="Times New Roman" w:hAnsi="Times New Roman" w:cs="Times New Roman"/>
          <w:b/>
          <w:sz w:val="20"/>
          <w:szCs w:val="20"/>
          <w:lang w:val="en-US" w:eastAsia="zh-CN"/>
        </w:rPr>
      </w:pPr>
    </w:p>
    <w:p w:rsidR="004C3BF7" w:rsidRPr="00CC621D" w:rsidRDefault="00E93DB6" w:rsidP="00ED11B1">
      <w:pPr>
        <w:adjustRightInd w:val="0"/>
        <w:snapToGrid w:val="0"/>
        <w:spacing w:after="0" w:line="240" w:lineRule="auto"/>
        <w:jc w:val="both"/>
        <w:rPr>
          <w:rFonts w:ascii="Times New Roman" w:hAnsi="Times New Roman" w:cs="Times New Roman"/>
          <w:sz w:val="20"/>
          <w:szCs w:val="20"/>
          <w:lang w:val="en-US"/>
        </w:rPr>
      </w:pPr>
      <w:r w:rsidRPr="00CC621D">
        <w:rPr>
          <w:rFonts w:ascii="Times New Roman" w:hAnsi="Times New Roman" w:cs="Times New Roman"/>
          <w:b/>
          <w:sz w:val="20"/>
          <w:szCs w:val="20"/>
          <w:lang w:val="en-US"/>
        </w:rPr>
        <w:t>Keywords</w:t>
      </w:r>
      <w:r w:rsidR="00336550" w:rsidRPr="00CC621D">
        <w:rPr>
          <w:rFonts w:ascii="Times New Roman" w:hAnsi="Times New Roman" w:cs="Times New Roman"/>
          <w:b/>
          <w:sz w:val="20"/>
          <w:szCs w:val="20"/>
          <w:lang w:val="en-US"/>
        </w:rPr>
        <w:t xml:space="preserve">: </w:t>
      </w:r>
      <w:r w:rsidR="00336550" w:rsidRPr="00CC621D">
        <w:rPr>
          <w:rFonts w:ascii="Times New Roman" w:hAnsi="Times New Roman" w:cs="Times New Roman"/>
          <w:sz w:val="20"/>
          <w:szCs w:val="20"/>
          <w:lang w:val="en-US"/>
        </w:rPr>
        <w:t>Assessment, Solid Waste, Management, Rating</w:t>
      </w:r>
    </w:p>
    <w:p w:rsidR="00B903DB" w:rsidRDefault="00B903DB" w:rsidP="00ED11B1">
      <w:pPr>
        <w:pStyle w:val="Pa1"/>
        <w:snapToGrid w:val="0"/>
        <w:spacing w:line="240" w:lineRule="auto"/>
        <w:jc w:val="both"/>
        <w:rPr>
          <w:sz w:val="20"/>
          <w:szCs w:val="20"/>
          <w:lang w:eastAsia="zh-CN"/>
        </w:rPr>
      </w:pPr>
    </w:p>
    <w:p w:rsidR="00280796" w:rsidRPr="00280796" w:rsidRDefault="00280796" w:rsidP="00ED11B1">
      <w:pPr>
        <w:adjustRightInd w:val="0"/>
        <w:snapToGrid w:val="0"/>
        <w:spacing w:after="0" w:line="240" w:lineRule="auto"/>
        <w:rPr>
          <w:lang w:val="en-US" w:eastAsia="zh-CN"/>
        </w:rPr>
        <w:sectPr w:rsidR="00280796" w:rsidRPr="00280796" w:rsidSect="00ED11B1">
          <w:headerReference w:type="default" r:id="rId9"/>
          <w:footerReference w:type="default" r:id="rId10"/>
          <w:pgSz w:w="12240" w:h="15840" w:code="1"/>
          <w:pgMar w:top="1440" w:right="1440" w:bottom="1440" w:left="1440" w:header="720" w:footer="720" w:gutter="0"/>
          <w:pgNumType w:start="154"/>
          <w:cols w:space="708"/>
          <w:docGrid w:linePitch="360"/>
        </w:sectPr>
      </w:pPr>
    </w:p>
    <w:p w:rsidR="004C3BF7" w:rsidRPr="00CC621D" w:rsidRDefault="00E93DB6" w:rsidP="00ED11B1">
      <w:pPr>
        <w:adjustRightInd w:val="0"/>
        <w:snapToGrid w:val="0"/>
        <w:spacing w:after="0" w:line="240" w:lineRule="auto"/>
        <w:jc w:val="both"/>
        <w:rPr>
          <w:rFonts w:ascii="Times New Roman" w:hAnsi="Times New Roman" w:cs="Times New Roman"/>
          <w:b/>
          <w:sz w:val="20"/>
          <w:szCs w:val="20"/>
        </w:rPr>
      </w:pPr>
      <w:r w:rsidRPr="00CC621D">
        <w:rPr>
          <w:rFonts w:ascii="Times New Roman" w:hAnsi="Times New Roman" w:cs="Times New Roman"/>
          <w:b/>
          <w:sz w:val="20"/>
          <w:szCs w:val="20"/>
        </w:rPr>
        <w:lastRenderedPageBreak/>
        <w:t xml:space="preserve">1.0 </w:t>
      </w:r>
      <w:r w:rsidR="004C3BF7" w:rsidRPr="00CC621D">
        <w:rPr>
          <w:rFonts w:ascii="Times New Roman" w:hAnsi="Times New Roman" w:cs="Times New Roman"/>
          <w:b/>
          <w:sz w:val="20"/>
          <w:szCs w:val="20"/>
        </w:rPr>
        <w:t>Introduction</w:t>
      </w:r>
    </w:p>
    <w:p w:rsidR="007C3F47" w:rsidRPr="00CC621D" w:rsidRDefault="004868CF" w:rsidP="00ED11B1">
      <w:pPr>
        <w:adjustRightInd w:val="0"/>
        <w:snapToGrid w:val="0"/>
        <w:spacing w:after="0" w:line="240" w:lineRule="auto"/>
        <w:ind w:firstLineChars="213" w:firstLine="426"/>
        <w:jc w:val="both"/>
        <w:rPr>
          <w:rFonts w:ascii="Times New Roman" w:hAnsi="Times New Roman" w:cs="Times New Roman"/>
          <w:sz w:val="20"/>
          <w:szCs w:val="20"/>
        </w:rPr>
      </w:pPr>
      <w:r w:rsidRPr="00CC621D">
        <w:rPr>
          <w:rFonts w:ascii="Times New Roman" w:hAnsi="Times New Roman" w:cs="Times New Roman"/>
          <w:sz w:val="20"/>
          <w:szCs w:val="20"/>
        </w:rPr>
        <w:t xml:space="preserve">Presently the rapid population increase due to urbanization in Abuja metropolitan areas have caused difficulties for the state and local environmental protection in providing an effective and efficient municipal solid waste management system </w:t>
      </w:r>
      <w:r w:rsidRPr="00CC621D">
        <w:rPr>
          <w:rFonts w:ascii="Times New Roman" w:hAnsi="Times New Roman" w:cs="Times New Roman"/>
          <w:noProof/>
          <w:sz w:val="20"/>
          <w:szCs w:val="20"/>
        </w:rPr>
        <w:t>(Olanrewaju and Ilemobade, 2009;</w:t>
      </w:r>
      <w:r w:rsidRPr="00CC621D">
        <w:rPr>
          <w:rFonts w:ascii="Times New Roman" w:hAnsi="Times New Roman" w:cs="Times New Roman"/>
          <w:sz w:val="20"/>
          <w:szCs w:val="20"/>
        </w:rPr>
        <w:t xml:space="preserve"> </w:t>
      </w:r>
      <w:r w:rsidRPr="00CC621D">
        <w:rPr>
          <w:rFonts w:ascii="Times New Roman" w:hAnsi="Times New Roman" w:cs="Times New Roman"/>
          <w:noProof/>
          <w:sz w:val="20"/>
          <w:szCs w:val="20"/>
        </w:rPr>
        <w:t xml:space="preserve">Zamorano </w:t>
      </w:r>
      <w:r w:rsidRPr="00CC621D">
        <w:rPr>
          <w:rFonts w:ascii="Times New Roman" w:hAnsi="Times New Roman" w:cs="Times New Roman"/>
          <w:i/>
          <w:noProof/>
          <w:sz w:val="20"/>
          <w:szCs w:val="20"/>
        </w:rPr>
        <w:t>et al</w:t>
      </w:r>
      <w:r w:rsidRPr="00CC621D">
        <w:rPr>
          <w:rFonts w:ascii="Times New Roman" w:hAnsi="Times New Roman" w:cs="Times New Roman"/>
          <w:noProof/>
          <w:sz w:val="20"/>
          <w:szCs w:val="20"/>
        </w:rPr>
        <w:t>., 2009)</w:t>
      </w:r>
      <w:r w:rsidRPr="00CC621D">
        <w:rPr>
          <w:rFonts w:ascii="Times New Roman" w:hAnsi="Times New Roman" w:cs="Times New Roman"/>
          <w:sz w:val="20"/>
          <w:szCs w:val="20"/>
        </w:rPr>
        <w:t xml:space="preserve">. Urbanization affects land use and when not controlled causes the emergence of illegal structure and neighbourhoods which is characteristic of some areas within and outside the metropolis. This has ultimately affected the city plan, thereby affecting services such as; waste collection, eventually leading to illegal dumping. The management of municipal solid waste has become a major environmental problem, especially for fast growing cities such as the current federal capital; Abuja, with generation amount increasing yearly. Illegal dumps in the middle of residential areas have become common, with odours and rodent. These open dumps cause health risks and reduce the aesthetic value of the surrounding environment, </w:t>
      </w:r>
      <w:proofErr w:type="spellStart"/>
      <w:r w:rsidRPr="00CC621D">
        <w:rPr>
          <w:rFonts w:ascii="Times New Roman" w:hAnsi="Times New Roman" w:cs="Times New Roman"/>
          <w:sz w:val="20"/>
          <w:szCs w:val="20"/>
        </w:rPr>
        <w:t>detoriation</w:t>
      </w:r>
      <w:proofErr w:type="spellEnd"/>
      <w:r w:rsidRPr="00CC621D">
        <w:rPr>
          <w:rFonts w:ascii="Times New Roman" w:hAnsi="Times New Roman" w:cs="Times New Roman"/>
          <w:sz w:val="20"/>
          <w:szCs w:val="20"/>
        </w:rPr>
        <w:t xml:space="preserve"> of the urban environment, as well as contaminate natural resource </w:t>
      </w:r>
      <w:r w:rsidRPr="00CC621D">
        <w:rPr>
          <w:rFonts w:ascii="Times New Roman" w:hAnsi="Times New Roman" w:cs="Times New Roman"/>
          <w:noProof/>
          <w:sz w:val="20"/>
          <w:szCs w:val="20"/>
        </w:rPr>
        <w:t>(Ogu, 2000)</w:t>
      </w:r>
      <w:r w:rsidRPr="00CC621D">
        <w:rPr>
          <w:rFonts w:ascii="Times New Roman" w:hAnsi="Times New Roman" w:cs="Times New Roman"/>
          <w:sz w:val="20"/>
          <w:szCs w:val="20"/>
        </w:rPr>
        <w:t xml:space="preserve">. The rapid growing waste generation rates and high cost of waste disposal, depletion of landfill space and the problem of obtaining new disposal sites thereby resulting in open dumping are unresolved issues. This makes it difficult for waste management authorities to identify and create solutions </w:t>
      </w:r>
      <w:r w:rsidRPr="00CC621D">
        <w:rPr>
          <w:rFonts w:ascii="Times New Roman" w:hAnsi="Times New Roman" w:cs="Times New Roman"/>
          <w:noProof/>
          <w:sz w:val="20"/>
          <w:szCs w:val="20"/>
        </w:rPr>
        <w:t xml:space="preserve">(Gomez </w:t>
      </w:r>
      <w:r w:rsidRPr="00CC621D">
        <w:rPr>
          <w:rFonts w:ascii="Times New Roman" w:hAnsi="Times New Roman" w:cs="Times New Roman"/>
          <w:i/>
          <w:noProof/>
          <w:sz w:val="20"/>
          <w:szCs w:val="20"/>
        </w:rPr>
        <w:t>et al</w:t>
      </w:r>
      <w:r w:rsidRPr="00CC621D">
        <w:rPr>
          <w:rFonts w:ascii="Times New Roman" w:hAnsi="Times New Roman" w:cs="Times New Roman"/>
          <w:noProof/>
          <w:sz w:val="20"/>
          <w:szCs w:val="20"/>
        </w:rPr>
        <w:t>., 2009)</w:t>
      </w:r>
      <w:r w:rsidRPr="00CC621D">
        <w:rPr>
          <w:rFonts w:ascii="Times New Roman" w:hAnsi="Times New Roman" w:cs="Times New Roman"/>
          <w:sz w:val="20"/>
          <w:szCs w:val="20"/>
        </w:rPr>
        <w:t xml:space="preserve">. Even though several policies and programmes have been put in place to manage municipal solid waste, they prove ineffective due to financial and human constraints </w:t>
      </w:r>
      <w:r w:rsidRPr="00CC621D">
        <w:rPr>
          <w:rFonts w:ascii="Times New Roman" w:hAnsi="Times New Roman" w:cs="Times New Roman"/>
          <w:noProof/>
          <w:sz w:val="20"/>
          <w:szCs w:val="20"/>
        </w:rPr>
        <w:t>(Abuja-Citiserve, 2004)</w:t>
      </w:r>
      <w:r w:rsidRPr="00CC621D">
        <w:rPr>
          <w:rFonts w:ascii="Times New Roman" w:hAnsi="Times New Roman" w:cs="Times New Roman"/>
          <w:sz w:val="20"/>
          <w:szCs w:val="20"/>
        </w:rPr>
        <w:t xml:space="preserve">. </w:t>
      </w:r>
      <w:r w:rsidR="007C3F47" w:rsidRPr="00CC621D">
        <w:rPr>
          <w:rFonts w:ascii="Times New Roman" w:hAnsi="Times New Roman" w:cs="Times New Roman"/>
          <w:sz w:val="20"/>
          <w:szCs w:val="20"/>
        </w:rPr>
        <w:t xml:space="preserve">It has become a necessity due to the </w:t>
      </w:r>
      <w:r w:rsidR="007C3F47" w:rsidRPr="00CC621D">
        <w:rPr>
          <w:rFonts w:ascii="Times New Roman" w:hAnsi="Times New Roman" w:cs="Times New Roman"/>
          <w:sz w:val="20"/>
          <w:szCs w:val="20"/>
        </w:rPr>
        <w:lastRenderedPageBreak/>
        <w:t>above mentioned to have an overview and analyse the current state and challenges through an assessment.</w:t>
      </w:r>
    </w:p>
    <w:p w:rsidR="004C3BF7" w:rsidRPr="00CC621D" w:rsidRDefault="004868CF" w:rsidP="00ED11B1">
      <w:pPr>
        <w:adjustRightInd w:val="0"/>
        <w:snapToGrid w:val="0"/>
        <w:spacing w:after="0" w:line="240" w:lineRule="auto"/>
        <w:jc w:val="both"/>
        <w:rPr>
          <w:rFonts w:ascii="Times New Roman" w:hAnsi="Times New Roman" w:cs="Times New Roman"/>
          <w:sz w:val="20"/>
          <w:szCs w:val="20"/>
        </w:rPr>
      </w:pPr>
      <w:r w:rsidRPr="00CC621D">
        <w:rPr>
          <w:rFonts w:ascii="Times New Roman" w:hAnsi="Times New Roman" w:cs="Times New Roman"/>
          <w:sz w:val="20"/>
          <w:szCs w:val="20"/>
        </w:rPr>
        <w:t xml:space="preserve"> </w:t>
      </w:r>
      <w:r w:rsidR="00E93DB6" w:rsidRPr="00CC621D">
        <w:rPr>
          <w:rFonts w:ascii="Times New Roman" w:hAnsi="Times New Roman" w:cs="Times New Roman"/>
          <w:b/>
          <w:sz w:val="20"/>
          <w:szCs w:val="20"/>
        </w:rPr>
        <w:t xml:space="preserve">2.0 </w:t>
      </w:r>
      <w:r w:rsidR="004C3BF7" w:rsidRPr="00CC621D">
        <w:rPr>
          <w:rFonts w:ascii="Times New Roman" w:hAnsi="Times New Roman" w:cs="Times New Roman"/>
          <w:b/>
          <w:sz w:val="20"/>
          <w:szCs w:val="20"/>
        </w:rPr>
        <w:t>Literature review</w:t>
      </w:r>
    </w:p>
    <w:p w:rsidR="004868CF" w:rsidRPr="00CC621D" w:rsidRDefault="004868CF" w:rsidP="00ED11B1">
      <w:pPr>
        <w:adjustRightInd w:val="0"/>
        <w:snapToGrid w:val="0"/>
        <w:spacing w:after="0" w:line="240" w:lineRule="auto"/>
        <w:ind w:firstLineChars="213" w:firstLine="426"/>
        <w:jc w:val="both"/>
        <w:rPr>
          <w:rFonts w:ascii="Times New Roman" w:hAnsi="Times New Roman" w:cs="Times New Roman"/>
          <w:sz w:val="20"/>
          <w:szCs w:val="20"/>
        </w:rPr>
      </w:pPr>
      <w:r w:rsidRPr="00CC621D">
        <w:rPr>
          <w:rFonts w:ascii="Times New Roman" w:hAnsi="Times New Roman" w:cs="Times New Roman"/>
          <w:noProof/>
          <w:sz w:val="20"/>
          <w:szCs w:val="20"/>
          <w:lang w:val="en-US"/>
        </w:rPr>
        <w:t>Tanskanen (2000</w:t>
      </w:r>
      <w:r w:rsidRPr="00CC621D">
        <w:rPr>
          <w:rFonts w:ascii="Times New Roman" w:hAnsi="Times New Roman" w:cs="Times New Roman"/>
          <w:sz w:val="20"/>
          <w:szCs w:val="20"/>
          <w:lang w:val="en-US"/>
        </w:rPr>
        <w:t xml:space="preserve">) developed and applied a computer model to study the integrated municipal solid waste management in Helsinki metropolitan area (Finland). The model was developed for analyzing on-site collection systems of waste materials separated at the source. The study aimed at finding and analyzing separation strategies, fulfilling the recovery rate targets adopted for municipal solid waste in Finland. </w:t>
      </w:r>
      <w:r w:rsidRPr="00CC621D">
        <w:rPr>
          <w:rFonts w:ascii="Times New Roman" w:hAnsi="Times New Roman" w:cs="Times New Roman"/>
          <w:noProof/>
          <w:sz w:val="20"/>
          <w:szCs w:val="20"/>
          <w:lang w:val="en-US"/>
        </w:rPr>
        <w:t>Chang and Davila (2008</w:t>
      </w:r>
      <w:r w:rsidRPr="00CC621D">
        <w:rPr>
          <w:rFonts w:ascii="Times New Roman" w:hAnsi="Times New Roman" w:cs="Times New Roman"/>
          <w:sz w:val="20"/>
          <w:szCs w:val="20"/>
          <w:lang w:val="en-US"/>
        </w:rPr>
        <w:t xml:space="preserve">) offered a unique municipal solid waste investigation with regard to both physical and chemical characteristics illuminating the necessary management policies with greater regional relevancy. </w:t>
      </w:r>
      <w:r w:rsidRPr="00CC621D">
        <w:rPr>
          <w:rFonts w:ascii="Times New Roman" w:hAnsi="Times New Roman" w:cs="Times New Roman"/>
          <w:noProof/>
          <w:sz w:val="20"/>
          <w:szCs w:val="20"/>
          <w:lang w:val="en-US"/>
        </w:rPr>
        <w:t>Zotos</w:t>
      </w:r>
      <w:r w:rsidRPr="00CC621D">
        <w:rPr>
          <w:rFonts w:ascii="Times New Roman" w:hAnsi="Times New Roman" w:cs="Times New Roman"/>
          <w:sz w:val="20"/>
          <w:szCs w:val="20"/>
          <w:lang w:val="en-US"/>
        </w:rPr>
        <w:t xml:space="preserve"> </w:t>
      </w:r>
      <w:r w:rsidRPr="00CC621D">
        <w:rPr>
          <w:rFonts w:ascii="Times New Roman" w:hAnsi="Times New Roman" w:cs="Times New Roman"/>
          <w:i/>
          <w:sz w:val="20"/>
          <w:szCs w:val="20"/>
          <w:lang w:val="en-US"/>
        </w:rPr>
        <w:t>et al</w:t>
      </w:r>
      <w:r w:rsidRPr="00CC621D">
        <w:rPr>
          <w:rFonts w:ascii="Times New Roman" w:hAnsi="Times New Roman" w:cs="Times New Roman"/>
          <w:sz w:val="20"/>
          <w:szCs w:val="20"/>
          <w:lang w:val="en-US"/>
        </w:rPr>
        <w:t xml:space="preserve">., (2009) developed a systematic approach for municipal solid waste management at both the household and non-household level. It aimed at providing a framework in the municipal solid waste management field for municipalities in Greece, as well as other countries facing similar problems. </w:t>
      </w:r>
      <w:r w:rsidRPr="00CC621D">
        <w:rPr>
          <w:rFonts w:ascii="Times New Roman" w:hAnsi="Times New Roman" w:cs="Times New Roman"/>
          <w:noProof/>
          <w:sz w:val="20"/>
          <w:szCs w:val="20"/>
          <w:lang w:val="en-US"/>
        </w:rPr>
        <w:t xml:space="preserve">Turan </w:t>
      </w:r>
      <w:r w:rsidRPr="00CC621D">
        <w:rPr>
          <w:rFonts w:ascii="Times New Roman" w:hAnsi="Times New Roman" w:cs="Times New Roman"/>
          <w:i/>
          <w:noProof/>
          <w:sz w:val="20"/>
          <w:szCs w:val="20"/>
          <w:lang w:val="en-US"/>
        </w:rPr>
        <w:t>et al</w:t>
      </w:r>
      <w:r w:rsidRPr="00CC621D">
        <w:rPr>
          <w:rFonts w:ascii="Times New Roman" w:hAnsi="Times New Roman" w:cs="Times New Roman"/>
          <w:noProof/>
          <w:sz w:val="20"/>
          <w:szCs w:val="20"/>
          <w:lang w:val="en-US"/>
        </w:rPr>
        <w:t>. (2009</w:t>
      </w:r>
      <w:r w:rsidRPr="00CC621D">
        <w:rPr>
          <w:rFonts w:ascii="Times New Roman" w:hAnsi="Times New Roman" w:cs="Times New Roman"/>
          <w:sz w:val="20"/>
          <w:szCs w:val="20"/>
          <w:lang w:val="en-US"/>
        </w:rPr>
        <w:t xml:space="preserve">) presented a brief history of the legislative trends in turkey for municipal solid waste management; the study presented the municipal solid waste responsibilities and management structure, together with the present situation of generation, composition, recycling and treatment. </w:t>
      </w:r>
      <w:r w:rsidRPr="00CC621D">
        <w:rPr>
          <w:rFonts w:ascii="Times New Roman" w:hAnsi="Times New Roman" w:cs="Times New Roman"/>
          <w:noProof/>
          <w:sz w:val="20"/>
          <w:szCs w:val="20"/>
          <w:lang w:val="en-US"/>
        </w:rPr>
        <w:t xml:space="preserve">Bovea </w:t>
      </w:r>
      <w:r w:rsidRPr="00CC621D">
        <w:rPr>
          <w:rFonts w:ascii="Times New Roman" w:hAnsi="Times New Roman" w:cs="Times New Roman"/>
          <w:i/>
          <w:noProof/>
          <w:sz w:val="20"/>
          <w:szCs w:val="20"/>
          <w:lang w:val="en-US"/>
        </w:rPr>
        <w:t>et al</w:t>
      </w:r>
      <w:r w:rsidRPr="00CC621D">
        <w:rPr>
          <w:rFonts w:ascii="Times New Roman" w:hAnsi="Times New Roman" w:cs="Times New Roman"/>
          <w:noProof/>
          <w:sz w:val="20"/>
          <w:szCs w:val="20"/>
          <w:lang w:val="en-US"/>
        </w:rPr>
        <w:t>. (2010</w:t>
      </w:r>
      <w:r w:rsidRPr="00CC621D">
        <w:rPr>
          <w:rFonts w:ascii="Times New Roman" w:hAnsi="Times New Roman" w:cs="Times New Roman"/>
          <w:sz w:val="20"/>
          <w:szCs w:val="20"/>
          <w:lang w:val="en-US"/>
        </w:rPr>
        <w:t xml:space="preserve">) compared from an environmental point of view different alternatives for the management of municipal solid waste generation in a town within Spain. </w:t>
      </w:r>
      <w:r w:rsidRPr="00CC621D">
        <w:rPr>
          <w:rFonts w:ascii="Times New Roman" w:hAnsi="Times New Roman" w:cs="Times New Roman"/>
          <w:noProof/>
          <w:sz w:val="20"/>
          <w:szCs w:val="20"/>
          <w:lang w:val="en-US"/>
        </w:rPr>
        <w:t xml:space="preserve">Tunesi </w:t>
      </w:r>
      <w:r w:rsidRPr="00CC621D">
        <w:rPr>
          <w:rFonts w:ascii="Times New Roman" w:hAnsi="Times New Roman" w:cs="Times New Roman"/>
          <w:sz w:val="20"/>
          <w:szCs w:val="20"/>
          <w:lang w:val="en-US"/>
        </w:rPr>
        <w:t xml:space="preserve">in (2010) analyzed local waste management strategic and management planning documents. In the paper three different emerging </w:t>
      </w:r>
      <w:r w:rsidRPr="00CC621D">
        <w:rPr>
          <w:rFonts w:ascii="Times New Roman" w:hAnsi="Times New Roman" w:cs="Times New Roman"/>
          <w:sz w:val="20"/>
          <w:szCs w:val="20"/>
          <w:lang w:val="en-US"/>
        </w:rPr>
        <w:lastRenderedPageBreak/>
        <w:t>energy recovery strategies where identified, with each energy recovery strategy resulting in different solutions in terms of technology selection.</w:t>
      </w:r>
      <w:r w:rsidRPr="00CC621D">
        <w:rPr>
          <w:rFonts w:ascii="Times New Roman" w:hAnsi="Times New Roman" w:cs="Times New Roman"/>
          <w:b/>
          <w:sz w:val="20"/>
          <w:szCs w:val="20"/>
          <w:lang w:val="en-US"/>
        </w:rPr>
        <w:t xml:space="preserve"> </w:t>
      </w:r>
      <w:r w:rsidRPr="00CC621D">
        <w:rPr>
          <w:rFonts w:ascii="Times New Roman" w:hAnsi="Times New Roman" w:cs="Times New Roman"/>
          <w:noProof/>
          <w:sz w:val="20"/>
          <w:szCs w:val="20"/>
          <w:lang w:val="en-US"/>
        </w:rPr>
        <w:t>Ahiamadu  (2007</w:t>
      </w:r>
      <w:r w:rsidRPr="00CC621D">
        <w:rPr>
          <w:rFonts w:ascii="Times New Roman" w:hAnsi="Times New Roman" w:cs="Times New Roman"/>
          <w:sz w:val="20"/>
          <w:szCs w:val="20"/>
          <w:lang w:val="en-US"/>
        </w:rPr>
        <w:t xml:space="preserve">) carried out a comparative analysis on various waste management options, with emphasis on the health and environmental impacts of municipal solid waste and the challenges confronting municipal solid waste management in Nigeria. </w:t>
      </w:r>
      <w:r w:rsidRPr="00CC621D">
        <w:rPr>
          <w:rFonts w:ascii="Times New Roman" w:hAnsi="Times New Roman" w:cs="Times New Roman"/>
          <w:noProof/>
          <w:sz w:val="20"/>
          <w:szCs w:val="20"/>
          <w:lang w:val="en-US"/>
        </w:rPr>
        <w:t xml:space="preserve">Olanrewaju and Ilemobade </w:t>
      </w:r>
      <w:r w:rsidRPr="00CC621D">
        <w:rPr>
          <w:rFonts w:ascii="Times New Roman" w:hAnsi="Times New Roman" w:cs="Times New Roman"/>
          <w:sz w:val="20"/>
          <w:szCs w:val="20"/>
          <w:lang w:val="en-US"/>
        </w:rPr>
        <w:t xml:space="preserve">(2009) researched on Ondo state integrated waste recycling and treatment project in Nigeria, looking into the issue in terms of municipal solid waste management before and after the introduction of this system. They documented the success of the project in turning waste to wealth. </w:t>
      </w:r>
      <w:r w:rsidRPr="00CC621D">
        <w:rPr>
          <w:rFonts w:ascii="Times New Roman" w:hAnsi="Times New Roman" w:cs="Times New Roman"/>
          <w:noProof/>
          <w:sz w:val="20"/>
          <w:szCs w:val="20"/>
          <w:lang w:val="en-US"/>
        </w:rPr>
        <w:t>Babayemi and Dauda (2009</w:t>
      </w:r>
      <w:r w:rsidRPr="00CC621D">
        <w:rPr>
          <w:rFonts w:ascii="Times New Roman" w:hAnsi="Times New Roman" w:cs="Times New Roman"/>
          <w:sz w:val="20"/>
          <w:szCs w:val="20"/>
          <w:lang w:val="en-US"/>
        </w:rPr>
        <w:t xml:space="preserve">) evaluated the solid waste generation, categories and disposal option in developing countries. They used Nigeria as a case study; their study results indicated large generation at high rates without corresponding efficient technology to manage the waste. </w:t>
      </w:r>
      <w:r w:rsidRPr="00CC621D">
        <w:rPr>
          <w:rFonts w:ascii="Times New Roman" w:hAnsi="Times New Roman" w:cs="Times New Roman"/>
          <w:noProof/>
          <w:sz w:val="20"/>
          <w:szCs w:val="20"/>
          <w:lang w:val="en-US"/>
        </w:rPr>
        <w:t xml:space="preserve">Onwughara </w:t>
      </w:r>
      <w:r w:rsidRPr="00CC621D">
        <w:rPr>
          <w:rFonts w:ascii="Times New Roman" w:hAnsi="Times New Roman" w:cs="Times New Roman"/>
          <w:i/>
          <w:noProof/>
          <w:sz w:val="20"/>
          <w:szCs w:val="20"/>
          <w:lang w:val="en-US"/>
        </w:rPr>
        <w:t>et al</w:t>
      </w:r>
      <w:r w:rsidRPr="00CC621D">
        <w:rPr>
          <w:rFonts w:ascii="Times New Roman" w:hAnsi="Times New Roman" w:cs="Times New Roman"/>
          <w:noProof/>
          <w:sz w:val="20"/>
          <w:szCs w:val="20"/>
          <w:lang w:val="en-US"/>
        </w:rPr>
        <w:t>.</w:t>
      </w:r>
      <w:r w:rsidRPr="00CC621D">
        <w:rPr>
          <w:rFonts w:ascii="Times New Roman" w:hAnsi="Times New Roman" w:cs="Times New Roman"/>
          <w:sz w:val="20"/>
          <w:szCs w:val="20"/>
          <w:lang w:val="en-US"/>
        </w:rPr>
        <w:t xml:space="preserve"> (2010) studied the issues of road side disposal habit of municipal solid waste in Nigeria. </w:t>
      </w:r>
      <w:r w:rsidRPr="00CC621D">
        <w:rPr>
          <w:rFonts w:ascii="Times New Roman" w:hAnsi="Times New Roman" w:cs="Times New Roman"/>
          <w:sz w:val="20"/>
          <w:szCs w:val="20"/>
        </w:rPr>
        <w:t>Several studies over the years have been carried out towards addressing these issues, different methods have been applied toward resolving different aspect of solid waste and waste management issues as a whole.</w:t>
      </w:r>
    </w:p>
    <w:p w:rsidR="004868CF" w:rsidRPr="00CC621D" w:rsidRDefault="004868CF" w:rsidP="00ED11B1">
      <w:pPr>
        <w:adjustRightInd w:val="0"/>
        <w:snapToGrid w:val="0"/>
        <w:spacing w:after="0" w:line="240" w:lineRule="auto"/>
        <w:jc w:val="both"/>
        <w:rPr>
          <w:rFonts w:ascii="Times New Roman" w:hAnsi="Times New Roman" w:cs="Times New Roman"/>
          <w:i/>
          <w:color w:val="000000"/>
          <w:sz w:val="20"/>
          <w:szCs w:val="20"/>
          <w:lang w:val="en-US"/>
        </w:rPr>
      </w:pPr>
      <w:r w:rsidRPr="00CC621D">
        <w:rPr>
          <w:rFonts w:ascii="Times New Roman" w:hAnsi="Times New Roman" w:cs="Times New Roman"/>
          <w:i/>
          <w:color w:val="000000"/>
          <w:sz w:val="20"/>
          <w:szCs w:val="20"/>
          <w:lang w:val="en-US"/>
        </w:rPr>
        <w:t xml:space="preserve"> Framework for MSWM Assessment</w:t>
      </w:r>
    </w:p>
    <w:p w:rsidR="000C22FD" w:rsidRPr="00CC621D" w:rsidRDefault="000C22FD" w:rsidP="00ED11B1">
      <w:pPr>
        <w:pStyle w:val="NoSpacing"/>
        <w:adjustRightInd w:val="0"/>
        <w:snapToGrid w:val="0"/>
        <w:ind w:firstLineChars="213" w:firstLine="426"/>
        <w:jc w:val="both"/>
        <w:rPr>
          <w:rFonts w:ascii="Times New Roman" w:hAnsi="Times New Roman" w:cs="Times New Roman"/>
          <w:sz w:val="20"/>
          <w:szCs w:val="20"/>
        </w:rPr>
      </w:pPr>
      <w:r w:rsidRPr="00CC621D">
        <w:rPr>
          <w:rFonts w:ascii="Times New Roman" w:hAnsi="Times New Roman" w:cs="Times New Roman"/>
          <w:sz w:val="20"/>
          <w:szCs w:val="20"/>
        </w:rPr>
        <w:t>Assessment is the process of documenting, usually in measurable terms, knowledge, skills, attitudes and beliefs. This can be subjective or objective and</w:t>
      </w:r>
      <w:r w:rsidRPr="00CC621D">
        <w:rPr>
          <w:rFonts w:ascii="Times New Roman" w:eastAsia="Times New Roman" w:hAnsi="Times New Roman" w:cs="Times New Roman"/>
          <w:color w:val="4F4F4F"/>
          <w:sz w:val="20"/>
          <w:szCs w:val="20"/>
        </w:rPr>
        <w:t xml:space="preserve"> </w:t>
      </w:r>
      <w:r w:rsidRPr="00CC621D">
        <w:rPr>
          <w:rFonts w:ascii="Times New Roman" w:hAnsi="Times New Roman" w:cs="Times New Roman"/>
          <w:sz w:val="20"/>
          <w:szCs w:val="20"/>
        </w:rPr>
        <w:t>an informal assessment usually occurs in a more casual manner. This may include observation, inventories, checklists, rating scales, performance and portfolio assessments, participation, peer and self -evaluation, and discussion. Tools used in assessment can consist of manuals, guidelines, software’s, models and surveys.</w:t>
      </w:r>
      <w:r w:rsidR="00551943" w:rsidRPr="00CC621D">
        <w:rPr>
          <w:rFonts w:ascii="Times New Roman" w:hAnsi="Times New Roman" w:cs="Times New Roman"/>
          <w:sz w:val="20"/>
          <w:szCs w:val="20"/>
        </w:rPr>
        <w:t xml:space="preserve"> </w:t>
      </w:r>
      <w:r w:rsidRPr="00CC621D">
        <w:rPr>
          <w:rFonts w:ascii="Times New Roman" w:hAnsi="Times New Roman" w:cs="Times New Roman"/>
          <w:sz w:val="20"/>
          <w:szCs w:val="20"/>
        </w:rPr>
        <w:t xml:space="preserve">When selecting an assessment method, the selection should: answer questions that are important, time efficient, cost available and resources effective.  Results should give useful feedbacks that highlights efficiencies and identifies areas that are deficient. When selecting an assessment tools/ methods, selection should be based on the tools/methods that will provide the most useful and relevant information for the purposes. Many outcomes will be difficult to assess using only one measure so an integration of two or more methods is recommended </w:t>
      </w:r>
      <w:r w:rsidRPr="00CC621D">
        <w:rPr>
          <w:rFonts w:ascii="Times New Roman" w:hAnsi="Times New Roman" w:cs="Times New Roman"/>
          <w:noProof/>
          <w:sz w:val="20"/>
          <w:szCs w:val="20"/>
        </w:rPr>
        <w:t>(University of Massachusetts Amherst, 2001)</w:t>
      </w:r>
      <w:r w:rsidRPr="00CC621D">
        <w:rPr>
          <w:rFonts w:ascii="Times New Roman" w:hAnsi="Times New Roman" w:cs="Times New Roman"/>
          <w:sz w:val="20"/>
          <w:szCs w:val="20"/>
        </w:rPr>
        <w:t xml:space="preserve">. The advantages to using more than one method include: </w:t>
      </w:r>
    </w:p>
    <w:p w:rsidR="000C22FD" w:rsidRPr="00CC621D" w:rsidRDefault="000C22FD" w:rsidP="00ED11B1">
      <w:pPr>
        <w:pStyle w:val="NoSpacing"/>
        <w:numPr>
          <w:ilvl w:val="0"/>
          <w:numId w:val="12"/>
        </w:numPr>
        <w:adjustRightInd w:val="0"/>
        <w:snapToGrid w:val="0"/>
        <w:jc w:val="both"/>
        <w:rPr>
          <w:rFonts w:ascii="Times New Roman" w:hAnsi="Times New Roman" w:cs="Times New Roman"/>
          <w:sz w:val="20"/>
          <w:szCs w:val="20"/>
        </w:rPr>
      </w:pPr>
      <w:r w:rsidRPr="00CC621D">
        <w:rPr>
          <w:rFonts w:ascii="Times New Roman" w:hAnsi="Times New Roman" w:cs="Times New Roman"/>
          <w:sz w:val="20"/>
          <w:szCs w:val="20"/>
        </w:rPr>
        <w:t xml:space="preserve">Multiple measures can assess different components of a complex task </w:t>
      </w:r>
    </w:p>
    <w:p w:rsidR="000C22FD" w:rsidRPr="00CC621D" w:rsidRDefault="000C22FD" w:rsidP="00ED11B1">
      <w:pPr>
        <w:pStyle w:val="NoSpacing"/>
        <w:adjustRightInd w:val="0"/>
        <w:snapToGrid w:val="0"/>
        <w:jc w:val="both"/>
        <w:rPr>
          <w:rFonts w:ascii="Times New Roman" w:hAnsi="Times New Roman" w:cs="Times New Roman"/>
          <w:sz w:val="20"/>
          <w:szCs w:val="20"/>
        </w:rPr>
      </w:pPr>
      <w:r w:rsidRPr="00CC621D">
        <w:rPr>
          <w:rFonts w:ascii="Times New Roman" w:hAnsi="Times New Roman" w:cs="Times New Roman"/>
          <w:sz w:val="20"/>
          <w:szCs w:val="20"/>
        </w:rPr>
        <w:t xml:space="preserve">         </w:t>
      </w:r>
      <w:r w:rsidR="00551943" w:rsidRPr="00CC621D">
        <w:rPr>
          <w:rFonts w:ascii="Times New Roman" w:hAnsi="Times New Roman" w:cs="Times New Roman"/>
          <w:sz w:val="20"/>
          <w:szCs w:val="20"/>
        </w:rPr>
        <w:t xml:space="preserve">  </w:t>
      </w:r>
      <w:r w:rsidRPr="00CC621D">
        <w:rPr>
          <w:rFonts w:ascii="Times New Roman" w:hAnsi="Times New Roman" w:cs="Times New Roman"/>
          <w:sz w:val="20"/>
          <w:szCs w:val="20"/>
        </w:rPr>
        <w:t xml:space="preserve">  No need to try to design a complicated all-purpose method</w:t>
      </w:r>
    </w:p>
    <w:p w:rsidR="000C22FD" w:rsidRPr="00CC621D" w:rsidRDefault="000C22FD" w:rsidP="00ED11B1">
      <w:pPr>
        <w:pStyle w:val="NoSpacing"/>
        <w:numPr>
          <w:ilvl w:val="0"/>
          <w:numId w:val="12"/>
        </w:numPr>
        <w:adjustRightInd w:val="0"/>
        <w:snapToGrid w:val="0"/>
        <w:jc w:val="both"/>
        <w:rPr>
          <w:rFonts w:ascii="Times New Roman" w:hAnsi="Times New Roman" w:cs="Times New Roman"/>
          <w:sz w:val="20"/>
          <w:szCs w:val="20"/>
        </w:rPr>
      </w:pPr>
      <w:r w:rsidRPr="00CC621D">
        <w:rPr>
          <w:rFonts w:ascii="Times New Roman" w:hAnsi="Times New Roman" w:cs="Times New Roman"/>
          <w:sz w:val="20"/>
          <w:szCs w:val="20"/>
        </w:rPr>
        <w:lastRenderedPageBreak/>
        <w:t xml:space="preserve">Greater accuracy and authority achieved when several methods of assessment produce similar findings </w:t>
      </w:r>
    </w:p>
    <w:p w:rsidR="000C22FD" w:rsidRPr="00CC621D" w:rsidRDefault="000C22FD" w:rsidP="00ED11B1">
      <w:pPr>
        <w:pStyle w:val="NoSpacing"/>
        <w:numPr>
          <w:ilvl w:val="0"/>
          <w:numId w:val="12"/>
        </w:numPr>
        <w:adjustRightInd w:val="0"/>
        <w:snapToGrid w:val="0"/>
        <w:jc w:val="both"/>
        <w:rPr>
          <w:rFonts w:ascii="Times New Roman" w:hAnsi="Times New Roman" w:cs="Times New Roman"/>
          <w:sz w:val="20"/>
          <w:szCs w:val="20"/>
        </w:rPr>
      </w:pPr>
      <w:r w:rsidRPr="00CC621D">
        <w:rPr>
          <w:rFonts w:ascii="Times New Roman" w:hAnsi="Times New Roman" w:cs="Times New Roman"/>
          <w:sz w:val="20"/>
          <w:szCs w:val="20"/>
        </w:rPr>
        <w:t>Provides opportunity to pursue further inquiry when methods contradict each other.</w:t>
      </w:r>
    </w:p>
    <w:p w:rsidR="00551943" w:rsidRPr="00CC621D" w:rsidRDefault="000C22FD" w:rsidP="00ED11B1">
      <w:pPr>
        <w:pStyle w:val="NoSpacing"/>
        <w:adjustRightInd w:val="0"/>
        <w:snapToGrid w:val="0"/>
        <w:ind w:firstLine="360"/>
        <w:jc w:val="both"/>
        <w:rPr>
          <w:rFonts w:ascii="Times New Roman" w:hAnsi="Times New Roman" w:cs="Times New Roman"/>
          <w:b/>
          <w:color w:val="000000"/>
          <w:sz w:val="20"/>
          <w:szCs w:val="20"/>
        </w:rPr>
      </w:pPr>
      <w:r w:rsidRPr="00CC621D">
        <w:rPr>
          <w:rFonts w:ascii="Times New Roman" w:hAnsi="Times New Roman" w:cs="Times New Roman"/>
          <w:sz w:val="20"/>
          <w:szCs w:val="20"/>
        </w:rPr>
        <w:t xml:space="preserve">All assessment measures do not have to involve quantitative measurement. A combination of qualitative and quantitative methods can offer the most effective way to assess goals and outcomes. Effective methods of assessment provide both positive and negative feedback </w:t>
      </w:r>
      <w:r w:rsidRPr="00CC621D">
        <w:rPr>
          <w:rFonts w:ascii="Times New Roman" w:hAnsi="Times New Roman" w:cs="Times New Roman"/>
          <w:noProof/>
          <w:sz w:val="20"/>
          <w:szCs w:val="20"/>
        </w:rPr>
        <w:t>(University of Massachusetts Amherst, 2001)</w:t>
      </w:r>
      <w:r w:rsidRPr="00CC621D">
        <w:rPr>
          <w:rFonts w:ascii="Times New Roman" w:hAnsi="Times New Roman" w:cs="Times New Roman"/>
          <w:sz w:val="20"/>
          <w:szCs w:val="20"/>
        </w:rPr>
        <w:t>.</w:t>
      </w:r>
      <w:r w:rsidR="004868CF" w:rsidRPr="00CC621D">
        <w:rPr>
          <w:rFonts w:ascii="Times New Roman" w:hAnsi="Times New Roman" w:cs="Times New Roman"/>
          <w:sz w:val="20"/>
          <w:szCs w:val="20"/>
        </w:rPr>
        <w:t xml:space="preserve"> In this study survey methods is will used to rate the municipal solid waste management services in two cities towards identify deficient areas where improvement is required</w:t>
      </w:r>
      <w:r w:rsidR="00ED11B1">
        <w:rPr>
          <w:rFonts w:ascii="Times New Roman" w:hAnsi="Times New Roman" w:cs="Times New Roman"/>
          <w:sz w:val="20"/>
          <w:szCs w:val="20"/>
        </w:rPr>
        <w:t>.</w:t>
      </w:r>
    </w:p>
    <w:p w:rsidR="00551943" w:rsidRPr="00ED11B1" w:rsidRDefault="00551943" w:rsidP="00ED11B1">
      <w:pPr>
        <w:pStyle w:val="NoSpacing"/>
        <w:adjustRightInd w:val="0"/>
        <w:snapToGrid w:val="0"/>
        <w:rPr>
          <w:rFonts w:ascii="Times New Roman" w:hAnsi="Times New Roman" w:cs="Times New Roman"/>
          <w:b/>
          <w:sz w:val="20"/>
          <w:szCs w:val="20"/>
        </w:rPr>
      </w:pPr>
      <w:r w:rsidRPr="00CC621D">
        <w:rPr>
          <w:rFonts w:ascii="Times New Roman" w:hAnsi="Times New Roman" w:cs="Times New Roman"/>
          <w:b/>
          <w:sz w:val="20"/>
          <w:szCs w:val="20"/>
        </w:rPr>
        <w:t xml:space="preserve">3.0 </w:t>
      </w:r>
      <w:r w:rsidR="004C3BF7" w:rsidRPr="00CC621D">
        <w:rPr>
          <w:rFonts w:ascii="Times New Roman" w:hAnsi="Times New Roman" w:cs="Times New Roman"/>
          <w:b/>
          <w:sz w:val="20"/>
          <w:szCs w:val="20"/>
        </w:rPr>
        <w:t>Methodology</w:t>
      </w:r>
    </w:p>
    <w:p w:rsidR="00551943" w:rsidRPr="00CC621D" w:rsidRDefault="000C22FD" w:rsidP="00ED11B1">
      <w:pPr>
        <w:pStyle w:val="NoSpacing"/>
        <w:adjustRightInd w:val="0"/>
        <w:snapToGrid w:val="0"/>
        <w:ind w:firstLineChars="213" w:firstLine="426"/>
        <w:jc w:val="both"/>
        <w:rPr>
          <w:rFonts w:ascii="Times New Roman" w:hAnsi="Times New Roman" w:cs="Times New Roman"/>
          <w:sz w:val="20"/>
          <w:szCs w:val="20"/>
        </w:rPr>
      </w:pPr>
      <w:r w:rsidRPr="00CC621D">
        <w:rPr>
          <w:rFonts w:ascii="Times New Roman" w:hAnsi="Times New Roman" w:cs="Times New Roman"/>
          <w:color w:val="000000"/>
          <w:sz w:val="20"/>
          <w:szCs w:val="20"/>
        </w:rPr>
        <w:t xml:space="preserve">In this study FCT Abuja and Putrajaya are selected as representative of the current solid waste management in Nigeria and Malaysia. The selection is based on the existing situation with different solid waste management problems, size, and challenges </w:t>
      </w:r>
      <w:r w:rsidRPr="00CC621D">
        <w:rPr>
          <w:rFonts w:ascii="Times New Roman" w:hAnsi="Times New Roman" w:cs="Times New Roman"/>
          <w:noProof/>
          <w:color w:val="000000"/>
          <w:sz w:val="20"/>
          <w:szCs w:val="20"/>
        </w:rPr>
        <w:t>(Eriksson,</w:t>
      </w:r>
      <w:r w:rsidRPr="00CC621D">
        <w:rPr>
          <w:rFonts w:ascii="Times New Roman" w:hAnsi="Times New Roman" w:cs="Times New Roman"/>
          <w:i/>
          <w:noProof/>
          <w:color w:val="000000"/>
          <w:sz w:val="20"/>
          <w:szCs w:val="20"/>
        </w:rPr>
        <w:t xml:space="preserve"> et al</w:t>
      </w:r>
      <w:r w:rsidRPr="00CC621D">
        <w:rPr>
          <w:rFonts w:ascii="Times New Roman" w:hAnsi="Times New Roman" w:cs="Times New Roman"/>
          <w:noProof/>
          <w:color w:val="000000"/>
          <w:sz w:val="20"/>
          <w:szCs w:val="20"/>
        </w:rPr>
        <w:t>., 2005</w:t>
      </w:r>
      <w:r w:rsidRPr="00CC621D">
        <w:rPr>
          <w:rFonts w:ascii="Times New Roman" w:hAnsi="Times New Roman" w:cs="Times New Roman"/>
          <w:color w:val="000000"/>
          <w:sz w:val="20"/>
          <w:szCs w:val="20"/>
        </w:rPr>
        <w:t xml:space="preserve">; </w:t>
      </w:r>
      <w:r w:rsidRPr="00CC621D">
        <w:rPr>
          <w:rFonts w:ascii="Times New Roman" w:hAnsi="Times New Roman" w:cs="Times New Roman"/>
          <w:noProof/>
          <w:color w:val="000000"/>
          <w:sz w:val="20"/>
          <w:szCs w:val="20"/>
        </w:rPr>
        <w:t>Kumar and Goel, 2009)</w:t>
      </w:r>
      <w:r w:rsidRPr="00CC621D">
        <w:rPr>
          <w:rFonts w:ascii="Times New Roman" w:hAnsi="Times New Roman" w:cs="Times New Roman"/>
          <w:color w:val="000000"/>
          <w:sz w:val="20"/>
          <w:szCs w:val="20"/>
        </w:rPr>
        <w:t xml:space="preserve"> and being a federal capital of the country it should be a model of excellence for other cities to emulate.</w:t>
      </w:r>
      <w:r w:rsidR="005E6F1D" w:rsidRPr="00CC621D">
        <w:rPr>
          <w:rFonts w:ascii="Times New Roman" w:hAnsi="Times New Roman" w:cs="Times New Roman"/>
          <w:color w:val="000000"/>
          <w:sz w:val="20"/>
          <w:szCs w:val="20"/>
        </w:rPr>
        <w:t xml:space="preserve"> </w:t>
      </w:r>
      <w:r w:rsidRPr="00CC621D">
        <w:rPr>
          <w:rFonts w:ascii="Times New Roman" w:hAnsi="Times New Roman" w:cs="Times New Roman"/>
          <w:sz w:val="20"/>
          <w:szCs w:val="20"/>
        </w:rPr>
        <w:t>This research is a descriptive research using survey method as an assessment tool, in comparative approach.</w:t>
      </w:r>
      <w:r w:rsidR="005E6F1D" w:rsidRPr="00CC621D">
        <w:rPr>
          <w:rFonts w:ascii="Times New Roman" w:hAnsi="Times New Roman" w:cs="Times New Roman"/>
          <w:sz w:val="20"/>
          <w:szCs w:val="20"/>
        </w:rPr>
        <w:t xml:space="preserve"> </w:t>
      </w:r>
      <w:r w:rsidRPr="00CC621D">
        <w:rPr>
          <w:rFonts w:ascii="Times New Roman" w:hAnsi="Times New Roman" w:cs="Times New Roman"/>
          <w:sz w:val="20"/>
          <w:szCs w:val="20"/>
        </w:rPr>
        <w:t>The criteria used for selection of both cities are based on:  Both administrative capitals, planned cities and share similarities in land-use patterns.</w:t>
      </w:r>
      <w:r w:rsidR="00551943" w:rsidRPr="00CC621D">
        <w:rPr>
          <w:rFonts w:ascii="Times New Roman" w:hAnsi="Times New Roman" w:cs="Times New Roman"/>
          <w:sz w:val="20"/>
          <w:szCs w:val="20"/>
        </w:rPr>
        <w:t xml:space="preserve"> </w:t>
      </w:r>
      <w:r w:rsidR="000E74C2" w:rsidRPr="00CC621D">
        <w:rPr>
          <w:rFonts w:ascii="Times New Roman" w:hAnsi="Times New Roman" w:cs="Times New Roman"/>
          <w:sz w:val="20"/>
          <w:szCs w:val="20"/>
        </w:rPr>
        <w:t xml:space="preserve">A </w:t>
      </w:r>
      <w:proofErr w:type="spellStart"/>
      <w:r w:rsidR="000E74C2" w:rsidRPr="00CC621D">
        <w:rPr>
          <w:rFonts w:ascii="Times New Roman" w:hAnsi="Times New Roman" w:cs="Times New Roman"/>
          <w:sz w:val="20"/>
          <w:szCs w:val="20"/>
        </w:rPr>
        <w:t>likert</w:t>
      </w:r>
      <w:proofErr w:type="spellEnd"/>
      <w:r w:rsidR="000E74C2" w:rsidRPr="00CC621D">
        <w:rPr>
          <w:rFonts w:ascii="Times New Roman" w:hAnsi="Times New Roman" w:cs="Times New Roman"/>
          <w:sz w:val="20"/>
          <w:szCs w:val="20"/>
        </w:rPr>
        <w:t xml:space="preserve"> scale questionnaire was used as instrument for the data collection and Validated. </w:t>
      </w:r>
      <w:r w:rsidR="005E6F1D" w:rsidRPr="00CC621D">
        <w:rPr>
          <w:rFonts w:ascii="Times New Roman" w:hAnsi="Times New Roman" w:cs="Times New Roman"/>
          <w:sz w:val="20"/>
          <w:szCs w:val="20"/>
        </w:rPr>
        <w:t xml:space="preserve">The questionnaire was adopted from previous studies with modifications to suite this research. </w:t>
      </w:r>
      <w:r w:rsidR="000E74C2" w:rsidRPr="00CC621D">
        <w:rPr>
          <w:rFonts w:ascii="Times New Roman" w:hAnsi="Times New Roman" w:cs="Times New Roman"/>
          <w:sz w:val="20"/>
          <w:szCs w:val="20"/>
        </w:rPr>
        <w:t xml:space="preserve">Validity </w:t>
      </w:r>
      <w:proofErr w:type="spellStart"/>
      <w:r w:rsidR="000E74C2" w:rsidRPr="00CC621D">
        <w:rPr>
          <w:rFonts w:ascii="Times New Roman" w:hAnsi="Times New Roman" w:cs="Times New Roman"/>
          <w:sz w:val="20"/>
          <w:szCs w:val="20"/>
        </w:rPr>
        <w:t>include</w:t>
      </w:r>
      <w:r w:rsidR="005E6F1D" w:rsidRPr="00CC621D">
        <w:rPr>
          <w:rFonts w:ascii="Times New Roman" w:hAnsi="Times New Roman" w:cs="Times New Roman"/>
          <w:sz w:val="20"/>
          <w:szCs w:val="20"/>
        </w:rPr>
        <w:t>ed</w:t>
      </w:r>
      <w:proofErr w:type="spellEnd"/>
      <w:r w:rsidR="000E74C2" w:rsidRPr="00CC621D">
        <w:rPr>
          <w:rFonts w:ascii="Times New Roman" w:hAnsi="Times New Roman" w:cs="Times New Roman"/>
          <w:sz w:val="20"/>
          <w:szCs w:val="20"/>
        </w:rPr>
        <w:t xml:space="preserve"> four parts: </w:t>
      </w:r>
      <w:r w:rsidR="000E74C2" w:rsidRPr="00CC621D">
        <w:rPr>
          <w:rFonts w:ascii="Times New Roman" w:hAnsi="Times New Roman" w:cs="Times New Roman"/>
          <w:iCs/>
          <w:sz w:val="20"/>
          <w:szCs w:val="20"/>
        </w:rPr>
        <w:t xml:space="preserve">face validity, content validity, construct validity </w:t>
      </w:r>
      <w:r w:rsidR="000E74C2" w:rsidRPr="00CC621D">
        <w:rPr>
          <w:rFonts w:ascii="Times New Roman" w:hAnsi="Times New Roman" w:cs="Times New Roman"/>
          <w:sz w:val="20"/>
          <w:szCs w:val="20"/>
        </w:rPr>
        <w:t xml:space="preserve">and </w:t>
      </w:r>
      <w:r w:rsidR="000E74C2" w:rsidRPr="00CC621D">
        <w:rPr>
          <w:rFonts w:ascii="Times New Roman" w:hAnsi="Times New Roman" w:cs="Times New Roman"/>
          <w:iCs/>
          <w:sz w:val="20"/>
          <w:szCs w:val="20"/>
        </w:rPr>
        <w:t xml:space="preserve">criterion-related validity. </w:t>
      </w:r>
      <w:r w:rsidR="000E74C2" w:rsidRPr="00CC621D">
        <w:rPr>
          <w:rFonts w:ascii="Times New Roman" w:hAnsi="Times New Roman" w:cs="Times New Roman"/>
          <w:sz w:val="20"/>
          <w:szCs w:val="20"/>
        </w:rPr>
        <w:t xml:space="preserve">A survey has face validity if it looks clear and well-organized; this is something a researcher determines before giving the survey to any students or colleagues. A survey has content validity if the questions fall into the area under study; in theory, experts in a given field will agree on what questions belong in that field. A survey with criterion-related validity is directly comparable with other measures of the same attributes. Construct validity, the requirement that the survey actually measures what it is intended to measure, is the most important requirement and the hardest to satisfy. The questionnaire was validated by experts. The questionnaire was tested via pilot study and retested after modifications were made. </w:t>
      </w:r>
    </w:p>
    <w:p w:rsidR="000C22FD" w:rsidRPr="00CC621D" w:rsidRDefault="000E74C2" w:rsidP="00ED11B1">
      <w:pPr>
        <w:pStyle w:val="NoSpacing"/>
        <w:adjustRightInd w:val="0"/>
        <w:snapToGrid w:val="0"/>
        <w:ind w:firstLineChars="213" w:firstLine="426"/>
        <w:jc w:val="both"/>
        <w:rPr>
          <w:rFonts w:ascii="Times New Roman" w:hAnsi="Times New Roman" w:cs="Times New Roman"/>
          <w:sz w:val="20"/>
          <w:szCs w:val="20"/>
        </w:rPr>
      </w:pPr>
      <w:r w:rsidRPr="00CC621D">
        <w:rPr>
          <w:sz w:val="20"/>
          <w:szCs w:val="20"/>
        </w:rPr>
        <w:t>The sampling method was selected to enable collection of representative and unbiased samples.</w:t>
      </w:r>
      <w:r w:rsidR="00551943" w:rsidRPr="00CC621D">
        <w:rPr>
          <w:sz w:val="20"/>
          <w:szCs w:val="20"/>
        </w:rPr>
        <w:t xml:space="preserve"> </w:t>
      </w:r>
      <w:r w:rsidR="000C22FD" w:rsidRPr="00CC621D">
        <w:rPr>
          <w:rFonts w:ascii="Times New Roman" w:hAnsi="Times New Roman" w:cs="Times New Roman"/>
          <w:sz w:val="20"/>
          <w:szCs w:val="20"/>
        </w:rPr>
        <w:t xml:space="preserve">Sampling procedure refers to the process of selecting individuals from the target population (Suleiman, 2004). The primary goal is to get a representative sample or small collection of unit or cases from a </w:t>
      </w:r>
      <w:r w:rsidR="000C22FD" w:rsidRPr="00CC621D">
        <w:rPr>
          <w:rFonts w:ascii="Times New Roman" w:hAnsi="Times New Roman" w:cs="Times New Roman"/>
          <w:sz w:val="20"/>
          <w:szCs w:val="20"/>
        </w:rPr>
        <w:lastRenderedPageBreak/>
        <w:t>much larger population, such that the researcher can study the smaller group and produce accurate generalizations about the population (</w:t>
      </w:r>
      <w:proofErr w:type="spellStart"/>
      <w:r w:rsidR="000C22FD" w:rsidRPr="00CC621D">
        <w:rPr>
          <w:rFonts w:ascii="Times New Roman" w:hAnsi="Times New Roman" w:cs="Times New Roman"/>
          <w:sz w:val="20"/>
          <w:szCs w:val="20"/>
        </w:rPr>
        <w:t>Neuman</w:t>
      </w:r>
      <w:proofErr w:type="spellEnd"/>
      <w:r w:rsidR="000C22FD" w:rsidRPr="00CC621D">
        <w:rPr>
          <w:rFonts w:ascii="Times New Roman" w:hAnsi="Times New Roman" w:cs="Times New Roman"/>
          <w:sz w:val="20"/>
          <w:szCs w:val="20"/>
        </w:rPr>
        <w:t>, 2003).</w:t>
      </w:r>
      <w:r w:rsidR="000C22FD" w:rsidRPr="00CC621D">
        <w:rPr>
          <w:rFonts w:ascii="Times New Roman" w:hAnsi="Times New Roman" w:cs="Times New Roman"/>
          <w:b/>
          <w:sz w:val="20"/>
          <w:szCs w:val="20"/>
        </w:rPr>
        <w:t xml:space="preserve"> </w:t>
      </w:r>
      <w:r w:rsidR="000C22FD" w:rsidRPr="00CC621D">
        <w:rPr>
          <w:rFonts w:ascii="Times New Roman" w:hAnsi="Times New Roman" w:cs="Times New Roman"/>
          <w:sz w:val="20"/>
          <w:szCs w:val="20"/>
        </w:rPr>
        <w:t xml:space="preserve">The residential questionnaires will be distributed using randomized sampling and distributed to households, within public places and parks. In both case studies enumerators were used to assist with the distribution and retrieval of the questionnaires. The enumerators have had academic training in environmental matters and are familiar with conducting surveys </w:t>
      </w:r>
      <w:r w:rsidR="000C22FD" w:rsidRPr="00CC621D">
        <w:rPr>
          <w:rFonts w:ascii="Times New Roman" w:hAnsi="Times New Roman" w:cs="Times New Roman"/>
          <w:noProof/>
          <w:sz w:val="20"/>
          <w:szCs w:val="20"/>
        </w:rPr>
        <w:t xml:space="preserve">(Gomez </w:t>
      </w:r>
      <w:r w:rsidR="000C22FD" w:rsidRPr="00CC621D">
        <w:rPr>
          <w:rFonts w:ascii="Times New Roman" w:hAnsi="Times New Roman" w:cs="Times New Roman"/>
          <w:i/>
          <w:noProof/>
          <w:sz w:val="20"/>
          <w:szCs w:val="20"/>
        </w:rPr>
        <w:t>et al</w:t>
      </w:r>
      <w:r w:rsidR="000C22FD" w:rsidRPr="00CC621D">
        <w:rPr>
          <w:rFonts w:ascii="Times New Roman" w:hAnsi="Times New Roman" w:cs="Times New Roman"/>
          <w:noProof/>
          <w:sz w:val="20"/>
          <w:szCs w:val="20"/>
        </w:rPr>
        <w:t>., 2009)</w:t>
      </w:r>
      <w:r w:rsidR="000C22FD" w:rsidRPr="00CC621D">
        <w:rPr>
          <w:rFonts w:ascii="Times New Roman" w:hAnsi="Times New Roman" w:cs="Times New Roman"/>
          <w:sz w:val="20"/>
          <w:szCs w:val="20"/>
        </w:rPr>
        <w:t>.</w:t>
      </w:r>
      <w:r w:rsidR="000C22FD" w:rsidRPr="00CC621D">
        <w:rPr>
          <w:rFonts w:ascii="Times New Roman" w:hAnsi="Times New Roman" w:cs="Times New Roman"/>
          <w:b/>
          <w:sz w:val="20"/>
          <w:szCs w:val="20"/>
        </w:rPr>
        <w:t xml:space="preserve"> </w:t>
      </w:r>
      <w:proofErr w:type="spellStart"/>
      <w:r w:rsidR="000C22FD" w:rsidRPr="00CC621D">
        <w:rPr>
          <w:rFonts w:ascii="Times New Roman" w:hAnsi="Times New Roman" w:cs="Times New Roman"/>
          <w:sz w:val="20"/>
          <w:szCs w:val="20"/>
        </w:rPr>
        <w:t>Sekaran</w:t>
      </w:r>
      <w:proofErr w:type="spellEnd"/>
      <w:r w:rsidR="000C22FD" w:rsidRPr="00CC621D">
        <w:rPr>
          <w:rFonts w:ascii="Times New Roman" w:hAnsi="Times New Roman" w:cs="Times New Roman"/>
          <w:sz w:val="20"/>
          <w:szCs w:val="20"/>
        </w:rPr>
        <w:t xml:space="preserve"> (2010) proposes that sample size should be larger than 30 and less than 500, which would be appropriate for research purposes. The sample size for the residential questionnaires was calculated from the formula below. This formula has been used to derive an appropriate size for the study area. At 95% confidence level or P=0.05 is assumed for the equation: </w:t>
      </w:r>
    </w:p>
    <w:p w:rsidR="000C22FD" w:rsidRPr="00CC621D" w:rsidRDefault="000C22FD" w:rsidP="00ED11B1">
      <w:pPr>
        <w:adjustRightInd w:val="0"/>
        <w:snapToGrid w:val="0"/>
        <w:spacing w:after="0" w:line="240" w:lineRule="auto"/>
        <w:jc w:val="center"/>
        <w:rPr>
          <w:rFonts w:ascii="Times New Roman" w:hAnsi="Times New Roman" w:cs="Times New Roman"/>
          <w:sz w:val="20"/>
          <w:szCs w:val="20"/>
        </w:rPr>
      </w:pPr>
      <w:r w:rsidRPr="00CC621D">
        <w:rPr>
          <w:rFonts w:ascii="Times New Roman" w:hAnsi="Times New Roman" w:cs="Times New Roman"/>
          <w:noProof/>
          <w:sz w:val="20"/>
          <w:szCs w:val="20"/>
          <w:lang w:val="en-US" w:eastAsia="zh-CN"/>
        </w:rPr>
        <w:drawing>
          <wp:inline distT="0" distB="0" distL="0" distR="0">
            <wp:extent cx="1771650" cy="590550"/>
            <wp:effectExtent l="0" t="0" r="0" b="0"/>
            <wp:docPr id="4"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590550"/>
                    </a:xfrm>
                    <a:prstGeom prst="rect">
                      <a:avLst/>
                    </a:prstGeom>
                    <a:noFill/>
                    <a:ln>
                      <a:noFill/>
                    </a:ln>
                  </pic:spPr>
                </pic:pic>
              </a:graphicData>
            </a:graphic>
          </wp:inline>
        </w:drawing>
      </w:r>
    </w:p>
    <w:p w:rsidR="000C22FD" w:rsidRPr="00CC621D" w:rsidRDefault="000C22FD" w:rsidP="00ED11B1">
      <w:pPr>
        <w:pStyle w:val="NoSpacing"/>
        <w:adjustRightInd w:val="0"/>
        <w:snapToGrid w:val="0"/>
        <w:jc w:val="center"/>
        <w:rPr>
          <w:rFonts w:ascii="Times New Roman" w:hAnsi="Times New Roman" w:cs="Times New Roman"/>
          <w:sz w:val="20"/>
          <w:szCs w:val="20"/>
        </w:rPr>
      </w:pPr>
      <w:r w:rsidRPr="00CC621D">
        <w:rPr>
          <w:rFonts w:ascii="Times New Roman" w:hAnsi="Times New Roman" w:cs="Times New Roman"/>
          <w:sz w:val="20"/>
          <w:szCs w:val="20"/>
        </w:rPr>
        <w:t>Source: (</w:t>
      </w:r>
      <w:proofErr w:type="spellStart"/>
      <w:r w:rsidRPr="00CC621D">
        <w:rPr>
          <w:rFonts w:ascii="Times New Roman" w:hAnsi="Times New Roman" w:cs="Times New Roman"/>
          <w:sz w:val="20"/>
          <w:szCs w:val="20"/>
        </w:rPr>
        <w:t>Krejcie</w:t>
      </w:r>
      <w:proofErr w:type="spellEnd"/>
      <w:r w:rsidRPr="00CC621D">
        <w:rPr>
          <w:rFonts w:ascii="Times New Roman" w:hAnsi="Times New Roman" w:cs="Times New Roman"/>
          <w:sz w:val="20"/>
          <w:szCs w:val="20"/>
        </w:rPr>
        <w:t xml:space="preserve"> and Morgan, 1970; Fox </w:t>
      </w:r>
      <w:r w:rsidRPr="00CC621D">
        <w:rPr>
          <w:rFonts w:ascii="Times New Roman" w:hAnsi="Times New Roman" w:cs="Times New Roman"/>
          <w:i/>
          <w:sz w:val="20"/>
          <w:szCs w:val="20"/>
        </w:rPr>
        <w:t>et al.,</w:t>
      </w:r>
      <w:r w:rsidRPr="00CC621D">
        <w:rPr>
          <w:rFonts w:ascii="Times New Roman" w:hAnsi="Times New Roman" w:cs="Times New Roman"/>
          <w:sz w:val="20"/>
          <w:szCs w:val="20"/>
        </w:rPr>
        <w:t xml:space="preserve"> 2009)</w:t>
      </w:r>
    </w:p>
    <w:p w:rsidR="000C22FD" w:rsidRPr="00CC621D" w:rsidRDefault="000C22FD" w:rsidP="00ED11B1">
      <w:pPr>
        <w:pStyle w:val="NoSpacing"/>
        <w:adjustRightInd w:val="0"/>
        <w:snapToGrid w:val="0"/>
        <w:jc w:val="both"/>
        <w:rPr>
          <w:rFonts w:ascii="Times New Roman" w:hAnsi="Times New Roman" w:cs="Times New Roman"/>
          <w:sz w:val="20"/>
          <w:szCs w:val="20"/>
        </w:rPr>
      </w:pPr>
    </w:p>
    <w:p w:rsidR="000C22FD" w:rsidRPr="00CC621D" w:rsidRDefault="000C22FD" w:rsidP="00ED11B1">
      <w:pPr>
        <w:pStyle w:val="NoSpacing"/>
        <w:adjustRightInd w:val="0"/>
        <w:snapToGrid w:val="0"/>
        <w:jc w:val="both"/>
        <w:rPr>
          <w:rFonts w:ascii="Times New Roman" w:hAnsi="Times New Roman" w:cs="Times New Roman"/>
          <w:sz w:val="20"/>
          <w:szCs w:val="20"/>
        </w:rPr>
      </w:pPr>
      <w:r w:rsidRPr="00CC621D">
        <w:rPr>
          <w:rFonts w:ascii="Times New Roman" w:hAnsi="Times New Roman" w:cs="Times New Roman"/>
          <w:sz w:val="20"/>
          <w:szCs w:val="20"/>
        </w:rPr>
        <w:t>Where:</w:t>
      </w:r>
      <w:r w:rsidR="00775A61" w:rsidRPr="00CC621D">
        <w:rPr>
          <w:rFonts w:ascii="Times New Roman" w:hAnsi="Times New Roman" w:cs="Times New Roman"/>
          <w:sz w:val="20"/>
          <w:szCs w:val="20"/>
        </w:rPr>
        <w:t xml:space="preserve"> </w:t>
      </w:r>
      <w:r w:rsidRPr="00CC621D">
        <w:rPr>
          <w:rFonts w:ascii="Times New Roman" w:hAnsi="Times New Roman" w:cs="Times New Roman"/>
          <w:bCs/>
          <w:sz w:val="20"/>
          <w:szCs w:val="20"/>
        </w:rPr>
        <w:t xml:space="preserve">n </w:t>
      </w:r>
      <w:r w:rsidRPr="00CC621D">
        <w:rPr>
          <w:rFonts w:ascii="Times New Roman" w:hAnsi="Times New Roman" w:cs="Times New Roman"/>
          <w:sz w:val="20"/>
          <w:szCs w:val="20"/>
        </w:rPr>
        <w:t xml:space="preserve">=the sample size, </w:t>
      </w:r>
      <w:r w:rsidRPr="00CC621D">
        <w:rPr>
          <w:rFonts w:ascii="Times New Roman" w:hAnsi="Times New Roman" w:cs="Times New Roman"/>
          <w:bCs/>
          <w:sz w:val="20"/>
          <w:szCs w:val="20"/>
        </w:rPr>
        <w:t xml:space="preserve">N </w:t>
      </w:r>
      <w:r w:rsidRPr="00CC621D">
        <w:rPr>
          <w:rFonts w:ascii="Times New Roman" w:hAnsi="Times New Roman" w:cs="Times New Roman"/>
          <w:sz w:val="20"/>
          <w:szCs w:val="20"/>
        </w:rPr>
        <w:t xml:space="preserve">=the population size; 1,406,239 for FCT Abuja </w:t>
      </w:r>
      <w:r w:rsidRPr="00CC621D">
        <w:rPr>
          <w:rFonts w:ascii="Times New Roman" w:hAnsi="Times New Roman" w:cs="Times New Roman"/>
          <w:noProof/>
          <w:sz w:val="20"/>
          <w:szCs w:val="20"/>
        </w:rPr>
        <w:t>(NPC, 2012)</w:t>
      </w:r>
      <w:r w:rsidRPr="00CC621D">
        <w:rPr>
          <w:rFonts w:ascii="Times New Roman" w:hAnsi="Times New Roman" w:cs="Times New Roman"/>
          <w:sz w:val="20"/>
          <w:szCs w:val="20"/>
        </w:rPr>
        <w:t xml:space="preserve"> and 72,413 </w:t>
      </w:r>
      <w:r w:rsidRPr="00CC621D">
        <w:rPr>
          <w:rFonts w:ascii="Times New Roman" w:hAnsi="Times New Roman" w:cs="Times New Roman"/>
          <w:noProof/>
          <w:sz w:val="20"/>
          <w:szCs w:val="20"/>
        </w:rPr>
        <w:t>(DOS, 2012)</w:t>
      </w:r>
      <w:r w:rsidRPr="00CC621D">
        <w:rPr>
          <w:rFonts w:ascii="Times New Roman" w:hAnsi="Times New Roman" w:cs="Times New Roman"/>
          <w:sz w:val="20"/>
          <w:szCs w:val="20"/>
        </w:rPr>
        <w:t xml:space="preserve">, </w:t>
      </w:r>
      <w:r w:rsidRPr="00CC621D">
        <w:rPr>
          <w:rFonts w:ascii="Times New Roman" w:hAnsi="Times New Roman" w:cs="Times New Roman"/>
          <w:bCs/>
          <w:sz w:val="20"/>
          <w:szCs w:val="20"/>
        </w:rPr>
        <w:t xml:space="preserve">e </w:t>
      </w:r>
      <w:r w:rsidRPr="00CC621D">
        <w:rPr>
          <w:rFonts w:ascii="Times New Roman" w:hAnsi="Times New Roman" w:cs="Times New Roman"/>
          <w:sz w:val="20"/>
          <w:szCs w:val="20"/>
        </w:rPr>
        <w:t xml:space="preserve">=the level of precision. </w:t>
      </w:r>
    </w:p>
    <w:p w:rsidR="00775A61" w:rsidRPr="00CC621D" w:rsidRDefault="00775A61" w:rsidP="00ED11B1">
      <w:pPr>
        <w:pStyle w:val="NoSpacing"/>
        <w:adjustRightInd w:val="0"/>
        <w:snapToGrid w:val="0"/>
        <w:jc w:val="both"/>
        <w:rPr>
          <w:rFonts w:ascii="Times New Roman" w:hAnsi="Times New Roman" w:cs="Times New Roman"/>
          <w:sz w:val="20"/>
          <w:szCs w:val="20"/>
        </w:rPr>
      </w:pPr>
    </w:p>
    <w:p w:rsidR="000E74C2" w:rsidRPr="00CC621D" w:rsidRDefault="005E6F1D" w:rsidP="00ED11B1">
      <w:pPr>
        <w:adjustRightInd w:val="0"/>
        <w:snapToGrid w:val="0"/>
        <w:spacing w:after="0" w:line="240" w:lineRule="auto"/>
        <w:ind w:firstLine="720"/>
        <w:jc w:val="both"/>
        <w:rPr>
          <w:rFonts w:ascii="Times New Roman" w:hAnsi="Times New Roman" w:cs="Times New Roman"/>
          <w:sz w:val="20"/>
          <w:szCs w:val="20"/>
        </w:rPr>
      </w:pPr>
      <w:r w:rsidRPr="00CC621D">
        <w:rPr>
          <w:rFonts w:ascii="Times New Roman" w:hAnsi="Times New Roman" w:cs="Times New Roman"/>
          <w:sz w:val="20"/>
          <w:szCs w:val="20"/>
        </w:rPr>
        <w:t>Random sampling method was</w:t>
      </w:r>
      <w:r w:rsidR="000C22FD" w:rsidRPr="00CC621D">
        <w:rPr>
          <w:rFonts w:ascii="Times New Roman" w:hAnsi="Times New Roman" w:cs="Times New Roman"/>
          <w:sz w:val="20"/>
          <w:szCs w:val="20"/>
        </w:rPr>
        <w:t xml:space="preserve"> be used, from the above formula, the sample size will consist of 400 for each case study. Large sample number is also recommended to ensure a higher statistical accuracy and confidence level </w:t>
      </w:r>
      <w:r w:rsidR="00551943" w:rsidRPr="00CC621D">
        <w:rPr>
          <w:rFonts w:ascii="Times New Roman" w:hAnsi="Times New Roman" w:cs="Times New Roman"/>
          <w:noProof/>
          <w:sz w:val="20"/>
          <w:szCs w:val="20"/>
        </w:rPr>
        <w:t>(UNEP, 2009</w:t>
      </w:r>
      <w:r w:rsidR="000C22FD" w:rsidRPr="00CC621D">
        <w:rPr>
          <w:rFonts w:ascii="Times New Roman" w:hAnsi="Times New Roman" w:cs="Times New Roman"/>
          <w:sz w:val="20"/>
          <w:szCs w:val="20"/>
        </w:rPr>
        <w:t xml:space="preserve">; </w:t>
      </w:r>
      <w:r w:rsidR="000C22FD" w:rsidRPr="00CC621D">
        <w:rPr>
          <w:rFonts w:ascii="Times New Roman" w:hAnsi="Times New Roman" w:cs="Times New Roman"/>
          <w:noProof/>
          <w:sz w:val="20"/>
          <w:szCs w:val="20"/>
          <w:lang w:val="en-US"/>
        </w:rPr>
        <w:t xml:space="preserve">Gomez </w:t>
      </w:r>
      <w:r w:rsidR="000C22FD" w:rsidRPr="00CC621D">
        <w:rPr>
          <w:rFonts w:ascii="Times New Roman" w:hAnsi="Times New Roman" w:cs="Times New Roman"/>
          <w:i/>
          <w:noProof/>
          <w:sz w:val="20"/>
          <w:szCs w:val="20"/>
          <w:lang w:val="en-US"/>
        </w:rPr>
        <w:t>et al</w:t>
      </w:r>
      <w:r w:rsidR="000C22FD" w:rsidRPr="00CC621D">
        <w:rPr>
          <w:rFonts w:ascii="Times New Roman" w:hAnsi="Times New Roman" w:cs="Times New Roman"/>
          <w:noProof/>
          <w:sz w:val="20"/>
          <w:szCs w:val="20"/>
          <w:lang w:val="en-US"/>
        </w:rPr>
        <w:t>., 2009)</w:t>
      </w:r>
      <w:r w:rsidR="000C22FD" w:rsidRPr="00CC621D">
        <w:rPr>
          <w:rFonts w:ascii="Times New Roman" w:hAnsi="Times New Roman" w:cs="Times New Roman"/>
          <w:sz w:val="20"/>
          <w:szCs w:val="20"/>
        </w:rPr>
        <w:t xml:space="preserve">. According to Jacob </w:t>
      </w:r>
      <w:r w:rsidR="000C22FD" w:rsidRPr="00CC621D">
        <w:rPr>
          <w:rFonts w:ascii="Times New Roman" w:hAnsi="Times New Roman" w:cs="Times New Roman"/>
          <w:i/>
          <w:sz w:val="20"/>
          <w:szCs w:val="20"/>
        </w:rPr>
        <w:t>et al.</w:t>
      </w:r>
      <w:r w:rsidR="000C22FD" w:rsidRPr="00CC621D">
        <w:rPr>
          <w:rFonts w:ascii="Times New Roman" w:hAnsi="Times New Roman" w:cs="Times New Roman"/>
          <w:sz w:val="20"/>
          <w:szCs w:val="20"/>
        </w:rPr>
        <w:t xml:space="preserve"> (1990) a large sample is much more likely to be representative of the population. In other words, the larger the sample sizes the smaller the error and the greater precision of the results (Cohen, 1988).</w:t>
      </w:r>
      <w:r w:rsidR="007C3F47" w:rsidRPr="00CC621D">
        <w:rPr>
          <w:rFonts w:ascii="Times New Roman" w:hAnsi="Times New Roman" w:cs="Times New Roman"/>
          <w:sz w:val="20"/>
          <w:szCs w:val="20"/>
        </w:rPr>
        <w:t xml:space="preserve"> </w:t>
      </w:r>
      <w:r w:rsidR="000C22FD" w:rsidRPr="00CC621D">
        <w:rPr>
          <w:rFonts w:ascii="Times New Roman" w:hAnsi="Times New Roman" w:cs="Times New Roman"/>
          <w:sz w:val="20"/>
          <w:szCs w:val="20"/>
        </w:rPr>
        <w:t xml:space="preserve">In the pilot study the residential questionnaire n=32 was distributed in FCT Abuja and subsequently analysed to test the instrument. The questions seem too numerous and produced 76 variables. Reliability test was carried by checking of internal consistency using </w:t>
      </w:r>
      <w:proofErr w:type="spellStart"/>
      <w:r w:rsidR="000C22FD" w:rsidRPr="00CC621D">
        <w:rPr>
          <w:rFonts w:ascii="Times New Roman" w:hAnsi="Times New Roman" w:cs="Times New Roman"/>
          <w:sz w:val="20"/>
          <w:szCs w:val="20"/>
        </w:rPr>
        <w:t>Cronbachs</w:t>
      </w:r>
      <w:proofErr w:type="spellEnd"/>
      <w:r w:rsidR="000C22FD" w:rsidRPr="00CC621D">
        <w:rPr>
          <w:rFonts w:ascii="Times New Roman" w:hAnsi="Times New Roman" w:cs="Times New Roman"/>
          <w:sz w:val="20"/>
          <w:szCs w:val="20"/>
        </w:rPr>
        <w:t xml:space="preserve"> alpha coefficient </w:t>
      </w:r>
      <w:r w:rsidR="000C22FD" w:rsidRPr="00CC621D">
        <w:rPr>
          <w:rFonts w:ascii="Times New Roman" w:hAnsi="Times New Roman" w:cs="Times New Roman"/>
          <w:noProof/>
          <w:sz w:val="20"/>
          <w:szCs w:val="20"/>
        </w:rPr>
        <w:t>(Pallant, 2005)</w:t>
      </w:r>
      <w:r w:rsidR="000C22FD" w:rsidRPr="00CC621D">
        <w:rPr>
          <w:rFonts w:ascii="Times New Roman" w:hAnsi="Times New Roman" w:cs="Times New Roman"/>
          <w:sz w:val="20"/>
          <w:szCs w:val="20"/>
        </w:rPr>
        <w:t xml:space="preserve">. The </w:t>
      </w:r>
      <w:proofErr w:type="spellStart"/>
      <w:r w:rsidR="000C22FD" w:rsidRPr="00CC621D">
        <w:rPr>
          <w:rFonts w:ascii="Times New Roman" w:hAnsi="Times New Roman" w:cs="Times New Roman"/>
          <w:sz w:val="20"/>
          <w:szCs w:val="20"/>
        </w:rPr>
        <w:t>Cronbachs</w:t>
      </w:r>
      <w:proofErr w:type="spellEnd"/>
      <w:r w:rsidR="000C22FD" w:rsidRPr="00CC621D">
        <w:rPr>
          <w:rFonts w:ascii="Times New Roman" w:hAnsi="Times New Roman" w:cs="Times New Roman"/>
          <w:sz w:val="20"/>
          <w:szCs w:val="20"/>
        </w:rPr>
        <w:t xml:space="preserve"> coefficient was 0.62 so the instrument format and scaling was revised re-validated by two experts, and distributed randomly to individual to assess its readability and clearness. The </w:t>
      </w:r>
      <w:proofErr w:type="spellStart"/>
      <w:r w:rsidR="000C22FD" w:rsidRPr="00CC621D">
        <w:rPr>
          <w:rFonts w:ascii="Times New Roman" w:hAnsi="Times New Roman" w:cs="Times New Roman"/>
          <w:sz w:val="20"/>
          <w:szCs w:val="20"/>
        </w:rPr>
        <w:t>Cronbach</w:t>
      </w:r>
      <w:proofErr w:type="spellEnd"/>
      <w:r w:rsidR="000C22FD" w:rsidRPr="00CC621D">
        <w:rPr>
          <w:rFonts w:ascii="Times New Roman" w:hAnsi="Times New Roman" w:cs="Times New Roman"/>
          <w:sz w:val="20"/>
          <w:szCs w:val="20"/>
        </w:rPr>
        <w:t xml:space="preserve"> coefficient is sensitive to short scales; fewer than ten, then it is quite common to get a low </w:t>
      </w:r>
      <w:proofErr w:type="spellStart"/>
      <w:r w:rsidR="000C22FD" w:rsidRPr="00CC621D">
        <w:rPr>
          <w:rFonts w:ascii="Times New Roman" w:hAnsi="Times New Roman" w:cs="Times New Roman"/>
          <w:sz w:val="20"/>
          <w:szCs w:val="20"/>
        </w:rPr>
        <w:t>Cronbach</w:t>
      </w:r>
      <w:proofErr w:type="spellEnd"/>
      <w:r w:rsidR="000C22FD" w:rsidRPr="00CC621D">
        <w:rPr>
          <w:rFonts w:ascii="Times New Roman" w:hAnsi="Times New Roman" w:cs="Times New Roman"/>
          <w:sz w:val="20"/>
          <w:szCs w:val="20"/>
        </w:rPr>
        <w:t xml:space="preserve"> value; 0.5 </w:t>
      </w:r>
      <w:r w:rsidR="000C22FD" w:rsidRPr="00CC621D">
        <w:rPr>
          <w:rFonts w:ascii="Times New Roman" w:hAnsi="Times New Roman" w:cs="Times New Roman"/>
          <w:noProof/>
          <w:sz w:val="20"/>
          <w:szCs w:val="20"/>
        </w:rPr>
        <w:t>(Pallant, 2005)</w:t>
      </w:r>
      <w:r w:rsidR="000C22FD" w:rsidRPr="00CC621D">
        <w:rPr>
          <w:rFonts w:ascii="Times New Roman" w:hAnsi="Times New Roman" w:cs="Times New Roman"/>
          <w:sz w:val="20"/>
          <w:szCs w:val="20"/>
        </w:rPr>
        <w:t>.</w:t>
      </w:r>
      <w:r w:rsidR="007C3F47" w:rsidRPr="00CC621D">
        <w:rPr>
          <w:rFonts w:ascii="Times New Roman" w:hAnsi="Times New Roman" w:cs="Times New Roman"/>
          <w:sz w:val="20"/>
          <w:szCs w:val="20"/>
        </w:rPr>
        <w:t xml:space="preserve"> </w:t>
      </w:r>
      <w:r w:rsidRPr="00CC621D">
        <w:rPr>
          <w:rFonts w:ascii="Times New Roman" w:hAnsi="Times New Roman" w:cs="Times New Roman"/>
          <w:sz w:val="20"/>
          <w:szCs w:val="20"/>
        </w:rPr>
        <w:t xml:space="preserve">To achieve objective which is </w:t>
      </w:r>
      <w:r w:rsidRPr="00CC621D">
        <w:rPr>
          <w:rFonts w:ascii="Times New Roman" w:hAnsi="Times New Roman" w:cs="Times New Roman"/>
          <w:sz w:val="20"/>
          <w:szCs w:val="20"/>
          <w:lang w:val="en-US"/>
        </w:rPr>
        <w:t>to rate municipal solid waste management services in FCT Abuja and Putrajaya.</w:t>
      </w:r>
      <w:r w:rsidR="00551943" w:rsidRPr="00CC621D">
        <w:rPr>
          <w:rFonts w:ascii="Times New Roman" w:hAnsi="Times New Roman" w:cs="Times New Roman"/>
          <w:sz w:val="20"/>
          <w:szCs w:val="20"/>
          <w:lang w:val="en-US"/>
        </w:rPr>
        <w:t xml:space="preserve"> </w:t>
      </w:r>
      <w:r w:rsidRPr="00CC621D">
        <w:rPr>
          <w:rFonts w:ascii="Times New Roman" w:hAnsi="Times New Roman" w:cs="Times New Roman"/>
          <w:sz w:val="20"/>
          <w:szCs w:val="20"/>
          <w:lang w:val="en-US"/>
        </w:rPr>
        <w:t xml:space="preserve">The variables measured were: overall services, efficiency of services, regularity of services, public awareness, comprehensive laws and </w:t>
      </w:r>
      <w:r w:rsidRPr="00CC621D">
        <w:rPr>
          <w:rFonts w:ascii="Times New Roman" w:hAnsi="Times New Roman" w:cs="Times New Roman"/>
          <w:sz w:val="20"/>
          <w:szCs w:val="20"/>
          <w:lang w:val="en-US"/>
        </w:rPr>
        <w:lastRenderedPageBreak/>
        <w:t>enforcement. The data was analyzed using descriptive, parametric and nonparametric statistic</w:t>
      </w:r>
    </w:p>
    <w:p w:rsidR="004C3BF7" w:rsidRPr="00CC621D" w:rsidRDefault="00CC69D7" w:rsidP="00ED11B1">
      <w:pPr>
        <w:adjustRightInd w:val="0"/>
        <w:snapToGrid w:val="0"/>
        <w:spacing w:after="0" w:line="240" w:lineRule="auto"/>
        <w:jc w:val="both"/>
        <w:rPr>
          <w:rFonts w:ascii="Times New Roman" w:hAnsi="Times New Roman" w:cs="Times New Roman"/>
          <w:b/>
          <w:sz w:val="20"/>
          <w:szCs w:val="20"/>
        </w:rPr>
      </w:pPr>
      <w:r w:rsidRPr="00CC621D">
        <w:rPr>
          <w:rFonts w:ascii="Times New Roman" w:hAnsi="Times New Roman" w:cs="Times New Roman"/>
          <w:b/>
          <w:sz w:val="20"/>
          <w:szCs w:val="20"/>
        </w:rPr>
        <w:t xml:space="preserve">4.0 </w:t>
      </w:r>
      <w:r w:rsidR="000C22FD" w:rsidRPr="00CC621D">
        <w:rPr>
          <w:rFonts w:ascii="Times New Roman" w:hAnsi="Times New Roman" w:cs="Times New Roman"/>
          <w:b/>
          <w:sz w:val="20"/>
          <w:szCs w:val="20"/>
        </w:rPr>
        <w:t>Results and D</w:t>
      </w:r>
      <w:r w:rsidR="004C3BF7" w:rsidRPr="00CC621D">
        <w:rPr>
          <w:rFonts w:ascii="Times New Roman" w:hAnsi="Times New Roman" w:cs="Times New Roman"/>
          <w:b/>
          <w:sz w:val="20"/>
          <w:szCs w:val="20"/>
        </w:rPr>
        <w:t>i</w:t>
      </w:r>
      <w:r w:rsidR="000C22FD" w:rsidRPr="00CC621D">
        <w:rPr>
          <w:rFonts w:ascii="Times New Roman" w:hAnsi="Times New Roman" w:cs="Times New Roman"/>
          <w:b/>
          <w:sz w:val="20"/>
          <w:szCs w:val="20"/>
        </w:rPr>
        <w:t>s</w:t>
      </w:r>
      <w:r w:rsidR="004C3BF7" w:rsidRPr="00CC621D">
        <w:rPr>
          <w:rFonts w:ascii="Times New Roman" w:hAnsi="Times New Roman" w:cs="Times New Roman"/>
          <w:b/>
          <w:sz w:val="20"/>
          <w:szCs w:val="20"/>
        </w:rPr>
        <w:t>cus</w:t>
      </w:r>
      <w:r w:rsidR="000C22FD" w:rsidRPr="00CC621D">
        <w:rPr>
          <w:rFonts w:ascii="Times New Roman" w:hAnsi="Times New Roman" w:cs="Times New Roman"/>
          <w:b/>
          <w:sz w:val="20"/>
          <w:szCs w:val="20"/>
        </w:rPr>
        <w:t>s</w:t>
      </w:r>
      <w:r w:rsidR="004C3BF7" w:rsidRPr="00CC621D">
        <w:rPr>
          <w:rFonts w:ascii="Times New Roman" w:hAnsi="Times New Roman" w:cs="Times New Roman"/>
          <w:b/>
          <w:sz w:val="20"/>
          <w:szCs w:val="20"/>
        </w:rPr>
        <w:t>ions</w:t>
      </w:r>
    </w:p>
    <w:p w:rsidR="004C3BF7" w:rsidRPr="00CC621D" w:rsidRDefault="00CC69D7" w:rsidP="00ED11B1">
      <w:pPr>
        <w:adjustRightInd w:val="0"/>
        <w:snapToGrid w:val="0"/>
        <w:spacing w:after="0" w:line="240" w:lineRule="auto"/>
        <w:jc w:val="both"/>
        <w:rPr>
          <w:rFonts w:ascii="Times New Roman" w:hAnsi="Times New Roman" w:cs="Times New Roman"/>
          <w:i/>
          <w:sz w:val="20"/>
          <w:szCs w:val="20"/>
          <w:lang w:val="en-US"/>
        </w:rPr>
      </w:pPr>
      <w:r w:rsidRPr="00CC621D">
        <w:rPr>
          <w:rFonts w:ascii="Times New Roman" w:hAnsi="Times New Roman" w:cs="Times New Roman"/>
          <w:i/>
          <w:sz w:val="20"/>
          <w:szCs w:val="20"/>
          <w:lang w:val="en-US"/>
        </w:rPr>
        <w:t xml:space="preserve">4.1 </w:t>
      </w:r>
      <w:r w:rsidR="007C3F47" w:rsidRPr="00CC621D">
        <w:rPr>
          <w:rFonts w:ascii="Times New Roman" w:hAnsi="Times New Roman" w:cs="Times New Roman"/>
          <w:i/>
          <w:sz w:val="20"/>
          <w:szCs w:val="20"/>
          <w:lang w:val="en-US"/>
        </w:rPr>
        <w:t>Demographic Assessment</w:t>
      </w:r>
    </w:p>
    <w:p w:rsidR="007C3F47" w:rsidRPr="00CC621D" w:rsidRDefault="007C3F47" w:rsidP="00ED11B1">
      <w:pPr>
        <w:adjustRightInd w:val="0"/>
        <w:snapToGrid w:val="0"/>
        <w:spacing w:after="0" w:line="240" w:lineRule="auto"/>
        <w:jc w:val="both"/>
        <w:outlineLvl w:val="0"/>
        <w:rPr>
          <w:rFonts w:ascii="Times New Roman" w:eastAsia="Calibri" w:hAnsi="Times New Roman" w:cs="Times New Roman"/>
          <w:color w:val="000000"/>
          <w:sz w:val="20"/>
          <w:szCs w:val="20"/>
          <w:u w:val="single"/>
          <w:lang w:val="en-MY"/>
        </w:rPr>
      </w:pPr>
      <w:r w:rsidRPr="00CC621D">
        <w:rPr>
          <w:rFonts w:ascii="Times New Roman" w:eastAsia="Calibri" w:hAnsi="Times New Roman" w:cs="Times New Roman"/>
          <w:color w:val="000000"/>
          <w:sz w:val="20"/>
          <w:szCs w:val="20"/>
          <w:u w:val="single"/>
          <w:lang w:val="en-MY"/>
        </w:rPr>
        <w:t>Gender</w:t>
      </w:r>
    </w:p>
    <w:p w:rsidR="007C3F47" w:rsidRPr="00CC621D" w:rsidRDefault="007C3F47" w:rsidP="00ED11B1">
      <w:pPr>
        <w:adjustRightInd w:val="0"/>
        <w:snapToGrid w:val="0"/>
        <w:spacing w:after="0" w:line="240" w:lineRule="auto"/>
        <w:ind w:firstLine="720"/>
        <w:jc w:val="both"/>
        <w:rPr>
          <w:rFonts w:ascii="Times New Roman" w:hAnsi="Times New Roman" w:cs="Times New Roman"/>
          <w:color w:val="000000"/>
          <w:sz w:val="20"/>
          <w:szCs w:val="20"/>
        </w:rPr>
      </w:pPr>
      <w:r w:rsidRPr="00CC621D">
        <w:rPr>
          <w:rFonts w:ascii="Times New Roman" w:hAnsi="Times New Roman" w:cs="Times New Roman"/>
          <w:color w:val="000000"/>
          <w:sz w:val="20"/>
          <w:szCs w:val="20"/>
        </w:rPr>
        <w:t>In FCT Abuja 55.4% of the population comprises of males and 45.6% females, while in Putrajaya 53.8% comprises of males and 46.2% females. Totally there are 54.1% males and 45.9% females in both cities combine as shown in Figure 4.1. Mann-Whitney U test is carried out to determine if there is a significant difference in the gender distribution when both cities are compared. The results obtained gave a Z value of -0.174 with p=0.862 (Table 4 Appendix 2). Therefore it can be concluded there is no significant difference statistically in the gender category distribution when both cities are compared at a 95% confidence level (CL).</w:t>
      </w:r>
    </w:p>
    <w:p w:rsidR="007C3F47" w:rsidRPr="00CC621D" w:rsidRDefault="007C3F47" w:rsidP="00ED11B1">
      <w:pPr>
        <w:adjustRightInd w:val="0"/>
        <w:snapToGrid w:val="0"/>
        <w:spacing w:after="0" w:line="240" w:lineRule="auto"/>
        <w:jc w:val="both"/>
        <w:rPr>
          <w:rFonts w:ascii="Times New Roman" w:hAnsi="Times New Roman" w:cs="Times New Roman"/>
          <w:sz w:val="20"/>
          <w:szCs w:val="20"/>
          <w:u w:val="single"/>
        </w:rPr>
      </w:pPr>
      <w:r w:rsidRPr="00CC621D">
        <w:rPr>
          <w:rFonts w:ascii="Times New Roman" w:hAnsi="Times New Roman" w:cs="Times New Roman"/>
          <w:sz w:val="20"/>
          <w:szCs w:val="20"/>
          <w:u w:val="single"/>
        </w:rPr>
        <w:t>Occupation</w:t>
      </w:r>
    </w:p>
    <w:p w:rsidR="007C3F47" w:rsidRPr="00CC621D" w:rsidRDefault="007C3F47" w:rsidP="00ED11B1">
      <w:pPr>
        <w:adjustRightInd w:val="0"/>
        <w:snapToGrid w:val="0"/>
        <w:spacing w:after="0" w:line="240" w:lineRule="auto"/>
        <w:ind w:firstLine="720"/>
        <w:jc w:val="both"/>
        <w:rPr>
          <w:rFonts w:ascii="Times New Roman" w:hAnsi="Times New Roman" w:cs="Times New Roman"/>
          <w:color w:val="000000"/>
          <w:sz w:val="20"/>
          <w:szCs w:val="20"/>
        </w:rPr>
      </w:pPr>
      <w:r w:rsidRPr="00CC621D">
        <w:rPr>
          <w:rFonts w:ascii="Times New Roman" w:hAnsi="Times New Roman" w:cs="Times New Roman"/>
          <w:sz w:val="20"/>
          <w:szCs w:val="20"/>
        </w:rPr>
        <w:t xml:space="preserve">In FCT Abuja 59.8% of the population consist of government workers and 40.2% nongovernment workers, while in Putrajaya 40.7% of the population consist of government workers and 59.3% non-government workers as shown in Figure 4.2. When both cities are compared with regards to the distribution based on occupation, using </w:t>
      </w:r>
      <w:r w:rsidRPr="00CC621D">
        <w:rPr>
          <w:rFonts w:ascii="Times New Roman" w:hAnsi="Times New Roman" w:cs="Times New Roman"/>
          <w:color w:val="000000"/>
          <w:sz w:val="20"/>
          <w:szCs w:val="20"/>
        </w:rPr>
        <w:t>Mann-Whitney U test a Z value of -5.472 is obtained with p=0.000 (Table 5 Appendix 2). It can therefore be concluded the occupation category distribution of the respondents in both cities is significantly different statistically at a 95% CL.</w:t>
      </w:r>
    </w:p>
    <w:p w:rsidR="007C3F47" w:rsidRPr="00CC621D" w:rsidRDefault="007C3F47" w:rsidP="00ED11B1">
      <w:pPr>
        <w:adjustRightInd w:val="0"/>
        <w:snapToGrid w:val="0"/>
        <w:spacing w:after="0" w:line="240" w:lineRule="auto"/>
        <w:jc w:val="both"/>
        <w:outlineLvl w:val="0"/>
        <w:rPr>
          <w:rFonts w:ascii="Times New Roman" w:eastAsia="Calibri" w:hAnsi="Times New Roman" w:cs="Times New Roman"/>
          <w:color w:val="000000"/>
          <w:sz w:val="20"/>
          <w:szCs w:val="20"/>
          <w:u w:val="single"/>
          <w:lang w:val="en-MY"/>
        </w:rPr>
      </w:pPr>
      <w:r w:rsidRPr="00CC621D">
        <w:rPr>
          <w:rFonts w:ascii="Times New Roman" w:eastAsia="Calibri" w:hAnsi="Times New Roman" w:cs="Times New Roman"/>
          <w:color w:val="000000"/>
          <w:sz w:val="20"/>
          <w:szCs w:val="20"/>
          <w:u w:val="single"/>
          <w:lang w:val="en-MY"/>
        </w:rPr>
        <w:t>Age Group Distribution</w:t>
      </w:r>
    </w:p>
    <w:p w:rsidR="007C3F47" w:rsidRPr="00CC621D" w:rsidRDefault="007C3F47" w:rsidP="00ED11B1">
      <w:pPr>
        <w:adjustRightInd w:val="0"/>
        <w:snapToGrid w:val="0"/>
        <w:spacing w:after="0" w:line="240" w:lineRule="auto"/>
        <w:ind w:firstLine="720"/>
        <w:jc w:val="both"/>
        <w:outlineLvl w:val="0"/>
        <w:rPr>
          <w:rFonts w:ascii="Times New Roman" w:eastAsia="Calibri" w:hAnsi="Times New Roman" w:cs="Times New Roman"/>
          <w:color w:val="000000"/>
          <w:sz w:val="20"/>
          <w:szCs w:val="20"/>
          <w:lang w:val="en-MY"/>
        </w:rPr>
      </w:pPr>
      <w:r w:rsidRPr="00CC621D">
        <w:rPr>
          <w:rFonts w:ascii="Times New Roman" w:eastAsia="Calibri" w:hAnsi="Times New Roman" w:cs="Times New Roman"/>
          <w:color w:val="000000"/>
          <w:sz w:val="20"/>
          <w:szCs w:val="20"/>
          <w:lang w:val="en-MY"/>
        </w:rPr>
        <w:t xml:space="preserve">In terms of age group it can be seen from Figure 4.3, Putrajaya has a higher percentage for ages 16-26 at 49.3% compared to FCT Abuja with 12.4%. In other age categories FCT Abuja has a higher percentage of distribution. On further analysis to compare both cities using the Mann-Whitney U test a Z value of -12.135 is obtained with p=0.000 (Table 6 Appendix 2). Therefore it can be concluded with regards to age group distribution both cities are significantly different statistically at a </w:t>
      </w:r>
      <w:r w:rsidRPr="00CC621D">
        <w:rPr>
          <w:rFonts w:ascii="Times New Roman" w:hAnsi="Times New Roman" w:cs="Times New Roman"/>
          <w:color w:val="000000"/>
          <w:sz w:val="20"/>
          <w:szCs w:val="20"/>
        </w:rPr>
        <w:t>95% CL</w:t>
      </w:r>
      <w:r w:rsidRPr="00CC621D">
        <w:rPr>
          <w:rFonts w:ascii="Times New Roman" w:eastAsia="Calibri" w:hAnsi="Times New Roman" w:cs="Times New Roman"/>
          <w:color w:val="000000"/>
          <w:sz w:val="20"/>
          <w:szCs w:val="20"/>
          <w:lang w:val="en-MY"/>
        </w:rPr>
        <w:t>.</w:t>
      </w:r>
    </w:p>
    <w:p w:rsidR="007C3F47" w:rsidRPr="00CC621D" w:rsidRDefault="007C3F47" w:rsidP="00ED11B1">
      <w:pPr>
        <w:adjustRightInd w:val="0"/>
        <w:snapToGrid w:val="0"/>
        <w:spacing w:after="0" w:line="240" w:lineRule="auto"/>
        <w:jc w:val="both"/>
        <w:outlineLvl w:val="0"/>
        <w:rPr>
          <w:rFonts w:ascii="Times New Roman" w:eastAsia="Calibri" w:hAnsi="Times New Roman" w:cs="Times New Roman"/>
          <w:color w:val="000000"/>
          <w:sz w:val="20"/>
          <w:szCs w:val="20"/>
          <w:lang w:val="en-MY"/>
        </w:rPr>
      </w:pPr>
    </w:p>
    <w:p w:rsidR="007C3F47" w:rsidRPr="00CC621D" w:rsidRDefault="007C3F47" w:rsidP="00ED11B1">
      <w:pPr>
        <w:autoSpaceDE w:val="0"/>
        <w:autoSpaceDN w:val="0"/>
        <w:adjustRightInd w:val="0"/>
        <w:snapToGrid w:val="0"/>
        <w:spacing w:after="0" w:line="240" w:lineRule="auto"/>
        <w:jc w:val="both"/>
        <w:rPr>
          <w:rFonts w:ascii="Times New Roman" w:hAnsi="Times New Roman" w:cs="Times New Roman"/>
          <w:sz w:val="20"/>
          <w:szCs w:val="20"/>
          <w:u w:val="single"/>
        </w:rPr>
      </w:pPr>
      <w:r w:rsidRPr="00CC621D">
        <w:rPr>
          <w:rFonts w:ascii="Times New Roman" w:hAnsi="Times New Roman" w:cs="Times New Roman"/>
          <w:sz w:val="20"/>
          <w:szCs w:val="20"/>
          <w:u w:val="single"/>
        </w:rPr>
        <w:t>Number of Individual per Household</w:t>
      </w:r>
    </w:p>
    <w:p w:rsidR="007C3F47" w:rsidRPr="00CC621D" w:rsidRDefault="007C3F47" w:rsidP="00ED11B1">
      <w:pPr>
        <w:autoSpaceDE w:val="0"/>
        <w:autoSpaceDN w:val="0"/>
        <w:adjustRightInd w:val="0"/>
        <w:snapToGrid w:val="0"/>
        <w:spacing w:after="0" w:line="240" w:lineRule="auto"/>
        <w:ind w:firstLine="720"/>
        <w:jc w:val="both"/>
        <w:rPr>
          <w:rFonts w:ascii="Times New Roman" w:hAnsi="Times New Roman" w:cs="Times New Roman"/>
          <w:sz w:val="20"/>
          <w:szCs w:val="20"/>
        </w:rPr>
      </w:pPr>
      <w:r w:rsidRPr="00CC621D">
        <w:rPr>
          <w:rFonts w:ascii="Times New Roman" w:hAnsi="Times New Roman" w:cs="Times New Roman"/>
          <w:sz w:val="20"/>
          <w:szCs w:val="20"/>
        </w:rPr>
        <w:t xml:space="preserve">From Figure 4.4 it can be seen that FCT Abuja has the highest percentage of individual per household sheltering 9 people and above at 9.8% compared to Putrajaya which has 0.6%. In Putrajaya 2-5 individuals per household is higher than in FCT Abuja. On further analysis to compare both cities using the Mann-Whitney U test a Z value of -6.359 is obtained with a p=0.000 (Table 7 Appendix 2). It can therefore be concluded that the distribution of the number of individual per household differs </w:t>
      </w:r>
      <w:r w:rsidRPr="00CC621D">
        <w:rPr>
          <w:rFonts w:ascii="Times New Roman" w:hAnsi="Times New Roman" w:cs="Times New Roman"/>
          <w:sz w:val="20"/>
          <w:szCs w:val="20"/>
        </w:rPr>
        <w:lastRenderedPageBreak/>
        <w:t xml:space="preserve">significantly when both cities are compared statistically at </w:t>
      </w:r>
      <w:r w:rsidRPr="00CC621D">
        <w:rPr>
          <w:rFonts w:ascii="Times New Roman" w:hAnsi="Times New Roman" w:cs="Times New Roman"/>
          <w:color w:val="000000"/>
          <w:sz w:val="20"/>
          <w:szCs w:val="20"/>
        </w:rPr>
        <w:t>95% CL</w:t>
      </w:r>
      <w:r w:rsidRPr="00CC621D">
        <w:rPr>
          <w:rFonts w:ascii="Times New Roman" w:hAnsi="Times New Roman" w:cs="Times New Roman"/>
          <w:sz w:val="20"/>
          <w:szCs w:val="20"/>
        </w:rPr>
        <w:t>.</w:t>
      </w:r>
    </w:p>
    <w:p w:rsidR="007C3F47" w:rsidRPr="00CC621D" w:rsidRDefault="007C3F47" w:rsidP="00ED11B1">
      <w:pPr>
        <w:adjustRightInd w:val="0"/>
        <w:snapToGrid w:val="0"/>
        <w:spacing w:after="0" w:line="240" w:lineRule="auto"/>
        <w:jc w:val="both"/>
        <w:outlineLvl w:val="0"/>
        <w:rPr>
          <w:rFonts w:ascii="Times New Roman" w:eastAsia="Calibri" w:hAnsi="Times New Roman" w:cs="Times New Roman"/>
          <w:color w:val="000000"/>
          <w:sz w:val="20"/>
          <w:szCs w:val="20"/>
          <w:u w:val="single"/>
          <w:lang w:val="en-MY"/>
        </w:rPr>
      </w:pPr>
      <w:r w:rsidRPr="00CC621D">
        <w:rPr>
          <w:rFonts w:ascii="Times New Roman" w:eastAsia="Calibri" w:hAnsi="Times New Roman" w:cs="Times New Roman"/>
          <w:color w:val="000000"/>
          <w:sz w:val="20"/>
          <w:szCs w:val="20"/>
          <w:u w:val="single"/>
          <w:lang w:val="en-MY"/>
        </w:rPr>
        <w:t>Level of Education</w:t>
      </w:r>
    </w:p>
    <w:p w:rsidR="007C3F47" w:rsidRPr="00CC621D" w:rsidRDefault="007C3F47" w:rsidP="00ED11B1">
      <w:pPr>
        <w:adjustRightInd w:val="0"/>
        <w:snapToGrid w:val="0"/>
        <w:spacing w:after="0" w:line="240" w:lineRule="auto"/>
        <w:ind w:firstLine="720"/>
        <w:jc w:val="both"/>
        <w:rPr>
          <w:rFonts w:ascii="Times New Roman" w:hAnsi="Times New Roman" w:cs="Times New Roman"/>
          <w:sz w:val="20"/>
          <w:szCs w:val="20"/>
        </w:rPr>
      </w:pPr>
      <w:r w:rsidRPr="00CC621D">
        <w:rPr>
          <w:rFonts w:ascii="Times New Roman" w:hAnsi="Times New Roman" w:cs="Times New Roman"/>
          <w:sz w:val="20"/>
          <w:szCs w:val="20"/>
        </w:rPr>
        <w:t xml:space="preserve">In FCT Abuja there is a higher percentage of individual with no education at 2.9%, while in Putrajaya 0.5%. Putrajaya has a higher percentage of individuals with secondary education at 19.9% with FCT Abuja having only 9.1%. FCT Abuja has a higher percentage of individual with university education at 67.5%, while Putrajaya has 49.1% as shown in Figure 4.5. On further analysis using the Mann-Whitney U test to compare both cities, a Z value of -4.923 is obtained with p=0.000 (Table 8 Appendix 2).  It can be concluded there is a significant difference in the educational level distribution in both cities statistically at a </w:t>
      </w:r>
      <w:r w:rsidRPr="00CC621D">
        <w:rPr>
          <w:rFonts w:ascii="Times New Roman" w:hAnsi="Times New Roman" w:cs="Times New Roman"/>
          <w:color w:val="000000"/>
          <w:sz w:val="20"/>
          <w:szCs w:val="20"/>
        </w:rPr>
        <w:t>95% CL</w:t>
      </w:r>
      <w:r w:rsidRPr="00CC621D">
        <w:rPr>
          <w:rFonts w:ascii="Times New Roman" w:hAnsi="Times New Roman" w:cs="Times New Roman"/>
          <w:sz w:val="20"/>
          <w:szCs w:val="20"/>
        </w:rPr>
        <w:t>.</w:t>
      </w:r>
    </w:p>
    <w:p w:rsidR="007C3F47" w:rsidRPr="00CC621D" w:rsidRDefault="007C3F47" w:rsidP="00ED11B1">
      <w:pPr>
        <w:adjustRightInd w:val="0"/>
        <w:snapToGrid w:val="0"/>
        <w:spacing w:after="0" w:line="240" w:lineRule="auto"/>
        <w:jc w:val="both"/>
        <w:rPr>
          <w:rFonts w:ascii="Times New Roman" w:hAnsi="Times New Roman" w:cs="Times New Roman"/>
          <w:sz w:val="20"/>
          <w:szCs w:val="20"/>
          <w:u w:val="single"/>
        </w:rPr>
      </w:pPr>
      <w:r w:rsidRPr="00CC621D">
        <w:rPr>
          <w:rFonts w:ascii="Times New Roman" w:hAnsi="Times New Roman" w:cs="Times New Roman"/>
          <w:sz w:val="20"/>
          <w:szCs w:val="20"/>
          <w:u w:val="single"/>
        </w:rPr>
        <w:t>Total Family Income</w:t>
      </w:r>
    </w:p>
    <w:p w:rsidR="007C3F47" w:rsidRPr="00CC621D" w:rsidRDefault="007C3F47" w:rsidP="00ED11B1">
      <w:pPr>
        <w:adjustRightInd w:val="0"/>
        <w:snapToGrid w:val="0"/>
        <w:spacing w:after="0" w:line="240" w:lineRule="auto"/>
        <w:ind w:firstLine="720"/>
        <w:jc w:val="both"/>
        <w:rPr>
          <w:rFonts w:ascii="Times New Roman" w:hAnsi="Times New Roman" w:cs="Times New Roman"/>
          <w:sz w:val="20"/>
          <w:szCs w:val="20"/>
        </w:rPr>
      </w:pPr>
      <w:r w:rsidRPr="00CC621D">
        <w:rPr>
          <w:rFonts w:ascii="Times New Roman" w:hAnsi="Times New Roman" w:cs="Times New Roman"/>
          <w:sz w:val="20"/>
          <w:szCs w:val="20"/>
        </w:rPr>
        <w:t>In FCT Abuja the majority of respondents total family income is between 100,001 Naira and above;</w:t>
      </w:r>
      <w:r w:rsidRPr="00CC621D">
        <w:rPr>
          <w:rFonts w:ascii="Times New Roman" w:hAnsi="Times New Roman" w:cs="Times New Roman"/>
          <w:b/>
          <w:sz w:val="20"/>
          <w:szCs w:val="20"/>
        </w:rPr>
        <w:t xml:space="preserve"> </w:t>
      </w:r>
      <w:r w:rsidRPr="00CC621D">
        <w:rPr>
          <w:rFonts w:ascii="Times New Roman" w:hAnsi="Times New Roman" w:cs="Times New Roman"/>
          <w:sz w:val="20"/>
          <w:szCs w:val="20"/>
        </w:rPr>
        <w:t>30.4%, while 8.5% of respondents have a total family income of 20,000 Naira and below as shown in Figure 4.6.</w:t>
      </w:r>
      <w:r w:rsidR="000D7E54" w:rsidRPr="00CC621D">
        <w:rPr>
          <w:rFonts w:ascii="Times New Roman" w:hAnsi="Times New Roman" w:cs="Times New Roman"/>
          <w:sz w:val="20"/>
          <w:szCs w:val="20"/>
        </w:rPr>
        <w:t xml:space="preserve"> </w:t>
      </w:r>
      <w:r w:rsidRPr="00CC621D">
        <w:rPr>
          <w:rFonts w:ascii="Times New Roman" w:hAnsi="Times New Roman" w:cs="Times New Roman"/>
          <w:sz w:val="20"/>
          <w:szCs w:val="20"/>
        </w:rPr>
        <w:t>In Putrajaya the majority of the respondents; 27.9% have a total family income of 2,001-3,000 RM as shown in Figure 4.7, while 6.2% of the respondents have a total family income of RM 5,001 and above.</w:t>
      </w:r>
    </w:p>
    <w:p w:rsidR="007C3F47" w:rsidRPr="00CC621D" w:rsidRDefault="00CC69D7" w:rsidP="00ED11B1">
      <w:pPr>
        <w:adjustRightInd w:val="0"/>
        <w:snapToGrid w:val="0"/>
        <w:spacing w:after="0" w:line="240" w:lineRule="auto"/>
        <w:jc w:val="both"/>
        <w:rPr>
          <w:rFonts w:ascii="Times New Roman" w:eastAsia="Times New Roman" w:hAnsi="Times New Roman" w:cs="Times New Roman"/>
          <w:i/>
          <w:sz w:val="20"/>
          <w:szCs w:val="20"/>
        </w:rPr>
      </w:pPr>
      <w:r w:rsidRPr="00CC621D">
        <w:rPr>
          <w:rFonts w:ascii="Times New Roman" w:eastAsia="Times New Roman" w:hAnsi="Times New Roman" w:cs="Times New Roman"/>
          <w:i/>
          <w:sz w:val="20"/>
          <w:szCs w:val="20"/>
        </w:rPr>
        <w:t xml:space="preserve">4.2 </w:t>
      </w:r>
      <w:r w:rsidR="007C3F47" w:rsidRPr="00CC621D">
        <w:rPr>
          <w:rFonts w:ascii="Times New Roman" w:eastAsia="Times New Roman" w:hAnsi="Times New Roman" w:cs="Times New Roman"/>
          <w:i/>
          <w:sz w:val="20"/>
          <w:szCs w:val="20"/>
        </w:rPr>
        <w:t>Rating</w:t>
      </w:r>
    </w:p>
    <w:p w:rsidR="004C3BF7" w:rsidRPr="00CC621D" w:rsidRDefault="004C3BF7" w:rsidP="00ED11B1">
      <w:pPr>
        <w:adjustRightInd w:val="0"/>
        <w:snapToGrid w:val="0"/>
        <w:spacing w:after="0" w:line="240" w:lineRule="auto"/>
        <w:ind w:firstLine="720"/>
        <w:jc w:val="both"/>
        <w:rPr>
          <w:rFonts w:ascii="Times New Roman" w:eastAsia="Times New Roman" w:hAnsi="Times New Roman" w:cs="Times New Roman"/>
          <w:sz w:val="20"/>
          <w:szCs w:val="20"/>
        </w:rPr>
      </w:pPr>
      <w:r w:rsidRPr="00CC621D">
        <w:rPr>
          <w:rFonts w:ascii="Times New Roman" w:eastAsia="Times New Roman" w:hAnsi="Times New Roman" w:cs="Times New Roman"/>
          <w:sz w:val="20"/>
          <w:szCs w:val="20"/>
        </w:rPr>
        <w:t>The rating of the MSWM services Abuja and Putrajaya by respondents</w:t>
      </w:r>
      <w:r w:rsidRPr="00CC621D">
        <w:rPr>
          <w:rFonts w:ascii="Times New Roman" w:eastAsia="Times New Roman" w:hAnsi="Times New Roman" w:cs="Times New Roman"/>
          <w:b/>
          <w:i/>
          <w:sz w:val="20"/>
          <w:szCs w:val="20"/>
        </w:rPr>
        <w:t xml:space="preserve"> </w:t>
      </w:r>
      <w:r w:rsidRPr="00CC621D">
        <w:rPr>
          <w:rFonts w:ascii="Times New Roman" w:eastAsia="Times New Roman" w:hAnsi="Times New Roman" w:cs="Times New Roman"/>
          <w:sz w:val="20"/>
          <w:szCs w:val="20"/>
        </w:rPr>
        <w:t xml:space="preserve">was determined. The reliability test carried out to check the internal consistency of the scale (m=23.0395, SD=7.39 and alpha=0.967). The rating are as shown in </w:t>
      </w:r>
      <w:r w:rsidR="00551943" w:rsidRPr="00CC621D">
        <w:rPr>
          <w:rFonts w:ascii="Times New Roman" w:eastAsia="Times New Roman" w:hAnsi="Times New Roman" w:cs="Times New Roman"/>
          <w:sz w:val="20"/>
          <w:szCs w:val="20"/>
        </w:rPr>
        <w:t>Figure 1</w:t>
      </w:r>
      <w:r w:rsidRPr="00CC621D">
        <w:rPr>
          <w:rFonts w:ascii="Times New Roman" w:eastAsia="Times New Roman" w:hAnsi="Times New Roman" w:cs="Times New Roman"/>
          <w:sz w:val="20"/>
          <w:szCs w:val="20"/>
        </w:rPr>
        <w:t xml:space="preserve">and </w:t>
      </w:r>
      <w:r w:rsidR="00551943" w:rsidRPr="00CC621D">
        <w:rPr>
          <w:rFonts w:ascii="Times New Roman" w:eastAsia="Times New Roman" w:hAnsi="Times New Roman" w:cs="Times New Roman"/>
          <w:sz w:val="20"/>
          <w:szCs w:val="20"/>
        </w:rPr>
        <w:t>Figure 2</w:t>
      </w:r>
      <w:r w:rsidRPr="00CC621D">
        <w:rPr>
          <w:rFonts w:ascii="Times New Roman" w:eastAsia="Times New Roman" w:hAnsi="Times New Roman" w:cs="Times New Roman"/>
          <w:sz w:val="20"/>
          <w:szCs w:val="20"/>
        </w:rPr>
        <w:t xml:space="preserve"> where in Q1 (FCT Abuja rated average and Putrajaya very good), Q2 (FCT Abuja rated average and Putrajaya rated good), Q3 (FCT Abuja rate average and Putrajaya rated good), Q4 (FCT Abuja rated average and Putrajaya rated good), Q5 (FCT Abuja rated average and Putrajaya rated good) and Q6 (FCT Abuja rated average and Putrajaya good). The lowest score in both cities where for Q4, Q5 and Q6.</w:t>
      </w:r>
    </w:p>
    <w:p w:rsidR="00ED11B1" w:rsidRPr="00CC621D" w:rsidRDefault="00ED11B1" w:rsidP="00ED11B1">
      <w:pPr>
        <w:autoSpaceDE w:val="0"/>
        <w:autoSpaceDN w:val="0"/>
        <w:adjustRightInd w:val="0"/>
        <w:snapToGrid w:val="0"/>
        <w:spacing w:after="0" w:line="240" w:lineRule="auto"/>
        <w:jc w:val="both"/>
        <w:rPr>
          <w:rFonts w:ascii="Times New Roman" w:hAnsi="Times New Roman" w:cs="Times New Roman"/>
          <w:sz w:val="20"/>
          <w:szCs w:val="20"/>
          <w:lang w:val="en-SG"/>
        </w:rPr>
      </w:pPr>
      <w:r w:rsidRPr="00CC621D">
        <w:rPr>
          <w:rFonts w:ascii="Times New Roman" w:hAnsi="Times New Roman" w:cs="Times New Roman"/>
          <w:sz w:val="20"/>
          <w:szCs w:val="20"/>
          <w:lang w:val="en-SG"/>
        </w:rPr>
        <w:t xml:space="preserve">Where: Q1; </w:t>
      </w:r>
      <w:r w:rsidRPr="00CC621D">
        <w:rPr>
          <w:rFonts w:ascii="Times New Roman" w:hAnsi="Times New Roman" w:cs="Times New Roman"/>
          <w:sz w:val="20"/>
          <w:szCs w:val="20"/>
        </w:rPr>
        <w:t xml:space="preserve">How would you rate the overall municipal solid waste service? </w:t>
      </w:r>
      <w:r w:rsidRPr="00CC621D">
        <w:rPr>
          <w:rFonts w:ascii="Times New Roman" w:hAnsi="Times New Roman" w:cs="Times New Roman"/>
          <w:sz w:val="20"/>
          <w:szCs w:val="20"/>
          <w:lang w:val="en-SG"/>
        </w:rPr>
        <w:t xml:space="preserve">Q2; </w:t>
      </w:r>
      <w:r w:rsidRPr="00CC621D">
        <w:rPr>
          <w:rFonts w:ascii="Times New Roman" w:hAnsi="Times New Roman" w:cs="Times New Roman"/>
          <w:sz w:val="20"/>
          <w:szCs w:val="20"/>
        </w:rPr>
        <w:t xml:space="preserve">How would you rate the municipal waste service in terms of efficiency of services provided? </w:t>
      </w:r>
      <w:r w:rsidRPr="00CC621D">
        <w:rPr>
          <w:rFonts w:ascii="Times New Roman" w:hAnsi="Times New Roman" w:cs="Times New Roman"/>
          <w:sz w:val="20"/>
          <w:szCs w:val="20"/>
          <w:lang w:val="en-SG"/>
        </w:rPr>
        <w:t xml:space="preserve">Q3; </w:t>
      </w:r>
      <w:r w:rsidRPr="00CC621D">
        <w:rPr>
          <w:rFonts w:ascii="Times New Roman" w:hAnsi="Times New Roman" w:cs="Times New Roman"/>
          <w:sz w:val="20"/>
          <w:szCs w:val="20"/>
        </w:rPr>
        <w:t xml:space="preserve">How would you rate the regularity of municipal waste collection? </w:t>
      </w:r>
      <w:r w:rsidRPr="00CC621D">
        <w:rPr>
          <w:rFonts w:ascii="Times New Roman" w:hAnsi="Times New Roman" w:cs="Times New Roman"/>
          <w:sz w:val="20"/>
          <w:szCs w:val="20"/>
          <w:lang w:val="en-SG"/>
        </w:rPr>
        <w:t xml:space="preserve">Q4; </w:t>
      </w:r>
      <w:r w:rsidRPr="00CC621D">
        <w:rPr>
          <w:rFonts w:ascii="Times New Roman" w:hAnsi="Times New Roman" w:cs="Times New Roman"/>
          <w:sz w:val="20"/>
          <w:szCs w:val="20"/>
        </w:rPr>
        <w:t xml:space="preserve">How would you rate municipal waste management services in terms of public awareness programs? </w:t>
      </w:r>
      <w:r w:rsidRPr="00CC621D">
        <w:rPr>
          <w:rFonts w:ascii="Times New Roman" w:hAnsi="Times New Roman" w:cs="Times New Roman"/>
          <w:sz w:val="20"/>
          <w:szCs w:val="20"/>
          <w:lang w:val="en-SG"/>
        </w:rPr>
        <w:t>Q5;</w:t>
      </w:r>
      <w:r w:rsidRPr="00CC621D">
        <w:rPr>
          <w:rFonts w:ascii="Times New Roman" w:hAnsi="Times New Roman" w:cs="Times New Roman"/>
          <w:sz w:val="20"/>
          <w:szCs w:val="20"/>
        </w:rPr>
        <w:t xml:space="preserve"> How would you rate municipal waste management in terms of comprehensiveness of existing laws and regulations? </w:t>
      </w:r>
      <w:r w:rsidRPr="00CC621D">
        <w:rPr>
          <w:rFonts w:ascii="Times New Roman" w:hAnsi="Times New Roman" w:cs="Times New Roman"/>
          <w:sz w:val="20"/>
          <w:szCs w:val="20"/>
          <w:lang w:val="en-SG"/>
        </w:rPr>
        <w:t>Q6;</w:t>
      </w:r>
      <w:r w:rsidRPr="00CC621D">
        <w:rPr>
          <w:rFonts w:ascii="Times New Roman" w:hAnsi="Times New Roman" w:cs="Times New Roman"/>
          <w:sz w:val="20"/>
          <w:szCs w:val="20"/>
        </w:rPr>
        <w:t xml:space="preserve"> How would you rate municipal waste management services in terms of effectiveness of enforcement of laws and regulation in addressing waste issues in FCT Abuja?</w:t>
      </w:r>
    </w:p>
    <w:p w:rsidR="00ED11B1" w:rsidRPr="00CC621D" w:rsidRDefault="00ED11B1"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Scale:</w:t>
      </w:r>
    </w:p>
    <w:p w:rsidR="00ED11B1" w:rsidRPr="00CC621D" w:rsidRDefault="00ED11B1"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0-1; very poor</w:t>
      </w:r>
    </w:p>
    <w:p w:rsidR="00ED11B1" w:rsidRPr="00CC621D" w:rsidRDefault="00ED11B1"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lastRenderedPageBreak/>
        <w:t>1.1-2; poor</w:t>
      </w:r>
    </w:p>
    <w:p w:rsidR="00ED11B1" w:rsidRPr="00CC621D" w:rsidRDefault="00ED11B1"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2.1-3; average</w:t>
      </w:r>
    </w:p>
    <w:p w:rsidR="00ED11B1" w:rsidRPr="00CC621D" w:rsidRDefault="00ED11B1"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3.1-4; good</w:t>
      </w:r>
    </w:p>
    <w:p w:rsidR="00ED11B1" w:rsidRPr="00CC621D" w:rsidRDefault="00ED11B1" w:rsidP="00ED11B1">
      <w:pPr>
        <w:pStyle w:val="NoSpacing"/>
        <w:adjustRightInd w:val="0"/>
        <w:snapToGrid w:val="0"/>
        <w:jc w:val="both"/>
        <w:rPr>
          <w:rFonts w:ascii="Times New Roman" w:hAnsi="Times New Roman" w:cs="Times New Roman"/>
          <w:sz w:val="20"/>
          <w:szCs w:val="20"/>
        </w:rPr>
      </w:pPr>
      <w:r w:rsidRPr="00CC621D">
        <w:rPr>
          <w:rFonts w:ascii="Times New Roman" w:hAnsi="Times New Roman" w:cs="Times New Roman"/>
          <w:sz w:val="20"/>
          <w:szCs w:val="20"/>
        </w:rPr>
        <w:t>4.1-5; very good</w:t>
      </w:r>
    </w:p>
    <w:p w:rsidR="004C3BF7" w:rsidRPr="00CC621D" w:rsidRDefault="004C3BF7" w:rsidP="00ED11B1">
      <w:pPr>
        <w:adjustRightInd w:val="0"/>
        <w:snapToGrid w:val="0"/>
        <w:spacing w:after="0" w:line="240" w:lineRule="auto"/>
        <w:rPr>
          <w:rFonts w:ascii="Times New Roman" w:eastAsia="Times New Roman" w:hAnsi="Times New Roman" w:cs="Times New Roman"/>
          <w:b/>
          <w:i/>
          <w:sz w:val="20"/>
          <w:szCs w:val="20"/>
        </w:rPr>
      </w:pPr>
    </w:p>
    <w:p w:rsidR="004C3BF7" w:rsidRPr="00CC621D" w:rsidRDefault="004C3BF7" w:rsidP="00ED11B1">
      <w:pPr>
        <w:pStyle w:val="NoSpacing"/>
        <w:adjustRightInd w:val="0"/>
        <w:snapToGrid w:val="0"/>
        <w:jc w:val="center"/>
        <w:rPr>
          <w:rFonts w:ascii="Times New Roman" w:hAnsi="Times New Roman" w:cs="Times New Roman"/>
          <w:sz w:val="20"/>
          <w:szCs w:val="20"/>
        </w:rPr>
      </w:pPr>
      <w:r w:rsidRPr="00CC621D">
        <w:rPr>
          <w:rFonts w:ascii="Times New Roman" w:hAnsi="Times New Roman" w:cs="Times New Roman"/>
          <w:noProof/>
          <w:sz w:val="20"/>
          <w:szCs w:val="20"/>
          <w:lang w:val="en-US" w:eastAsia="zh-CN"/>
        </w:rPr>
        <w:drawing>
          <wp:inline distT="0" distB="0" distL="0" distR="0">
            <wp:extent cx="2391410" cy="2232837"/>
            <wp:effectExtent l="19050" t="0" r="2794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3BF7" w:rsidRPr="00CC621D" w:rsidRDefault="004C3BF7" w:rsidP="00ED11B1">
      <w:pPr>
        <w:pStyle w:val="NoSpacing"/>
        <w:adjustRightInd w:val="0"/>
        <w:snapToGrid w:val="0"/>
        <w:jc w:val="center"/>
        <w:rPr>
          <w:rFonts w:ascii="Times New Roman" w:hAnsi="Times New Roman" w:cs="Times New Roman"/>
          <w:sz w:val="20"/>
          <w:szCs w:val="20"/>
        </w:rPr>
      </w:pPr>
      <w:r w:rsidRPr="00CC621D">
        <w:rPr>
          <w:rFonts w:ascii="Times New Roman" w:hAnsi="Times New Roman" w:cs="Times New Roman"/>
          <w:sz w:val="20"/>
          <w:szCs w:val="20"/>
        </w:rPr>
        <w:t xml:space="preserve">Figure </w:t>
      </w:r>
      <w:r w:rsidR="00551943" w:rsidRPr="00CC621D">
        <w:rPr>
          <w:rFonts w:ascii="Times New Roman" w:hAnsi="Times New Roman" w:cs="Times New Roman"/>
          <w:sz w:val="20"/>
          <w:szCs w:val="20"/>
        </w:rPr>
        <w:t>1</w:t>
      </w:r>
      <w:r w:rsidRPr="00CC621D">
        <w:rPr>
          <w:rFonts w:ascii="Times New Roman" w:hAnsi="Times New Roman" w:cs="Times New Roman"/>
          <w:sz w:val="20"/>
          <w:szCs w:val="20"/>
        </w:rPr>
        <w:t>: Frequency of respondent rating in FCT Abuja</w:t>
      </w:r>
    </w:p>
    <w:p w:rsidR="004C3BF7" w:rsidRPr="00CC621D" w:rsidRDefault="004C3BF7" w:rsidP="00ED11B1">
      <w:pPr>
        <w:autoSpaceDE w:val="0"/>
        <w:autoSpaceDN w:val="0"/>
        <w:adjustRightInd w:val="0"/>
        <w:snapToGrid w:val="0"/>
        <w:spacing w:after="0" w:line="240" w:lineRule="auto"/>
        <w:jc w:val="center"/>
        <w:rPr>
          <w:rFonts w:ascii="Times New Roman" w:hAnsi="Times New Roman" w:cs="Times New Roman"/>
          <w:sz w:val="20"/>
          <w:szCs w:val="20"/>
          <w:lang w:val="en-SG"/>
        </w:rPr>
      </w:pPr>
    </w:p>
    <w:p w:rsidR="004C3BF7" w:rsidRPr="00CC621D" w:rsidRDefault="004C3BF7" w:rsidP="00ED11B1">
      <w:pPr>
        <w:pStyle w:val="NoSpacing"/>
        <w:adjustRightInd w:val="0"/>
        <w:snapToGrid w:val="0"/>
        <w:jc w:val="center"/>
        <w:rPr>
          <w:rFonts w:ascii="Times New Roman" w:hAnsi="Times New Roman" w:cs="Times New Roman"/>
          <w:sz w:val="20"/>
          <w:szCs w:val="20"/>
        </w:rPr>
      </w:pPr>
      <w:r w:rsidRPr="00CC621D">
        <w:rPr>
          <w:rFonts w:ascii="Times New Roman" w:hAnsi="Times New Roman" w:cs="Times New Roman"/>
          <w:noProof/>
          <w:sz w:val="20"/>
          <w:szCs w:val="20"/>
          <w:lang w:val="en-US" w:eastAsia="zh-CN"/>
        </w:rPr>
        <w:drawing>
          <wp:inline distT="0" distB="0" distL="0" distR="0">
            <wp:extent cx="2454791" cy="2027275"/>
            <wp:effectExtent l="19050" t="0" r="21709"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3BF7" w:rsidRPr="00CC621D" w:rsidRDefault="00551943" w:rsidP="00ED11B1">
      <w:pPr>
        <w:pStyle w:val="NoSpacing"/>
        <w:adjustRightInd w:val="0"/>
        <w:snapToGrid w:val="0"/>
        <w:jc w:val="center"/>
        <w:rPr>
          <w:rFonts w:ascii="Times New Roman" w:hAnsi="Times New Roman" w:cs="Times New Roman"/>
          <w:sz w:val="20"/>
          <w:szCs w:val="20"/>
        </w:rPr>
      </w:pPr>
      <w:r w:rsidRPr="00CC621D">
        <w:rPr>
          <w:rFonts w:ascii="Times New Roman" w:hAnsi="Times New Roman" w:cs="Times New Roman"/>
          <w:sz w:val="20"/>
          <w:szCs w:val="20"/>
        </w:rPr>
        <w:t>Figure 2</w:t>
      </w:r>
      <w:r w:rsidR="004C3BF7" w:rsidRPr="00CC621D">
        <w:rPr>
          <w:rFonts w:ascii="Times New Roman" w:hAnsi="Times New Roman" w:cs="Times New Roman"/>
          <w:sz w:val="20"/>
          <w:szCs w:val="20"/>
        </w:rPr>
        <w:t>: Frequency of respondent rating in Putrajaya</w:t>
      </w:r>
    </w:p>
    <w:p w:rsidR="004C3BF7" w:rsidRPr="00CC621D" w:rsidRDefault="004C3BF7" w:rsidP="00ED11B1">
      <w:pPr>
        <w:autoSpaceDE w:val="0"/>
        <w:autoSpaceDN w:val="0"/>
        <w:adjustRightInd w:val="0"/>
        <w:snapToGrid w:val="0"/>
        <w:spacing w:after="0" w:line="240" w:lineRule="auto"/>
        <w:jc w:val="center"/>
        <w:rPr>
          <w:rFonts w:ascii="Times New Roman" w:hAnsi="Times New Roman" w:cs="Times New Roman"/>
          <w:sz w:val="20"/>
          <w:szCs w:val="20"/>
          <w:lang w:val="en-SG"/>
        </w:rPr>
      </w:pPr>
    </w:p>
    <w:p w:rsidR="004C3BF7" w:rsidRPr="00CC621D" w:rsidRDefault="004C3BF7" w:rsidP="00ED11B1">
      <w:pPr>
        <w:autoSpaceDE w:val="0"/>
        <w:autoSpaceDN w:val="0"/>
        <w:adjustRightInd w:val="0"/>
        <w:snapToGrid w:val="0"/>
        <w:spacing w:after="0" w:line="240" w:lineRule="auto"/>
        <w:ind w:firstLine="720"/>
        <w:jc w:val="both"/>
        <w:rPr>
          <w:rFonts w:ascii="Times New Roman" w:hAnsi="Times New Roman" w:cs="Times New Roman"/>
          <w:sz w:val="20"/>
          <w:szCs w:val="20"/>
          <w:lang w:val="en-SG"/>
        </w:rPr>
      </w:pPr>
      <w:r w:rsidRPr="00CC621D">
        <w:rPr>
          <w:rFonts w:ascii="Times New Roman" w:hAnsi="Times New Roman" w:cs="Times New Roman"/>
          <w:sz w:val="20"/>
          <w:szCs w:val="20"/>
          <w:lang w:val="en-SG"/>
        </w:rPr>
        <w:t xml:space="preserve">Independent sample T-test was run to determine if the rating of MSWM services between both cities was affected by gender. There were no outliers in the data, as assessed by the results of </w:t>
      </w:r>
      <w:r w:rsidR="00AE4813" w:rsidRPr="00CC621D">
        <w:rPr>
          <w:rFonts w:ascii="Times New Roman" w:hAnsi="Times New Roman" w:cs="Times New Roman"/>
          <w:sz w:val="20"/>
          <w:szCs w:val="20"/>
          <w:lang w:val="en-SG"/>
        </w:rPr>
        <w:t xml:space="preserve">the Q-Q and box plot graph. </w:t>
      </w:r>
      <w:r w:rsidRPr="00CC621D">
        <w:rPr>
          <w:rFonts w:ascii="Times New Roman" w:hAnsi="Times New Roman" w:cs="Times New Roman"/>
          <w:sz w:val="20"/>
          <w:szCs w:val="20"/>
          <w:lang w:val="en-SG"/>
        </w:rPr>
        <w:t xml:space="preserve">The mean scores were normally distributed as assessed by </w:t>
      </w:r>
      <w:proofErr w:type="spellStart"/>
      <w:r w:rsidRPr="00CC621D">
        <w:rPr>
          <w:rFonts w:ascii="Times New Roman" w:hAnsi="Times New Roman" w:cs="Times New Roman"/>
          <w:sz w:val="20"/>
          <w:szCs w:val="20"/>
          <w:lang w:val="en-SG"/>
        </w:rPr>
        <w:t>Kolmogorov-smirnov</w:t>
      </w:r>
      <w:proofErr w:type="spellEnd"/>
      <w:r w:rsidRPr="00CC621D">
        <w:rPr>
          <w:rFonts w:ascii="Times New Roman" w:hAnsi="Times New Roman" w:cs="Times New Roman"/>
          <w:sz w:val="20"/>
          <w:szCs w:val="20"/>
          <w:lang w:val="en-SG"/>
        </w:rPr>
        <w:t xml:space="preserve"> test (p&gt;0.05). To determine if gender influenced the scores of the general assessment, in FCT Abuja the homogeneity of variance was not violated as assessed by Levene’s test for equality of variance since p&gt;0.05 (p=0.071), so equal variances was assumed. The male respondents gave a higher score in the assessment (m=2.6696, SD=</w:t>
      </w:r>
      <w:r w:rsidRPr="00CC621D">
        <w:rPr>
          <w:rFonts w:ascii="Times New Roman" w:hAnsi="Times New Roman" w:cs="Times New Roman"/>
          <w:color w:val="000000"/>
          <w:sz w:val="20"/>
          <w:szCs w:val="20"/>
          <w:lang w:val="en-SG"/>
        </w:rPr>
        <w:t>.74535</w:t>
      </w:r>
      <w:r w:rsidRPr="00CC621D">
        <w:rPr>
          <w:rFonts w:ascii="Times New Roman" w:hAnsi="Times New Roman" w:cs="Times New Roman"/>
          <w:sz w:val="20"/>
          <w:szCs w:val="20"/>
          <w:lang w:val="en-SG"/>
        </w:rPr>
        <w:t>) compared to females (m=</w:t>
      </w:r>
      <w:r w:rsidRPr="00CC621D">
        <w:rPr>
          <w:rFonts w:ascii="Times New Roman" w:hAnsi="Times New Roman" w:cs="Times New Roman"/>
          <w:color w:val="000000"/>
          <w:sz w:val="20"/>
          <w:szCs w:val="20"/>
          <w:lang w:val="en-SG"/>
        </w:rPr>
        <w:t>2.4572, SD=.82157</w:t>
      </w:r>
      <w:r w:rsidRPr="00CC621D">
        <w:rPr>
          <w:rFonts w:ascii="Times New Roman" w:hAnsi="Times New Roman" w:cs="Times New Roman"/>
          <w:sz w:val="20"/>
          <w:szCs w:val="20"/>
          <w:lang w:val="en-SG"/>
        </w:rPr>
        <w:t>), a</w:t>
      </w:r>
      <w:r w:rsidR="00AE4813" w:rsidRPr="00CC621D">
        <w:rPr>
          <w:rFonts w:ascii="Times New Roman" w:hAnsi="Times New Roman" w:cs="Times New Roman"/>
          <w:sz w:val="20"/>
          <w:szCs w:val="20"/>
          <w:lang w:val="en-SG"/>
        </w:rPr>
        <w:t>s shown in T</w:t>
      </w:r>
      <w:r w:rsidRPr="00CC621D">
        <w:rPr>
          <w:rFonts w:ascii="Times New Roman" w:hAnsi="Times New Roman" w:cs="Times New Roman"/>
          <w:sz w:val="20"/>
          <w:szCs w:val="20"/>
          <w:lang w:val="en-SG"/>
        </w:rPr>
        <w:t xml:space="preserve">able </w:t>
      </w:r>
      <w:r w:rsidR="00AE4813" w:rsidRPr="00CC621D">
        <w:rPr>
          <w:rFonts w:ascii="Times New Roman" w:hAnsi="Times New Roman" w:cs="Times New Roman"/>
          <w:sz w:val="20"/>
          <w:szCs w:val="20"/>
          <w:lang w:val="en-SG"/>
        </w:rPr>
        <w:t>1</w:t>
      </w:r>
      <w:r w:rsidRPr="00CC621D">
        <w:rPr>
          <w:rFonts w:ascii="Times New Roman" w:hAnsi="Times New Roman" w:cs="Times New Roman"/>
          <w:sz w:val="20"/>
          <w:szCs w:val="20"/>
          <w:lang w:val="en-SG"/>
        </w:rPr>
        <w:t xml:space="preserve"> there was a statistically significant difference, m=0.21 at 95% CI (0.06, 0.36), t (2.751), p=0.006.</w:t>
      </w:r>
    </w:p>
    <w:p w:rsidR="00DE50D8" w:rsidRPr="00CC621D" w:rsidRDefault="00DE50D8" w:rsidP="00ED11B1">
      <w:pPr>
        <w:autoSpaceDE w:val="0"/>
        <w:autoSpaceDN w:val="0"/>
        <w:adjustRightInd w:val="0"/>
        <w:snapToGrid w:val="0"/>
        <w:spacing w:after="0" w:line="240" w:lineRule="auto"/>
        <w:jc w:val="both"/>
        <w:rPr>
          <w:rFonts w:ascii="Times New Roman" w:hAnsi="Times New Roman" w:cs="Times New Roman"/>
          <w:sz w:val="20"/>
          <w:szCs w:val="20"/>
          <w:lang w:val="en-SG"/>
        </w:rPr>
        <w:sectPr w:rsidR="00DE50D8" w:rsidRPr="00CC621D" w:rsidSect="006B0A96">
          <w:type w:val="continuous"/>
          <w:pgSz w:w="12240" w:h="15840" w:code="1"/>
          <w:pgMar w:top="1440" w:right="1440" w:bottom="1440" w:left="1440" w:header="720" w:footer="720" w:gutter="0"/>
          <w:cols w:num="2" w:space="708"/>
          <w:docGrid w:linePitch="360"/>
        </w:sectPr>
      </w:pPr>
    </w:p>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lastRenderedPageBreak/>
        <w:t xml:space="preserve">Table </w:t>
      </w:r>
      <w:r w:rsidR="00AE4813" w:rsidRPr="00CC621D">
        <w:rPr>
          <w:rFonts w:ascii="Times New Roman" w:hAnsi="Times New Roman" w:cs="Times New Roman"/>
          <w:sz w:val="20"/>
          <w:szCs w:val="20"/>
        </w:rPr>
        <w:t>1</w:t>
      </w:r>
      <w:r w:rsidRPr="00CC621D">
        <w:rPr>
          <w:rFonts w:ascii="Times New Roman" w:hAnsi="Times New Roman" w:cs="Times New Roman"/>
          <w:sz w:val="20"/>
          <w:szCs w:val="20"/>
        </w:rPr>
        <w:t xml:space="preserve">: Results for t-test for general assessment against gender for FCT Abuja </w:t>
      </w: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23"/>
        <w:gridCol w:w="1559"/>
        <w:gridCol w:w="710"/>
        <w:gridCol w:w="565"/>
        <w:gridCol w:w="643"/>
        <w:gridCol w:w="804"/>
        <w:gridCol w:w="634"/>
        <w:gridCol w:w="1035"/>
        <w:gridCol w:w="1035"/>
        <w:gridCol w:w="681"/>
        <w:gridCol w:w="690"/>
      </w:tblGrid>
      <w:tr w:rsidR="004C3BF7" w:rsidRPr="00CC621D" w:rsidTr="00ED11B1">
        <w:trPr>
          <w:cantSplit/>
          <w:trHeight w:val="70"/>
          <w:tblHeader/>
        </w:trPr>
        <w:tc>
          <w:tcPr>
            <w:tcW w:w="5000" w:type="pct"/>
            <w:gridSpan w:val="11"/>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Independent Samples Test</w:t>
            </w:r>
          </w:p>
        </w:tc>
      </w:tr>
      <w:tr w:rsidR="004C3BF7" w:rsidRPr="00CC621D" w:rsidTr="00ED11B1">
        <w:trPr>
          <w:cantSplit/>
          <w:trHeight w:val="70"/>
          <w:tblHeader/>
        </w:trPr>
        <w:tc>
          <w:tcPr>
            <w:tcW w:w="1525" w:type="pct"/>
            <w:gridSpan w:val="2"/>
            <w:vMerge w:val="restart"/>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652" w:type="pct"/>
            <w:gridSpan w:val="2"/>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roofErr w:type="spellStart"/>
            <w:r w:rsidRPr="00CC621D">
              <w:rPr>
                <w:rFonts w:ascii="Times New Roman" w:hAnsi="Times New Roman" w:cs="Times New Roman"/>
                <w:sz w:val="20"/>
                <w:szCs w:val="20"/>
              </w:rPr>
              <w:t>Levene's</w:t>
            </w:r>
            <w:proofErr w:type="spellEnd"/>
            <w:r w:rsidRPr="00CC621D">
              <w:rPr>
                <w:rFonts w:ascii="Times New Roman" w:hAnsi="Times New Roman" w:cs="Times New Roman"/>
                <w:sz w:val="20"/>
                <w:szCs w:val="20"/>
              </w:rPr>
              <w:t xml:space="preserve"> Test for Equality of Variances</w:t>
            </w:r>
          </w:p>
        </w:tc>
        <w:tc>
          <w:tcPr>
            <w:tcW w:w="2823" w:type="pct"/>
            <w:gridSpan w:val="7"/>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t-test for Equality of Means</w:t>
            </w:r>
          </w:p>
        </w:tc>
      </w:tr>
      <w:tr w:rsidR="004C3BF7" w:rsidRPr="00CC621D" w:rsidTr="00ED11B1">
        <w:trPr>
          <w:cantSplit/>
          <w:trHeight w:val="70"/>
          <w:tblHeader/>
        </w:trPr>
        <w:tc>
          <w:tcPr>
            <w:tcW w:w="1525" w:type="pct"/>
            <w:gridSpan w:val="2"/>
            <w:vMerge/>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363"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F</w:t>
            </w:r>
          </w:p>
        </w:tc>
        <w:tc>
          <w:tcPr>
            <w:tcW w:w="289"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Sig.</w:t>
            </w:r>
          </w:p>
        </w:tc>
        <w:tc>
          <w:tcPr>
            <w:tcW w:w="329"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t</w:t>
            </w:r>
          </w:p>
        </w:tc>
        <w:tc>
          <w:tcPr>
            <w:tcW w:w="411"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roofErr w:type="spellStart"/>
            <w:r w:rsidRPr="00CC621D">
              <w:rPr>
                <w:rFonts w:ascii="Times New Roman" w:hAnsi="Times New Roman" w:cs="Times New Roman"/>
                <w:sz w:val="20"/>
                <w:szCs w:val="20"/>
              </w:rPr>
              <w:t>df</w:t>
            </w:r>
            <w:proofErr w:type="spellEnd"/>
          </w:p>
        </w:tc>
        <w:tc>
          <w:tcPr>
            <w:tcW w:w="324"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Sig. (2-tailed)</w:t>
            </w:r>
          </w:p>
        </w:tc>
        <w:tc>
          <w:tcPr>
            <w:tcW w:w="529"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Mean Difference</w:t>
            </w:r>
          </w:p>
        </w:tc>
        <w:tc>
          <w:tcPr>
            <w:tcW w:w="529"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Std. Error Difference</w:t>
            </w:r>
          </w:p>
        </w:tc>
        <w:tc>
          <w:tcPr>
            <w:tcW w:w="700" w:type="pct"/>
            <w:gridSpan w:val="2"/>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95% Confidence Interval of the Difference</w:t>
            </w:r>
          </w:p>
        </w:tc>
      </w:tr>
      <w:tr w:rsidR="004C3BF7" w:rsidRPr="00CC621D" w:rsidTr="00ED11B1">
        <w:trPr>
          <w:cantSplit/>
          <w:trHeight w:val="70"/>
          <w:tblHeader/>
        </w:trPr>
        <w:tc>
          <w:tcPr>
            <w:tcW w:w="1525" w:type="pct"/>
            <w:gridSpan w:val="2"/>
            <w:vMerge/>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363"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289"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329"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11"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324"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529"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529"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348" w:type="pc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Lower</w:t>
            </w:r>
          </w:p>
        </w:tc>
        <w:tc>
          <w:tcPr>
            <w:tcW w:w="352" w:type="pc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Upper</w:t>
            </w:r>
          </w:p>
        </w:tc>
      </w:tr>
      <w:tr w:rsidR="00ED11B1" w:rsidRPr="00CC621D" w:rsidTr="00ED11B1">
        <w:trPr>
          <w:cantSplit/>
          <w:trHeight w:val="233"/>
          <w:tblHeader/>
        </w:trPr>
        <w:tc>
          <w:tcPr>
            <w:tcW w:w="728" w:type="pct"/>
            <w:vMerge w:val="restar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MEANSCORE.</w:t>
            </w:r>
            <w:r w:rsidR="00ED11B1">
              <w:rPr>
                <w:rFonts w:ascii="Times New Roman" w:hAnsi="Times New Roman" w:cs="Times New Roman"/>
                <w:sz w:val="20"/>
                <w:szCs w:val="20"/>
              </w:rPr>
              <w:t xml:space="preserve"> </w:t>
            </w:r>
            <w:r w:rsidRPr="00CC621D">
              <w:rPr>
                <w:rFonts w:ascii="Times New Roman" w:hAnsi="Times New Roman" w:cs="Times New Roman"/>
                <w:sz w:val="20"/>
                <w:szCs w:val="20"/>
              </w:rPr>
              <w:t>GEN.</w:t>
            </w:r>
            <w:r w:rsidR="00ED11B1">
              <w:rPr>
                <w:rFonts w:ascii="Times New Roman" w:hAnsi="Times New Roman" w:cs="Times New Roman"/>
                <w:sz w:val="20"/>
                <w:szCs w:val="20"/>
              </w:rPr>
              <w:t xml:space="preserve"> </w:t>
            </w:r>
            <w:r w:rsidRPr="00CC621D">
              <w:rPr>
                <w:rFonts w:ascii="Times New Roman" w:hAnsi="Times New Roman" w:cs="Times New Roman"/>
                <w:sz w:val="20"/>
                <w:szCs w:val="20"/>
              </w:rPr>
              <w:t>ASSES</w:t>
            </w:r>
          </w:p>
        </w:tc>
        <w:tc>
          <w:tcPr>
            <w:tcW w:w="797"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Equal variances assumed</w:t>
            </w:r>
          </w:p>
        </w:tc>
        <w:tc>
          <w:tcPr>
            <w:tcW w:w="363"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3.266</w:t>
            </w:r>
          </w:p>
        </w:tc>
        <w:tc>
          <w:tcPr>
            <w:tcW w:w="289"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.071</w:t>
            </w:r>
          </w:p>
        </w:tc>
        <w:tc>
          <w:tcPr>
            <w:tcW w:w="329"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2.755</w:t>
            </w:r>
          </w:p>
        </w:tc>
        <w:tc>
          <w:tcPr>
            <w:tcW w:w="41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412</w:t>
            </w:r>
          </w:p>
        </w:tc>
        <w:tc>
          <w:tcPr>
            <w:tcW w:w="32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.006</w:t>
            </w:r>
          </w:p>
        </w:tc>
        <w:tc>
          <w:tcPr>
            <w:tcW w:w="529"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.21238</w:t>
            </w:r>
          </w:p>
        </w:tc>
        <w:tc>
          <w:tcPr>
            <w:tcW w:w="529"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.07710</w:t>
            </w:r>
          </w:p>
        </w:tc>
        <w:tc>
          <w:tcPr>
            <w:tcW w:w="34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.06083</w:t>
            </w:r>
          </w:p>
        </w:tc>
        <w:tc>
          <w:tcPr>
            <w:tcW w:w="352"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.36394</w:t>
            </w:r>
          </w:p>
        </w:tc>
      </w:tr>
      <w:tr w:rsidR="00ED11B1" w:rsidRPr="00CC621D" w:rsidTr="00ED11B1">
        <w:trPr>
          <w:cantSplit/>
          <w:trHeight w:val="164"/>
          <w:tblHeader/>
        </w:trPr>
        <w:tc>
          <w:tcPr>
            <w:tcW w:w="728" w:type="pct"/>
            <w:vMerge/>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797"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Equal variances not assumed</w:t>
            </w:r>
          </w:p>
        </w:tc>
        <w:tc>
          <w:tcPr>
            <w:tcW w:w="363" w:type="pct"/>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289" w:type="pct"/>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329"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2.729</w:t>
            </w:r>
          </w:p>
        </w:tc>
        <w:tc>
          <w:tcPr>
            <w:tcW w:w="41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379.970</w:t>
            </w:r>
          </w:p>
        </w:tc>
        <w:tc>
          <w:tcPr>
            <w:tcW w:w="32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.007</w:t>
            </w:r>
          </w:p>
        </w:tc>
        <w:tc>
          <w:tcPr>
            <w:tcW w:w="529"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.21238</w:t>
            </w:r>
          </w:p>
        </w:tc>
        <w:tc>
          <w:tcPr>
            <w:tcW w:w="529"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.07783</w:t>
            </w:r>
          </w:p>
        </w:tc>
        <w:tc>
          <w:tcPr>
            <w:tcW w:w="34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.05936</w:t>
            </w:r>
          </w:p>
        </w:tc>
        <w:tc>
          <w:tcPr>
            <w:tcW w:w="352"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.36541</w:t>
            </w:r>
          </w:p>
        </w:tc>
      </w:tr>
      <w:tr w:rsidR="004C3BF7" w:rsidRPr="00CC621D" w:rsidTr="00ED11B1">
        <w:trPr>
          <w:cantSplit/>
          <w:trHeight w:val="70"/>
        </w:trPr>
        <w:tc>
          <w:tcPr>
            <w:tcW w:w="5000" w:type="pct"/>
            <w:gridSpan w:val="11"/>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a. CITY = Abuja</w:t>
            </w:r>
          </w:p>
        </w:tc>
      </w:tr>
    </w:tbl>
    <w:p w:rsidR="004C3BF7" w:rsidRPr="00CC621D" w:rsidRDefault="004C3BF7" w:rsidP="00ED11B1">
      <w:pPr>
        <w:autoSpaceDE w:val="0"/>
        <w:autoSpaceDN w:val="0"/>
        <w:adjustRightInd w:val="0"/>
        <w:snapToGrid w:val="0"/>
        <w:spacing w:after="0" w:line="240" w:lineRule="auto"/>
        <w:rPr>
          <w:rFonts w:ascii="Times New Roman" w:hAnsi="Times New Roman" w:cs="Times New Roman"/>
          <w:sz w:val="20"/>
          <w:szCs w:val="20"/>
          <w:lang w:val="en-SG"/>
        </w:rPr>
      </w:pPr>
    </w:p>
    <w:p w:rsidR="004C3BF7" w:rsidRPr="00CC621D" w:rsidRDefault="004C3BF7" w:rsidP="00ED11B1">
      <w:pPr>
        <w:autoSpaceDE w:val="0"/>
        <w:autoSpaceDN w:val="0"/>
        <w:adjustRightInd w:val="0"/>
        <w:snapToGrid w:val="0"/>
        <w:spacing w:after="0" w:line="240" w:lineRule="auto"/>
        <w:ind w:firstLine="720"/>
        <w:jc w:val="both"/>
        <w:rPr>
          <w:rFonts w:ascii="Times New Roman" w:hAnsi="Times New Roman" w:cs="Times New Roman"/>
          <w:sz w:val="20"/>
          <w:szCs w:val="20"/>
          <w:lang w:val="en-SG"/>
        </w:rPr>
      </w:pPr>
      <w:r w:rsidRPr="00CC621D">
        <w:rPr>
          <w:rFonts w:ascii="Times New Roman" w:hAnsi="Times New Roman" w:cs="Times New Roman"/>
          <w:sz w:val="20"/>
          <w:szCs w:val="20"/>
          <w:lang w:val="en-SG"/>
        </w:rPr>
        <w:t xml:space="preserve">In </w:t>
      </w:r>
      <w:proofErr w:type="spellStart"/>
      <w:r w:rsidRPr="00CC621D">
        <w:rPr>
          <w:rFonts w:ascii="Times New Roman" w:hAnsi="Times New Roman" w:cs="Times New Roman"/>
          <w:sz w:val="20"/>
          <w:szCs w:val="20"/>
          <w:lang w:val="en-SG"/>
        </w:rPr>
        <w:t>Putrajaya</w:t>
      </w:r>
      <w:proofErr w:type="spellEnd"/>
      <w:r w:rsidRPr="00CC621D">
        <w:rPr>
          <w:rFonts w:ascii="Times New Roman" w:hAnsi="Times New Roman" w:cs="Times New Roman"/>
          <w:sz w:val="20"/>
          <w:szCs w:val="20"/>
          <w:lang w:val="en-SG"/>
        </w:rPr>
        <w:t xml:space="preserve"> the homogeneity of variance was violated as assessed by Levene’s test for equality of variance since p&lt;0.05 (p=0.001), so equal variances was not assumed. The male respondents gave a higher score in the assessment (m=</w:t>
      </w:r>
      <w:r w:rsidRPr="00CC621D">
        <w:rPr>
          <w:rFonts w:ascii="Times New Roman" w:hAnsi="Times New Roman" w:cs="Times New Roman"/>
          <w:color w:val="000000"/>
          <w:sz w:val="20"/>
          <w:szCs w:val="20"/>
          <w:lang w:val="en-SG"/>
        </w:rPr>
        <w:t>4.2281</w:t>
      </w:r>
      <w:r w:rsidRPr="00CC621D">
        <w:rPr>
          <w:rFonts w:ascii="Times New Roman" w:hAnsi="Times New Roman" w:cs="Times New Roman"/>
          <w:sz w:val="20"/>
          <w:szCs w:val="20"/>
          <w:lang w:val="en-SG"/>
        </w:rPr>
        <w:t>, SD=0</w:t>
      </w:r>
      <w:r w:rsidRPr="00CC621D">
        <w:rPr>
          <w:rFonts w:ascii="Times New Roman" w:hAnsi="Times New Roman" w:cs="Times New Roman"/>
          <w:color w:val="000000"/>
          <w:sz w:val="20"/>
          <w:szCs w:val="20"/>
          <w:lang w:val="en-SG"/>
        </w:rPr>
        <w:t>.64453</w:t>
      </w:r>
      <w:r w:rsidRPr="00CC621D">
        <w:rPr>
          <w:rFonts w:ascii="Times New Roman" w:hAnsi="Times New Roman" w:cs="Times New Roman"/>
          <w:sz w:val="20"/>
          <w:szCs w:val="20"/>
          <w:lang w:val="en-SG"/>
        </w:rPr>
        <w:t>) than females (M=</w:t>
      </w:r>
      <w:r w:rsidRPr="00CC621D">
        <w:rPr>
          <w:rFonts w:ascii="Times New Roman" w:hAnsi="Times New Roman" w:cs="Times New Roman"/>
          <w:color w:val="000000"/>
          <w:sz w:val="20"/>
          <w:szCs w:val="20"/>
          <w:lang w:val="en-SG"/>
        </w:rPr>
        <w:t>3.8157, SD=0.79658</w:t>
      </w:r>
      <w:r w:rsidRPr="00CC621D">
        <w:rPr>
          <w:rFonts w:ascii="Times New Roman" w:hAnsi="Times New Roman" w:cs="Times New Roman"/>
          <w:sz w:val="20"/>
          <w:szCs w:val="20"/>
          <w:lang w:val="en-SG"/>
        </w:rPr>
        <w:t xml:space="preserve">), as shown in Table </w:t>
      </w:r>
      <w:r w:rsidR="00AE4813" w:rsidRPr="00CC621D">
        <w:rPr>
          <w:rFonts w:ascii="Times New Roman" w:hAnsi="Times New Roman" w:cs="Times New Roman"/>
          <w:sz w:val="20"/>
          <w:szCs w:val="20"/>
          <w:lang w:val="en-SG"/>
        </w:rPr>
        <w:t>2</w:t>
      </w:r>
      <w:r w:rsidRPr="00CC621D">
        <w:rPr>
          <w:rFonts w:ascii="Times New Roman" w:hAnsi="Times New Roman" w:cs="Times New Roman"/>
          <w:sz w:val="20"/>
          <w:szCs w:val="20"/>
          <w:lang w:val="en-SG"/>
        </w:rPr>
        <w:t xml:space="preserve"> there was a statistically significant difference, M=0.41at 95% CI (0.267, 0.558), t (5.553), p=0.000.</w:t>
      </w:r>
    </w:p>
    <w:p w:rsidR="00DE50D8" w:rsidRPr="00CC621D" w:rsidRDefault="00DE50D8" w:rsidP="00ED11B1">
      <w:pPr>
        <w:autoSpaceDE w:val="0"/>
        <w:autoSpaceDN w:val="0"/>
        <w:adjustRightInd w:val="0"/>
        <w:snapToGrid w:val="0"/>
        <w:spacing w:after="0" w:line="240" w:lineRule="auto"/>
        <w:jc w:val="both"/>
        <w:rPr>
          <w:rFonts w:ascii="Times New Roman" w:hAnsi="Times New Roman" w:cs="Times New Roman"/>
          <w:sz w:val="20"/>
          <w:szCs w:val="20"/>
          <w:lang w:val="en-SG"/>
        </w:rPr>
        <w:sectPr w:rsidR="00DE50D8" w:rsidRPr="00CC621D" w:rsidSect="006B0A96">
          <w:type w:val="continuous"/>
          <w:pgSz w:w="12240" w:h="15840" w:code="1"/>
          <w:pgMar w:top="1440" w:right="1440" w:bottom="1440" w:left="1440" w:header="720" w:footer="720" w:gutter="0"/>
          <w:cols w:space="708"/>
          <w:docGrid w:linePitch="360"/>
        </w:sectPr>
      </w:pPr>
    </w:p>
    <w:p w:rsidR="004C3BF7" w:rsidRPr="00CC621D" w:rsidRDefault="004C3BF7" w:rsidP="00ED11B1">
      <w:pPr>
        <w:autoSpaceDE w:val="0"/>
        <w:autoSpaceDN w:val="0"/>
        <w:adjustRightInd w:val="0"/>
        <w:snapToGrid w:val="0"/>
        <w:spacing w:after="0" w:line="240" w:lineRule="auto"/>
        <w:jc w:val="both"/>
        <w:rPr>
          <w:rFonts w:ascii="Times New Roman" w:hAnsi="Times New Roman" w:cs="Times New Roman"/>
          <w:sz w:val="20"/>
          <w:szCs w:val="20"/>
          <w:lang w:val="en-SG"/>
        </w:rPr>
      </w:pPr>
    </w:p>
    <w:p w:rsidR="004C3BF7" w:rsidRPr="00CC621D" w:rsidRDefault="00AE4813" w:rsidP="00ED11B1">
      <w:pPr>
        <w:autoSpaceDE w:val="0"/>
        <w:autoSpaceDN w:val="0"/>
        <w:adjustRightInd w:val="0"/>
        <w:snapToGrid w:val="0"/>
        <w:spacing w:after="0" w:line="240" w:lineRule="auto"/>
        <w:jc w:val="both"/>
        <w:rPr>
          <w:rFonts w:ascii="Times New Roman" w:hAnsi="Times New Roman" w:cs="Times New Roman"/>
          <w:sz w:val="20"/>
          <w:szCs w:val="20"/>
          <w:lang w:val="en-SG"/>
        </w:rPr>
      </w:pPr>
      <w:r w:rsidRPr="00CC621D">
        <w:rPr>
          <w:rFonts w:ascii="Times New Roman" w:hAnsi="Times New Roman" w:cs="Times New Roman"/>
          <w:sz w:val="20"/>
          <w:szCs w:val="20"/>
          <w:lang w:val="en-SG"/>
        </w:rPr>
        <w:t xml:space="preserve">Table 2 </w:t>
      </w:r>
      <w:r w:rsidR="004C3BF7" w:rsidRPr="00CC621D">
        <w:rPr>
          <w:rFonts w:ascii="Times New Roman" w:hAnsi="Times New Roman" w:cs="Times New Roman"/>
          <w:sz w:val="20"/>
          <w:szCs w:val="20"/>
          <w:lang w:val="en-SG"/>
        </w:rPr>
        <w:t xml:space="preserve">: Results for t-test for general assessment against gender for Putrajaya </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23"/>
        <w:gridCol w:w="1559"/>
        <w:gridCol w:w="842"/>
        <w:gridCol w:w="765"/>
        <w:gridCol w:w="516"/>
        <w:gridCol w:w="588"/>
        <w:gridCol w:w="732"/>
        <w:gridCol w:w="765"/>
        <w:gridCol w:w="765"/>
        <w:gridCol w:w="765"/>
        <w:gridCol w:w="766"/>
      </w:tblGrid>
      <w:tr w:rsidR="004C3BF7" w:rsidRPr="00CC621D" w:rsidTr="00ED11B1">
        <w:trPr>
          <w:cantSplit/>
          <w:trHeight w:val="358"/>
          <w:tblHeader/>
        </w:trPr>
        <w:tc>
          <w:tcPr>
            <w:tcW w:w="5000" w:type="pct"/>
            <w:gridSpan w:val="11"/>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Independent Samples Test</w:t>
            </w:r>
          </w:p>
        </w:tc>
      </w:tr>
      <w:tr w:rsidR="004C3BF7" w:rsidRPr="00CC621D" w:rsidTr="00ED11B1">
        <w:trPr>
          <w:cantSplit/>
          <w:trHeight w:val="715"/>
          <w:tblHeader/>
        </w:trPr>
        <w:tc>
          <w:tcPr>
            <w:tcW w:w="1572" w:type="pct"/>
            <w:gridSpan w:val="2"/>
            <w:vMerge w:val="restart"/>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847" w:type="pct"/>
            <w:gridSpan w:val="2"/>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Levene's Test for Equality of Variances</w:t>
            </w:r>
          </w:p>
        </w:tc>
        <w:tc>
          <w:tcPr>
            <w:tcW w:w="2581" w:type="pct"/>
            <w:gridSpan w:val="7"/>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t-test for Equality of Means</w:t>
            </w:r>
          </w:p>
        </w:tc>
      </w:tr>
      <w:tr w:rsidR="004C3BF7" w:rsidRPr="00CC621D" w:rsidTr="00ED11B1">
        <w:trPr>
          <w:cantSplit/>
          <w:trHeight w:val="162"/>
          <w:tblHeader/>
        </w:trPr>
        <w:tc>
          <w:tcPr>
            <w:tcW w:w="1572" w:type="pct"/>
            <w:gridSpan w:val="2"/>
            <w:vMerge/>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44"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F</w:t>
            </w:r>
          </w:p>
        </w:tc>
        <w:tc>
          <w:tcPr>
            <w:tcW w:w="403"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Sig.</w:t>
            </w:r>
          </w:p>
        </w:tc>
        <w:tc>
          <w:tcPr>
            <w:tcW w:w="272"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t</w:t>
            </w:r>
          </w:p>
        </w:tc>
        <w:tc>
          <w:tcPr>
            <w:tcW w:w="310"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roofErr w:type="spellStart"/>
            <w:r w:rsidRPr="00CC621D">
              <w:rPr>
                <w:rFonts w:ascii="Times New Roman" w:hAnsi="Times New Roman" w:cs="Times New Roman"/>
                <w:sz w:val="20"/>
                <w:szCs w:val="20"/>
              </w:rPr>
              <w:t>df</w:t>
            </w:r>
            <w:proofErr w:type="spellEnd"/>
          </w:p>
        </w:tc>
        <w:tc>
          <w:tcPr>
            <w:tcW w:w="386"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Sig. (2-tailed)</w:t>
            </w:r>
          </w:p>
        </w:tc>
        <w:tc>
          <w:tcPr>
            <w:tcW w:w="403"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Mean Difference</w:t>
            </w:r>
          </w:p>
        </w:tc>
        <w:tc>
          <w:tcPr>
            <w:tcW w:w="403"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Std. Error Difference</w:t>
            </w:r>
          </w:p>
        </w:tc>
        <w:tc>
          <w:tcPr>
            <w:tcW w:w="807" w:type="pct"/>
            <w:gridSpan w:val="2"/>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95% Confidence Interval of the Difference</w:t>
            </w:r>
          </w:p>
        </w:tc>
      </w:tr>
      <w:tr w:rsidR="004C3BF7" w:rsidRPr="00CC621D" w:rsidTr="00ED11B1">
        <w:trPr>
          <w:cantSplit/>
          <w:trHeight w:val="162"/>
          <w:tblHeader/>
        </w:trPr>
        <w:tc>
          <w:tcPr>
            <w:tcW w:w="1572" w:type="pct"/>
            <w:gridSpan w:val="2"/>
            <w:vMerge/>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44"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03"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272"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310"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386"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03"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03"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03" w:type="pc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Lower</w:t>
            </w:r>
          </w:p>
        </w:tc>
        <w:tc>
          <w:tcPr>
            <w:tcW w:w="404" w:type="pc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Upper</w:t>
            </w:r>
          </w:p>
        </w:tc>
      </w:tr>
      <w:tr w:rsidR="004C3BF7" w:rsidRPr="00CC621D" w:rsidTr="00ED11B1">
        <w:trPr>
          <w:cantSplit/>
          <w:trHeight w:val="371"/>
          <w:tblHeader/>
        </w:trPr>
        <w:tc>
          <w:tcPr>
            <w:tcW w:w="750" w:type="pct"/>
            <w:vMerge w:val="restar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MEANSCORE.</w:t>
            </w:r>
            <w:r w:rsidR="00ED11B1">
              <w:rPr>
                <w:rFonts w:ascii="Times New Roman" w:hAnsi="Times New Roman" w:cs="Times New Roman"/>
                <w:sz w:val="20"/>
                <w:szCs w:val="20"/>
              </w:rPr>
              <w:t xml:space="preserve"> </w:t>
            </w:r>
            <w:r w:rsidRPr="00CC621D">
              <w:rPr>
                <w:rFonts w:ascii="Times New Roman" w:hAnsi="Times New Roman" w:cs="Times New Roman"/>
                <w:sz w:val="20"/>
                <w:szCs w:val="20"/>
              </w:rPr>
              <w:t>GEN.ASSES</w:t>
            </w:r>
          </w:p>
        </w:tc>
        <w:tc>
          <w:tcPr>
            <w:tcW w:w="822"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Equal variances assumed</w:t>
            </w:r>
          </w:p>
        </w:tc>
        <w:tc>
          <w:tcPr>
            <w:tcW w:w="44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10.972</w:t>
            </w:r>
          </w:p>
        </w:tc>
        <w:tc>
          <w:tcPr>
            <w:tcW w:w="403"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.001</w:t>
            </w:r>
          </w:p>
        </w:tc>
        <w:tc>
          <w:tcPr>
            <w:tcW w:w="272"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5.641</w:t>
            </w:r>
          </w:p>
        </w:tc>
        <w:tc>
          <w:tcPr>
            <w:tcW w:w="31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387</w:t>
            </w:r>
          </w:p>
        </w:tc>
        <w:tc>
          <w:tcPr>
            <w:tcW w:w="386"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.000</w:t>
            </w:r>
          </w:p>
        </w:tc>
        <w:tc>
          <w:tcPr>
            <w:tcW w:w="403"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.41233</w:t>
            </w:r>
          </w:p>
        </w:tc>
        <w:tc>
          <w:tcPr>
            <w:tcW w:w="403"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.07310</w:t>
            </w:r>
          </w:p>
        </w:tc>
        <w:tc>
          <w:tcPr>
            <w:tcW w:w="403"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.26861</w:t>
            </w:r>
          </w:p>
        </w:tc>
        <w:tc>
          <w:tcPr>
            <w:tcW w:w="40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.55605</w:t>
            </w:r>
          </w:p>
        </w:tc>
      </w:tr>
      <w:tr w:rsidR="004C3BF7" w:rsidRPr="00CC621D" w:rsidTr="00ED11B1">
        <w:trPr>
          <w:cantSplit/>
          <w:trHeight w:val="162"/>
          <w:tblHeader/>
        </w:trPr>
        <w:tc>
          <w:tcPr>
            <w:tcW w:w="750" w:type="pct"/>
            <w:vMerge/>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822"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Equal variances not assumed</w:t>
            </w:r>
          </w:p>
        </w:tc>
        <w:tc>
          <w:tcPr>
            <w:tcW w:w="444" w:type="pct"/>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03" w:type="pct"/>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272"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5.553</w:t>
            </w:r>
          </w:p>
        </w:tc>
        <w:tc>
          <w:tcPr>
            <w:tcW w:w="31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343.721</w:t>
            </w:r>
          </w:p>
        </w:tc>
        <w:tc>
          <w:tcPr>
            <w:tcW w:w="386"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.000</w:t>
            </w:r>
          </w:p>
        </w:tc>
        <w:tc>
          <w:tcPr>
            <w:tcW w:w="403"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.41233</w:t>
            </w:r>
          </w:p>
        </w:tc>
        <w:tc>
          <w:tcPr>
            <w:tcW w:w="403"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.07425</w:t>
            </w:r>
          </w:p>
        </w:tc>
        <w:tc>
          <w:tcPr>
            <w:tcW w:w="403"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.26629</w:t>
            </w:r>
          </w:p>
        </w:tc>
        <w:tc>
          <w:tcPr>
            <w:tcW w:w="40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.55837</w:t>
            </w:r>
          </w:p>
        </w:tc>
      </w:tr>
      <w:tr w:rsidR="004C3BF7" w:rsidRPr="00CC621D" w:rsidTr="00ED11B1">
        <w:trPr>
          <w:cantSplit/>
          <w:trHeight w:val="70"/>
        </w:trPr>
        <w:tc>
          <w:tcPr>
            <w:tcW w:w="5000" w:type="pct"/>
            <w:gridSpan w:val="11"/>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a. CITY = PJ</w:t>
            </w:r>
          </w:p>
        </w:tc>
      </w:tr>
    </w:tbl>
    <w:p w:rsidR="00DE50D8" w:rsidRPr="00CC621D" w:rsidRDefault="00DE50D8" w:rsidP="00ED11B1">
      <w:pPr>
        <w:autoSpaceDE w:val="0"/>
        <w:autoSpaceDN w:val="0"/>
        <w:adjustRightInd w:val="0"/>
        <w:snapToGrid w:val="0"/>
        <w:spacing w:after="0" w:line="240" w:lineRule="auto"/>
        <w:ind w:firstLine="720"/>
        <w:jc w:val="both"/>
        <w:rPr>
          <w:rFonts w:ascii="Times New Roman" w:hAnsi="Times New Roman" w:cs="Times New Roman"/>
          <w:sz w:val="20"/>
          <w:szCs w:val="20"/>
          <w:lang w:val="en-SG"/>
        </w:rPr>
        <w:sectPr w:rsidR="00DE50D8" w:rsidRPr="00CC621D" w:rsidSect="006B0A96">
          <w:type w:val="continuous"/>
          <w:pgSz w:w="12240" w:h="15840" w:code="1"/>
          <w:pgMar w:top="1440" w:right="1440" w:bottom="1440" w:left="1440" w:header="720" w:footer="720" w:gutter="0"/>
          <w:cols w:space="708"/>
          <w:docGrid w:linePitch="360"/>
        </w:sectPr>
      </w:pPr>
    </w:p>
    <w:p w:rsidR="00DE50D8" w:rsidRPr="00CC621D" w:rsidRDefault="004C3BF7" w:rsidP="00ED11B1">
      <w:pPr>
        <w:autoSpaceDE w:val="0"/>
        <w:autoSpaceDN w:val="0"/>
        <w:adjustRightInd w:val="0"/>
        <w:snapToGrid w:val="0"/>
        <w:spacing w:after="0" w:line="240" w:lineRule="auto"/>
        <w:ind w:firstLine="720"/>
        <w:jc w:val="both"/>
        <w:rPr>
          <w:rFonts w:ascii="Times New Roman" w:hAnsi="Times New Roman" w:cs="Times New Roman"/>
          <w:sz w:val="20"/>
          <w:szCs w:val="20"/>
          <w:lang w:val="en-SG"/>
        </w:rPr>
      </w:pPr>
      <w:r w:rsidRPr="00CC621D">
        <w:rPr>
          <w:rFonts w:ascii="Times New Roman" w:hAnsi="Times New Roman" w:cs="Times New Roman"/>
          <w:sz w:val="20"/>
          <w:szCs w:val="20"/>
          <w:lang w:val="en-SG"/>
        </w:rPr>
        <w:lastRenderedPageBreak/>
        <w:t xml:space="preserve">Anova was run to determine if the rating of MSWM services between both cities was influenced by age, income and education. In FCT Abuja it can be seen from Table </w:t>
      </w:r>
      <w:r w:rsidR="00AE4813" w:rsidRPr="00CC621D">
        <w:rPr>
          <w:rFonts w:ascii="Times New Roman" w:hAnsi="Times New Roman" w:cs="Times New Roman"/>
          <w:sz w:val="20"/>
          <w:szCs w:val="20"/>
          <w:lang w:val="en-SG"/>
        </w:rPr>
        <w:t>3</w:t>
      </w:r>
      <w:r w:rsidRPr="00CC621D">
        <w:rPr>
          <w:rFonts w:ascii="Times New Roman" w:hAnsi="Times New Roman" w:cs="Times New Roman"/>
          <w:sz w:val="20"/>
          <w:szCs w:val="20"/>
          <w:lang w:val="en-SG"/>
        </w:rPr>
        <w:t xml:space="preserve">, which shows the descriptive statistics for the mean score across age groups, </w:t>
      </w:r>
      <w:r w:rsidRPr="00CC621D">
        <w:rPr>
          <w:rFonts w:ascii="Times New Roman" w:hAnsi="Times New Roman" w:cs="Times New Roman"/>
          <w:sz w:val="20"/>
          <w:szCs w:val="20"/>
          <w:lang w:val="en-SG"/>
        </w:rPr>
        <w:lastRenderedPageBreak/>
        <w:t>respondents between ages 28-48 gave higher scores in the rating(m=2.711). The</w:t>
      </w:r>
      <w:r w:rsidR="00AE4813" w:rsidRPr="00CC621D">
        <w:rPr>
          <w:rFonts w:ascii="Times New Roman" w:hAnsi="Times New Roman" w:cs="Times New Roman"/>
          <w:sz w:val="20"/>
          <w:szCs w:val="20"/>
          <w:lang w:val="en-SG"/>
        </w:rPr>
        <w:t xml:space="preserve"> results for the </w:t>
      </w:r>
      <w:proofErr w:type="spellStart"/>
      <w:r w:rsidR="00AE4813" w:rsidRPr="00CC621D">
        <w:rPr>
          <w:rFonts w:ascii="Times New Roman" w:hAnsi="Times New Roman" w:cs="Times New Roman"/>
          <w:sz w:val="20"/>
          <w:szCs w:val="20"/>
          <w:lang w:val="en-SG"/>
        </w:rPr>
        <w:t>anova</w:t>
      </w:r>
      <w:proofErr w:type="spellEnd"/>
      <w:r w:rsidR="00AE4813" w:rsidRPr="00CC621D">
        <w:rPr>
          <w:rFonts w:ascii="Times New Roman" w:hAnsi="Times New Roman" w:cs="Times New Roman"/>
          <w:sz w:val="20"/>
          <w:szCs w:val="20"/>
          <w:lang w:val="en-SG"/>
        </w:rPr>
        <w:t xml:space="preserve"> test in T</w:t>
      </w:r>
      <w:r w:rsidRPr="00CC621D">
        <w:rPr>
          <w:rFonts w:ascii="Times New Roman" w:hAnsi="Times New Roman" w:cs="Times New Roman"/>
          <w:sz w:val="20"/>
          <w:szCs w:val="20"/>
          <w:lang w:val="en-SG"/>
        </w:rPr>
        <w:t xml:space="preserve">able </w:t>
      </w:r>
      <w:r w:rsidR="00AE4813" w:rsidRPr="00CC621D">
        <w:rPr>
          <w:rFonts w:ascii="Times New Roman" w:hAnsi="Times New Roman" w:cs="Times New Roman"/>
          <w:sz w:val="20"/>
          <w:szCs w:val="20"/>
          <w:lang w:val="en-SG"/>
        </w:rPr>
        <w:t>4</w:t>
      </w:r>
      <w:r w:rsidRPr="00CC621D">
        <w:rPr>
          <w:rFonts w:ascii="Times New Roman" w:hAnsi="Times New Roman" w:cs="Times New Roman"/>
          <w:sz w:val="20"/>
          <w:szCs w:val="20"/>
          <w:lang w:val="en-SG"/>
        </w:rPr>
        <w:t xml:space="preserve"> shows there is no statistical difference, p= 0.117.</w:t>
      </w:r>
    </w:p>
    <w:p w:rsidR="00B903DB" w:rsidRPr="00CC621D" w:rsidRDefault="00B903DB" w:rsidP="00ED11B1">
      <w:pPr>
        <w:autoSpaceDE w:val="0"/>
        <w:autoSpaceDN w:val="0"/>
        <w:adjustRightInd w:val="0"/>
        <w:snapToGrid w:val="0"/>
        <w:spacing w:after="0" w:line="240" w:lineRule="auto"/>
        <w:ind w:firstLine="720"/>
        <w:jc w:val="both"/>
        <w:rPr>
          <w:rFonts w:ascii="Times New Roman" w:hAnsi="Times New Roman" w:cs="Times New Roman"/>
          <w:sz w:val="20"/>
          <w:szCs w:val="20"/>
          <w:lang w:val="en-SG"/>
        </w:rPr>
        <w:sectPr w:rsidR="00B903DB" w:rsidRPr="00CC621D" w:rsidSect="006B0A96">
          <w:type w:val="continuous"/>
          <w:pgSz w:w="12240" w:h="15840" w:code="1"/>
          <w:pgMar w:top="1440" w:right="1440" w:bottom="1440" w:left="1440" w:header="720" w:footer="720" w:gutter="0"/>
          <w:cols w:num="2" w:space="708"/>
          <w:docGrid w:linePitch="360"/>
        </w:sectPr>
      </w:pPr>
    </w:p>
    <w:p w:rsidR="00CC69D7" w:rsidRPr="00CC621D" w:rsidRDefault="00CC69D7" w:rsidP="00ED11B1">
      <w:pPr>
        <w:pStyle w:val="NoSpacing"/>
        <w:adjustRightInd w:val="0"/>
        <w:snapToGrid w:val="0"/>
        <w:rPr>
          <w:rFonts w:ascii="Times New Roman" w:hAnsi="Times New Roman" w:cs="Times New Roman"/>
          <w:sz w:val="20"/>
          <w:szCs w:val="20"/>
        </w:rPr>
      </w:pPr>
    </w:p>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 xml:space="preserve">Table </w:t>
      </w:r>
      <w:r w:rsidR="00AE4813" w:rsidRPr="00CC621D">
        <w:rPr>
          <w:rFonts w:ascii="Times New Roman" w:hAnsi="Times New Roman" w:cs="Times New Roman"/>
          <w:sz w:val="20"/>
          <w:szCs w:val="20"/>
        </w:rPr>
        <w:t>3</w:t>
      </w:r>
      <w:r w:rsidRPr="00CC621D">
        <w:rPr>
          <w:rFonts w:ascii="Times New Roman" w:hAnsi="Times New Roman" w:cs="Times New Roman"/>
          <w:sz w:val="20"/>
          <w:szCs w:val="20"/>
        </w:rPr>
        <w:t>: Descriptive statistics for the mean score across age groups in FCT Abuja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04"/>
        <w:gridCol w:w="860"/>
        <w:gridCol w:w="860"/>
        <w:gridCol w:w="1218"/>
        <w:gridCol w:w="907"/>
        <w:gridCol w:w="1242"/>
        <w:gridCol w:w="1242"/>
        <w:gridCol w:w="907"/>
        <w:gridCol w:w="930"/>
      </w:tblGrid>
      <w:tr w:rsidR="004C3BF7" w:rsidRPr="00CC621D" w:rsidTr="00ED11B1">
        <w:trPr>
          <w:cantSplit/>
          <w:tblHeader/>
        </w:trPr>
        <w:tc>
          <w:tcPr>
            <w:tcW w:w="5000" w:type="pct"/>
            <w:gridSpan w:val="9"/>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r>
      <w:tr w:rsidR="004C3BF7" w:rsidRPr="00CC621D" w:rsidTr="00ED11B1">
        <w:trPr>
          <w:cantSplit/>
          <w:tblHeader/>
        </w:trPr>
        <w:tc>
          <w:tcPr>
            <w:tcW w:w="5000" w:type="pct"/>
            <w:gridSpan w:val="9"/>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MEANSCORE.GEN.ASSES</w:t>
            </w:r>
          </w:p>
        </w:tc>
      </w:tr>
      <w:tr w:rsidR="004C3BF7" w:rsidRPr="00CC621D" w:rsidTr="00ED11B1">
        <w:trPr>
          <w:cantSplit/>
          <w:tblHeader/>
        </w:trPr>
        <w:tc>
          <w:tcPr>
            <w:tcW w:w="642" w:type="pct"/>
            <w:vMerge w:val="restart"/>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59"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N</w:t>
            </w:r>
          </w:p>
        </w:tc>
        <w:tc>
          <w:tcPr>
            <w:tcW w:w="459"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Mean</w:t>
            </w:r>
          </w:p>
        </w:tc>
        <w:tc>
          <w:tcPr>
            <w:tcW w:w="650"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Std. Deviation</w:t>
            </w:r>
          </w:p>
        </w:tc>
        <w:tc>
          <w:tcPr>
            <w:tcW w:w="484"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Std. Error</w:t>
            </w:r>
          </w:p>
        </w:tc>
        <w:tc>
          <w:tcPr>
            <w:tcW w:w="1325" w:type="pct"/>
            <w:gridSpan w:val="2"/>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95% Confidence Interval for Mean</w:t>
            </w:r>
          </w:p>
        </w:tc>
        <w:tc>
          <w:tcPr>
            <w:tcW w:w="484"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Minimum</w:t>
            </w:r>
          </w:p>
        </w:tc>
        <w:tc>
          <w:tcPr>
            <w:tcW w:w="498"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Maximum</w:t>
            </w:r>
          </w:p>
        </w:tc>
      </w:tr>
      <w:tr w:rsidR="004C3BF7" w:rsidRPr="00CC621D" w:rsidTr="00ED11B1">
        <w:trPr>
          <w:cantSplit/>
          <w:tblHeader/>
        </w:trPr>
        <w:tc>
          <w:tcPr>
            <w:tcW w:w="642" w:type="pct"/>
            <w:vMerge/>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459"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459"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650"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484"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663" w:type="pc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Lower Bound</w:t>
            </w:r>
          </w:p>
        </w:tc>
        <w:tc>
          <w:tcPr>
            <w:tcW w:w="663" w:type="pc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Upper Bound</w:t>
            </w:r>
          </w:p>
        </w:tc>
        <w:tc>
          <w:tcPr>
            <w:tcW w:w="484"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498"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r>
      <w:tr w:rsidR="004C3BF7" w:rsidRPr="00CC621D" w:rsidTr="00ED11B1">
        <w:trPr>
          <w:cantSplit/>
          <w:tblHeader/>
        </w:trPr>
        <w:tc>
          <w:tcPr>
            <w:tcW w:w="64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16-26</w:t>
            </w:r>
          </w:p>
        </w:tc>
        <w:tc>
          <w:tcPr>
            <w:tcW w:w="45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51</w:t>
            </w:r>
          </w:p>
        </w:tc>
        <w:tc>
          <w:tcPr>
            <w:tcW w:w="45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2.5327</w:t>
            </w:r>
          </w:p>
        </w:tc>
        <w:tc>
          <w:tcPr>
            <w:tcW w:w="650"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.87688</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.12279</w:t>
            </w:r>
          </w:p>
        </w:tc>
        <w:tc>
          <w:tcPr>
            <w:tcW w:w="66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2.2861</w:t>
            </w:r>
          </w:p>
        </w:tc>
        <w:tc>
          <w:tcPr>
            <w:tcW w:w="66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2.7793</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49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w:t>
            </w:r>
          </w:p>
        </w:tc>
      </w:tr>
      <w:tr w:rsidR="004C3BF7" w:rsidRPr="00CC621D" w:rsidTr="00ED11B1">
        <w:trPr>
          <w:cantSplit/>
          <w:tblHeader/>
        </w:trPr>
        <w:tc>
          <w:tcPr>
            <w:tcW w:w="64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27-37</w:t>
            </w:r>
          </w:p>
        </w:tc>
        <w:tc>
          <w:tcPr>
            <w:tcW w:w="45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161</w:t>
            </w:r>
          </w:p>
        </w:tc>
        <w:tc>
          <w:tcPr>
            <w:tcW w:w="45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2.5010</w:t>
            </w:r>
          </w:p>
        </w:tc>
        <w:tc>
          <w:tcPr>
            <w:tcW w:w="650"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.80526</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.06346</w:t>
            </w:r>
          </w:p>
        </w:tc>
        <w:tc>
          <w:tcPr>
            <w:tcW w:w="66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2.3757</w:t>
            </w:r>
          </w:p>
        </w:tc>
        <w:tc>
          <w:tcPr>
            <w:tcW w:w="66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2.6264</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49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4.83</w:t>
            </w:r>
          </w:p>
        </w:tc>
      </w:tr>
      <w:tr w:rsidR="004C3BF7" w:rsidRPr="00CC621D" w:rsidTr="00ED11B1">
        <w:trPr>
          <w:cantSplit/>
          <w:tblHeader/>
        </w:trPr>
        <w:tc>
          <w:tcPr>
            <w:tcW w:w="64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28-48</w:t>
            </w:r>
          </w:p>
        </w:tc>
        <w:tc>
          <w:tcPr>
            <w:tcW w:w="45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135</w:t>
            </w:r>
          </w:p>
        </w:tc>
        <w:tc>
          <w:tcPr>
            <w:tcW w:w="45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2.7111</w:t>
            </w:r>
          </w:p>
        </w:tc>
        <w:tc>
          <w:tcPr>
            <w:tcW w:w="650"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.68724</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.05915</w:t>
            </w:r>
          </w:p>
        </w:tc>
        <w:tc>
          <w:tcPr>
            <w:tcW w:w="66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2.5941</w:t>
            </w:r>
          </w:p>
        </w:tc>
        <w:tc>
          <w:tcPr>
            <w:tcW w:w="66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2.8281</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49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4.33</w:t>
            </w:r>
          </w:p>
        </w:tc>
      </w:tr>
      <w:tr w:rsidR="004C3BF7" w:rsidRPr="00CC621D" w:rsidTr="00ED11B1">
        <w:trPr>
          <w:cantSplit/>
          <w:tblHeader/>
        </w:trPr>
        <w:tc>
          <w:tcPr>
            <w:tcW w:w="64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49-59</w:t>
            </w:r>
          </w:p>
        </w:tc>
        <w:tc>
          <w:tcPr>
            <w:tcW w:w="45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59</w:t>
            </w:r>
          </w:p>
        </w:tc>
        <w:tc>
          <w:tcPr>
            <w:tcW w:w="45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2.5395</w:t>
            </w:r>
          </w:p>
        </w:tc>
        <w:tc>
          <w:tcPr>
            <w:tcW w:w="650"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.82544</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.10746</w:t>
            </w:r>
          </w:p>
        </w:tc>
        <w:tc>
          <w:tcPr>
            <w:tcW w:w="66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2.3244</w:t>
            </w:r>
          </w:p>
        </w:tc>
        <w:tc>
          <w:tcPr>
            <w:tcW w:w="66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2.7547</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49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4.00</w:t>
            </w:r>
          </w:p>
        </w:tc>
      </w:tr>
      <w:tr w:rsidR="004C3BF7" w:rsidRPr="00CC621D" w:rsidTr="00ED11B1">
        <w:trPr>
          <w:cantSplit/>
          <w:tblHeader/>
        </w:trPr>
        <w:tc>
          <w:tcPr>
            <w:tcW w:w="64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60 and above</w:t>
            </w:r>
          </w:p>
        </w:tc>
        <w:tc>
          <w:tcPr>
            <w:tcW w:w="45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9</w:t>
            </w:r>
          </w:p>
        </w:tc>
        <w:tc>
          <w:tcPr>
            <w:tcW w:w="45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2.2407</w:t>
            </w:r>
          </w:p>
        </w:tc>
        <w:tc>
          <w:tcPr>
            <w:tcW w:w="650"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.88235</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.29412</w:t>
            </w:r>
          </w:p>
        </w:tc>
        <w:tc>
          <w:tcPr>
            <w:tcW w:w="66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1.5625</w:t>
            </w:r>
          </w:p>
        </w:tc>
        <w:tc>
          <w:tcPr>
            <w:tcW w:w="66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2.9190</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49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3.50</w:t>
            </w:r>
          </w:p>
        </w:tc>
      </w:tr>
      <w:tr w:rsidR="004C3BF7" w:rsidRPr="00CC621D" w:rsidTr="00ED11B1">
        <w:trPr>
          <w:cantSplit/>
          <w:tblHeader/>
        </w:trPr>
        <w:tc>
          <w:tcPr>
            <w:tcW w:w="64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Total</w:t>
            </w:r>
          </w:p>
        </w:tc>
        <w:tc>
          <w:tcPr>
            <w:tcW w:w="45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415</w:t>
            </w:r>
          </w:p>
        </w:tc>
        <w:tc>
          <w:tcPr>
            <w:tcW w:w="45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2.5731</w:t>
            </w:r>
          </w:p>
        </w:tc>
        <w:tc>
          <w:tcPr>
            <w:tcW w:w="650"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.78602</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.03858</w:t>
            </w:r>
          </w:p>
        </w:tc>
        <w:tc>
          <w:tcPr>
            <w:tcW w:w="66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2.4972</w:t>
            </w:r>
          </w:p>
        </w:tc>
        <w:tc>
          <w:tcPr>
            <w:tcW w:w="66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2.6489</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49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w:t>
            </w:r>
          </w:p>
        </w:tc>
      </w:tr>
      <w:tr w:rsidR="004C3BF7" w:rsidRPr="00CC621D" w:rsidTr="00ED11B1">
        <w:trPr>
          <w:cantSplit/>
        </w:trPr>
        <w:tc>
          <w:tcPr>
            <w:tcW w:w="5000" w:type="pct"/>
            <w:gridSpan w:val="9"/>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a. CITY = Abuja</w:t>
            </w:r>
          </w:p>
        </w:tc>
      </w:tr>
    </w:tbl>
    <w:p w:rsidR="00ED11B1" w:rsidRDefault="00ED11B1" w:rsidP="00ED11B1">
      <w:pPr>
        <w:autoSpaceDE w:val="0"/>
        <w:autoSpaceDN w:val="0"/>
        <w:adjustRightInd w:val="0"/>
        <w:snapToGrid w:val="0"/>
        <w:spacing w:after="0" w:line="240" w:lineRule="auto"/>
        <w:rPr>
          <w:rFonts w:ascii="Times New Roman" w:hAnsi="Times New Roman" w:cs="Times New Roman"/>
          <w:sz w:val="20"/>
          <w:szCs w:val="20"/>
          <w:lang w:val="en-SG"/>
        </w:rPr>
      </w:pPr>
    </w:p>
    <w:p w:rsidR="004C3BF7" w:rsidRPr="00CC621D" w:rsidRDefault="004C3BF7" w:rsidP="00ED11B1">
      <w:pPr>
        <w:autoSpaceDE w:val="0"/>
        <w:autoSpaceDN w:val="0"/>
        <w:adjustRightInd w:val="0"/>
        <w:snapToGrid w:val="0"/>
        <w:spacing w:after="0" w:line="240" w:lineRule="auto"/>
        <w:rPr>
          <w:rFonts w:ascii="Times New Roman" w:hAnsi="Times New Roman" w:cs="Times New Roman"/>
          <w:sz w:val="20"/>
          <w:szCs w:val="20"/>
          <w:lang w:val="en-SG"/>
        </w:rPr>
      </w:pPr>
      <w:r w:rsidRPr="00CC621D">
        <w:rPr>
          <w:rFonts w:ascii="Times New Roman" w:hAnsi="Times New Roman" w:cs="Times New Roman"/>
          <w:sz w:val="20"/>
          <w:szCs w:val="20"/>
          <w:lang w:val="en-SG"/>
        </w:rPr>
        <w:lastRenderedPageBreak/>
        <w:t>Table</w:t>
      </w:r>
      <w:r w:rsidR="00AE4813" w:rsidRPr="00CC621D">
        <w:rPr>
          <w:rFonts w:ascii="Times New Roman" w:hAnsi="Times New Roman" w:cs="Times New Roman"/>
          <w:sz w:val="20"/>
          <w:szCs w:val="20"/>
          <w:lang w:val="en-SG"/>
        </w:rPr>
        <w:t xml:space="preserve"> 4</w:t>
      </w:r>
      <w:r w:rsidRPr="00CC621D">
        <w:rPr>
          <w:rFonts w:ascii="Times New Roman" w:hAnsi="Times New Roman" w:cs="Times New Roman"/>
          <w:sz w:val="20"/>
          <w:szCs w:val="20"/>
          <w:lang w:val="en-SG"/>
        </w:rPr>
        <w:t xml:space="preserve">: Results of </w:t>
      </w:r>
      <w:proofErr w:type="spellStart"/>
      <w:r w:rsidRPr="00CC621D">
        <w:rPr>
          <w:rFonts w:ascii="Times New Roman" w:hAnsi="Times New Roman" w:cs="Times New Roman"/>
          <w:sz w:val="20"/>
          <w:szCs w:val="20"/>
          <w:lang w:val="en-SG"/>
        </w:rPr>
        <w:t>anova</w:t>
      </w:r>
      <w:proofErr w:type="spellEnd"/>
      <w:r w:rsidRPr="00CC621D">
        <w:rPr>
          <w:rFonts w:ascii="Times New Roman" w:hAnsi="Times New Roman" w:cs="Times New Roman"/>
          <w:sz w:val="20"/>
          <w:szCs w:val="20"/>
          <w:lang w:val="en-SG"/>
        </w:rPr>
        <w:t xml:space="preserve"> for comparison of mean score across age groups in FCT Abuja</w:t>
      </w:r>
    </w:p>
    <w:tbl>
      <w:tblPr>
        <w:tblW w:w="7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82"/>
        <w:gridCol w:w="1456"/>
        <w:gridCol w:w="1009"/>
        <w:gridCol w:w="1397"/>
        <w:gridCol w:w="1010"/>
        <w:gridCol w:w="1010"/>
      </w:tblGrid>
      <w:tr w:rsidR="004C3BF7" w:rsidRPr="00CC621D" w:rsidTr="00ED11B1">
        <w:trPr>
          <w:cantSplit/>
          <w:tblHeader/>
          <w:jc w:val="center"/>
        </w:trPr>
        <w:tc>
          <w:tcPr>
            <w:tcW w:w="7564" w:type="dxa"/>
            <w:gridSpan w:val="6"/>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MEANSCORE.GEN.ASSES</w:t>
            </w:r>
          </w:p>
        </w:tc>
      </w:tr>
      <w:tr w:rsidR="004C3BF7" w:rsidRPr="00CC621D" w:rsidTr="00ED11B1">
        <w:trPr>
          <w:cantSplit/>
          <w:tblHeader/>
          <w:jc w:val="center"/>
        </w:trPr>
        <w:tc>
          <w:tcPr>
            <w:tcW w:w="1682"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456"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Sum of Squares</w:t>
            </w:r>
          </w:p>
        </w:tc>
        <w:tc>
          <w:tcPr>
            <w:tcW w:w="1009"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roofErr w:type="spellStart"/>
            <w:r w:rsidRPr="00CC621D">
              <w:rPr>
                <w:rFonts w:ascii="Times New Roman" w:hAnsi="Times New Roman" w:cs="Times New Roman"/>
                <w:sz w:val="20"/>
                <w:szCs w:val="20"/>
              </w:rPr>
              <w:t>df</w:t>
            </w:r>
            <w:proofErr w:type="spellEnd"/>
          </w:p>
        </w:tc>
        <w:tc>
          <w:tcPr>
            <w:tcW w:w="1397"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Mean Square</w:t>
            </w:r>
          </w:p>
        </w:tc>
        <w:tc>
          <w:tcPr>
            <w:tcW w:w="1010"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F</w:t>
            </w:r>
          </w:p>
        </w:tc>
        <w:tc>
          <w:tcPr>
            <w:tcW w:w="1010"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Sig.</w:t>
            </w:r>
          </w:p>
        </w:tc>
      </w:tr>
      <w:tr w:rsidR="004C3BF7" w:rsidRPr="00CC621D" w:rsidTr="00ED11B1">
        <w:trPr>
          <w:cantSplit/>
          <w:tblHeader/>
          <w:jc w:val="center"/>
        </w:trPr>
        <w:tc>
          <w:tcPr>
            <w:tcW w:w="168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Between Groups</w:t>
            </w:r>
          </w:p>
        </w:tc>
        <w:tc>
          <w:tcPr>
            <w:tcW w:w="1456"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4.551</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w:t>
            </w:r>
          </w:p>
        </w:tc>
        <w:tc>
          <w:tcPr>
            <w:tcW w:w="1397"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1.138</w:t>
            </w:r>
          </w:p>
        </w:tc>
        <w:tc>
          <w:tcPr>
            <w:tcW w:w="1010"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1.857</w:t>
            </w:r>
          </w:p>
        </w:tc>
        <w:tc>
          <w:tcPr>
            <w:tcW w:w="1010"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.117</w:t>
            </w:r>
          </w:p>
        </w:tc>
      </w:tr>
      <w:tr w:rsidR="004C3BF7" w:rsidRPr="00CC621D" w:rsidTr="00ED11B1">
        <w:trPr>
          <w:cantSplit/>
          <w:tblHeader/>
          <w:jc w:val="center"/>
        </w:trPr>
        <w:tc>
          <w:tcPr>
            <w:tcW w:w="168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Within Groups</w:t>
            </w:r>
          </w:p>
        </w:tc>
        <w:tc>
          <w:tcPr>
            <w:tcW w:w="1456"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251.231</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410</w:t>
            </w:r>
          </w:p>
        </w:tc>
        <w:tc>
          <w:tcPr>
            <w:tcW w:w="1397"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.613</w:t>
            </w: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r>
      <w:tr w:rsidR="004C3BF7" w:rsidRPr="00CC621D" w:rsidTr="00ED11B1">
        <w:trPr>
          <w:cantSplit/>
          <w:tblHeader/>
          <w:jc w:val="center"/>
        </w:trPr>
        <w:tc>
          <w:tcPr>
            <w:tcW w:w="168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Total</w:t>
            </w:r>
          </w:p>
        </w:tc>
        <w:tc>
          <w:tcPr>
            <w:tcW w:w="1456"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255.783</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414</w:t>
            </w:r>
          </w:p>
        </w:tc>
        <w:tc>
          <w:tcPr>
            <w:tcW w:w="1397"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r>
      <w:tr w:rsidR="004C3BF7" w:rsidRPr="00CC621D" w:rsidTr="00ED11B1">
        <w:trPr>
          <w:cantSplit/>
          <w:jc w:val="center"/>
        </w:trPr>
        <w:tc>
          <w:tcPr>
            <w:tcW w:w="7564" w:type="dxa"/>
            <w:gridSpan w:val="6"/>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a. CITY = Abuja</w:t>
            </w:r>
          </w:p>
        </w:tc>
      </w:tr>
    </w:tbl>
    <w:p w:rsidR="00DE50D8" w:rsidRDefault="00DE50D8" w:rsidP="00ED11B1">
      <w:pPr>
        <w:autoSpaceDE w:val="0"/>
        <w:autoSpaceDN w:val="0"/>
        <w:adjustRightInd w:val="0"/>
        <w:snapToGrid w:val="0"/>
        <w:spacing w:after="0" w:line="240" w:lineRule="auto"/>
        <w:jc w:val="both"/>
        <w:rPr>
          <w:rFonts w:ascii="Times New Roman" w:hAnsi="Times New Roman" w:cs="Times New Roman"/>
          <w:sz w:val="20"/>
          <w:szCs w:val="20"/>
          <w:lang w:val="en-SG"/>
        </w:rPr>
      </w:pPr>
    </w:p>
    <w:p w:rsidR="00CC621D" w:rsidRDefault="004C3BF7" w:rsidP="00ED11B1">
      <w:pPr>
        <w:autoSpaceDE w:val="0"/>
        <w:autoSpaceDN w:val="0"/>
        <w:adjustRightInd w:val="0"/>
        <w:snapToGrid w:val="0"/>
        <w:spacing w:after="0" w:line="240" w:lineRule="auto"/>
        <w:ind w:firstLine="720"/>
        <w:jc w:val="both"/>
        <w:rPr>
          <w:rFonts w:ascii="Times New Roman" w:hAnsi="Times New Roman" w:cs="Times New Roman"/>
          <w:sz w:val="20"/>
          <w:szCs w:val="20"/>
        </w:rPr>
      </w:pPr>
      <w:r w:rsidRPr="00CC621D">
        <w:rPr>
          <w:rFonts w:ascii="Times New Roman" w:hAnsi="Times New Roman" w:cs="Times New Roman"/>
          <w:sz w:val="20"/>
          <w:szCs w:val="20"/>
          <w:lang w:val="en-SG"/>
        </w:rPr>
        <w:t>In</w:t>
      </w:r>
      <w:r w:rsidR="00AE4813" w:rsidRPr="00CC621D">
        <w:rPr>
          <w:rFonts w:ascii="Times New Roman" w:hAnsi="Times New Roman" w:cs="Times New Roman"/>
          <w:sz w:val="20"/>
          <w:szCs w:val="20"/>
          <w:lang w:val="en-SG"/>
        </w:rPr>
        <w:t xml:space="preserve"> </w:t>
      </w:r>
      <w:proofErr w:type="spellStart"/>
      <w:r w:rsidR="00AE4813" w:rsidRPr="00CC621D">
        <w:rPr>
          <w:rFonts w:ascii="Times New Roman" w:hAnsi="Times New Roman" w:cs="Times New Roman"/>
          <w:sz w:val="20"/>
          <w:szCs w:val="20"/>
          <w:lang w:val="en-SG"/>
        </w:rPr>
        <w:t>Putrajaya</w:t>
      </w:r>
      <w:proofErr w:type="spellEnd"/>
      <w:r w:rsidR="00AE4813" w:rsidRPr="00CC621D">
        <w:rPr>
          <w:rFonts w:ascii="Times New Roman" w:hAnsi="Times New Roman" w:cs="Times New Roman"/>
          <w:sz w:val="20"/>
          <w:szCs w:val="20"/>
          <w:lang w:val="en-SG"/>
        </w:rPr>
        <w:t xml:space="preserve"> it can be seen from T</w:t>
      </w:r>
      <w:r w:rsidRPr="00CC621D">
        <w:rPr>
          <w:rFonts w:ascii="Times New Roman" w:hAnsi="Times New Roman" w:cs="Times New Roman"/>
          <w:sz w:val="20"/>
          <w:szCs w:val="20"/>
          <w:lang w:val="en-SG"/>
        </w:rPr>
        <w:t xml:space="preserve">able </w:t>
      </w:r>
      <w:r w:rsidR="00AE4813" w:rsidRPr="00CC621D">
        <w:rPr>
          <w:rFonts w:ascii="Times New Roman" w:hAnsi="Times New Roman" w:cs="Times New Roman"/>
          <w:sz w:val="20"/>
          <w:szCs w:val="20"/>
          <w:lang w:val="en-SG"/>
        </w:rPr>
        <w:t>5</w:t>
      </w:r>
      <w:r w:rsidRPr="00CC621D">
        <w:rPr>
          <w:rFonts w:ascii="Times New Roman" w:hAnsi="Times New Roman" w:cs="Times New Roman"/>
          <w:sz w:val="20"/>
          <w:szCs w:val="20"/>
          <w:lang w:val="en-SG"/>
        </w:rPr>
        <w:t>, which shows the descriptive statistics for the mean score across age groups, respondents between ages 49-59 gave higher scores in the rating (M=4.15). The</w:t>
      </w:r>
      <w:r w:rsidR="00AE4813" w:rsidRPr="00CC621D">
        <w:rPr>
          <w:rFonts w:ascii="Times New Roman" w:hAnsi="Times New Roman" w:cs="Times New Roman"/>
          <w:sz w:val="20"/>
          <w:szCs w:val="20"/>
          <w:lang w:val="en-SG"/>
        </w:rPr>
        <w:t xml:space="preserve"> results for the </w:t>
      </w:r>
      <w:proofErr w:type="spellStart"/>
      <w:r w:rsidR="00AE4813" w:rsidRPr="00CC621D">
        <w:rPr>
          <w:rFonts w:ascii="Times New Roman" w:hAnsi="Times New Roman" w:cs="Times New Roman"/>
          <w:sz w:val="20"/>
          <w:szCs w:val="20"/>
          <w:lang w:val="en-SG"/>
        </w:rPr>
        <w:t>anova</w:t>
      </w:r>
      <w:proofErr w:type="spellEnd"/>
      <w:r w:rsidR="00AE4813" w:rsidRPr="00CC621D">
        <w:rPr>
          <w:rFonts w:ascii="Times New Roman" w:hAnsi="Times New Roman" w:cs="Times New Roman"/>
          <w:sz w:val="20"/>
          <w:szCs w:val="20"/>
          <w:lang w:val="en-SG"/>
        </w:rPr>
        <w:t xml:space="preserve"> test in T</w:t>
      </w:r>
      <w:r w:rsidRPr="00CC621D">
        <w:rPr>
          <w:rFonts w:ascii="Times New Roman" w:hAnsi="Times New Roman" w:cs="Times New Roman"/>
          <w:sz w:val="20"/>
          <w:szCs w:val="20"/>
          <w:lang w:val="en-SG"/>
        </w:rPr>
        <w:t>able</w:t>
      </w:r>
      <w:r w:rsidR="00AE4813" w:rsidRPr="00CC621D">
        <w:rPr>
          <w:rFonts w:ascii="Times New Roman" w:hAnsi="Times New Roman" w:cs="Times New Roman"/>
          <w:sz w:val="20"/>
          <w:szCs w:val="20"/>
          <w:lang w:val="en-SG"/>
        </w:rPr>
        <w:t xml:space="preserve"> 6</w:t>
      </w:r>
      <w:r w:rsidRPr="00CC621D">
        <w:rPr>
          <w:rFonts w:ascii="Times New Roman" w:hAnsi="Times New Roman" w:cs="Times New Roman"/>
          <w:sz w:val="20"/>
          <w:szCs w:val="20"/>
          <w:lang w:val="en-SG"/>
        </w:rPr>
        <w:t>shows there is no statistical difference, p=0.550.</w:t>
      </w:r>
      <w:r w:rsidR="00ED11B1">
        <w:rPr>
          <w:rFonts w:ascii="Times New Roman" w:hAnsi="Times New Roman" w:cs="Times New Roman"/>
          <w:sz w:val="20"/>
          <w:szCs w:val="20"/>
          <w:lang w:val="en-SG"/>
        </w:rPr>
        <w:t xml:space="preserve"> </w:t>
      </w:r>
    </w:p>
    <w:p w:rsidR="00ED11B1" w:rsidRDefault="00ED11B1" w:rsidP="00ED11B1">
      <w:pPr>
        <w:pStyle w:val="NoSpacing"/>
        <w:adjustRightInd w:val="0"/>
        <w:snapToGrid w:val="0"/>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07"/>
        <w:gridCol w:w="347"/>
        <w:gridCol w:w="626"/>
        <w:gridCol w:w="1304"/>
        <w:gridCol w:w="894"/>
        <w:gridCol w:w="1585"/>
        <w:gridCol w:w="1557"/>
        <w:gridCol w:w="907"/>
        <w:gridCol w:w="943"/>
      </w:tblGrid>
      <w:tr w:rsidR="004C3BF7" w:rsidRPr="00CC621D" w:rsidTr="00ED11B1">
        <w:trPr>
          <w:cantSplit/>
          <w:jc w:val="center"/>
        </w:trPr>
        <w:tc>
          <w:tcPr>
            <w:tcW w:w="5000" w:type="pct"/>
            <w:gridSpan w:val="9"/>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 xml:space="preserve">Table </w:t>
            </w:r>
            <w:r w:rsidR="00AE4813" w:rsidRPr="00CC621D">
              <w:rPr>
                <w:rFonts w:ascii="Times New Roman" w:hAnsi="Times New Roman" w:cs="Times New Roman"/>
                <w:sz w:val="20"/>
                <w:szCs w:val="20"/>
              </w:rPr>
              <w:t>5</w:t>
            </w:r>
            <w:r w:rsidRPr="00CC621D">
              <w:rPr>
                <w:rFonts w:ascii="Times New Roman" w:hAnsi="Times New Roman" w:cs="Times New Roman"/>
                <w:sz w:val="20"/>
                <w:szCs w:val="20"/>
              </w:rPr>
              <w:t>: Descriptive statistics for the mean score across age groups in Putrajaya</w:t>
            </w:r>
          </w:p>
        </w:tc>
      </w:tr>
      <w:tr w:rsidR="004C3BF7" w:rsidRPr="00CC621D" w:rsidTr="00ED11B1">
        <w:trPr>
          <w:cantSplit/>
          <w:jc w:val="center"/>
        </w:trPr>
        <w:tc>
          <w:tcPr>
            <w:tcW w:w="5000" w:type="pct"/>
            <w:gridSpan w:val="9"/>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MEANSCORE.GEN.ASSES</w:t>
            </w:r>
          </w:p>
        </w:tc>
      </w:tr>
      <w:tr w:rsidR="004C3BF7" w:rsidRPr="00CC621D" w:rsidTr="00ED11B1">
        <w:trPr>
          <w:cantSplit/>
          <w:jc w:val="center"/>
        </w:trPr>
        <w:tc>
          <w:tcPr>
            <w:tcW w:w="644" w:type="pct"/>
            <w:vMerge w:val="restart"/>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85"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N</w:t>
            </w:r>
          </w:p>
        </w:tc>
        <w:tc>
          <w:tcPr>
            <w:tcW w:w="334"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Mean</w:t>
            </w:r>
          </w:p>
        </w:tc>
        <w:tc>
          <w:tcPr>
            <w:tcW w:w="696"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Std. Deviation</w:t>
            </w:r>
          </w:p>
        </w:tc>
        <w:tc>
          <w:tcPr>
            <w:tcW w:w="477"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Std. Error</w:t>
            </w:r>
          </w:p>
        </w:tc>
        <w:tc>
          <w:tcPr>
            <w:tcW w:w="1677" w:type="pct"/>
            <w:gridSpan w:val="2"/>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95% Confidence Interval for Mean</w:t>
            </w:r>
          </w:p>
        </w:tc>
        <w:tc>
          <w:tcPr>
            <w:tcW w:w="484"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Minimum</w:t>
            </w:r>
          </w:p>
        </w:tc>
        <w:tc>
          <w:tcPr>
            <w:tcW w:w="503"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Maximum</w:t>
            </w:r>
          </w:p>
        </w:tc>
      </w:tr>
      <w:tr w:rsidR="004C3BF7" w:rsidRPr="00CC621D" w:rsidTr="00ED11B1">
        <w:trPr>
          <w:cantSplit/>
          <w:jc w:val="center"/>
        </w:trPr>
        <w:tc>
          <w:tcPr>
            <w:tcW w:w="644" w:type="pct"/>
            <w:vMerge/>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185"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334"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696"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477"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846" w:type="pc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Lower Bound</w:t>
            </w:r>
          </w:p>
        </w:tc>
        <w:tc>
          <w:tcPr>
            <w:tcW w:w="831" w:type="pc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Upper Bound</w:t>
            </w:r>
          </w:p>
        </w:tc>
        <w:tc>
          <w:tcPr>
            <w:tcW w:w="484"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503"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r>
      <w:tr w:rsidR="004C3BF7" w:rsidRPr="00CC621D" w:rsidTr="00ED11B1">
        <w:trPr>
          <w:cantSplit/>
          <w:jc w:val="center"/>
        </w:trPr>
        <w:tc>
          <w:tcPr>
            <w:tcW w:w="64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16-26</w:t>
            </w:r>
          </w:p>
        </w:tc>
        <w:tc>
          <w:tcPr>
            <w:tcW w:w="185"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198</w:t>
            </w:r>
          </w:p>
        </w:tc>
        <w:tc>
          <w:tcPr>
            <w:tcW w:w="33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4.0581</w:t>
            </w:r>
          </w:p>
        </w:tc>
        <w:tc>
          <w:tcPr>
            <w:tcW w:w="69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.77893</w:t>
            </w:r>
          </w:p>
        </w:tc>
        <w:tc>
          <w:tcPr>
            <w:tcW w:w="47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.05536</w:t>
            </w:r>
          </w:p>
        </w:tc>
        <w:tc>
          <w:tcPr>
            <w:tcW w:w="8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3.9489</w:t>
            </w:r>
          </w:p>
        </w:tc>
        <w:tc>
          <w:tcPr>
            <w:tcW w:w="83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4.1672</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1.83</w:t>
            </w:r>
          </w:p>
        </w:tc>
        <w:tc>
          <w:tcPr>
            <w:tcW w:w="50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w:t>
            </w:r>
          </w:p>
        </w:tc>
      </w:tr>
      <w:tr w:rsidR="004C3BF7" w:rsidRPr="00CC621D" w:rsidTr="00ED11B1">
        <w:trPr>
          <w:cantSplit/>
          <w:jc w:val="center"/>
        </w:trPr>
        <w:tc>
          <w:tcPr>
            <w:tcW w:w="64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27-37</w:t>
            </w:r>
          </w:p>
        </w:tc>
        <w:tc>
          <w:tcPr>
            <w:tcW w:w="185"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133</w:t>
            </w:r>
          </w:p>
        </w:tc>
        <w:tc>
          <w:tcPr>
            <w:tcW w:w="33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3.9975</w:t>
            </w:r>
          </w:p>
        </w:tc>
        <w:tc>
          <w:tcPr>
            <w:tcW w:w="69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.73340</w:t>
            </w:r>
          </w:p>
        </w:tc>
        <w:tc>
          <w:tcPr>
            <w:tcW w:w="47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.06359</w:t>
            </w:r>
          </w:p>
        </w:tc>
        <w:tc>
          <w:tcPr>
            <w:tcW w:w="8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3.8717</w:t>
            </w:r>
          </w:p>
        </w:tc>
        <w:tc>
          <w:tcPr>
            <w:tcW w:w="83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4.1233</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50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w:t>
            </w:r>
          </w:p>
        </w:tc>
      </w:tr>
      <w:tr w:rsidR="004C3BF7" w:rsidRPr="00CC621D" w:rsidTr="00ED11B1">
        <w:trPr>
          <w:cantSplit/>
          <w:jc w:val="center"/>
        </w:trPr>
        <w:tc>
          <w:tcPr>
            <w:tcW w:w="64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28-48</w:t>
            </w:r>
          </w:p>
        </w:tc>
        <w:tc>
          <w:tcPr>
            <w:tcW w:w="185"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55</w:t>
            </w:r>
          </w:p>
        </w:tc>
        <w:tc>
          <w:tcPr>
            <w:tcW w:w="33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4.0455</w:t>
            </w:r>
          </w:p>
        </w:tc>
        <w:tc>
          <w:tcPr>
            <w:tcW w:w="69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.57329</w:t>
            </w:r>
          </w:p>
        </w:tc>
        <w:tc>
          <w:tcPr>
            <w:tcW w:w="47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.07730</w:t>
            </w:r>
          </w:p>
        </w:tc>
        <w:tc>
          <w:tcPr>
            <w:tcW w:w="8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3.8905</w:t>
            </w:r>
          </w:p>
        </w:tc>
        <w:tc>
          <w:tcPr>
            <w:tcW w:w="83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4.2004</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2.50</w:t>
            </w:r>
          </w:p>
        </w:tc>
        <w:tc>
          <w:tcPr>
            <w:tcW w:w="50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w:t>
            </w:r>
          </w:p>
        </w:tc>
      </w:tr>
      <w:tr w:rsidR="004C3BF7" w:rsidRPr="00CC621D" w:rsidTr="00ED11B1">
        <w:trPr>
          <w:cantSplit/>
          <w:jc w:val="center"/>
        </w:trPr>
        <w:tc>
          <w:tcPr>
            <w:tcW w:w="64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49-59</w:t>
            </w:r>
          </w:p>
        </w:tc>
        <w:tc>
          <w:tcPr>
            <w:tcW w:w="185"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w:t>
            </w:r>
          </w:p>
        </w:tc>
        <w:tc>
          <w:tcPr>
            <w:tcW w:w="33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4.1500</w:t>
            </w:r>
          </w:p>
        </w:tc>
        <w:tc>
          <w:tcPr>
            <w:tcW w:w="69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.41164</w:t>
            </w:r>
          </w:p>
        </w:tc>
        <w:tc>
          <w:tcPr>
            <w:tcW w:w="47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.13017</w:t>
            </w:r>
          </w:p>
        </w:tc>
        <w:tc>
          <w:tcPr>
            <w:tcW w:w="8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3.8555</w:t>
            </w:r>
          </w:p>
        </w:tc>
        <w:tc>
          <w:tcPr>
            <w:tcW w:w="83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4.4445</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3.67</w:t>
            </w:r>
          </w:p>
        </w:tc>
        <w:tc>
          <w:tcPr>
            <w:tcW w:w="50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w:t>
            </w:r>
          </w:p>
        </w:tc>
      </w:tr>
      <w:tr w:rsidR="004C3BF7" w:rsidRPr="00CC621D" w:rsidTr="00ED11B1">
        <w:trPr>
          <w:cantSplit/>
          <w:jc w:val="center"/>
        </w:trPr>
        <w:tc>
          <w:tcPr>
            <w:tcW w:w="64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60 and above</w:t>
            </w:r>
          </w:p>
        </w:tc>
        <w:tc>
          <w:tcPr>
            <w:tcW w:w="185"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w:t>
            </w:r>
          </w:p>
        </w:tc>
        <w:tc>
          <w:tcPr>
            <w:tcW w:w="33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3.5333</w:t>
            </w:r>
          </w:p>
        </w:tc>
        <w:tc>
          <w:tcPr>
            <w:tcW w:w="69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1.49722</w:t>
            </w:r>
          </w:p>
        </w:tc>
        <w:tc>
          <w:tcPr>
            <w:tcW w:w="47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.66958</w:t>
            </w:r>
          </w:p>
        </w:tc>
        <w:tc>
          <w:tcPr>
            <w:tcW w:w="8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1.6743</w:t>
            </w:r>
          </w:p>
        </w:tc>
        <w:tc>
          <w:tcPr>
            <w:tcW w:w="83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5.3924</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50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4.50</w:t>
            </w:r>
          </w:p>
        </w:tc>
      </w:tr>
      <w:tr w:rsidR="004C3BF7" w:rsidRPr="00CC621D" w:rsidTr="00ED11B1">
        <w:trPr>
          <w:cantSplit/>
          <w:jc w:val="center"/>
        </w:trPr>
        <w:tc>
          <w:tcPr>
            <w:tcW w:w="64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Total</w:t>
            </w:r>
          </w:p>
        </w:tc>
        <w:tc>
          <w:tcPr>
            <w:tcW w:w="185"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401</w:t>
            </w:r>
          </w:p>
        </w:tc>
        <w:tc>
          <w:tcPr>
            <w:tcW w:w="33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4.0320</w:t>
            </w:r>
          </w:p>
        </w:tc>
        <w:tc>
          <w:tcPr>
            <w:tcW w:w="69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.74238</w:t>
            </w:r>
          </w:p>
        </w:tc>
        <w:tc>
          <w:tcPr>
            <w:tcW w:w="47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.03707</w:t>
            </w:r>
          </w:p>
        </w:tc>
        <w:tc>
          <w:tcPr>
            <w:tcW w:w="8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3.9591</w:t>
            </w:r>
          </w:p>
        </w:tc>
        <w:tc>
          <w:tcPr>
            <w:tcW w:w="83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4.1049</w:t>
            </w:r>
          </w:p>
        </w:tc>
        <w:tc>
          <w:tcPr>
            <w:tcW w:w="484"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50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w:t>
            </w:r>
          </w:p>
        </w:tc>
      </w:tr>
      <w:tr w:rsidR="004C3BF7" w:rsidRPr="00CC621D" w:rsidTr="00ED11B1">
        <w:trPr>
          <w:cantSplit/>
          <w:jc w:val="center"/>
        </w:trPr>
        <w:tc>
          <w:tcPr>
            <w:tcW w:w="5000" w:type="pct"/>
            <w:gridSpan w:val="9"/>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a. CITY = PJ</w:t>
            </w:r>
          </w:p>
        </w:tc>
      </w:tr>
    </w:tbl>
    <w:p w:rsidR="00CC69D7" w:rsidRPr="00CC621D" w:rsidRDefault="00CC69D7" w:rsidP="00ED11B1">
      <w:pPr>
        <w:autoSpaceDE w:val="0"/>
        <w:autoSpaceDN w:val="0"/>
        <w:adjustRightInd w:val="0"/>
        <w:snapToGrid w:val="0"/>
        <w:spacing w:after="0" w:line="240" w:lineRule="auto"/>
        <w:rPr>
          <w:rFonts w:ascii="Times New Roman" w:hAnsi="Times New Roman" w:cs="Times New Roman"/>
          <w:sz w:val="20"/>
          <w:szCs w:val="20"/>
          <w:lang w:val="en-SG"/>
        </w:rPr>
      </w:pPr>
    </w:p>
    <w:tbl>
      <w:tblPr>
        <w:tblW w:w="7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82"/>
        <w:gridCol w:w="1456"/>
        <w:gridCol w:w="1009"/>
        <w:gridCol w:w="1397"/>
        <w:gridCol w:w="1010"/>
        <w:gridCol w:w="1010"/>
      </w:tblGrid>
      <w:tr w:rsidR="004C3BF7" w:rsidRPr="00CC621D" w:rsidTr="00ED11B1">
        <w:trPr>
          <w:cantSplit/>
          <w:tblHeader/>
          <w:jc w:val="center"/>
        </w:trPr>
        <w:tc>
          <w:tcPr>
            <w:tcW w:w="7562" w:type="dxa"/>
            <w:gridSpan w:val="6"/>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sz w:val="20"/>
                <w:szCs w:val="20"/>
              </w:rPr>
              <w:t xml:space="preserve">Table </w:t>
            </w:r>
            <w:r w:rsidR="00AE4813" w:rsidRPr="00CC621D">
              <w:rPr>
                <w:rFonts w:ascii="Times New Roman" w:hAnsi="Times New Roman" w:cs="Times New Roman"/>
                <w:sz w:val="20"/>
                <w:szCs w:val="20"/>
              </w:rPr>
              <w:t>6</w:t>
            </w:r>
            <w:r w:rsidRPr="00CC621D">
              <w:rPr>
                <w:rFonts w:ascii="Times New Roman" w:hAnsi="Times New Roman" w:cs="Times New Roman"/>
                <w:sz w:val="20"/>
                <w:szCs w:val="20"/>
              </w:rPr>
              <w:t xml:space="preserve">: Results of </w:t>
            </w:r>
            <w:proofErr w:type="spellStart"/>
            <w:r w:rsidRPr="00CC621D">
              <w:rPr>
                <w:rFonts w:ascii="Times New Roman" w:hAnsi="Times New Roman" w:cs="Times New Roman"/>
                <w:bCs/>
                <w:color w:val="000000"/>
                <w:sz w:val="20"/>
                <w:szCs w:val="20"/>
              </w:rPr>
              <w:t>anova</w:t>
            </w:r>
            <w:proofErr w:type="spellEnd"/>
            <w:r w:rsidRPr="00CC621D">
              <w:rPr>
                <w:rFonts w:ascii="Times New Roman" w:hAnsi="Times New Roman" w:cs="Times New Roman"/>
                <w:sz w:val="20"/>
                <w:szCs w:val="20"/>
              </w:rPr>
              <w:t xml:space="preserve"> for comparison of mean score across age groups in Putrajaya</w:t>
            </w:r>
          </w:p>
        </w:tc>
      </w:tr>
      <w:tr w:rsidR="004C3BF7" w:rsidRPr="00CC621D" w:rsidTr="00ED11B1">
        <w:trPr>
          <w:cantSplit/>
          <w:tblHeader/>
          <w:jc w:val="center"/>
        </w:trPr>
        <w:tc>
          <w:tcPr>
            <w:tcW w:w="7562" w:type="dxa"/>
            <w:gridSpan w:val="6"/>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MEANSCORE.GEN.ASSES</w:t>
            </w:r>
          </w:p>
        </w:tc>
      </w:tr>
      <w:tr w:rsidR="004C3BF7" w:rsidRPr="00CC621D" w:rsidTr="00ED11B1">
        <w:trPr>
          <w:cantSplit/>
          <w:tblHeader/>
          <w:jc w:val="center"/>
        </w:trPr>
        <w:tc>
          <w:tcPr>
            <w:tcW w:w="1681"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455"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Sum of Squares</w:t>
            </w:r>
          </w:p>
        </w:tc>
        <w:tc>
          <w:tcPr>
            <w:tcW w:w="1009"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roofErr w:type="spellStart"/>
            <w:r w:rsidRPr="00CC621D">
              <w:rPr>
                <w:rFonts w:ascii="Times New Roman" w:hAnsi="Times New Roman" w:cs="Times New Roman"/>
                <w:color w:val="000000"/>
                <w:sz w:val="20"/>
                <w:szCs w:val="20"/>
              </w:rPr>
              <w:t>df</w:t>
            </w:r>
            <w:proofErr w:type="spellEnd"/>
          </w:p>
        </w:tc>
        <w:tc>
          <w:tcPr>
            <w:tcW w:w="1397"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Mean Square</w:t>
            </w:r>
          </w:p>
        </w:tc>
        <w:tc>
          <w:tcPr>
            <w:tcW w:w="1010"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F</w:t>
            </w:r>
          </w:p>
        </w:tc>
        <w:tc>
          <w:tcPr>
            <w:tcW w:w="1010"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Sig.</w:t>
            </w:r>
          </w:p>
        </w:tc>
      </w:tr>
      <w:tr w:rsidR="004C3BF7" w:rsidRPr="00CC621D" w:rsidTr="00ED11B1">
        <w:trPr>
          <w:cantSplit/>
          <w:tblHeader/>
          <w:jc w:val="center"/>
        </w:trPr>
        <w:tc>
          <w:tcPr>
            <w:tcW w:w="1681"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Between Groups</w:t>
            </w:r>
          </w:p>
        </w:tc>
        <w:tc>
          <w:tcPr>
            <w:tcW w:w="1455"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1.686</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w:t>
            </w:r>
          </w:p>
        </w:tc>
        <w:tc>
          <w:tcPr>
            <w:tcW w:w="1397"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.421</w:t>
            </w:r>
          </w:p>
        </w:tc>
        <w:tc>
          <w:tcPr>
            <w:tcW w:w="1010"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.763</w:t>
            </w:r>
          </w:p>
        </w:tc>
        <w:tc>
          <w:tcPr>
            <w:tcW w:w="1010"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.550</w:t>
            </w:r>
          </w:p>
        </w:tc>
      </w:tr>
      <w:tr w:rsidR="004C3BF7" w:rsidRPr="00CC621D" w:rsidTr="00ED11B1">
        <w:trPr>
          <w:cantSplit/>
          <w:tblHeader/>
          <w:jc w:val="center"/>
        </w:trPr>
        <w:tc>
          <w:tcPr>
            <w:tcW w:w="1681"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Within Groups</w:t>
            </w:r>
          </w:p>
        </w:tc>
        <w:tc>
          <w:tcPr>
            <w:tcW w:w="1455"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218.765</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396</w:t>
            </w:r>
          </w:p>
        </w:tc>
        <w:tc>
          <w:tcPr>
            <w:tcW w:w="1397"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.552</w:t>
            </w: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r>
      <w:tr w:rsidR="004C3BF7" w:rsidRPr="00CC621D" w:rsidTr="00ED11B1">
        <w:trPr>
          <w:cantSplit/>
          <w:tblHeader/>
          <w:jc w:val="center"/>
        </w:trPr>
        <w:tc>
          <w:tcPr>
            <w:tcW w:w="1681"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Total</w:t>
            </w:r>
          </w:p>
        </w:tc>
        <w:tc>
          <w:tcPr>
            <w:tcW w:w="1455"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220.450</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400</w:t>
            </w:r>
          </w:p>
        </w:tc>
        <w:tc>
          <w:tcPr>
            <w:tcW w:w="1397"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r>
      <w:tr w:rsidR="004C3BF7" w:rsidRPr="00CC621D" w:rsidTr="00ED11B1">
        <w:trPr>
          <w:cantSplit/>
          <w:jc w:val="center"/>
        </w:trPr>
        <w:tc>
          <w:tcPr>
            <w:tcW w:w="7562" w:type="dxa"/>
            <w:gridSpan w:val="6"/>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a. CITY = PJ</w:t>
            </w:r>
          </w:p>
        </w:tc>
      </w:tr>
    </w:tbl>
    <w:p w:rsidR="004C3BF7" w:rsidRPr="00CC621D" w:rsidRDefault="004C3BF7" w:rsidP="00ED11B1">
      <w:pPr>
        <w:autoSpaceDE w:val="0"/>
        <w:autoSpaceDN w:val="0"/>
        <w:adjustRightInd w:val="0"/>
        <w:snapToGrid w:val="0"/>
        <w:spacing w:after="0" w:line="240" w:lineRule="auto"/>
        <w:rPr>
          <w:rFonts w:ascii="Times New Roman" w:hAnsi="Times New Roman" w:cs="Times New Roman"/>
          <w:sz w:val="20"/>
          <w:szCs w:val="20"/>
          <w:lang w:val="en-SG"/>
        </w:rPr>
      </w:pPr>
    </w:p>
    <w:p w:rsidR="004C3BF7" w:rsidRDefault="004C3BF7" w:rsidP="00ED11B1">
      <w:pPr>
        <w:autoSpaceDE w:val="0"/>
        <w:autoSpaceDN w:val="0"/>
        <w:adjustRightInd w:val="0"/>
        <w:snapToGrid w:val="0"/>
        <w:spacing w:after="0" w:line="240" w:lineRule="auto"/>
        <w:ind w:firstLine="720"/>
        <w:jc w:val="both"/>
        <w:rPr>
          <w:rFonts w:ascii="Times New Roman" w:hAnsi="Times New Roman" w:cs="Times New Roman"/>
          <w:sz w:val="20"/>
          <w:szCs w:val="20"/>
          <w:lang w:val="en-SG"/>
        </w:rPr>
      </w:pPr>
      <w:r w:rsidRPr="00CC621D">
        <w:rPr>
          <w:rFonts w:ascii="Times New Roman" w:hAnsi="Times New Roman" w:cs="Times New Roman"/>
          <w:sz w:val="20"/>
          <w:szCs w:val="20"/>
          <w:lang w:val="en-SG"/>
        </w:rPr>
        <w:t xml:space="preserve">In FCT Abuja it can be seen from Table </w:t>
      </w:r>
      <w:r w:rsidR="00AE4813" w:rsidRPr="00CC621D">
        <w:rPr>
          <w:rFonts w:ascii="Times New Roman" w:hAnsi="Times New Roman" w:cs="Times New Roman"/>
          <w:sz w:val="20"/>
          <w:szCs w:val="20"/>
          <w:lang w:val="en-SG"/>
        </w:rPr>
        <w:t>7</w:t>
      </w:r>
      <w:r w:rsidRPr="00CC621D">
        <w:rPr>
          <w:rFonts w:ascii="Times New Roman" w:hAnsi="Times New Roman" w:cs="Times New Roman"/>
          <w:sz w:val="20"/>
          <w:szCs w:val="20"/>
          <w:lang w:val="en-SG"/>
        </w:rPr>
        <w:t xml:space="preserve">, which shows the descriptive statistics for the mean score across education levels, respondents no education  gave higher scores in the rating </w:t>
      </w:r>
      <w:r w:rsidR="00B903DB" w:rsidRPr="00CC621D">
        <w:rPr>
          <w:rFonts w:ascii="Times New Roman" w:hAnsi="Times New Roman" w:cs="Times New Roman"/>
          <w:sz w:val="20"/>
          <w:szCs w:val="20"/>
          <w:lang w:val="en-SG"/>
        </w:rPr>
        <w:t xml:space="preserve">(m=2.875). The results for the </w:t>
      </w:r>
      <w:proofErr w:type="spellStart"/>
      <w:r w:rsidR="00B903DB" w:rsidRPr="00CC621D">
        <w:rPr>
          <w:rFonts w:ascii="Times New Roman" w:hAnsi="Times New Roman" w:cs="Times New Roman"/>
          <w:sz w:val="20"/>
          <w:szCs w:val="20"/>
          <w:lang w:val="en-SG"/>
        </w:rPr>
        <w:t>a</w:t>
      </w:r>
      <w:r w:rsidRPr="00CC621D">
        <w:rPr>
          <w:rFonts w:ascii="Times New Roman" w:hAnsi="Times New Roman" w:cs="Times New Roman"/>
          <w:sz w:val="20"/>
          <w:szCs w:val="20"/>
          <w:lang w:val="en-SG"/>
        </w:rPr>
        <w:t>nova</w:t>
      </w:r>
      <w:proofErr w:type="spellEnd"/>
      <w:r w:rsidRPr="00CC621D">
        <w:rPr>
          <w:rFonts w:ascii="Times New Roman" w:hAnsi="Times New Roman" w:cs="Times New Roman"/>
          <w:sz w:val="20"/>
          <w:szCs w:val="20"/>
          <w:lang w:val="en-SG"/>
        </w:rPr>
        <w:t xml:space="preserve"> test in Table </w:t>
      </w:r>
      <w:r w:rsidR="00AE4813" w:rsidRPr="00CC621D">
        <w:rPr>
          <w:rFonts w:ascii="Times New Roman" w:hAnsi="Times New Roman" w:cs="Times New Roman"/>
          <w:sz w:val="20"/>
          <w:szCs w:val="20"/>
          <w:lang w:val="en-SG"/>
        </w:rPr>
        <w:t>8</w:t>
      </w:r>
      <w:r w:rsidR="00B903DB" w:rsidRPr="00CC621D">
        <w:rPr>
          <w:rFonts w:ascii="Times New Roman" w:hAnsi="Times New Roman" w:cs="Times New Roman"/>
          <w:sz w:val="20"/>
          <w:szCs w:val="20"/>
          <w:lang w:val="en-SG"/>
        </w:rPr>
        <w:t xml:space="preserve"> </w:t>
      </w:r>
      <w:r w:rsidRPr="00CC621D">
        <w:rPr>
          <w:rFonts w:ascii="Times New Roman" w:hAnsi="Times New Roman" w:cs="Times New Roman"/>
          <w:sz w:val="20"/>
          <w:szCs w:val="20"/>
          <w:lang w:val="en-SG"/>
        </w:rPr>
        <w:t>shows there is no statistical difference, p=0.423.</w:t>
      </w:r>
    </w:p>
    <w:p w:rsidR="00ED11B1" w:rsidRPr="00CC621D" w:rsidRDefault="00ED11B1" w:rsidP="00ED11B1">
      <w:pPr>
        <w:autoSpaceDE w:val="0"/>
        <w:autoSpaceDN w:val="0"/>
        <w:adjustRightInd w:val="0"/>
        <w:snapToGrid w:val="0"/>
        <w:spacing w:after="0" w:line="240" w:lineRule="auto"/>
        <w:ind w:firstLine="720"/>
        <w:jc w:val="both"/>
        <w:rPr>
          <w:rFonts w:ascii="Times New Roman" w:hAnsi="Times New Roman" w:cs="Times New Roman"/>
          <w:sz w:val="20"/>
          <w:szCs w:val="20"/>
          <w:lang w:val="en-S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48"/>
        <w:gridCol w:w="843"/>
        <w:gridCol w:w="843"/>
        <w:gridCol w:w="1201"/>
        <w:gridCol w:w="888"/>
        <w:gridCol w:w="1226"/>
        <w:gridCol w:w="1227"/>
        <w:gridCol w:w="971"/>
        <w:gridCol w:w="1023"/>
      </w:tblGrid>
      <w:tr w:rsidR="004C3BF7" w:rsidRPr="00CC621D" w:rsidTr="00ED11B1">
        <w:trPr>
          <w:cantSplit/>
          <w:tblHeader/>
          <w:jc w:val="center"/>
        </w:trPr>
        <w:tc>
          <w:tcPr>
            <w:tcW w:w="5000" w:type="pct"/>
            <w:gridSpan w:val="9"/>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 xml:space="preserve">Table </w:t>
            </w:r>
            <w:r w:rsidR="00AE4813" w:rsidRPr="00CC621D">
              <w:rPr>
                <w:rFonts w:ascii="Times New Roman" w:hAnsi="Times New Roman" w:cs="Times New Roman"/>
                <w:sz w:val="20"/>
                <w:szCs w:val="20"/>
              </w:rPr>
              <w:t>7</w:t>
            </w:r>
            <w:r w:rsidRPr="00CC621D">
              <w:rPr>
                <w:rFonts w:ascii="Times New Roman" w:hAnsi="Times New Roman" w:cs="Times New Roman"/>
                <w:sz w:val="20"/>
                <w:szCs w:val="20"/>
              </w:rPr>
              <w:t>: Descriptive statistics of mean score across education levels in FCT Abuja</w:t>
            </w:r>
          </w:p>
        </w:tc>
      </w:tr>
      <w:tr w:rsidR="004C3BF7" w:rsidRPr="00CC621D" w:rsidTr="00ED11B1">
        <w:trPr>
          <w:cantSplit/>
          <w:tblHeader/>
          <w:jc w:val="center"/>
        </w:trPr>
        <w:tc>
          <w:tcPr>
            <w:tcW w:w="612" w:type="pct"/>
            <w:vMerge w:val="restart"/>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50"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N</w:t>
            </w:r>
          </w:p>
        </w:tc>
        <w:tc>
          <w:tcPr>
            <w:tcW w:w="450"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Mean</w:t>
            </w:r>
          </w:p>
        </w:tc>
        <w:tc>
          <w:tcPr>
            <w:tcW w:w="641"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Std. Deviation</w:t>
            </w:r>
          </w:p>
        </w:tc>
        <w:tc>
          <w:tcPr>
            <w:tcW w:w="474"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Std. Error</w:t>
            </w:r>
          </w:p>
        </w:tc>
        <w:tc>
          <w:tcPr>
            <w:tcW w:w="1309" w:type="pct"/>
            <w:gridSpan w:val="2"/>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95% Confidence Interval for Mean</w:t>
            </w:r>
          </w:p>
        </w:tc>
        <w:tc>
          <w:tcPr>
            <w:tcW w:w="518"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Minimum</w:t>
            </w:r>
          </w:p>
        </w:tc>
        <w:tc>
          <w:tcPr>
            <w:tcW w:w="547"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Maximum</w:t>
            </w:r>
          </w:p>
        </w:tc>
      </w:tr>
      <w:tr w:rsidR="004C3BF7" w:rsidRPr="00CC621D" w:rsidTr="00ED11B1">
        <w:trPr>
          <w:cantSplit/>
          <w:tblHeader/>
          <w:jc w:val="center"/>
        </w:trPr>
        <w:tc>
          <w:tcPr>
            <w:tcW w:w="612" w:type="pct"/>
            <w:vMerge/>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50"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50"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641"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74"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654" w:type="pc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Lower Bound</w:t>
            </w:r>
          </w:p>
        </w:tc>
        <w:tc>
          <w:tcPr>
            <w:tcW w:w="655" w:type="pc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Upper Bound</w:t>
            </w:r>
          </w:p>
        </w:tc>
        <w:tc>
          <w:tcPr>
            <w:tcW w:w="518"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547"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r>
      <w:tr w:rsidR="004C3BF7" w:rsidRPr="00CC621D" w:rsidTr="00ED11B1">
        <w:trPr>
          <w:cantSplit/>
          <w:tblHeader/>
          <w:jc w:val="center"/>
        </w:trPr>
        <w:tc>
          <w:tcPr>
            <w:tcW w:w="612"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no education</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12</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2.8750</w:t>
            </w:r>
          </w:p>
        </w:tc>
        <w:tc>
          <w:tcPr>
            <w:tcW w:w="64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.49301</w:t>
            </w:r>
          </w:p>
        </w:tc>
        <w:tc>
          <w:tcPr>
            <w:tcW w:w="47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.14232</w:t>
            </w:r>
          </w:p>
        </w:tc>
        <w:tc>
          <w:tcPr>
            <w:tcW w:w="65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2.5618</w:t>
            </w:r>
          </w:p>
        </w:tc>
        <w:tc>
          <w:tcPr>
            <w:tcW w:w="655"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3.1882</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1.33</w:t>
            </w:r>
          </w:p>
        </w:tc>
        <w:tc>
          <w:tcPr>
            <w:tcW w:w="547"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3.17</w:t>
            </w:r>
          </w:p>
        </w:tc>
      </w:tr>
      <w:tr w:rsidR="004C3BF7" w:rsidRPr="00CC621D" w:rsidTr="00ED11B1">
        <w:trPr>
          <w:cantSplit/>
          <w:tblHeader/>
          <w:jc w:val="center"/>
        </w:trPr>
        <w:tc>
          <w:tcPr>
            <w:tcW w:w="612"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Primary</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8</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2.5208</w:t>
            </w:r>
          </w:p>
        </w:tc>
        <w:tc>
          <w:tcPr>
            <w:tcW w:w="64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.54509</w:t>
            </w:r>
          </w:p>
        </w:tc>
        <w:tc>
          <w:tcPr>
            <w:tcW w:w="47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.19272</w:t>
            </w:r>
          </w:p>
        </w:tc>
        <w:tc>
          <w:tcPr>
            <w:tcW w:w="65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2.0651</w:t>
            </w:r>
          </w:p>
        </w:tc>
        <w:tc>
          <w:tcPr>
            <w:tcW w:w="655"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2.9765</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2.00</w:t>
            </w:r>
          </w:p>
        </w:tc>
        <w:tc>
          <w:tcPr>
            <w:tcW w:w="547"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3.50</w:t>
            </w:r>
          </w:p>
        </w:tc>
      </w:tr>
      <w:tr w:rsidR="004C3BF7" w:rsidRPr="00CC621D" w:rsidTr="00ED11B1">
        <w:trPr>
          <w:cantSplit/>
          <w:tblHeader/>
          <w:jc w:val="center"/>
        </w:trPr>
        <w:tc>
          <w:tcPr>
            <w:tcW w:w="612"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secondary</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37</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2.3919</w:t>
            </w:r>
          </w:p>
        </w:tc>
        <w:tc>
          <w:tcPr>
            <w:tcW w:w="64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.92314</w:t>
            </w:r>
          </w:p>
        </w:tc>
        <w:tc>
          <w:tcPr>
            <w:tcW w:w="47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.15176</w:t>
            </w:r>
          </w:p>
        </w:tc>
        <w:tc>
          <w:tcPr>
            <w:tcW w:w="65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2.0841</w:t>
            </w:r>
          </w:p>
        </w:tc>
        <w:tc>
          <w:tcPr>
            <w:tcW w:w="655"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2.6997</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1.00</w:t>
            </w:r>
          </w:p>
        </w:tc>
        <w:tc>
          <w:tcPr>
            <w:tcW w:w="547"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4.83</w:t>
            </w:r>
          </w:p>
        </w:tc>
      </w:tr>
      <w:tr w:rsidR="004C3BF7" w:rsidRPr="00CC621D" w:rsidTr="00ED11B1">
        <w:trPr>
          <w:cantSplit/>
          <w:tblHeader/>
          <w:jc w:val="center"/>
        </w:trPr>
        <w:tc>
          <w:tcPr>
            <w:tcW w:w="612"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college</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77</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2.6017</w:t>
            </w:r>
          </w:p>
        </w:tc>
        <w:tc>
          <w:tcPr>
            <w:tcW w:w="64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.77429</w:t>
            </w:r>
          </w:p>
        </w:tc>
        <w:tc>
          <w:tcPr>
            <w:tcW w:w="47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.08824</w:t>
            </w:r>
          </w:p>
        </w:tc>
        <w:tc>
          <w:tcPr>
            <w:tcW w:w="65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2.4260</w:t>
            </w:r>
          </w:p>
        </w:tc>
        <w:tc>
          <w:tcPr>
            <w:tcW w:w="655"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2.7775</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1.00</w:t>
            </w:r>
          </w:p>
        </w:tc>
        <w:tc>
          <w:tcPr>
            <w:tcW w:w="547"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4.33</w:t>
            </w:r>
          </w:p>
        </w:tc>
      </w:tr>
      <w:tr w:rsidR="004C3BF7" w:rsidRPr="00CC621D" w:rsidTr="00ED11B1">
        <w:trPr>
          <w:cantSplit/>
          <w:tblHeader/>
          <w:jc w:val="center"/>
        </w:trPr>
        <w:tc>
          <w:tcPr>
            <w:tcW w:w="612"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University</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281</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2.5777</w:t>
            </w:r>
          </w:p>
        </w:tc>
        <w:tc>
          <w:tcPr>
            <w:tcW w:w="64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.78464</w:t>
            </w:r>
          </w:p>
        </w:tc>
        <w:tc>
          <w:tcPr>
            <w:tcW w:w="47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.04681</w:t>
            </w:r>
          </w:p>
        </w:tc>
        <w:tc>
          <w:tcPr>
            <w:tcW w:w="65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2.4856</w:t>
            </w:r>
          </w:p>
        </w:tc>
        <w:tc>
          <w:tcPr>
            <w:tcW w:w="655"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2.6698</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1.00</w:t>
            </w:r>
          </w:p>
        </w:tc>
        <w:tc>
          <w:tcPr>
            <w:tcW w:w="547"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5.00</w:t>
            </w:r>
          </w:p>
        </w:tc>
      </w:tr>
      <w:tr w:rsidR="004C3BF7" w:rsidRPr="00CC621D" w:rsidTr="00ED11B1">
        <w:trPr>
          <w:cantSplit/>
          <w:tblHeader/>
          <w:jc w:val="center"/>
        </w:trPr>
        <w:tc>
          <w:tcPr>
            <w:tcW w:w="612"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Total</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415</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2.5731</w:t>
            </w:r>
          </w:p>
        </w:tc>
        <w:tc>
          <w:tcPr>
            <w:tcW w:w="64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.78602</w:t>
            </w:r>
          </w:p>
        </w:tc>
        <w:tc>
          <w:tcPr>
            <w:tcW w:w="47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.03858</w:t>
            </w:r>
          </w:p>
        </w:tc>
        <w:tc>
          <w:tcPr>
            <w:tcW w:w="65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2.4972</w:t>
            </w:r>
          </w:p>
        </w:tc>
        <w:tc>
          <w:tcPr>
            <w:tcW w:w="655"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2.6489</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1.00</w:t>
            </w:r>
          </w:p>
        </w:tc>
        <w:tc>
          <w:tcPr>
            <w:tcW w:w="547"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5.00</w:t>
            </w:r>
          </w:p>
        </w:tc>
      </w:tr>
    </w:tbl>
    <w:p w:rsidR="003C1323" w:rsidRPr="00CC621D" w:rsidRDefault="004C3BF7" w:rsidP="00ED11B1">
      <w:pPr>
        <w:pStyle w:val="ListParagraph"/>
        <w:numPr>
          <w:ilvl w:val="0"/>
          <w:numId w:val="13"/>
        </w:numPr>
        <w:autoSpaceDE w:val="0"/>
        <w:autoSpaceDN w:val="0"/>
        <w:adjustRightInd w:val="0"/>
        <w:snapToGrid w:val="0"/>
        <w:spacing w:line="240" w:lineRule="auto"/>
        <w:contextualSpacing w:val="0"/>
        <w:rPr>
          <w:rFonts w:ascii="Times New Roman" w:hAnsi="Times New Roman" w:cs="Times New Roman"/>
          <w:color w:val="000000"/>
          <w:sz w:val="20"/>
          <w:szCs w:val="20"/>
          <w:lang w:val="en-SG"/>
        </w:rPr>
      </w:pPr>
      <w:r w:rsidRPr="00CC621D">
        <w:rPr>
          <w:rFonts w:ascii="Times New Roman" w:hAnsi="Times New Roman" w:cs="Times New Roman"/>
          <w:color w:val="000000"/>
          <w:sz w:val="20"/>
          <w:szCs w:val="20"/>
          <w:lang w:val="en-SG"/>
        </w:rPr>
        <w:t>CITY = Abuja</w:t>
      </w:r>
    </w:p>
    <w:p w:rsidR="00AE4813" w:rsidRPr="00CC621D" w:rsidRDefault="00AE4813" w:rsidP="00ED11B1">
      <w:pPr>
        <w:pStyle w:val="ListParagraph"/>
        <w:autoSpaceDE w:val="0"/>
        <w:autoSpaceDN w:val="0"/>
        <w:adjustRightInd w:val="0"/>
        <w:snapToGrid w:val="0"/>
        <w:spacing w:line="240" w:lineRule="auto"/>
        <w:contextualSpacing w:val="0"/>
        <w:rPr>
          <w:rFonts w:ascii="Times New Roman" w:hAnsi="Times New Roman" w:cs="Times New Roman"/>
          <w:color w:val="000000"/>
          <w:sz w:val="20"/>
          <w:szCs w:val="20"/>
          <w:lang w:val="en-SG"/>
        </w:rPr>
      </w:pPr>
    </w:p>
    <w:p w:rsidR="004C3BF7" w:rsidRPr="00CC621D" w:rsidRDefault="004C3BF7" w:rsidP="00ED11B1">
      <w:pPr>
        <w:autoSpaceDE w:val="0"/>
        <w:autoSpaceDN w:val="0"/>
        <w:adjustRightInd w:val="0"/>
        <w:snapToGrid w:val="0"/>
        <w:spacing w:after="0" w:line="240" w:lineRule="auto"/>
        <w:rPr>
          <w:rFonts w:ascii="Times New Roman" w:hAnsi="Times New Roman" w:cs="Times New Roman"/>
          <w:sz w:val="20"/>
          <w:szCs w:val="20"/>
          <w:lang w:val="en-SG"/>
        </w:rPr>
      </w:pPr>
      <w:r w:rsidRPr="00CC621D">
        <w:rPr>
          <w:rFonts w:ascii="Times New Roman" w:hAnsi="Times New Roman" w:cs="Times New Roman"/>
          <w:sz w:val="20"/>
          <w:szCs w:val="20"/>
          <w:lang w:val="en-SG"/>
        </w:rPr>
        <w:t xml:space="preserve">Table </w:t>
      </w:r>
      <w:r w:rsidR="00AE4813" w:rsidRPr="00CC621D">
        <w:rPr>
          <w:rFonts w:ascii="Times New Roman" w:hAnsi="Times New Roman" w:cs="Times New Roman"/>
          <w:sz w:val="20"/>
          <w:szCs w:val="20"/>
          <w:lang w:val="en-SG"/>
        </w:rPr>
        <w:t>8</w:t>
      </w:r>
      <w:r w:rsidRPr="00CC621D">
        <w:rPr>
          <w:rFonts w:ascii="Times New Roman" w:hAnsi="Times New Roman" w:cs="Times New Roman"/>
          <w:sz w:val="20"/>
          <w:szCs w:val="20"/>
          <w:lang w:val="en-SG"/>
        </w:rPr>
        <w:t xml:space="preserve">: Results of </w:t>
      </w:r>
      <w:proofErr w:type="spellStart"/>
      <w:r w:rsidRPr="00CC621D">
        <w:rPr>
          <w:rFonts w:ascii="Times New Roman" w:hAnsi="Times New Roman" w:cs="Times New Roman"/>
          <w:bCs/>
          <w:color w:val="000000"/>
          <w:sz w:val="20"/>
          <w:szCs w:val="20"/>
          <w:lang w:val="en-SG"/>
        </w:rPr>
        <w:t>anova</w:t>
      </w:r>
      <w:proofErr w:type="spellEnd"/>
      <w:r w:rsidRPr="00CC621D">
        <w:rPr>
          <w:rFonts w:ascii="Times New Roman" w:hAnsi="Times New Roman" w:cs="Times New Roman"/>
          <w:sz w:val="20"/>
          <w:szCs w:val="20"/>
          <w:lang w:val="en-SG"/>
        </w:rPr>
        <w:t xml:space="preserve"> for comparison of mean score across education levels in FCT Abuja</w:t>
      </w:r>
    </w:p>
    <w:tbl>
      <w:tblPr>
        <w:tblW w:w="7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82"/>
        <w:gridCol w:w="1456"/>
        <w:gridCol w:w="1009"/>
        <w:gridCol w:w="1397"/>
        <w:gridCol w:w="1010"/>
        <w:gridCol w:w="1010"/>
      </w:tblGrid>
      <w:tr w:rsidR="004C3BF7" w:rsidRPr="00CC621D" w:rsidTr="00ED11B1">
        <w:trPr>
          <w:cantSplit/>
          <w:tblHeader/>
          <w:jc w:val="center"/>
        </w:trPr>
        <w:tc>
          <w:tcPr>
            <w:tcW w:w="7564" w:type="dxa"/>
            <w:gridSpan w:val="6"/>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MEANSCORE.GEN.ASSES</w:t>
            </w:r>
          </w:p>
        </w:tc>
      </w:tr>
      <w:tr w:rsidR="004C3BF7" w:rsidRPr="00CC621D" w:rsidTr="00ED11B1">
        <w:trPr>
          <w:cantSplit/>
          <w:tblHeader/>
          <w:jc w:val="center"/>
        </w:trPr>
        <w:tc>
          <w:tcPr>
            <w:tcW w:w="1682"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456"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Sum of Squares</w:t>
            </w:r>
          </w:p>
        </w:tc>
        <w:tc>
          <w:tcPr>
            <w:tcW w:w="1009"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roofErr w:type="spellStart"/>
            <w:r w:rsidRPr="00CC621D">
              <w:rPr>
                <w:rFonts w:ascii="Times New Roman" w:hAnsi="Times New Roman" w:cs="Times New Roman"/>
                <w:sz w:val="20"/>
                <w:szCs w:val="20"/>
              </w:rPr>
              <w:t>df</w:t>
            </w:r>
            <w:proofErr w:type="spellEnd"/>
          </w:p>
        </w:tc>
        <w:tc>
          <w:tcPr>
            <w:tcW w:w="1397"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Mean Square</w:t>
            </w:r>
          </w:p>
        </w:tc>
        <w:tc>
          <w:tcPr>
            <w:tcW w:w="1010"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F</w:t>
            </w:r>
          </w:p>
        </w:tc>
        <w:tc>
          <w:tcPr>
            <w:tcW w:w="1010"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Sig.</w:t>
            </w:r>
          </w:p>
        </w:tc>
      </w:tr>
      <w:tr w:rsidR="004C3BF7" w:rsidRPr="00CC621D" w:rsidTr="00ED11B1">
        <w:trPr>
          <w:cantSplit/>
          <w:tblHeader/>
          <w:jc w:val="center"/>
        </w:trPr>
        <w:tc>
          <w:tcPr>
            <w:tcW w:w="168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Between Groups</w:t>
            </w:r>
          </w:p>
        </w:tc>
        <w:tc>
          <w:tcPr>
            <w:tcW w:w="1456"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2.400</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w:t>
            </w:r>
          </w:p>
        </w:tc>
        <w:tc>
          <w:tcPr>
            <w:tcW w:w="1397"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.600</w:t>
            </w:r>
          </w:p>
        </w:tc>
        <w:tc>
          <w:tcPr>
            <w:tcW w:w="1010"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.971</w:t>
            </w:r>
          </w:p>
        </w:tc>
        <w:tc>
          <w:tcPr>
            <w:tcW w:w="1010"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.423</w:t>
            </w:r>
          </w:p>
        </w:tc>
      </w:tr>
      <w:tr w:rsidR="004C3BF7" w:rsidRPr="00CC621D" w:rsidTr="00ED11B1">
        <w:trPr>
          <w:cantSplit/>
          <w:tblHeader/>
          <w:jc w:val="center"/>
        </w:trPr>
        <w:tc>
          <w:tcPr>
            <w:tcW w:w="168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Within Groups</w:t>
            </w:r>
          </w:p>
        </w:tc>
        <w:tc>
          <w:tcPr>
            <w:tcW w:w="1456"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253.383</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410</w:t>
            </w:r>
          </w:p>
        </w:tc>
        <w:tc>
          <w:tcPr>
            <w:tcW w:w="1397"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.618</w:t>
            </w: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r>
      <w:tr w:rsidR="004C3BF7" w:rsidRPr="00CC621D" w:rsidTr="00ED11B1">
        <w:trPr>
          <w:cantSplit/>
          <w:tblHeader/>
          <w:jc w:val="center"/>
        </w:trPr>
        <w:tc>
          <w:tcPr>
            <w:tcW w:w="168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Total</w:t>
            </w:r>
          </w:p>
        </w:tc>
        <w:tc>
          <w:tcPr>
            <w:tcW w:w="1456"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255.783</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414</w:t>
            </w:r>
          </w:p>
        </w:tc>
        <w:tc>
          <w:tcPr>
            <w:tcW w:w="1397"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r>
      <w:tr w:rsidR="004C3BF7" w:rsidRPr="00CC621D" w:rsidTr="00ED11B1">
        <w:trPr>
          <w:cantSplit/>
          <w:jc w:val="center"/>
        </w:trPr>
        <w:tc>
          <w:tcPr>
            <w:tcW w:w="7564" w:type="dxa"/>
            <w:gridSpan w:val="6"/>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lastRenderedPageBreak/>
              <w:t>a. CITY = Abuja</w:t>
            </w:r>
          </w:p>
        </w:tc>
      </w:tr>
    </w:tbl>
    <w:p w:rsidR="00B903DB" w:rsidRDefault="00B903DB" w:rsidP="00ED11B1">
      <w:pPr>
        <w:autoSpaceDE w:val="0"/>
        <w:autoSpaceDN w:val="0"/>
        <w:adjustRightInd w:val="0"/>
        <w:snapToGrid w:val="0"/>
        <w:spacing w:after="0" w:line="240" w:lineRule="auto"/>
        <w:jc w:val="both"/>
        <w:rPr>
          <w:rFonts w:ascii="Times New Roman" w:hAnsi="Times New Roman" w:cs="Times New Roman"/>
          <w:sz w:val="20"/>
          <w:szCs w:val="20"/>
          <w:lang w:val="en-SG"/>
        </w:rPr>
      </w:pPr>
    </w:p>
    <w:p w:rsidR="00B903DB" w:rsidRDefault="004C3BF7" w:rsidP="00ED11B1">
      <w:pPr>
        <w:autoSpaceDE w:val="0"/>
        <w:autoSpaceDN w:val="0"/>
        <w:adjustRightInd w:val="0"/>
        <w:snapToGrid w:val="0"/>
        <w:spacing w:after="0" w:line="240" w:lineRule="auto"/>
        <w:ind w:firstLine="720"/>
        <w:jc w:val="both"/>
        <w:rPr>
          <w:rFonts w:ascii="Times New Roman" w:hAnsi="Times New Roman" w:cs="Times New Roman"/>
          <w:sz w:val="20"/>
          <w:szCs w:val="20"/>
          <w:lang w:val="en-SG"/>
        </w:rPr>
      </w:pPr>
      <w:r w:rsidRPr="00CC621D">
        <w:rPr>
          <w:rFonts w:ascii="Times New Roman" w:hAnsi="Times New Roman" w:cs="Times New Roman"/>
          <w:sz w:val="20"/>
          <w:szCs w:val="20"/>
          <w:lang w:val="en-SG"/>
        </w:rPr>
        <w:t xml:space="preserve">In </w:t>
      </w:r>
      <w:proofErr w:type="spellStart"/>
      <w:r w:rsidRPr="00CC621D">
        <w:rPr>
          <w:rFonts w:ascii="Times New Roman" w:hAnsi="Times New Roman" w:cs="Times New Roman"/>
          <w:sz w:val="20"/>
          <w:szCs w:val="20"/>
          <w:lang w:val="en-SG"/>
        </w:rPr>
        <w:t>Putrajaya</w:t>
      </w:r>
      <w:proofErr w:type="spellEnd"/>
      <w:r w:rsidRPr="00CC621D">
        <w:rPr>
          <w:rFonts w:ascii="Times New Roman" w:hAnsi="Times New Roman" w:cs="Times New Roman"/>
          <w:sz w:val="20"/>
          <w:szCs w:val="20"/>
          <w:lang w:val="en-SG"/>
        </w:rPr>
        <w:t xml:space="preserve">  it can be seen from Table </w:t>
      </w:r>
      <w:r w:rsidR="00AE4813" w:rsidRPr="00CC621D">
        <w:rPr>
          <w:rFonts w:ascii="Times New Roman" w:hAnsi="Times New Roman" w:cs="Times New Roman"/>
          <w:sz w:val="20"/>
          <w:szCs w:val="20"/>
          <w:lang w:val="en-SG"/>
        </w:rPr>
        <w:t>9</w:t>
      </w:r>
      <w:r w:rsidRPr="00CC621D">
        <w:rPr>
          <w:rFonts w:ascii="Times New Roman" w:hAnsi="Times New Roman" w:cs="Times New Roman"/>
          <w:sz w:val="20"/>
          <w:szCs w:val="20"/>
          <w:lang w:val="en-SG"/>
        </w:rPr>
        <w:t xml:space="preserve">, which shows the descriptive statistics for the mean score across education levels, respondents with university education gave higher scores in the rating (m=4.1184). The results </w:t>
      </w:r>
      <w:r w:rsidR="00B903DB" w:rsidRPr="00CC621D">
        <w:rPr>
          <w:rFonts w:ascii="Times New Roman" w:hAnsi="Times New Roman" w:cs="Times New Roman"/>
          <w:sz w:val="20"/>
          <w:szCs w:val="20"/>
          <w:lang w:val="en-SG"/>
        </w:rPr>
        <w:t>for the A</w:t>
      </w:r>
      <w:r w:rsidR="00AE4813" w:rsidRPr="00CC621D">
        <w:rPr>
          <w:rFonts w:ascii="Times New Roman" w:hAnsi="Times New Roman" w:cs="Times New Roman"/>
          <w:sz w:val="20"/>
          <w:szCs w:val="20"/>
          <w:lang w:val="en-SG"/>
        </w:rPr>
        <w:t xml:space="preserve">nova test in Table 10 </w:t>
      </w:r>
      <w:r w:rsidRPr="00CC621D">
        <w:rPr>
          <w:rFonts w:ascii="Times New Roman" w:hAnsi="Times New Roman" w:cs="Times New Roman"/>
          <w:sz w:val="20"/>
          <w:szCs w:val="20"/>
          <w:lang w:val="en-SG"/>
        </w:rPr>
        <w:t>shows there is a statistical difference, p=0.046</w:t>
      </w:r>
      <w:r w:rsidR="00ED11B1">
        <w:rPr>
          <w:rFonts w:ascii="Times New Roman" w:hAnsi="Times New Roman" w:cs="Times New Roman"/>
          <w:sz w:val="20"/>
          <w:szCs w:val="20"/>
          <w:lang w:val="en-SG"/>
        </w:rPr>
        <w:t>.</w:t>
      </w:r>
    </w:p>
    <w:p w:rsidR="00DE50D8" w:rsidRPr="00CC621D" w:rsidRDefault="00DE50D8" w:rsidP="00ED11B1">
      <w:pPr>
        <w:autoSpaceDE w:val="0"/>
        <w:autoSpaceDN w:val="0"/>
        <w:adjustRightInd w:val="0"/>
        <w:snapToGrid w:val="0"/>
        <w:spacing w:after="0" w:line="240" w:lineRule="auto"/>
        <w:jc w:val="both"/>
        <w:rPr>
          <w:rFonts w:ascii="Times New Roman" w:hAnsi="Times New Roman" w:cs="Times New Roman"/>
          <w:sz w:val="20"/>
          <w:szCs w:val="20"/>
          <w:lang w:val="en-S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67"/>
        <w:gridCol w:w="863"/>
        <w:gridCol w:w="864"/>
        <w:gridCol w:w="1222"/>
        <w:gridCol w:w="911"/>
        <w:gridCol w:w="1226"/>
        <w:gridCol w:w="1269"/>
        <w:gridCol w:w="971"/>
        <w:gridCol w:w="877"/>
      </w:tblGrid>
      <w:tr w:rsidR="004C3BF7" w:rsidRPr="00CC621D" w:rsidTr="00ED11B1">
        <w:trPr>
          <w:cantSplit/>
          <w:tblHeader/>
          <w:jc w:val="center"/>
        </w:trPr>
        <w:tc>
          <w:tcPr>
            <w:tcW w:w="5000" w:type="pct"/>
            <w:gridSpan w:val="9"/>
            <w:shd w:val="clear" w:color="auto" w:fill="FFFFFF"/>
            <w:vAlign w:val="center"/>
          </w:tcPr>
          <w:p w:rsidR="004C3BF7" w:rsidRPr="00CC621D" w:rsidRDefault="00AE4813"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Table 9</w:t>
            </w:r>
            <w:r w:rsidR="004C3BF7" w:rsidRPr="00CC621D">
              <w:rPr>
                <w:rFonts w:ascii="Times New Roman" w:hAnsi="Times New Roman" w:cs="Times New Roman"/>
                <w:sz w:val="20"/>
                <w:szCs w:val="20"/>
              </w:rPr>
              <w:t>: Descriptive statistics of mean score across education levels in Putrajaya</w:t>
            </w:r>
          </w:p>
        </w:tc>
      </w:tr>
      <w:tr w:rsidR="004C3BF7" w:rsidRPr="00CC621D" w:rsidTr="00ED11B1">
        <w:trPr>
          <w:cantSplit/>
          <w:tblHeader/>
          <w:jc w:val="center"/>
        </w:trPr>
        <w:tc>
          <w:tcPr>
            <w:tcW w:w="623" w:type="pct"/>
            <w:vMerge w:val="restart"/>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61"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N</w:t>
            </w:r>
          </w:p>
        </w:tc>
        <w:tc>
          <w:tcPr>
            <w:tcW w:w="461"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Mean</w:t>
            </w:r>
          </w:p>
        </w:tc>
        <w:tc>
          <w:tcPr>
            <w:tcW w:w="652"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Std. Deviation</w:t>
            </w:r>
          </w:p>
        </w:tc>
        <w:tc>
          <w:tcPr>
            <w:tcW w:w="486"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Std. Error</w:t>
            </w:r>
          </w:p>
        </w:tc>
        <w:tc>
          <w:tcPr>
            <w:tcW w:w="1331" w:type="pct"/>
            <w:gridSpan w:val="2"/>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95% Confidence Interval for Mean</w:t>
            </w:r>
          </w:p>
        </w:tc>
        <w:tc>
          <w:tcPr>
            <w:tcW w:w="486"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Minimum</w:t>
            </w:r>
          </w:p>
        </w:tc>
        <w:tc>
          <w:tcPr>
            <w:tcW w:w="500"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Maximum</w:t>
            </w:r>
          </w:p>
        </w:tc>
      </w:tr>
      <w:tr w:rsidR="004C3BF7" w:rsidRPr="00CC621D" w:rsidTr="00ED11B1">
        <w:trPr>
          <w:cantSplit/>
          <w:tblHeader/>
          <w:jc w:val="center"/>
        </w:trPr>
        <w:tc>
          <w:tcPr>
            <w:tcW w:w="611" w:type="pct"/>
            <w:vMerge/>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50"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50"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641"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74"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654" w:type="pc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Lower Bound</w:t>
            </w:r>
          </w:p>
        </w:tc>
        <w:tc>
          <w:tcPr>
            <w:tcW w:w="655" w:type="pc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Upper Bound</w:t>
            </w:r>
          </w:p>
        </w:tc>
        <w:tc>
          <w:tcPr>
            <w:tcW w:w="518"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548"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p>
        </w:tc>
      </w:tr>
      <w:tr w:rsidR="004C3BF7" w:rsidRPr="00CC621D" w:rsidTr="00ED11B1">
        <w:trPr>
          <w:cantSplit/>
          <w:tblHeader/>
          <w:jc w:val="center"/>
        </w:trPr>
        <w:tc>
          <w:tcPr>
            <w:tcW w:w="61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no education</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3.9167</w:t>
            </w:r>
          </w:p>
        </w:tc>
        <w:tc>
          <w:tcPr>
            <w:tcW w:w="64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.11785</w:t>
            </w:r>
          </w:p>
        </w:tc>
        <w:tc>
          <w:tcPr>
            <w:tcW w:w="47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.08333</w:t>
            </w:r>
          </w:p>
        </w:tc>
        <w:tc>
          <w:tcPr>
            <w:tcW w:w="65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2.8578</w:t>
            </w:r>
          </w:p>
        </w:tc>
        <w:tc>
          <w:tcPr>
            <w:tcW w:w="655"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4.9755</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3.83</w:t>
            </w:r>
          </w:p>
        </w:tc>
        <w:tc>
          <w:tcPr>
            <w:tcW w:w="54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4.00</w:t>
            </w:r>
          </w:p>
        </w:tc>
      </w:tr>
      <w:tr w:rsidR="004C3BF7" w:rsidRPr="00CC621D" w:rsidTr="00ED11B1">
        <w:trPr>
          <w:cantSplit/>
          <w:tblHeader/>
          <w:jc w:val="center"/>
        </w:trPr>
        <w:tc>
          <w:tcPr>
            <w:tcW w:w="61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Primary</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6</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3.6944</w:t>
            </w:r>
          </w:p>
        </w:tc>
        <w:tc>
          <w:tcPr>
            <w:tcW w:w="64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.69456</w:t>
            </w:r>
          </w:p>
        </w:tc>
        <w:tc>
          <w:tcPr>
            <w:tcW w:w="47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.28355</w:t>
            </w:r>
          </w:p>
        </w:tc>
        <w:tc>
          <w:tcPr>
            <w:tcW w:w="65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2.9656</w:t>
            </w:r>
          </w:p>
        </w:tc>
        <w:tc>
          <w:tcPr>
            <w:tcW w:w="655"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4.4233</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3.00</w:t>
            </w:r>
          </w:p>
        </w:tc>
        <w:tc>
          <w:tcPr>
            <w:tcW w:w="54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4.83</w:t>
            </w:r>
          </w:p>
        </w:tc>
      </w:tr>
      <w:tr w:rsidR="004C3BF7" w:rsidRPr="00CC621D" w:rsidTr="00ED11B1">
        <w:trPr>
          <w:cantSplit/>
          <w:tblHeader/>
          <w:jc w:val="center"/>
        </w:trPr>
        <w:tc>
          <w:tcPr>
            <w:tcW w:w="61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secondary</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78</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3.8312</w:t>
            </w:r>
          </w:p>
        </w:tc>
        <w:tc>
          <w:tcPr>
            <w:tcW w:w="64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.81848</w:t>
            </w:r>
          </w:p>
        </w:tc>
        <w:tc>
          <w:tcPr>
            <w:tcW w:w="47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.09267</w:t>
            </w:r>
          </w:p>
        </w:tc>
        <w:tc>
          <w:tcPr>
            <w:tcW w:w="65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3.6467</w:t>
            </w:r>
          </w:p>
        </w:tc>
        <w:tc>
          <w:tcPr>
            <w:tcW w:w="655"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4.0157</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1.00</w:t>
            </w:r>
          </w:p>
        </w:tc>
        <w:tc>
          <w:tcPr>
            <w:tcW w:w="54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5.00</w:t>
            </w:r>
          </w:p>
        </w:tc>
      </w:tr>
      <w:tr w:rsidR="004C3BF7" w:rsidRPr="00CC621D" w:rsidTr="00ED11B1">
        <w:trPr>
          <w:cantSplit/>
          <w:tblHeader/>
          <w:jc w:val="center"/>
        </w:trPr>
        <w:tc>
          <w:tcPr>
            <w:tcW w:w="61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college</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117</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4.0399</w:t>
            </w:r>
          </w:p>
        </w:tc>
        <w:tc>
          <w:tcPr>
            <w:tcW w:w="64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.72867</w:t>
            </w:r>
          </w:p>
        </w:tc>
        <w:tc>
          <w:tcPr>
            <w:tcW w:w="47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.06737</w:t>
            </w:r>
          </w:p>
        </w:tc>
        <w:tc>
          <w:tcPr>
            <w:tcW w:w="65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3.9065</w:t>
            </w:r>
          </w:p>
        </w:tc>
        <w:tc>
          <w:tcPr>
            <w:tcW w:w="655"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4.1733</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1.83</w:t>
            </w:r>
          </w:p>
        </w:tc>
        <w:tc>
          <w:tcPr>
            <w:tcW w:w="54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5.00</w:t>
            </w:r>
          </w:p>
        </w:tc>
      </w:tr>
      <w:tr w:rsidR="004C3BF7" w:rsidRPr="00CC621D" w:rsidTr="00ED11B1">
        <w:trPr>
          <w:cantSplit/>
          <w:tblHeader/>
          <w:jc w:val="center"/>
        </w:trPr>
        <w:tc>
          <w:tcPr>
            <w:tcW w:w="61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University</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197</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4.1184</w:t>
            </w:r>
          </w:p>
        </w:tc>
        <w:tc>
          <w:tcPr>
            <w:tcW w:w="64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.71414</w:t>
            </w:r>
          </w:p>
        </w:tc>
        <w:tc>
          <w:tcPr>
            <w:tcW w:w="47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.05088</w:t>
            </w:r>
          </w:p>
        </w:tc>
        <w:tc>
          <w:tcPr>
            <w:tcW w:w="65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4.0181</w:t>
            </w:r>
          </w:p>
        </w:tc>
        <w:tc>
          <w:tcPr>
            <w:tcW w:w="655"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4.2188</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1.00</w:t>
            </w:r>
          </w:p>
        </w:tc>
        <w:tc>
          <w:tcPr>
            <w:tcW w:w="54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5.00</w:t>
            </w:r>
          </w:p>
        </w:tc>
      </w:tr>
      <w:tr w:rsidR="004C3BF7" w:rsidRPr="00CC621D" w:rsidTr="00ED11B1">
        <w:trPr>
          <w:cantSplit/>
          <w:tblHeader/>
          <w:jc w:val="center"/>
        </w:trPr>
        <w:tc>
          <w:tcPr>
            <w:tcW w:w="61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Total</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400</w:t>
            </w:r>
          </w:p>
        </w:tc>
        <w:tc>
          <w:tcPr>
            <w:tcW w:w="450"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4.0321</w:t>
            </w:r>
          </w:p>
        </w:tc>
        <w:tc>
          <w:tcPr>
            <w:tcW w:w="641"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.74406</w:t>
            </w:r>
          </w:p>
        </w:tc>
        <w:tc>
          <w:tcPr>
            <w:tcW w:w="47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.03720</w:t>
            </w:r>
          </w:p>
        </w:tc>
        <w:tc>
          <w:tcPr>
            <w:tcW w:w="654"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3.9589</w:t>
            </w:r>
          </w:p>
        </w:tc>
        <w:tc>
          <w:tcPr>
            <w:tcW w:w="655"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4.1052</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1.00</w:t>
            </w:r>
          </w:p>
        </w:tc>
        <w:tc>
          <w:tcPr>
            <w:tcW w:w="548" w:type="pct"/>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5.00</w:t>
            </w:r>
          </w:p>
        </w:tc>
      </w:tr>
      <w:tr w:rsidR="004C3BF7" w:rsidRPr="00CC621D" w:rsidTr="00ED11B1">
        <w:trPr>
          <w:cantSplit/>
          <w:jc w:val="center"/>
        </w:trPr>
        <w:tc>
          <w:tcPr>
            <w:tcW w:w="5000" w:type="pct"/>
            <w:gridSpan w:val="9"/>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a. CITY = PJ</w:t>
            </w:r>
          </w:p>
        </w:tc>
      </w:tr>
    </w:tbl>
    <w:p w:rsidR="003C1323" w:rsidRPr="00CC621D" w:rsidRDefault="003C1323" w:rsidP="00ED11B1">
      <w:pPr>
        <w:autoSpaceDE w:val="0"/>
        <w:autoSpaceDN w:val="0"/>
        <w:adjustRightInd w:val="0"/>
        <w:snapToGrid w:val="0"/>
        <w:spacing w:after="0" w:line="240" w:lineRule="auto"/>
        <w:rPr>
          <w:rFonts w:ascii="Times New Roman" w:hAnsi="Times New Roman" w:cs="Times New Roman"/>
          <w:sz w:val="20"/>
          <w:szCs w:val="20"/>
          <w:lang w:val="en-SG"/>
        </w:rPr>
      </w:pPr>
    </w:p>
    <w:tbl>
      <w:tblPr>
        <w:tblW w:w="7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82"/>
        <w:gridCol w:w="1456"/>
        <w:gridCol w:w="1009"/>
        <w:gridCol w:w="1397"/>
        <w:gridCol w:w="1010"/>
        <w:gridCol w:w="1010"/>
      </w:tblGrid>
      <w:tr w:rsidR="004C3BF7" w:rsidRPr="00CC621D" w:rsidTr="00ED11B1">
        <w:trPr>
          <w:cantSplit/>
          <w:tblHeader/>
          <w:jc w:val="center"/>
        </w:trPr>
        <w:tc>
          <w:tcPr>
            <w:tcW w:w="7562" w:type="dxa"/>
            <w:gridSpan w:val="6"/>
            <w:shd w:val="clear" w:color="auto" w:fill="FFFFFF"/>
            <w:vAlign w:val="center"/>
          </w:tcPr>
          <w:p w:rsidR="004C3BF7" w:rsidRPr="00CC621D" w:rsidRDefault="004C3BF7" w:rsidP="00ED11B1">
            <w:pPr>
              <w:autoSpaceDE w:val="0"/>
              <w:autoSpaceDN w:val="0"/>
              <w:adjustRightInd w:val="0"/>
              <w:snapToGrid w:val="0"/>
              <w:spacing w:after="0" w:line="240" w:lineRule="auto"/>
              <w:rPr>
                <w:rFonts w:ascii="Times New Roman" w:hAnsi="Times New Roman" w:cs="Times New Roman"/>
                <w:color w:val="000000"/>
                <w:sz w:val="20"/>
                <w:szCs w:val="20"/>
                <w:lang w:val="en-SG"/>
              </w:rPr>
            </w:pPr>
          </w:p>
        </w:tc>
      </w:tr>
      <w:tr w:rsidR="004C3BF7" w:rsidRPr="00CC621D" w:rsidTr="00ED11B1">
        <w:trPr>
          <w:cantSplit/>
          <w:tblHeader/>
          <w:jc w:val="center"/>
        </w:trPr>
        <w:tc>
          <w:tcPr>
            <w:tcW w:w="7562" w:type="dxa"/>
            <w:gridSpan w:val="6"/>
            <w:shd w:val="clear" w:color="auto" w:fill="FFFFFF"/>
            <w:vAlign w:val="bottom"/>
          </w:tcPr>
          <w:p w:rsidR="004C3BF7" w:rsidRPr="00CC621D" w:rsidRDefault="00AE4813"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Table 10</w:t>
            </w:r>
            <w:r w:rsidR="004C3BF7" w:rsidRPr="00CC621D">
              <w:rPr>
                <w:rFonts w:ascii="Times New Roman" w:hAnsi="Times New Roman" w:cs="Times New Roman"/>
                <w:sz w:val="20"/>
                <w:szCs w:val="20"/>
              </w:rPr>
              <w:t xml:space="preserve">: Results of </w:t>
            </w:r>
            <w:proofErr w:type="spellStart"/>
            <w:r w:rsidR="004C3BF7" w:rsidRPr="00CC621D">
              <w:rPr>
                <w:rFonts w:ascii="Times New Roman" w:hAnsi="Times New Roman" w:cs="Times New Roman"/>
                <w:bCs/>
                <w:color w:val="000000"/>
                <w:sz w:val="20"/>
                <w:szCs w:val="20"/>
              </w:rPr>
              <w:t>anova</w:t>
            </w:r>
            <w:proofErr w:type="spellEnd"/>
            <w:r w:rsidR="004C3BF7" w:rsidRPr="00CC621D">
              <w:rPr>
                <w:rFonts w:ascii="Times New Roman" w:hAnsi="Times New Roman" w:cs="Times New Roman"/>
                <w:sz w:val="20"/>
                <w:szCs w:val="20"/>
              </w:rPr>
              <w:t xml:space="preserve"> for comparison of mean score across education levels in Putrajaya</w:t>
            </w:r>
          </w:p>
        </w:tc>
      </w:tr>
      <w:tr w:rsidR="004C3BF7" w:rsidRPr="00CC621D" w:rsidTr="00ED11B1">
        <w:trPr>
          <w:cantSplit/>
          <w:tblHeader/>
          <w:jc w:val="center"/>
        </w:trPr>
        <w:tc>
          <w:tcPr>
            <w:tcW w:w="1681"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455"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Sum of Squares</w:t>
            </w:r>
          </w:p>
        </w:tc>
        <w:tc>
          <w:tcPr>
            <w:tcW w:w="1009"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roofErr w:type="spellStart"/>
            <w:r w:rsidRPr="00CC621D">
              <w:rPr>
                <w:rFonts w:ascii="Times New Roman" w:hAnsi="Times New Roman" w:cs="Times New Roman"/>
                <w:color w:val="000000"/>
                <w:sz w:val="20"/>
                <w:szCs w:val="20"/>
              </w:rPr>
              <w:t>df</w:t>
            </w:r>
            <w:proofErr w:type="spellEnd"/>
          </w:p>
        </w:tc>
        <w:tc>
          <w:tcPr>
            <w:tcW w:w="1397"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Mean Square</w:t>
            </w:r>
          </w:p>
        </w:tc>
        <w:tc>
          <w:tcPr>
            <w:tcW w:w="1010"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F</w:t>
            </w:r>
          </w:p>
        </w:tc>
        <w:tc>
          <w:tcPr>
            <w:tcW w:w="1010"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Sig.</w:t>
            </w:r>
          </w:p>
        </w:tc>
      </w:tr>
      <w:tr w:rsidR="004C3BF7" w:rsidRPr="00CC621D" w:rsidTr="00ED11B1">
        <w:trPr>
          <w:cantSplit/>
          <w:tblHeader/>
          <w:jc w:val="center"/>
        </w:trPr>
        <w:tc>
          <w:tcPr>
            <w:tcW w:w="1681"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Between Groups</w:t>
            </w:r>
          </w:p>
        </w:tc>
        <w:tc>
          <w:tcPr>
            <w:tcW w:w="1455"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5.335</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w:t>
            </w:r>
          </w:p>
        </w:tc>
        <w:tc>
          <w:tcPr>
            <w:tcW w:w="1397"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1.334</w:t>
            </w:r>
          </w:p>
        </w:tc>
        <w:tc>
          <w:tcPr>
            <w:tcW w:w="1010"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2.444</w:t>
            </w:r>
          </w:p>
        </w:tc>
        <w:tc>
          <w:tcPr>
            <w:tcW w:w="1010"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.046</w:t>
            </w:r>
          </w:p>
        </w:tc>
      </w:tr>
      <w:tr w:rsidR="004C3BF7" w:rsidRPr="00CC621D" w:rsidTr="00ED11B1">
        <w:trPr>
          <w:cantSplit/>
          <w:tblHeader/>
          <w:jc w:val="center"/>
        </w:trPr>
        <w:tc>
          <w:tcPr>
            <w:tcW w:w="1681"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Within Groups</w:t>
            </w:r>
          </w:p>
        </w:tc>
        <w:tc>
          <w:tcPr>
            <w:tcW w:w="1455"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215.559</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395</w:t>
            </w:r>
          </w:p>
        </w:tc>
        <w:tc>
          <w:tcPr>
            <w:tcW w:w="1397"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.546</w:t>
            </w: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r>
      <w:tr w:rsidR="004C3BF7" w:rsidRPr="00CC621D" w:rsidTr="00ED11B1">
        <w:trPr>
          <w:cantSplit/>
          <w:tblHeader/>
          <w:jc w:val="center"/>
        </w:trPr>
        <w:tc>
          <w:tcPr>
            <w:tcW w:w="1681"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Total</w:t>
            </w:r>
          </w:p>
        </w:tc>
        <w:tc>
          <w:tcPr>
            <w:tcW w:w="1455"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220.894</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399</w:t>
            </w:r>
          </w:p>
        </w:tc>
        <w:tc>
          <w:tcPr>
            <w:tcW w:w="1397"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r>
      <w:tr w:rsidR="004C3BF7" w:rsidRPr="00CC621D" w:rsidTr="00ED11B1">
        <w:trPr>
          <w:cantSplit/>
          <w:jc w:val="center"/>
        </w:trPr>
        <w:tc>
          <w:tcPr>
            <w:tcW w:w="7562" w:type="dxa"/>
            <w:gridSpan w:val="6"/>
            <w:shd w:val="clear" w:color="auto" w:fill="FFFFFF"/>
          </w:tcPr>
          <w:p w:rsidR="004C3BF7" w:rsidRPr="00CC621D" w:rsidRDefault="004C3BF7" w:rsidP="00ED11B1">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lang w:val="en-SG"/>
              </w:rPr>
            </w:pPr>
            <w:r w:rsidRPr="00CC621D">
              <w:rPr>
                <w:rFonts w:ascii="Times New Roman" w:hAnsi="Times New Roman" w:cs="Times New Roman"/>
                <w:color w:val="000000"/>
                <w:sz w:val="20"/>
                <w:szCs w:val="20"/>
                <w:lang w:val="en-SG"/>
              </w:rPr>
              <w:t>a. CITY = PJ</w:t>
            </w:r>
          </w:p>
        </w:tc>
      </w:tr>
    </w:tbl>
    <w:p w:rsidR="00B903DB" w:rsidRDefault="00B903DB" w:rsidP="00ED11B1">
      <w:pPr>
        <w:autoSpaceDE w:val="0"/>
        <w:autoSpaceDN w:val="0"/>
        <w:adjustRightInd w:val="0"/>
        <w:snapToGrid w:val="0"/>
        <w:spacing w:after="0" w:line="240" w:lineRule="auto"/>
        <w:jc w:val="both"/>
        <w:rPr>
          <w:rFonts w:ascii="Times New Roman" w:hAnsi="Times New Roman" w:cs="Times New Roman"/>
          <w:sz w:val="20"/>
          <w:szCs w:val="20"/>
          <w:lang w:val="en-SG"/>
        </w:rPr>
      </w:pPr>
    </w:p>
    <w:p w:rsidR="004C3BF7" w:rsidRPr="00CC621D" w:rsidRDefault="004C3BF7" w:rsidP="00ED11B1">
      <w:pPr>
        <w:autoSpaceDE w:val="0"/>
        <w:autoSpaceDN w:val="0"/>
        <w:adjustRightInd w:val="0"/>
        <w:snapToGrid w:val="0"/>
        <w:spacing w:after="0" w:line="240" w:lineRule="auto"/>
        <w:ind w:firstLine="720"/>
        <w:jc w:val="both"/>
        <w:rPr>
          <w:rFonts w:ascii="Times New Roman" w:hAnsi="Times New Roman" w:cs="Times New Roman"/>
          <w:sz w:val="20"/>
          <w:szCs w:val="20"/>
          <w:lang w:val="en-SG"/>
        </w:rPr>
      </w:pPr>
      <w:r w:rsidRPr="00CC621D">
        <w:rPr>
          <w:rFonts w:ascii="Times New Roman" w:hAnsi="Times New Roman" w:cs="Times New Roman"/>
          <w:sz w:val="20"/>
          <w:szCs w:val="20"/>
          <w:lang w:val="en-SG"/>
        </w:rPr>
        <w:t xml:space="preserve">In FCT Abuja it can be seen from Table </w:t>
      </w:r>
      <w:r w:rsidR="00AE4813" w:rsidRPr="00CC621D">
        <w:rPr>
          <w:rFonts w:ascii="Times New Roman" w:hAnsi="Times New Roman" w:cs="Times New Roman"/>
          <w:sz w:val="20"/>
          <w:szCs w:val="20"/>
          <w:lang w:val="en-SG"/>
        </w:rPr>
        <w:t>11</w:t>
      </w:r>
      <w:r w:rsidRPr="00CC621D">
        <w:rPr>
          <w:rFonts w:ascii="Times New Roman" w:hAnsi="Times New Roman" w:cs="Times New Roman"/>
          <w:sz w:val="20"/>
          <w:szCs w:val="20"/>
          <w:lang w:val="en-SG"/>
        </w:rPr>
        <w:t xml:space="preserve">, which shows the descriptive statistics for the mean score across income levels, respondents earning between 20,001-40,000 Naira, gave higher scores in the rating, but there were no large differences in the mean score between the different income levels. The results for the </w:t>
      </w:r>
      <w:proofErr w:type="spellStart"/>
      <w:r w:rsidRPr="00CC621D">
        <w:rPr>
          <w:rFonts w:ascii="Times New Roman" w:hAnsi="Times New Roman" w:cs="Times New Roman"/>
          <w:sz w:val="20"/>
          <w:szCs w:val="20"/>
          <w:lang w:val="en-SG"/>
        </w:rPr>
        <w:t>anova</w:t>
      </w:r>
      <w:proofErr w:type="spellEnd"/>
      <w:r w:rsidRPr="00CC621D">
        <w:rPr>
          <w:rFonts w:ascii="Times New Roman" w:hAnsi="Times New Roman" w:cs="Times New Roman"/>
          <w:sz w:val="20"/>
          <w:szCs w:val="20"/>
          <w:lang w:val="en-SG"/>
        </w:rPr>
        <w:t xml:space="preserve"> test in Table </w:t>
      </w:r>
      <w:r w:rsidR="00AE4813" w:rsidRPr="00CC621D">
        <w:rPr>
          <w:rFonts w:ascii="Times New Roman" w:hAnsi="Times New Roman" w:cs="Times New Roman"/>
          <w:sz w:val="20"/>
          <w:szCs w:val="20"/>
          <w:lang w:val="en-SG"/>
        </w:rPr>
        <w:t>12</w:t>
      </w:r>
      <w:r w:rsidRPr="00CC621D">
        <w:rPr>
          <w:rFonts w:ascii="Times New Roman" w:hAnsi="Times New Roman" w:cs="Times New Roman"/>
          <w:sz w:val="20"/>
          <w:szCs w:val="20"/>
          <w:lang w:val="en-SG"/>
        </w:rPr>
        <w:t xml:space="preserve"> shows there was no statistical significant difference; p= 0.446.</w:t>
      </w:r>
    </w:p>
    <w:p w:rsidR="004C3BF7" w:rsidRPr="00CC621D" w:rsidRDefault="004C3BF7" w:rsidP="00ED11B1">
      <w:pPr>
        <w:pStyle w:val="NoSpacing"/>
        <w:adjustRightInd w:val="0"/>
        <w:snapToGrid w:val="0"/>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30"/>
        <w:gridCol w:w="819"/>
        <w:gridCol w:w="818"/>
        <w:gridCol w:w="1162"/>
        <w:gridCol w:w="864"/>
        <w:gridCol w:w="1150"/>
        <w:gridCol w:w="1218"/>
        <w:gridCol w:w="965"/>
        <w:gridCol w:w="844"/>
      </w:tblGrid>
      <w:tr w:rsidR="004C3BF7" w:rsidRPr="00CC621D" w:rsidTr="00ED11B1">
        <w:trPr>
          <w:cantSplit/>
          <w:tblHeader/>
        </w:trPr>
        <w:tc>
          <w:tcPr>
            <w:tcW w:w="5000" w:type="pct"/>
            <w:gridSpan w:val="9"/>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bCs/>
                <w:color w:val="000000"/>
                <w:sz w:val="20"/>
                <w:szCs w:val="20"/>
              </w:rPr>
            </w:pPr>
            <w:r w:rsidRPr="00CC621D">
              <w:rPr>
                <w:rFonts w:ascii="Times New Roman" w:hAnsi="Times New Roman" w:cs="Times New Roman"/>
                <w:bCs/>
                <w:color w:val="000000"/>
                <w:sz w:val="20"/>
                <w:szCs w:val="20"/>
              </w:rPr>
              <w:t xml:space="preserve">Table </w:t>
            </w:r>
            <w:r w:rsidR="00AE4813" w:rsidRPr="00CC621D">
              <w:rPr>
                <w:rFonts w:ascii="Times New Roman" w:hAnsi="Times New Roman" w:cs="Times New Roman"/>
                <w:bCs/>
                <w:color w:val="000000"/>
                <w:sz w:val="20"/>
                <w:szCs w:val="20"/>
              </w:rPr>
              <w:t>11</w:t>
            </w:r>
            <w:r w:rsidRPr="00CC621D">
              <w:rPr>
                <w:rFonts w:ascii="Times New Roman" w:hAnsi="Times New Roman" w:cs="Times New Roman"/>
                <w:bCs/>
                <w:color w:val="000000"/>
                <w:sz w:val="20"/>
                <w:szCs w:val="20"/>
              </w:rPr>
              <w:t>: Descriptive statistics of mean score across income levels FCT Abuja</w:t>
            </w:r>
          </w:p>
        </w:tc>
      </w:tr>
      <w:tr w:rsidR="004C3BF7" w:rsidRPr="00CC621D" w:rsidTr="00ED11B1">
        <w:trPr>
          <w:cantSplit/>
          <w:tblHeader/>
        </w:trPr>
        <w:tc>
          <w:tcPr>
            <w:tcW w:w="820" w:type="pct"/>
            <w:vMerge w:val="restart"/>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41"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N</w:t>
            </w:r>
          </w:p>
        </w:tc>
        <w:tc>
          <w:tcPr>
            <w:tcW w:w="440"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Mean</w:t>
            </w:r>
          </w:p>
        </w:tc>
        <w:tc>
          <w:tcPr>
            <w:tcW w:w="623"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Std. Deviation</w:t>
            </w:r>
          </w:p>
        </w:tc>
        <w:tc>
          <w:tcPr>
            <w:tcW w:w="464"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Std. Error</w:t>
            </w:r>
          </w:p>
        </w:tc>
        <w:tc>
          <w:tcPr>
            <w:tcW w:w="1270" w:type="pct"/>
            <w:gridSpan w:val="2"/>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95% Confidence Interval for Mean</w:t>
            </w:r>
          </w:p>
        </w:tc>
        <w:tc>
          <w:tcPr>
            <w:tcW w:w="464"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Minimum</w:t>
            </w:r>
          </w:p>
        </w:tc>
        <w:tc>
          <w:tcPr>
            <w:tcW w:w="478"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Maximum</w:t>
            </w:r>
          </w:p>
        </w:tc>
      </w:tr>
      <w:tr w:rsidR="004C3BF7" w:rsidRPr="00CC621D" w:rsidTr="00ED11B1">
        <w:trPr>
          <w:cantSplit/>
          <w:tblHeader/>
        </w:trPr>
        <w:tc>
          <w:tcPr>
            <w:tcW w:w="802" w:type="pct"/>
            <w:vMerge/>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423"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422"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605"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446"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617" w:type="pc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Lower Bound</w:t>
            </w:r>
          </w:p>
        </w:tc>
        <w:tc>
          <w:tcPr>
            <w:tcW w:w="617" w:type="pc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Upper Bound</w:t>
            </w:r>
          </w:p>
        </w:tc>
        <w:tc>
          <w:tcPr>
            <w:tcW w:w="518"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548"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r>
      <w:tr w:rsidR="004C3BF7" w:rsidRPr="00CC621D" w:rsidTr="00ED11B1">
        <w:trPr>
          <w:cantSplit/>
          <w:tblHeader/>
        </w:trPr>
        <w:tc>
          <w:tcPr>
            <w:tcW w:w="80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Below-20,000</w:t>
            </w:r>
          </w:p>
        </w:tc>
        <w:tc>
          <w:tcPr>
            <w:tcW w:w="42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34</w:t>
            </w:r>
          </w:p>
        </w:tc>
        <w:tc>
          <w:tcPr>
            <w:tcW w:w="42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2.5196</w:t>
            </w:r>
          </w:p>
        </w:tc>
        <w:tc>
          <w:tcPr>
            <w:tcW w:w="605"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.83259</w:t>
            </w:r>
          </w:p>
        </w:tc>
        <w:tc>
          <w:tcPr>
            <w:tcW w:w="4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.14279</w:t>
            </w:r>
          </w:p>
        </w:tc>
        <w:tc>
          <w:tcPr>
            <w:tcW w:w="61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2.2291</w:t>
            </w:r>
          </w:p>
        </w:tc>
        <w:tc>
          <w:tcPr>
            <w:tcW w:w="61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2.8101</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54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4.83</w:t>
            </w:r>
          </w:p>
        </w:tc>
      </w:tr>
      <w:tr w:rsidR="004C3BF7" w:rsidRPr="00CC621D" w:rsidTr="00ED11B1">
        <w:trPr>
          <w:cantSplit/>
          <w:tblHeader/>
        </w:trPr>
        <w:tc>
          <w:tcPr>
            <w:tcW w:w="80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20,001-40,000</w:t>
            </w:r>
          </w:p>
        </w:tc>
        <w:tc>
          <w:tcPr>
            <w:tcW w:w="42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70</w:t>
            </w:r>
          </w:p>
        </w:tc>
        <w:tc>
          <w:tcPr>
            <w:tcW w:w="42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2.6714</w:t>
            </w:r>
          </w:p>
        </w:tc>
        <w:tc>
          <w:tcPr>
            <w:tcW w:w="605"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.76031</w:t>
            </w:r>
          </w:p>
        </w:tc>
        <w:tc>
          <w:tcPr>
            <w:tcW w:w="4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.09087</w:t>
            </w:r>
          </w:p>
        </w:tc>
        <w:tc>
          <w:tcPr>
            <w:tcW w:w="61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2.4901</w:t>
            </w:r>
          </w:p>
        </w:tc>
        <w:tc>
          <w:tcPr>
            <w:tcW w:w="61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2.8527</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54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4.83</w:t>
            </w:r>
          </w:p>
        </w:tc>
      </w:tr>
      <w:tr w:rsidR="004C3BF7" w:rsidRPr="00CC621D" w:rsidTr="00ED11B1">
        <w:trPr>
          <w:cantSplit/>
          <w:tblHeader/>
        </w:trPr>
        <w:tc>
          <w:tcPr>
            <w:tcW w:w="80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40,001-80,000</w:t>
            </w:r>
          </w:p>
        </w:tc>
        <w:tc>
          <w:tcPr>
            <w:tcW w:w="42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104</w:t>
            </w:r>
          </w:p>
        </w:tc>
        <w:tc>
          <w:tcPr>
            <w:tcW w:w="42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2.6538</w:t>
            </w:r>
          </w:p>
        </w:tc>
        <w:tc>
          <w:tcPr>
            <w:tcW w:w="605"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.83242</w:t>
            </w:r>
          </w:p>
        </w:tc>
        <w:tc>
          <w:tcPr>
            <w:tcW w:w="4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.08163</w:t>
            </w:r>
          </w:p>
        </w:tc>
        <w:tc>
          <w:tcPr>
            <w:tcW w:w="61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2.4920</w:t>
            </w:r>
          </w:p>
        </w:tc>
        <w:tc>
          <w:tcPr>
            <w:tcW w:w="61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2.8157</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54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w:t>
            </w:r>
          </w:p>
        </w:tc>
      </w:tr>
      <w:tr w:rsidR="004C3BF7" w:rsidRPr="00CC621D" w:rsidTr="00ED11B1">
        <w:trPr>
          <w:cantSplit/>
          <w:tblHeader/>
        </w:trPr>
        <w:tc>
          <w:tcPr>
            <w:tcW w:w="80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80,001-100,000</w:t>
            </w:r>
          </w:p>
        </w:tc>
        <w:tc>
          <w:tcPr>
            <w:tcW w:w="42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77</w:t>
            </w:r>
          </w:p>
        </w:tc>
        <w:tc>
          <w:tcPr>
            <w:tcW w:w="42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2.4827</w:t>
            </w:r>
          </w:p>
        </w:tc>
        <w:tc>
          <w:tcPr>
            <w:tcW w:w="605"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.68856</w:t>
            </w:r>
          </w:p>
        </w:tc>
        <w:tc>
          <w:tcPr>
            <w:tcW w:w="4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.07847</w:t>
            </w:r>
          </w:p>
        </w:tc>
        <w:tc>
          <w:tcPr>
            <w:tcW w:w="61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2.3264</w:t>
            </w:r>
          </w:p>
        </w:tc>
        <w:tc>
          <w:tcPr>
            <w:tcW w:w="61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2.6390</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54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4.00</w:t>
            </w:r>
          </w:p>
        </w:tc>
      </w:tr>
      <w:tr w:rsidR="004C3BF7" w:rsidRPr="00CC621D" w:rsidTr="00ED11B1">
        <w:trPr>
          <w:cantSplit/>
          <w:tblHeader/>
        </w:trPr>
        <w:tc>
          <w:tcPr>
            <w:tcW w:w="80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100,001 and above</w:t>
            </w:r>
          </w:p>
        </w:tc>
        <w:tc>
          <w:tcPr>
            <w:tcW w:w="42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126</w:t>
            </w:r>
          </w:p>
        </w:tc>
        <w:tc>
          <w:tcPr>
            <w:tcW w:w="42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2.5317</w:t>
            </w:r>
          </w:p>
        </w:tc>
        <w:tc>
          <w:tcPr>
            <w:tcW w:w="605"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.80075</w:t>
            </w:r>
          </w:p>
        </w:tc>
        <w:tc>
          <w:tcPr>
            <w:tcW w:w="4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.07134</w:t>
            </w:r>
          </w:p>
        </w:tc>
        <w:tc>
          <w:tcPr>
            <w:tcW w:w="61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2.3906</w:t>
            </w:r>
          </w:p>
        </w:tc>
        <w:tc>
          <w:tcPr>
            <w:tcW w:w="61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2.6729</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54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4.00</w:t>
            </w:r>
          </w:p>
        </w:tc>
      </w:tr>
      <w:tr w:rsidR="004C3BF7" w:rsidRPr="00CC621D" w:rsidTr="00ED11B1">
        <w:trPr>
          <w:cantSplit/>
          <w:tblHeader/>
        </w:trPr>
        <w:tc>
          <w:tcPr>
            <w:tcW w:w="80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Total</w:t>
            </w:r>
          </w:p>
        </w:tc>
        <w:tc>
          <w:tcPr>
            <w:tcW w:w="423"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411</w:t>
            </w:r>
          </w:p>
        </w:tc>
        <w:tc>
          <w:tcPr>
            <w:tcW w:w="42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2.5762</w:t>
            </w:r>
          </w:p>
        </w:tc>
        <w:tc>
          <w:tcPr>
            <w:tcW w:w="605"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.78494</w:t>
            </w:r>
          </w:p>
        </w:tc>
        <w:tc>
          <w:tcPr>
            <w:tcW w:w="4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.03872</w:t>
            </w:r>
          </w:p>
        </w:tc>
        <w:tc>
          <w:tcPr>
            <w:tcW w:w="61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2.5001</w:t>
            </w:r>
          </w:p>
        </w:tc>
        <w:tc>
          <w:tcPr>
            <w:tcW w:w="617"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2.6523</w:t>
            </w:r>
          </w:p>
        </w:tc>
        <w:tc>
          <w:tcPr>
            <w:tcW w:w="51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54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w:t>
            </w:r>
          </w:p>
        </w:tc>
      </w:tr>
      <w:tr w:rsidR="004C3BF7" w:rsidRPr="00CC621D" w:rsidTr="00ED11B1">
        <w:trPr>
          <w:cantSplit/>
        </w:trPr>
        <w:tc>
          <w:tcPr>
            <w:tcW w:w="5000" w:type="pct"/>
            <w:gridSpan w:val="9"/>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a. CITY = Abuja</w:t>
            </w:r>
          </w:p>
        </w:tc>
      </w:tr>
    </w:tbl>
    <w:p w:rsidR="004C3BF7" w:rsidRPr="00CC621D" w:rsidRDefault="004C3BF7" w:rsidP="00ED11B1">
      <w:pPr>
        <w:pStyle w:val="NoSpacing"/>
        <w:adjustRightInd w:val="0"/>
        <w:snapToGrid w:val="0"/>
        <w:rPr>
          <w:rFonts w:ascii="Times New Roman" w:hAnsi="Times New Roman" w:cs="Times New Roman"/>
          <w:sz w:val="20"/>
          <w:szCs w:val="20"/>
        </w:rPr>
      </w:pPr>
    </w:p>
    <w:tbl>
      <w:tblPr>
        <w:tblW w:w="7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82"/>
        <w:gridCol w:w="1456"/>
        <w:gridCol w:w="1009"/>
        <w:gridCol w:w="1397"/>
        <w:gridCol w:w="1010"/>
        <w:gridCol w:w="1010"/>
      </w:tblGrid>
      <w:tr w:rsidR="004C3BF7" w:rsidRPr="00CC621D" w:rsidTr="00ED11B1">
        <w:trPr>
          <w:cantSplit/>
          <w:tblHeader/>
          <w:jc w:val="center"/>
        </w:trPr>
        <w:tc>
          <w:tcPr>
            <w:tcW w:w="7564" w:type="dxa"/>
            <w:gridSpan w:val="6"/>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 xml:space="preserve">Table </w:t>
            </w:r>
            <w:r w:rsidR="00AE4813" w:rsidRPr="00CC621D">
              <w:rPr>
                <w:rFonts w:ascii="Times New Roman" w:hAnsi="Times New Roman" w:cs="Times New Roman"/>
                <w:sz w:val="20"/>
                <w:szCs w:val="20"/>
              </w:rPr>
              <w:t>12</w:t>
            </w:r>
            <w:r w:rsidRPr="00CC621D">
              <w:rPr>
                <w:rFonts w:ascii="Times New Roman" w:hAnsi="Times New Roman" w:cs="Times New Roman"/>
                <w:sz w:val="20"/>
                <w:szCs w:val="20"/>
              </w:rPr>
              <w:t xml:space="preserve">: Results of </w:t>
            </w:r>
            <w:proofErr w:type="spellStart"/>
            <w:r w:rsidRPr="00CC621D">
              <w:rPr>
                <w:rFonts w:ascii="Times New Roman" w:hAnsi="Times New Roman" w:cs="Times New Roman"/>
                <w:bCs/>
                <w:color w:val="000000"/>
                <w:sz w:val="20"/>
                <w:szCs w:val="20"/>
              </w:rPr>
              <w:t>anova</w:t>
            </w:r>
            <w:proofErr w:type="spellEnd"/>
            <w:r w:rsidRPr="00CC621D">
              <w:rPr>
                <w:rFonts w:ascii="Times New Roman" w:hAnsi="Times New Roman" w:cs="Times New Roman"/>
                <w:sz w:val="20"/>
                <w:szCs w:val="20"/>
              </w:rPr>
              <w:t xml:space="preserve"> for comparison of mean score across income levels in FCT Abuja</w:t>
            </w:r>
          </w:p>
        </w:tc>
      </w:tr>
      <w:tr w:rsidR="004C3BF7" w:rsidRPr="00CC621D" w:rsidTr="00ED11B1">
        <w:trPr>
          <w:cantSplit/>
          <w:tblHeader/>
          <w:jc w:val="center"/>
        </w:trPr>
        <w:tc>
          <w:tcPr>
            <w:tcW w:w="1681"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455"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Sum of Squares</w:t>
            </w:r>
          </w:p>
        </w:tc>
        <w:tc>
          <w:tcPr>
            <w:tcW w:w="1009"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roofErr w:type="spellStart"/>
            <w:r w:rsidRPr="00CC621D">
              <w:rPr>
                <w:rFonts w:ascii="Times New Roman" w:hAnsi="Times New Roman" w:cs="Times New Roman"/>
                <w:color w:val="000000"/>
                <w:sz w:val="20"/>
                <w:szCs w:val="20"/>
              </w:rPr>
              <w:t>df</w:t>
            </w:r>
            <w:proofErr w:type="spellEnd"/>
          </w:p>
        </w:tc>
        <w:tc>
          <w:tcPr>
            <w:tcW w:w="1397"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Mean Square</w:t>
            </w:r>
          </w:p>
        </w:tc>
        <w:tc>
          <w:tcPr>
            <w:tcW w:w="1010"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F</w:t>
            </w:r>
          </w:p>
        </w:tc>
        <w:tc>
          <w:tcPr>
            <w:tcW w:w="1010"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Sig.</w:t>
            </w:r>
          </w:p>
        </w:tc>
      </w:tr>
      <w:tr w:rsidR="004C3BF7" w:rsidRPr="00CC621D" w:rsidTr="00ED11B1">
        <w:trPr>
          <w:cantSplit/>
          <w:tblHeader/>
          <w:jc w:val="center"/>
        </w:trPr>
        <w:tc>
          <w:tcPr>
            <w:tcW w:w="1682"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Between Groups</w:t>
            </w:r>
          </w:p>
        </w:tc>
        <w:tc>
          <w:tcPr>
            <w:tcW w:w="1456"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2.293</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w:t>
            </w:r>
          </w:p>
        </w:tc>
        <w:tc>
          <w:tcPr>
            <w:tcW w:w="1397"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.573</w:t>
            </w:r>
          </w:p>
        </w:tc>
        <w:tc>
          <w:tcPr>
            <w:tcW w:w="1010"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.930</w:t>
            </w:r>
          </w:p>
        </w:tc>
        <w:tc>
          <w:tcPr>
            <w:tcW w:w="1010"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.446</w:t>
            </w:r>
          </w:p>
        </w:tc>
      </w:tr>
      <w:tr w:rsidR="004C3BF7" w:rsidRPr="00CC621D" w:rsidTr="00ED11B1">
        <w:trPr>
          <w:cantSplit/>
          <w:tblHeader/>
          <w:jc w:val="center"/>
        </w:trPr>
        <w:tc>
          <w:tcPr>
            <w:tcW w:w="1682"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Within Groups</w:t>
            </w:r>
          </w:p>
        </w:tc>
        <w:tc>
          <w:tcPr>
            <w:tcW w:w="1456"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250.318</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406</w:t>
            </w:r>
          </w:p>
        </w:tc>
        <w:tc>
          <w:tcPr>
            <w:tcW w:w="1397"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.617</w:t>
            </w: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r>
      <w:tr w:rsidR="004C3BF7" w:rsidRPr="00CC621D" w:rsidTr="00ED11B1">
        <w:trPr>
          <w:cantSplit/>
          <w:tblHeader/>
          <w:jc w:val="center"/>
        </w:trPr>
        <w:tc>
          <w:tcPr>
            <w:tcW w:w="1682"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Total</w:t>
            </w:r>
          </w:p>
        </w:tc>
        <w:tc>
          <w:tcPr>
            <w:tcW w:w="1456"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252.611</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410</w:t>
            </w:r>
          </w:p>
        </w:tc>
        <w:tc>
          <w:tcPr>
            <w:tcW w:w="1397"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r>
      <w:tr w:rsidR="004C3BF7" w:rsidRPr="00CC621D" w:rsidTr="00ED11B1">
        <w:trPr>
          <w:cantSplit/>
          <w:jc w:val="center"/>
        </w:trPr>
        <w:tc>
          <w:tcPr>
            <w:tcW w:w="7564" w:type="dxa"/>
            <w:gridSpan w:val="6"/>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a. CITY = Abuja</w:t>
            </w:r>
          </w:p>
        </w:tc>
      </w:tr>
    </w:tbl>
    <w:p w:rsidR="004C3BF7" w:rsidRPr="00CC621D" w:rsidRDefault="004C3BF7" w:rsidP="00ED11B1">
      <w:pPr>
        <w:pStyle w:val="NoSpacing"/>
        <w:adjustRightInd w:val="0"/>
        <w:snapToGrid w:val="0"/>
        <w:rPr>
          <w:rFonts w:ascii="Times New Roman" w:hAnsi="Times New Roman" w:cs="Times New Roman"/>
          <w:sz w:val="20"/>
          <w:szCs w:val="20"/>
        </w:rPr>
      </w:pPr>
    </w:p>
    <w:p w:rsidR="004C3BF7" w:rsidRPr="00CC621D" w:rsidRDefault="004C3BF7" w:rsidP="00ED11B1">
      <w:pPr>
        <w:pStyle w:val="NoSpacing"/>
        <w:adjustRightInd w:val="0"/>
        <w:snapToGrid w:val="0"/>
        <w:ind w:firstLine="720"/>
        <w:jc w:val="both"/>
        <w:rPr>
          <w:rFonts w:ascii="Times New Roman" w:hAnsi="Times New Roman" w:cs="Times New Roman"/>
          <w:sz w:val="20"/>
          <w:szCs w:val="20"/>
        </w:rPr>
      </w:pPr>
      <w:r w:rsidRPr="00CC621D">
        <w:rPr>
          <w:rFonts w:ascii="Times New Roman" w:hAnsi="Times New Roman" w:cs="Times New Roman"/>
          <w:sz w:val="20"/>
          <w:szCs w:val="20"/>
        </w:rPr>
        <w:t xml:space="preserve">In </w:t>
      </w:r>
      <w:proofErr w:type="spellStart"/>
      <w:r w:rsidRPr="00CC621D">
        <w:rPr>
          <w:rFonts w:ascii="Times New Roman" w:hAnsi="Times New Roman" w:cs="Times New Roman"/>
          <w:sz w:val="20"/>
          <w:szCs w:val="20"/>
        </w:rPr>
        <w:t>Putrajaya</w:t>
      </w:r>
      <w:proofErr w:type="spellEnd"/>
      <w:r w:rsidRPr="00CC621D">
        <w:rPr>
          <w:rFonts w:ascii="Times New Roman" w:hAnsi="Times New Roman" w:cs="Times New Roman"/>
          <w:sz w:val="20"/>
          <w:szCs w:val="20"/>
        </w:rPr>
        <w:t xml:space="preserve"> it can be seen from Table </w:t>
      </w:r>
      <w:r w:rsidR="00AE4813" w:rsidRPr="00CC621D">
        <w:rPr>
          <w:rFonts w:ascii="Times New Roman" w:hAnsi="Times New Roman" w:cs="Times New Roman"/>
          <w:sz w:val="20"/>
          <w:szCs w:val="20"/>
        </w:rPr>
        <w:t>13</w:t>
      </w:r>
      <w:r w:rsidRPr="00CC621D">
        <w:rPr>
          <w:rFonts w:ascii="Times New Roman" w:hAnsi="Times New Roman" w:cs="Times New Roman"/>
          <w:sz w:val="20"/>
          <w:szCs w:val="20"/>
        </w:rPr>
        <w:t>, which shows the descriptive statistics for the mean score across education levels, respondents earnin</w:t>
      </w:r>
      <w:r w:rsidR="00AE4813" w:rsidRPr="00CC621D">
        <w:rPr>
          <w:rFonts w:ascii="Times New Roman" w:hAnsi="Times New Roman" w:cs="Times New Roman"/>
          <w:sz w:val="20"/>
          <w:szCs w:val="20"/>
        </w:rPr>
        <w:t xml:space="preserve">g 1,000 and below Ringgit </w:t>
      </w:r>
      <w:r w:rsidRPr="00CC621D">
        <w:rPr>
          <w:rFonts w:ascii="Times New Roman" w:hAnsi="Times New Roman" w:cs="Times New Roman"/>
          <w:sz w:val="20"/>
          <w:szCs w:val="20"/>
        </w:rPr>
        <w:t>gave higher scores in the rating. The results for</w:t>
      </w:r>
      <w:r w:rsidR="00B903DB" w:rsidRPr="00CC621D">
        <w:rPr>
          <w:rFonts w:ascii="Times New Roman" w:hAnsi="Times New Roman" w:cs="Times New Roman"/>
          <w:sz w:val="20"/>
          <w:szCs w:val="20"/>
        </w:rPr>
        <w:t xml:space="preserve"> the </w:t>
      </w:r>
      <w:proofErr w:type="spellStart"/>
      <w:r w:rsidR="00B903DB" w:rsidRPr="00CC621D">
        <w:rPr>
          <w:rFonts w:ascii="Times New Roman" w:hAnsi="Times New Roman" w:cs="Times New Roman"/>
          <w:sz w:val="20"/>
          <w:szCs w:val="20"/>
        </w:rPr>
        <w:t>a</w:t>
      </w:r>
      <w:r w:rsidRPr="00CC621D">
        <w:rPr>
          <w:rFonts w:ascii="Times New Roman" w:hAnsi="Times New Roman" w:cs="Times New Roman"/>
          <w:sz w:val="20"/>
          <w:szCs w:val="20"/>
        </w:rPr>
        <w:t>nova</w:t>
      </w:r>
      <w:proofErr w:type="spellEnd"/>
      <w:r w:rsidRPr="00CC621D">
        <w:rPr>
          <w:rFonts w:ascii="Times New Roman" w:hAnsi="Times New Roman" w:cs="Times New Roman"/>
          <w:sz w:val="20"/>
          <w:szCs w:val="20"/>
        </w:rPr>
        <w:t xml:space="preserve"> test in Table </w:t>
      </w:r>
      <w:r w:rsidR="00AE4813" w:rsidRPr="00CC621D">
        <w:rPr>
          <w:rFonts w:ascii="Times New Roman" w:hAnsi="Times New Roman" w:cs="Times New Roman"/>
          <w:sz w:val="20"/>
          <w:szCs w:val="20"/>
        </w:rPr>
        <w:t>14</w:t>
      </w:r>
      <w:r w:rsidRPr="00CC621D">
        <w:rPr>
          <w:rFonts w:ascii="Times New Roman" w:hAnsi="Times New Roman" w:cs="Times New Roman"/>
          <w:sz w:val="20"/>
          <w:szCs w:val="20"/>
        </w:rPr>
        <w:t xml:space="preserve"> shows there is a statistical difference, p= 0.000.</w:t>
      </w:r>
    </w:p>
    <w:p w:rsidR="00B903DB" w:rsidRDefault="00B903DB" w:rsidP="00ED11B1">
      <w:pPr>
        <w:pStyle w:val="NoSpacing"/>
        <w:adjustRightInd w:val="0"/>
        <w:snapToGrid w:val="0"/>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31"/>
        <w:gridCol w:w="821"/>
        <w:gridCol w:w="819"/>
        <w:gridCol w:w="1163"/>
        <w:gridCol w:w="865"/>
        <w:gridCol w:w="1125"/>
        <w:gridCol w:w="1247"/>
        <w:gridCol w:w="955"/>
        <w:gridCol w:w="844"/>
      </w:tblGrid>
      <w:tr w:rsidR="004C3BF7" w:rsidRPr="00CC621D" w:rsidTr="00ED11B1">
        <w:trPr>
          <w:cantSplit/>
          <w:tblHeader/>
        </w:trPr>
        <w:tc>
          <w:tcPr>
            <w:tcW w:w="5000" w:type="pct"/>
            <w:gridSpan w:val="9"/>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bCs/>
                <w:color w:val="000000"/>
                <w:sz w:val="20"/>
                <w:szCs w:val="20"/>
              </w:rPr>
              <w:t xml:space="preserve">Table </w:t>
            </w:r>
            <w:r w:rsidR="00AE4813" w:rsidRPr="00CC621D">
              <w:rPr>
                <w:rFonts w:ascii="Times New Roman" w:hAnsi="Times New Roman" w:cs="Times New Roman"/>
                <w:bCs/>
                <w:color w:val="000000"/>
                <w:sz w:val="20"/>
                <w:szCs w:val="20"/>
              </w:rPr>
              <w:t>13</w:t>
            </w:r>
            <w:r w:rsidRPr="00CC621D">
              <w:rPr>
                <w:rFonts w:ascii="Times New Roman" w:hAnsi="Times New Roman" w:cs="Times New Roman"/>
                <w:bCs/>
                <w:color w:val="000000"/>
                <w:sz w:val="20"/>
                <w:szCs w:val="20"/>
              </w:rPr>
              <w:t>: Descriptive statistics of mean score across income levels in Putrajaya</w:t>
            </w:r>
          </w:p>
        </w:tc>
      </w:tr>
      <w:tr w:rsidR="004C3BF7" w:rsidRPr="00CC621D" w:rsidTr="00ED11B1">
        <w:trPr>
          <w:cantSplit/>
          <w:tblHeader/>
        </w:trPr>
        <w:tc>
          <w:tcPr>
            <w:tcW w:w="818" w:type="pct"/>
            <w:vMerge w:val="restart"/>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439"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N</w:t>
            </w:r>
          </w:p>
        </w:tc>
        <w:tc>
          <w:tcPr>
            <w:tcW w:w="438"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Mean</w:t>
            </w:r>
          </w:p>
        </w:tc>
        <w:tc>
          <w:tcPr>
            <w:tcW w:w="621"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Std. Deviation</w:t>
            </w:r>
          </w:p>
        </w:tc>
        <w:tc>
          <w:tcPr>
            <w:tcW w:w="462"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Std. Error</w:t>
            </w:r>
          </w:p>
        </w:tc>
        <w:tc>
          <w:tcPr>
            <w:tcW w:w="1267" w:type="pct"/>
            <w:gridSpan w:val="2"/>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95% Confidence Interval for Mean</w:t>
            </w:r>
          </w:p>
        </w:tc>
        <w:tc>
          <w:tcPr>
            <w:tcW w:w="510"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Minimum</w:t>
            </w:r>
          </w:p>
        </w:tc>
        <w:tc>
          <w:tcPr>
            <w:tcW w:w="446" w:type="pct"/>
            <w:vMerge w:val="restar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Maximum</w:t>
            </w:r>
          </w:p>
        </w:tc>
      </w:tr>
      <w:tr w:rsidR="004C3BF7" w:rsidRPr="00CC621D" w:rsidTr="00ED11B1">
        <w:trPr>
          <w:cantSplit/>
          <w:tblHeader/>
        </w:trPr>
        <w:tc>
          <w:tcPr>
            <w:tcW w:w="818" w:type="pct"/>
            <w:vMerge/>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439"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438"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621"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462"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601" w:type="pc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Lower Bound</w:t>
            </w:r>
          </w:p>
        </w:tc>
        <w:tc>
          <w:tcPr>
            <w:tcW w:w="666" w:type="pct"/>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Upper Bound</w:t>
            </w:r>
          </w:p>
        </w:tc>
        <w:tc>
          <w:tcPr>
            <w:tcW w:w="510"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c>
          <w:tcPr>
            <w:tcW w:w="446" w:type="pct"/>
            <w:vMerge/>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
        </w:tc>
      </w:tr>
      <w:tr w:rsidR="004C3BF7" w:rsidRPr="00CC621D" w:rsidTr="00ED11B1">
        <w:trPr>
          <w:cantSplit/>
          <w:tblHeader/>
        </w:trPr>
        <w:tc>
          <w:tcPr>
            <w:tcW w:w="81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Below-1,000</w:t>
            </w:r>
          </w:p>
        </w:tc>
        <w:tc>
          <w:tcPr>
            <w:tcW w:w="43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74</w:t>
            </w:r>
          </w:p>
        </w:tc>
        <w:tc>
          <w:tcPr>
            <w:tcW w:w="43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4.4527</w:t>
            </w:r>
          </w:p>
        </w:tc>
        <w:tc>
          <w:tcPr>
            <w:tcW w:w="62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.57769</w:t>
            </w:r>
          </w:p>
        </w:tc>
        <w:tc>
          <w:tcPr>
            <w:tcW w:w="46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.06716</w:t>
            </w:r>
          </w:p>
        </w:tc>
        <w:tc>
          <w:tcPr>
            <w:tcW w:w="60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4.3189</w:t>
            </w:r>
          </w:p>
        </w:tc>
        <w:tc>
          <w:tcPr>
            <w:tcW w:w="66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4.5865</w:t>
            </w:r>
          </w:p>
        </w:tc>
        <w:tc>
          <w:tcPr>
            <w:tcW w:w="510"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2.50</w:t>
            </w:r>
          </w:p>
        </w:tc>
        <w:tc>
          <w:tcPr>
            <w:tcW w:w="4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w:t>
            </w:r>
          </w:p>
        </w:tc>
      </w:tr>
      <w:tr w:rsidR="004C3BF7" w:rsidRPr="00CC621D" w:rsidTr="00ED11B1">
        <w:trPr>
          <w:cantSplit/>
          <w:tblHeader/>
        </w:trPr>
        <w:tc>
          <w:tcPr>
            <w:tcW w:w="81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1,001-2,000</w:t>
            </w:r>
          </w:p>
        </w:tc>
        <w:tc>
          <w:tcPr>
            <w:tcW w:w="43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90</w:t>
            </w:r>
          </w:p>
        </w:tc>
        <w:tc>
          <w:tcPr>
            <w:tcW w:w="43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3.7074</w:t>
            </w:r>
          </w:p>
        </w:tc>
        <w:tc>
          <w:tcPr>
            <w:tcW w:w="62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.82195</w:t>
            </w:r>
          </w:p>
        </w:tc>
        <w:tc>
          <w:tcPr>
            <w:tcW w:w="46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.08664</w:t>
            </w:r>
          </w:p>
        </w:tc>
        <w:tc>
          <w:tcPr>
            <w:tcW w:w="60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3.5353</w:t>
            </w:r>
          </w:p>
        </w:tc>
        <w:tc>
          <w:tcPr>
            <w:tcW w:w="66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3.8796</w:t>
            </w:r>
          </w:p>
        </w:tc>
        <w:tc>
          <w:tcPr>
            <w:tcW w:w="510"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4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w:t>
            </w:r>
          </w:p>
        </w:tc>
      </w:tr>
      <w:tr w:rsidR="004C3BF7" w:rsidRPr="00CC621D" w:rsidTr="00ED11B1">
        <w:trPr>
          <w:cantSplit/>
          <w:tblHeader/>
        </w:trPr>
        <w:tc>
          <w:tcPr>
            <w:tcW w:w="81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2,001-3,000</w:t>
            </w:r>
          </w:p>
        </w:tc>
        <w:tc>
          <w:tcPr>
            <w:tcW w:w="43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113</w:t>
            </w:r>
          </w:p>
        </w:tc>
        <w:tc>
          <w:tcPr>
            <w:tcW w:w="43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4.0000</w:t>
            </w:r>
          </w:p>
        </w:tc>
        <w:tc>
          <w:tcPr>
            <w:tcW w:w="62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.80733</w:t>
            </w:r>
          </w:p>
        </w:tc>
        <w:tc>
          <w:tcPr>
            <w:tcW w:w="46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.07595</w:t>
            </w:r>
          </w:p>
        </w:tc>
        <w:tc>
          <w:tcPr>
            <w:tcW w:w="60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3.8495</w:t>
            </w:r>
          </w:p>
        </w:tc>
        <w:tc>
          <w:tcPr>
            <w:tcW w:w="66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4.1505</w:t>
            </w:r>
          </w:p>
        </w:tc>
        <w:tc>
          <w:tcPr>
            <w:tcW w:w="510"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4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w:t>
            </w:r>
          </w:p>
        </w:tc>
      </w:tr>
      <w:tr w:rsidR="004C3BF7" w:rsidRPr="00CC621D" w:rsidTr="00ED11B1">
        <w:trPr>
          <w:cantSplit/>
          <w:tblHeader/>
        </w:trPr>
        <w:tc>
          <w:tcPr>
            <w:tcW w:w="81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3,001-4,000</w:t>
            </w:r>
          </w:p>
        </w:tc>
        <w:tc>
          <w:tcPr>
            <w:tcW w:w="43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58</w:t>
            </w:r>
          </w:p>
        </w:tc>
        <w:tc>
          <w:tcPr>
            <w:tcW w:w="43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4.0776</w:t>
            </w:r>
          </w:p>
        </w:tc>
        <w:tc>
          <w:tcPr>
            <w:tcW w:w="62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.53459</w:t>
            </w:r>
          </w:p>
        </w:tc>
        <w:tc>
          <w:tcPr>
            <w:tcW w:w="46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.07019</w:t>
            </w:r>
          </w:p>
        </w:tc>
        <w:tc>
          <w:tcPr>
            <w:tcW w:w="60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3.9370</w:t>
            </w:r>
          </w:p>
        </w:tc>
        <w:tc>
          <w:tcPr>
            <w:tcW w:w="66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4.2181</w:t>
            </w:r>
          </w:p>
        </w:tc>
        <w:tc>
          <w:tcPr>
            <w:tcW w:w="510"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2.83</w:t>
            </w:r>
          </w:p>
        </w:tc>
        <w:tc>
          <w:tcPr>
            <w:tcW w:w="4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w:t>
            </w:r>
          </w:p>
        </w:tc>
      </w:tr>
      <w:tr w:rsidR="004C3BF7" w:rsidRPr="00CC621D" w:rsidTr="00ED11B1">
        <w:trPr>
          <w:cantSplit/>
          <w:tblHeader/>
        </w:trPr>
        <w:tc>
          <w:tcPr>
            <w:tcW w:w="81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4,001 -5,000</w:t>
            </w:r>
          </w:p>
        </w:tc>
        <w:tc>
          <w:tcPr>
            <w:tcW w:w="43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42</w:t>
            </w:r>
          </w:p>
        </w:tc>
        <w:tc>
          <w:tcPr>
            <w:tcW w:w="43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4.1508</w:t>
            </w:r>
          </w:p>
        </w:tc>
        <w:tc>
          <w:tcPr>
            <w:tcW w:w="62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.54575</w:t>
            </w:r>
          </w:p>
        </w:tc>
        <w:tc>
          <w:tcPr>
            <w:tcW w:w="46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.08421</w:t>
            </w:r>
          </w:p>
        </w:tc>
        <w:tc>
          <w:tcPr>
            <w:tcW w:w="60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3.9807</w:t>
            </w:r>
          </w:p>
        </w:tc>
        <w:tc>
          <w:tcPr>
            <w:tcW w:w="66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4.3209</w:t>
            </w:r>
          </w:p>
        </w:tc>
        <w:tc>
          <w:tcPr>
            <w:tcW w:w="510"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3.00</w:t>
            </w:r>
          </w:p>
        </w:tc>
        <w:tc>
          <w:tcPr>
            <w:tcW w:w="4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w:t>
            </w:r>
          </w:p>
        </w:tc>
      </w:tr>
      <w:tr w:rsidR="004C3BF7" w:rsidRPr="00CC621D" w:rsidTr="00ED11B1">
        <w:trPr>
          <w:cantSplit/>
          <w:tblHeader/>
        </w:trPr>
        <w:tc>
          <w:tcPr>
            <w:tcW w:w="81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5,001 and above</w:t>
            </w:r>
          </w:p>
        </w:tc>
        <w:tc>
          <w:tcPr>
            <w:tcW w:w="43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25</w:t>
            </w:r>
          </w:p>
        </w:tc>
        <w:tc>
          <w:tcPr>
            <w:tcW w:w="43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3.7800</w:t>
            </w:r>
          </w:p>
        </w:tc>
        <w:tc>
          <w:tcPr>
            <w:tcW w:w="62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.64679</w:t>
            </w:r>
          </w:p>
        </w:tc>
        <w:tc>
          <w:tcPr>
            <w:tcW w:w="46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.12936</w:t>
            </w:r>
          </w:p>
        </w:tc>
        <w:tc>
          <w:tcPr>
            <w:tcW w:w="60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3.5130</w:t>
            </w:r>
          </w:p>
        </w:tc>
        <w:tc>
          <w:tcPr>
            <w:tcW w:w="66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4.0470</w:t>
            </w:r>
          </w:p>
        </w:tc>
        <w:tc>
          <w:tcPr>
            <w:tcW w:w="510"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2.67</w:t>
            </w:r>
          </w:p>
        </w:tc>
        <w:tc>
          <w:tcPr>
            <w:tcW w:w="4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w:t>
            </w:r>
          </w:p>
        </w:tc>
      </w:tr>
      <w:tr w:rsidR="004C3BF7" w:rsidRPr="00CC621D" w:rsidTr="00ED11B1">
        <w:trPr>
          <w:cantSplit/>
          <w:tblHeader/>
        </w:trPr>
        <w:tc>
          <w:tcPr>
            <w:tcW w:w="81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Total</w:t>
            </w:r>
          </w:p>
        </w:tc>
        <w:tc>
          <w:tcPr>
            <w:tcW w:w="439"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402</w:t>
            </w:r>
          </w:p>
        </w:tc>
        <w:tc>
          <w:tcPr>
            <w:tcW w:w="438"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4.0311</w:t>
            </w:r>
          </w:p>
        </w:tc>
        <w:tc>
          <w:tcPr>
            <w:tcW w:w="62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.74242</w:t>
            </w:r>
          </w:p>
        </w:tc>
        <w:tc>
          <w:tcPr>
            <w:tcW w:w="462"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.03703</w:t>
            </w:r>
          </w:p>
        </w:tc>
        <w:tc>
          <w:tcPr>
            <w:tcW w:w="601"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3.9583</w:t>
            </w:r>
          </w:p>
        </w:tc>
        <w:tc>
          <w:tcPr>
            <w:tcW w:w="66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4.1039</w:t>
            </w:r>
          </w:p>
        </w:tc>
        <w:tc>
          <w:tcPr>
            <w:tcW w:w="510"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w:t>
            </w:r>
          </w:p>
        </w:tc>
        <w:tc>
          <w:tcPr>
            <w:tcW w:w="446" w:type="pct"/>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5.00</w:t>
            </w:r>
          </w:p>
        </w:tc>
      </w:tr>
      <w:tr w:rsidR="004C3BF7" w:rsidRPr="00CC621D" w:rsidTr="00ED11B1">
        <w:trPr>
          <w:cantSplit/>
        </w:trPr>
        <w:tc>
          <w:tcPr>
            <w:tcW w:w="5000" w:type="pct"/>
            <w:gridSpan w:val="9"/>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a. CITY = PJ</w:t>
            </w:r>
          </w:p>
        </w:tc>
      </w:tr>
    </w:tbl>
    <w:p w:rsidR="004C3BF7" w:rsidRPr="00CC621D" w:rsidRDefault="004C3BF7" w:rsidP="00ED11B1">
      <w:pPr>
        <w:pStyle w:val="NoSpacing"/>
        <w:adjustRightInd w:val="0"/>
        <w:snapToGrid w:val="0"/>
        <w:rPr>
          <w:rFonts w:ascii="Times New Roman" w:hAnsi="Times New Roman" w:cs="Times New Roman"/>
          <w:sz w:val="20"/>
          <w:szCs w:val="20"/>
        </w:rPr>
      </w:pPr>
    </w:p>
    <w:p w:rsidR="003C1323" w:rsidRPr="00CC621D" w:rsidRDefault="003C1323" w:rsidP="00ED11B1">
      <w:pPr>
        <w:pStyle w:val="NoSpacing"/>
        <w:adjustRightInd w:val="0"/>
        <w:snapToGrid w:val="0"/>
        <w:rPr>
          <w:rFonts w:ascii="Times New Roman" w:hAnsi="Times New Roman" w:cs="Times New Roman"/>
          <w:sz w:val="20"/>
          <w:szCs w:val="20"/>
        </w:rPr>
      </w:pPr>
    </w:p>
    <w:tbl>
      <w:tblPr>
        <w:tblW w:w="7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82"/>
        <w:gridCol w:w="1456"/>
        <w:gridCol w:w="1009"/>
        <w:gridCol w:w="1397"/>
        <w:gridCol w:w="1010"/>
        <w:gridCol w:w="1010"/>
      </w:tblGrid>
      <w:tr w:rsidR="004C3BF7" w:rsidRPr="00CC621D" w:rsidTr="003B7ACB">
        <w:trPr>
          <w:cantSplit/>
          <w:tblHeader/>
          <w:jc w:val="center"/>
        </w:trPr>
        <w:tc>
          <w:tcPr>
            <w:tcW w:w="7564" w:type="dxa"/>
            <w:gridSpan w:val="6"/>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 xml:space="preserve">Table </w:t>
            </w:r>
            <w:r w:rsidR="00AE4813" w:rsidRPr="00CC621D">
              <w:rPr>
                <w:rFonts w:ascii="Times New Roman" w:hAnsi="Times New Roman" w:cs="Times New Roman"/>
                <w:sz w:val="20"/>
                <w:szCs w:val="20"/>
              </w:rPr>
              <w:t>14</w:t>
            </w:r>
            <w:r w:rsidRPr="00CC621D">
              <w:rPr>
                <w:rFonts w:ascii="Times New Roman" w:hAnsi="Times New Roman" w:cs="Times New Roman"/>
                <w:sz w:val="20"/>
                <w:szCs w:val="20"/>
              </w:rPr>
              <w:t xml:space="preserve">: Results of </w:t>
            </w:r>
            <w:proofErr w:type="spellStart"/>
            <w:r w:rsidRPr="00CC621D">
              <w:rPr>
                <w:rFonts w:ascii="Times New Roman" w:hAnsi="Times New Roman" w:cs="Times New Roman"/>
                <w:bCs/>
                <w:color w:val="000000"/>
                <w:sz w:val="20"/>
                <w:szCs w:val="20"/>
              </w:rPr>
              <w:t>anova</w:t>
            </w:r>
            <w:proofErr w:type="spellEnd"/>
            <w:r w:rsidRPr="00CC621D">
              <w:rPr>
                <w:rFonts w:ascii="Times New Roman" w:hAnsi="Times New Roman" w:cs="Times New Roman"/>
                <w:sz w:val="20"/>
                <w:szCs w:val="20"/>
              </w:rPr>
              <w:t xml:space="preserve"> for comparison of mean score across income levels in Putrajaya</w:t>
            </w:r>
          </w:p>
        </w:tc>
      </w:tr>
      <w:tr w:rsidR="004C3BF7" w:rsidRPr="00CC621D" w:rsidTr="003B7ACB">
        <w:trPr>
          <w:cantSplit/>
          <w:tblHeader/>
          <w:jc w:val="center"/>
        </w:trPr>
        <w:tc>
          <w:tcPr>
            <w:tcW w:w="1681"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455"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Sum of Squares</w:t>
            </w:r>
          </w:p>
        </w:tc>
        <w:tc>
          <w:tcPr>
            <w:tcW w:w="1009"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proofErr w:type="spellStart"/>
            <w:r w:rsidRPr="00CC621D">
              <w:rPr>
                <w:rFonts w:ascii="Times New Roman" w:hAnsi="Times New Roman" w:cs="Times New Roman"/>
                <w:color w:val="000000"/>
                <w:sz w:val="20"/>
                <w:szCs w:val="20"/>
              </w:rPr>
              <w:t>df</w:t>
            </w:r>
            <w:proofErr w:type="spellEnd"/>
          </w:p>
        </w:tc>
        <w:tc>
          <w:tcPr>
            <w:tcW w:w="1397"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Mean Square</w:t>
            </w:r>
          </w:p>
        </w:tc>
        <w:tc>
          <w:tcPr>
            <w:tcW w:w="1010"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F</w:t>
            </w:r>
          </w:p>
        </w:tc>
        <w:tc>
          <w:tcPr>
            <w:tcW w:w="1010"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Sig.</w:t>
            </w:r>
          </w:p>
        </w:tc>
      </w:tr>
      <w:tr w:rsidR="004C3BF7" w:rsidRPr="00CC621D" w:rsidTr="003B7ACB">
        <w:trPr>
          <w:cantSplit/>
          <w:tblHeader/>
          <w:jc w:val="center"/>
        </w:trPr>
        <w:tc>
          <w:tcPr>
            <w:tcW w:w="1682"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Between Groups</w:t>
            </w:r>
          </w:p>
        </w:tc>
        <w:tc>
          <w:tcPr>
            <w:tcW w:w="1456"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24.996</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w:t>
            </w:r>
          </w:p>
        </w:tc>
        <w:tc>
          <w:tcPr>
            <w:tcW w:w="1397"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4.999</w:t>
            </w:r>
          </w:p>
        </w:tc>
        <w:tc>
          <w:tcPr>
            <w:tcW w:w="1010"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10.099</w:t>
            </w:r>
          </w:p>
        </w:tc>
        <w:tc>
          <w:tcPr>
            <w:tcW w:w="1010"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.000</w:t>
            </w:r>
          </w:p>
        </w:tc>
      </w:tr>
      <w:tr w:rsidR="004C3BF7" w:rsidRPr="00CC621D" w:rsidTr="003B7ACB">
        <w:trPr>
          <w:cantSplit/>
          <w:tblHeader/>
          <w:jc w:val="center"/>
        </w:trPr>
        <w:tc>
          <w:tcPr>
            <w:tcW w:w="1682"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Within Groups</w:t>
            </w:r>
          </w:p>
        </w:tc>
        <w:tc>
          <w:tcPr>
            <w:tcW w:w="1456"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196.032</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396</w:t>
            </w:r>
          </w:p>
        </w:tc>
        <w:tc>
          <w:tcPr>
            <w:tcW w:w="1397"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.495</w:t>
            </w: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r>
      <w:tr w:rsidR="004C3BF7" w:rsidRPr="00CC621D" w:rsidTr="003B7ACB">
        <w:trPr>
          <w:cantSplit/>
          <w:tblHeader/>
          <w:jc w:val="center"/>
        </w:trPr>
        <w:tc>
          <w:tcPr>
            <w:tcW w:w="1682"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Total</w:t>
            </w:r>
          </w:p>
        </w:tc>
        <w:tc>
          <w:tcPr>
            <w:tcW w:w="1456"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221.028</w:t>
            </w:r>
          </w:p>
        </w:tc>
        <w:tc>
          <w:tcPr>
            <w:tcW w:w="1009"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401</w:t>
            </w:r>
          </w:p>
        </w:tc>
        <w:tc>
          <w:tcPr>
            <w:tcW w:w="1397"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010" w:type="dxa"/>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r>
      <w:tr w:rsidR="004C3BF7" w:rsidRPr="00CC621D" w:rsidTr="003B7ACB">
        <w:trPr>
          <w:cantSplit/>
          <w:jc w:val="center"/>
        </w:trPr>
        <w:tc>
          <w:tcPr>
            <w:tcW w:w="7564" w:type="dxa"/>
            <w:gridSpan w:val="6"/>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a. CITY = PJ</w:t>
            </w:r>
          </w:p>
          <w:p w:rsidR="004C3BF7" w:rsidRPr="00CC621D" w:rsidRDefault="004C3BF7" w:rsidP="00ED11B1">
            <w:pPr>
              <w:pStyle w:val="NoSpacing"/>
              <w:adjustRightInd w:val="0"/>
              <w:snapToGrid w:val="0"/>
              <w:rPr>
                <w:rFonts w:ascii="Times New Roman" w:hAnsi="Times New Roman" w:cs="Times New Roman"/>
                <w:color w:val="000000"/>
                <w:sz w:val="20"/>
                <w:szCs w:val="20"/>
              </w:rPr>
            </w:pPr>
          </w:p>
        </w:tc>
      </w:tr>
    </w:tbl>
    <w:p w:rsidR="00B903DB" w:rsidRDefault="00B903DB" w:rsidP="00ED11B1">
      <w:pPr>
        <w:pStyle w:val="NoSpacing"/>
        <w:adjustRightInd w:val="0"/>
        <w:snapToGrid w:val="0"/>
        <w:jc w:val="both"/>
        <w:rPr>
          <w:rFonts w:ascii="Times New Roman" w:hAnsi="Times New Roman" w:cs="Times New Roman"/>
          <w:sz w:val="20"/>
          <w:szCs w:val="20"/>
        </w:rPr>
      </w:pPr>
    </w:p>
    <w:p w:rsidR="004C3BF7" w:rsidRPr="00CC621D" w:rsidRDefault="004C3BF7" w:rsidP="003B7ACB">
      <w:pPr>
        <w:pStyle w:val="NoSpacing"/>
        <w:adjustRightInd w:val="0"/>
        <w:snapToGrid w:val="0"/>
        <w:ind w:firstLine="720"/>
        <w:jc w:val="both"/>
        <w:rPr>
          <w:rFonts w:ascii="Times New Roman" w:hAnsi="Times New Roman" w:cs="Times New Roman"/>
          <w:sz w:val="20"/>
          <w:szCs w:val="20"/>
        </w:rPr>
      </w:pPr>
      <w:r w:rsidRPr="00CC621D">
        <w:rPr>
          <w:rFonts w:ascii="Times New Roman" w:hAnsi="Times New Roman" w:cs="Times New Roman"/>
          <w:sz w:val="20"/>
          <w:szCs w:val="20"/>
        </w:rPr>
        <w:t>Comparison was made between FCT Abuja and Putrajaya to determine if there were differences in the ratings for the general assessment of MSWM, using Friedman test. The comparison of the severity of the problem in each city can be determined by the results of the mean ranks. In FCT Abuja Q4</w:t>
      </w:r>
      <w:r w:rsidRPr="00CC621D">
        <w:rPr>
          <w:rFonts w:ascii="Times New Roman" w:hAnsi="Times New Roman" w:cs="Times New Roman"/>
          <w:color w:val="000000"/>
          <w:sz w:val="20"/>
          <w:szCs w:val="20"/>
        </w:rPr>
        <w:t xml:space="preserve">; How would you rate municipal waste management services in terms of public awareness programs, Q5; How would you rate municipal waste management in terms of comprehensiveness of existing laws and regulations and Q6; How would you rate municipal waste management services in terms of effectiveness of enforcement of laws and regulation in addressing waste issues in FCT Abuja, had the lowest mean rank as shown in Table </w:t>
      </w:r>
      <w:r w:rsidR="00AE4813" w:rsidRPr="00CC621D">
        <w:rPr>
          <w:rFonts w:ascii="Times New Roman" w:hAnsi="Times New Roman" w:cs="Times New Roman"/>
          <w:color w:val="000000"/>
          <w:sz w:val="20"/>
          <w:szCs w:val="20"/>
        </w:rPr>
        <w:t>15</w:t>
      </w:r>
      <w:r w:rsidRPr="00CC621D">
        <w:rPr>
          <w:rFonts w:ascii="Times New Roman" w:hAnsi="Times New Roman" w:cs="Times New Roman"/>
          <w:color w:val="000000"/>
          <w:sz w:val="20"/>
          <w:szCs w:val="20"/>
        </w:rPr>
        <w:t>. In terms of severity or importance these where the top three issues in the general assessment for FCT Abuja</w:t>
      </w:r>
      <w:r w:rsidRPr="00CC621D">
        <w:rPr>
          <w:rFonts w:ascii="Times New Roman" w:hAnsi="Times New Roman" w:cs="Times New Roman"/>
          <w:sz w:val="20"/>
          <w:szCs w:val="20"/>
        </w:rPr>
        <w:t>.</w:t>
      </w:r>
    </w:p>
    <w:p w:rsidR="003C1323" w:rsidRPr="00CC621D" w:rsidRDefault="003C1323" w:rsidP="00ED11B1">
      <w:pPr>
        <w:pStyle w:val="NoSpacing"/>
        <w:adjustRightInd w:val="0"/>
        <w:snapToGrid w:val="0"/>
        <w:rPr>
          <w:rFonts w:ascii="Times New Roman" w:hAnsi="Times New Roman" w:cs="Times New Roman"/>
          <w:sz w:val="20"/>
          <w:szCs w:val="20"/>
        </w:rPr>
      </w:pPr>
    </w:p>
    <w:p w:rsidR="00B903DB" w:rsidRPr="00CC621D" w:rsidRDefault="00B903DB" w:rsidP="00ED11B1">
      <w:pPr>
        <w:pStyle w:val="NoSpacing"/>
        <w:adjustRightInd w:val="0"/>
        <w:snapToGrid w:val="0"/>
        <w:rPr>
          <w:rFonts w:ascii="Times New Roman" w:hAnsi="Times New Roman" w:cs="Times New Roman"/>
          <w:bCs/>
          <w:color w:val="000000"/>
          <w:sz w:val="20"/>
          <w:szCs w:val="20"/>
        </w:rPr>
      </w:pPr>
    </w:p>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bCs/>
          <w:color w:val="000000"/>
          <w:sz w:val="20"/>
          <w:szCs w:val="20"/>
        </w:rPr>
        <w:t xml:space="preserve">Table </w:t>
      </w:r>
      <w:r w:rsidR="00AE4813" w:rsidRPr="00CC621D">
        <w:rPr>
          <w:rFonts w:ascii="Times New Roman" w:hAnsi="Times New Roman" w:cs="Times New Roman"/>
          <w:bCs/>
          <w:color w:val="000000"/>
          <w:sz w:val="20"/>
          <w:szCs w:val="20"/>
        </w:rPr>
        <w:t>15</w:t>
      </w:r>
      <w:r w:rsidRPr="00CC621D">
        <w:rPr>
          <w:rFonts w:ascii="Times New Roman" w:hAnsi="Times New Roman" w:cs="Times New Roman"/>
          <w:bCs/>
          <w:color w:val="000000"/>
          <w:sz w:val="20"/>
          <w:szCs w:val="20"/>
        </w:rPr>
        <w:t>: Mean ranks for general assessment in FCT Abuja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620"/>
        <w:gridCol w:w="750"/>
      </w:tblGrid>
      <w:tr w:rsidR="004C3BF7" w:rsidRPr="00CC621D" w:rsidTr="003B7ACB">
        <w:trPr>
          <w:cantSplit/>
          <w:tblHeader/>
        </w:trPr>
        <w:tc>
          <w:tcPr>
            <w:tcW w:w="0" w:type="auto"/>
            <w:gridSpan w:val="2"/>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color w:val="000000"/>
                <w:sz w:val="20"/>
                <w:szCs w:val="20"/>
              </w:rPr>
            </w:pPr>
            <w:proofErr w:type="spellStart"/>
            <w:r w:rsidRPr="00CC621D">
              <w:rPr>
                <w:rFonts w:ascii="Times New Roman" w:hAnsi="Times New Roman" w:cs="Times New Roman"/>
                <w:b/>
                <w:bCs/>
                <w:color w:val="000000"/>
                <w:sz w:val="20"/>
                <w:szCs w:val="20"/>
              </w:rPr>
              <w:t>Ranks</w:t>
            </w:r>
            <w:r w:rsidRPr="00CC621D">
              <w:rPr>
                <w:rFonts w:ascii="Times New Roman" w:hAnsi="Times New Roman" w:cs="Times New Roman"/>
                <w:b/>
                <w:bCs/>
                <w:color w:val="000000"/>
                <w:sz w:val="20"/>
                <w:szCs w:val="20"/>
                <w:vertAlign w:val="superscript"/>
              </w:rPr>
              <w:t>a</w:t>
            </w:r>
            <w:proofErr w:type="spellEnd"/>
          </w:p>
        </w:tc>
      </w:tr>
      <w:tr w:rsidR="004C3BF7" w:rsidRPr="00CC621D" w:rsidTr="003B7ACB">
        <w:trPr>
          <w:cantSplit/>
          <w:tblHeader/>
        </w:trPr>
        <w:tc>
          <w:tcPr>
            <w:tcW w:w="0" w:type="auto"/>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0" w:type="auto"/>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Mean Rank</w:t>
            </w:r>
          </w:p>
        </w:tc>
      </w:tr>
      <w:tr w:rsidR="004C3BF7" w:rsidRPr="00CC621D" w:rsidTr="003B7ACB">
        <w:trPr>
          <w:cantSplit/>
          <w:tblHeader/>
        </w:trPr>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How would you rate the overall municipal solid waste service?</w:t>
            </w:r>
          </w:p>
        </w:tc>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3.72</w:t>
            </w:r>
          </w:p>
        </w:tc>
      </w:tr>
      <w:tr w:rsidR="004C3BF7" w:rsidRPr="00CC621D" w:rsidTr="003B7ACB">
        <w:trPr>
          <w:cantSplit/>
          <w:tblHeader/>
        </w:trPr>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How would you rate the municipal waste service in terms of efficiency of services provided?</w:t>
            </w:r>
          </w:p>
        </w:tc>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3.73</w:t>
            </w:r>
          </w:p>
        </w:tc>
      </w:tr>
      <w:tr w:rsidR="004C3BF7" w:rsidRPr="00CC621D" w:rsidTr="003B7ACB">
        <w:trPr>
          <w:cantSplit/>
          <w:tblHeader/>
        </w:trPr>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How would you rate the regularity of municipal waste collection?</w:t>
            </w:r>
          </w:p>
        </w:tc>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3.56</w:t>
            </w:r>
          </w:p>
        </w:tc>
      </w:tr>
      <w:tr w:rsidR="004C3BF7" w:rsidRPr="00CC621D" w:rsidTr="003B7ACB">
        <w:trPr>
          <w:cantSplit/>
          <w:tblHeader/>
        </w:trPr>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How would you rate municipal waste management services in terms of public awareness programs?</w:t>
            </w:r>
          </w:p>
        </w:tc>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3.21</w:t>
            </w:r>
          </w:p>
        </w:tc>
      </w:tr>
      <w:tr w:rsidR="004C3BF7" w:rsidRPr="00CC621D" w:rsidTr="003B7ACB">
        <w:trPr>
          <w:cantSplit/>
          <w:tblHeader/>
        </w:trPr>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How would you rate municipal waste management in terms of comprehensiveness of existing laws and regulations?</w:t>
            </w:r>
          </w:p>
        </w:tc>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3.36</w:t>
            </w:r>
          </w:p>
        </w:tc>
      </w:tr>
      <w:tr w:rsidR="004C3BF7" w:rsidRPr="00CC621D" w:rsidTr="003B7ACB">
        <w:trPr>
          <w:cantSplit/>
          <w:tblHeader/>
        </w:trPr>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How would you rate municipal waste management services in terms of effectiveness of enforcement of laws and regulation in addressing waste issues in FCT Abuja?</w:t>
            </w:r>
          </w:p>
        </w:tc>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3.42</w:t>
            </w:r>
          </w:p>
        </w:tc>
      </w:tr>
      <w:tr w:rsidR="004C3BF7" w:rsidRPr="00CC621D" w:rsidTr="003B7ACB">
        <w:trPr>
          <w:cantSplit/>
        </w:trPr>
        <w:tc>
          <w:tcPr>
            <w:tcW w:w="0" w:type="auto"/>
            <w:gridSpan w:val="2"/>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a. CITY = Abuja</w:t>
            </w:r>
          </w:p>
        </w:tc>
      </w:tr>
    </w:tbl>
    <w:p w:rsidR="00B903DB" w:rsidRDefault="00B903DB" w:rsidP="00ED11B1">
      <w:pPr>
        <w:pStyle w:val="NoSpacing"/>
        <w:adjustRightInd w:val="0"/>
        <w:snapToGrid w:val="0"/>
        <w:rPr>
          <w:rFonts w:ascii="Times New Roman" w:hAnsi="Times New Roman" w:cs="Times New Roman"/>
          <w:sz w:val="20"/>
          <w:szCs w:val="20"/>
        </w:rPr>
      </w:pPr>
    </w:p>
    <w:p w:rsidR="004C3BF7" w:rsidRPr="00CC621D" w:rsidRDefault="004C3BF7" w:rsidP="003B7ACB">
      <w:pPr>
        <w:pStyle w:val="NoSpacing"/>
        <w:adjustRightInd w:val="0"/>
        <w:snapToGrid w:val="0"/>
        <w:ind w:firstLine="720"/>
        <w:jc w:val="both"/>
        <w:rPr>
          <w:rFonts w:ascii="Times New Roman" w:hAnsi="Times New Roman" w:cs="Times New Roman"/>
          <w:sz w:val="20"/>
          <w:szCs w:val="20"/>
        </w:rPr>
      </w:pPr>
      <w:r w:rsidRPr="00CC621D">
        <w:rPr>
          <w:rFonts w:ascii="Times New Roman" w:hAnsi="Times New Roman" w:cs="Times New Roman"/>
          <w:sz w:val="20"/>
          <w:szCs w:val="20"/>
        </w:rPr>
        <w:t xml:space="preserve">When a comparison is made with regards to the importance of the individual issues using Friedman test, there is a statistical difference p=0.000 as shown in Table </w:t>
      </w:r>
      <w:r w:rsidR="00AE4813" w:rsidRPr="00CC621D">
        <w:rPr>
          <w:rFonts w:ascii="Times New Roman" w:hAnsi="Times New Roman" w:cs="Times New Roman"/>
          <w:sz w:val="20"/>
          <w:szCs w:val="20"/>
        </w:rPr>
        <w:t>16</w:t>
      </w:r>
      <w:r w:rsidRPr="00CC621D">
        <w:rPr>
          <w:rFonts w:ascii="Times New Roman" w:hAnsi="Times New Roman" w:cs="Times New Roman"/>
          <w:sz w:val="20"/>
          <w:szCs w:val="20"/>
        </w:rPr>
        <w:t>.</w:t>
      </w:r>
    </w:p>
    <w:p w:rsidR="00B903DB" w:rsidRDefault="00B903DB" w:rsidP="00ED11B1">
      <w:pPr>
        <w:pStyle w:val="NoSpacing"/>
        <w:adjustRightInd w:val="0"/>
        <w:snapToGrid w:val="0"/>
        <w:jc w:val="both"/>
        <w:rPr>
          <w:rFonts w:ascii="Times New Roman" w:hAnsi="Times New Roman" w:cs="Times New Roman"/>
          <w:sz w:val="20"/>
          <w:szCs w:val="20"/>
        </w:rPr>
      </w:pPr>
    </w:p>
    <w:p w:rsidR="00CC621D" w:rsidRDefault="00CC621D" w:rsidP="00ED11B1">
      <w:pPr>
        <w:pStyle w:val="NoSpacing"/>
        <w:adjustRightInd w:val="0"/>
        <w:snapToGrid w:val="0"/>
        <w:jc w:val="both"/>
        <w:rPr>
          <w:rFonts w:ascii="Times New Roman" w:hAnsi="Times New Roman" w:cs="Times New Roman"/>
          <w:sz w:val="20"/>
          <w:szCs w:val="20"/>
        </w:rPr>
      </w:pPr>
    </w:p>
    <w:p w:rsidR="00B903DB" w:rsidRPr="00CC621D" w:rsidRDefault="00B903DB"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lastRenderedPageBreak/>
        <w:t>Table 16: Results from Friedman test for FCT Abuja</w:t>
      </w:r>
    </w:p>
    <w:p w:rsidR="00B903DB" w:rsidRPr="00CC621D" w:rsidRDefault="00B903DB" w:rsidP="00ED11B1">
      <w:pPr>
        <w:pStyle w:val="NoSpacing"/>
        <w:adjustRightInd w:val="0"/>
        <w:snapToGrid w:val="0"/>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193"/>
        <w:gridCol w:w="4177"/>
      </w:tblGrid>
      <w:tr w:rsidR="00B903DB" w:rsidRPr="00CC621D" w:rsidTr="003B7ACB">
        <w:trPr>
          <w:cantSplit/>
          <w:trHeight w:val="247"/>
          <w:tblHeader/>
        </w:trPr>
        <w:tc>
          <w:tcPr>
            <w:tcW w:w="5000" w:type="pct"/>
            <w:gridSpan w:val="2"/>
            <w:shd w:val="clear" w:color="auto" w:fill="FFFFFF"/>
            <w:vAlign w:val="center"/>
          </w:tcPr>
          <w:p w:rsidR="00B903DB" w:rsidRPr="00CC621D" w:rsidRDefault="00B903DB"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b/>
                <w:bCs/>
                <w:color w:val="000000"/>
                <w:sz w:val="20"/>
                <w:szCs w:val="20"/>
              </w:rPr>
              <w:t xml:space="preserve">Test </w:t>
            </w:r>
            <w:proofErr w:type="spellStart"/>
            <w:r w:rsidRPr="00CC621D">
              <w:rPr>
                <w:rFonts w:ascii="Times New Roman" w:hAnsi="Times New Roman" w:cs="Times New Roman"/>
                <w:b/>
                <w:bCs/>
                <w:color w:val="000000"/>
                <w:sz w:val="20"/>
                <w:szCs w:val="20"/>
              </w:rPr>
              <w:t>Statistics</w:t>
            </w:r>
            <w:r w:rsidRPr="00CC621D">
              <w:rPr>
                <w:rFonts w:ascii="Times New Roman" w:hAnsi="Times New Roman" w:cs="Times New Roman"/>
                <w:b/>
                <w:bCs/>
                <w:color w:val="000000"/>
                <w:sz w:val="20"/>
                <w:szCs w:val="20"/>
                <w:vertAlign w:val="superscript"/>
              </w:rPr>
              <w:t>a,b</w:t>
            </w:r>
            <w:proofErr w:type="spellEnd"/>
          </w:p>
        </w:tc>
      </w:tr>
      <w:tr w:rsidR="00B903DB" w:rsidRPr="00CC621D" w:rsidTr="003B7ACB">
        <w:trPr>
          <w:cantSplit/>
          <w:trHeight w:val="236"/>
          <w:tblHeader/>
        </w:trPr>
        <w:tc>
          <w:tcPr>
            <w:tcW w:w="2771" w:type="pct"/>
            <w:shd w:val="clear" w:color="auto" w:fill="FFFFFF"/>
          </w:tcPr>
          <w:p w:rsidR="00B903DB" w:rsidRPr="00CC621D" w:rsidRDefault="00B903DB"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N</w:t>
            </w:r>
          </w:p>
        </w:tc>
        <w:tc>
          <w:tcPr>
            <w:tcW w:w="2229" w:type="pct"/>
            <w:shd w:val="clear" w:color="auto" w:fill="FFFFFF"/>
          </w:tcPr>
          <w:p w:rsidR="00B903DB" w:rsidRPr="00CC621D" w:rsidRDefault="00B903DB"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415</w:t>
            </w:r>
          </w:p>
        </w:tc>
      </w:tr>
      <w:tr w:rsidR="00B903DB" w:rsidRPr="00CC621D" w:rsidTr="003B7ACB">
        <w:trPr>
          <w:cantSplit/>
          <w:trHeight w:val="247"/>
          <w:tblHeader/>
        </w:trPr>
        <w:tc>
          <w:tcPr>
            <w:tcW w:w="2771" w:type="pct"/>
            <w:shd w:val="clear" w:color="auto" w:fill="FFFFFF"/>
          </w:tcPr>
          <w:p w:rsidR="00B903DB" w:rsidRPr="00CC621D" w:rsidRDefault="00B903DB"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Chi-Square</w:t>
            </w:r>
          </w:p>
        </w:tc>
        <w:tc>
          <w:tcPr>
            <w:tcW w:w="2229" w:type="pct"/>
            <w:shd w:val="clear" w:color="auto" w:fill="FFFFFF"/>
          </w:tcPr>
          <w:p w:rsidR="00B903DB" w:rsidRPr="00CC621D" w:rsidRDefault="00B903DB"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44.682</w:t>
            </w:r>
          </w:p>
        </w:tc>
      </w:tr>
      <w:tr w:rsidR="00B903DB" w:rsidRPr="00CC621D" w:rsidTr="003B7ACB">
        <w:trPr>
          <w:cantSplit/>
          <w:trHeight w:val="247"/>
          <w:tblHeader/>
        </w:trPr>
        <w:tc>
          <w:tcPr>
            <w:tcW w:w="2771" w:type="pct"/>
            <w:shd w:val="clear" w:color="auto" w:fill="FFFFFF"/>
          </w:tcPr>
          <w:p w:rsidR="00B903DB" w:rsidRPr="00CC621D" w:rsidRDefault="00B903DB" w:rsidP="00ED11B1">
            <w:pPr>
              <w:pStyle w:val="NoSpacing"/>
              <w:adjustRightInd w:val="0"/>
              <w:snapToGrid w:val="0"/>
              <w:rPr>
                <w:rFonts w:ascii="Times New Roman" w:hAnsi="Times New Roman" w:cs="Times New Roman"/>
                <w:color w:val="000000"/>
                <w:sz w:val="20"/>
                <w:szCs w:val="20"/>
              </w:rPr>
            </w:pPr>
            <w:proofErr w:type="spellStart"/>
            <w:r w:rsidRPr="00CC621D">
              <w:rPr>
                <w:rFonts w:ascii="Times New Roman" w:hAnsi="Times New Roman" w:cs="Times New Roman"/>
                <w:color w:val="000000"/>
                <w:sz w:val="20"/>
                <w:szCs w:val="20"/>
              </w:rPr>
              <w:t>df</w:t>
            </w:r>
            <w:proofErr w:type="spellEnd"/>
          </w:p>
        </w:tc>
        <w:tc>
          <w:tcPr>
            <w:tcW w:w="2229" w:type="pct"/>
            <w:shd w:val="clear" w:color="auto" w:fill="FFFFFF"/>
          </w:tcPr>
          <w:p w:rsidR="00B903DB" w:rsidRPr="00CC621D" w:rsidRDefault="00B903DB"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w:t>
            </w:r>
          </w:p>
        </w:tc>
      </w:tr>
      <w:tr w:rsidR="00B903DB" w:rsidRPr="00CC621D" w:rsidTr="003B7ACB">
        <w:trPr>
          <w:cantSplit/>
          <w:trHeight w:val="236"/>
          <w:tblHeader/>
        </w:trPr>
        <w:tc>
          <w:tcPr>
            <w:tcW w:w="2771" w:type="pct"/>
            <w:shd w:val="clear" w:color="auto" w:fill="FFFFFF"/>
          </w:tcPr>
          <w:p w:rsidR="00B903DB" w:rsidRPr="00CC621D" w:rsidRDefault="00B903DB" w:rsidP="00ED11B1">
            <w:pPr>
              <w:pStyle w:val="NoSpacing"/>
              <w:adjustRightInd w:val="0"/>
              <w:snapToGrid w:val="0"/>
              <w:rPr>
                <w:rFonts w:ascii="Times New Roman" w:hAnsi="Times New Roman" w:cs="Times New Roman"/>
                <w:color w:val="000000"/>
                <w:sz w:val="20"/>
                <w:szCs w:val="20"/>
              </w:rPr>
            </w:pPr>
            <w:proofErr w:type="spellStart"/>
            <w:r w:rsidRPr="00CC621D">
              <w:rPr>
                <w:rFonts w:ascii="Times New Roman" w:hAnsi="Times New Roman" w:cs="Times New Roman"/>
                <w:color w:val="000000"/>
                <w:sz w:val="20"/>
                <w:szCs w:val="20"/>
              </w:rPr>
              <w:t>Asymp</w:t>
            </w:r>
            <w:proofErr w:type="spellEnd"/>
            <w:r w:rsidRPr="00CC621D">
              <w:rPr>
                <w:rFonts w:ascii="Times New Roman" w:hAnsi="Times New Roman" w:cs="Times New Roman"/>
                <w:color w:val="000000"/>
                <w:sz w:val="20"/>
                <w:szCs w:val="20"/>
              </w:rPr>
              <w:t>. Sig.</w:t>
            </w:r>
          </w:p>
        </w:tc>
        <w:tc>
          <w:tcPr>
            <w:tcW w:w="2229" w:type="pct"/>
            <w:shd w:val="clear" w:color="auto" w:fill="FFFFFF"/>
          </w:tcPr>
          <w:p w:rsidR="00B903DB" w:rsidRPr="00CC621D" w:rsidRDefault="00B903DB"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.000</w:t>
            </w:r>
          </w:p>
        </w:tc>
      </w:tr>
    </w:tbl>
    <w:p w:rsidR="00B903DB" w:rsidRPr="00CC621D" w:rsidRDefault="00B903DB"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a. CITY = Abuja</w:t>
      </w:r>
    </w:p>
    <w:p w:rsidR="00B903DB" w:rsidRPr="00CC621D" w:rsidRDefault="00B903DB"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b. Friedman Test</w:t>
      </w:r>
    </w:p>
    <w:p w:rsidR="00B903DB" w:rsidRPr="00CC621D" w:rsidRDefault="00B903DB" w:rsidP="00ED11B1">
      <w:pPr>
        <w:pStyle w:val="NoSpacing"/>
        <w:adjustRightInd w:val="0"/>
        <w:snapToGrid w:val="0"/>
        <w:rPr>
          <w:rFonts w:ascii="Times New Roman" w:hAnsi="Times New Roman" w:cs="Times New Roman"/>
          <w:color w:val="000000"/>
          <w:sz w:val="20"/>
          <w:szCs w:val="20"/>
        </w:rPr>
      </w:pPr>
    </w:p>
    <w:p w:rsidR="00B903DB" w:rsidRDefault="004C3BF7" w:rsidP="003B7ACB">
      <w:pPr>
        <w:pStyle w:val="NoSpacing"/>
        <w:adjustRightInd w:val="0"/>
        <w:snapToGrid w:val="0"/>
        <w:ind w:firstLine="720"/>
        <w:jc w:val="both"/>
        <w:rPr>
          <w:rFonts w:ascii="Times New Roman" w:hAnsi="Times New Roman" w:cs="Times New Roman"/>
          <w:color w:val="000000"/>
          <w:sz w:val="20"/>
          <w:szCs w:val="20"/>
        </w:rPr>
      </w:pPr>
      <w:r w:rsidRPr="00CC621D">
        <w:rPr>
          <w:rFonts w:ascii="Times New Roman" w:hAnsi="Times New Roman" w:cs="Times New Roman"/>
          <w:sz w:val="20"/>
          <w:szCs w:val="20"/>
        </w:rPr>
        <w:t xml:space="preserve">In </w:t>
      </w:r>
      <w:proofErr w:type="spellStart"/>
      <w:r w:rsidRPr="00CC621D">
        <w:rPr>
          <w:rFonts w:ascii="Times New Roman" w:hAnsi="Times New Roman" w:cs="Times New Roman"/>
          <w:sz w:val="20"/>
          <w:szCs w:val="20"/>
        </w:rPr>
        <w:t>Putrajaya</w:t>
      </w:r>
      <w:proofErr w:type="spellEnd"/>
      <w:r w:rsidRPr="00CC621D">
        <w:rPr>
          <w:rFonts w:ascii="Times New Roman" w:hAnsi="Times New Roman" w:cs="Times New Roman"/>
          <w:sz w:val="20"/>
          <w:szCs w:val="20"/>
        </w:rPr>
        <w:t>, Q4</w:t>
      </w:r>
      <w:r w:rsidRPr="00CC621D">
        <w:rPr>
          <w:rFonts w:ascii="Times New Roman" w:hAnsi="Times New Roman" w:cs="Times New Roman"/>
          <w:color w:val="000000"/>
          <w:sz w:val="20"/>
          <w:szCs w:val="20"/>
        </w:rPr>
        <w:t xml:space="preserve">; How would you rate municipal waste management services in terms of public awareness programs, Q5; How would you rate municipal waste management in terms of comprehensiveness of existing laws and regulations and Q6; How would you rate municipal waste management services in terms of effectiveness of enforcement of laws and regulation in addressing waste issues in Putrajaya, had the lowest mean rank as shown in Table </w:t>
      </w:r>
      <w:r w:rsidR="00AE4813" w:rsidRPr="00CC621D">
        <w:rPr>
          <w:rFonts w:ascii="Times New Roman" w:hAnsi="Times New Roman" w:cs="Times New Roman"/>
          <w:color w:val="000000"/>
          <w:sz w:val="20"/>
          <w:szCs w:val="20"/>
        </w:rPr>
        <w:t>17</w:t>
      </w:r>
      <w:r w:rsidRPr="00CC621D">
        <w:rPr>
          <w:rFonts w:ascii="Times New Roman" w:hAnsi="Times New Roman" w:cs="Times New Roman"/>
          <w:color w:val="000000"/>
          <w:sz w:val="20"/>
          <w:szCs w:val="20"/>
        </w:rPr>
        <w:t xml:space="preserve">. In terms of severity or importance these where the top three issues in the </w:t>
      </w:r>
      <w:r w:rsidR="00B903DB" w:rsidRPr="00CC621D">
        <w:rPr>
          <w:rFonts w:ascii="Times New Roman" w:hAnsi="Times New Roman" w:cs="Times New Roman"/>
          <w:color w:val="000000"/>
          <w:sz w:val="20"/>
          <w:szCs w:val="20"/>
        </w:rPr>
        <w:t xml:space="preserve">general assessment for </w:t>
      </w:r>
      <w:proofErr w:type="spellStart"/>
      <w:r w:rsidR="00B903DB" w:rsidRPr="00CC621D">
        <w:rPr>
          <w:rFonts w:ascii="Times New Roman" w:hAnsi="Times New Roman" w:cs="Times New Roman"/>
          <w:color w:val="000000"/>
          <w:sz w:val="20"/>
          <w:szCs w:val="20"/>
        </w:rPr>
        <w:t>Putrajaya</w:t>
      </w:r>
      <w:proofErr w:type="spellEnd"/>
      <w:r w:rsidR="00B903DB" w:rsidRPr="00CC621D">
        <w:rPr>
          <w:rFonts w:ascii="Times New Roman" w:hAnsi="Times New Roman" w:cs="Times New Roman"/>
          <w:color w:val="000000"/>
          <w:sz w:val="20"/>
          <w:szCs w:val="20"/>
        </w:rPr>
        <w:t>.</w:t>
      </w:r>
    </w:p>
    <w:p w:rsidR="00B903DB" w:rsidRDefault="00B903DB" w:rsidP="00ED11B1">
      <w:pPr>
        <w:pStyle w:val="NoSpacing"/>
        <w:adjustRightInd w:val="0"/>
        <w:snapToGrid w:val="0"/>
        <w:jc w:val="both"/>
        <w:rPr>
          <w:rFonts w:ascii="Times New Roman" w:hAnsi="Times New Roman" w:cs="Times New Roman"/>
          <w:color w:val="000000"/>
          <w:sz w:val="20"/>
          <w:szCs w:val="20"/>
        </w:rPr>
      </w:pPr>
    </w:p>
    <w:p w:rsidR="004C3BF7" w:rsidRPr="00CC621D" w:rsidRDefault="004C3BF7" w:rsidP="00ED11B1">
      <w:pPr>
        <w:pStyle w:val="NoSpacing"/>
        <w:adjustRightInd w:val="0"/>
        <w:snapToGrid w:val="0"/>
        <w:rPr>
          <w:rFonts w:ascii="Times New Roman" w:hAnsi="Times New Roman" w:cs="Times New Roman"/>
          <w:bCs/>
          <w:color w:val="000000"/>
          <w:sz w:val="20"/>
          <w:szCs w:val="20"/>
        </w:rPr>
      </w:pPr>
      <w:r w:rsidRPr="00CC621D">
        <w:rPr>
          <w:rFonts w:ascii="Times New Roman" w:hAnsi="Times New Roman" w:cs="Times New Roman"/>
          <w:bCs/>
          <w:color w:val="000000"/>
          <w:sz w:val="20"/>
          <w:szCs w:val="20"/>
        </w:rPr>
        <w:t xml:space="preserve">Table </w:t>
      </w:r>
      <w:r w:rsidR="00AE4813" w:rsidRPr="00CC621D">
        <w:rPr>
          <w:rFonts w:ascii="Times New Roman" w:hAnsi="Times New Roman" w:cs="Times New Roman"/>
          <w:bCs/>
          <w:color w:val="000000"/>
          <w:sz w:val="20"/>
          <w:szCs w:val="20"/>
        </w:rPr>
        <w:t>17</w:t>
      </w:r>
      <w:r w:rsidRPr="00CC621D">
        <w:rPr>
          <w:rFonts w:ascii="Times New Roman" w:hAnsi="Times New Roman" w:cs="Times New Roman"/>
          <w:bCs/>
          <w:color w:val="000000"/>
          <w:sz w:val="20"/>
          <w:szCs w:val="20"/>
        </w:rPr>
        <w:t>: Mean ranks for general assessment in Putrajaya</w:t>
      </w:r>
    </w:p>
    <w:p w:rsidR="004C3BF7" w:rsidRPr="00CC621D" w:rsidRDefault="004C3BF7" w:rsidP="00ED11B1">
      <w:pPr>
        <w:pStyle w:val="NoSpacing"/>
        <w:adjustRightInd w:val="0"/>
        <w:snapToGrid w:val="0"/>
        <w:rPr>
          <w:rFonts w:ascii="Times New Roman" w:hAnsi="Times New Roman" w:cs="Times New Roman"/>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153"/>
        <w:gridCol w:w="4217"/>
      </w:tblGrid>
      <w:tr w:rsidR="004C3BF7" w:rsidRPr="00CC621D" w:rsidTr="003B7ACB">
        <w:trPr>
          <w:cantSplit/>
          <w:tblHeader/>
        </w:trPr>
        <w:tc>
          <w:tcPr>
            <w:tcW w:w="0" w:type="auto"/>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0" w:type="auto"/>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Mean Rank</w:t>
            </w:r>
          </w:p>
        </w:tc>
      </w:tr>
      <w:tr w:rsidR="004C3BF7" w:rsidRPr="00CC621D" w:rsidTr="003B7ACB">
        <w:trPr>
          <w:cantSplit/>
          <w:tblHeader/>
        </w:trPr>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How would you rate the overall municipal solid waste service?</w:t>
            </w:r>
          </w:p>
        </w:tc>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4.04</w:t>
            </w:r>
          </w:p>
        </w:tc>
      </w:tr>
      <w:tr w:rsidR="004C3BF7" w:rsidRPr="00CC621D" w:rsidTr="003B7ACB">
        <w:trPr>
          <w:cantSplit/>
          <w:tblHeader/>
        </w:trPr>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How would you rate the municipal waste service in terms of efficiency of services provided?</w:t>
            </w:r>
          </w:p>
        </w:tc>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3.57</w:t>
            </w:r>
          </w:p>
        </w:tc>
      </w:tr>
      <w:tr w:rsidR="004C3BF7" w:rsidRPr="00CC621D" w:rsidTr="003B7ACB">
        <w:trPr>
          <w:cantSplit/>
          <w:tblHeader/>
        </w:trPr>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How would you rate the regularity of municipal waste collection?</w:t>
            </w:r>
          </w:p>
        </w:tc>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3.50</w:t>
            </w:r>
          </w:p>
        </w:tc>
      </w:tr>
      <w:tr w:rsidR="004C3BF7" w:rsidRPr="00CC621D" w:rsidTr="003B7ACB">
        <w:trPr>
          <w:cantSplit/>
          <w:tblHeader/>
        </w:trPr>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How would you rate municipal waste management services in terms of public awareness programs?</w:t>
            </w:r>
          </w:p>
        </w:tc>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3.05</w:t>
            </w:r>
          </w:p>
        </w:tc>
      </w:tr>
      <w:tr w:rsidR="004C3BF7" w:rsidRPr="00CC621D" w:rsidTr="003B7ACB">
        <w:trPr>
          <w:cantSplit/>
          <w:tblHeader/>
        </w:trPr>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How would you rate municipal waste management in terms of comprehensiveness of existing laws and regulations?</w:t>
            </w:r>
          </w:p>
        </w:tc>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3.34</w:t>
            </w:r>
          </w:p>
        </w:tc>
      </w:tr>
      <w:tr w:rsidR="004C3BF7" w:rsidRPr="00CC621D" w:rsidTr="003B7ACB">
        <w:trPr>
          <w:cantSplit/>
          <w:tblHeader/>
        </w:trPr>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 xml:space="preserve">How would you rate municipal waste management services in terms of effectiveness of enforcement of laws and regulation in addressing waste issues in Putrajaya? </w:t>
            </w:r>
          </w:p>
        </w:tc>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3.49</w:t>
            </w:r>
          </w:p>
        </w:tc>
      </w:tr>
      <w:tr w:rsidR="004C3BF7" w:rsidRPr="00CC621D" w:rsidTr="003B7ACB">
        <w:trPr>
          <w:cantSplit/>
        </w:trPr>
        <w:tc>
          <w:tcPr>
            <w:tcW w:w="0" w:type="auto"/>
            <w:gridSpan w:val="2"/>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a. CITY = PJ</w:t>
            </w:r>
          </w:p>
          <w:p w:rsidR="004C3BF7" w:rsidRPr="00CC621D" w:rsidRDefault="004C3BF7" w:rsidP="00ED11B1">
            <w:pPr>
              <w:pStyle w:val="NoSpacing"/>
              <w:adjustRightInd w:val="0"/>
              <w:snapToGrid w:val="0"/>
              <w:rPr>
                <w:rFonts w:ascii="Times New Roman" w:hAnsi="Times New Roman" w:cs="Times New Roman"/>
                <w:color w:val="000000"/>
                <w:sz w:val="20"/>
                <w:szCs w:val="20"/>
              </w:rPr>
            </w:pPr>
          </w:p>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 xml:space="preserve">When a comparison is made with regards to the importance of the individual issues using Friedman test, there is a statistical significant difference p=0.000 as shown in Table </w:t>
            </w:r>
            <w:r w:rsidR="00AE4813" w:rsidRPr="00CC621D">
              <w:rPr>
                <w:rFonts w:ascii="Times New Roman" w:hAnsi="Times New Roman" w:cs="Times New Roman"/>
                <w:sz w:val="20"/>
                <w:szCs w:val="20"/>
              </w:rPr>
              <w:t>18</w:t>
            </w:r>
            <w:r w:rsidRPr="00CC621D">
              <w:rPr>
                <w:rFonts w:ascii="Times New Roman" w:hAnsi="Times New Roman" w:cs="Times New Roman"/>
                <w:sz w:val="20"/>
                <w:szCs w:val="20"/>
              </w:rPr>
              <w:t>.</w:t>
            </w:r>
          </w:p>
          <w:p w:rsidR="004C3BF7" w:rsidRPr="00CC621D" w:rsidRDefault="004C3BF7" w:rsidP="00ED11B1">
            <w:pPr>
              <w:pStyle w:val="NoSpacing"/>
              <w:adjustRightInd w:val="0"/>
              <w:snapToGrid w:val="0"/>
              <w:rPr>
                <w:rFonts w:ascii="Times New Roman" w:hAnsi="Times New Roman" w:cs="Times New Roman"/>
                <w:sz w:val="20"/>
                <w:szCs w:val="20"/>
              </w:rPr>
            </w:pPr>
          </w:p>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 xml:space="preserve">Table </w:t>
            </w:r>
            <w:r w:rsidR="00AE4813" w:rsidRPr="00CC621D">
              <w:rPr>
                <w:rFonts w:ascii="Times New Roman" w:hAnsi="Times New Roman" w:cs="Times New Roman"/>
                <w:sz w:val="20"/>
                <w:szCs w:val="20"/>
              </w:rPr>
              <w:t>18</w:t>
            </w:r>
            <w:r w:rsidRPr="00CC621D">
              <w:rPr>
                <w:rFonts w:ascii="Times New Roman" w:hAnsi="Times New Roman" w:cs="Times New Roman"/>
                <w:sz w:val="20"/>
                <w:szCs w:val="20"/>
              </w:rPr>
              <w:t>: Results from Friedman test for Putrajaya</w:t>
            </w:r>
          </w:p>
        </w:tc>
      </w:tr>
      <w:tr w:rsidR="004C3BF7" w:rsidRPr="00CC621D" w:rsidTr="003B7ACB">
        <w:trPr>
          <w:cantSplit/>
          <w:tblHeader/>
        </w:trPr>
        <w:tc>
          <w:tcPr>
            <w:tcW w:w="9370" w:type="dxa"/>
            <w:gridSpan w:val="2"/>
            <w:shd w:val="clear" w:color="auto" w:fill="FFFFFF"/>
            <w:vAlign w:val="center"/>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b/>
                <w:bCs/>
                <w:color w:val="000000"/>
                <w:sz w:val="20"/>
                <w:szCs w:val="20"/>
              </w:rPr>
              <w:t xml:space="preserve">Test </w:t>
            </w:r>
            <w:proofErr w:type="spellStart"/>
            <w:r w:rsidRPr="00CC621D">
              <w:rPr>
                <w:rFonts w:ascii="Times New Roman" w:hAnsi="Times New Roman" w:cs="Times New Roman"/>
                <w:b/>
                <w:bCs/>
                <w:color w:val="000000"/>
                <w:sz w:val="20"/>
                <w:szCs w:val="20"/>
              </w:rPr>
              <w:t>Statistics</w:t>
            </w:r>
            <w:r w:rsidRPr="00CC621D">
              <w:rPr>
                <w:rFonts w:ascii="Times New Roman" w:hAnsi="Times New Roman" w:cs="Times New Roman"/>
                <w:b/>
                <w:bCs/>
                <w:color w:val="000000"/>
                <w:sz w:val="20"/>
                <w:szCs w:val="20"/>
                <w:vertAlign w:val="superscript"/>
              </w:rPr>
              <w:t>a,b</w:t>
            </w:r>
            <w:proofErr w:type="spellEnd"/>
          </w:p>
        </w:tc>
      </w:tr>
      <w:tr w:rsidR="004C3BF7" w:rsidRPr="00CC621D" w:rsidTr="003B7ACB">
        <w:trPr>
          <w:cantSplit/>
          <w:tblHeader/>
        </w:trPr>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N</w:t>
            </w:r>
          </w:p>
        </w:tc>
        <w:tc>
          <w:tcPr>
            <w:tcW w:w="4217"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403</w:t>
            </w:r>
          </w:p>
        </w:tc>
      </w:tr>
      <w:tr w:rsidR="004C3BF7" w:rsidRPr="00CC621D" w:rsidTr="003B7ACB">
        <w:trPr>
          <w:cantSplit/>
          <w:tblHeader/>
        </w:trPr>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Chi-Square</w:t>
            </w:r>
          </w:p>
        </w:tc>
        <w:tc>
          <w:tcPr>
            <w:tcW w:w="4217"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145.910</w:t>
            </w:r>
          </w:p>
        </w:tc>
      </w:tr>
      <w:tr w:rsidR="004C3BF7" w:rsidRPr="00CC621D" w:rsidTr="003B7ACB">
        <w:trPr>
          <w:cantSplit/>
          <w:tblHeader/>
        </w:trPr>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proofErr w:type="spellStart"/>
            <w:r w:rsidRPr="00CC621D">
              <w:rPr>
                <w:rFonts w:ascii="Times New Roman" w:hAnsi="Times New Roman" w:cs="Times New Roman"/>
                <w:color w:val="000000"/>
                <w:sz w:val="20"/>
                <w:szCs w:val="20"/>
              </w:rPr>
              <w:t>df</w:t>
            </w:r>
            <w:proofErr w:type="spellEnd"/>
          </w:p>
        </w:tc>
        <w:tc>
          <w:tcPr>
            <w:tcW w:w="4217"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5</w:t>
            </w:r>
          </w:p>
        </w:tc>
      </w:tr>
      <w:tr w:rsidR="004C3BF7" w:rsidRPr="00CC621D" w:rsidTr="003B7ACB">
        <w:trPr>
          <w:cantSplit/>
          <w:tblHeader/>
        </w:trPr>
        <w:tc>
          <w:tcPr>
            <w:tcW w:w="0" w:type="auto"/>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proofErr w:type="spellStart"/>
            <w:r w:rsidRPr="00CC621D">
              <w:rPr>
                <w:rFonts w:ascii="Times New Roman" w:hAnsi="Times New Roman" w:cs="Times New Roman"/>
                <w:color w:val="000000"/>
                <w:sz w:val="20"/>
                <w:szCs w:val="20"/>
              </w:rPr>
              <w:t>Asymp</w:t>
            </w:r>
            <w:proofErr w:type="spellEnd"/>
            <w:r w:rsidRPr="00CC621D">
              <w:rPr>
                <w:rFonts w:ascii="Times New Roman" w:hAnsi="Times New Roman" w:cs="Times New Roman"/>
                <w:color w:val="000000"/>
                <w:sz w:val="20"/>
                <w:szCs w:val="20"/>
              </w:rPr>
              <w:t>. Sig.</w:t>
            </w:r>
          </w:p>
        </w:tc>
        <w:tc>
          <w:tcPr>
            <w:tcW w:w="4217" w:type="dxa"/>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.000</w:t>
            </w:r>
          </w:p>
        </w:tc>
      </w:tr>
      <w:tr w:rsidR="004C3BF7" w:rsidRPr="00CC621D" w:rsidTr="003B7ACB">
        <w:trPr>
          <w:cantSplit/>
        </w:trPr>
        <w:tc>
          <w:tcPr>
            <w:tcW w:w="9370" w:type="dxa"/>
            <w:gridSpan w:val="2"/>
            <w:shd w:val="clear" w:color="auto" w:fill="FFFFFF"/>
          </w:tcPr>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a. CITY = PJ</w:t>
            </w:r>
          </w:p>
          <w:p w:rsidR="004C3BF7" w:rsidRPr="00CC621D" w:rsidRDefault="004C3BF7" w:rsidP="00ED11B1">
            <w:pPr>
              <w:pStyle w:val="NoSpacing"/>
              <w:adjustRightInd w:val="0"/>
              <w:snapToGrid w:val="0"/>
              <w:rPr>
                <w:rFonts w:ascii="Times New Roman" w:hAnsi="Times New Roman" w:cs="Times New Roman"/>
                <w:color w:val="000000"/>
                <w:sz w:val="20"/>
                <w:szCs w:val="20"/>
              </w:rPr>
            </w:pPr>
            <w:r w:rsidRPr="00CC621D">
              <w:rPr>
                <w:rFonts w:ascii="Times New Roman" w:hAnsi="Times New Roman" w:cs="Times New Roman"/>
                <w:color w:val="000000"/>
                <w:sz w:val="20"/>
                <w:szCs w:val="20"/>
              </w:rPr>
              <w:t>b. Friedman Test</w:t>
            </w:r>
          </w:p>
        </w:tc>
      </w:tr>
    </w:tbl>
    <w:p w:rsidR="00B903DB" w:rsidRDefault="00B903DB" w:rsidP="00ED11B1">
      <w:pPr>
        <w:pStyle w:val="NoSpacing"/>
        <w:adjustRightInd w:val="0"/>
        <w:snapToGrid w:val="0"/>
        <w:rPr>
          <w:rFonts w:ascii="Times New Roman" w:hAnsi="Times New Roman" w:cs="Times New Roman"/>
          <w:sz w:val="20"/>
          <w:szCs w:val="20"/>
        </w:rPr>
      </w:pPr>
    </w:p>
    <w:p w:rsidR="004C3BF7" w:rsidRPr="00CC621D" w:rsidRDefault="004C3BF7" w:rsidP="003B7ACB">
      <w:pPr>
        <w:pStyle w:val="NoSpacing"/>
        <w:adjustRightInd w:val="0"/>
        <w:snapToGrid w:val="0"/>
        <w:ind w:firstLine="720"/>
        <w:jc w:val="both"/>
        <w:rPr>
          <w:rFonts w:ascii="Times New Roman" w:hAnsi="Times New Roman" w:cs="Times New Roman"/>
          <w:sz w:val="20"/>
          <w:szCs w:val="20"/>
        </w:rPr>
      </w:pPr>
      <w:r w:rsidRPr="00CC621D">
        <w:rPr>
          <w:rFonts w:ascii="Times New Roman" w:hAnsi="Times New Roman" w:cs="Times New Roman"/>
          <w:sz w:val="20"/>
          <w:szCs w:val="20"/>
        </w:rPr>
        <w:t xml:space="preserve">FCT Abuja and </w:t>
      </w:r>
      <w:proofErr w:type="spellStart"/>
      <w:r w:rsidRPr="00CC621D">
        <w:rPr>
          <w:rFonts w:ascii="Times New Roman" w:hAnsi="Times New Roman" w:cs="Times New Roman"/>
          <w:sz w:val="20"/>
          <w:szCs w:val="20"/>
        </w:rPr>
        <w:t>Putrajaya</w:t>
      </w:r>
      <w:proofErr w:type="spellEnd"/>
      <w:r w:rsidRPr="00CC621D">
        <w:rPr>
          <w:rFonts w:ascii="Times New Roman" w:hAnsi="Times New Roman" w:cs="Times New Roman"/>
          <w:sz w:val="20"/>
          <w:szCs w:val="20"/>
        </w:rPr>
        <w:t xml:space="preserve"> compared using the means scores for the general assessment in both cities as shown in Table </w:t>
      </w:r>
      <w:r w:rsidR="00AE4813" w:rsidRPr="00CC621D">
        <w:rPr>
          <w:rFonts w:ascii="Times New Roman" w:hAnsi="Times New Roman" w:cs="Times New Roman"/>
          <w:sz w:val="20"/>
          <w:szCs w:val="20"/>
        </w:rPr>
        <w:t>17</w:t>
      </w:r>
      <w:r w:rsidRPr="00CC621D">
        <w:rPr>
          <w:rFonts w:ascii="Times New Roman" w:hAnsi="Times New Roman" w:cs="Times New Roman"/>
          <w:sz w:val="20"/>
          <w:szCs w:val="20"/>
        </w:rPr>
        <w:t xml:space="preserve"> using the scale in Table </w:t>
      </w:r>
      <w:r w:rsidR="00AE4813" w:rsidRPr="00CC621D">
        <w:rPr>
          <w:rFonts w:ascii="Times New Roman" w:hAnsi="Times New Roman" w:cs="Times New Roman"/>
          <w:sz w:val="20"/>
          <w:szCs w:val="20"/>
        </w:rPr>
        <w:t>4</w:t>
      </w:r>
      <w:r w:rsidRPr="00CC621D">
        <w:rPr>
          <w:rFonts w:ascii="Times New Roman" w:hAnsi="Times New Roman" w:cs="Times New Roman"/>
          <w:sz w:val="20"/>
          <w:szCs w:val="20"/>
        </w:rPr>
        <w:t xml:space="preserve">. It can be seen differences due exist in the score in both cities but similarities are visible in the ranking of the importance of issues (Table </w:t>
      </w:r>
      <w:r w:rsidR="00AE4813" w:rsidRPr="00CC621D">
        <w:rPr>
          <w:rFonts w:ascii="Times New Roman" w:hAnsi="Times New Roman" w:cs="Times New Roman"/>
          <w:sz w:val="20"/>
          <w:szCs w:val="20"/>
        </w:rPr>
        <w:t>15</w:t>
      </w:r>
      <w:r w:rsidRPr="00CC621D">
        <w:rPr>
          <w:rFonts w:ascii="Times New Roman" w:hAnsi="Times New Roman" w:cs="Times New Roman"/>
          <w:sz w:val="20"/>
          <w:szCs w:val="20"/>
        </w:rPr>
        <w:t xml:space="preserve"> and </w:t>
      </w:r>
      <w:r w:rsidR="00AE4813" w:rsidRPr="00CC621D">
        <w:rPr>
          <w:rFonts w:ascii="Times New Roman" w:hAnsi="Times New Roman" w:cs="Times New Roman"/>
          <w:sz w:val="20"/>
          <w:szCs w:val="20"/>
        </w:rPr>
        <w:t>17</w:t>
      </w:r>
      <w:r w:rsidRPr="00CC621D">
        <w:rPr>
          <w:rFonts w:ascii="Times New Roman" w:hAnsi="Times New Roman" w:cs="Times New Roman"/>
          <w:sz w:val="20"/>
          <w:szCs w:val="20"/>
        </w:rPr>
        <w:t xml:space="preserve">), and means scores shown in Table </w:t>
      </w:r>
      <w:r w:rsidR="00AE4813" w:rsidRPr="00CC621D">
        <w:rPr>
          <w:rFonts w:ascii="Times New Roman" w:hAnsi="Times New Roman" w:cs="Times New Roman"/>
          <w:sz w:val="20"/>
          <w:szCs w:val="20"/>
        </w:rPr>
        <w:t>19</w:t>
      </w:r>
      <w:r w:rsidRPr="00CC621D">
        <w:rPr>
          <w:rFonts w:ascii="Times New Roman" w:hAnsi="Times New Roman" w:cs="Times New Roman"/>
          <w:sz w:val="20"/>
          <w:szCs w:val="20"/>
        </w:rPr>
        <w:t>.</w:t>
      </w:r>
    </w:p>
    <w:p w:rsidR="004C3BF7" w:rsidRPr="00CC621D" w:rsidRDefault="004C3BF7" w:rsidP="00ED11B1">
      <w:pPr>
        <w:pStyle w:val="NoSpacing"/>
        <w:adjustRightInd w:val="0"/>
        <w:snapToGrid w:val="0"/>
        <w:jc w:val="both"/>
        <w:rPr>
          <w:rFonts w:ascii="Times New Roman" w:hAnsi="Times New Roman" w:cs="Times New Roman"/>
          <w:sz w:val="20"/>
          <w:szCs w:val="20"/>
        </w:rPr>
      </w:pPr>
    </w:p>
    <w:p w:rsidR="00363037" w:rsidRDefault="00363037" w:rsidP="00ED11B1">
      <w:pPr>
        <w:pStyle w:val="NoSpacing"/>
        <w:adjustRightInd w:val="0"/>
        <w:snapToGrid w:val="0"/>
        <w:rPr>
          <w:rFonts w:ascii="Times New Roman" w:hAnsi="Times New Roman" w:cs="Times New Roman"/>
          <w:bCs/>
          <w:color w:val="000000"/>
          <w:sz w:val="20"/>
          <w:szCs w:val="20"/>
        </w:rPr>
      </w:pPr>
    </w:p>
    <w:p w:rsidR="00363037" w:rsidRDefault="00363037" w:rsidP="00ED11B1">
      <w:pPr>
        <w:pStyle w:val="NoSpacing"/>
        <w:adjustRightInd w:val="0"/>
        <w:snapToGrid w:val="0"/>
        <w:rPr>
          <w:rFonts w:ascii="Times New Roman" w:hAnsi="Times New Roman" w:cs="Times New Roman"/>
          <w:bCs/>
          <w:color w:val="000000"/>
          <w:sz w:val="20"/>
          <w:szCs w:val="20"/>
        </w:rPr>
      </w:pPr>
    </w:p>
    <w:p w:rsidR="00363037" w:rsidRDefault="00363037" w:rsidP="00ED11B1">
      <w:pPr>
        <w:pStyle w:val="NoSpacing"/>
        <w:adjustRightInd w:val="0"/>
        <w:snapToGrid w:val="0"/>
        <w:rPr>
          <w:rFonts w:ascii="Times New Roman" w:hAnsi="Times New Roman" w:cs="Times New Roman"/>
          <w:bCs/>
          <w:color w:val="000000"/>
          <w:sz w:val="20"/>
          <w:szCs w:val="20"/>
        </w:rPr>
      </w:pPr>
    </w:p>
    <w:p w:rsidR="00363037" w:rsidRDefault="00363037" w:rsidP="00ED11B1">
      <w:pPr>
        <w:pStyle w:val="NoSpacing"/>
        <w:adjustRightInd w:val="0"/>
        <w:snapToGrid w:val="0"/>
        <w:rPr>
          <w:rFonts w:ascii="Times New Roman" w:hAnsi="Times New Roman" w:cs="Times New Roman"/>
          <w:bCs/>
          <w:color w:val="000000"/>
          <w:sz w:val="20"/>
          <w:szCs w:val="20"/>
        </w:rPr>
      </w:pPr>
    </w:p>
    <w:p w:rsidR="00363037" w:rsidRDefault="00363037" w:rsidP="00ED11B1">
      <w:pPr>
        <w:pStyle w:val="NoSpacing"/>
        <w:adjustRightInd w:val="0"/>
        <w:snapToGrid w:val="0"/>
        <w:rPr>
          <w:rFonts w:ascii="Times New Roman" w:hAnsi="Times New Roman" w:cs="Times New Roman"/>
          <w:bCs/>
          <w:color w:val="000000"/>
          <w:sz w:val="20"/>
          <w:szCs w:val="20"/>
        </w:rPr>
      </w:pPr>
    </w:p>
    <w:p w:rsidR="00363037" w:rsidRDefault="00363037" w:rsidP="00ED11B1">
      <w:pPr>
        <w:pStyle w:val="NoSpacing"/>
        <w:adjustRightInd w:val="0"/>
        <w:snapToGrid w:val="0"/>
        <w:rPr>
          <w:rFonts w:ascii="Times New Roman" w:hAnsi="Times New Roman" w:cs="Times New Roman"/>
          <w:bCs/>
          <w:color w:val="000000"/>
          <w:sz w:val="20"/>
          <w:szCs w:val="20"/>
        </w:rPr>
      </w:pPr>
    </w:p>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bCs/>
          <w:color w:val="000000"/>
          <w:sz w:val="20"/>
          <w:szCs w:val="20"/>
        </w:rPr>
        <w:t xml:space="preserve">Table </w:t>
      </w:r>
      <w:r w:rsidR="00AE4813" w:rsidRPr="00CC621D">
        <w:rPr>
          <w:rFonts w:ascii="Times New Roman" w:hAnsi="Times New Roman" w:cs="Times New Roman"/>
          <w:bCs/>
          <w:color w:val="000000"/>
          <w:sz w:val="20"/>
          <w:szCs w:val="20"/>
        </w:rPr>
        <w:t>19</w:t>
      </w:r>
      <w:r w:rsidRPr="00CC621D">
        <w:rPr>
          <w:rFonts w:ascii="Times New Roman" w:hAnsi="Times New Roman" w:cs="Times New Roman"/>
          <w:bCs/>
          <w:color w:val="000000"/>
          <w:sz w:val="20"/>
          <w:szCs w:val="20"/>
        </w:rPr>
        <w:t>: Comparison of mean score for general assessment in FCT Abuja and Putrajaya</w:t>
      </w:r>
    </w:p>
    <w:tbl>
      <w:tblPr>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8"/>
        <w:gridCol w:w="1362"/>
        <w:gridCol w:w="1361"/>
        <w:gridCol w:w="1362"/>
        <w:gridCol w:w="1362"/>
        <w:gridCol w:w="1362"/>
        <w:gridCol w:w="1367"/>
      </w:tblGrid>
      <w:tr w:rsidR="004C3BF7" w:rsidRPr="00CC621D" w:rsidTr="003B7ACB">
        <w:trPr>
          <w:cantSplit/>
          <w:trHeight w:val="70"/>
          <w:tblHeader/>
        </w:trPr>
        <w:tc>
          <w:tcPr>
            <w:tcW w:w="8884" w:type="dxa"/>
            <w:gridSpan w:val="7"/>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Mean</w:t>
            </w:r>
          </w:p>
        </w:tc>
      </w:tr>
      <w:tr w:rsidR="004C3BF7" w:rsidRPr="00CC621D" w:rsidTr="003B7ACB">
        <w:trPr>
          <w:cantSplit/>
          <w:trHeight w:val="767"/>
          <w:tblHeader/>
        </w:trPr>
        <w:tc>
          <w:tcPr>
            <w:tcW w:w="708"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CITY</w:t>
            </w:r>
          </w:p>
        </w:tc>
        <w:tc>
          <w:tcPr>
            <w:tcW w:w="1362"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How would you rate the overall municipal solid waste service?</w:t>
            </w:r>
          </w:p>
        </w:tc>
        <w:tc>
          <w:tcPr>
            <w:tcW w:w="1361"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How would you rate the municipal waste service in terms of efficiency of services provided?</w:t>
            </w:r>
          </w:p>
        </w:tc>
        <w:tc>
          <w:tcPr>
            <w:tcW w:w="1362"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How would you rate the regularity of municipal waste collection?</w:t>
            </w:r>
          </w:p>
        </w:tc>
        <w:tc>
          <w:tcPr>
            <w:tcW w:w="1362"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How would you rate municipal waste management services in terms of public awareness programs?</w:t>
            </w:r>
          </w:p>
        </w:tc>
        <w:tc>
          <w:tcPr>
            <w:tcW w:w="1362"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How would you rate municipal waste management in terms of comprehensiveness of existing laws and regulations?</w:t>
            </w:r>
          </w:p>
        </w:tc>
        <w:tc>
          <w:tcPr>
            <w:tcW w:w="1365" w:type="dxa"/>
            <w:shd w:val="clear" w:color="auto" w:fill="FFFFFF"/>
            <w:vAlign w:val="bottom"/>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 xml:space="preserve">How would you rate municipal waste management services in terms of effectiveness of enforcement of laws and regulation in addressing waste issues in FCT Abuja? </w:t>
            </w:r>
          </w:p>
        </w:tc>
      </w:tr>
      <w:tr w:rsidR="004C3BF7" w:rsidRPr="00CC621D" w:rsidTr="003B7ACB">
        <w:trPr>
          <w:cantSplit/>
          <w:trHeight w:val="70"/>
          <w:tblHeader/>
        </w:trPr>
        <w:tc>
          <w:tcPr>
            <w:tcW w:w="708"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Abuja</w:t>
            </w:r>
          </w:p>
        </w:tc>
        <w:tc>
          <w:tcPr>
            <w:tcW w:w="136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2.6499</w:t>
            </w:r>
          </w:p>
        </w:tc>
        <w:tc>
          <w:tcPr>
            <w:tcW w:w="1361"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2.6667</w:t>
            </w:r>
          </w:p>
        </w:tc>
        <w:tc>
          <w:tcPr>
            <w:tcW w:w="136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2.6130</w:t>
            </w:r>
          </w:p>
        </w:tc>
        <w:tc>
          <w:tcPr>
            <w:tcW w:w="136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2.4460</w:t>
            </w:r>
          </w:p>
        </w:tc>
        <w:tc>
          <w:tcPr>
            <w:tcW w:w="136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2.5000</w:t>
            </w:r>
          </w:p>
        </w:tc>
        <w:tc>
          <w:tcPr>
            <w:tcW w:w="1365"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2.5492</w:t>
            </w:r>
          </w:p>
        </w:tc>
      </w:tr>
      <w:tr w:rsidR="004C3BF7" w:rsidRPr="00CC621D" w:rsidTr="003B7ACB">
        <w:trPr>
          <w:cantSplit/>
          <w:trHeight w:val="70"/>
          <w:tblHeader/>
        </w:trPr>
        <w:tc>
          <w:tcPr>
            <w:tcW w:w="708"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PJ</w:t>
            </w:r>
          </w:p>
        </w:tc>
        <w:tc>
          <w:tcPr>
            <w:tcW w:w="136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4.2444</w:t>
            </w:r>
          </w:p>
        </w:tc>
        <w:tc>
          <w:tcPr>
            <w:tcW w:w="1361"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4.0693</w:t>
            </w:r>
          </w:p>
        </w:tc>
        <w:tc>
          <w:tcPr>
            <w:tcW w:w="136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4.0395</w:t>
            </w:r>
          </w:p>
        </w:tc>
        <w:tc>
          <w:tcPr>
            <w:tcW w:w="136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3.8346</w:t>
            </w:r>
          </w:p>
        </w:tc>
        <w:tc>
          <w:tcPr>
            <w:tcW w:w="136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3.9531</w:t>
            </w:r>
          </w:p>
        </w:tc>
        <w:tc>
          <w:tcPr>
            <w:tcW w:w="1365"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4.0272</w:t>
            </w:r>
          </w:p>
        </w:tc>
      </w:tr>
      <w:tr w:rsidR="004C3BF7" w:rsidRPr="00CC621D" w:rsidTr="003B7ACB">
        <w:trPr>
          <w:cantSplit/>
          <w:trHeight w:val="70"/>
        </w:trPr>
        <w:tc>
          <w:tcPr>
            <w:tcW w:w="708"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36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361"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36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36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362"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p>
        </w:tc>
        <w:tc>
          <w:tcPr>
            <w:tcW w:w="1365" w:type="dxa"/>
            <w:shd w:val="clear" w:color="auto" w:fill="FFFFFF"/>
          </w:tcPr>
          <w:p w:rsidR="004C3BF7" w:rsidRPr="00CC621D" w:rsidRDefault="004C3BF7" w:rsidP="00ED11B1">
            <w:pPr>
              <w:pStyle w:val="NoSpacing"/>
              <w:adjustRightInd w:val="0"/>
              <w:snapToGrid w:val="0"/>
              <w:rPr>
                <w:rFonts w:ascii="Times New Roman" w:hAnsi="Times New Roman" w:cs="Times New Roman"/>
                <w:sz w:val="20"/>
                <w:szCs w:val="20"/>
              </w:rPr>
            </w:pPr>
          </w:p>
        </w:tc>
      </w:tr>
    </w:tbl>
    <w:p w:rsidR="003B7ACB" w:rsidRDefault="003B7ACB" w:rsidP="00ED11B1">
      <w:pPr>
        <w:pStyle w:val="NoSpacing"/>
        <w:adjustRightInd w:val="0"/>
        <w:snapToGrid w:val="0"/>
        <w:rPr>
          <w:rFonts w:ascii="Times New Roman" w:hAnsi="Times New Roman" w:cs="Times New Roman"/>
          <w:sz w:val="20"/>
          <w:szCs w:val="20"/>
        </w:rPr>
      </w:pPr>
    </w:p>
    <w:p w:rsidR="004C3BF7" w:rsidRPr="00CC621D" w:rsidRDefault="004C3BF7" w:rsidP="003B7ACB">
      <w:pPr>
        <w:pStyle w:val="NoSpacing"/>
        <w:adjustRightInd w:val="0"/>
        <w:snapToGrid w:val="0"/>
        <w:ind w:firstLine="720"/>
        <w:rPr>
          <w:rFonts w:ascii="Times New Roman" w:hAnsi="Times New Roman" w:cs="Times New Roman"/>
          <w:sz w:val="20"/>
          <w:szCs w:val="20"/>
        </w:rPr>
      </w:pPr>
      <w:r w:rsidRPr="00CC621D">
        <w:rPr>
          <w:rFonts w:ascii="Times New Roman" w:hAnsi="Times New Roman" w:cs="Times New Roman"/>
          <w:sz w:val="20"/>
          <w:szCs w:val="20"/>
        </w:rPr>
        <w:t xml:space="preserve">In all cases </w:t>
      </w:r>
      <w:proofErr w:type="spellStart"/>
      <w:r w:rsidRPr="00CC621D">
        <w:rPr>
          <w:rFonts w:ascii="Times New Roman" w:hAnsi="Times New Roman" w:cs="Times New Roman"/>
          <w:sz w:val="20"/>
          <w:szCs w:val="20"/>
        </w:rPr>
        <w:t>Putrajaya</w:t>
      </w:r>
      <w:proofErr w:type="spellEnd"/>
      <w:r w:rsidRPr="00CC621D">
        <w:rPr>
          <w:rFonts w:ascii="Times New Roman" w:hAnsi="Times New Roman" w:cs="Times New Roman"/>
          <w:sz w:val="20"/>
          <w:szCs w:val="20"/>
        </w:rPr>
        <w:t xml:space="preserve"> scored higher scores in the assessment as shown in Table </w:t>
      </w:r>
      <w:r w:rsidR="00AE4813" w:rsidRPr="00CC621D">
        <w:rPr>
          <w:rFonts w:ascii="Times New Roman" w:hAnsi="Times New Roman" w:cs="Times New Roman"/>
          <w:sz w:val="20"/>
          <w:szCs w:val="20"/>
        </w:rPr>
        <w:t>19</w:t>
      </w:r>
      <w:r w:rsidRPr="00CC621D">
        <w:rPr>
          <w:rFonts w:ascii="Times New Roman" w:hAnsi="Times New Roman" w:cs="Times New Roman"/>
          <w:sz w:val="20"/>
          <w:szCs w:val="20"/>
        </w:rPr>
        <w:t>, which is reflective of the better MSWMS in the city as compared to FCT Abuja</w:t>
      </w:r>
      <w:r w:rsidR="003B7ACB">
        <w:rPr>
          <w:rFonts w:ascii="Times New Roman" w:hAnsi="Times New Roman" w:cs="Times New Roman"/>
          <w:sz w:val="20"/>
          <w:szCs w:val="20"/>
        </w:rPr>
        <w:t xml:space="preserve">. </w:t>
      </w:r>
    </w:p>
    <w:p w:rsidR="004C3BF7" w:rsidRPr="00CC621D" w:rsidRDefault="004C3BF7" w:rsidP="00ED11B1">
      <w:pPr>
        <w:pStyle w:val="NoSpacing"/>
        <w:adjustRightInd w:val="0"/>
        <w:snapToGrid w:val="0"/>
        <w:rPr>
          <w:rFonts w:ascii="Times New Roman" w:hAnsi="Times New Roman" w:cs="Times New Roman"/>
          <w:sz w:val="20"/>
          <w:szCs w:val="20"/>
        </w:rPr>
      </w:pPr>
      <w:bookmarkStart w:id="0" w:name="_GoBack"/>
      <w:bookmarkEnd w:id="0"/>
    </w:p>
    <w:p w:rsidR="00B903DB" w:rsidRPr="00CC621D" w:rsidRDefault="00B903DB" w:rsidP="00ED11B1">
      <w:pPr>
        <w:pStyle w:val="NoSpacing"/>
        <w:adjustRightInd w:val="0"/>
        <w:snapToGrid w:val="0"/>
        <w:rPr>
          <w:rFonts w:ascii="Times New Roman" w:hAnsi="Times New Roman" w:cs="Times New Roman"/>
          <w:b/>
          <w:sz w:val="20"/>
          <w:szCs w:val="20"/>
        </w:rPr>
        <w:sectPr w:rsidR="00B903DB" w:rsidRPr="00CC621D" w:rsidSect="006B0A96">
          <w:type w:val="continuous"/>
          <w:pgSz w:w="12240" w:h="15840" w:code="1"/>
          <w:pgMar w:top="1440" w:right="1440" w:bottom="1440" w:left="1440" w:header="720" w:footer="720" w:gutter="0"/>
          <w:cols w:space="708"/>
          <w:docGrid w:linePitch="360"/>
        </w:sectPr>
      </w:pPr>
    </w:p>
    <w:p w:rsidR="004C3BF7" w:rsidRPr="00CC621D" w:rsidRDefault="009B5CCB" w:rsidP="00ED11B1">
      <w:pPr>
        <w:pStyle w:val="NoSpacing"/>
        <w:adjustRightInd w:val="0"/>
        <w:snapToGrid w:val="0"/>
        <w:rPr>
          <w:rFonts w:ascii="Times New Roman" w:hAnsi="Times New Roman" w:cs="Times New Roman"/>
          <w:b/>
          <w:sz w:val="20"/>
          <w:szCs w:val="20"/>
        </w:rPr>
      </w:pPr>
      <w:r w:rsidRPr="00CC621D">
        <w:rPr>
          <w:rFonts w:ascii="Times New Roman" w:hAnsi="Times New Roman" w:cs="Times New Roman"/>
          <w:b/>
          <w:sz w:val="20"/>
          <w:szCs w:val="20"/>
        </w:rPr>
        <w:lastRenderedPageBreak/>
        <w:t xml:space="preserve">5.0 </w:t>
      </w:r>
      <w:r w:rsidR="004C3BF7" w:rsidRPr="00CC621D">
        <w:rPr>
          <w:rFonts w:ascii="Times New Roman" w:hAnsi="Times New Roman" w:cs="Times New Roman"/>
          <w:b/>
          <w:sz w:val="20"/>
          <w:szCs w:val="20"/>
        </w:rPr>
        <w:t>Conclusions</w:t>
      </w:r>
    </w:p>
    <w:p w:rsidR="004C3BF7" w:rsidRDefault="004C3BF7" w:rsidP="003B7ACB">
      <w:pPr>
        <w:adjustRightInd w:val="0"/>
        <w:snapToGrid w:val="0"/>
        <w:spacing w:after="0" w:line="240" w:lineRule="auto"/>
        <w:ind w:firstLine="720"/>
        <w:jc w:val="both"/>
        <w:rPr>
          <w:rFonts w:ascii="Times New Roman" w:hAnsi="Times New Roman" w:cs="Times New Roman"/>
          <w:sz w:val="20"/>
          <w:szCs w:val="20"/>
        </w:rPr>
      </w:pPr>
      <w:r w:rsidRPr="00CC621D">
        <w:rPr>
          <w:rFonts w:ascii="Times New Roman" w:hAnsi="Times New Roman" w:cs="Times New Roman"/>
          <w:sz w:val="20"/>
          <w:szCs w:val="20"/>
        </w:rPr>
        <w:t xml:space="preserve">In the rating of MSWM services rating score with regard to individual questions differed in both cities (p=0.000 in Putrajaya and FCT Abuja). When the rating scores where compared between both cities using the mean score (Table </w:t>
      </w:r>
      <w:r w:rsidR="00792D16" w:rsidRPr="00CC621D">
        <w:rPr>
          <w:rFonts w:ascii="Times New Roman" w:hAnsi="Times New Roman" w:cs="Times New Roman"/>
          <w:sz w:val="20"/>
          <w:szCs w:val="20"/>
        </w:rPr>
        <w:t>19</w:t>
      </w:r>
      <w:r w:rsidRPr="00CC621D">
        <w:rPr>
          <w:rFonts w:ascii="Times New Roman" w:hAnsi="Times New Roman" w:cs="Times New Roman"/>
          <w:sz w:val="20"/>
          <w:szCs w:val="20"/>
        </w:rPr>
        <w:t>), Putrajaya had higher mean score than FCT Abuja indicating a better rating of services. In FCT Abuja and Putrajaya Q4, Q5 and Q6 had the lowest mean rank (</w:t>
      </w:r>
      <w:r w:rsidR="00551943" w:rsidRPr="00CC621D">
        <w:rPr>
          <w:rFonts w:ascii="Times New Roman" w:hAnsi="Times New Roman" w:cs="Times New Roman"/>
          <w:sz w:val="20"/>
          <w:szCs w:val="20"/>
        </w:rPr>
        <w:t>Figure 1</w:t>
      </w:r>
      <w:r w:rsidR="00AE4813" w:rsidRPr="00CC621D">
        <w:rPr>
          <w:rFonts w:ascii="Times New Roman" w:hAnsi="Times New Roman" w:cs="Times New Roman"/>
          <w:sz w:val="20"/>
          <w:szCs w:val="20"/>
        </w:rPr>
        <w:t xml:space="preserve">, </w:t>
      </w:r>
      <w:r w:rsidRPr="00CC621D">
        <w:rPr>
          <w:rFonts w:ascii="Times New Roman" w:hAnsi="Times New Roman" w:cs="Times New Roman"/>
          <w:sz w:val="20"/>
          <w:szCs w:val="20"/>
        </w:rPr>
        <w:t xml:space="preserve">Table </w:t>
      </w:r>
      <w:r w:rsidR="00792D16" w:rsidRPr="00CC621D">
        <w:rPr>
          <w:rFonts w:ascii="Times New Roman" w:hAnsi="Times New Roman" w:cs="Times New Roman"/>
          <w:sz w:val="20"/>
          <w:szCs w:val="20"/>
        </w:rPr>
        <w:t>15</w:t>
      </w:r>
      <w:r w:rsidRPr="00CC621D">
        <w:rPr>
          <w:rFonts w:ascii="Times New Roman" w:hAnsi="Times New Roman" w:cs="Times New Roman"/>
          <w:sz w:val="20"/>
          <w:szCs w:val="20"/>
        </w:rPr>
        <w:t xml:space="preserve"> and Table </w:t>
      </w:r>
      <w:r w:rsidR="00792D16" w:rsidRPr="00CC621D">
        <w:rPr>
          <w:rFonts w:ascii="Times New Roman" w:hAnsi="Times New Roman" w:cs="Times New Roman"/>
          <w:sz w:val="20"/>
          <w:szCs w:val="20"/>
        </w:rPr>
        <w:t>17</w:t>
      </w:r>
      <w:r w:rsidRPr="00CC621D">
        <w:rPr>
          <w:rFonts w:ascii="Times New Roman" w:hAnsi="Times New Roman" w:cs="Times New Roman"/>
          <w:sz w:val="20"/>
          <w:szCs w:val="20"/>
        </w:rPr>
        <w:t>) therefore are the issue that had the lowest ratings. It was also determined age did no influence the rating score of the assessment in both cities (Putrajaya, p=0.550 and FCT Abuja, p=0.117), education influenced the rating scores in Putrajaya (p=0.046) but did not influence the rating scores in FCT Abuja (p=0.423) and income levels influenced the rating scores in Putrajaya (p=0.000) but did not influence the rating scores in FCT Abuja (p=0.446).</w:t>
      </w:r>
    </w:p>
    <w:p w:rsidR="003B7ACB" w:rsidRPr="00CC621D" w:rsidRDefault="003B7ACB" w:rsidP="003B7ACB">
      <w:pPr>
        <w:adjustRightInd w:val="0"/>
        <w:snapToGrid w:val="0"/>
        <w:spacing w:after="0" w:line="240" w:lineRule="auto"/>
        <w:ind w:firstLine="720"/>
        <w:jc w:val="both"/>
        <w:rPr>
          <w:rFonts w:ascii="Times New Roman" w:hAnsi="Times New Roman" w:cs="Times New Roman"/>
          <w:sz w:val="20"/>
          <w:szCs w:val="20"/>
        </w:rPr>
      </w:pPr>
    </w:p>
    <w:p w:rsidR="0068589E" w:rsidRPr="00CC621D" w:rsidRDefault="0068589E" w:rsidP="00ED11B1">
      <w:pPr>
        <w:pStyle w:val="NoSpacing"/>
        <w:adjustRightInd w:val="0"/>
        <w:snapToGrid w:val="0"/>
        <w:rPr>
          <w:rFonts w:ascii="Times New Roman" w:hAnsi="Times New Roman" w:cs="Times New Roman"/>
          <w:b/>
          <w:sz w:val="20"/>
          <w:szCs w:val="20"/>
        </w:rPr>
      </w:pPr>
      <w:r w:rsidRPr="00CC621D">
        <w:rPr>
          <w:rFonts w:ascii="Times New Roman" w:hAnsi="Times New Roman" w:cs="Times New Roman"/>
          <w:b/>
          <w:sz w:val="20"/>
          <w:szCs w:val="20"/>
        </w:rPr>
        <w:t>Corresponding Author:</w:t>
      </w:r>
    </w:p>
    <w:p w:rsidR="0068589E" w:rsidRPr="00CC621D" w:rsidRDefault="0068589E" w:rsidP="00ED11B1">
      <w:pPr>
        <w:pStyle w:val="NoSpacing"/>
        <w:adjustRightInd w:val="0"/>
        <w:snapToGrid w:val="0"/>
        <w:rPr>
          <w:rFonts w:ascii="Times New Roman" w:hAnsi="Times New Roman" w:cs="Times New Roman"/>
          <w:sz w:val="20"/>
          <w:szCs w:val="20"/>
        </w:rPr>
      </w:pPr>
      <w:proofErr w:type="spellStart"/>
      <w:r w:rsidRPr="00CC621D">
        <w:rPr>
          <w:rFonts w:ascii="Times New Roman" w:hAnsi="Times New Roman" w:cs="Times New Roman"/>
          <w:sz w:val="20"/>
          <w:szCs w:val="20"/>
        </w:rPr>
        <w:t>Kadafa</w:t>
      </w:r>
      <w:proofErr w:type="spellEnd"/>
      <w:r w:rsidRPr="00CC621D">
        <w:rPr>
          <w:rFonts w:ascii="Times New Roman" w:hAnsi="Times New Roman" w:cs="Times New Roman"/>
          <w:sz w:val="20"/>
          <w:szCs w:val="20"/>
        </w:rPr>
        <w:t xml:space="preserve"> </w:t>
      </w:r>
      <w:proofErr w:type="spellStart"/>
      <w:r w:rsidRPr="00CC621D">
        <w:rPr>
          <w:rFonts w:ascii="Times New Roman" w:hAnsi="Times New Roman" w:cs="Times New Roman"/>
          <w:sz w:val="20"/>
          <w:szCs w:val="20"/>
        </w:rPr>
        <w:t>Adati</w:t>
      </w:r>
      <w:proofErr w:type="spellEnd"/>
      <w:r w:rsidRPr="00CC621D">
        <w:rPr>
          <w:rFonts w:ascii="Times New Roman" w:hAnsi="Times New Roman" w:cs="Times New Roman"/>
          <w:sz w:val="20"/>
          <w:szCs w:val="20"/>
        </w:rPr>
        <w:t xml:space="preserve"> </w:t>
      </w:r>
      <w:proofErr w:type="spellStart"/>
      <w:r w:rsidRPr="00CC621D">
        <w:rPr>
          <w:rFonts w:ascii="Times New Roman" w:hAnsi="Times New Roman" w:cs="Times New Roman"/>
          <w:sz w:val="20"/>
          <w:szCs w:val="20"/>
        </w:rPr>
        <w:t>Ayuba</w:t>
      </w:r>
      <w:proofErr w:type="spellEnd"/>
    </w:p>
    <w:p w:rsidR="0068589E" w:rsidRPr="00CC621D" w:rsidRDefault="0068589E" w:rsidP="00ED11B1">
      <w:pPr>
        <w:pStyle w:val="NoSpacing"/>
        <w:adjustRightInd w:val="0"/>
        <w:snapToGrid w:val="0"/>
        <w:rPr>
          <w:rFonts w:ascii="Times New Roman" w:hAnsi="Times New Roman" w:cs="Times New Roman"/>
          <w:sz w:val="20"/>
          <w:szCs w:val="20"/>
        </w:rPr>
      </w:pPr>
      <w:proofErr w:type="spellStart"/>
      <w:r w:rsidRPr="00CC621D">
        <w:rPr>
          <w:rFonts w:ascii="Times New Roman" w:hAnsi="Times New Roman" w:cs="Times New Roman"/>
          <w:sz w:val="20"/>
          <w:szCs w:val="20"/>
        </w:rPr>
        <w:t>Phd</w:t>
      </w:r>
      <w:proofErr w:type="spellEnd"/>
      <w:r w:rsidRPr="00CC621D">
        <w:rPr>
          <w:rFonts w:ascii="Times New Roman" w:hAnsi="Times New Roman" w:cs="Times New Roman"/>
          <w:sz w:val="20"/>
          <w:szCs w:val="20"/>
        </w:rPr>
        <w:t xml:space="preserve"> Candidate</w:t>
      </w:r>
    </w:p>
    <w:p w:rsidR="0068589E" w:rsidRPr="00CC621D" w:rsidRDefault="0068589E"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Department of Environmental Management</w:t>
      </w:r>
    </w:p>
    <w:p w:rsidR="0068589E" w:rsidRPr="00CC621D" w:rsidRDefault="0068589E" w:rsidP="00ED11B1">
      <w:pPr>
        <w:pStyle w:val="NoSpacing"/>
        <w:adjustRightInd w:val="0"/>
        <w:snapToGrid w:val="0"/>
        <w:rPr>
          <w:rFonts w:ascii="Times New Roman" w:hAnsi="Times New Roman" w:cs="Times New Roman"/>
          <w:sz w:val="20"/>
          <w:szCs w:val="20"/>
        </w:rPr>
      </w:pPr>
      <w:r w:rsidRPr="00CC621D">
        <w:rPr>
          <w:rFonts w:ascii="Times New Roman" w:hAnsi="Times New Roman" w:cs="Times New Roman"/>
          <w:sz w:val="20"/>
          <w:szCs w:val="20"/>
        </w:rPr>
        <w:t>Faculty of Environmental Studies</w:t>
      </w:r>
    </w:p>
    <w:p w:rsidR="0068589E" w:rsidRPr="00CC621D" w:rsidRDefault="0068589E" w:rsidP="00ED11B1">
      <w:pPr>
        <w:pStyle w:val="NoSpacing"/>
        <w:adjustRightInd w:val="0"/>
        <w:snapToGrid w:val="0"/>
        <w:rPr>
          <w:rFonts w:ascii="Times New Roman" w:hAnsi="Times New Roman" w:cs="Times New Roman"/>
          <w:sz w:val="20"/>
          <w:szCs w:val="20"/>
        </w:rPr>
      </w:pPr>
      <w:proofErr w:type="spellStart"/>
      <w:r w:rsidRPr="00CC621D">
        <w:rPr>
          <w:rFonts w:ascii="Times New Roman" w:hAnsi="Times New Roman" w:cs="Times New Roman"/>
          <w:sz w:val="20"/>
          <w:szCs w:val="20"/>
        </w:rPr>
        <w:t>Universiti</w:t>
      </w:r>
      <w:proofErr w:type="spellEnd"/>
      <w:r w:rsidRPr="00CC621D">
        <w:rPr>
          <w:rFonts w:ascii="Times New Roman" w:hAnsi="Times New Roman" w:cs="Times New Roman"/>
          <w:sz w:val="20"/>
          <w:szCs w:val="20"/>
        </w:rPr>
        <w:t xml:space="preserve"> Putra Malaysia</w:t>
      </w:r>
    </w:p>
    <w:p w:rsidR="0068589E" w:rsidRPr="00CC621D" w:rsidRDefault="0068589E" w:rsidP="00ED11B1">
      <w:pPr>
        <w:adjustRightInd w:val="0"/>
        <w:snapToGrid w:val="0"/>
        <w:spacing w:after="0" w:line="240" w:lineRule="auto"/>
        <w:jc w:val="both"/>
        <w:rPr>
          <w:rFonts w:ascii="Times New Roman" w:hAnsi="Times New Roman" w:cs="Times New Roman"/>
          <w:b/>
          <w:sz w:val="20"/>
          <w:szCs w:val="20"/>
        </w:rPr>
      </w:pPr>
    </w:p>
    <w:p w:rsidR="009B5CCB" w:rsidRPr="00CC621D" w:rsidRDefault="009B5CCB" w:rsidP="00ED11B1">
      <w:pPr>
        <w:adjustRightInd w:val="0"/>
        <w:snapToGrid w:val="0"/>
        <w:spacing w:after="0" w:line="240" w:lineRule="auto"/>
        <w:rPr>
          <w:rFonts w:ascii="Times New Roman" w:hAnsi="Times New Roman" w:cs="Times New Roman"/>
          <w:b/>
          <w:sz w:val="20"/>
          <w:szCs w:val="20"/>
        </w:rPr>
      </w:pPr>
      <w:r w:rsidRPr="00CC621D">
        <w:rPr>
          <w:rFonts w:ascii="Times New Roman" w:hAnsi="Times New Roman" w:cs="Times New Roman"/>
          <w:b/>
          <w:sz w:val="20"/>
          <w:szCs w:val="20"/>
        </w:rPr>
        <w:t>References</w:t>
      </w:r>
    </w:p>
    <w:p w:rsidR="008820AC" w:rsidRPr="00CC621D" w:rsidRDefault="00195BC7" w:rsidP="003B7ACB">
      <w:pPr>
        <w:pStyle w:val="NormalWeb"/>
        <w:numPr>
          <w:ilvl w:val="0"/>
          <w:numId w:val="14"/>
        </w:numPr>
        <w:adjustRightInd w:val="0"/>
        <w:snapToGrid w:val="0"/>
        <w:spacing w:before="0" w:beforeAutospacing="0" w:after="0" w:afterAutospacing="0"/>
        <w:ind w:left="426" w:hanging="426"/>
        <w:jc w:val="both"/>
        <w:rPr>
          <w:sz w:val="20"/>
          <w:szCs w:val="20"/>
        </w:rPr>
      </w:pPr>
      <w:r w:rsidRPr="00CC621D">
        <w:rPr>
          <w:sz w:val="20"/>
          <w:szCs w:val="20"/>
        </w:rPr>
        <w:t>Abuja-</w:t>
      </w:r>
      <w:proofErr w:type="spellStart"/>
      <w:r w:rsidRPr="00CC621D">
        <w:rPr>
          <w:sz w:val="20"/>
          <w:szCs w:val="20"/>
        </w:rPr>
        <w:t>Citiserve</w:t>
      </w:r>
      <w:proofErr w:type="spellEnd"/>
      <w:r w:rsidR="008820AC" w:rsidRPr="00CC621D">
        <w:rPr>
          <w:sz w:val="20"/>
          <w:szCs w:val="20"/>
        </w:rPr>
        <w:t xml:space="preserve">. </w:t>
      </w:r>
      <w:r w:rsidR="008820AC" w:rsidRPr="00CC621D">
        <w:rPr>
          <w:iCs/>
          <w:sz w:val="20"/>
          <w:szCs w:val="20"/>
        </w:rPr>
        <w:t>Estimates of Waste Generation Volumes and Income Potential in Abuja</w:t>
      </w:r>
      <w:r w:rsidR="008820AC" w:rsidRPr="00CC621D">
        <w:rPr>
          <w:sz w:val="20"/>
          <w:szCs w:val="20"/>
        </w:rPr>
        <w:t xml:space="preserve">. </w:t>
      </w:r>
      <w:r w:rsidR="008820AC" w:rsidRPr="00CC621D">
        <w:rPr>
          <w:iCs/>
          <w:sz w:val="20"/>
          <w:szCs w:val="20"/>
        </w:rPr>
        <w:t xml:space="preserve">Population </w:t>
      </w:r>
      <w:r w:rsidR="008820AC" w:rsidRPr="00CC621D">
        <w:rPr>
          <w:sz w:val="20"/>
          <w:szCs w:val="20"/>
        </w:rPr>
        <w:t>Abuja</w:t>
      </w:r>
      <w:r w:rsidR="008820AC" w:rsidRPr="00CC621D">
        <w:rPr>
          <w:iCs/>
          <w:sz w:val="20"/>
          <w:szCs w:val="20"/>
        </w:rPr>
        <w:t xml:space="preserve"> (English Edition)</w:t>
      </w:r>
      <w:r w:rsidR="008820AC" w:rsidRPr="00CC621D">
        <w:rPr>
          <w:sz w:val="20"/>
          <w:szCs w:val="20"/>
        </w:rPr>
        <w:t xml:space="preserve">, </w:t>
      </w:r>
      <w:r w:rsidRPr="00CC621D">
        <w:rPr>
          <w:sz w:val="20"/>
          <w:szCs w:val="20"/>
        </w:rPr>
        <w:t>2004:</w:t>
      </w:r>
      <w:r w:rsidR="008820AC" w:rsidRPr="00CC621D">
        <w:rPr>
          <w:sz w:val="20"/>
          <w:szCs w:val="20"/>
        </w:rPr>
        <w:t xml:space="preserve">805: 1-29). </w:t>
      </w:r>
      <w:proofErr w:type="spellStart"/>
      <w:r w:rsidR="008820AC" w:rsidRPr="00CC621D">
        <w:rPr>
          <w:sz w:val="20"/>
          <w:szCs w:val="20"/>
        </w:rPr>
        <w:t>doi:DFID</w:t>
      </w:r>
      <w:proofErr w:type="spellEnd"/>
      <w:r w:rsidR="008820AC" w:rsidRPr="00CC621D">
        <w:rPr>
          <w:sz w:val="20"/>
          <w:szCs w:val="20"/>
        </w:rPr>
        <w:t xml:space="preserve"> CNTR:0512A</w:t>
      </w:r>
    </w:p>
    <w:p w:rsidR="00775A61" w:rsidRPr="00CC621D" w:rsidRDefault="00775A61" w:rsidP="003B7ACB">
      <w:pPr>
        <w:pStyle w:val="NormalWeb"/>
        <w:numPr>
          <w:ilvl w:val="0"/>
          <w:numId w:val="14"/>
        </w:numPr>
        <w:adjustRightInd w:val="0"/>
        <w:snapToGrid w:val="0"/>
        <w:spacing w:before="0" w:beforeAutospacing="0" w:after="0" w:afterAutospacing="0"/>
        <w:ind w:left="426" w:hanging="426"/>
        <w:jc w:val="both"/>
        <w:rPr>
          <w:sz w:val="20"/>
          <w:szCs w:val="20"/>
        </w:rPr>
      </w:pPr>
      <w:proofErr w:type="spellStart"/>
      <w:r w:rsidRPr="00CC621D">
        <w:rPr>
          <w:sz w:val="20"/>
          <w:szCs w:val="20"/>
        </w:rPr>
        <w:t>Ahiamadu</w:t>
      </w:r>
      <w:proofErr w:type="spellEnd"/>
      <w:r w:rsidRPr="00CC621D">
        <w:rPr>
          <w:sz w:val="20"/>
          <w:szCs w:val="20"/>
        </w:rPr>
        <w:t>, N.</w:t>
      </w:r>
      <w:r w:rsidR="00195BC7" w:rsidRPr="00CC621D">
        <w:rPr>
          <w:sz w:val="20"/>
          <w:szCs w:val="20"/>
        </w:rPr>
        <w:t xml:space="preserve">M. </w:t>
      </w:r>
      <w:r w:rsidRPr="00CC621D">
        <w:rPr>
          <w:sz w:val="20"/>
          <w:szCs w:val="20"/>
        </w:rPr>
        <w:t xml:space="preserve">The Challenges of Municipal Solid Waste Management in Nigeria. 8th International Conference “Waste Management, </w:t>
      </w:r>
      <w:r w:rsidRPr="00CC621D">
        <w:rPr>
          <w:sz w:val="20"/>
          <w:szCs w:val="20"/>
        </w:rPr>
        <w:lastRenderedPageBreak/>
        <w:t xml:space="preserve">Environmental </w:t>
      </w:r>
      <w:proofErr w:type="spellStart"/>
      <w:r w:rsidRPr="00CC621D">
        <w:rPr>
          <w:sz w:val="20"/>
          <w:szCs w:val="20"/>
        </w:rPr>
        <w:t>Geotechnology</w:t>
      </w:r>
      <w:proofErr w:type="spellEnd"/>
      <w:r w:rsidRPr="00CC621D">
        <w:rPr>
          <w:sz w:val="20"/>
          <w:szCs w:val="20"/>
        </w:rPr>
        <w:t xml:space="preserve"> and Global Sustainable Development. </w:t>
      </w:r>
      <w:r w:rsidRPr="00CC621D">
        <w:rPr>
          <w:iCs/>
          <w:sz w:val="20"/>
          <w:szCs w:val="20"/>
        </w:rPr>
        <w:t xml:space="preserve">(ICWMEGGSD’07 - GzO'07)” Ljubljana, SLOVENIA, </w:t>
      </w:r>
      <w:r w:rsidR="00195BC7" w:rsidRPr="00CC621D">
        <w:rPr>
          <w:iCs/>
          <w:sz w:val="20"/>
          <w:szCs w:val="20"/>
        </w:rPr>
        <w:t xml:space="preserve">2007: </w:t>
      </w:r>
      <w:r w:rsidRPr="00CC621D">
        <w:rPr>
          <w:iCs/>
          <w:sz w:val="20"/>
          <w:szCs w:val="20"/>
        </w:rPr>
        <w:t>August 28-30.</w:t>
      </w:r>
    </w:p>
    <w:p w:rsidR="00775A61" w:rsidRPr="00CC621D" w:rsidRDefault="00775A61" w:rsidP="003B7ACB">
      <w:pPr>
        <w:pStyle w:val="NormalWeb"/>
        <w:numPr>
          <w:ilvl w:val="0"/>
          <w:numId w:val="14"/>
        </w:numPr>
        <w:adjustRightInd w:val="0"/>
        <w:snapToGrid w:val="0"/>
        <w:spacing w:before="0" w:beforeAutospacing="0" w:after="0" w:afterAutospacing="0"/>
        <w:ind w:left="426" w:hanging="426"/>
        <w:jc w:val="both"/>
        <w:rPr>
          <w:sz w:val="20"/>
          <w:szCs w:val="20"/>
        </w:rPr>
      </w:pPr>
      <w:proofErr w:type="spellStart"/>
      <w:r w:rsidRPr="00CC621D">
        <w:rPr>
          <w:sz w:val="20"/>
          <w:szCs w:val="20"/>
        </w:rPr>
        <w:t>Babayemi</w:t>
      </w:r>
      <w:proofErr w:type="spellEnd"/>
      <w:r w:rsidRPr="00CC621D">
        <w:rPr>
          <w:sz w:val="20"/>
          <w:szCs w:val="20"/>
        </w:rPr>
        <w:t xml:space="preserve">, J.O. &amp; </w:t>
      </w:r>
      <w:proofErr w:type="spellStart"/>
      <w:r w:rsidRPr="00CC621D">
        <w:rPr>
          <w:sz w:val="20"/>
          <w:szCs w:val="20"/>
        </w:rPr>
        <w:t>Dauda</w:t>
      </w:r>
      <w:proofErr w:type="spellEnd"/>
      <w:r w:rsidRPr="00CC621D">
        <w:rPr>
          <w:sz w:val="20"/>
          <w:szCs w:val="20"/>
        </w:rPr>
        <w:t>, K.</w:t>
      </w:r>
      <w:r w:rsidR="00195BC7" w:rsidRPr="00CC621D">
        <w:rPr>
          <w:sz w:val="20"/>
          <w:szCs w:val="20"/>
        </w:rPr>
        <w:t xml:space="preserve">T. </w:t>
      </w:r>
      <w:r w:rsidRPr="00CC621D">
        <w:rPr>
          <w:sz w:val="20"/>
          <w:szCs w:val="20"/>
        </w:rPr>
        <w:t xml:space="preserve">Evaluation of Solid Waste Generation, Categories and Disposal Options in Developing Countries: A Case Study of Nigeria. </w:t>
      </w:r>
      <w:r w:rsidRPr="00CC621D">
        <w:rPr>
          <w:i/>
          <w:iCs/>
          <w:sz w:val="20"/>
          <w:szCs w:val="20"/>
        </w:rPr>
        <w:t>J. Appl. Sci. Environ. Manage</w:t>
      </w:r>
      <w:r w:rsidRPr="00CC621D">
        <w:rPr>
          <w:sz w:val="20"/>
          <w:szCs w:val="20"/>
        </w:rPr>
        <w:t xml:space="preserve">, </w:t>
      </w:r>
      <w:r w:rsidR="00195BC7" w:rsidRPr="00CC621D">
        <w:rPr>
          <w:sz w:val="20"/>
          <w:szCs w:val="20"/>
        </w:rPr>
        <w:t>200</w:t>
      </w:r>
      <w:r w:rsidR="00FD01C1" w:rsidRPr="00CC621D">
        <w:rPr>
          <w:sz w:val="20"/>
          <w:szCs w:val="20"/>
        </w:rPr>
        <w:t>9:</w:t>
      </w:r>
      <w:r w:rsidRPr="00CC621D">
        <w:rPr>
          <w:iCs/>
          <w:sz w:val="20"/>
          <w:szCs w:val="20"/>
        </w:rPr>
        <w:t>13</w:t>
      </w:r>
      <w:r w:rsidRPr="00CC621D">
        <w:rPr>
          <w:sz w:val="20"/>
          <w:szCs w:val="20"/>
        </w:rPr>
        <w:t>(3): 83-88.</w:t>
      </w:r>
    </w:p>
    <w:p w:rsidR="00775A61" w:rsidRPr="00CC621D" w:rsidRDefault="00775A61" w:rsidP="003B7ACB">
      <w:pPr>
        <w:pStyle w:val="NormalWeb"/>
        <w:numPr>
          <w:ilvl w:val="0"/>
          <w:numId w:val="14"/>
        </w:numPr>
        <w:adjustRightInd w:val="0"/>
        <w:snapToGrid w:val="0"/>
        <w:spacing w:before="0" w:beforeAutospacing="0" w:after="0" w:afterAutospacing="0"/>
        <w:ind w:left="426" w:hanging="426"/>
        <w:jc w:val="both"/>
        <w:rPr>
          <w:sz w:val="20"/>
          <w:szCs w:val="20"/>
        </w:rPr>
      </w:pPr>
      <w:proofErr w:type="spellStart"/>
      <w:r w:rsidRPr="00CC621D">
        <w:rPr>
          <w:sz w:val="20"/>
          <w:szCs w:val="20"/>
        </w:rPr>
        <w:t>Bovea</w:t>
      </w:r>
      <w:proofErr w:type="spellEnd"/>
      <w:r w:rsidRPr="00CC621D">
        <w:rPr>
          <w:sz w:val="20"/>
          <w:szCs w:val="20"/>
        </w:rPr>
        <w:t>, M.D., Ibáñez-</w:t>
      </w:r>
      <w:proofErr w:type="spellStart"/>
      <w:r w:rsidRPr="00CC621D">
        <w:rPr>
          <w:sz w:val="20"/>
          <w:szCs w:val="20"/>
        </w:rPr>
        <w:t>Forés</w:t>
      </w:r>
      <w:proofErr w:type="spellEnd"/>
      <w:r w:rsidRPr="00CC621D">
        <w:rPr>
          <w:sz w:val="20"/>
          <w:szCs w:val="20"/>
        </w:rPr>
        <w:t xml:space="preserve">, V., Gallardo, A. &amp; </w:t>
      </w:r>
      <w:proofErr w:type="spellStart"/>
      <w:r w:rsidRPr="00CC621D">
        <w:rPr>
          <w:sz w:val="20"/>
          <w:szCs w:val="20"/>
        </w:rPr>
        <w:t>Colomer</w:t>
      </w:r>
      <w:proofErr w:type="spellEnd"/>
      <w:r w:rsidRPr="00CC621D">
        <w:rPr>
          <w:sz w:val="20"/>
          <w:szCs w:val="20"/>
        </w:rPr>
        <w:t>-Mendoza, F.</w:t>
      </w:r>
      <w:r w:rsidR="00195BC7" w:rsidRPr="00CC621D">
        <w:rPr>
          <w:sz w:val="20"/>
          <w:szCs w:val="20"/>
        </w:rPr>
        <w:t xml:space="preserve">J. </w:t>
      </w:r>
      <w:r w:rsidRPr="00CC621D">
        <w:rPr>
          <w:sz w:val="20"/>
          <w:szCs w:val="20"/>
        </w:rPr>
        <w:t xml:space="preserve">Environmental Assessment Of Alternative Municipal Solid Waste Management Strategies. A Spanish Case Study. </w:t>
      </w:r>
      <w:r w:rsidRPr="00CC621D">
        <w:rPr>
          <w:i/>
          <w:iCs/>
          <w:sz w:val="20"/>
          <w:szCs w:val="20"/>
        </w:rPr>
        <w:t>Waste Management</w:t>
      </w:r>
      <w:r w:rsidRPr="00CC621D">
        <w:rPr>
          <w:sz w:val="20"/>
          <w:szCs w:val="20"/>
        </w:rPr>
        <w:t xml:space="preserve">, </w:t>
      </w:r>
      <w:r w:rsidR="00195BC7" w:rsidRPr="00CC621D">
        <w:rPr>
          <w:sz w:val="20"/>
          <w:szCs w:val="20"/>
        </w:rPr>
        <w:t xml:space="preserve">2010: </w:t>
      </w:r>
      <w:r w:rsidRPr="00CC621D">
        <w:rPr>
          <w:iCs/>
          <w:sz w:val="20"/>
          <w:szCs w:val="20"/>
        </w:rPr>
        <w:t>30</w:t>
      </w:r>
      <w:r w:rsidRPr="00CC621D">
        <w:rPr>
          <w:sz w:val="20"/>
          <w:szCs w:val="20"/>
        </w:rPr>
        <w:t>(11):2383-2395. doi:10.1016/j.wasman.2010.03.001</w:t>
      </w:r>
    </w:p>
    <w:p w:rsidR="00775A61" w:rsidRPr="00CC621D" w:rsidRDefault="00775A61" w:rsidP="003B7ACB">
      <w:pPr>
        <w:pStyle w:val="NormalWeb"/>
        <w:numPr>
          <w:ilvl w:val="0"/>
          <w:numId w:val="14"/>
        </w:numPr>
        <w:adjustRightInd w:val="0"/>
        <w:snapToGrid w:val="0"/>
        <w:spacing w:before="0" w:beforeAutospacing="0" w:after="0" w:afterAutospacing="0"/>
        <w:ind w:left="426" w:hanging="426"/>
        <w:jc w:val="both"/>
        <w:rPr>
          <w:sz w:val="20"/>
          <w:szCs w:val="20"/>
        </w:rPr>
      </w:pPr>
      <w:r w:rsidRPr="00CC621D">
        <w:rPr>
          <w:sz w:val="20"/>
          <w:szCs w:val="20"/>
        </w:rPr>
        <w:t xml:space="preserve">Chang, Ni-Bin. &amp; </w:t>
      </w:r>
      <w:r w:rsidR="00BB3BEE" w:rsidRPr="00CC621D">
        <w:rPr>
          <w:sz w:val="20"/>
          <w:szCs w:val="20"/>
        </w:rPr>
        <w:t xml:space="preserve">Davila, E. </w:t>
      </w:r>
      <w:r w:rsidRPr="00CC621D">
        <w:rPr>
          <w:sz w:val="20"/>
          <w:szCs w:val="20"/>
        </w:rPr>
        <w:t xml:space="preserve">Municipal Solid Waste Characterizations and Management Strategies for the Lower Rio Grande Valley, Texas. </w:t>
      </w:r>
      <w:r w:rsidRPr="00CC621D">
        <w:rPr>
          <w:i/>
          <w:iCs/>
          <w:sz w:val="20"/>
          <w:szCs w:val="20"/>
        </w:rPr>
        <w:t>Waste Management</w:t>
      </w:r>
      <w:r w:rsidRPr="00CC621D">
        <w:rPr>
          <w:sz w:val="20"/>
          <w:szCs w:val="20"/>
        </w:rPr>
        <w:t xml:space="preserve">, </w:t>
      </w:r>
      <w:r w:rsidR="00BB3BEE" w:rsidRPr="00CC621D">
        <w:rPr>
          <w:sz w:val="20"/>
          <w:szCs w:val="20"/>
        </w:rPr>
        <w:t>2008:</w:t>
      </w:r>
      <w:r w:rsidRPr="00CC621D">
        <w:rPr>
          <w:iCs/>
          <w:sz w:val="20"/>
          <w:szCs w:val="20"/>
        </w:rPr>
        <w:t>28</w:t>
      </w:r>
      <w:r w:rsidRPr="00CC621D">
        <w:rPr>
          <w:sz w:val="20"/>
          <w:szCs w:val="20"/>
        </w:rPr>
        <w:t>:776-794.</w:t>
      </w:r>
    </w:p>
    <w:p w:rsidR="00775A61" w:rsidRPr="00CC621D" w:rsidRDefault="00775A61" w:rsidP="003B7ACB">
      <w:pPr>
        <w:pStyle w:val="NormalWeb"/>
        <w:numPr>
          <w:ilvl w:val="0"/>
          <w:numId w:val="14"/>
        </w:numPr>
        <w:adjustRightInd w:val="0"/>
        <w:snapToGrid w:val="0"/>
        <w:spacing w:before="0" w:beforeAutospacing="0" w:after="0" w:afterAutospacing="0"/>
        <w:ind w:left="426" w:hanging="426"/>
        <w:jc w:val="both"/>
        <w:rPr>
          <w:sz w:val="20"/>
          <w:szCs w:val="20"/>
        </w:rPr>
      </w:pPr>
      <w:r w:rsidRPr="00CC621D">
        <w:rPr>
          <w:sz w:val="20"/>
          <w:szCs w:val="20"/>
        </w:rPr>
        <w:t xml:space="preserve">(DOS) Malaysia, Department of Statistics. (2012). Retrieved from </w:t>
      </w:r>
      <w:hyperlink r:id="rId14" w:history="1">
        <w:r w:rsidRPr="00CC621D">
          <w:rPr>
            <w:rStyle w:val="Hyperlink"/>
            <w:sz w:val="20"/>
            <w:szCs w:val="20"/>
          </w:rPr>
          <w:t>www.statistics.gov.og</w:t>
        </w:r>
      </w:hyperlink>
    </w:p>
    <w:p w:rsidR="00775A61" w:rsidRPr="00CC621D" w:rsidRDefault="00775A61" w:rsidP="003B7ACB">
      <w:pPr>
        <w:pStyle w:val="NormalWeb"/>
        <w:numPr>
          <w:ilvl w:val="0"/>
          <w:numId w:val="14"/>
        </w:numPr>
        <w:adjustRightInd w:val="0"/>
        <w:snapToGrid w:val="0"/>
        <w:spacing w:before="0" w:beforeAutospacing="0" w:after="0" w:afterAutospacing="0"/>
        <w:ind w:left="426" w:hanging="426"/>
        <w:jc w:val="both"/>
        <w:rPr>
          <w:sz w:val="20"/>
          <w:szCs w:val="20"/>
        </w:rPr>
      </w:pPr>
      <w:r w:rsidRPr="00CC621D">
        <w:rPr>
          <w:sz w:val="20"/>
          <w:szCs w:val="20"/>
        </w:rPr>
        <w:t xml:space="preserve">Eriksson, O., Reich, M.C., </w:t>
      </w:r>
      <w:proofErr w:type="spellStart"/>
      <w:r w:rsidRPr="00CC621D">
        <w:rPr>
          <w:sz w:val="20"/>
          <w:szCs w:val="20"/>
        </w:rPr>
        <w:t>Frostell</w:t>
      </w:r>
      <w:proofErr w:type="spellEnd"/>
      <w:r w:rsidRPr="00CC621D">
        <w:rPr>
          <w:sz w:val="20"/>
          <w:szCs w:val="20"/>
        </w:rPr>
        <w:t xml:space="preserve">, B., </w:t>
      </w:r>
      <w:proofErr w:type="spellStart"/>
      <w:r w:rsidRPr="00CC621D">
        <w:rPr>
          <w:sz w:val="20"/>
          <w:szCs w:val="20"/>
        </w:rPr>
        <w:t>Bjorklund</w:t>
      </w:r>
      <w:proofErr w:type="spellEnd"/>
      <w:r w:rsidRPr="00CC621D">
        <w:rPr>
          <w:sz w:val="20"/>
          <w:szCs w:val="20"/>
        </w:rPr>
        <w:t xml:space="preserve">, A., </w:t>
      </w:r>
      <w:proofErr w:type="spellStart"/>
      <w:r w:rsidRPr="00CC621D">
        <w:rPr>
          <w:sz w:val="20"/>
          <w:szCs w:val="20"/>
        </w:rPr>
        <w:t>Assefa</w:t>
      </w:r>
      <w:proofErr w:type="spellEnd"/>
      <w:r w:rsidRPr="00CC621D">
        <w:rPr>
          <w:sz w:val="20"/>
          <w:szCs w:val="20"/>
        </w:rPr>
        <w:t xml:space="preserve">, G., </w:t>
      </w:r>
      <w:proofErr w:type="spellStart"/>
      <w:r w:rsidRPr="00CC621D">
        <w:rPr>
          <w:sz w:val="20"/>
          <w:szCs w:val="20"/>
        </w:rPr>
        <w:t>Sundqvist</w:t>
      </w:r>
      <w:proofErr w:type="spellEnd"/>
      <w:r w:rsidRPr="00CC621D">
        <w:rPr>
          <w:sz w:val="20"/>
          <w:szCs w:val="20"/>
        </w:rPr>
        <w:t xml:space="preserve">, J.O., </w:t>
      </w:r>
      <w:proofErr w:type="spellStart"/>
      <w:r w:rsidRPr="00CC621D">
        <w:rPr>
          <w:sz w:val="20"/>
          <w:szCs w:val="20"/>
        </w:rPr>
        <w:t>Granath</w:t>
      </w:r>
      <w:proofErr w:type="spellEnd"/>
      <w:r w:rsidRPr="00CC621D">
        <w:rPr>
          <w:sz w:val="20"/>
          <w:szCs w:val="20"/>
        </w:rPr>
        <w:t xml:space="preserve">, J., </w:t>
      </w:r>
      <w:proofErr w:type="spellStart"/>
      <w:r w:rsidRPr="00CC621D">
        <w:rPr>
          <w:sz w:val="20"/>
          <w:szCs w:val="20"/>
        </w:rPr>
        <w:t>Baky</w:t>
      </w:r>
      <w:proofErr w:type="spellEnd"/>
      <w:r w:rsidRPr="00CC621D">
        <w:rPr>
          <w:sz w:val="20"/>
          <w:szCs w:val="20"/>
        </w:rPr>
        <w:t>, A. &amp;</w:t>
      </w:r>
      <w:r w:rsidR="00BB3BEE" w:rsidRPr="00CC621D">
        <w:rPr>
          <w:sz w:val="20"/>
          <w:szCs w:val="20"/>
        </w:rPr>
        <w:t xml:space="preserve"> </w:t>
      </w:r>
      <w:proofErr w:type="spellStart"/>
      <w:r w:rsidR="00BB3BEE" w:rsidRPr="00CC621D">
        <w:rPr>
          <w:sz w:val="20"/>
          <w:szCs w:val="20"/>
        </w:rPr>
        <w:t>Thyselius</w:t>
      </w:r>
      <w:proofErr w:type="spellEnd"/>
      <w:r w:rsidR="00BB3BEE" w:rsidRPr="00CC621D">
        <w:rPr>
          <w:sz w:val="20"/>
          <w:szCs w:val="20"/>
        </w:rPr>
        <w:t xml:space="preserve">, </w:t>
      </w:r>
      <w:proofErr w:type="spellStart"/>
      <w:r w:rsidR="00BB3BEE" w:rsidRPr="00CC621D">
        <w:rPr>
          <w:sz w:val="20"/>
          <w:szCs w:val="20"/>
        </w:rPr>
        <w:t>L.</w:t>
      </w:r>
      <w:r w:rsidRPr="00CC621D">
        <w:rPr>
          <w:sz w:val="20"/>
          <w:szCs w:val="20"/>
        </w:rPr>
        <w:t>Munic</w:t>
      </w:r>
      <w:proofErr w:type="spellEnd"/>
      <w:r w:rsidR="00BB3BEE" w:rsidRPr="00CC621D">
        <w:rPr>
          <w:sz w:val="20"/>
          <w:szCs w:val="20"/>
        </w:rPr>
        <w:t xml:space="preserve"> </w:t>
      </w:r>
      <w:proofErr w:type="spellStart"/>
      <w:r w:rsidRPr="00CC621D">
        <w:rPr>
          <w:sz w:val="20"/>
          <w:szCs w:val="20"/>
        </w:rPr>
        <w:t>ipal</w:t>
      </w:r>
      <w:proofErr w:type="spellEnd"/>
      <w:r w:rsidRPr="00CC621D">
        <w:rPr>
          <w:sz w:val="20"/>
          <w:szCs w:val="20"/>
        </w:rPr>
        <w:t xml:space="preserve"> solid waste management from a systems perspective. </w:t>
      </w:r>
      <w:r w:rsidRPr="00CC621D">
        <w:rPr>
          <w:i/>
          <w:iCs/>
          <w:sz w:val="20"/>
          <w:szCs w:val="20"/>
        </w:rPr>
        <w:t>Journal of Cleaner Production</w:t>
      </w:r>
      <w:r w:rsidRPr="00CC621D">
        <w:rPr>
          <w:sz w:val="20"/>
          <w:szCs w:val="20"/>
        </w:rPr>
        <w:t xml:space="preserve">, </w:t>
      </w:r>
      <w:r w:rsidRPr="00CC621D">
        <w:rPr>
          <w:iCs/>
          <w:sz w:val="20"/>
          <w:szCs w:val="20"/>
        </w:rPr>
        <w:t>13</w:t>
      </w:r>
      <w:r w:rsidRPr="00CC621D">
        <w:rPr>
          <w:sz w:val="20"/>
          <w:szCs w:val="20"/>
        </w:rPr>
        <w:t>(3):241-252. doi:10.1016/j.jclepro.2004.02.018</w:t>
      </w:r>
    </w:p>
    <w:p w:rsidR="00D52C2F" w:rsidRPr="00CC621D" w:rsidRDefault="00D52C2F" w:rsidP="003B7ACB">
      <w:pPr>
        <w:pStyle w:val="NormalWeb"/>
        <w:numPr>
          <w:ilvl w:val="0"/>
          <w:numId w:val="14"/>
        </w:numPr>
        <w:adjustRightInd w:val="0"/>
        <w:snapToGrid w:val="0"/>
        <w:spacing w:before="0" w:beforeAutospacing="0" w:after="0" w:afterAutospacing="0"/>
        <w:ind w:left="426" w:hanging="426"/>
        <w:jc w:val="both"/>
        <w:rPr>
          <w:sz w:val="20"/>
          <w:szCs w:val="20"/>
        </w:rPr>
      </w:pPr>
      <w:r w:rsidRPr="00CC621D">
        <w:rPr>
          <w:bCs/>
          <w:sz w:val="20"/>
          <w:szCs w:val="20"/>
          <w:lang w:val="en-SG"/>
        </w:rPr>
        <w:t xml:space="preserve">Fox, N., </w:t>
      </w:r>
      <w:proofErr w:type="spellStart"/>
      <w:r w:rsidRPr="00CC621D">
        <w:rPr>
          <w:bCs/>
          <w:sz w:val="20"/>
          <w:szCs w:val="20"/>
          <w:lang w:val="en-SG"/>
        </w:rPr>
        <w:t>Hunn</w:t>
      </w:r>
      <w:proofErr w:type="spellEnd"/>
      <w:r w:rsidRPr="00CC621D">
        <w:rPr>
          <w:bCs/>
          <w:sz w:val="20"/>
          <w:szCs w:val="20"/>
          <w:lang w:val="en-SG"/>
        </w:rPr>
        <w:t>, A.</w:t>
      </w:r>
      <w:r w:rsidR="00BB3BEE" w:rsidRPr="00CC621D">
        <w:rPr>
          <w:bCs/>
          <w:sz w:val="20"/>
          <w:szCs w:val="20"/>
          <w:lang w:val="en-SG"/>
        </w:rPr>
        <w:t xml:space="preserve"> &amp; Nigel </w:t>
      </w:r>
      <w:proofErr w:type="spellStart"/>
      <w:r w:rsidR="00BB3BEE" w:rsidRPr="00CC621D">
        <w:rPr>
          <w:bCs/>
          <w:sz w:val="20"/>
          <w:szCs w:val="20"/>
          <w:lang w:val="en-SG"/>
        </w:rPr>
        <w:t>Mathers</w:t>
      </w:r>
      <w:proofErr w:type="spellEnd"/>
      <w:r w:rsidR="00BB3BEE" w:rsidRPr="00CC621D">
        <w:rPr>
          <w:bCs/>
          <w:sz w:val="20"/>
          <w:szCs w:val="20"/>
          <w:lang w:val="en-SG"/>
        </w:rPr>
        <w:t>, N.</w:t>
      </w:r>
      <w:r w:rsidRPr="00CC621D">
        <w:rPr>
          <w:bCs/>
          <w:sz w:val="20"/>
          <w:szCs w:val="20"/>
          <w:lang w:val="en-SG"/>
        </w:rPr>
        <w:t xml:space="preserve"> Sampling and Sample Size Calculation</w:t>
      </w:r>
      <w:r w:rsidR="00BB3BEE" w:rsidRPr="00CC621D">
        <w:rPr>
          <w:bCs/>
          <w:sz w:val="20"/>
          <w:szCs w:val="20"/>
          <w:lang w:val="en-SG"/>
        </w:rPr>
        <w:t>, 2009.</w:t>
      </w:r>
      <w:r w:rsidRPr="00CC621D">
        <w:rPr>
          <w:bCs/>
          <w:sz w:val="20"/>
          <w:szCs w:val="20"/>
          <w:lang w:val="en-SG"/>
        </w:rPr>
        <w:t xml:space="preserve"> </w:t>
      </w:r>
      <w:hyperlink r:id="rId15" w:history="1">
        <w:r w:rsidRPr="00CC621D">
          <w:rPr>
            <w:rStyle w:val="Hyperlink"/>
            <w:bCs/>
            <w:sz w:val="20"/>
            <w:szCs w:val="20"/>
            <w:lang w:val="en-SG"/>
          </w:rPr>
          <w:t>www.rds-eastmidlands.nihr.ac.uk</w:t>
        </w:r>
      </w:hyperlink>
    </w:p>
    <w:p w:rsidR="00D52C2F" w:rsidRPr="00CC621D" w:rsidRDefault="00D52C2F" w:rsidP="003B7ACB">
      <w:pPr>
        <w:pStyle w:val="NormalWeb"/>
        <w:numPr>
          <w:ilvl w:val="0"/>
          <w:numId w:val="14"/>
        </w:numPr>
        <w:adjustRightInd w:val="0"/>
        <w:snapToGrid w:val="0"/>
        <w:spacing w:before="0" w:beforeAutospacing="0" w:after="0" w:afterAutospacing="0"/>
        <w:ind w:left="426" w:hanging="426"/>
        <w:jc w:val="both"/>
        <w:rPr>
          <w:sz w:val="20"/>
          <w:szCs w:val="20"/>
        </w:rPr>
      </w:pPr>
      <w:r w:rsidRPr="00CC621D">
        <w:rPr>
          <w:sz w:val="20"/>
          <w:szCs w:val="20"/>
        </w:rPr>
        <w:t xml:space="preserve">Gomez, G., </w:t>
      </w:r>
      <w:proofErr w:type="spellStart"/>
      <w:r w:rsidRPr="00CC621D">
        <w:rPr>
          <w:sz w:val="20"/>
          <w:szCs w:val="20"/>
        </w:rPr>
        <w:t>Meneses</w:t>
      </w:r>
      <w:proofErr w:type="spellEnd"/>
      <w:r w:rsidRPr="00CC621D">
        <w:rPr>
          <w:sz w:val="20"/>
          <w:szCs w:val="20"/>
        </w:rPr>
        <w:t xml:space="preserve">, M., </w:t>
      </w:r>
      <w:proofErr w:type="spellStart"/>
      <w:r w:rsidRPr="00CC621D">
        <w:rPr>
          <w:sz w:val="20"/>
          <w:szCs w:val="20"/>
        </w:rPr>
        <w:t>Ballinas</w:t>
      </w:r>
      <w:proofErr w:type="spellEnd"/>
      <w:r w:rsidRPr="00CC621D">
        <w:rPr>
          <w:sz w:val="20"/>
          <w:szCs w:val="20"/>
        </w:rPr>
        <w:t>, L.</w:t>
      </w:r>
      <w:r w:rsidR="00BB3BEE" w:rsidRPr="00CC621D">
        <w:rPr>
          <w:sz w:val="20"/>
          <w:szCs w:val="20"/>
        </w:rPr>
        <w:t xml:space="preserve"> &amp; </w:t>
      </w:r>
      <w:proofErr w:type="spellStart"/>
      <w:r w:rsidR="00BB3BEE" w:rsidRPr="00CC621D">
        <w:rPr>
          <w:sz w:val="20"/>
          <w:szCs w:val="20"/>
        </w:rPr>
        <w:t>Castells</w:t>
      </w:r>
      <w:proofErr w:type="spellEnd"/>
      <w:r w:rsidR="00BB3BEE" w:rsidRPr="00CC621D">
        <w:rPr>
          <w:sz w:val="20"/>
          <w:szCs w:val="20"/>
        </w:rPr>
        <w:t>, F.</w:t>
      </w:r>
      <w:r w:rsidRPr="00CC621D">
        <w:rPr>
          <w:sz w:val="20"/>
          <w:szCs w:val="20"/>
        </w:rPr>
        <w:t xml:space="preserve"> Seasonal Characterization of Municipal Solid Waste (MSW) in the City of </w:t>
      </w:r>
      <w:r w:rsidRPr="00CC621D">
        <w:rPr>
          <w:sz w:val="20"/>
          <w:szCs w:val="20"/>
        </w:rPr>
        <w:lastRenderedPageBreak/>
        <w:t xml:space="preserve">Chihuahua, Mexico. </w:t>
      </w:r>
      <w:r w:rsidRPr="00CC621D">
        <w:rPr>
          <w:i/>
          <w:iCs/>
          <w:sz w:val="20"/>
          <w:szCs w:val="20"/>
        </w:rPr>
        <w:t>Waste Management</w:t>
      </w:r>
      <w:r w:rsidRPr="00CC621D">
        <w:rPr>
          <w:sz w:val="20"/>
          <w:szCs w:val="20"/>
        </w:rPr>
        <w:t xml:space="preserve">, </w:t>
      </w:r>
      <w:r w:rsidR="00FD01C1" w:rsidRPr="00CC621D">
        <w:rPr>
          <w:sz w:val="20"/>
          <w:szCs w:val="20"/>
        </w:rPr>
        <w:t>2009:</w:t>
      </w:r>
      <w:r w:rsidRPr="00CC621D">
        <w:rPr>
          <w:iCs/>
          <w:sz w:val="20"/>
          <w:szCs w:val="20"/>
        </w:rPr>
        <w:t>28</w:t>
      </w:r>
      <w:r w:rsidRPr="00CC621D">
        <w:rPr>
          <w:sz w:val="20"/>
          <w:szCs w:val="20"/>
        </w:rPr>
        <w:t>:2018-2024. doi:10.1016/j.wasman.2009.02.006</w:t>
      </w:r>
    </w:p>
    <w:p w:rsidR="00D52C2F" w:rsidRPr="00CC621D" w:rsidRDefault="00D52C2F" w:rsidP="003B7ACB">
      <w:pPr>
        <w:pStyle w:val="NormalWeb"/>
        <w:numPr>
          <w:ilvl w:val="0"/>
          <w:numId w:val="14"/>
        </w:numPr>
        <w:adjustRightInd w:val="0"/>
        <w:snapToGrid w:val="0"/>
        <w:spacing w:before="0" w:beforeAutospacing="0" w:after="0" w:afterAutospacing="0"/>
        <w:ind w:left="426" w:hanging="426"/>
        <w:jc w:val="both"/>
        <w:rPr>
          <w:sz w:val="20"/>
          <w:szCs w:val="20"/>
        </w:rPr>
      </w:pPr>
      <w:r w:rsidRPr="00CC621D">
        <w:rPr>
          <w:bCs/>
          <w:sz w:val="20"/>
          <w:szCs w:val="20"/>
        </w:rPr>
        <w:t xml:space="preserve">Jacob, C. </w:t>
      </w:r>
      <w:r w:rsidRPr="00CC621D">
        <w:rPr>
          <w:sz w:val="20"/>
          <w:szCs w:val="20"/>
        </w:rPr>
        <w:t xml:space="preserve">Things I have learned (so far). </w:t>
      </w:r>
      <w:r w:rsidRPr="00CC621D">
        <w:rPr>
          <w:i/>
          <w:sz w:val="20"/>
          <w:szCs w:val="20"/>
        </w:rPr>
        <w:t xml:space="preserve">Cohen </w:t>
      </w:r>
      <w:r w:rsidRPr="00CC621D">
        <w:rPr>
          <w:i/>
          <w:iCs/>
          <w:sz w:val="20"/>
          <w:szCs w:val="20"/>
        </w:rPr>
        <w:t>American Psychologist</w:t>
      </w:r>
      <w:r w:rsidRPr="00CC621D">
        <w:rPr>
          <w:iCs/>
          <w:sz w:val="20"/>
          <w:szCs w:val="20"/>
        </w:rPr>
        <w:t>,</w:t>
      </w:r>
      <w:r w:rsidRPr="00CC621D">
        <w:rPr>
          <w:sz w:val="20"/>
          <w:szCs w:val="20"/>
        </w:rPr>
        <w:t xml:space="preserve"> </w:t>
      </w:r>
      <w:r w:rsidR="00FD01C1" w:rsidRPr="00CC621D">
        <w:rPr>
          <w:sz w:val="20"/>
          <w:szCs w:val="20"/>
        </w:rPr>
        <w:t>1990:45(12),</w:t>
      </w:r>
      <w:r w:rsidRPr="00CC621D">
        <w:rPr>
          <w:sz w:val="20"/>
          <w:szCs w:val="20"/>
        </w:rPr>
        <w:t>1304-1312.</w:t>
      </w:r>
    </w:p>
    <w:p w:rsidR="00D52C2F" w:rsidRPr="00CC621D" w:rsidRDefault="00D52C2F" w:rsidP="003B7ACB">
      <w:pPr>
        <w:pStyle w:val="NormalWeb"/>
        <w:numPr>
          <w:ilvl w:val="0"/>
          <w:numId w:val="14"/>
        </w:numPr>
        <w:adjustRightInd w:val="0"/>
        <w:snapToGrid w:val="0"/>
        <w:spacing w:before="0" w:beforeAutospacing="0" w:after="0" w:afterAutospacing="0"/>
        <w:ind w:left="426" w:hanging="426"/>
        <w:jc w:val="both"/>
        <w:rPr>
          <w:sz w:val="20"/>
          <w:szCs w:val="20"/>
          <w:lang w:val="en-SG"/>
        </w:rPr>
      </w:pPr>
      <w:proofErr w:type="spellStart"/>
      <w:r w:rsidRPr="00CC621D">
        <w:rPr>
          <w:sz w:val="20"/>
          <w:szCs w:val="20"/>
          <w:lang w:val="en-SG"/>
        </w:rPr>
        <w:t>Krejcie</w:t>
      </w:r>
      <w:proofErr w:type="spellEnd"/>
      <w:r w:rsidRPr="00CC621D">
        <w:rPr>
          <w:sz w:val="20"/>
          <w:szCs w:val="20"/>
          <w:lang w:val="en-SG"/>
        </w:rPr>
        <w:t xml:space="preserve">, R.V. &amp; Morgan, D.W. Determining Sample Size for Research Activities Educational and </w:t>
      </w:r>
      <w:r w:rsidR="00195BC7" w:rsidRPr="00CC621D">
        <w:rPr>
          <w:sz w:val="20"/>
          <w:szCs w:val="20"/>
          <w:lang w:val="en-SG"/>
        </w:rPr>
        <w:t>Psychological Measurement; 1970:</w:t>
      </w:r>
      <w:r w:rsidRPr="00CC621D">
        <w:rPr>
          <w:sz w:val="20"/>
          <w:szCs w:val="20"/>
          <w:lang w:val="en-SG"/>
        </w:rPr>
        <w:t xml:space="preserve"> 30, 607-610.</w:t>
      </w:r>
    </w:p>
    <w:p w:rsidR="00D52C2F" w:rsidRPr="00CC621D" w:rsidRDefault="00D52C2F" w:rsidP="003B7ACB">
      <w:pPr>
        <w:pStyle w:val="NormalWeb"/>
        <w:numPr>
          <w:ilvl w:val="0"/>
          <w:numId w:val="14"/>
        </w:numPr>
        <w:adjustRightInd w:val="0"/>
        <w:snapToGrid w:val="0"/>
        <w:spacing w:before="0" w:beforeAutospacing="0" w:after="0" w:afterAutospacing="0"/>
        <w:ind w:left="426" w:hanging="426"/>
        <w:jc w:val="both"/>
        <w:rPr>
          <w:sz w:val="20"/>
          <w:szCs w:val="20"/>
        </w:rPr>
      </w:pPr>
      <w:r w:rsidRPr="00CC621D">
        <w:rPr>
          <w:sz w:val="20"/>
          <w:szCs w:val="20"/>
        </w:rPr>
        <w:t>Kumar, K.N.</w:t>
      </w:r>
      <w:r w:rsidR="00195BC7" w:rsidRPr="00CC621D">
        <w:rPr>
          <w:sz w:val="20"/>
          <w:szCs w:val="20"/>
        </w:rPr>
        <w:t xml:space="preserve"> &amp; </w:t>
      </w:r>
      <w:proofErr w:type="spellStart"/>
      <w:r w:rsidR="00195BC7" w:rsidRPr="00CC621D">
        <w:rPr>
          <w:sz w:val="20"/>
          <w:szCs w:val="20"/>
        </w:rPr>
        <w:t>Goel</w:t>
      </w:r>
      <w:proofErr w:type="spellEnd"/>
      <w:r w:rsidR="00195BC7" w:rsidRPr="00CC621D">
        <w:rPr>
          <w:sz w:val="20"/>
          <w:szCs w:val="20"/>
        </w:rPr>
        <w:t>, S.</w:t>
      </w:r>
      <w:r w:rsidRPr="00CC621D">
        <w:rPr>
          <w:sz w:val="20"/>
          <w:szCs w:val="20"/>
        </w:rPr>
        <w:t xml:space="preserve"> Characterization of Municipal Solid Waste (MSW) and a Proposed Management Plan for </w:t>
      </w:r>
      <w:proofErr w:type="spellStart"/>
      <w:r w:rsidRPr="00CC621D">
        <w:rPr>
          <w:sz w:val="20"/>
          <w:szCs w:val="20"/>
        </w:rPr>
        <w:t>Kharagpur</w:t>
      </w:r>
      <w:proofErr w:type="spellEnd"/>
      <w:r w:rsidRPr="00CC621D">
        <w:rPr>
          <w:sz w:val="20"/>
          <w:szCs w:val="20"/>
        </w:rPr>
        <w:t xml:space="preserve">, West Bengal, India. </w:t>
      </w:r>
      <w:r w:rsidRPr="00CC621D">
        <w:rPr>
          <w:i/>
          <w:iCs/>
          <w:sz w:val="20"/>
          <w:szCs w:val="20"/>
        </w:rPr>
        <w:t>Resources, Conservation and Recycling</w:t>
      </w:r>
      <w:r w:rsidRPr="00CC621D">
        <w:rPr>
          <w:sz w:val="20"/>
          <w:szCs w:val="20"/>
        </w:rPr>
        <w:t xml:space="preserve">, </w:t>
      </w:r>
      <w:r w:rsidR="00FD01C1" w:rsidRPr="00CC621D">
        <w:rPr>
          <w:sz w:val="20"/>
          <w:szCs w:val="20"/>
        </w:rPr>
        <w:t>2009:</w:t>
      </w:r>
      <w:r w:rsidRPr="00CC621D">
        <w:rPr>
          <w:iCs/>
          <w:sz w:val="20"/>
          <w:szCs w:val="20"/>
        </w:rPr>
        <w:t>53</w:t>
      </w:r>
      <w:r w:rsidRPr="00CC621D">
        <w:rPr>
          <w:sz w:val="20"/>
          <w:szCs w:val="20"/>
        </w:rPr>
        <w:t>(3): 166-174. doi:10.1016/j.resconrec.2008.11.004</w:t>
      </w:r>
    </w:p>
    <w:p w:rsidR="008820AC" w:rsidRPr="00CC621D" w:rsidRDefault="008820AC" w:rsidP="003B7ACB">
      <w:pPr>
        <w:pStyle w:val="NormalWeb"/>
        <w:numPr>
          <w:ilvl w:val="0"/>
          <w:numId w:val="14"/>
        </w:numPr>
        <w:adjustRightInd w:val="0"/>
        <w:snapToGrid w:val="0"/>
        <w:spacing w:before="0" w:beforeAutospacing="0" w:after="0" w:afterAutospacing="0"/>
        <w:ind w:left="426" w:hanging="426"/>
        <w:jc w:val="both"/>
        <w:rPr>
          <w:sz w:val="20"/>
          <w:szCs w:val="20"/>
        </w:rPr>
      </w:pPr>
      <w:proofErr w:type="spellStart"/>
      <w:r w:rsidRPr="00CC621D">
        <w:rPr>
          <w:bCs/>
          <w:sz w:val="20"/>
          <w:szCs w:val="20"/>
        </w:rPr>
        <w:t>Neuman</w:t>
      </w:r>
      <w:proofErr w:type="spellEnd"/>
      <w:r w:rsidRPr="00CC621D">
        <w:rPr>
          <w:sz w:val="20"/>
          <w:szCs w:val="20"/>
        </w:rPr>
        <w:t>, W.L.</w:t>
      </w:r>
      <w:r w:rsidR="00195BC7" w:rsidRPr="00CC621D">
        <w:rPr>
          <w:sz w:val="20"/>
          <w:szCs w:val="20"/>
        </w:rPr>
        <w:t xml:space="preserve"> </w:t>
      </w:r>
      <w:r w:rsidRPr="00CC621D">
        <w:rPr>
          <w:iCs/>
          <w:sz w:val="20"/>
          <w:szCs w:val="20"/>
        </w:rPr>
        <w:t>Social research methods: Qualitative and Quantitative Approaches</w:t>
      </w:r>
      <w:r w:rsidRPr="00CC621D">
        <w:rPr>
          <w:i/>
          <w:iCs/>
          <w:sz w:val="20"/>
          <w:szCs w:val="20"/>
        </w:rPr>
        <w:t xml:space="preserve"> </w:t>
      </w:r>
      <w:r w:rsidRPr="00CC621D">
        <w:rPr>
          <w:sz w:val="20"/>
          <w:szCs w:val="20"/>
        </w:rPr>
        <w:t>(5</w:t>
      </w:r>
      <w:r w:rsidRPr="00CC621D">
        <w:rPr>
          <w:sz w:val="20"/>
          <w:szCs w:val="20"/>
          <w:vertAlign w:val="superscript"/>
        </w:rPr>
        <w:t>th</w:t>
      </w:r>
      <w:r w:rsidRPr="00CC621D">
        <w:rPr>
          <w:sz w:val="20"/>
          <w:szCs w:val="20"/>
        </w:rPr>
        <w:t xml:space="preserve"> ed.), </w:t>
      </w:r>
      <w:r w:rsidR="00195BC7" w:rsidRPr="00CC621D">
        <w:rPr>
          <w:sz w:val="20"/>
          <w:szCs w:val="20"/>
        </w:rPr>
        <w:t xml:space="preserve">2003. </w:t>
      </w:r>
      <w:r w:rsidRPr="00CC621D">
        <w:rPr>
          <w:sz w:val="20"/>
          <w:szCs w:val="20"/>
        </w:rPr>
        <w:t>New York: Pearson Education Inc.</w:t>
      </w:r>
    </w:p>
    <w:p w:rsidR="00D52C2F" w:rsidRPr="00CC621D" w:rsidRDefault="00BB3BEE" w:rsidP="003B7ACB">
      <w:pPr>
        <w:pStyle w:val="NormalWeb"/>
        <w:numPr>
          <w:ilvl w:val="0"/>
          <w:numId w:val="14"/>
        </w:numPr>
        <w:adjustRightInd w:val="0"/>
        <w:snapToGrid w:val="0"/>
        <w:spacing w:before="0" w:beforeAutospacing="0" w:after="0" w:afterAutospacing="0"/>
        <w:ind w:left="426" w:hanging="426"/>
        <w:jc w:val="both"/>
        <w:rPr>
          <w:sz w:val="20"/>
          <w:szCs w:val="20"/>
        </w:rPr>
      </w:pPr>
      <w:r w:rsidRPr="00CC621D">
        <w:rPr>
          <w:sz w:val="20"/>
          <w:szCs w:val="20"/>
        </w:rPr>
        <w:t xml:space="preserve">NPC </w:t>
      </w:r>
      <w:r w:rsidR="00D52C2F" w:rsidRPr="00CC621D">
        <w:rPr>
          <w:sz w:val="20"/>
          <w:szCs w:val="20"/>
        </w:rPr>
        <w:t>National Population Commission Nigeria.</w:t>
      </w:r>
      <w:r w:rsidRPr="00CC621D">
        <w:rPr>
          <w:sz w:val="20"/>
          <w:szCs w:val="20"/>
        </w:rPr>
        <w:t xml:space="preserve"> 2012.</w:t>
      </w:r>
      <w:r w:rsidR="00D52C2F" w:rsidRPr="00CC621D">
        <w:rPr>
          <w:sz w:val="20"/>
          <w:szCs w:val="20"/>
        </w:rPr>
        <w:t xml:space="preserve"> Retrieved from www.population.gov.ng</w:t>
      </w:r>
    </w:p>
    <w:p w:rsidR="00D52C2F" w:rsidRPr="00CC621D" w:rsidRDefault="00D52C2F" w:rsidP="003B7ACB">
      <w:pPr>
        <w:pStyle w:val="NormalWeb"/>
        <w:numPr>
          <w:ilvl w:val="0"/>
          <w:numId w:val="14"/>
        </w:numPr>
        <w:adjustRightInd w:val="0"/>
        <w:snapToGrid w:val="0"/>
        <w:spacing w:before="0" w:beforeAutospacing="0" w:after="0" w:afterAutospacing="0"/>
        <w:ind w:left="426" w:hanging="426"/>
        <w:jc w:val="both"/>
        <w:rPr>
          <w:sz w:val="20"/>
          <w:szCs w:val="20"/>
        </w:rPr>
      </w:pPr>
      <w:proofErr w:type="spellStart"/>
      <w:r w:rsidRPr="00CC621D">
        <w:rPr>
          <w:sz w:val="20"/>
          <w:szCs w:val="20"/>
        </w:rPr>
        <w:t>Ogu</w:t>
      </w:r>
      <w:proofErr w:type="spellEnd"/>
      <w:r w:rsidRPr="00CC621D">
        <w:rPr>
          <w:sz w:val="20"/>
          <w:szCs w:val="20"/>
        </w:rPr>
        <w:t>, V.</w:t>
      </w:r>
      <w:r w:rsidR="00BB3BEE" w:rsidRPr="00CC621D">
        <w:rPr>
          <w:sz w:val="20"/>
          <w:szCs w:val="20"/>
        </w:rPr>
        <w:t>I</w:t>
      </w:r>
      <w:r w:rsidRPr="00CC621D">
        <w:rPr>
          <w:sz w:val="20"/>
          <w:szCs w:val="20"/>
        </w:rPr>
        <w:t xml:space="preserve">. Private Sector Participation and Municipal Waste Management in Benin City, Nigeria. </w:t>
      </w:r>
      <w:r w:rsidRPr="00CC621D">
        <w:rPr>
          <w:i/>
          <w:iCs/>
          <w:sz w:val="20"/>
          <w:szCs w:val="20"/>
        </w:rPr>
        <w:t>Environment and Urbanization</w:t>
      </w:r>
      <w:r w:rsidRPr="00CC621D">
        <w:rPr>
          <w:sz w:val="20"/>
          <w:szCs w:val="20"/>
        </w:rPr>
        <w:t xml:space="preserve">, </w:t>
      </w:r>
      <w:r w:rsidR="00BB3BEE" w:rsidRPr="00CC621D">
        <w:rPr>
          <w:sz w:val="20"/>
          <w:szCs w:val="20"/>
        </w:rPr>
        <w:t>2000:</w:t>
      </w:r>
      <w:r w:rsidRPr="00CC621D">
        <w:rPr>
          <w:iCs/>
          <w:sz w:val="20"/>
          <w:szCs w:val="20"/>
        </w:rPr>
        <w:t>12</w:t>
      </w:r>
      <w:r w:rsidRPr="00CC621D">
        <w:rPr>
          <w:sz w:val="20"/>
          <w:szCs w:val="20"/>
        </w:rPr>
        <w:t>(2):103-117. doi:10.1177/095624780001200209</w:t>
      </w:r>
    </w:p>
    <w:p w:rsidR="00775A61" w:rsidRPr="00CC621D" w:rsidRDefault="00775A61" w:rsidP="003B7ACB">
      <w:pPr>
        <w:pStyle w:val="NormalWeb"/>
        <w:numPr>
          <w:ilvl w:val="0"/>
          <w:numId w:val="14"/>
        </w:numPr>
        <w:adjustRightInd w:val="0"/>
        <w:snapToGrid w:val="0"/>
        <w:spacing w:before="0" w:beforeAutospacing="0" w:after="0" w:afterAutospacing="0"/>
        <w:ind w:left="426" w:hanging="426"/>
        <w:jc w:val="both"/>
        <w:rPr>
          <w:sz w:val="20"/>
          <w:szCs w:val="20"/>
        </w:rPr>
      </w:pPr>
      <w:proofErr w:type="spellStart"/>
      <w:r w:rsidRPr="00CC621D">
        <w:rPr>
          <w:sz w:val="20"/>
          <w:szCs w:val="20"/>
        </w:rPr>
        <w:t>Olanrewaju</w:t>
      </w:r>
      <w:proofErr w:type="spellEnd"/>
      <w:r w:rsidRPr="00CC621D">
        <w:rPr>
          <w:sz w:val="20"/>
          <w:szCs w:val="20"/>
        </w:rPr>
        <w:t xml:space="preserve">, O.O. &amp; </w:t>
      </w:r>
      <w:proofErr w:type="spellStart"/>
      <w:r w:rsidRPr="00CC621D">
        <w:rPr>
          <w:sz w:val="20"/>
          <w:szCs w:val="20"/>
        </w:rPr>
        <w:t>Ilemobade</w:t>
      </w:r>
      <w:proofErr w:type="spellEnd"/>
      <w:r w:rsidRPr="00CC621D">
        <w:rPr>
          <w:sz w:val="20"/>
          <w:szCs w:val="20"/>
        </w:rPr>
        <w:t xml:space="preserve">, A. A. (2009). Waste to Wealth : A Case Study of the Ondo State Integrated Wastes Recycling and Treatment Project, Nigeria. </w:t>
      </w:r>
      <w:r w:rsidRPr="00CC621D">
        <w:rPr>
          <w:i/>
          <w:iCs/>
          <w:sz w:val="20"/>
          <w:szCs w:val="20"/>
        </w:rPr>
        <w:t>European Journal of Social Sciences</w:t>
      </w:r>
      <w:r w:rsidRPr="00CC621D">
        <w:rPr>
          <w:sz w:val="20"/>
          <w:szCs w:val="20"/>
        </w:rPr>
        <w:t xml:space="preserve">, </w:t>
      </w:r>
      <w:r w:rsidRPr="00CC621D">
        <w:rPr>
          <w:iCs/>
          <w:sz w:val="20"/>
          <w:szCs w:val="20"/>
        </w:rPr>
        <w:t>8</w:t>
      </w:r>
      <w:r w:rsidRPr="00CC621D">
        <w:rPr>
          <w:sz w:val="20"/>
          <w:szCs w:val="20"/>
        </w:rPr>
        <w:t>(1): 7-16.</w:t>
      </w:r>
    </w:p>
    <w:p w:rsidR="00D52C2F" w:rsidRPr="00CC621D" w:rsidRDefault="00D52C2F" w:rsidP="003B7ACB">
      <w:pPr>
        <w:pStyle w:val="NormalWeb"/>
        <w:numPr>
          <w:ilvl w:val="0"/>
          <w:numId w:val="14"/>
        </w:numPr>
        <w:adjustRightInd w:val="0"/>
        <w:snapToGrid w:val="0"/>
        <w:spacing w:before="0" w:beforeAutospacing="0" w:after="0" w:afterAutospacing="0"/>
        <w:ind w:left="426" w:hanging="426"/>
        <w:jc w:val="both"/>
        <w:rPr>
          <w:sz w:val="20"/>
          <w:szCs w:val="20"/>
        </w:rPr>
      </w:pPr>
      <w:proofErr w:type="spellStart"/>
      <w:r w:rsidRPr="00CC621D">
        <w:rPr>
          <w:sz w:val="20"/>
          <w:szCs w:val="20"/>
        </w:rPr>
        <w:t>Onwughara</w:t>
      </w:r>
      <w:proofErr w:type="spellEnd"/>
      <w:r w:rsidRPr="00CC621D">
        <w:rPr>
          <w:sz w:val="20"/>
          <w:szCs w:val="20"/>
        </w:rPr>
        <w:t xml:space="preserve">, I.N., </w:t>
      </w:r>
      <w:proofErr w:type="spellStart"/>
      <w:r w:rsidRPr="00CC621D">
        <w:rPr>
          <w:sz w:val="20"/>
          <w:szCs w:val="20"/>
        </w:rPr>
        <w:t>Nnorom</w:t>
      </w:r>
      <w:proofErr w:type="spellEnd"/>
      <w:r w:rsidRPr="00CC621D">
        <w:rPr>
          <w:sz w:val="20"/>
          <w:szCs w:val="20"/>
        </w:rPr>
        <w:t xml:space="preserve">, I.C. &amp; </w:t>
      </w:r>
      <w:proofErr w:type="spellStart"/>
      <w:r w:rsidRPr="00CC621D">
        <w:rPr>
          <w:sz w:val="20"/>
          <w:szCs w:val="20"/>
        </w:rPr>
        <w:t>Kanno</w:t>
      </w:r>
      <w:proofErr w:type="spellEnd"/>
      <w:r w:rsidRPr="00CC621D">
        <w:rPr>
          <w:sz w:val="20"/>
          <w:szCs w:val="20"/>
        </w:rPr>
        <w:t>, O.</w:t>
      </w:r>
      <w:r w:rsidR="00BB3BEE" w:rsidRPr="00CC621D">
        <w:rPr>
          <w:sz w:val="20"/>
          <w:szCs w:val="20"/>
        </w:rPr>
        <w:t>C.</w:t>
      </w:r>
      <w:r w:rsidRPr="00CC621D">
        <w:rPr>
          <w:sz w:val="20"/>
          <w:szCs w:val="20"/>
        </w:rPr>
        <w:t xml:space="preserve"> Issues of Roadside Disposal Habit of Municipal Solid Waste, Environmental Impacts and Implementation of Sound Management Practices in Developing Country “ Nigeria .” </w:t>
      </w:r>
      <w:r w:rsidRPr="00CC621D">
        <w:rPr>
          <w:i/>
          <w:iCs/>
          <w:sz w:val="20"/>
          <w:szCs w:val="20"/>
        </w:rPr>
        <w:t>International Journal Environmental Science and Development</w:t>
      </w:r>
      <w:r w:rsidRPr="00CC621D">
        <w:rPr>
          <w:sz w:val="20"/>
          <w:szCs w:val="20"/>
        </w:rPr>
        <w:t xml:space="preserve">, </w:t>
      </w:r>
      <w:r w:rsidR="00BB3BEE" w:rsidRPr="00CC621D">
        <w:rPr>
          <w:sz w:val="20"/>
          <w:szCs w:val="20"/>
        </w:rPr>
        <w:t>2010:</w:t>
      </w:r>
      <w:r w:rsidRPr="00CC621D">
        <w:rPr>
          <w:iCs/>
          <w:sz w:val="20"/>
          <w:szCs w:val="20"/>
        </w:rPr>
        <w:t>1</w:t>
      </w:r>
      <w:r w:rsidRPr="00CC621D">
        <w:rPr>
          <w:sz w:val="20"/>
          <w:szCs w:val="20"/>
        </w:rPr>
        <w:t>(5):409-418.</w:t>
      </w:r>
    </w:p>
    <w:p w:rsidR="00D52C2F" w:rsidRPr="00CC621D" w:rsidRDefault="00BB3BEE" w:rsidP="003B7ACB">
      <w:pPr>
        <w:pStyle w:val="NormalWeb"/>
        <w:numPr>
          <w:ilvl w:val="0"/>
          <w:numId w:val="14"/>
        </w:numPr>
        <w:adjustRightInd w:val="0"/>
        <w:snapToGrid w:val="0"/>
        <w:spacing w:before="0" w:beforeAutospacing="0" w:after="0" w:afterAutospacing="0"/>
        <w:ind w:left="426" w:hanging="426"/>
        <w:jc w:val="both"/>
        <w:rPr>
          <w:sz w:val="20"/>
          <w:szCs w:val="20"/>
        </w:rPr>
      </w:pPr>
      <w:proofErr w:type="spellStart"/>
      <w:r w:rsidRPr="00CC621D">
        <w:rPr>
          <w:sz w:val="20"/>
          <w:szCs w:val="20"/>
        </w:rPr>
        <w:t>Pallant</w:t>
      </w:r>
      <w:proofErr w:type="spellEnd"/>
      <w:r w:rsidRPr="00CC621D">
        <w:rPr>
          <w:sz w:val="20"/>
          <w:szCs w:val="20"/>
        </w:rPr>
        <w:t>, J.</w:t>
      </w:r>
      <w:r w:rsidR="00D52C2F" w:rsidRPr="00CC621D">
        <w:rPr>
          <w:sz w:val="20"/>
          <w:szCs w:val="20"/>
        </w:rPr>
        <w:t xml:space="preserve"> </w:t>
      </w:r>
      <w:r w:rsidR="00D52C2F" w:rsidRPr="00CC621D">
        <w:rPr>
          <w:iCs/>
          <w:sz w:val="20"/>
          <w:szCs w:val="20"/>
        </w:rPr>
        <w:t>SPSS Survival Manual: A Step by Step Guide to Data Analysis using SPSS for Windows (Version 12)</w:t>
      </w:r>
      <w:r w:rsidR="00D52C2F" w:rsidRPr="00CC621D">
        <w:rPr>
          <w:sz w:val="20"/>
          <w:szCs w:val="20"/>
        </w:rPr>
        <w:t xml:space="preserve"> (2nd ed.).</w:t>
      </w:r>
      <w:r w:rsidRPr="00CC621D">
        <w:rPr>
          <w:sz w:val="20"/>
          <w:szCs w:val="20"/>
        </w:rPr>
        <w:t>2005:</w:t>
      </w:r>
      <w:r w:rsidR="00D52C2F" w:rsidRPr="00CC621D">
        <w:rPr>
          <w:sz w:val="20"/>
          <w:szCs w:val="20"/>
        </w:rPr>
        <w:t xml:space="preserve"> </w:t>
      </w:r>
      <w:proofErr w:type="spellStart"/>
      <w:r w:rsidR="00D52C2F" w:rsidRPr="00CC621D">
        <w:rPr>
          <w:sz w:val="20"/>
          <w:szCs w:val="20"/>
        </w:rPr>
        <w:t>Ligare</w:t>
      </w:r>
      <w:proofErr w:type="spellEnd"/>
      <w:r w:rsidR="00D52C2F" w:rsidRPr="00CC621D">
        <w:rPr>
          <w:sz w:val="20"/>
          <w:szCs w:val="20"/>
        </w:rPr>
        <w:t xml:space="preserve">, Sydney: Allen &amp; </w:t>
      </w:r>
      <w:proofErr w:type="spellStart"/>
      <w:r w:rsidR="00D52C2F" w:rsidRPr="00CC621D">
        <w:rPr>
          <w:sz w:val="20"/>
          <w:szCs w:val="20"/>
        </w:rPr>
        <w:t>Unwin</w:t>
      </w:r>
      <w:proofErr w:type="spellEnd"/>
      <w:r w:rsidR="00D52C2F" w:rsidRPr="00CC621D">
        <w:rPr>
          <w:sz w:val="20"/>
          <w:szCs w:val="20"/>
        </w:rPr>
        <w:t xml:space="preserve">. Retrieved from </w:t>
      </w:r>
      <w:hyperlink r:id="rId16" w:history="1">
        <w:r w:rsidR="00D52C2F" w:rsidRPr="00CC621D">
          <w:rPr>
            <w:rStyle w:val="Hyperlink"/>
            <w:sz w:val="20"/>
            <w:szCs w:val="20"/>
          </w:rPr>
          <w:t>www.allenandunwin.com</w:t>
        </w:r>
      </w:hyperlink>
    </w:p>
    <w:p w:rsidR="00D52C2F" w:rsidRPr="00CC621D" w:rsidRDefault="00D52C2F" w:rsidP="003B7ACB">
      <w:pPr>
        <w:pStyle w:val="NormalWeb"/>
        <w:numPr>
          <w:ilvl w:val="0"/>
          <w:numId w:val="14"/>
        </w:numPr>
        <w:adjustRightInd w:val="0"/>
        <w:snapToGrid w:val="0"/>
        <w:spacing w:before="0" w:beforeAutospacing="0" w:after="0" w:afterAutospacing="0"/>
        <w:ind w:left="426" w:hanging="426"/>
        <w:rPr>
          <w:sz w:val="20"/>
          <w:szCs w:val="20"/>
        </w:rPr>
      </w:pPr>
      <w:proofErr w:type="spellStart"/>
      <w:r w:rsidRPr="00CC621D">
        <w:rPr>
          <w:bCs/>
          <w:sz w:val="20"/>
          <w:szCs w:val="20"/>
        </w:rPr>
        <w:t>Sekaran</w:t>
      </w:r>
      <w:proofErr w:type="spellEnd"/>
      <w:r w:rsidRPr="00CC621D">
        <w:rPr>
          <w:sz w:val="20"/>
          <w:szCs w:val="20"/>
        </w:rPr>
        <w:t>, B.</w:t>
      </w:r>
      <w:r w:rsidR="00BB3BEE" w:rsidRPr="00CC621D">
        <w:rPr>
          <w:sz w:val="20"/>
          <w:szCs w:val="20"/>
        </w:rPr>
        <w:t>R.</w:t>
      </w:r>
      <w:r w:rsidRPr="00CC621D">
        <w:rPr>
          <w:sz w:val="20"/>
          <w:szCs w:val="20"/>
        </w:rPr>
        <w:t xml:space="preserve"> </w:t>
      </w:r>
      <w:r w:rsidRPr="00CC621D">
        <w:rPr>
          <w:iCs/>
          <w:sz w:val="20"/>
          <w:szCs w:val="20"/>
        </w:rPr>
        <w:t>Research Methods for Business</w:t>
      </w:r>
      <w:r w:rsidRPr="00CC621D">
        <w:rPr>
          <w:i/>
          <w:iCs/>
          <w:sz w:val="20"/>
          <w:szCs w:val="20"/>
        </w:rPr>
        <w:t xml:space="preserve">: </w:t>
      </w:r>
      <w:r w:rsidRPr="00CC621D">
        <w:rPr>
          <w:iCs/>
          <w:sz w:val="20"/>
          <w:szCs w:val="20"/>
        </w:rPr>
        <w:t>A Skill Building Approach.</w:t>
      </w:r>
      <w:r w:rsidR="00BB3BEE" w:rsidRPr="00CC621D">
        <w:rPr>
          <w:iCs/>
          <w:sz w:val="20"/>
          <w:szCs w:val="20"/>
        </w:rPr>
        <w:t xml:space="preserve"> 2010:</w:t>
      </w:r>
      <w:r w:rsidRPr="00CC621D">
        <w:rPr>
          <w:i/>
          <w:iCs/>
          <w:sz w:val="20"/>
          <w:szCs w:val="20"/>
        </w:rPr>
        <w:t xml:space="preserve"> </w:t>
      </w:r>
      <w:r w:rsidRPr="00CC621D">
        <w:rPr>
          <w:sz w:val="20"/>
          <w:szCs w:val="20"/>
        </w:rPr>
        <w:t xml:space="preserve">UK: John Wiley &amp; Sons. </w:t>
      </w:r>
    </w:p>
    <w:p w:rsidR="00D52C2F" w:rsidRPr="00CC621D" w:rsidRDefault="00BB3BEE" w:rsidP="003B7ACB">
      <w:pPr>
        <w:pStyle w:val="NormalWeb"/>
        <w:numPr>
          <w:ilvl w:val="0"/>
          <w:numId w:val="14"/>
        </w:numPr>
        <w:adjustRightInd w:val="0"/>
        <w:snapToGrid w:val="0"/>
        <w:spacing w:before="0" w:beforeAutospacing="0" w:after="0" w:afterAutospacing="0"/>
        <w:ind w:left="426" w:hanging="426"/>
        <w:jc w:val="both"/>
        <w:rPr>
          <w:i/>
          <w:sz w:val="20"/>
          <w:szCs w:val="20"/>
        </w:rPr>
      </w:pPr>
      <w:proofErr w:type="spellStart"/>
      <w:r w:rsidRPr="00CC621D">
        <w:rPr>
          <w:sz w:val="20"/>
          <w:szCs w:val="20"/>
        </w:rPr>
        <w:lastRenderedPageBreak/>
        <w:t>Sulaiman</w:t>
      </w:r>
      <w:proofErr w:type="spellEnd"/>
      <w:r w:rsidRPr="00CC621D">
        <w:rPr>
          <w:sz w:val="20"/>
          <w:szCs w:val="20"/>
        </w:rPr>
        <w:t>, S.</w:t>
      </w:r>
      <w:r w:rsidR="00D52C2F" w:rsidRPr="00CC621D">
        <w:rPr>
          <w:sz w:val="20"/>
          <w:szCs w:val="20"/>
        </w:rPr>
        <w:t xml:space="preserve"> Research Methods for the Social Sciences: Made Simple. </w:t>
      </w:r>
      <w:r w:rsidRPr="00CC621D">
        <w:rPr>
          <w:sz w:val="20"/>
          <w:szCs w:val="20"/>
        </w:rPr>
        <w:t xml:space="preserve">2004: </w:t>
      </w:r>
      <w:proofErr w:type="spellStart"/>
      <w:r w:rsidR="00D52C2F" w:rsidRPr="00CC621D">
        <w:rPr>
          <w:i/>
          <w:sz w:val="20"/>
          <w:szCs w:val="20"/>
        </w:rPr>
        <w:t>Bangi</w:t>
      </w:r>
      <w:proofErr w:type="spellEnd"/>
      <w:r w:rsidR="00D52C2F" w:rsidRPr="00CC621D">
        <w:rPr>
          <w:i/>
          <w:sz w:val="20"/>
          <w:szCs w:val="20"/>
        </w:rPr>
        <w:t>: DSS Publishing Enterprise.</w:t>
      </w:r>
    </w:p>
    <w:p w:rsidR="00775A61" w:rsidRPr="00CC621D" w:rsidRDefault="00BB3BEE" w:rsidP="003B7ACB">
      <w:pPr>
        <w:pStyle w:val="NormalWeb"/>
        <w:numPr>
          <w:ilvl w:val="0"/>
          <w:numId w:val="14"/>
        </w:numPr>
        <w:adjustRightInd w:val="0"/>
        <w:snapToGrid w:val="0"/>
        <w:spacing w:before="0" w:beforeAutospacing="0" w:after="0" w:afterAutospacing="0"/>
        <w:ind w:left="426" w:hanging="426"/>
        <w:jc w:val="both"/>
        <w:rPr>
          <w:sz w:val="20"/>
          <w:szCs w:val="20"/>
        </w:rPr>
      </w:pPr>
      <w:proofErr w:type="spellStart"/>
      <w:r w:rsidRPr="00CC621D">
        <w:rPr>
          <w:sz w:val="20"/>
          <w:szCs w:val="20"/>
        </w:rPr>
        <w:t>Tanskanen</w:t>
      </w:r>
      <w:proofErr w:type="spellEnd"/>
      <w:r w:rsidRPr="00CC621D">
        <w:rPr>
          <w:sz w:val="20"/>
          <w:szCs w:val="20"/>
        </w:rPr>
        <w:t xml:space="preserve">, J.-H. </w:t>
      </w:r>
      <w:r w:rsidR="00775A61" w:rsidRPr="00CC621D">
        <w:rPr>
          <w:sz w:val="20"/>
          <w:szCs w:val="20"/>
        </w:rPr>
        <w:t xml:space="preserve">Strategic Planning Of Municipal Solid Waste Management. </w:t>
      </w:r>
      <w:r w:rsidR="00775A61" w:rsidRPr="00CC621D">
        <w:rPr>
          <w:i/>
          <w:iCs/>
          <w:sz w:val="20"/>
          <w:szCs w:val="20"/>
        </w:rPr>
        <w:t>Resources, Conservation and Recycling</w:t>
      </w:r>
      <w:r w:rsidR="00775A61" w:rsidRPr="00CC621D">
        <w:rPr>
          <w:sz w:val="20"/>
          <w:szCs w:val="20"/>
        </w:rPr>
        <w:t xml:space="preserve">, </w:t>
      </w:r>
      <w:r w:rsidRPr="00CC621D">
        <w:rPr>
          <w:sz w:val="20"/>
          <w:szCs w:val="20"/>
        </w:rPr>
        <w:t>2000:</w:t>
      </w:r>
      <w:r w:rsidR="00775A61" w:rsidRPr="00CC621D">
        <w:rPr>
          <w:iCs/>
          <w:sz w:val="20"/>
          <w:szCs w:val="20"/>
        </w:rPr>
        <w:t>30</w:t>
      </w:r>
      <w:r w:rsidR="00775A61" w:rsidRPr="00CC621D">
        <w:rPr>
          <w:sz w:val="20"/>
          <w:szCs w:val="20"/>
        </w:rPr>
        <w:t>(2): 111-133. doi:10.1016/S0921-3449(00)00056-2</w:t>
      </w:r>
    </w:p>
    <w:p w:rsidR="00D52C2F" w:rsidRPr="00CC621D" w:rsidRDefault="00BB3BEE" w:rsidP="003B7ACB">
      <w:pPr>
        <w:pStyle w:val="NormalWeb"/>
        <w:numPr>
          <w:ilvl w:val="0"/>
          <w:numId w:val="14"/>
        </w:numPr>
        <w:adjustRightInd w:val="0"/>
        <w:snapToGrid w:val="0"/>
        <w:spacing w:before="0" w:beforeAutospacing="0" w:after="0" w:afterAutospacing="0"/>
        <w:ind w:left="426" w:hanging="426"/>
        <w:jc w:val="both"/>
        <w:rPr>
          <w:sz w:val="20"/>
          <w:szCs w:val="20"/>
        </w:rPr>
      </w:pPr>
      <w:proofErr w:type="spellStart"/>
      <w:r w:rsidRPr="00CC621D">
        <w:rPr>
          <w:sz w:val="20"/>
          <w:szCs w:val="20"/>
        </w:rPr>
        <w:t>Tunesi</w:t>
      </w:r>
      <w:proofErr w:type="spellEnd"/>
      <w:r w:rsidRPr="00CC621D">
        <w:rPr>
          <w:sz w:val="20"/>
          <w:szCs w:val="20"/>
        </w:rPr>
        <w:t xml:space="preserve">, S. </w:t>
      </w:r>
      <w:r w:rsidR="00D52C2F" w:rsidRPr="00CC621D">
        <w:rPr>
          <w:sz w:val="20"/>
          <w:szCs w:val="20"/>
        </w:rPr>
        <w:t xml:space="preserve">LCA of Local Strategies for Energy Recovery from Waste in England, Applied to a Large Municipal Flow. </w:t>
      </w:r>
      <w:r w:rsidR="00D52C2F" w:rsidRPr="00CC621D">
        <w:rPr>
          <w:i/>
          <w:iCs/>
          <w:sz w:val="20"/>
          <w:szCs w:val="20"/>
        </w:rPr>
        <w:t>Waste Management</w:t>
      </w:r>
      <w:r w:rsidR="00D52C2F" w:rsidRPr="00CC621D">
        <w:rPr>
          <w:sz w:val="20"/>
          <w:szCs w:val="20"/>
        </w:rPr>
        <w:t>.</w:t>
      </w:r>
      <w:r w:rsidRPr="00CC621D">
        <w:rPr>
          <w:sz w:val="20"/>
          <w:szCs w:val="20"/>
        </w:rPr>
        <w:t xml:space="preserve"> 2010:31(3): 561-571</w:t>
      </w:r>
    </w:p>
    <w:p w:rsidR="00D52C2F" w:rsidRPr="00CC621D" w:rsidRDefault="00D52C2F" w:rsidP="003B7ACB">
      <w:pPr>
        <w:pStyle w:val="NormalWeb"/>
        <w:numPr>
          <w:ilvl w:val="0"/>
          <w:numId w:val="14"/>
        </w:numPr>
        <w:adjustRightInd w:val="0"/>
        <w:snapToGrid w:val="0"/>
        <w:spacing w:before="0" w:beforeAutospacing="0" w:after="0" w:afterAutospacing="0"/>
        <w:ind w:left="426" w:hanging="426"/>
        <w:jc w:val="both"/>
        <w:rPr>
          <w:sz w:val="20"/>
          <w:szCs w:val="20"/>
        </w:rPr>
      </w:pPr>
      <w:proofErr w:type="spellStart"/>
      <w:r w:rsidRPr="00CC621D">
        <w:rPr>
          <w:sz w:val="20"/>
          <w:szCs w:val="20"/>
        </w:rPr>
        <w:t>Turan</w:t>
      </w:r>
      <w:proofErr w:type="spellEnd"/>
      <w:r w:rsidRPr="00CC621D">
        <w:rPr>
          <w:sz w:val="20"/>
          <w:szCs w:val="20"/>
        </w:rPr>
        <w:t xml:space="preserve">, N. ., </w:t>
      </w:r>
      <w:proofErr w:type="spellStart"/>
      <w:r w:rsidRPr="00CC621D">
        <w:rPr>
          <w:sz w:val="20"/>
          <w:szCs w:val="20"/>
        </w:rPr>
        <w:t>Coruh</w:t>
      </w:r>
      <w:proofErr w:type="spellEnd"/>
      <w:r w:rsidRPr="00CC621D">
        <w:rPr>
          <w:sz w:val="20"/>
          <w:szCs w:val="20"/>
        </w:rPr>
        <w:t xml:space="preserve">, S., </w:t>
      </w:r>
      <w:proofErr w:type="spellStart"/>
      <w:r w:rsidRPr="00CC621D">
        <w:rPr>
          <w:sz w:val="20"/>
          <w:szCs w:val="20"/>
        </w:rPr>
        <w:t>Akdemir</w:t>
      </w:r>
      <w:proofErr w:type="spellEnd"/>
      <w:r w:rsidRPr="00CC621D">
        <w:rPr>
          <w:sz w:val="20"/>
          <w:szCs w:val="20"/>
        </w:rPr>
        <w:t>, A.</w:t>
      </w:r>
      <w:r w:rsidR="00BB3BEE" w:rsidRPr="00CC621D">
        <w:rPr>
          <w:sz w:val="20"/>
          <w:szCs w:val="20"/>
        </w:rPr>
        <w:t xml:space="preserve"> &amp; Ergun, O. E. </w:t>
      </w:r>
      <w:r w:rsidRPr="00CC621D">
        <w:rPr>
          <w:sz w:val="20"/>
          <w:szCs w:val="20"/>
        </w:rPr>
        <w:t xml:space="preserve">Municipal Solid Waste Management Strategies in Turkey. </w:t>
      </w:r>
      <w:r w:rsidRPr="00CC621D">
        <w:rPr>
          <w:i/>
          <w:iCs/>
          <w:sz w:val="20"/>
          <w:szCs w:val="20"/>
        </w:rPr>
        <w:t>Waste Management</w:t>
      </w:r>
      <w:r w:rsidRPr="00CC621D">
        <w:rPr>
          <w:sz w:val="20"/>
          <w:szCs w:val="20"/>
        </w:rPr>
        <w:t>,</w:t>
      </w:r>
      <w:r w:rsidR="00BB3BEE" w:rsidRPr="00CC621D">
        <w:rPr>
          <w:sz w:val="20"/>
          <w:szCs w:val="20"/>
        </w:rPr>
        <w:t xml:space="preserve"> 2009:</w:t>
      </w:r>
      <w:r w:rsidRPr="00CC621D">
        <w:rPr>
          <w:iCs/>
          <w:sz w:val="20"/>
          <w:szCs w:val="20"/>
        </w:rPr>
        <w:t>29</w:t>
      </w:r>
      <w:r w:rsidRPr="00CC621D">
        <w:rPr>
          <w:sz w:val="20"/>
          <w:szCs w:val="20"/>
        </w:rPr>
        <w:t>:465-469. doi:10.1016/j.wasman.2008.06.004</w:t>
      </w:r>
    </w:p>
    <w:p w:rsidR="008820AC" w:rsidRPr="00CC621D" w:rsidRDefault="00BB3BEE" w:rsidP="003B7ACB">
      <w:pPr>
        <w:pStyle w:val="NormalWeb"/>
        <w:numPr>
          <w:ilvl w:val="0"/>
          <w:numId w:val="14"/>
        </w:numPr>
        <w:adjustRightInd w:val="0"/>
        <w:snapToGrid w:val="0"/>
        <w:spacing w:before="0" w:beforeAutospacing="0" w:after="0" w:afterAutospacing="0"/>
        <w:ind w:left="426" w:hanging="426"/>
        <w:jc w:val="both"/>
        <w:rPr>
          <w:sz w:val="20"/>
          <w:szCs w:val="20"/>
        </w:rPr>
      </w:pPr>
      <w:r w:rsidRPr="00CC621D">
        <w:rPr>
          <w:sz w:val="20"/>
          <w:szCs w:val="20"/>
        </w:rPr>
        <w:t xml:space="preserve">UNEP </w:t>
      </w:r>
      <w:r w:rsidR="008820AC" w:rsidRPr="00CC621D">
        <w:rPr>
          <w:sz w:val="20"/>
          <w:szCs w:val="20"/>
        </w:rPr>
        <w:t xml:space="preserve">Developing Integrated Solid Waste Management Plan Training Manual: Waste Characterization and Quantification with Projections, </w:t>
      </w:r>
      <w:r w:rsidR="008820AC" w:rsidRPr="00CC621D">
        <w:rPr>
          <w:i/>
          <w:iCs/>
          <w:sz w:val="20"/>
          <w:szCs w:val="20"/>
        </w:rPr>
        <w:t>1</w:t>
      </w:r>
      <w:r w:rsidR="008820AC" w:rsidRPr="00CC621D">
        <w:rPr>
          <w:sz w:val="20"/>
          <w:szCs w:val="20"/>
        </w:rPr>
        <w:t>.</w:t>
      </w:r>
      <w:r w:rsidRPr="00CC621D">
        <w:rPr>
          <w:sz w:val="20"/>
          <w:szCs w:val="20"/>
        </w:rPr>
        <w:t>2009</w:t>
      </w:r>
    </w:p>
    <w:p w:rsidR="008820AC" w:rsidRPr="00CC621D" w:rsidRDefault="008820AC" w:rsidP="003B7ACB">
      <w:pPr>
        <w:pStyle w:val="NormalWeb"/>
        <w:numPr>
          <w:ilvl w:val="0"/>
          <w:numId w:val="14"/>
        </w:numPr>
        <w:adjustRightInd w:val="0"/>
        <w:snapToGrid w:val="0"/>
        <w:spacing w:before="0" w:beforeAutospacing="0" w:after="0" w:afterAutospacing="0"/>
        <w:ind w:left="426" w:hanging="426"/>
        <w:jc w:val="both"/>
        <w:rPr>
          <w:sz w:val="20"/>
          <w:szCs w:val="20"/>
        </w:rPr>
      </w:pPr>
      <w:r w:rsidRPr="00CC621D">
        <w:rPr>
          <w:sz w:val="20"/>
          <w:szCs w:val="20"/>
        </w:rPr>
        <w:t>University o</w:t>
      </w:r>
      <w:r w:rsidR="00BB3BEE" w:rsidRPr="00CC621D">
        <w:rPr>
          <w:sz w:val="20"/>
          <w:szCs w:val="20"/>
        </w:rPr>
        <w:t>f Massachusetts Amherst.</w:t>
      </w:r>
      <w:r w:rsidRPr="00CC621D">
        <w:rPr>
          <w:sz w:val="20"/>
          <w:szCs w:val="20"/>
        </w:rPr>
        <w:t xml:space="preserve"> PROGRA</w:t>
      </w:r>
      <w:r w:rsidR="00BB3BEE" w:rsidRPr="00CC621D">
        <w:rPr>
          <w:sz w:val="20"/>
          <w:szCs w:val="20"/>
        </w:rPr>
        <w:t>M-Based Review and Assessment T</w:t>
      </w:r>
      <w:r w:rsidRPr="00CC621D">
        <w:rPr>
          <w:sz w:val="20"/>
          <w:szCs w:val="20"/>
        </w:rPr>
        <w:t xml:space="preserve">ools and Techniques for Program Improvement. </w:t>
      </w:r>
      <w:r w:rsidRPr="00CC621D">
        <w:rPr>
          <w:iCs/>
          <w:sz w:val="20"/>
          <w:szCs w:val="20"/>
        </w:rPr>
        <w:t>office of Academic Planning &amp; Assessment University of Massachusetts Amherst</w:t>
      </w:r>
      <w:r w:rsidRPr="00CC621D">
        <w:rPr>
          <w:sz w:val="20"/>
          <w:szCs w:val="20"/>
        </w:rPr>
        <w:t>. Massachusetts: office of Academic Planning &amp; Assessment University of Massachusetts Amherst.</w:t>
      </w:r>
      <w:r w:rsidR="00BB3BEE" w:rsidRPr="00CC621D">
        <w:rPr>
          <w:sz w:val="20"/>
          <w:szCs w:val="20"/>
        </w:rPr>
        <w:t xml:space="preserve"> 2001</w:t>
      </w:r>
      <w:r w:rsidRPr="00CC621D">
        <w:rPr>
          <w:sz w:val="20"/>
          <w:szCs w:val="20"/>
        </w:rPr>
        <w:t xml:space="preserve"> Retrieved from http://www.umass.edu/oapa/oapa/publications/online_handbooks/program_based.pdf</w:t>
      </w:r>
    </w:p>
    <w:p w:rsidR="00775A61" w:rsidRPr="00CC621D" w:rsidRDefault="00775A61" w:rsidP="003B7ACB">
      <w:pPr>
        <w:pStyle w:val="NormalWeb"/>
        <w:numPr>
          <w:ilvl w:val="0"/>
          <w:numId w:val="14"/>
        </w:numPr>
        <w:adjustRightInd w:val="0"/>
        <w:snapToGrid w:val="0"/>
        <w:spacing w:before="0" w:beforeAutospacing="0" w:after="0" w:afterAutospacing="0"/>
        <w:ind w:left="426" w:hanging="426"/>
        <w:jc w:val="both"/>
        <w:rPr>
          <w:sz w:val="20"/>
          <w:szCs w:val="20"/>
        </w:rPr>
      </w:pPr>
      <w:proofErr w:type="spellStart"/>
      <w:r w:rsidRPr="00CC621D">
        <w:rPr>
          <w:sz w:val="20"/>
          <w:szCs w:val="20"/>
        </w:rPr>
        <w:t>Zamorano</w:t>
      </w:r>
      <w:proofErr w:type="spellEnd"/>
      <w:r w:rsidRPr="00CC621D">
        <w:rPr>
          <w:sz w:val="20"/>
          <w:szCs w:val="20"/>
        </w:rPr>
        <w:t xml:space="preserve">, M., </w:t>
      </w:r>
      <w:proofErr w:type="spellStart"/>
      <w:r w:rsidRPr="00CC621D">
        <w:rPr>
          <w:sz w:val="20"/>
          <w:szCs w:val="20"/>
        </w:rPr>
        <w:t>Molero</w:t>
      </w:r>
      <w:proofErr w:type="spellEnd"/>
      <w:r w:rsidRPr="00CC621D">
        <w:rPr>
          <w:sz w:val="20"/>
          <w:szCs w:val="20"/>
        </w:rPr>
        <w:t xml:space="preserve">, E., </w:t>
      </w:r>
      <w:proofErr w:type="spellStart"/>
      <w:r w:rsidRPr="00CC621D">
        <w:rPr>
          <w:sz w:val="20"/>
          <w:szCs w:val="20"/>
        </w:rPr>
        <w:t>Grindlay</w:t>
      </w:r>
      <w:proofErr w:type="spellEnd"/>
      <w:r w:rsidRPr="00CC621D">
        <w:rPr>
          <w:sz w:val="20"/>
          <w:szCs w:val="20"/>
        </w:rPr>
        <w:t>, A., Rodriguez</w:t>
      </w:r>
      <w:r w:rsidR="00195BC7" w:rsidRPr="00CC621D">
        <w:rPr>
          <w:sz w:val="20"/>
          <w:szCs w:val="20"/>
        </w:rPr>
        <w:t xml:space="preserve">, M. ., </w:t>
      </w:r>
      <w:proofErr w:type="spellStart"/>
      <w:r w:rsidR="00195BC7" w:rsidRPr="00CC621D">
        <w:rPr>
          <w:sz w:val="20"/>
          <w:szCs w:val="20"/>
        </w:rPr>
        <w:t>Hurtado</w:t>
      </w:r>
      <w:proofErr w:type="spellEnd"/>
      <w:r w:rsidR="00195BC7" w:rsidRPr="00CC621D">
        <w:rPr>
          <w:sz w:val="20"/>
          <w:szCs w:val="20"/>
        </w:rPr>
        <w:t xml:space="preserve">, A. &amp; </w:t>
      </w:r>
      <w:proofErr w:type="spellStart"/>
      <w:r w:rsidR="00195BC7" w:rsidRPr="00CC621D">
        <w:rPr>
          <w:sz w:val="20"/>
          <w:szCs w:val="20"/>
        </w:rPr>
        <w:t>Calvo</w:t>
      </w:r>
      <w:proofErr w:type="spellEnd"/>
      <w:r w:rsidR="00195BC7" w:rsidRPr="00CC621D">
        <w:rPr>
          <w:sz w:val="20"/>
          <w:szCs w:val="20"/>
        </w:rPr>
        <w:t>, F</w:t>
      </w:r>
      <w:r w:rsidRPr="00CC621D">
        <w:rPr>
          <w:sz w:val="20"/>
          <w:szCs w:val="20"/>
        </w:rPr>
        <w:t xml:space="preserve">. A Planning Scenario for the Application of Geographical Information Systems in Municipal Waste Collection: A Case of </w:t>
      </w:r>
      <w:proofErr w:type="spellStart"/>
      <w:r w:rsidRPr="00CC621D">
        <w:rPr>
          <w:sz w:val="20"/>
          <w:szCs w:val="20"/>
        </w:rPr>
        <w:t>Churriana</w:t>
      </w:r>
      <w:proofErr w:type="spellEnd"/>
      <w:r w:rsidRPr="00CC621D">
        <w:rPr>
          <w:sz w:val="20"/>
          <w:szCs w:val="20"/>
        </w:rPr>
        <w:t xml:space="preserve"> de la Vega (Granada, Spain). </w:t>
      </w:r>
      <w:r w:rsidRPr="00CC621D">
        <w:rPr>
          <w:i/>
          <w:iCs/>
          <w:sz w:val="20"/>
          <w:szCs w:val="20"/>
        </w:rPr>
        <w:t>Resource, Conservation and Recycling</w:t>
      </w:r>
      <w:r w:rsidRPr="00CC621D">
        <w:rPr>
          <w:sz w:val="20"/>
          <w:szCs w:val="20"/>
        </w:rPr>
        <w:t>,</w:t>
      </w:r>
      <w:r w:rsidR="00195BC7" w:rsidRPr="00CC621D">
        <w:rPr>
          <w:sz w:val="20"/>
          <w:szCs w:val="20"/>
        </w:rPr>
        <w:t xml:space="preserve"> 2009:</w:t>
      </w:r>
      <w:r w:rsidRPr="00CC621D">
        <w:rPr>
          <w:iCs/>
          <w:sz w:val="20"/>
          <w:szCs w:val="20"/>
        </w:rPr>
        <w:t>54</w:t>
      </w:r>
      <w:r w:rsidRPr="00CC621D">
        <w:rPr>
          <w:sz w:val="20"/>
          <w:szCs w:val="20"/>
        </w:rPr>
        <w:t>:123-133. doi:10.1016/j.resconrec.2009.07.001</w:t>
      </w:r>
    </w:p>
    <w:p w:rsidR="008820AC" w:rsidRPr="00CC621D" w:rsidRDefault="008820AC" w:rsidP="003B7ACB">
      <w:pPr>
        <w:pStyle w:val="NormalWeb"/>
        <w:numPr>
          <w:ilvl w:val="0"/>
          <w:numId w:val="14"/>
        </w:numPr>
        <w:adjustRightInd w:val="0"/>
        <w:snapToGrid w:val="0"/>
        <w:spacing w:before="0" w:beforeAutospacing="0" w:after="0" w:afterAutospacing="0"/>
        <w:ind w:left="426" w:hanging="426"/>
        <w:jc w:val="both"/>
        <w:rPr>
          <w:sz w:val="20"/>
          <w:szCs w:val="20"/>
        </w:rPr>
      </w:pPr>
      <w:proofErr w:type="spellStart"/>
      <w:r w:rsidRPr="00CC621D">
        <w:rPr>
          <w:sz w:val="20"/>
          <w:szCs w:val="20"/>
        </w:rPr>
        <w:t>Zotos</w:t>
      </w:r>
      <w:proofErr w:type="spellEnd"/>
      <w:r w:rsidRPr="00CC621D">
        <w:rPr>
          <w:sz w:val="20"/>
          <w:szCs w:val="20"/>
        </w:rPr>
        <w:t xml:space="preserve">, G., </w:t>
      </w:r>
      <w:proofErr w:type="spellStart"/>
      <w:r w:rsidRPr="00CC621D">
        <w:rPr>
          <w:sz w:val="20"/>
          <w:szCs w:val="20"/>
        </w:rPr>
        <w:t>Karagiannidis</w:t>
      </w:r>
      <w:proofErr w:type="spellEnd"/>
      <w:r w:rsidRPr="00CC621D">
        <w:rPr>
          <w:sz w:val="20"/>
          <w:szCs w:val="20"/>
        </w:rPr>
        <w:t xml:space="preserve">, A., </w:t>
      </w:r>
      <w:proofErr w:type="spellStart"/>
      <w:r w:rsidRPr="00CC621D">
        <w:rPr>
          <w:sz w:val="20"/>
          <w:szCs w:val="20"/>
        </w:rPr>
        <w:t>Zampetoglou</w:t>
      </w:r>
      <w:proofErr w:type="spellEnd"/>
      <w:r w:rsidRPr="00CC621D">
        <w:rPr>
          <w:sz w:val="20"/>
          <w:szCs w:val="20"/>
        </w:rPr>
        <w:t xml:space="preserve">, S., </w:t>
      </w:r>
      <w:proofErr w:type="spellStart"/>
      <w:r w:rsidRPr="00CC621D">
        <w:rPr>
          <w:sz w:val="20"/>
          <w:szCs w:val="20"/>
        </w:rPr>
        <w:t>Malamakis</w:t>
      </w:r>
      <w:proofErr w:type="spellEnd"/>
      <w:r w:rsidRPr="00CC621D">
        <w:rPr>
          <w:sz w:val="20"/>
          <w:szCs w:val="20"/>
        </w:rPr>
        <w:t xml:space="preserve">, A., Antonopoulos, I.S., </w:t>
      </w:r>
      <w:proofErr w:type="spellStart"/>
      <w:r w:rsidRPr="00CC621D">
        <w:rPr>
          <w:sz w:val="20"/>
          <w:szCs w:val="20"/>
        </w:rPr>
        <w:t>Kontogiaani</w:t>
      </w:r>
      <w:proofErr w:type="spellEnd"/>
      <w:r w:rsidRPr="00CC621D">
        <w:rPr>
          <w:sz w:val="20"/>
          <w:szCs w:val="20"/>
        </w:rPr>
        <w:t>, S. &amp;</w:t>
      </w:r>
      <w:r w:rsidR="00BB3BEE" w:rsidRPr="00CC621D">
        <w:rPr>
          <w:sz w:val="20"/>
          <w:szCs w:val="20"/>
        </w:rPr>
        <w:t xml:space="preserve"> </w:t>
      </w:r>
      <w:proofErr w:type="spellStart"/>
      <w:r w:rsidR="00BB3BEE" w:rsidRPr="00CC621D">
        <w:rPr>
          <w:sz w:val="20"/>
          <w:szCs w:val="20"/>
        </w:rPr>
        <w:t>Tchobanoglous</w:t>
      </w:r>
      <w:proofErr w:type="spellEnd"/>
      <w:r w:rsidR="00BB3BEE" w:rsidRPr="00CC621D">
        <w:rPr>
          <w:sz w:val="20"/>
          <w:szCs w:val="20"/>
        </w:rPr>
        <w:t>, G.</w:t>
      </w:r>
      <w:r w:rsidRPr="00CC621D">
        <w:rPr>
          <w:sz w:val="20"/>
          <w:szCs w:val="20"/>
        </w:rPr>
        <w:t xml:space="preserve"> Developing a Holistic Strategy for Integrated Waste Management within Municipal Planning: Challenges, Policies, Solutions and Perspectives for Hellenic Municipalities in the Zero-Waste, Low-Cost Direction. </w:t>
      </w:r>
      <w:r w:rsidRPr="00CC621D">
        <w:rPr>
          <w:i/>
          <w:iCs/>
          <w:sz w:val="20"/>
          <w:szCs w:val="20"/>
        </w:rPr>
        <w:t>Waste Management</w:t>
      </w:r>
      <w:r w:rsidRPr="00CC621D">
        <w:rPr>
          <w:sz w:val="20"/>
          <w:szCs w:val="20"/>
        </w:rPr>
        <w:t xml:space="preserve">, </w:t>
      </w:r>
      <w:r w:rsidR="00BB3BEE" w:rsidRPr="00CC621D">
        <w:rPr>
          <w:sz w:val="20"/>
          <w:szCs w:val="20"/>
        </w:rPr>
        <w:t>2009:(</w:t>
      </w:r>
      <w:r w:rsidRPr="00CC621D">
        <w:rPr>
          <w:iCs/>
          <w:sz w:val="20"/>
          <w:szCs w:val="20"/>
        </w:rPr>
        <w:t>29</w:t>
      </w:r>
      <w:r w:rsidR="00BB3BEE" w:rsidRPr="00CC621D">
        <w:rPr>
          <w:sz w:val="20"/>
          <w:szCs w:val="20"/>
        </w:rPr>
        <w:t>)</w:t>
      </w:r>
      <w:r w:rsidRPr="00CC621D">
        <w:rPr>
          <w:sz w:val="20"/>
          <w:szCs w:val="20"/>
        </w:rPr>
        <w:t>1686-1692.</w:t>
      </w:r>
    </w:p>
    <w:p w:rsidR="003B7ACB" w:rsidRDefault="003B7ACB" w:rsidP="00ED11B1">
      <w:pPr>
        <w:adjustRightInd w:val="0"/>
        <w:snapToGrid w:val="0"/>
        <w:spacing w:after="0" w:line="240" w:lineRule="auto"/>
        <w:rPr>
          <w:rFonts w:ascii="Times New Roman" w:hAnsi="Times New Roman" w:cs="Times New Roman"/>
          <w:sz w:val="20"/>
          <w:szCs w:val="20"/>
        </w:rPr>
        <w:sectPr w:rsidR="003B7ACB" w:rsidSect="006B0A96">
          <w:type w:val="continuous"/>
          <w:pgSz w:w="12240" w:h="15840" w:code="1"/>
          <w:pgMar w:top="1440" w:right="1440" w:bottom="1440" w:left="1440" w:header="720" w:footer="720" w:gutter="0"/>
          <w:cols w:num="2" w:space="708"/>
          <w:docGrid w:linePitch="360"/>
        </w:sectPr>
      </w:pPr>
    </w:p>
    <w:p w:rsidR="00947777" w:rsidRDefault="00947777" w:rsidP="00ED11B1">
      <w:pPr>
        <w:adjustRightInd w:val="0"/>
        <w:snapToGrid w:val="0"/>
        <w:spacing w:after="0" w:line="240" w:lineRule="auto"/>
        <w:rPr>
          <w:rFonts w:ascii="Times New Roman" w:hAnsi="Times New Roman" w:cs="Times New Roman"/>
          <w:sz w:val="20"/>
          <w:szCs w:val="20"/>
        </w:rPr>
      </w:pPr>
    </w:p>
    <w:p w:rsidR="003B7ACB" w:rsidRDefault="003B7ACB" w:rsidP="00ED11B1">
      <w:pPr>
        <w:adjustRightInd w:val="0"/>
        <w:snapToGrid w:val="0"/>
        <w:spacing w:after="0" w:line="240" w:lineRule="auto"/>
        <w:rPr>
          <w:rFonts w:ascii="Times New Roman" w:hAnsi="Times New Roman" w:cs="Times New Roman"/>
          <w:sz w:val="20"/>
          <w:szCs w:val="20"/>
        </w:rPr>
      </w:pPr>
    </w:p>
    <w:p w:rsidR="003B7ACB" w:rsidRPr="00CC621D" w:rsidRDefault="003B7ACB" w:rsidP="00ED11B1">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5/16/2013</w:t>
      </w:r>
    </w:p>
    <w:sectPr w:rsidR="003B7ACB" w:rsidRPr="00CC621D" w:rsidSect="003B7ACB">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1B1" w:rsidRDefault="00ED11B1" w:rsidP="00745417">
      <w:pPr>
        <w:spacing w:after="0" w:line="240" w:lineRule="auto"/>
      </w:pPr>
      <w:r>
        <w:separator/>
      </w:r>
    </w:p>
  </w:endnote>
  <w:endnote w:type="continuationSeparator" w:id="0">
    <w:p w:rsidR="00ED11B1" w:rsidRDefault="00ED11B1" w:rsidP="00745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700"/>
      <w:docPartObj>
        <w:docPartGallery w:val="Page Numbers (Bottom of Page)"/>
        <w:docPartUnique/>
      </w:docPartObj>
    </w:sdtPr>
    <w:sdtEndPr>
      <w:rPr>
        <w:sz w:val="20"/>
        <w:szCs w:val="20"/>
      </w:rPr>
    </w:sdtEndPr>
    <w:sdtContent>
      <w:p w:rsidR="003B7ACB" w:rsidRPr="003B7ACB" w:rsidRDefault="00204C34">
        <w:pPr>
          <w:pStyle w:val="Footer"/>
          <w:jc w:val="center"/>
          <w:rPr>
            <w:sz w:val="20"/>
            <w:szCs w:val="20"/>
          </w:rPr>
        </w:pPr>
        <w:r w:rsidRPr="003B7ACB">
          <w:rPr>
            <w:sz w:val="20"/>
            <w:szCs w:val="20"/>
          </w:rPr>
          <w:fldChar w:fldCharType="begin"/>
        </w:r>
        <w:r w:rsidR="003B7ACB" w:rsidRPr="003B7ACB">
          <w:rPr>
            <w:sz w:val="20"/>
            <w:szCs w:val="20"/>
          </w:rPr>
          <w:instrText xml:space="preserve"> PAGE   \* MERGEFORMAT </w:instrText>
        </w:r>
        <w:r w:rsidRPr="003B7ACB">
          <w:rPr>
            <w:sz w:val="20"/>
            <w:szCs w:val="20"/>
          </w:rPr>
          <w:fldChar w:fldCharType="separate"/>
        </w:r>
        <w:r w:rsidR="00C368CD" w:rsidRPr="00C368CD">
          <w:rPr>
            <w:noProof/>
            <w:sz w:val="20"/>
            <w:szCs w:val="20"/>
            <w:lang w:val="zh-CN"/>
          </w:rPr>
          <w:t>154</w:t>
        </w:r>
        <w:r w:rsidRPr="003B7ACB">
          <w:rPr>
            <w:sz w:val="20"/>
            <w:szCs w:val="20"/>
          </w:rPr>
          <w:fldChar w:fldCharType="end"/>
        </w:r>
      </w:p>
    </w:sdtContent>
  </w:sdt>
  <w:p w:rsidR="007755AA" w:rsidRDefault="00204C34" w:rsidP="007755AA">
    <w:pPr>
      <w:jc w:val="center"/>
    </w:pPr>
    <w:hyperlink r:id="rId1" w:history="1">
      <w:r w:rsidR="007755AA">
        <w:rPr>
          <w:rStyle w:val="Hyperlink"/>
          <w:sz w:val="20"/>
          <w:szCs w:val="20"/>
        </w:rPr>
        <w:t>http://www.sciencepub.net/nature</w:t>
      </w:r>
    </w:hyperlink>
    <w:r w:rsidR="007755AA">
      <w:rPr>
        <w:color w:val="000000"/>
        <w:sz w:val="20"/>
        <w:szCs w:val="20"/>
      </w:rPr>
      <w:t xml:space="preserve">                                                                            </w:t>
    </w:r>
    <w:hyperlink r:id="rId2" w:history="1">
      <w:r w:rsidR="007755AA">
        <w:rPr>
          <w:rStyle w:val="Hyperlink"/>
          <w:bCs/>
          <w:sz w:val="20"/>
        </w:rPr>
        <w:t>naturesciencej@gmail.com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1B1" w:rsidRDefault="00ED11B1" w:rsidP="00745417">
      <w:pPr>
        <w:spacing w:after="0" w:line="240" w:lineRule="auto"/>
      </w:pPr>
      <w:r>
        <w:separator/>
      </w:r>
    </w:p>
  </w:footnote>
  <w:footnote w:type="continuationSeparator" w:id="0">
    <w:p w:rsidR="00ED11B1" w:rsidRDefault="00ED11B1" w:rsidP="007454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B1" w:rsidRPr="00D12F90" w:rsidRDefault="00ED11B1" w:rsidP="006B0A96">
    <w:pPr>
      <w:pBdr>
        <w:bottom w:val="thinThickMediumGap" w:sz="12" w:space="1" w:color="auto"/>
      </w:pBdr>
      <w:tabs>
        <w:tab w:val="left" w:pos="9360"/>
      </w:tabs>
      <w:adjustRightInd w:val="0"/>
      <w:snapToGrid w:val="0"/>
      <w:spacing w:after="0" w:line="240" w:lineRule="auto"/>
      <w:jc w:val="center"/>
      <w:rPr>
        <w:rFonts w:ascii="Times New Roman" w:hAnsi="Times New Roman" w:cs="Times New Roman"/>
        <w:sz w:val="20"/>
        <w:szCs w:val="20"/>
      </w:rPr>
    </w:pPr>
    <w:r w:rsidRPr="00D12F90">
      <w:rPr>
        <w:rFonts w:ascii="Times New Roman" w:hAnsi="Times New Roman" w:cs="Times New Roman"/>
        <w:sz w:val="20"/>
        <w:szCs w:val="20"/>
      </w:rPr>
      <w:t>Nature and Science 2013;11(</w:t>
    </w:r>
    <w:r w:rsidRPr="00D12F90">
      <w:rPr>
        <w:rFonts w:ascii="Times New Roman" w:hAnsi="Times New Roman" w:cs="Times New Roman"/>
        <w:sz w:val="20"/>
        <w:szCs w:val="20"/>
        <w:lang w:eastAsia="zh-CN"/>
      </w:rPr>
      <w:t>6</w:t>
    </w:r>
    <w:r w:rsidRPr="00D12F90">
      <w:rPr>
        <w:rFonts w:ascii="Times New Roman" w:hAnsi="Times New Roman" w:cs="Times New Roman"/>
        <w:sz w:val="20"/>
        <w:szCs w:val="20"/>
      </w:rPr>
      <w:t xml:space="preserve">) </w:t>
    </w:r>
    <w:r w:rsidRPr="00D12F90">
      <w:rPr>
        <w:rFonts w:ascii="Times New Roman" w:hAnsi="Times New Roman" w:cs="Times New Roman"/>
        <w:color w:val="000000"/>
        <w:sz w:val="20"/>
        <w:szCs w:val="20"/>
      </w:rPr>
      <w:t xml:space="preserve">                                                               </w:t>
    </w:r>
    <w:hyperlink r:id="rId1" w:history="1">
      <w:r w:rsidRPr="00D12F90">
        <w:rPr>
          <w:rStyle w:val="Hyperlink"/>
          <w:rFonts w:ascii="Times New Roman" w:hAnsi="Times New Roman" w:cs="Times New Roman"/>
          <w:sz w:val="20"/>
          <w:szCs w:val="20"/>
        </w:rPr>
        <w:t>http://www.sciencepub.net/nature</w:t>
      </w:r>
    </w:hyperlink>
    <w:r w:rsidRPr="00D12F90">
      <w:rPr>
        <w:rFonts w:ascii="Times New Roman" w:hAnsi="Times New Roman" w:cs="Times New Roman"/>
        <w:color w:val="000000"/>
        <w:sz w:val="20"/>
        <w:szCs w:val="20"/>
      </w:rPr>
      <w:t xml:space="preserve"> </w:t>
    </w:r>
  </w:p>
  <w:p w:rsidR="00ED11B1" w:rsidRDefault="00ED11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218"/>
    <w:multiLevelType w:val="hybridMultilevel"/>
    <w:tmpl w:val="650C11F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121A1669"/>
    <w:multiLevelType w:val="hybridMultilevel"/>
    <w:tmpl w:val="C7DCC8BE"/>
    <w:lvl w:ilvl="0" w:tplc="4809000B">
      <w:start w:val="1"/>
      <w:numFmt w:val="bullet"/>
      <w:lvlText w:val=""/>
      <w:lvlJc w:val="left"/>
      <w:pPr>
        <w:ind w:left="1803" w:hanging="360"/>
      </w:pPr>
      <w:rPr>
        <w:rFonts w:ascii="Wingdings" w:hAnsi="Wingdings" w:hint="default"/>
      </w:rPr>
    </w:lvl>
    <w:lvl w:ilvl="1" w:tplc="48090003" w:tentative="1">
      <w:start w:val="1"/>
      <w:numFmt w:val="bullet"/>
      <w:lvlText w:val="o"/>
      <w:lvlJc w:val="left"/>
      <w:pPr>
        <w:ind w:left="2523" w:hanging="360"/>
      </w:pPr>
      <w:rPr>
        <w:rFonts w:ascii="Courier New" w:hAnsi="Courier New" w:cs="Courier New" w:hint="default"/>
      </w:rPr>
    </w:lvl>
    <w:lvl w:ilvl="2" w:tplc="48090005" w:tentative="1">
      <w:start w:val="1"/>
      <w:numFmt w:val="bullet"/>
      <w:lvlText w:val=""/>
      <w:lvlJc w:val="left"/>
      <w:pPr>
        <w:ind w:left="3243" w:hanging="360"/>
      </w:pPr>
      <w:rPr>
        <w:rFonts w:ascii="Wingdings" w:hAnsi="Wingdings" w:hint="default"/>
      </w:rPr>
    </w:lvl>
    <w:lvl w:ilvl="3" w:tplc="48090001" w:tentative="1">
      <w:start w:val="1"/>
      <w:numFmt w:val="bullet"/>
      <w:lvlText w:val=""/>
      <w:lvlJc w:val="left"/>
      <w:pPr>
        <w:ind w:left="3963" w:hanging="360"/>
      </w:pPr>
      <w:rPr>
        <w:rFonts w:ascii="Symbol" w:hAnsi="Symbol" w:hint="default"/>
      </w:rPr>
    </w:lvl>
    <w:lvl w:ilvl="4" w:tplc="48090003" w:tentative="1">
      <w:start w:val="1"/>
      <w:numFmt w:val="bullet"/>
      <w:lvlText w:val="o"/>
      <w:lvlJc w:val="left"/>
      <w:pPr>
        <w:ind w:left="4683" w:hanging="360"/>
      </w:pPr>
      <w:rPr>
        <w:rFonts w:ascii="Courier New" w:hAnsi="Courier New" w:cs="Courier New" w:hint="default"/>
      </w:rPr>
    </w:lvl>
    <w:lvl w:ilvl="5" w:tplc="48090005" w:tentative="1">
      <w:start w:val="1"/>
      <w:numFmt w:val="bullet"/>
      <w:lvlText w:val=""/>
      <w:lvlJc w:val="left"/>
      <w:pPr>
        <w:ind w:left="5403" w:hanging="360"/>
      </w:pPr>
      <w:rPr>
        <w:rFonts w:ascii="Wingdings" w:hAnsi="Wingdings" w:hint="default"/>
      </w:rPr>
    </w:lvl>
    <w:lvl w:ilvl="6" w:tplc="48090001" w:tentative="1">
      <w:start w:val="1"/>
      <w:numFmt w:val="bullet"/>
      <w:lvlText w:val=""/>
      <w:lvlJc w:val="left"/>
      <w:pPr>
        <w:ind w:left="6123" w:hanging="360"/>
      </w:pPr>
      <w:rPr>
        <w:rFonts w:ascii="Symbol" w:hAnsi="Symbol" w:hint="default"/>
      </w:rPr>
    </w:lvl>
    <w:lvl w:ilvl="7" w:tplc="48090003" w:tentative="1">
      <w:start w:val="1"/>
      <w:numFmt w:val="bullet"/>
      <w:lvlText w:val="o"/>
      <w:lvlJc w:val="left"/>
      <w:pPr>
        <w:ind w:left="6843" w:hanging="360"/>
      </w:pPr>
      <w:rPr>
        <w:rFonts w:ascii="Courier New" w:hAnsi="Courier New" w:cs="Courier New" w:hint="default"/>
      </w:rPr>
    </w:lvl>
    <w:lvl w:ilvl="8" w:tplc="48090005" w:tentative="1">
      <w:start w:val="1"/>
      <w:numFmt w:val="bullet"/>
      <w:lvlText w:val=""/>
      <w:lvlJc w:val="left"/>
      <w:pPr>
        <w:ind w:left="7563" w:hanging="360"/>
      </w:pPr>
      <w:rPr>
        <w:rFonts w:ascii="Wingdings" w:hAnsi="Wingdings" w:hint="default"/>
      </w:rPr>
    </w:lvl>
  </w:abstractNum>
  <w:abstractNum w:abstractNumId="2">
    <w:nsid w:val="14BB6C8E"/>
    <w:multiLevelType w:val="multilevel"/>
    <w:tmpl w:val="AFF4D0F6"/>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E333EA"/>
    <w:multiLevelType w:val="hybridMultilevel"/>
    <w:tmpl w:val="90081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92983"/>
    <w:multiLevelType w:val="hybridMultilevel"/>
    <w:tmpl w:val="AA761F4C"/>
    <w:lvl w:ilvl="0" w:tplc="48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1E6F1C"/>
    <w:multiLevelType w:val="hybridMultilevel"/>
    <w:tmpl w:val="09EC1A76"/>
    <w:lvl w:ilvl="0" w:tplc="127463CC">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4847091"/>
    <w:multiLevelType w:val="hybridMultilevel"/>
    <w:tmpl w:val="CBEE258E"/>
    <w:lvl w:ilvl="0" w:tplc="BC7C9702">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4893794"/>
    <w:multiLevelType w:val="hybridMultilevel"/>
    <w:tmpl w:val="D2C2E2C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6B87E97"/>
    <w:multiLevelType w:val="multilevel"/>
    <w:tmpl w:val="540823F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1B36D7"/>
    <w:multiLevelType w:val="multilevel"/>
    <w:tmpl w:val="114CD37C"/>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85A16AD"/>
    <w:multiLevelType w:val="hybridMultilevel"/>
    <w:tmpl w:val="3558F482"/>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E90B8B"/>
    <w:multiLevelType w:val="hybridMultilevel"/>
    <w:tmpl w:val="E7822BE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46810325"/>
    <w:multiLevelType w:val="hybridMultilevel"/>
    <w:tmpl w:val="E0DCD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B8119A"/>
    <w:multiLevelType w:val="hybridMultilevel"/>
    <w:tmpl w:val="FEC8FDD0"/>
    <w:lvl w:ilvl="0" w:tplc="31E0D55E">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0"/>
  </w:num>
  <w:num w:numId="5">
    <w:abstractNumId w:val="11"/>
  </w:num>
  <w:num w:numId="6">
    <w:abstractNumId w:val="5"/>
  </w:num>
  <w:num w:numId="7">
    <w:abstractNumId w:val="6"/>
  </w:num>
  <w:num w:numId="8">
    <w:abstractNumId w:val="13"/>
  </w:num>
  <w:num w:numId="9">
    <w:abstractNumId w:val="7"/>
  </w:num>
  <w:num w:numId="10">
    <w:abstractNumId w:val="0"/>
  </w:num>
  <w:num w:numId="11">
    <w:abstractNumId w:val="1"/>
  </w:num>
  <w:num w:numId="12">
    <w:abstractNumId w:val="9"/>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4C3BF7"/>
    <w:rsid w:val="00017DCD"/>
    <w:rsid w:val="000C22FD"/>
    <w:rsid w:val="000D7E54"/>
    <w:rsid w:val="000E74C2"/>
    <w:rsid w:val="00136188"/>
    <w:rsid w:val="00195BC7"/>
    <w:rsid w:val="00204C34"/>
    <w:rsid w:val="0026346E"/>
    <w:rsid w:val="00280796"/>
    <w:rsid w:val="00336550"/>
    <w:rsid w:val="00363037"/>
    <w:rsid w:val="003B0DE1"/>
    <w:rsid w:val="003B7ACB"/>
    <w:rsid w:val="003C1323"/>
    <w:rsid w:val="004868CF"/>
    <w:rsid w:val="004A762C"/>
    <w:rsid w:val="004C3BF7"/>
    <w:rsid w:val="00525696"/>
    <w:rsid w:val="00551943"/>
    <w:rsid w:val="005E6F1D"/>
    <w:rsid w:val="0068589E"/>
    <w:rsid w:val="006B0A96"/>
    <w:rsid w:val="006D3930"/>
    <w:rsid w:val="00745417"/>
    <w:rsid w:val="007755AA"/>
    <w:rsid w:val="00775A61"/>
    <w:rsid w:val="00787B13"/>
    <w:rsid w:val="00792D16"/>
    <w:rsid w:val="007A0152"/>
    <w:rsid w:val="007C3F47"/>
    <w:rsid w:val="008820AC"/>
    <w:rsid w:val="008918A1"/>
    <w:rsid w:val="00947777"/>
    <w:rsid w:val="009B5CCB"/>
    <w:rsid w:val="00AE4813"/>
    <w:rsid w:val="00B20076"/>
    <w:rsid w:val="00B473DA"/>
    <w:rsid w:val="00B903DB"/>
    <w:rsid w:val="00BB3BEE"/>
    <w:rsid w:val="00C368CD"/>
    <w:rsid w:val="00C561A4"/>
    <w:rsid w:val="00CC621D"/>
    <w:rsid w:val="00CC69D7"/>
    <w:rsid w:val="00D51C7E"/>
    <w:rsid w:val="00D52C2F"/>
    <w:rsid w:val="00D70C19"/>
    <w:rsid w:val="00D80CA5"/>
    <w:rsid w:val="00DE50D8"/>
    <w:rsid w:val="00DF7A77"/>
    <w:rsid w:val="00E20052"/>
    <w:rsid w:val="00E93DB6"/>
    <w:rsid w:val="00ED11B1"/>
    <w:rsid w:val="00FD0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F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BF7"/>
    <w:pPr>
      <w:spacing w:after="0" w:line="240" w:lineRule="auto"/>
    </w:pPr>
  </w:style>
  <w:style w:type="character" w:styleId="Hyperlink">
    <w:name w:val="Hyperlink"/>
    <w:basedOn w:val="DefaultParagraphFont"/>
    <w:uiPriority w:val="99"/>
    <w:unhideWhenUsed/>
    <w:rsid w:val="004C3BF7"/>
    <w:rPr>
      <w:color w:val="000000"/>
      <w:u w:val="single"/>
    </w:rPr>
  </w:style>
  <w:style w:type="paragraph" w:customStyle="1" w:styleId="Pa1">
    <w:name w:val="Pa1"/>
    <w:basedOn w:val="Normal"/>
    <w:next w:val="Normal"/>
    <w:uiPriority w:val="99"/>
    <w:rsid w:val="004C3BF7"/>
    <w:pPr>
      <w:autoSpaceDE w:val="0"/>
      <w:autoSpaceDN w:val="0"/>
      <w:adjustRightInd w:val="0"/>
      <w:spacing w:after="0" w:line="221" w:lineRule="atLeast"/>
    </w:pPr>
    <w:rPr>
      <w:rFonts w:ascii="Times New Roman" w:hAnsi="Times New Roman" w:cs="Times New Roman"/>
      <w:sz w:val="24"/>
      <w:szCs w:val="24"/>
      <w:lang w:val="en-US" w:eastAsia="en-SG"/>
    </w:rPr>
  </w:style>
  <w:style w:type="paragraph" w:styleId="ListParagraph">
    <w:name w:val="List Paragraph"/>
    <w:basedOn w:val="Normal"/>
    <w:uiPriority w:val="34"/>
    <w:qFormat/>
    <w:rsid w:val="004C3BF7"/>
    <w:pPr>
      <w:spacing w:after="0" w:line="480" w:lineRule="auto"/>
      <w:ind w:left="720"/>
      <w:contextualSpacing/>
    </w:pPr>
    <w:rPr>
      <w:lang w:eastAsia="en-SG"/>
    </w:rPr>
  </w:style>
  <w:style w:type="paragraph" w:styleId="Header">
    <w:name w:val="header"/>
    <w:basedOn w:val="Normal"/>
    <w:link w:val="HeaderChar"/>
    <w:uiPriority w:val="99"/>
    <w:unhideWhenUsed/>
    <w:rsid w:val="004C3BF7"/>
    <w:pPr>
      <w:tabs>
        <w:tab w:val="center" w:pos="4513"/>
        <w:tab w:val="right" w:pos="9026"/>
      </w:tabs>
      <w:spacing w:after="0" w:line="240" w:lineRule="auto"/>
    </w:pPr>
    <w:rPr>
      <w:rFonts w:ascii="Times New Roman" w:hAnsi="Times New Roman"/>
      <w:sz w:val="24"/>
      <w:lang w:eastAsia="en-SG"/>
    </w:rPr>
  </w:style>
  <w:style w:type="character" w:customStyle="1" w:styleId="HeaderChar">
    <w:name w:val="Header Char"/>
    <w:basedOn w:val="DefaultParagraphFont"/>
    <w:link w:val="Header"/>
    <w:uiPriority w:val="99"/>
    <w:rsid w:val="004C3BF7"/>
    <w:rPr>
      <w:rFonts w:ascii="Times New Roman" w:eastAsiaTheme="minorEastAsia" w:hAnsi="Times New Roman"/>
      <w:sz w:val="24"/>
      <w:lang w:val="en-GB" w:eastAsia="en-SG"/>
    </w:rPr>
  </w:style>
  <w:style w:type="paragraph" w:styleId="Footer">
    <w:name w:val="footer"/>
    <w:basedOn w:val="Normal"/>
    <w:link w:val="FooterChar"/>
    <w:uiPriority w:val="99"/>
    <w:unhideWhenUsed/>
    <w:rsid w:val="004C3BF7"/>
    <w:pPr>
      <w:tabs>
        <w:tab w:val="center" w:pos="4513"/>
        <w:tab w:val="right" w:pos="9026"/>
      </w:tabs>
      <w:spacing w:after="0" w:line="240" w:lineRule="auto"/>
    </w:pPr>
    <w:rPr>
      <w:rFonts w:ascii="Times New Roman" w:hAnsi="Times New Roman"/>
      <w:sz w:val="24"/>
      <w:lang w:eastAsia="en-SG"/>
    </w:rPr>
  </w:style>
  <w:style w:type="character" w:customStyle="1" w:styleId="FooterChar">
    <w:name w:val="Footer Char"/>
    <w:basedOn w:val="DefaultParagraphFont"/>
    <w:link w:val="Footer"/>
    <w:uiPriority w:val="99"/>
    <w:rsid w:val="004C3BF7"/>
    <w:rPr>
      <w:rFonts w:ascii="Times New Roman" w:eastAsiaTheme="minorEastAsia" w:hAnsi="Times New Roman"/>
      <w:sz w:val="24"/>
      <w:lang w:val="en-GB" w:eastAsia="en-SG"/>
    </w:rPr>
  </w:style>
  <w:style w:type="paragraph" w:styleId="NormalWeb">
    <w:name w:val="Normal (Web)"/>
    <w:basedOn w:val="Normal"/>
    <w:uiPriority w:val="99"/>
    <w:unhideWhenUsed/>
    <w:rsid w:val="004C3BF7"/>
    <w:pPr>
      <w:spacing w:before="100" w:beforeAutospacing="1" w:after="100" w:afterAutospacing="1" w:line="240" w:lineRule="auto"/>
    </w:pPr>
    <w:rPr>
      <w:rFonts w:ascii="Times New Roman" w:hAnsi="Times New Roman" w:cs="Times New Roman"/>
      <w:sz w:val="24"/>
      <w:szCs w:val="24"/>
      <w:lang w:eastAsia="en-SG"/>
    </w:rPr>
  </w:style>
  <w:style w:type="table" w:styleId="TableGrid">
    <w:name w:val="Table Grid"/>
    <w:basedOn w:val="TableNormal"/>
    <w:uiPriority w:val="59"/>
    <w:rsid w:val="004C3BF7"/>
    <w:pPr>
      <w:spacing w:after="0" w:line="240" w:lineRule="auto"/>
    </w:pPr>
    <w:rPr>
      <w:lang w:val="en-MY"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3BF7"/>
    <w:pPr>
      <w:spacing w:after="0" w:line="240" w:lineRule="auto"/>
    </w:pPr>
    <w:rPr>
      <w:rFonts w:ascii="Tahoma" w:hAnsi="Tahoma" w:cs="Tahoma"/>
      <w:sz w:val="16"/>
      <w:szCs w:val="16"/>
      <w:lang w:eastAsia="en-SG"/>
    </w:rPr>
  </w:style>
  <w:style w:type="character" w:customStyle="1" w:styleId="BalloonTextChar">
    <w:name w:val="Balloon Text Char"/>
    <w:basedOn w:val="DefaultParagraphFont"/>
    <w:link w:val="BalloonText"/>
    <w:uiPriority w:val="99"/>
    <w:semiHidden/>
    <w:rsid w:val="004C3BF7"/>
    <w:rPr>
      <w:rFonts w:ascii="Tahoma" w:eastAsiaTheme="minorEastAsia" w:hAnsi="Tahoma" w:cs="Tahoma"/>
      <w:sz w:val="16"/>
      <w:szCs w:val="16"/>
      <w:lang w:val="en-GB" w:eastAsia="en-SG"/>
    </w:rPr>
  </w:style>
  <w:style w:type="character" w:customStyle="1" w:styleId="ColorfulList-Accent1Char">
    <w:name w:val="Colorful List - Accent 1 Char"/>
    <w:aliases w:val="Lev3 Char"/>
    <w:link w:val="ColorfulList-Accent1"/>
    <w:uiPriority w:val="34"/>
    <w:locked/>
    <w:rsid w:val="004C3BF7"/>
    <w:rPr>
      <w:rFonts w:ascii="Cambria" w:eastAsia="Cambria" w:hAnsi="Cambria" w:cs="Times New Roman"/>
      <w:sz w:val="24"/>
      <w:szCs w:val="24"/>
      <w:lang w:val="en-GB"/>
    </w:rPr>
  </w:style>
  <w:style w:type="table" w:styleId="ColorfulList-Accent1">
    <w:name w:val="Colorful List Accent 1"/>
    <w:basedOn w:val="TableNormal"/>
    <w:link w:val="ColorfulList-Accent1Char"/>
    <w:uiPriority w:val="34"/>
    <w:rsid w:val="004C3BF7"/>
    <w:pPr>
      <w:spacing w:after="0" w:line="240" w:lineRule="auto"/>
    </w:pPr>
    <w:rPr>
      <w:rFonts w:ascii="Cambria" w:eastAsia="Cambria" w:hAnsi="Cambria" w:cs="Times New Roman"/>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4C3B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F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BF7"/>
    <w:pPr>
      <w:spacing w:after="0" w:line="240" w:lineRule="auto"/>
    </w:pPr>
  </w:style>
  <w:style w:type="character" w:styleId="Hyperlink">
    <w:name w:val="Hyperlink"/>
    <w:basedOn w:val="DefaultParagraphFont"/>
    <w:uiPriority w:val="99"/>
    <w:unhideWhenUsed/>
    <w:rsid w:val="004C3BF7"/>
    <w:rPr>
      <w:color w:val="000000"/>
      <w:u w:val="single"/>
    </w:rPr>
  </w:style>
  <w:style w:type="paragraph" w:customStyle="1" w:styleId="Pa1">
    <w:name w:val="Pa1"/>
    <w:basedOn w:val="Normal"/>
    <w:next w:val="Normal"/>
    <w:uiPriority w:val="99"/>
    <w:rsid w:val="004C3BF7"/>
    <w:pPr>
      <w:autoSpaceDE w:val="0"/>
      <w:autoSpaceDN w:val="0"/>
      <w:adjustRightInd w:val="0"/>
      <w:spacing w:after="0" w:line="221" w:lineRule="atLeast"/>
    </w:pPr>
    <w:rPr>
      <w:rFonts w:ascii="Times New Roman" w:eastAsiaTheme="minorEastAsia" w:hAnsi="Times New Roman" w:cs="Times New Roman"/>
      <w:sz w:val="24"/>
      <w:szCs w:val="24"/>
      <w:lang w:val="en-US" w:eastAsia="en-SG"/>
    </w:rPr>
  </w:style>
  <w:style w:type="paragraph" w:styleId="ListParagraph">
    <w:name w:val="List Paragraph"/>
    <w:basedOn w:val="Normal"/>
    <w:uiPriority w:val="34"/>
    <w:qFormat/>
    <w:rsid w:val="004C3BF7"/>
    <w:pPr>
      <w:spacing w:after="0" w:line="480" w:lineRule="auto"/>
      <w:ind w:left="720"/>
      <w:contextualSpacing/>
    </w:pPr>
    <w:rPr>
      <w:rFonts w:eastAsiaTheme="minorEastAsia"/>
      <w:lang w:eastAsia="en-SG"/>
    </w:rPr>
  </w:style>
  <w:style w:type="paragraph" w:styleId="Header">
    <w:name w:val="header"/>
    <w:basedOn w:val="Normal"/>
    <w:link w:val="HeaderChar"/>
    <w:uiPriority w:val="99"/>
    <w:unhideWhenUsed/>
    <w:rsid w:val="004C3BF7"/>
    <w:pPr>
      <w:tabs>
        <w:tab w:val="center" w:pos="4513"/>
        <w:tab w:val="right" w:pos="9026"/>
      </w:tabs>
      <w:spacing w:after="0" w:line="240" w:lineRule="auto"/>
    </w:pPr>
    <w:rPr>
      <w:rFonts w:ascii="Times New Roman" w:eastAsiaTheme="minorEastAsia" w:hAnsi="Times New Roman"/>
      <w:sz w:val="24"/>
      <w:lang w:eastAsia="en-SG"/>
    </w:rPr>
  </w:style>
  <w:style w:type="character" w:customStyle="1" w:styleId="HeaderChar">
    <w:name w:val="Header Char"/>
    <w:basedOn w:val="DefaultParagraphFont"/>
    <w:link w:val="Header"/>
    <w:uiPriority w:val="99"/>
    <w:rsid w:val="004C3BF7"/>
    <w:rPr>
      <w:rFonts w:ascii="Times New Roman" w:eastAsiaTheme="minorEastAsia" w:hAnsi="Times New Roman"/>
      <w:sz w:val="24"/>
      <w:lang w:val="en-GB" w:eastAsia="en-SG"/>
    </w:rPr>
  </w:style>
  <w:style w:type="paragraph" w:styleId="Footer">
    <w:name w:val="footer"/>
    <w:basedOn w:val="Normal"/>
    <w:link w:val="FooterChar"/>
    <w:uiPriority w:val="99"/>
    <w:unhideWhenUsed/>
    <w:rsid w:val="004C3BF7"/>
    <w:pPr>
      <w:tabs>
        <w:tab w:val="center" w:pos="4513"/>
        <w:tab w:val="right" w:pos="9026"/>
      </w:tabs>
      <w:spacing w:after="0" w:line="240" w:lineRule="auto"/>
    </w:pPr>
    <w:rPr>
      <w:rFonts w:ascii="Times New Roman" w:eastAsiaTheme="minorEastAsia" w:hAnsi="Times New Roman"/>
      <w:sz w:val="24"/>
      <w:lang w:eastAsia="en-SG"/>
    </w:rPr>
  </w:style>
  <w:style w:type="character" w:customStyle="1" w:styleId="FooterChar">
    <w:name w:val="Footer Char"/>
    <w:basedOn w:val="DefaultParagraphFont"/>
    <w:link w:val="Footer"/>
    <w:uiPriority w:val="99"/>
    <w:rsid w:val="004C3BF7"/>
    <w:rPr>
      <w:rFonts w:ascii="Times New Roman" w:eastAsiaTheme="minorEastAsia" w:hAnsi="Times New Roman"/>
      <w:sz w:val="24"/>
      <w:lang w:val="en-GB" w:eastAsia="en-SG"/>
    </w:rPr>
  </w:style>
  <w:style w:type="paragraph" w:styleId="NormalWeb">
    <w:name w:val="Normal (Web)"/>
    <w:basedOn w:val="Normal"/>
    <w:uiPriority w:val="99"/>
    <w:unhideWhenUsed/>
    <w:rsid w:val="004C3BF7"/>
    <w:pPr>
      <w:spacing w:before="100" w:beforeAutospacing="1" w:after="100" w:afterAutospacing="1" w:line="240" w:lineRule="auto"/>
    </w:pPr>
    <w:rPr>
      <w:rFonts w:ascii="Times New Roman" w:eastAsiaTheme="minorEastAsia" w:hAnsi="Times New Roman" w:cs="Times New Roman"/>
      <w:sz w:val="24"/>
      <w:szCs w:val="24"/>
      <w:lang w:eastAsia="en-SG"/>
    </w:rPr>
  </w:style>
  <w:style w:type="table" w:styleId="TableGrid">
    <w:name w:val="Table Grid"/>
    <w:basedOn w:val="TableNormal"/>
    <w:uiPriority w:val="59"/>
    <w:rsid w:val="004C3BF7"/>
    <w:pPr>
      <w:spacing w:after="0" w:line="240" w:lineRule="auto"/>
    </w:pPr>
    <w:rPr>
      <w:rFonts w:eastAsiaTheme="minorEastAsia"/>
      <w:lang w:val="en-MY"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3BF7"/>
    <w:pPr>
      <w:spacing w:after="0" w:line="240" w:lineRule="auto"/>
    </w:pPr>
    <w:rPr>
      <w:rFonts w:ascii="Tahoma" w:eastAsiaTheme="minorEastAsia" w:hAnsi="Tahoma" w:cs="Tahoma"/>
      <w:sz w:val="16"/>
      <w:szCs w:val="16"/>
      <w:lang w:eastAsia="en-SG"/>
    </w:rPr>
  </w:style>
  <w:style w:type="character" w:customStyle="1" w:styleId="BalloonTextChar">
    <w:name w:val="Balloon Text Char"/>
    <w:basedOn w:val="DefaultParagraphFont"/>
    <w:link w:val="BalloonText"/>
    <w:uiPriority w:val="99"/>
    <w:semiHidden/>
    <w:rsid w:val="004C3BF7"/>
    <w:rPr>
      <w:rFonts w:ascii="Tahoma" w:eastAsiaTheme="minorEastAsia" w:hAnsi="Tahoma" w:cs="Tahoma"/>
      <w:sz w:val="16"/>
      <w:szCs w:val="16"/>
      <w:lang w:val="en-GB" w:eastAsia="en-SG"/>
    </w:rPr>
  </w:style>
  <w:style w:type="character" w:customStyle="1" w:styleId="ColorfulList-Accent1Char">
    <w:name w:val="Colorful List - Accent 1 Char"/>
    <w:aliases w:val="Lev3 Char"/>
    <w:link w:val="ColorfulList-Accent1"/>
    <w:uiPriority w:val="34"/>
    <w:locked/>
    <w:rsid w:val="004C3BF7"/>
    <w:rPr>
      <w:rFonts w:ascii="Cambria" w:eastAsia="Cambria" w:hAnsi="Cambria" w:cs="Times New Roman"/>
      <w:sz w:val="24"/>
      <w:szCs w:val="24"/>
      <w:lang w:val="en-GB"/>
    </w:rPr>
  </w:style>
  <w:style w:type="table" w:styleId="ColorfulList-Accent1">
    <w:name w:val="Colorful List Accent 1"/>
    <w:basedOn w:val="TableNormal"/>
    <w:link w:val="ColorfulList-Accent1Char"/>
    <w:uiPriority w:val="34"/>
    <w:rsid w:val="004C3BF7"/>
    <w:pPr>
      <w:spacing w:after="0" w:line="240" w:lineRule="auto"/>
    </w:pPr>
    <w:rPr>
      <w:rFonts w:ascii="Cambria" w:eastAsia="Cambria" w:hAnsi="Cambria" w:cs="Times New Roman"/>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4C3BF7"/>
    <w:rPr>
      <w:color w:val="808080"/>
    </w:rPr>
  </w:style>
</w:styles>
</file>

<file path=word/webSettings.xml><?xml version="1.0" encoding="utf-8"?>
<w:webSettings xmlns:r="http://schemas.openxmlformats.org/officeDocument/2006/relationships" xmlns:w="http://schemas.openxmlformats.org/wordprocessingml/2006/main">
  <w:divs>
    <w:div w:id="153931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2018"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waala@yahoo.com" TargetMode="Externa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lenandunwi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http://www.rds-eastmidlands.nihr.ac.uk" TargetMode="Externa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statistics.gov.o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ANALYSIS%2015\RQ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ANALYSIS%2015\RQ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SG" sz="1800" b="1" i="0" u="none" strike="noStrike" kern="1200" baseline="0">
                <a:solidFill>
                  <a:sysClr val="windowText" lastClr="000000"/>
                </a:solidFill>
                <a:latin typeface="+mn-lt"/>
                <a:ea typeface="+mn-ea"/>
                <a:cs typeface="+mn-cs"/>
              </a:rPr>
              <a:t>FCT Abuja</a:t>
            </a:r>
            <a:endParaRPr lang="en-SG"/>
          </a:p>
        </c:rich>
      </c:tx>
    </c:title>
    <c:plotArea>
      <c:layout/>
      <c:barChart>
        <c:barDir val="col"/>
        <c:grouping val="clustered"/>
        <c:ser>
          <c:idx val="0"/>
          <c:order val="0"/>
          <c:tx>
            <c:strRef>
              <c:f>Sheet1!$C$5</c:f>
              <c:strCache>
                <c:ptCount val="1"/>
                <c:pt idx="0">
                  <c:v>Abuja</c:v>
                </c:pt>
              </c:strCache>
            </c:strRef>
          </c:tx>
          <c:cat>
            <c:strRef>
              <c:f>Sheet1!$B$6:$B$11</c:f>
              <c:strCache>
                <c:ptCount val="6"/>
                <c:pt idx="0">
                  <c:v>Q4</c:v>
                </c:pt>
                <c:pt idx="1">
                  <c:v>Q5</c:v>
                </c:pt>
                <c:pt idx="2">
                  <c:v>Q6</c:v>
                </c:pt>
                <c:pt idx="3">
                  <c:v>Q3</c:v>
                </c:pt>
                <c:pt idx="4">
                  <c:v>Q1</c:v>
                </c:pt>
                <c:pt idx="5">
                  <c:v>Q2</c:v>
                </c:pt>
              </c:strCache>
            </c:strRef>
          </c:cat>
          <c:val>
            <c:numRef>
              <c:f>Sheet1!$C$6:$C$11</c:f>
              <c:numCache>
                <c:formatCode>General</c:formatCode>
                <c:ptCount val="6"/>
                <c:pt idx="0">
                  <c:v>2.4459999999999997</c:v>
                </c:pt>
                <c:pt idx="1">
                  <c:v>2.5</c:v>
                </c:pt>
                <c:pt idx="2">
                  <c:v>2.5491999999999999</c:v>
                </c:pt>
                <c:pt idx="3">
                  <c:v>2.613</c:v>
                </c:pt>
                <c:pt idx="4">
                  <c:v>2.6499000000000001</c:v>
                </c:pt>
                <c:pt idx="5">
                  <c:v>2.6667000000000001</c:v>
                </c:pt>
              </c:numCache>
            </c:numRef>
          </c:val>
        </c:ser>
        <c:axId val="62820736"/>
        <c:axId val="62822272"/>
      </c:barChart>
      <c:catAx>
        <c:axId val="62820736"/>
        <c:scaling>
          <c:orientation val="minMax"/>
        </c:scaling>
        <c:axPos val="b"/>
        <c:tickLblPos val="nextTo"/>
        <c:crossAx val="62822272"/>
        <c:crosses val="autoZero"/>
        <c:auto val="1"/>
        <c:lblAlgn val="ctr"/>
        <c:lblOffset val="100"/>
      </c:catAx>
      <c:valAx>
        <c:axId val="62822272"/>
        <c:scaling>
          <c:orientation val="minMax"/>
        </c:scaling>
        <c:axPos val="l"/>
        <c:numFmt formatCode="General" sourceLinked="1"/>
        <c:tickLblPos val="nextTo"/>
        <c:crossAx val="6282073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a:pPr>
            <a:r>
              <a:rPr lang="en-US" sz="1800" b="1" i="0" u="none" strike="noStrike" kern="1200" baseline="0">
                <a:solidFill>
                  <a:sysClr val="windowText" lastClr="000000"/>
                </a:solidFill>
                <a:latin typeface="+mn-lt"/>
                <a:ea typeface="+mn-ea"/>
                <a:cs typeface="+mn-cs"/>
              </a:rPr>
              <a:t>Putrajaya</a:t>
            </a:r>
            <a:endParaRPr lang="en-US"/>
          </a:p>
        </c:rich>
      </c:tx>
    </c:title>
    <c:plotArea>
      <c:layout/>
      <c:barChart>
        <c:barDir val="col"/>
        <c:grouping val="clustered"/>
        <c:ser>
          <c:idx val="0"/>
          <c:order val="0"/>
          <c:tx>
            <c:strRef>
              <c:f>Sheet1!$C$17</c:f>
              <c:strCache>
                <c:ptCount val="1"/>
                <c:pt idx="0">
                  <c:v>PJ</c:v>
                </c:pt>
              </c:strCache>
            </c:strRef>
          </c:tx>
          <c:cat>
            <c:strRef>
              <c:f>Sheet1!$B$18:$B$23</c:f>
              <c:strCache>
                <c:ptCount val="6"/>
                <c:pt idx="0">
                  <c:v>Q4</c:v>
                </c:pt>
                <c:pt idx="1">
                  <c:v>Q5</c:v>
                </c:pt>
                <c:pt idx="2">
                  <c:v>Q6</c:v>
                </c:pt>
                <c:pt idx="3">
                  <c:v>Q3</c:v>
                </c:pt>
                <c:pt idx="4">
                  <c:v>Q2</c:v>
                </c:pt>
                <c:pt idx="5">
                  <c:v>Q1</c:v>
                </c:pt>
              </c:strCache>
            </c:strRef>
          </c:cat>
          <c:val>
            <c:numRef>
              <c:f>Sheet1!$C$18:$C$23</c:f>
              <c:numCache>
                <c:formatCode>General</c:formatCode>
                <c:ptCount val="6"/>
                <c:pt idx="0">
                  <c:v>3.8345999999999987</c:v>
                </c:pt>
                <c:pt idx="1">
                  <c:v>3.9531000000000001</c:v>
                </c:pt>
                <c:pt idx="2">
                  <c:v>4.0271999999999872</c:v>
                </c:pt>
                <c:pt idx="3">
                  <c:v>4.0395000000000003</c:v>
                </c:pt>
                <c:pt idx="4">
                  <c:v>4.0693000000000001</c:v>
                </c:pt>
                <c:pt idx="5">
                  <c:v>4.2443999999999997</c:v>
                </c:pt>
              </c:numCache>
            </c:numRef>
          </c:val>
        </c:ser>
        <c:axId val="62855040"/>
        <c:axId val="62856576"/>
      </c:barChart>
      <c:catAx>
        <c:axId val="62855040"/>
        <c:scaling>
          <c:orientation val="minMax"/>
        </c:scaling>
        <c:axPos val="b"/>
        <c:tickLblPos val="nextTo"/>
        <c:crossAx val="62856576"/>
        <c:crosses val="autoZero"/>
        <c:auto val="1"/>
        <c:lblAlgn val="ctr"/>
        <c:lblOffset val="100"/>
      </c:catAx>
      <c:valAx>
        <c:axId val="62856576"/>
        <c:scaling>
          <c:orientation val="minMax"/>
        </c:scaling>
        <c:axPos val="l"/>
        <c:numFmt formatCode="General" sourceLinked="1"/>
        <c:tickLblPos val="nextTo"/>
        <c:crossAx val="6285504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5694</Words>
  <Characters>32460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cp:lastPrinted>2013-05-07T02:59:00Z</cp:lastPrinted>
  <dcterms:created xsi:type="dcterms:W3CDTF">2013-05-17T01:43:00Z</dcterms:created>
  <dcterms:modified xsi:type="dcterms:W3CDTF">2013-05-18T08:13:00Z</dcterms:modified>
</cp:coreProperties>
</file>