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47" w:rsidRPr="00373D9E" w:rsidRDefault="00460CAC" w:rsidP="00373D9E">
      <w:pPr>
        <w:pStyle w:val="Default"/>
        <w:snapToGrid w:val="0"/>
        <w:jc w:val="center"/>
        <w:rPr>
          <w:sz w:val="20"/>
          <w:szCs w:val="20"/>
        </w:rPr>
      </w:pPr>
      <w:r w:rsidRPr="00373D9E">
        <w:rPr>
          <w:b/>
          <w:bCs/>
          <w:sz w:val="20"/>
          <w:szCs w:val="20"/>
        </w:rPr>
        <w:t xml:space="preserve">Overview </w:t>
      </w:r>
      <w:proofErr w:type="gramStart"/>
      <w:r w:rsidRPr="00373D9E">
        <w:rPr>
          <w:b/>
          <w:bCs/>
          <w:sz w:val="20"/>
          <w:szCs w:val="20"/>
        </w:rPr>
        <w:t>On</w:t>
      </w:r>
      <w:proofErr w:type="gramEnd"/>
      <w:r w:rsidRPr="00373D9E">
        <w:rPr>
          <w:b/>
          <w:bCs/>
          <w:sz w:val="20"/>
          <w:szCs w:val="20"/>
        </w:rPr>
        <w:t xml:space="preserve"> Inflammatory Bowel Disease</w:t>
      </w:r>
    </w:p>
    <w:p w:rsidR="008A2447" w:rsidRPr="00373D9E" w:rsidRDefault="008A2447" w:rsidP="00373D9E">
      <w:pPr>
        <w:pStyle w:val="Default"/>
        <w:snapToGrid w:val="0"/>
        <w:jc w:val="center"/>
        <w:rPr>
          <w:sz w:val="20"/>
          <w:szCs w:val="20"/>
        </w:rPr>
      </w:pPr>
    </w:p>
    <w:p w:rsidR="008A2447" w:rsidRPr="00373D9E" w:rsidRDefault="008A2447" w:rsidP="00373D9E">
      <w:pPr>
        <w:pStyle w:val="Default"/>
        <w:snapToGrid w:val="0"/>
        <w:jc w:val="center"/>
        <w:rPr>
          <w:bCs/>
          <w:sz w:val="20"/>
          <w:szCs w:val="20"/>
          <w:lang w:eastAsia="zh-CN"/>
        </w:rPr>
      </w:pPr>
      <w:proofErr w:type="spellStart"/>
      <w:r w:rsidRPr="00373D9E">
        <w:rPr>
          <w:bCs/>
          <w:sz w:val="20"/>
          <w:szCs w:val="20"/>
        </w:rPr>
        <w:t>Engy</w:t>
      </w:r>
      <w:proofErr w:type="spellEnd"/>
      <w:r w:rsidR="00460CAC" w:rsidRPr="00373D9E">
        <w:rPr>
          <w:rFonts w:hint="eastAsia"/>
          <w:bCs/>
          <w:sz w:val="20"/>
          <w:szCs w:val="20"/>
          <w:lang w:eastAsia="zh-CN"/>
        </w:rPr>
        <w:t xml:space="preserve"> </w:t>
      </w:r>
      <w:proofErr w:type="spellStart"/>
      <w:r w:rsidRPr="00373D9E">
        <w:rPr>
          <w:bCs/>
          <w:sz w:val="20"/>
          <w:szCs w:val="20"/>
        </w:rPr>
        <w:t>Yousry</w:t>
      </w:r>
      <w:proofErr w:type="spellEnd"/>
      <w:r w:rsidRPr="00373D9E">
        <w:rPr>
          <w:bCs/>
          <w:sz w:val="20"/>
          <w:szCs w:val="20"/>
        </w:rPr>
        <w:t xml:space="preserve"> EL </w:t>
      </w:r>
      <w:proofErr w:type="spellStart"/>
      <w:r w:rsidRPr="00373D9E">
        <w:rPr>
          <w:bCs/>
          <w:sz w:val="20"/>
          <w:szCs w:val="20"/>
        </w:rPr>
        <w:t>Sayed</w:t>
      </w:r>
      <w:proofErr w:type="spellEnd"/>
    </w:p>
    <w:p w:rsidR="00460CAC" w:rsidRPr="00373D9E" w:rsidRDefault="00460CAC" w:rsidP="00373D9E">
      <w:pPr>
        <w:pStyle w:val="Default"/>
        <w:snapToGrid w:val="0"/>
        <w:jc w:val="center"/>
        <w:rPr>
          <w:sz w:val="20"/>
          <w:szCs w:val="20"/>
          <w:lang w:eastAsia="zh-CN"/>
        </w:rPr>
      </w:pPr>
    </w:p>
    <w:p w:rsidR="008A2447" w:rsidRPr="00373D9E" w:rsidRDefault="008A2447" w:rsidP="00373D9E">
      <w:pPr>
        <w:pStyle w:val="Default"/>
        <w:snapToGrid w:val="0"/>
        <w:jc w:val="center"/>
        <w:rPr>
          <w:bCs/>
          <w:sz w:val="20"/>
          <w:szCs w:val="20"/>
          <w:lang w:eastAsia="zh-CN"/>
        </w:rPr>
      </w:pPr>
      <w:r w:rsidRPr="00373D9E">
        <w:rPr>
          <w:bCs/>
          <w:sz w:val="20"/>
          <w:szCs w:val="20"/>
        </w:rPr>
        <w:t>Assistant professor of internal medicine</w:t>
      </w:r>
      <w:r w:rsidR="00460CAC" w:rsidRPr="00373D9E">
        <w:rPr>
          <w:rFonts w:hint="eastAsia"/>
          <w:bCs/>
          <w:sz w:val="20"/>
          <w:szCs w:val="20"/>
          <w:lang w:eastAsia="zh-CN"/>
        </w:rPr>
        <w:t xml:space="preserve">, </w:t>
      </w:r>
      <w:proofErr w:type="spellStart"/>
      <w:r w:rsidR="00FE636C">
        <w:rPr>
          <w:bCs/>
          <w:sz w:val="20"/>
          <w:szCs w:val="20"/>
        </w:rPr>
        <w:t>Ain</w:t>
      </w:r>
      <w:proofErr w:type="spellEnd"/>
      <w:r w:rsidR="00FE636C">
        <w:rPr>
          <w:bCs/>
          <w:sz w:val="20"/>
          <w:szCs w:val="20"/>
        </w:rPr>
        <w:t xml:space="preserve"> Shams </w:t>
      </w:r>
      <w:r w:rsidR="00FE636C">
        <w:rPr>
          <w:rFonts w:hint="eastAsia"/>
          <w:bCs/>
          <w:sz w:val="20"/>
          <w:szCs w:val="20"/>
          <w:lang w:eastAsia="zh-CN"/>
        </w:rPr>
        <w:t>U</w:t>
      </w:r>
      <w:r w:rsidRPr="00373D9E">
        <w:rPr>
          <w:bCs/>
          <w:sz w:val="20"/>
          <w:szCs w:val="20"/>
        </w:rPr>
        <w:t>niversity</w:t>
      </w:r>
      <w:r w:rsidR="00FD7C0D" w:rsidRPr="00373D9E">
        <w:rPr>
          <w:rFonts w:hint="eastAsia"/>
          <w:bCs/>
          <w:sz w:val="20"/>
          <w:szCs w:val="20"/>
          <w:lang w:eastAsia="zh-CN"/>
        </w:rPr>
        <w:t>, Egypt</w:t>
      </w:r>
    </w:p>
    <w:p w:rsidR="008A2447" w:rsidRPr="00373D9E" w:rsidRDefault="005832CB" w:rsidP="00373D9E">
      <w:pPr>
        <w:pStyle w:val="Default"/>
        <w:snapToGrid w:val="0"/>
        <w:jc w:val="center"/>
        <w:rPr>
          <w:sz w:val="20"/>
          <w:szCs w:val="20"/>
        </w:rPr>
      </w:pPr>
      <w:hyperlink r:id="rId7" w:history="1">
        <w:r w:rsidR="00FD7C0D" w:rsidRPr="00373D9E">
          <w:rPr>
            <w:rStyle w:val="Hyperlink"/>
            <w:bCs/>
            <w:sz w:val="20"/>
            <w:szCs w:val="20"/>
          </w:rPr>
          <w:t>ashorengy@yahoo.com</w:t>
        </w:r>
      </w:hyperlink>
    </w:p>
    <w:p w:rsidR="008A2447" w:rsidRPr="00373D9E" w:rsidRDefault="008A2447" w:rsidP="00373D9E">
      <w:pPr>
        <w:suppressAutoHyphens/>
        <w:adjustRightInd w:val="0"/>
        <w:snapToGrid w:val="0"/>
        <w:spacing w:after="0" w:line="240" w:lineRule="auto"/>
        <w:jc w:val="both"/>
        <w:rPr>
          <w:rFonts w:ascii="Times New Roman" w:hAnsi="Times New Roman" w:cs="Times New Roman"/>
          <w:sz w:val="20"/>
          <w:szCs w:val="20"/>
          <w:lang w:eastAsia="zh-CN"/>
        </w:rPr>
      </w:pPr>
    </w:p>
    <w:p w:rsidR="00475636" w:rsidRPr="00373D9E" w:rsidRDefault="00460CAC" w:rsidP="00373D9E">
      <w:pPr>
        <w:suppressAutoHyphens/>
        <w:adjustRightInd w:val="0"/>
        <w:snapToGrid w:val="0"/>
        <w:spacing w:after="0" w:line="240" w:lineRule="auto"/>
        <w:jc w:val="both"/>
        <w:rPr>
          <w:rFonts w:ascii="Times New Roman" w:hAnsi="Times New Roman" w:cs="Times New Roman"/>
          <w:sz w:val="20"/>
          <w:szCs w:val="20"/>
          <w:lang w:eastAsia="zh-CN"/>
        </w:rPr>
      </w:pPr>
      <w:r w:rsidRPr="00373D9E">
        <w:rPr>
          <w:rFonts w:ascii="Times New Roman" w:hAnsi="Times New Roman" w:cs="Times New Roman" w:hint="eastAsia"/>
          <w:b/>
          <w:sz w:val="20"/>
          <w:szCs w:val="20"/>
          <w:lang w:eastAsia="zh-CN"/>
        </w:rPr>
        <w:t xml:space="preserve">Abstract: </w:t>
      </w:r>
      <w:bookmarkStart w:id="0" w:name="OLE_LINK1"/>
      <w:bookmarkStart w:id="1" w:name="OLE_LINK2"/>
      <w:r w:rsidR="008A2447" w:rsidRPr="00373D9E">
        <w:rPr>
          <w:rFonts w:ascii="Times New Roman" w:hAnsi="Times New Roman" w:cs="Times New Roman"/>
          <w:sz w:val="20"/>
          <w:szCs w:val="20"/>
        </w:rPr>
        <w:t xml:space="preserve">Ulcerative colitis (UC) and </w:t>
      </w:r>
      <w:proofErr w:type="spellStart"/>
      <w:r w:rsidR="008A2447" w:rsidRPr="00373D9E">
        <w:rPr>
          <w:rFonts w:ascii="Times New Roman" w:hAnsi="Times New Roman" w:cs="Times New Roman"/>
          <w:sz w:val="20"/>
          <w:szCs w:val="20"/>
        </w:rPr>
        <w:t>Crohn’s</w:t>
      </w:r>
      <w:proofErr w:type="spellEnd"/>
      <w:r w:rsidR="008A2447" w:rsidRPr="00373D9E">
        <w:rPr>
          <w:rFonts w:ascii="Times New Roman" w:hAnsi="Times New Roman" w:cs="Times New Roman"/>
          <w:sz w:val="20"/>
          <w:szCs w:val="20"/>
        </w:rPr>
        <w:t xml:space="preserve"> disease (CD) (collectively termed inflammatory bowel disease (IBD)) are complex disorders reflected by wide variation in clinical practice. Ulcerative colitis is characterized by diffuse mucosal inflammation limited to the colon. </w:t>
      </w:r>
      <w:proofErr w:type="spellStart"/>
      <w:r w:rsidR="008A2447" w:rsidRPr="00373D9E">
        <w:rPr>
          <w:rFonts w:ascii="Times New Roman" w:hAnsi="Times New Roman" w:cs="Times New Roman"/>
          <w:sz w:val="20"/>
          <w:szCs w:val="20"/>
        </w:rPr>
        <w:t>Crohn’s</w:t>
      </w:r>
      <w:proofErr w:type="spellEnd"/>
      <w:r w:rsidR="008A2447" w:rsidRPr="00373D9E">
        <w:rPr>
          <w:rFonts w:ascii="Times New Roman" w:hAnsi="Times New Roman" w:cs="Times New Roman"/>
          <w:sz w:val="20"/>
          <w:szCs w:val="20"/>
        </w:rPr>
        <w:t xml:space="preserve"> disease is characterized by patchy, </w:t>
      </w:r>
      <w:proofErr w:type="gramStart"/>
      <w:r w:rsidR="008A2447" w:rsidRPr="00373D9E">
        <w:rPr>
          <w:rFonts w:ascii="Times New Roman" w:hAnsi="Times New Roman" w:cs="Times New Roman"/>
          <w:sz w:val="20"/>
          <w:szCs w:val="20"/>
        </w:rPr>
        <w:t>trans</w:t>
      </w:r>
      <w:proofErr w:type="gramEnd"/>
      <w:r w:rsidR="008A2447" w:rsidRPr="00373D9E">
        <w:rPr>
          <w:rFonts w:ascii="Times New Roman" w:hAnsi="Times New Roman" w:cs="Times New Roman"/>
          <w:sz w:val="20"/>
          <w:szCs w:val="20"/>
        </w:rPr>
        <w:t xml:space="preserve"> mural inflammation, which may affect any part of the gastrointestinal tract. It may be defined by location (terminal </w:t>
      </w:r>
      <w:proofErr w:type="spellStart"/>
      <w:r w:rsidR="008A2447" w:rsidRPr="00373D9E">
        <w:rPr>
          <w:rFonts w:ascii="Times New Roman" w:hAnsi="Times New Roman" w:cs="Times New Roman"/>
          <w:sz w:val="20"/>
          <w:szCs w:val="20"/>
        </w:rPr>
        <w:t>ileal</w:t>
      </w:r>
      <w:proofErr w:type="spellEnd"/>
      <w:r w:rsidR="008A2447" w:rsidRPr="00373D9E">
        <w:rPr>
          <w:rFonts w:ascii="Times New Roman" w:hAnsi="Times New Roman" w:cs="Times New Roman"/>
          <w:sz w:val="20"/>
          <w:szCs w:val="20"/>
        </w:rPr>
        <w:t xml:space="preserve">, colonic, </w:t>
      </w:r>
      <w:proofErr w:type="spellStart"/>
      <w:r w:rsidR="008A2447" w:rsidRPr="00373D9E">
        <w:rPr>
          <w:rFonts w:ascii="Times New Roman" w:hAnsi="Times New Roman" w:cs="Times New Roman"/>
          <w:sz w:val="20"/>
          <w:szCs w:val="20"/>
        </w:rPr>
        <w:t>ileocolic</w:t>
      </w:r>
      <w:proofErr w:type="spellEnd"/>
      <w:r w:rsidR="008A2447" w:rsidRPr="00373D9E">
        <w:rPr>
          <w:rFonts w:ascii="Times New Roman" w:hAnsi="Times New Roman" w:cs="Times New Roman"/>
          <w:sz w:val="20"/>
          <w:szCs w:val="20"/>
        </w:rPr>
        <w:t>, upper gastrointestinal), or by pattern of disease (inflammatory, fistula ting, or structuring). About 5% of patients with IBD affecting the colon are unclassifiable after considering clinical, radiological, endoscopic, and pathological criteria, because they have some features of both conditions. This can be termed indeterminate colitis (IC)</w:t>
      </w:r>
      <w:r w:rsidRPr="00373D9E">
        <w:rPr>
          <w:rFonts w:ascii="Times New Roman" w:hAnsi="Times New Roman" w:cs="Times New Roman" w:hint="eastAsia"/>
          <w:sz w:val="20"/>
          <w:szCs w:val="20"/>
          <w:lang w:eastAsia="zh-CN"/>
        </w:rPr>
        <w:t xml:space="preserve"> </w:t>
      </w:r>
      <w:r w:rsidR="008A2447" w:rsidRPr="00373D9E">
        <w:rPr>
          <w:rFonts w:ascii="Times New Roman" w:hAnsi="Times New Roman" w:cs="Times New Roman"/>
          <w:sz w:val="20"/>
          <w:szCs w:val="20"/>
        </w:rPr>
        <w:t xml:space="preserve">(1). </w:t>
      </w:r>
    </w:p>
    <w:bookmarkEnd w:id="0"/>
    <w:bookmarkEnd w:id="1"/>
    <w:p w:rsidR="00F61109" w:rsidRPr="00373D9E" w:rsidRDefault="00460CAC" w:rsidP="00373D9E">
      <w:pPr>
        <w:pStyle w:val="Default"/>
        <w:snapToGrid w:val="0"/>
        <w:jc w:val="both"/>
        <w:rPr>
          <w:sz w:val="20"/>
          <w:szCs w:val="20"/>
          <w:lang w:eastAsia="zh-CN"/>
        </w:rPr>
      </w:pPr>
      <w:r w:rsidRPr="00373D9E">
        <w:rPr>
          <w:rFonts w:hint="eastAsia"/>
          <w:bCs/>
          <w:sz w:val="20"/>
          <w:szCs w:val="20"/>
          <w:lang w:eastAsia="zh-CN"/>
        </w:rPr>
        <w:t>[</w:t>
      </w:r>
      <w:proofErr w:type="spellStart"/>
      <w:r w:rsidRPr="00373D9E">
        <w:rPr>
          <w:bCs/>
          <w:sz w:val="20"/>
          <w:szCs w:val="20"/>
        </w:rPr>
        <w:t>Engy</w:t>
      </w:r>
      <w:proofErr w:type="spellEnd"/>
      <w:r w:rsidRPr="00373D9E">
        <w:rPr>
          <w:rFonts w:hint="eastAsia"/>
          <w:bCs/>
          <w:sz w:val="20"/>
          <w:szCs w:val="20"/>
          <w:lang w:eastAsia="zh-CN"/>
        </w:rPr>
        <w:t xml:space="preserve"> </w:t>
      </w:r>
      <w:proofErr w:type="spellStart"/>
      <w:r w:rsidRPr="00373D9E">
        <w:rPr>
          <w:bCs/>
          <w:sz w:val="20"/>
          <w:szCs w:val="20"/>
        </w:rPr>
        <w:t>Yousry</w:t>
      </w:r>
      <w:proofErr w:type="spellEnd"/>
      <w:r w:rsidRPr="00373D9E">
        <w:rPr>
          <w:bCs/>
          <w:sz w:val="20"/>
          <w:szCs w:val="20"/>
        </w:rPr>
        <w:t xml:space="preserve"> EL </w:t>
      </w:r>
      <w:proofErr w:type="spellStart"/>
      <w:r w:rsidRPr="00373D9E">
        <w:rPr>
          <w:bCs/>
          <w:sz w:val="20"/>
          <w:szCs w:val="20"/>
        </w:rPr>
        <w:t>Sayed</w:t>
      </w:r>
      <w:proofErr w:type="spellEnd"/>
      <w:r w:rsidRPr="00373D9E">
        <w:rPr>
          <w:rFonts w:hint="eastAsia"/>
          <w:bCs/>
          <w:sz w:val="20"/>
          <w:szCs w:val="20"/>
          <w:lang w:eastAsia="zh-CN"/>
        </w:rPr>
        <w:t>.</w:t>
      </w:r>
      <w:r w:rsidRPr="00373D9E">
        <w:rPr>
          <w:b/>
          <w:bCs/>
          <w:sz w:val="20"/>
          <w:szCs w:val="20"/>
        </w:rPr>
        <w:t xml:space="preserve"> Overview </w:t>
      </w:r>
      <w:proofErr w:type="gramStart"/>
      <w:r w:rsidRPr="00373D9E">
        <w:rPr>
          <w:b/>
          <w:bCs/>
          <w:sz w:val="20"/>
          <w:szCs w:val="20"/>
        </w:rPr>
        <w:t>On</w:t>
      </w:r>
      <w:proofErr w:type="gramEnd"/>
      <w:r w:rsidRPr="00373D9E">
        <w:rPr>
          <w:b/>
          <w:bCs/>
          <w:sz w:val="20"/>
          <w:szCs w:val="20"/>
        </w:rPr>
        <w:t xml:space="preserve"> Inflammatory Bowel Disease</w:t>
      </w:r>
      <w:r w:rsidRPr="00373D9E">
        <w:rPr>
          <w:rFonts w:hint="eastAsia"/>
          <w:b/>
          <w:bCs/>
          <w:sz w:val="20"/>
          <w:szCs w:val="20"/>
          <w:lang w:eastAsia="zh-CN"/>
        </w:rPr>
        <w:t>.</w:t>
      </w:r>
      <w:r w:rsidRPr="00373D9E">
        <w:rPr>
          <w:rFonts w:eastAsia="Times New Roman"/>
          <w:bCs/>
          <w:i/>
          <w:sz w:val="20"/>
          <w:szCs w:val="20"/>
        </w:rPr>
        <w:t xml:space="preserve"> </w:t>
      </w:r>
      <w:r w:rsidR="00F61109" w:rsidRPr="00373D9E">
        <w:rPr>
          <w:rFonts w:eastAsia="Times New Roman"/>
          <w:bCs/>
          <w:i/>
          <w:sz w:val="20"/>
          <w:szCs w:val="20"/>
        </w:rPr>
        <w:t xml:space="preserve">Nat </w:t>
      </w:r>
      <w:proofErr w:type="spellStart"/>
      <w:r w:rsidR="00F61109" w:rsidRPr="00373D9E">
        <w:rPr>
          <w:rFonts w:eastAsia="Times New Roman"/>
          <w:bCs/>
          <w:i/>
          <w:sz w:val="20"/>
          <w:szCs w:val="20"/>
        </w:rPr>
        <w:t>Sci</w:t>
      </w:r>
      <w:proofErr w:type="spellEnd"/>
      <w:r w:rsidR="00F61109" w:rsidRPr="00373D9E">
        <w:rPr>
          <w:rFonts w:eastAsia="Times New Roman"/>
          <w:bCs/>
          <w:sz w:val="20"/>
          <w:szCs w:val="20"/>
        </w:rPr>
        <w:t xml:space="preserve"> </w:t>
      </w:r>
      <w:r w:rsidR="00F61109" w:rsidRPr="00373D9E">
        <w:rPr>
          <w:sz w:val="20"/>
          <w:szCs w:val="20"/>
        </w:rPr>
        <w:t>2013</w:t>
      </w:r>
      <w:proofErr w:type="gramStart"/>
      <w:r w:rsidR="00F61109" w:rsidRPr="00373D9E">
        <w:rPr>
          <w:sz w:val="20"/>
          <w:szCs w:val="20"/>
        </w:rPr>
        <w:t>;11</w:t>
      </w:r>
      <w:proofErr w:type="gramEnd"/>
      <w:r w:rsidR="00F61109" w:rsidRPr="00373D9E">
        <w:rPr>
          <w:sz w:val="20"/>
          <w:szCs w:val="20"/>
        </w:rPr>
        <w:t>(</w:t>
      </w:r>
      <w:r w:rsidR="0066702A">
        <w:rPr>
          <w:rFonts w:hint="eastAsia"/>
          <w:sz w:val="20"/>
          <w:szCs w:val="20"/>
          <w:lang w:eastAsia="zh-CN"/>
        </w:rPr>
        <w:t>8</w:t>
      </w:r>
      <w:r w:rsidR="00F61109" w:rsidRPr="00373D9E">
        <w:rPr>
          <w:sz w:val="20"/>
          <w:szCs w:val="20"/>
        </w:rPr>
        <w:t>):</w:t>
      </w:r>
      <w:r w:rsidR="00EA3397" w:rsidRPr="00373D9E">
        <w:rPr>
          <w:rFonts w:hint="eastAsia"/>
          <w:sz w:val="20"/>
          <w:szCs w:val="20"/>
          <w:lang w:eastAsia="zh-CN"/>
        </w:rPr>
        <w:t>1</w:t>
      </w:r>
      <w:r w:rsidR="00F61109" w:rsidRPr="00373D9E">
        <w:rPr>
          <w:sz w:val="20"/>
          <w:szCs w:val="20"/>
        </w:rPr>
        <w:t>-</w:t>
      </w:r>
      <w:r w:rsidR="0066702A">
        <w:rPr>
          <w:rFonts w:hint="eastAsia"/>
          <w:sz w:val="20"/>
          <w:szCs w:val="20"/>
          <w:lang w:eastAsia="zh-CN"/>
        </w:rPr>
        <w:t>8</w:t>
      </w:r>
      <w:r w:rsidR="00F61109" w:rsidRPr="00373D9E">
        <w:rPr>
          <w:sz w:val="20"/>
          <w:szCs w:val="20"/>
        </w:rPr>
        <w:t xml:space="preserve">]. (ISSN: 1545-0740). </w:t>
      </w:r>
      <w:hyperlink r:id="rId8" w:history="1">
        <w:r w:rsidR="00F61109" w:rsidRPr="00373D9E">
          <w:rPr>
            <w:rStyle w:val="Hyperlink"/>
            <w:sz w:val="20"/>
            <w:szCs w:val="20"/>
          </w:rPr>
          <w:t>http://www.sciencepub.net/nature</w:t>
        </w:r>
      </w:hyperlink>
      <w:r w:rsidR="00F61109" w:rsidRPr="00373D9E">
        <w:rPr>
          <w:sz w:val="20"/>
          <w:szCs w:val="20"/>
        </w:rPr>
        <w:t>.</w:t>
      </w:r>
      <w:r w:rsidR="00F61109" w:rsidRPr="00373D9E">
        <w:rPr>
          <w:sz w:val="20"/>
          <w:szCs w:val="20"/>
          <w:lang w:eastAsia="zh-CN"/>
        </w:rPr>
        <w:t xml:space="preserve"> </w:t>
      </w:r>
      <w:r w:rsidR="0066702A">
        <w:rPr>
          <w:rFonts w:hint="eastAsia"/>
          <w:sz w:val="20"/>
          <w:szCs w:val="20"/>
          <w:lang w:eastAsia="zh-CN"/>
        </w:rPr>
        <w:t>1</w:t>
      </w:r>
    </w:p>
    <w:p w:rsidR="008A2447" w:rsidRPr="00373D9E" w:rsidRDefault="008A2447" w:rsidP="00373D9E">
      <w:pPr>
        <w:suppressAutoHyphens/>
        <w:adjustRightInd w:val="0"/>
        <w:snapToGrid w:val="0"/>
        <w:spacing w:after="0" w:line="240" w:lineRule="auto"/>
        <w:jc w:val="both"/>
        <w:rPr>
          <w:rFonts w:ascii="Times New Roman" w:hAnsi="Times New Roman" w:cs="Times New Roman"/>
          <w:sz w:val="20"/>
          <w:szCs w:val="20"/>
          <w:lang w:eastAsia="zh-CN"/>
        </w:rPr>
      </w:pPr>
    </w:p>
    <w:p w:rsidR="00EA3397" w:rsidRPr="00373D9E" w:rsidRDefault="00EA3397" w:rsidP="00373D9E">
      <w:pPr>
        <w:suppressAutoHyphens/>
        <w:adjustRightInd w:val="0"/>
        <w:snapToGrid w:val="0"/>
        <w:spacing w:after="0" w:line="240" w:lineRule="auto"/>
        <w:jc w:val="both"/>
        <w:rPr>
          <w:rFonts w:ascii="Times New Roman" w:hAnsi="Times New Roman" w:cs="Times New Roman"/>
          <w:sz w:val="20"/>
          <w:szCs w:val="20"/>
          <w:lang w:eastAsia="zh-CN"/>
        </w:rPr>
      </w:pPr>
      <w:r w:rsidRPr="00373D9E">
        <w:rPr>
          <w:rFonts w:ascii="Times New Roman" w:hAnsi="Times New Roman" w:cs="Times New Roman" w:hint="eastAsia"/>
          <w:b/>
          <w:sz w:val="20"/>
          <w:szCs w:val="20"/>
          <w:lang w:eastAsia="zh-CN"/>
        </w:rPr>
        <w:t xml:space="preserve">Keywords: </w:t>
      </w:r>
      <w:r w:rsidRPr="00373D9E">
        <w:rPr>
          <w:rFonts w:ascii="Times New Roman" w:hAnsi="Times New Roman" w:cs="Times New Roman"/>
          <w:sz w:val="20"/>
          <w:szCs w:val="20"/>
        </w:rPr>
        <w:t>Ulcerative colitis (UC)</w:t>
      </w:r>
      <w:r w:rsidRPr="00373D9E">
        <w:rPr>
          <w:rFonts w:ascii="Times New Roman" w:hAnsi="Times New Roman" w:cs="Times New Roman" w:hint="eastAsia"/>
          <w:sz w:val="20"/>
          <w:szCs w:val="20"/>
          <w:lang w:eastAsia="zh-CN"/>
        </w:rPr>
        <w:t>;</w:t>
      </w:r>
      <w:r w:rsidRPr="00373D9E">
        <w:rPr>
          <w:rFonts w:ascii="Times New Roman" w:hAnsi="Times New Roman" w:cs="Times New Roman"/>
          <w:sz w:val="20"/>
          <w:szCs w:val="20"/>
        </w:rPr>
        <w:t xml:space="preserve"> </w:t>
      </w:r>
      <w:proofErr w:type="spellStart"/>
      <w:r w:rsidRPr="00373D9E">
        <w:rPr>
          <w:rFonts w:ascii="Times New Roman" w:hAnsi="Times New Roman" w:cs="Times New Roman"/>
          <w:sz w:val="20"/>
          <w:szCs w:val="20"/>
        </w:rPr>
        <w:t>Crohn’s</w:t>
      </w:r>
      <w:proofErr w:type="spellEnd"/>
      <w:r w:rsidRPr="00373D9E">
        <w:rPr>
          <w:rFonts w:ascii="Times New Roman" w:hAnsi="Times New Roman" w:cs="Times New Roman"/>
          <w:sz w:val="20"/>
          <w:szCs w:val="20"/>
        </w:rPr>
        <w:t xml:space="preserve"> disease (CD)</w:t>
      </w:r>
      <w:r w:rsidRPr="00373D9E">
        <w:rPr>
          <w:rFonts w:ascii="Times New Roman" w:hAnsi="Times New Roman" w:cs="Times New Roman" w:hint="eastAsia"/>
          <w:sz w:val="20"/>
          <w:szCs w:val="20"/>
          <w:lang w:eastAsia="zh-CN"/>
        </w:rPr>
        <w:t xml:space="preserve">; </w:t>
      </w:r>
      <w:r w:rsidRPr="00373D9E">
        <w:rPr>
          <w:rFonts w:ascii="Times New Roman" w:hAnsi="Times New Roman" w:cs="Times New Roman"/>
          <w:sz w:val="20"/>
          <w:szCs w:val="20"/>
        </w:rPr>
        <w:t>inflammation</w:t>
      </w:r>
      <w:r w:rsidRPr="00373D9E">
        <w:rPr>
          <w:rFonts w:ascii="Times New Roman" w:hAnsi="Times New Roman" w:cs="Times New Roman" w:hint="eastAsia"/>
          <w:sz w:val="20"/>
          <w:szCs w:val="20"/>
          <w:lang w:eastAsia="zh-CN"/>
        </w:rPr>
        <w:t xml:space="preserve">; </w:t>
      </w:r>
      <w:r w:rsidRPr="00373D9E">
        <w:rPr>
          <w:rFonts w:ascii="Times New Roman" w:hAnsi="Times New Roman" w:cs="Times New Roman"/>
          <w:sz w:val="20"/>
          <w:szCs w:val="20"/>
        </w:rPr>
        <w:t>gastrointestinal tract</w:t>
      </w:r>
    </w:p>
    <w:p w:rsidR="008A2447" w:rsidRPr="00373D9E" w:rsidRDefault="008A2447" w:rsidP="00373D9E">
      <w:pPr>
        <w:suppressAutoHyphens/>
        <w:adjustRightInd w:val="0"/>
        <w:snapToGrid w:val="0"/>
        <w:spacing w:after="0" w:line="240" w:lineRule="auto"/>
        <w:jc w:val="both"/>
        <w:rPr>
          <w:rFonts w:ascii="Times New Roman" w:eastAsia="SimSun" w:hAnsi="Times New Roman" w:cs="Times New Roman"/>
          <w:sz w:val="20"/>
          <w:szCs w:val="20"/>
          <w:lang w:eastAsia="ar-SA"/>
        </w:rPr>
      </w:pPr>
    </w:p>
    <w:p w:rsidR="008A2447" w:rsidRPr="00373D9E" w:rsidRDefault="008A2447" w:rsidP="00373D9E">
      <w:pPr>
        <w:suppressAutoHyphens/>
        <w:adjustRightInd w:val="0"/>
        <w:snapToGrid w:val="0"/>
        <w:spacing w:after="0" w:line="240" w:lineRule="auto"/>
        <w:jc w:val="both"/>
        <w:rPr>
          <w:rFonts w:ascii="Times New Roman" w:eastAsia="SimSun" w:hAnsi="Times New Roman" w:cs="Times New Roman"/>
          <w:b/>
          <w:sz w:val="20"/>
          <w:szCs w:val="20"/>
          <w:lang w:eastAsia="ar-SA"/>
        </w:rPr>
        <w:sectPr w:rsidR="008A2447" w:rsidRPr="00373D9E" w:rsidSect="0066702A">
          <w:headerReference w:type="default" r:id="rId9"/>
          <w:footerReference w:type="even" r:id="rId10"/>
          <w:footerReference w:type="default" r:id="rId11"/>
          <w:footnotePr>
            <w:pos w:val="beneathText"/>
          </w:footnotePr>
          <w:pgSz w:w="12240" w:h="15840" w:code="1"/>
          <w:pgMar w:top="1440" w:right="1440" w:bottom="1440" w:left="1440" w:header="720" w:footer="720" w:gutter="0"/>
          <w:pgNumType w:start="1"/>
          <w:cols w:space="720"/>
          <w:docGrid w:linePitch="360"/>
        </w:sectPr>
      </w:pPr>
    </w:p>
    <w:p w:rsidR="0036411D" w:rsidRPr="0036411D" w:rsidRDefault="0036411D" w:rsidP="0036411D">
      <w:pPr>
        <w:pStyle w:val="Default"/>
        <w:snapToGrid w:val="0"/>
        <w:jc w:val="both"/>
        <w:rPr>
          <w:b/>
          <w:sz w:val="20"/>
          <w:szCs w:val="20"/>
          <w:lang w:eastAsia="zh-CN"/>
        </w:rPr>
      </w:pPr>
      <w:r w:rsidRPr="0036411D">
        <w:rPr>
          <w:rFonts w:hint="eastAsia"/>
          <w:b/>
          <w:sz w:val="20"/>
          <w:szCs w:val="20"/>
          <w:lang w:eastAsia="zh-CN"/>
        </w:rPr>
        <w:lastRenderedPageBreak/>
        <w:t>Introduction</w:t>
      </w:r>
      <w:r>
        <w:rPr>
          <w:rFonts w:hint="eastAsia"/>
          <w:b/>
          <w:sz w:val="20"/>
          <w:szCs w:val="20"/>
          <w:lang w:eastAsia="zh-CN"/>
        </w:rPr>
        <w:t>:</w:t>
      </w:r>
    </w:p>
    <w:p w:rsidR="008A2447" w:rsidRPr="00373D9E" w:rsidRDefault="008A2447" w:rsidP="00373D9E">
      <w:pPr>
        <w:pStyle w:val="Default"/>
        <w:snapToGrid w:val="0"/>
        <w:ind w:firstLine="450"/>
        <w:jc w:val="both"/>
        <w:rPr>
          <w:sz w:val="20"/>
          <w:szCs w:val="20"/>
        </w:rPr>
      </w:pPr>
      <w:r w:rsidRPr="00373D9E">
        <w:rPr>
          <w:sz w:val="20"/>
          <w:szCs w:val="20"/>
        </w:rPr>
        <w:t xml:space="preserve">The etiologies of both UC and CD remain unknown. The consensus is that both diseases are an immunological response to environmental triggers (infection, drugs, or other agents) in genetically susceptible individuals. The genetic component is stronger in CD than in UC. Smoking increases the risk of CD, but decreases the risk of UC through unknown </w:t>
      </w:r>
      <w:proofErr w:type="gramStart"/>
      <w:r w:rsidRPr="00373D9E">
        <w:rPr>
          <w:sz w:val="20"/>
          <w:szCs w:val="20"/>
        </w:rPr>
        <w:t>mechanisms(</w:t>
      </w:r>
      <w:proofErr w:type="gramEnd"/>
      <w:r w:rsidRPr="00373D9E">
        <w:rPr>
          <w:sz w:val="20"/>
          <w:szCs w:val="20"/>
        </w:rPr>
        <w:t xml:space="preserve">2). </w:t>
      </w:r>
    </w:p>
    <w:p w:rsidR="008A2447" w:rsidRPr="00613E1C" w:rsidRDefault="008A2447" w:rsidP="00613E1C">
      <w:pPr>
        <w:pStyle w:val="Default"/>
        <w:snapToGrid w:val="0"/>
        <w:jc w:val="both"/>
        <w:rPr>
          <w:b/>
          <w:sz w:val="20"/>
          <w:szCs w:val="20"/>
        </w:rPr>
      </w:pPr>
      <w:r w:rsidRPr="00613E1C">
        <w:rPr>
          <w:b/>
          <w:sz w:val="20"/>
          <w:szCs w:val="20"/>
        </w:rPr>
        <w:t xml:space="preserve">Clinical features </w:t>
      </w:r>
    </w:p>
    <w:p w:rsidR="008A2447" w:rsidRPr="00373D9E" w:rsidRDefault="008A2447" w:rsidP="00373D9E">
      <w:pPr>
        <w:pStyle w:val="Default"/>
        <w:snapToGrid w:val="0"/>
        <w:ind w:firstLine="450"/>
        <w:jc w:val="both"/>
        <w:rPr>
          <w:sz w:val="20"/>
          <w:szCs w:val="20"/>
        </w:rPr>
      </w:pPr>
      <w:r w:rsidRPr="00373D9E">
        <w:rPr>
          <w:sz w:val="20"/>
          <w:szCs w:val="20"/>
        </w:rPr>
        <w:t xml:space="preserve">The cardinal symptom of UC is bloody diarrhea. Associated symptoms of colicky abdominal pain, urgency, or </w:t>
      </w:r>
      <w:proofErr w:type="spellStart"/>
      <w:r w:rsidRPr="00373D9E">
        <w:rPr>
          <w:sz w:val="20"/>
          <w:szCs w:val="20"/>
        </w:rPr>
        <w:t>tenesmus</w:t>
      </w:r>
      <w:proofErr w:type="spellEnd"/>
      <w:r w:rsidRPr="00373D9E">
        <w:rPr>
          <w:sz w:val="20"/>
          <w:szCs w:val="20"/>
        </w:rPr>
        <w:t xml:space="preserve"> may be present, a severe attack of UC is a potentially life threatening illness. The clinical course of UC is marked by exacerbation and remission. About 50% of patients with UC have a relapse in any year. An appreciable minority has frequently relapsing or chronic, continuous disease and, overall, 20–30% of patients with pan colitis come to </w:t>
      </w:r>
      <w:proofErr w:type="spellStart"/>
      <w:r w:rsidRPr="00373D9E">
        <w:rPr>
          <w:sz w:val="20"/>
          <w:szCs w:val="20"/>
        </w:rPr>
        <w:t>colectomy</w:t>
      </w:r>
      <w:proofErr w:type="spellEnd"/>
      <w:r w:rsidRPr="00373D9E">
        <w:rPr>
          <w:sz w:val="20"/>
          <w:szCs w:val="20"/>
        </w:rPr>
        <w:t xml:space="preserve">. Symptoms of CD are more heterogeneous, but typically include abdominal pain, diarrhea, and weight loss. Systemic symptoms of malaise, anorexia, or fever are more common with CD than UC. CD may cause intestinal obstruction due to strictures, fistulae (often </w:t>
      </w:r>
      <w:proofErr w:type="spellStart"/>
      <w:r w:rsidRPr="00373D9E">
        <w:rPr>
          <w:sz w:val="20"/>
          <w:szCs w:val="20"/>
        </w:rPr>
        <w:t>perianal</w:t>
      </w:r>
      <w:proofErr w:type="spellEnd"/>
      <w:r w:rsidRPr="00373D9E">
        <w:rPr>
          <w:sz w:val="20"/>
          <w:szCs w:val="20"/>
        </w:rPr>
        <w:t xml:space="preserve">), or abscesses. The clinical course of CD is also characterized by exacerbations and remission. CD tends to cause greater disability than UC. Both ulcerative and </w:t>
      </w:r>
      <w:proofErr w:type="spellStart"/>
      <w:r w:rsidRPr="00373D9E">
        <w:rPr>
          <w:sz w:val="20"/>
          <w:szCs w:val="20"/>
        </w:rPr>
        <w:t>Crohn’s</w:t>
      </w:r>
      <w:proofErr w:type="spellEnd"/>
      <w:r w:rsidRPr="00373D9E">
        <w:rPr>
          <w:sz w:val="20"/>
          <w:szCs w:val="20"/>
        </w:rPr>
        <w:t xml:space="preserve"> colitis are associated with an increased risk of colonic </w:t>
      </w:r>
      <w:proofErr w:type="gramStart"/>
      <w:r w:rsidRPr="00373D9E">
        <w:rPr>
          <w:sz w:val="20"/>
          <w:szCs w:val="20"/>
        </w:rPr>
        <w:t>carcinoma(</w:t>
      </w:r>
      <w:proofErr w:type="gramEnd"/>
      <w:r w:rsidRPr="00373D9E">
        <w:rPr>
          <w:sz w:val="20"/>
          <w:szCs w:val="20"/>
        </w:rPr>
        <w:t xml:space="preserve">3). </w:t>
      </w:r>
    </w:p>
    <w:p w:rsidR="008A2447" w:rsidRPr="00613E1C" w:rsidRDefault="008A2447" w:rsidP="00613E1C">
      <w:pPr>
        <w:pStyle w:val="Default"/>
        <w:snapToGrid w:val="0"/>
        <w:jc w:val="both"/>
        <w:rPr>
          <w:b/>
          <w:sz w:val="20"/>
          <w:szCs w:val="20"/>
        </w:rPr>
      </w:pPr>
      <w:r w:rsidRPr="00613E1C">
        <w:rPr>
          <w:b/>
          <w:sz w:val="20"/>
          <w:szCs w:val="20"/>
        </w:rPr>
        <w:t xml:space="preserve">Extra intestinal manifestations of IBD </w:t>
      </w:r>
    </w:p>
    <w:p w:rsidR="008A2447" w:rsidRPr="00373D9E" w:rsidRDefault="008A2447" w:rsidP="00373D9E">
      <w:pPr>
        <w:pStyle w:val="Default"/>
        <w:snapToGrid w:val="0"/>
        <w:ind w:firstLine="450"/>
        <w:jc w:val="both"/>
        <w:rPr>
          <w:sz w:val="20"/>
          <w:szCs w:val="20"/>
        </w:rPr>
      </w:pPr>
      <w:r w:rsidRPr="00373D9E">
        <w:rPr>
          <w:b/>
          <w:bCs/>
          <w:sz w:val="20"/>
          <w:szCs w:val="20"/>
        </w:rPr>
        <w:t>1. Disorders that usually parallel (</w:t>
      </w:r>
      <w:proofErr w:type="spellStart"/>
      <w:r w:rsidRPr="00373D9E">
        <w:rPr>
          <w:b/>
          <w:bCs/>
          <w:sz w:val="20"/>
          <w:szCs w:val="20"/>
        </w:rPr>
        <w:t>ie</w:t>
      </w:r>
      <w:proofErr w:type="spellEnd"/>
      <w:r w:rsidRPr="00373D9E">
        <w:rPr>
          <w:b/>
          <w:bCs/>
          <w:sz w:val="20"/>
          <w:szCs w:val="20"/>
        </w:rPr>
        <w:t xml:space="preserve">, wax and wane with) IBD flare-ups: </w:t>
      </w:r>
      <w:r w:rsidRPr="00373D9E">
        <w:rPr>
          <w:sz w:val="20"/>
          <w:szCs w:val="20"/>
        </w:rPr>
        <w:t xml:space="preserve">These disorders include peripheral arthritis, </w:t>
      </w:r>
      <w:proofErr w:type="spellStart"/>
      <w:r w:rsidRPr="00373D9E">
        <w:rPr>
          <w:sz w:val="20"/>
          <w:szCs w:val="20"/>
        </w:rPr>
        <w:t>episcleritis</w:t>
      </w:r>
      <w:proofErr w:type="spellEnd"/>
      <w:r w:rsidRPr="00373D9E">
        <w:rPr>
          <w:sz w:val="20"/>
          <w:szCs w:val="20"/>
        </w:rPr>
        <w:t xml:space="preserve">, </w:t>
      </w:r>
      <w:proofErr w:type="spellStart"/>
      <w:r w:rsidRPr="00373D9E">
        <w:rPr>
          <w:sz w:val="20"/>
          <w:szCs w:val="20"/>
        </w:rPr>
        <w:t>aphthous</w:t>
      </w:r>
      <w:proofErr w:type="spellEnd"/>
      <w:r w:rsidRPr="00373D9E">
        <w:rPr>
          <w:sz w:val="20"/>
          <w:szCs w:val="20"/>
        </w:rPr>
        <w:t xml:space="preserve"> </w:t>
      </w:r>
      <w:proofErr w:type="spellStart"/>
      <w:r w:rsidRPr="00373D9E">
        <w:rPr>
          <w:sz w:val="20"/>
          <w:szCs w:val="20"/>
        </w:rPr>
        <w:t>stomatitis</w:t>
      </w:r>
      <w:proofErr w:type="spellEnd"/>
      <w:r w:rsidRPr="00373D9E">
        <w:rPr>
          <w:sz w:val="20"/>
          <w:szCs w:val="20"/>
        </w:rPr>
        <w:t xml:space="preserve">, </w:t>
      </w:r>
      <w:proofErr w:type="spellStart"/>
      <w:r w:rsidRPr="00373D9E">
        <w:rPr>
          <w:sz w:val="20"/>
          <w:szCs w:val="20"/>
        </w:rPr>
        <w:t>erythema</w:t>
      </w:r>
      <w:proofErr w:type="spellEnd"/>
      <w:r w:rsidRPr="00373D9E">
        <w:rPr>
          <w:sz w:val="20"/>
          <w:szCs w:val="20"/>
        </w:rPr>
        <w:t xml:space="preserve"> </w:t>
      </w:r>
      <w:proofErr w:type="spellStart"/>
      <w:r w:rsidRPr="00373D9E">
        <w:rPr>
          <w:sz w:val="20"/>
          <w:szCs w:val="20"/>
        </w:rPr>
        <w:t>nodosum</w:t>
      </w:r>
      <w:proofErr w:type="spellEnd"/>
      <w:r w:rsidRPr="00373D9E">
        <w:rPr>
          <w:sz w:val="20"/>
          <w:szCs w:val="20"/>
        </w:rPr>
        <w:t xml:space="preserve">, and </w:t>
      </w:r>
      <w:proofErr w:type="spellStart"/>
      <w:r w:rsidRPr="00373D9E">
        <w:rPr>
          <w:sz w:val="20"/>
          <w:szCs w:val="20"/>
        </w:rPr>
        <w:t>pyodermagangrenosum</w:t>
      </w:r>
      <w:proofErr w:type="spellEnd"/>
      <w:r w:rsidRPr="00373D9E">
        <w:rPr>
          <w:sz w:val="20"/>
          <w:szCs w:val="20"/>
        </w:rPr>
        <w:t xml:space="preserve">. Arthritis tends to involve </w:t>
      </w:r>
      <w:r w:rsidRPr="00373D9E">
        <w:rPr>
          <w:sz w:val="20"/>
          <w:szCs w:val="20"/>
        </w:rPr>
        <w:lastRenderedPageBreak/>
        <w:t xml:space="preserve">large joints and be migratory and transient. One or more of these parallel disorders develops in more than one third of patients hospitalized with </w:t>
      </w:r>
      <w:proofErr w:type="gramStart"/>
      <w:r w:rsidRPr="00373D9E">
        <w:rPr>
          <w:sz w:val="20"/>
          <w:szCs w:val="20"/>
        </w:rPr>
        <w:t>IBD(</w:t>
      </w:r>
      <w:proofErr w:type="gramEnd"/>
      <w:r w:rsidRPr="00373D9E">
        <w:rPr>
          <w:sz w:val="20"/>
          <w:szCs w:val="20"/>
        </w:rPr>
        <w:t xml:space="preserve">4,5). </w:t>
      </w:r>
    </w:p>
    <w:p w:rsidR="008A2447" w:rsidRPr="00373D9E" w:rsidRDefault="008A2447" w:rsidP="00373D9E">
      <w:pPr>
        <w:pStyle w:val="Default"/>
        <w:snapToGrid w:val="0"/>
        <w:ind w:firstLine="450"/>
        <w:jc w:val="both"/>
        <w:rPr>
          <w:sz w:val="20"/>
          <w:szCs w:val="20"/>
        </w:rPr>
      </w:pPr>
      <w:r w:rsidRPr="00373D9E">
        <w:rPr>
          <w:b/>
          <w:bCs/>
          <w:sz w:val="20"/>
          <w:szCs w:val="20"/>
        </w:rPr>
        <w:t xml:space="preserve">2. Disorders that are clearly associated with IBD but appear independently of IBD activity: </w:t>
      </w:r>
      <w:r w:rsidRPr="00373D9E">
        <w:rPr>
          <w:sz w:val="20"/>
          <w:szCs w:val="20"/>
        </w:rPr>
        <w:t xml:space="preserve">These disorders include </w:t>
      </w:r>
      <w:proofErr w:type="spellStart"/>
      <w:r w:rsidRPr="00373D9E">
        <w:rPr>
          <w:sz w:val="20"/>
          <w:szCs w:val="20"/>
        </w:rPr>
        <w:t>ankylosing</w:t>
      </w:r>
      <w:proofErr w:type="spellEnd"/>
      <w:r w:rsidRPr="00373D9E">
        <w:rPr>
          <w:sz w:val="20"/>
          <w:szCs w:val="20"/>
        </w:rPr>
        <w:t xml:space="preserve"> </w:t>
      </w:r>
      <w:proofErr w:type="spellStart"/>
      <w:r w:rsidRPr="00373D9E">
        <w:rPr>
          <w:sz w:val="20"/>
          <w:szCs w:val="20"/>
        </w:rPr>
        <w:t>spondylitis</w:t>
      </w:r>
      <w:proofErr w:type="spellEnd"/>
      <w:r w:rsidRPr="00373D9E">
        <w:rPr>
          <w:sz w:val="20"/>
          <w:szCs w:val="20"/>
        </w:rPr>
        <w:t xml:space="preserve">, </w:t>
      </w:r>
      <w:proofErr w:type="spellStart"/>
      <w:r w:rsidRPr="00373D9E">
        <w:rPr>
          <w:sz w:val="20"/>
          <w:szCs w:val="20"/>
        </w:rPr>
        <w:t>sacroiliitis</w:t>
      </w:r>
      <w:proofErr w:type="spellEnd"/>
      <w:r w:rsidRPr="00373D9E">
        <w:rPr>
          <w:sz w:val="20"/>
          <w:szCs w:val="20"/>
        </w:rPr>
        <w:t xml:space="preserve">, </w:t>
      </w:r>
      <w:proofErr w:type="spellStart"/>
      <w:r w:rsidRPr="00373D9E">
        <w:rPr>
          <w:sz w:val="20"/>
          <w:szCs w:val="20"/>
        </w:rPr>
        <w:t>uveitis</w:t>
      </w:r>
      <w:proofErr w:type="spellEnd"/>
      <w:r w:rsidRPr="00373D9E">
        <w:rPr>
          <w:sz w:val="20"/>
          <w:szCs w:val="20"/>
        </w:rPr>
        <w:t xml:space="preserve">, and primary </w:t>
      </w:r>
      <w:proofErr w:type="spellStart"/>
      <w:r w:rsidRPr="00373D9E">
        <w:rPr>
          <w:sz w:val="20"/>
          <w:szCs w:val="20"/>
        </w:rPr>
        <w:t>sclerosing</w:t>
      </w:r>
      <w:proofErr w:type="spellEnd"/>
      <w:r w:rsidRPr="00373D9E">
        <w:rPr>
          <w:sz w:val="20"/>
          <w:szCs w:val="20"/>
        </w:rPr>
        <w:t xml:space="preserve"> </w:t>
      </w:r>
      <w:proofErr w:type="spellStart"/>
      <w:r w:rsidRPr="00373D9E">
        <w:rPr>
          <w:sz w:val="20"/>
          <w:szCs w:val="20"/>
        </w:rPr>
        <w:t>cholangitis</w:t>
      </w:r>
      <w:proofErr w:type="spellEnd"/>
      <w:r w:rsidRPr="00373D9E">
        <w:rPr>
          <w:sz w:val="20"/>
          <w:szCs w:val="20"/>
        </w:rPr>
        <w:t xml:space="preserve">. </w:t>
      </w:r>
      <w:proofErr w:type="spellStart"/>
      <w:r w:rsidRPr="00373D9E">
        <w:rPr>
          <w:sz w:val="20"/>
          <w:szCs w:val="20"/>
        </w:rPr>
        <w:t>Ankylosing</w:t>
      </w:r>
      <w:proofErr w:type="spellEnd"/>
      <w:r w:rsidRPr="00373D9E">
        <w:rPr>
          <w:sz w:val="20"/>
          <w:szCs w:val="20"/>
        </w:rPr>
        <w:t xml:space="preserve"> </w:t>
      </w:r>
      <w:proofErr w:type="spellStart"/>
      <w:r w:rsidRPr="00373D9E">
        <w:rPr>
          <w:sz w:val="20"/>
          <w:szCs w:val="20"/>
        </w:rPr>
        <w:t>spondylitis</w:t>
      </w:r>
      <w:proofErr w:type="spellEnd"/>
      <w:r w:rsidRPr="00373D9E">
        <w:rPr>
          <w:sz w:val="20"/>
          <w:szCs w:val="20"/>
        </w:rPr>
        <w:t xml:space="preserve"> occurs more commonly in IBD patients with the HLA-B27 antigen. Most patients with spinal or sacroiliac involvement have evidence of </w:t>
      </w:r>
      <w:proofErr w:type="spellStart"/>
      <w:r w:rsidRPr="00373D9E">
        <w:rPr>
          <w:sz w:val="20"/>
          <w:szCs w:val="20"/>
        </w:rPr>
        <w:t>uveitis</w:t>
      </w:r>
      <w:proofErr w:type="spellEnd"/>
      <w:r w:rsidRPr="00373D9E">
        <w:rPr>
          <w:sz w:val="20"/>
          <w:szCs w:val="20"/>
        </w:rPr>
        <w:t xml:space="preserve"> and vice versa. Primary </w:t>
      </w:r>
      <w:proofErr w:type="spellStart"/>
      <w:r w:rsidRPr="00373D9E">
        <w:rPr>
          <w:sz w:val="20"/>
          <w:szCs w:val="20"/>
        </w:rPr>
        <w:t>sclerosing</w:t>
      </w:r>
      <w:proofErr w:type="spellEnd"/>
      <w:r w:rsidRPr="00373D9E">
        <w:rPr>
          <w:sz w:val="20"/>
          <w:szCs w:val="20"/>
        </w:rPr>
        <w:t xml:space="preserve"> </w:t>
      </w:r>
      <w:proofErr w:type="spellStart"/>
      <w:r w:rsidRPr="00373D9E">
        <w:rPr>
          <w:sz w:val="20"/>
          <w:szCs w:val="20"/>
        </w:rPr>
        <w:t>cholangitis</w:t>
      </w:r>
      <w:proofErr w:type="spellEnd"/>
      <w:r w:rsidRPr="00373D9E">
        <w:rPr>
          <w:sz w:val="20"/>
          <w:szCs w:val="20"/>
        </w:rPr>
        <w:t xml:space="preserve">, which is a risk factor for cancer of the </w:t>
      </w:r>
      <w:proofErr w:type="spellStart"/>
      <w:r w:rsidRPr="00373D9E">
        <w:rPr>
          <w:sz w:val="20"/>
          <w:szCs w:val="20"/>
        </w:rPr>
        <w:t>biliary</w:t>
      </w:r>
      <w:proofErr w:type="spellEnd"/>
      <w:r w:rsidRPr="00373D9E">
        <w:rPr>
          <w:sz w:val="20"/>
          <w:szCs w:val="20"/>
        </w:rPr>
        <w:t xml:space="preserve"> tract, is strongly associated with UC or </w:t>
      </w:r>
      <w:proofErr w:type="spellStart"/>
      <w:r w:rsidRPr="00373D9E">
        <w:rPr>
          <w:sz w:val="20"/>
          <w:szCs w:val="20"/>
        </w:rPr>
        <w:t>Crohn</w:t>
      </w:r>
      <w:proofErr w:type="spellEnd"/>
      <w:r w:rsidRPr="00373D9E">
        <w:rPr>
          <w:sz w:val="20"/>
          <w:szCs w:val="20"/>
        </w:rPr>
        <w:t xml:space="preserve"> colitis. </w:t>
      </w:r>
      <w:proofErr w:type="spellStart"/>
      <w:r w:rsidRPr="00373D9E">
        <w:rPr>
          <w:sz w:val="20"/>
          <w:szCs w:val="20"/>
        </w:rPr>
        <w:t>Cholangitis</w:t>
      </w:r>
      <w:proofErr w:type="spellEnd"/>
      <w:r w:rsidRPr="00373D9E">
        <w:rPr>
          <w:sz w:val="20"/>
          <w:szCs w:val="20"/>
        </w:rPr>
        <w:t xml:space="preserve"> may appear before or concurrently with the bowel disease or even 20 yr after </w:t>
      </w:r>
      <w:proofErr w:type="spellStart"/>
      <w:r w:rsidRPr="00373D9E">
        <w:rPr>
          <w:sz w:val="20"/>
          <w:szCs w:val="20"/>
        </w:rPr>
        <w:t>colectomy</w:t>
      </w:r>
      <w:proofErr w:type="spellEnd"/>
      <w:r w:rsidRPr="00373D9E">
        <w:rPr>
          <w:sz w:val="20"/>
          <w:szCs w:val="20"/>
        </w:rPr>
        <w:t>. Liver disease (</w:t>
      </w:r>
      <w:proofErr w:type="spellStart"/>
      <w:r w:rsidRPr="00373D9E">
        <w:rPr>
          <w:sz w:val="20"/>
          <w:szCs w:val="20"/>
        </w:rPr>
        <w:t>eg</w:t>
      </w:r>
      <w:proofErr w:type="spellEnd"/>
      <w:r w:rsidRPr="00373D9E">
        <w:rPr>
          <w:sz w:val="20"/>
          <w:szCs w:val="20"/>
        </w:rPr>
        <w:t xml:space="preserve">, fatty liver, autoimmune hepatitis, </w:t>
      </w:r>
      <w:proofErr w:type="spellStart"/>
      <w:r w:rsidRPr="00373D9E">
        <w:rPr>
          <w:sz w:val="20"/>
          <w:szCs w:val="20"/>
        </w:rPr>
        <w:t>pericholangitis</w:t>
      </w:r>
      <w:proofErr w:type="spellEnd"/>
      <w:r w:rsidRPr="00373D9E">
        <w:rPr>
          <w:sz w:val="20"/>
          <w:szCs w:val="20"/>
        </w:rPr>
        <w:t>, cirrhosis) occurs in 3 to 5% of patients, although minor abnormalities in liver function tests are more common. Some of these conditions (</w:t>
      </w:r>
      <w:proofErr w:type="spellStart"/>
      <w:r w:rsidRPr="00373D9E">
        <w:rPr>
          <w:sz w:val="20"/>
          <w:szCs w:val="20"/>
        </w:rPr>
        <w:t>eg</w:t>
      </w:r>
      <w:proofErr w:type="spellEnd"/>
      <w:r w:rsidRPr="00373D9E">
        <w:rPr>
          <w:sz w:val="20"/>
          <w:szCs w:val="20"/>
        </w:rPr>
        <w:t xml:space="preserve">, primary </w:t>
      </w:r>
      <w:proofErr w:type="spellStart"/>
      <w:r w:rsidRPr="00373D9E">
        <w:rPr>
          <w:sz w:val="20"/>
          <w:szCs w:val="20"/>
        </w:rPr>
        <w:t>sclerosing</w:t>
      </w:r>
      <w:proofErr w:type="spellEnd"/>
      <w:r w:rsidRPr="00373D9E">
        <w:rPr>
          <w:sz w:val="20"/>
          <w:szCs w:val="20"/>
        </w:rPr>
        <w:t xml:space="preserve"> </w:t>
      </w:r>
      <w:proofErr w:type="spellStart"/>
      <w:r w:rsidRPr="00373D9E">
        <w:rPr>
          <w:sz w:val="20"/>
          <w:szCs w:val="20"/>
        </w:rPr>
        <w:t>cholangitis</w:t>
      </w:r>
      <w:proofErr w:type="spellEnd"/>
      <w:r w:rsidRPr="00373D9E">
        <w:rPr>
          <w:sz w:val="20"/>
          <w:szCs w:val="20"/>
        </w:rPr>
        <w:t xml:space="preserve">) may precede IBD by many years and, when diagnosed, should prompt an evaluation for </w:t>
      </w:r>
      <w:proofErr w:type="gramStart"/>
      <w:r w:rsidRPr="00373D9E">
        <w:rPr>
          <w:sz w:val="20"/>
          <w:szCs w:val="20"/>
        </w:rPr>
        <w:t>IBD(</w:t>
      </w:r>
      <w:proofErr w:type="gramEnd"/>
      <w:r w:rsidRPr="00373D9E">
        <w:rPr>
          <w:sz w:val="20"/>
          <w:szCs w:val="20"/>
        </w:rPr>
        <w:t xml:space="preserve">4,5). </w:t>
      </w:r>
    </w:p>
    <w:p w:rsidR="008A2447" w:rsidRPr="00373D9E" w:rsidRDefault="008A2447" w:rsidP="00373D9E">
      <w:pPr>
        <w:pStyle w:val="Default"/>
        <w:snapToGrid w:val="0"/>
        <w:ind w:firstLine="450"/>
        <w:jc w:val="both"/>
        <w:rPr>
          <w:sz w:val="20"/>
          <w:szCs w:val="20"/>
        </w:rPr>
      </w:pPr>
      <w:r w:rsidRPr="00373D9E">
        <w:rPr>
          <w:b/>
          <w:bCs/>
          <w:sz w:val="20"/>
          <w:szCs w:val="20"/>
        </w:rPr>
        <w:t xml:space="preserve">3. Disorders that are consequences of disrupted bowel physiology: </w:t>
      </w:r>
      <w:r w:rsidRPr="00373D9E">
        <w:rPr>
          <w:sz w:val="20"/>
          <w:szCs w:val="20"/>
        </w:rPr>
        <w:t xml:space="preserve">These disorders occur mainly in severe </w:t>
      </w:r>
      <w:proofErr w:type="spellStart"/>
      <w:r w:rsidRPr="00373D9E">
        <w:rPr>
          <w:sz w:val="20"/>
          <w:szCs w:val="20"/>
        </w:rPr>
        <w:t>Crohn</w:t>
      </w:r>
      <w:proofErr w:type="spellEnd"/>
      <w:r w:rsidRPr="00373D9E">
        <w:rPr>
          <w:sz w:val="20"/>
          <w:szCs w:val="20"/>
        </w:rPr>
        <w:t xml:space="preserve"> disease of the small bowel. </w:t>
      </w:r>
      <w:proofErr w:type="spellStart"/>
      <w:r w:rsidRPr="00373D9E">
        <w:rPr>
          <w:sz w:val="20"/>
          <w:szCs w:val="20"/>
        </w:rPr>
        <w:t>Malabsorption</w:t>
      </w:r>
      <w:proofErr w:type="spellEnd"/>
      <w:r w:rsidRPr="00373D9E">
        <w:rPr>
          <w:sz w:val="20"/>
          <w:szCs w:val="20"/>
        </w:rPr>
        <w:t xml:space="preserve"> may result from extensive </w:t>
      </w:r>
      <w:proofErr w:type="spellStart"/>
      <w:r w:rsidRPr="00373D9E">
        <w:rPr>
          <w:sz w:val="20"/>
          <w:szCs w:val="20"/>
        </w:rPr>
        <w:t>ileal</w:t>
      </w:r>
      <w:proofErr w:type="spellEnd"/>
      <w:r w:rsidRPr="00373D9E">
        <w:rPr>
          <w:sz w:val="20"/>
          <w:szCs w:val="20"/>
        </w:rPr>
        <w:t xml:space="preserve"> resection and cause deficiencies of fat-soluble vitamins, vitamin B12, or minerals, resulting in anemia, </w:t>
      </w:r>
      <w:proofErr w:type="spellStart"/>
      <w:r w:rsidRPr="00373D9E">
        <w:rPr>
          <w:sz w:val="20"/>
          <w:szCs w:val="20"/>
        </w:rPr>
        <w:t>hypocalcemia</w:t>
      </w:r>
      <w:proofErr w:type="spellEnd"/>
      <w:r w:rsidRPr="00373D9E">
        <w:rPr>
          <w:sz w:val="20"/>
          <w:szCs w:val="20"/>
        </w:rPr>
        <w:t xml:space="preserve">, </w:t>
      </w:r>
      <w:proofErr w:type="spellStart"/>
      <w:r w:rsidRPr="00373D9E">
        <w:rPr>
          <w:sz w:val="20"/>
          <w:szCs w:val="20"/>
        </w:rPr>
        <w:t>hypomagnesemia</w:t>
      </w:r>
      <w:proofErr w:type="spellEnd"/>
      <w:r w:rsidRPr="00373D9E">
        <w:rPr>
          <w:sz w:val="20"/>
          <w:szCs w:val="20"/>
        </w:rPr>
        <w:t xml:space="preserve">, clotting disorders, and bone demineralization. In children, </w:t>
      </w:r>
      <w:proofErr w:type="spellStart"/>
      <w:r w:rsidRPr="00373D9E">
        <w:rPr>
          <w:sz w:val="20"/>
          <w:szCs w:val="20"/>
        </w:rPr>
        <w:t>malabsorption</w:t>
      </w:r>
      <w:proofErr w:type="spellEnd"/>
      <w:r w:rsidRPr="00373D9E">
        <w:rPr>
          <w:sz w:val="20"/>
          <w:szCs w:val="20"/>
        </w:rPr>
        <w:t xml:space="preserve"> retards growth and development. Other disorders include kidney stones from excessive dietary oxalate absorption, </w:t>
      </w:r>
      <w:proofErr w:type="spellStart"/>
      <w:r w:rsidRPr="00373D9E">
        <w:rPr>
          <w:sz w:val="20"/>
          <w:szCs w:val="20"/>
        </w:rPr>
        <w:t>hydroureter</w:t>
      </w:r>
      <w:proofErr w:type="spellEnd"/>
      <w:r w:rsidRPr="00373D9E">
        <w:rPr>
          <w:sz w:val="20"/>
          <w:szCs w:val="20"/>
        </w:rPr>
        <w:t xml:space="preserve"> and </w:t>
      </w:r>
      <w:proofErr w:type="spellStart"/>
      <w:r w:rsidRPr="00373D9E">
        <w:rPr>
          <w:sz w:val="20"/>
          <w:szCs w:val="20"/>
        </w:rPr>
        <w:t>hydronephrosis</w:t>
      </w:r>
      <w:proofErr w:type="spellEnd"/>
      <w:r w:rsidRPr="00373D9E">
        <w:rPr>
          <w:sz w:val="20"/>
          <w:szCs w:val="20"/>
        </w:rPr>
        <w:t xml:space="preserve"> from </w:t>
      </w:r>
      <w:proofErr w:type="spellStart"/>
      <w:r w:rsidRPr="00373D9E">
        <w:rPr>
          <w:sz w:val="20"/>
          <w:szCs w:val="20"/>
        </w:rPr>
        <w:t>ureteral</w:t>
      </w:r>
      <w:proofErr w:type="spellEnd"/>
      <w:r w:rsidRPr="00373D9E">
        <w:rPr>
          <w:sz w:val="20"/>
          <w:szCs w:val="20"/>
        </w:rPr>
        <w:t xml:space="preserve"> compression by the intestinal inflammatory process, gallstones from </w:t>
      </w:r>
      <w:r w:rsidRPr="00373D9E">
        <w:rPr>
          <w:sz w:val="20"/>
          <w:szCs w:val="20"/>
        </w:rPr>
        <w:lastRenderedPageBreak/>
        <w:t xml:space="preserve">impaired </w:t>
      </w:r>
      <w:proofErr w:type="spellStart"/>
      <w:r w:rsidRPr="00373D9E">
        <w:rPr>
          <w:sz w:val="20"/>
          <w:szCs w:val="20"/>
        </w:rPr>
        <w:t>ileal</w:t>
      </w:r>
      <w:proofErr w:type="spellEnd"/>
      <w:r w:rsidRPr="00373D9E">
        <w:rPr>
          <w:sz w:val="20"/>
          <w:szCs w:val="20"/>
        </w:rPr>
        <w:t xml:space="preserve"> </w:t>
      </w:r>
      <w:proofErr w:type="spellStart"/>
      <w:r w:rsidRPr="00373D9E">
        <w:rPr>
          <w:sz w:val="20"/>
          <w:szCs w:val="20"/>
        </w:rPr>
        <w:t>reabsorption</w:t>
      </w:r>
      <w:proofErr w:type="spellEnd"/>
      <w:r w:rsidRPr="00373D9E">
        <w:rPr>
          <w:sz w:val="20"/>
          <w:szCs w:val="20"/>
        </w:rPr>
        <w:t xml:space="preserve"> of bile salts, and </w:t>
      </w:r>
      <w:proofErr w:type="spellStart"/>
      <w:r w:rsidRPr="00373D9E">
        <w:rPr>
          <w:sz w:val="20"/>
          <w:szCs w:val="20"/>
        </w:rPr>
        <w:t>amyloidosis</w:t>
      </w:r>
      <w:proofErr w:type="spellEnd"/>
      <w:r w:rsidRPr="00373D9E">
        <w:rPr>
          <w:sz w:val="20"/>
          <w:szCs w:val="20"/>
        </w:rPr>
        <w:t xml:space="preserve"> secondary to long-standing inflammatory and </w:t>
      </w:r>
      <w:proofErr w:type="spellStart"/>
      <w:r w:rsidRPr="00373D9E">
        <w:rPr>
          <w:sz w:val="20"/>
          <w:szCs w:val="20"/>
        </w:rPr>
        <w:t>suppurative</w:t>
      </w:r>
      <w:proofErr w:type="spellEnd"/>
      <w:r w:rsidRPr="00373D9E">
        <w:rPr>
          <w:sz w:val="20"/>
          <w:szCs w:val="20"/>
        </w:rPr>
        <w:t xml:space="preserve"> disease. </w:t>
      </w:r>
    </w:p>
    <w:p w:rsidR="008A2447" w:rsidRPr="00373D9E" w:rsidRDefault="008A2447" w:rsidP="00373D9E">
      <w:pPr>
        <w:pStyle w:val="Default"/>
        <w:snapToGrid w:val="0"/>
        <w:ind w:firstLine="450"/>
        <w:jc w:val="both"/>
        <w:rPr>
          <w:sz w:val="20"/>
          <w:szCs w:val="20"/>
        </w:rPr>
      </w:pPr>
      <w:proofErr w:type="spellStart"/>
      <w:r w:rsidRPr="00373D9E">
        <w:rPr>
          <w:sz w:val="20"/>
          <w:szCs w:val="20"/>
        </w:rPr>
        <w:t>Thromboembolic</w:t>
      </w:r>
      <w:proofErr w:type="spellEnd"/>
      <w:r w:rsidRPr="00373D9E">
        <w:rPr>
          <w:sz w:val="20"/>
          <w:szCs w:val="20"/>
        </w:rPr>
        <w:t xml:space="preserve"> disease may occur as a result of multiple factors in all 3 </w:t>
      </w:r>
      <w:proofErr w:type="gramStart"/>
      <w:r w:rsidRPr="00373D9E">
        <w:rPr>
          <w:sz w:val="20"/>
          <w:szCs w:val="20"/>
        </w:rPr>
        <w:t>categories(</w:t>
      </w:r>
      <w:proofErr w:type="gramEnd"/>
      <w:r w:rsidRPr="00373D9E">
        <w:rPr>
          <w:sz w:val="20"/>
          <w:szCs w:val="20"/>
        </w:rPr>
        <w:t xml:space="preserve">4,5). </w:t>
      </w:r>
    </w:p>
    <w:p w:rsidR="00373D9E" w:rsidRPr="00373D9E" w:rsidRDefault="008A2447" w:rsidP="00FE636C">
      <w:pPr>
        <w:pStyle w:val="Default"/>
        <w:snapToGrid w:val="0"/>
        <w:jc w:val="both"/>
        <w:rPr>
          <w:b/>
          <w:sz w:val="20"/>
          <w:szCs w:val="20"/>
          <w:lang w:eastAsia="zh-CN"/>
        </w:rPr>
      </w:pPr>
      <w:r w:rsidRPr="00373D9E">
        <w:rPr>
          <w:b/>
          <w:sz w:val="20"/>
          <w:szCs w:val="20"/>
        </w:rPr>
        <w:t xml:space="preserve">Diagnosis and investigation </w:t>
      </w:r>
    </w:p>
    <w:p w:rsidR="008A2447" w:rsidRPr="00373D9E" w:rsidRDefault="008A2447" w:rsidP="00373D9E">
      <w:pPr>
        <w:pStyle w:val="Default"/>
        <w:snapToGrid w:val="0"/>
        <w:ind w:firstLine="450"/>
        <w:jc w:val="both"/>
        <w:rPr>
          <w:sz w:val="20"/>
          <w:szCs w:val="20"/>
        </w:rPr>
      </w:pPr>
      <w:r w:rsidRPr="00373D9E">
        <w:rPr>
          <w:sz w:val="20"/>
          <w:szCs w:val="20"/>
        </w:rPr>
        <w:t xml:space="preserve">The diagnosis of IBD is confirmed by clinical evaluation and a combination of biochemical, endoscopic, radiological, histological, or nuclear medicine based investigations. In the case of UC the diagnosis should be made on the basis of clinical suspicion supported by appropriate macroscopic findings on </w:t>
      </w:r>
      <w:proofErr w:type="spellStart"/>
      <w:r w:rsidRPr="00373D9E">
        <w:rPr>
          <w:sz w:val="20"/>
          <w:szCs w:val="20"/>
        </w:rPr>
        <w:t>sigmoidoscopy</w:t>
      </w:r>
      <w:proofErr w:type="spellEnd"/>
      <w:r w:rsidRPr="00373D9E">
        <w:rPr>
          <w:sz w:val="20"/>
          <w:szCs w:val="20"/>
        </w:rPr>
        <w:t xml:space="preserve"> or colonoscopy, typical histological findings on biopsy, and negative stool examinations for infectious agents. For CD the diagnosis depends on demonstrating focal, asymmetric, and often </w:t>
      </w:r>
      <w:proofErr w:type="spellStart"/>
      <w:r w:rsidRPr="00373D9E">
        <w:rPr>
          <w:sz w:val="20"/>
          <w:szCs w:val="20"/>
        </w:rPr>
        <w:t>granulomatous</w:t>
      </w:r>
      <w:proofErr w:type="spellEnd"/>
      <w:r w:rsidRPr="00373D9E">
        <w:rPr>
          <w:sz w:val="20"/>
          <w:szCs w:val="20"/>
        </w:rPr>
        <w:t xml:space="preserve"> inflammation but the investigations selected vary according to the presenting manifestations, physical findings, and complications. </w:t>
      </w:r>
    </w:p>
    <w:p w:rsidR="008A2447" w:rsidRPr="00373D9E" w:rsidRDefault="008A2447" w:rsidP="00373D9E">
      <w:pPr>
        <w:pStyle w:val="Default"/>
        <w:snapToGrid w:val="0"/>
        <w:ind w:firstLine="450"/>
        <w:jc w:val="both"/>
        <w:rPr>
          <w:sz w:val="20"/>
          <w:szCs w:val="20"/>
        </w:rPr>
      </w:pPr>
      <w:r w:rsidRPr="00373D9E">
        <w:rPr>
          <w:sz w:val="20"/>
          <w:szCs w:val="20"/>
        </w:rPr>
        <w:t xml:space="preserve">History and examination: A full history should include recent travel, medication, smoking, and family history. Details should include the stool frequency and consistency, urgency, rectal bleeding, abdominal pain, malaise, fever, weight loss, and symptoms of extra intestinal (joint, </w:t>
      </w:r>
      <w:proofErr w:type="spellStart"/>
      <w:r w:rsidRPr="00373D9E">
        <w:rPr>
          <w:sz w:val="20"/>
          <w:szCs w:val="20"/>
        </w:rPr>
        <w:t>cutaneous</w:t>
      </w:r>
      <w:proofErr w:type="spellEnd"/>
      <w:r w:rsidRPr="00373D9E">
        <w:rPr>
          <w:sz w:val="20"/>
          <w:szCs w:val="20"/>
        </w:rPr>
        <w:t xml:space="preserve">, and eye) manifestations of IBD. </w:t>
      </w:r>
    </w:p>
    <w:p w:rsidR="008A2447" w:rsidRPr="00373D9E" w:rsidRDefault="008A2447" w:rsidP="00373D9E">
      <w:pPr>
        <w:pStyle w:val="Default"/>
        <w:snapToGrid w:val="0"/>
        <w:ind w:firstLine="450"/>
        <w:jc w:val="both"/>
        <w:rPr>
          <w:sz w:val="20"/>
          <w:szCs w:val="20"/>
        </w:rPr>
      </w:pPr>
      <w:r w:rsidRPr="00373D9E">
        <w:rPr>
          <w:sz w:val="20"/>
          <w:szCs w:val="20"/>
        </w:rPr>
        <w:t xml:space="preserve">General examination includes general wellbeing, pulse rate, blood pressure, temperature, checking for anemia, fluid depletion, weight loss, abdominal tenderness or distension, palpable masses, and </w:t>
      </w:r>
      <w:proofErr w:type="spellStart"/>
      <w:r w:rsidRPr="00373D9E">
        <w:rPr>
          <w:sz w:val="20"/>
          <w:szCs w:val="20"/>
        </w:rPr>
        <w:t>perineal</w:t>
      </w:r>
      <w:proofErr w:type="spellEnd"/>
      <w:r w:rsidRPr="00373D9E">
        <w:rPr>
          <w:sz w:val="20"/>
          <w:szCs w:val="20"/>
        </w:rPr>
        <w:t xml:space="preserve"> examination(4). </w:t>
      </w:r>
    </w:p>
    <w:p w:rsidR="008A2447" w:rsidRPr="00FE636C" w:rsidRDefault="008A2447" w:rsidP="00FE636C">
      <w:pPr>
        <w:pStyle w:val="Default"/>
        <w:snapToGrid w:val="0"/>
        <w:jc w:val="both"/>
        <w:rPr>
          <w:b/>
          <w:sz w:val="20"/>
          <w:szCs w:val="20"/>
        </w:rPr>
      </w:pPr>
      <w:r w:rsidRPr="00FE636C">
        <w:rPr>
          <w:b/>
          <w:sz w:val="20"/>
          <w:szCs w:val="20"/>
        </w:rPr>
        <w:t xml:space="preserve">Initial investigations </w:t>
      </w:r>
    </w:p>
    <w:p w:rsidR="008A2447" w:rsidRPr="00373D9E" w:rsidRDefault="008A2447" w:rsidP="00373D9E">
      <w:pPr>
        <w:pStyle w:val="Default"/>
        <w:snapToGrid w:val="0"/>
        <w:ind w:firstLine="450"/>
        <w:jc w:val="both"/>
        <w:rPr>
          <w:sz w:val="20"/>
          <w:szCs w:val="20"/>
        </w:rPr>
      </w:pPr>
      <w:r w:rsidRPr="00373D9E">
        <w:rPr>
          <w:sz w:val="20"/>
          <w:szCs w:val="20"/>
        </w:rPr>
        <w:t>Laboratory investigations should include full blood count</w:t>
      </w:r>
      <w:r w:rsidR="00373D9E">
        <w:rPr>
          <w:sz w:val="20"/>
          <w:szCs w:val="20"/>
        </w:rPr>
        <w:t>,</w:t>
      </w:r>
      <w:r w:rsidRPr="00373D9E">
        <w:rPr>
          <w:sz w:val="20"/>
          <w:szCs w:val="20"/>
        </w:rPr>
        <w:t xml:space="preserve"> ESR, CRP, liver function tests and microbiological testing for infectious </w:t>
      </w:r>
      <w:proofErr w:type="spellStart"/>
      <w:r w:rsidRPr="00373D9E">
        <w:rPr>
          <w:sz w:val="20"/>
          <w:szCs w:val="20"/>
        </w:rPr>
        <w:t>diarrhoea</w:t>
      </w:r>
      <w:proofErr w:type="spellEnd"/>
      <w:r w:rsidRPr="00373D9E">
        <w:rPr>
          <w:sz w:val="20"/>
          <w:szCs w:val="20"/>
        </w:rPr>
        <w:t xml:space="preserve"> including Clostridium </w:t>
      </w:r>
      <w:proofErr w:type="spellStart"/>
      <w:r w:rsidRPr="00373D9E">
        <w:rPr>
          <w:sz w:val="20"/>
          <w:szCs w:val="20"/>
        </w:rPr>
        <w:t>difficile</w:t>
      </w:r>
      <w:proofErr w:type="spellEnd"/>
      <w:r w:rsidRPr="00373D9E">
        <w:rPr>
          <w:sz w:val="20"/>
          <w:szCs w:val="20"/>
        </w:rPr>
        <w:t xml:space="preserve"> toxin. Abdominal radiography is essential in the initial assessment of patients with suspected severe IBD. </w:t>
      </w:r>
    </w:p>
    <w:p w:rsidR="008A2447" w:rsidRPr="00373D9E" w:rsidRDefault="008A2447" w:rsidP="00373D9E">
      <w:pPr>
        <w:pStyle w:val="Default"/>
        <w:snapToGrid w:val="0"/>
        <w:ind w:firstLine="450"/>
        <w:jc w:val="both"/>
        <w:rPr>
          <w:sz w:val="20"/>
          <w:szCs w:val="20"/>
        </w:rPr>
      </w:pPr>
      <w:r w:rsidRPr="00373D9E">
        <w:rPr>
          <w:sz w:val="20"/>
          <w:szCs w:val="20"/>
        </w:rPr>
        <w:t xml:space="preserve">Colonoscopy: Macroscopic features of UC are loss of the vascular pattern, granularity, friability, and ulceration of the rectal mucosa. A rectal biopsy is best taken for histology even if there are no macroscopic changes. </w:t>
      </w:r>
    </w:p>
    <w:p w:rsidR="008A2447" w:rsidRPr="00373D9E" w:rsidRDefault="008A2447" w:rsidP="00373D9E">
      <w:pPr>
        <w:pStyle w:val="Default"/>
        <w:snapToGrid w:val="0"/>
        <w:ind w:firstLine="450"/>
        <w:jc w:val="both"/>
        <w:rPr>
          <w:sz w:val="20"/>
          <w:szCs w:val="20"/>
        </w:rPr>
      </w:pPr>
      <w:r w:rsidRPr="00373D9E">
        <w:rPr>
          <w:sz w:val="20"/>
          <w:szCs w:val="20"/>
        </w:rPr>
        <w:t xml:space="preserve">For suspected CD, colonoscopy to the terminal ileum and small bowel barium studies to define extent and site of disease are appropriate. A terminal </w:t>
      </w:r>
      <w:proofErr w:type="spellStart"/>
      <w:r w:rsidRPr="00373D9E">
        <w:rPr>
          <w:sz w:val="20"/>
          <w:szCs w:val="20"/>
        </w:rPr>
        <w:t>ileal</w:t>
      </w:r>
      <w:proofErr w:type="spellEnd"/>
      <w:r w:rsidRPr="00373D9E">
        <w:rPr>
          <w:sz w:val="20"/>
          <w:szCs w:val="20"/>
        </w:rPr>
        <w:t xml:space="preserve"> biopsy performed at colonoscopy documents the extent of examination and may find microscopic evidence of CD. </w:t>
      </w:r>
    </w:p>
    <w:p w:rsidR="008A2447" w:rsidRPr="00FE636C" w:rsidRDefault="008A2447" w:rsidP="00FE636C">
      <w:pPr>
        <w:pStyle w:val="Default"/>
        <w:snapToGrid w:val="0"/>
        <w:jc w:val="both"/>
        <w:rPr>
          <w:b/>
          <w:sz w:val="20"/>
          <w:szCs w:val="20"/>
        </w:rPr>
      </w:pPr>
      <w:r w:rsidRPr="00FE636C">
        <w:rPr>
          <w:b/>
          <w:sz w:val="20"/>
          <w:szCs w:val="20"/>
        </w:rPr>
        <w:t xml:space="preserve">Other investigations </w:t>
      </w:r>
    </w:p>
    <w:p w:rsidR="008A2447" w:rsidRPr="00373D9E" w:rsidRDefault="008A2447" w:rsidP="00373D9E">
      <w:pPr>
        <w:pStyle w:val="Default"/>
        <w:snapToGrid w:val="0"/>
        <w:ind w:firstLine="450"/>
        <w:jc w:val="both"/>
        <w:rPr>
          <w:sz w:val="20"/>
          <w:szCs w:val="20"/>
        </w:rPr>
      </w:pPr>
      <w:r w:rsidRPr="00373D9E">
        <w:rPr>
          <w:sz w:val="20"/>
          <w:szCs w:val="20"/>
        </w:rPr>
        <w:t xml:space="preserve">Double contrast barium enema and small bowel radiology by follow through or intubation (small bowel enema) is the current standard for assessing the small intestine. The role of capsule endoscopy is at present unclear. </w:t>
      </w:r>
    </w:p>
    <w:p w:rsidR="008A2447" w:rsidRPr="00373D9E" w:rsidRDefault="008A2447" w:rsidP="00373D9E">
      <w:pPr>
        <w:pStyle w:val="Default"/>
        <w:snapToGrid w:val="0"/>
        <w:ind w:firstLine="450"/>
        <w:jc w:val="both"/>
        <w:rPr>
          <w:sz w:val="20"/>
          <w:szCs w:val="20"/>
        </w:rPr>
      </w:pPr>
      <w:r w:rsidRPr="00373D9E">
        <w:rPr>
          <w:sz w:val="20"/>
          <w:szCs w:val="20"/>
        </w:rPr>
        <w:lastRenderedPageBreak/>
        <w:t xml:space="preserve">White cell scanning is a safe, non-invasive investigation, but lacks specificity. </w:t>
      </w:r>
    </w:p>
    <w:p w:rsidR="008A2447" w:rsidRPr="00373D9E" w:rsidRDefault="008A2447" w:rsidP="00373D9E">
      <w:pPr>
        <w:pStyle w:val="Default"/>
        <w:snapToGrid w:val="0"/>
        <w:ind w:firstLine="450"/>
        <w:jc w:val="both"/>
        <w:rPr>
          <w:sz w:val="20"/>
          <w:szCs w:val="20"/>
        </w:rPr>
      </w:pPr>
      <w:r w:rsidRPr="00373D9E">
        <w:rPr>
          <w:sz w:val="20"/>
          <w:szCs w:val="20"/>
        </w:rPr>
        <w:t xml:space="preserve">Ultrasound in skilled hands is a sensitive and non-invasive way of identifying thickened small bowel loops in CD and may identify abscesses or free fluid in the peritoneum. </w:t>
      </w:r>
    </w:p>
    <w:p w:rsidR="008A2447" w:rsidRPr="00373D9E" w:rsidRDefault="008A2447" w:rsidP="00373D9E">
      <w:pPr>
        <w:pStyle w:val="Default"/>
        <w:snapToGrid w:val="0"/>
        <w:ind w:firstLine="450"/>
        <w:jc w:val="both"/>
        <w:rPr>
          <w:sz w:val="20"/>
          <w:szCs w:val="20"/>
        </w:rPr>
      </w:pPr>
      <w:r w:rsidRPr="00373D9E">
        <w:rPr>
          <w:sz w:val="20"/>
          <w:szCs w:val="20"/>
        </w:rPr>
        <w:t xml:space="preserve">Computed tomography and magnetic resonance imaging help evaluate activity and complications of disease. </w:t>
      </w:r>
    </w:p>
    <w:p w:rsidR="008A2447" w:rsidRPr="00373D9E" w:rsidRDefault="008A2447" w:rsidP="00373D9E">
      <w:pPr>
        <w:pStyle w:val="Default"/>
        <w:snapToGrid w:val="0"/>
        <w:ind w:firstLine="450"/>
        <w:jc w:val="both"/>
        <w:rPr>
          <w:sz w:val="20"/>
          <w:szCs w:val="20"/>
        </w:rPr>
      </w:pPr>
      <w:r w:rsidRPr="00373D9E">
        <w:rPr>
          <w:sz w:val="20"/>
          <w:szCs w:val="20"/>
        </w:rPr>
        <w:t xml:space="preserve">Laparoscopy may be necessary in selected patients, especially where the differential diagnosis of intestinal tuberculosis is being considered. </w:t>
      </w:r>
    </w:p>
    <w:p w:rsidR="008A2447" w:rsidRPr="00373D9E" w:rsidRDefault="008A2447" w:rsidP="00373D9E">
      <w:pPr>
        <w:pStyle w:val="Default"/>
        <w:snapToGrid w:val="0"/>
        <w:ind w:firstLine="450"/>
        <w:jc w:val="both"/>
        <w:rPr>
          <w:sz w:val="20"/>
          <w:szCs w:val="20"/>
        </w:rPr>
      </w:pPr>
      <w:r w:rsidRPr="00373D9E">
        <w:rPr>
          <w:sz w:val="20"/>
          <w:szCs w:val="20"/>
        </w:rPr>
        <w:t xml:space="preserve">The serologic panel for IBD is rapidly expanding. So far, ASCA and atypical P-ANCA are the most widely studied markers and remain the best characterized markers in IBD. The </w:t>
      </w:r>
      <w:proofErr w:type="spellStart"/>
      <w:r w:rsidRPr="00373D9E">
        <w:rPr>
          <w:sz w:val="20"/>
          <w:szCs w:val="20"/>
        </w:rPr>
        <w:t>ASCA+ve</w:t>
      </w:r>
      <w:proofErr w:type="spellEnd"/>
      <w:r w:rsidRPr="00373D9E">
        <w:rPr>
          <w:sz w:val="20"/>
          <w:szCs w:val="20"/>
        </w:rPr>
        <w:t>/atypical P-ANCA–</w:t>
      </w:r>
      <w:proofErr w:type="spellStart"/>
      <w:r w:rsidRPr="00373D9E">
        <w:rPr>
          <w:sz w:val="20"/>
          <w:szCs w:val="20"/>
        </w:rPr>
        <w:t>ve</w:t>
      </w:r>
      <w:proofErr w:type="spellEnd"/>
      <w:r w:rsidRPr="00373D9E">
        <w:rPr>
          <w:sz w:val="20"/>
          <w:szCs w:val="20"/>
        </w:rPr>
        <w:t xml:space="preserve"> phenotype is characteristic of CD, while the ASCA –</w:t>
      </w:r>
      <w:proofErr w:type="spellStart"/>
      <w:r w:rsidRPr="00373D9E">
        <w:rPr>
          <w:sz w:val="20"/>
          <w:szCs w:val="20"/>
        </w:rPr>
        <w:t>ve</w:t>
      </w:r>
      <w:proofErr w:type="spellEnd"/>
      <w:r w:rsidRPr="00373D9E">
        <w:rPr>
          <w:sz w:val="20"/>
          <w:szCs w:val="20"/>
        </w:rPr>
        <w:t>/atypical P-</w:t>
      </w:r>
      <w:proofErr w:type="spellStart"/>
      <w:r w:rsidRPr="00373D9E">
        <w:rPr>
          <w:sz w:val="20"/>
          <w:szCs w:val="20"/>
        </w:rPr>
        <w:t>ANCA+ve</w:t>
      </w:r>
      <w:proofErr w:type="spellEnd"/>
      <w:r w:rsidRPr="00373D9E">
        <w:rPr>
          <w:sz w:val="20"/>
          <w:szCs w:val="20"/>
        </w:rPr>
        <w:t xml:space="preserve"> phenotype is seen primarily in </w:t>
      </w:r>
      <w:proofErr w:type="gramStart"/>
      <w:r w:rsidRPr="00373D9E">
        <w:rPr>
          <w:sz w:val="20"/>
          <w:szCs w:val="20"/>
        </w:rPr>
        <w:t>UC(</w:t>
      </w:r>
      <w:proofErr w:type="gramEnd"/>
      <w:r w:rsidRPr="00373D9E">
        <w:rPr>
          <w:sz w:val="20"/>
          <w:szCs w:val="20"/>
        </w:rPr>
        <w:t xml:space="preserve">6). </w:t>
      </w:r>
    </w:p>
    <w:p w:rsidR="008A2447" w:rsidRPr="00373D9E" w:rsidRDefault="008A2447" w:rsidP="00373D9E">
      <w:pPr>
        <w:pStyle w:val="Default"/>
        <w:snapToGrid w:val="0"/>
        <w:ind w:firstLine="450"/>
        <w:jc w:val="both"/>
        <w:rPr>
          <w:sz w:val="20"/>
          <w:szCs w:val="20"/>
        </w:rPr>
      </w:pPr>
      <w:r w:rsidRPr="00373D9E">
        <w:rPr>
          <w:sz w:val="20"/>
          <w:szCs w:val="20"/>
        </w:rPr>
        <w:t xml:space="preserve">The fecal markers </w:t>
      </w:r>
      <w:proofErr w:type="spellStart"/>
      <w:r w:rsidRPr="00373D9E">
        <w:rPr>
          <w:sz w:val="20"/>
          <w:szCs w:val="20"/>
        </w:rPr>
        <w:t>lactoferin</w:t>
      </w:r>
      <w:proofErr w:type="spellEnd"/>
      <w:r w:rsidRPr="00373D9E">
        <w:rPr>
          <w:sz w:val="20"/>
          <w:szCs w:val="20"/>
        </w:rPr>
        <w:t xml:space="preserve"> and </w:t>
      </w:r>
      <w:proofErr w:type="spellStart"/>
      <w:r w:rsidRPr="00373D9E">
        <w:rPr>
          <w:sz w:val="20"/>
          <w:szCs w:val="20"/>
        </w:rPr>
        <w:t>calprotectin</w:t>
      </w:r>
      <w:proofErr w:type="spellEnd"/>
      <w:r w:rsidRPr="00373D9E">
        <w:rPr>
          <w:sz w:val="20"/>
          <w:szCs w:val="20"/>
        </w:rPr>
        <w:t xml:space="preserve"> are able to differentiate active IBD from inactive IBD as well as from IBS. None of these stool markers is consistently superior in its ability to reflect endoscopic inflammation, but all three are superior to CRP in their diagnostic accuracy. A combination of the stool markers with the CRP and a disease-specific activity index in a categorical comprehensive activity index can increase the diagnostic accuracy with reference to the endoscopic inflammation in UC(7). </w:t>
      </w:r>
    </w:p>
    <w:p w:rsidR="008A2447" w:rsidRPr="00FE636C" w:rsidRDefault="008A2447" w:rsidP="00FE636C">
      <w:pPr>
        <w:pStyle w:val="Default"/>
        <w:snapToGrid w:val="0"/>
        <w:jc w:val="both"/>
        <w:rPr>
          <w:b/>
          <w:sz w:val="20"/>
          <w:szCs w:val="20"/>
        </w:rPr>
      </w:pPr>
      <w:r w:rsidRPr="00FE636C">
        <w:rPr>
          <w:b/>
          <w:sz w:val="20"/>
          <w:szCs w:val="20"/>
        </w:rPr>
        <w:t xml:space="preserve">Drugs used in the treatment of IBD </w:t>
      </w:r>
    </w:p>
    <w:p w:rsidR="008A2447" w:rsidRPr="00FE636C" w:rsidRDefault="008A2447" w:rsidP="00FE636C">
      <w:pPr>
        <w:pStyle w:val="Default"/>
        <w:snapToGrid w:val="0"/>
        <w:jc w:val="both"/>
        <w:rPr>
          <w:b/>
          <w:sz w:val="20"/>
          <w:szCs w:val="20"/>
        </w:rPr>
      </w:pPr>
      <w:proofErr w:type="spellStart"/>
      <w:r w:rsidRPr="00FE636C">
        <w:rPr>
          <w:b/>
          <w:sz w:val="20"/>
          <w:szCs w:val="20"/>
        </w:rPr>
        <w:t>Aminosalicylates</w:t>
      </w:r>
      <w:proofErr w:type="spellEnd"/>
    </w:p>
    <w:p w:rsidR="008A2447" w:rsidRPr="00373D9E" w:rsidRDefault="008A2447" w:rsidP="00373D9E">
      <w:pPr>
        <w:pStyle w:val="Default"/>
        <w:snapToGrid w:val="0"/>
        <w:ind w:firstLine="450"/>
        <w:jc w:val="both"/>
        <w:rPr>
          <w:sz w:val="20"/>
          <w:szCs w:val="20"/>
        </w:rPr>
      </w:pPr>
      <w:r w:rsidRPr="00373D9E">
        <w:rPr>
          <w:sz w:val="20"/>
          <w:szCs w:val="20"/>
        </w:rPr>
        <w:t xml:space="preserve">5-Aminosalicylic acid (5-ASA, </w:t>
      </w:r>
      <w:proofErr w:type="spellStart"/>
      <w:r w:rsidRPr="00373D9E">
        <w:rPr>
          <w:sz w:val="20"/>
          <w:szCs w:val="20"/>
        </w:rPr>
        <w:t>mesalamine</w:t>
      </w:r>
      <w:proofErr w:type="spellEnd"/>
      <w:r w:rsidRPr="00373D9E">
        <w:rPr>
          <w:sz w:val="20"/>
          <w:szCs w:val="20"/>
        </w:rPr>
        <w:t xml:space="preserve">): 5-ASA blocks production of prostaglandins and </w:t>
      </w:r>
      <w:proofErr w:type="spellStart"/>
      <w:r w:rsidRPr="00373D9E">
        <w:rPr>
          <w:sz w:val="20"/>
          <w:szCs w:val="20"/>
        </w:rPr>
        <w:t>leukotrienes</w:t>
      </w:r>
      <w:proofErr w:type="spellEnd"/>
      <w:r w:rsidRPr="00373D9E">
        <w:rPr>
          <w:sz w:val="20"/>
          <w:szCs w:val="20"/>
        </w:rPr>
        <w:t xml:space="preserve"> and has other beneficial effects on the inflammatory cascade. Adverse effects (</w:t>
      </w:r>
      <w:proofErr w:type="spellStart"/>
      <w:r w:rsidRPr="00373D9E">
        <w:rPr>
          <w:sz w:val="20"/>
          <w:szCs w:val="20"/>
        </w:rPr>
        <w:t>eg</w:t>
      </w:r>
      <w:proofErr w:type="spellEnd"/>
      <w:r w:rsidRPr="00373D9E">
        <w:rPr>
          <w:sz w:val="20"/>
          <w:szCs w:val="20"/>
        </w:rPr>
        <w:t xml:space="preserve">, nausea, dyspepsia, headache), interferes with </w:t>
      </w:r>
      <w:proofErr w:type="spellStart"/>
      <w:r w:rsidRPr="00373D9E">
        <w:rPr>
          <w:sz w:val="20"/>
          <w:szCs w:val="20"/>
        </w:rPr>
        <w:t>folate</w:t>
      </w:r>
      <w:proofErr w:type="spellEnd"/>
      <w:r w:rsidRPr="00373D9E">
        <w:rPr>
          <w:sz w:val="20"/>
          <w:szCs w:val="20"/>
        </w:rPr>
        <w:t xml:space="preserve"> (folic acid) absorption, and occasionally causes serious adverse reactions (</w:t>
      </w:r>
      <w:proofErr w:type="spellStart"/>
      <w:r w:rsidRPr="00373D9E">
        <w:rPr>
          <w:sz w:val="20"/>
          <w:szCs w:val="20"/>
        </w:rPr>
        <w:t>eg</w:t>
      </w:r>
      <w:proofErr w:type="spellEnd"/>
      <w:r w:rsidRPr="00373D9E">
        <w:rPr>
          <w:sz w:val="20"/>
          <w:szCs w:val="20"/>
        </w:rPr>
        <w:t xml:space="preserve">, hemolytic anemia or </w:t>
      </w:r>
      <w:proofErr w:type="spellStart"/>
      <w:r w:rsidRPr="00373D9E">
        <w:rPr>
          <w:sz w:val="20"/>
          <w:szCs w:val="20"/>
        </w:rPr>
        <w:t>agranulocytosis</w:t>
      </w:r>
      <w:proofErr w:type="spellEnd"/>
      <w:r w:rsidRPr="00373D9E">
        <w:rPr>
          <w:sz w:val="20"/>
          <w:szCs w:val="20"/>
        </w:rPr>
        <w:t xml:space="preserve"> and, rarely, hepatitis or </w:t>
      </w:r>
      <w:proofErr w:type="spellStart"/>
      <w:r w:rsidRPr="00373D9E">
        <w:rPr>
          <w:sz w:val="20"/>
          <w:szCs w:val="20"/>
        </w:rPr>
        <w:t>pneumonitis</w:t>
      </w:r>
      <w:proofErr w:type="spellEnd"/>
      <w:r w:rsidRPr="00373D9E">
        <w:rPr>
          <w:sz w:val="20"/>
          <w:szCs w:val="20"/>
        </w:rPr>
        <w:t xml:space="preserve">). Reversible decreases in sperm count and motility occur in up to 80% of men. </w:t>
      </w:r>
      <w:proofErr w:type="spellStart"/>
      <w:r w:rsidRPr="00373D9E">
        <w:rPr>
          <w:sz w:val="20"/>
          <w:szCs w:val="20"/>
        </w:rPr>
        <w:t>Sulfasalazine</w:t>
      </w:r>
      <w:proofErr w:type="spellEnd"/>
      <w:r w:rsidRPr="00373D9E">
        <w:rPr>
          <w:sz w:val="20"/>
          <w:szCs w:val="20"/>
        </w:rPr>
        <w:t xml:space="preserve"> should be given with food, initially in a dose of 1 to 2 g bid to </w:t>
      </w:r>
      <w:proofErr w:type="spellStart"/>
      <w:r w:rsidRPr="00373D9E">
        <w:rPr>
          <w:sz w:val="20"/>
          <w:szCs w:val="20"/>
        </w:rPr>
        <w:t>tid</w:t>
      </w:r>
      <w:proofErr w:type="spellEnd"/>
      <w:r w:rsidRPr="00373D9E">
        <w:rPr>
          <w:sz w:val="20"/>
          <w:szCs w:val="20"/>
        </w:rPr>
        <w:t xml:space="preserve">. Patients should take daily </w:t>
      </w:r>
      <w:proofErr w:type="spellStart"/>
      <w:r w:rsidRPr="00373D9E">
        <w:rPr>
          <w:sz w:val="20"/>
          <w:szCs w:val="20"/>
        </w:rPr>
        <w:t>folate</w:t>
      </w:r>
      <w:proofErr w:type="spellEnd"/>
      <w:r w:rsidRPr="00373D9E">
        <w:rPr>
          <w:sz w:val="20"/>
          <w:szCs w:val="20"/>
        </w:rPr>
        <w:t xml:space="preserve"> supplements (1 mg </w:t>
      </w:r>
      <w:proofErr w:type="spellStart"/>
      <w:r w:rsidRPr="00373D9E">
        <w:rPr>
          <w:sz w:val="20"/>
          <w:szCs w:val="20"/>
        </w:rPr>
        <w:t>po</w:t>
      </w:r>
      <w:proofErr w:type="spellEnd"/>
      <w:r w:rsidRPr="00373D9E">
        <w:rPr>
          <w:sz w:val="20"/>
          <w:szCs w:val="20"/>
        </w:rPr>
        <w:t xml:space="preserve">) and have CBC and liver tests every 6 to 12 mo. Newer drugs that complex 5-ASA with other vehicles seem almost equally effective but have fewer adverse effects. </w:t>
      </w:r>
      <w:proofErr w:type="spellStart"/>
      <w:r w:rsidRPr="00373D9E">
        <w:rPr>
          <w:sz w:val="20"/>
          <w:szCs w:val="20"/>
        </w:rPr>
        <w:t>Olsalazine</w:t>
      </w:r>
      <w:proofErr w:type="spellEnd"/>
      <w:r w:rsidRPr="00373D9E">
        <w:rPr>
          <w:sz w:val="20"/>
          <w:szCs w:val="20"/>
        </w:rPr>
        <w:t xml:space="preserve"> (a 5-ASA </w:t>
      </w:r>
      <w:proofErr w:type="spellStart"/>
      <w:r w:rsidRPr="00373D9E">
        <w:rPr>
          <w:sz w:val="20"/>
          <w:szCs w:val="20"/>
        </w:rPr>
        <w:t>dimer</w:t>
      </w:r>
      <w:proofErr w:type="spellEnd"/>
      <w:r w:rsidRPr="00373D9E">
        <w:rPr>
          <w:sz w:val="20"/>
          <w:szCs w:val="20"/>
        </w:rPr>
        <w:t xml:space="preserve">) and </w:t>
      </w:r>
      <w:proofErr w:type="spellStart"/>
      <w:r w:rsidRPr="00373D9E">
        <w:rPr>
          <w:sz w:val="20"/>
          <w:szCs w:val="20"/>
        </w:rPr>
        <w:t>balsalazide</w:t>
      </w:r>
      <w:proofErr w:type="spellEnd"/>
      <w:r w:rsidRPr="00373D9E">
        <w:rPr>
          <w:sz w:val="20"/>
          <w:szCs w:val="20"/>
        </w:rPr>
        <w:t xml:space="preserve"> (5-ASA conjugated to an inactive compound) are cleaved by bacterial </w:t>
      </w:r>
      <w:proofErr w:type="spellStart"/>
      <w:r w:rsidRPr="00373D9E">
        <w:rPr>
          <w:sz w:val="20"/>
          <w:szCs w:val="20"/>
        </w:rPr>
        <w:t>azoreductases</w:t>
      </w:r>
      <w:proofErr w:type="spellEnd"/>
      <w:r w:rsidRPr="00373D9E">
        <w:rPr>
          <w:sz w:val="20"/>
          <w:szCs w:val="20"/>
        </w:rPr>
        <w:t xml:space="preserve"> (as is </w:t>
      </w:r>
      <w:proofErr w:type="spellStart"/>
      <w:proofErr w:type="gramStart"/>
      <w:r w:rsidRPr="00373D9E">
        <w:rPr>
          <w:sz w:val="20"/>
          <w:szCs w:val="20"/>
        </w:rPr>
        <w:t>sulfasalazine</w:t>
      </w:r>
      <w:proofErr w:type="spellEnd"/>
      <w:r w:rsidRPr="00373D9E">
        <w:rPr>
          <w:sz w:val="20"/>
          <w:szCs w:val="20"/>
        </w:rPr>
        <w:t xml:space="preserve"> )</w:t>
      </w:r>
      <w:proofErr w:type="gramEnd"/>
      <w:r w:rsidRPr="00373D9E">
        <w:rPr>
          <w:sz w:val="20"/>
          <w:szCs w:val="20"/>
        </w:rPr>
        <w:t xml:space="preserve">. These drugs are activated mainly in the colon and are less effective for proximal small-bowel disease. </w:t>
      </w:r>
      <w:proofErr w:type="spellStart"/>
      <w:r w:rsidRPr="00373D9E">
        <w:rPr>
          <w:sz w:val="20"/>
          <w:szCs w:val="20"/>
        </w:rPr>
        <w:t>Olsalazine</w:t>
      </w:r>
      <w:proofErr w:type="spellEnd"/>
      <w:r w:rsidRPr="00373D9E">
        <w:rPr>
          <w:sz w:val="20"/>
          <w:szCs w:val="20"/>
        </w:rPr>
        <w:t xml:space="preserve"> dosage is 500 to 1500 mg </w:t>
      </w:r>
      <w:proofErr w:type="spellStart"/>
      <w:r w:rsidRPr="00373D9E">
        <w:rPr>
          <w:sz w:val="20"/>
          <w:szCs w:val="20"/>
        </w:rPr>
        <w:t>po</w:t>
      </w:r>
      <w:proofErr w:type="spellEnd"/>
      <w:r w:rsidRPr="00373D9E">
        <w:rPr>
          <w:sz w:val="20"/>
          <w:szCs w:val="20"/>
        </w:rPr>
        <w:t xml:space="preserve"> bid, and </w:t>
      </w:r>
      <w:proofErr w:type="spellStart"/>
      <w:r w:rsidRPr="00373D9E">
        <w:rPr>
          <w:sz w:val="20"/>
          <w:szCs w:val="20"/>
        </w:rPr>
        <w:t>balsalazide</w:t>
      </w:r>
      <w:proofErr w:type="spellEnd"/>
      <w:r w:rsidRPr="00373D9E">
        <w:rPr>
          <w:sz w:val="20"/>
          <w:szCs w:val="20"/>
        </w:rPr>
        <w:t xml:space="preserve"> is 2.25 g </w:t>
      </w:r>
      <w:proofErr w:type="spellStart"/>
      <w:r w:rsidRPr="00373D9E">
        <w:rPr>
          <w:sz w:val="20"/>
          <w:szCs w:val="20"/>
        </w:rPr>
        <w:t>potid</w:t>
      </w:r>
      <w:proofErr w:type="spellEnd"/>
      <w:r w:rsidRPr="00373D9E">
        <w:rPr>
          <w:sz w:val="20"/>
          <w:szCs w:val="20"/>
        </w:rPr>
        <w:t xml:space="preserve">. </w:t>
      </w:r>
      <w:proofErr w:type="spellStart"/>
      <w:r w:rsidRPr="00373D9E">
        <w:rPr>
          <w:sz w:val="20"/>
          <w:szCs w:val="20"/>
        </w:rPr>
        <w:t>Asacol</w:t>
      </w:r>
      <w:proofErr w:type="spellEnd"/>
      <w:r w:rsidRPr="00373D9E">
        <w:rPr>
          <w:sz w:val="20"/>
          <w:szCs w:val="20"/>
        </w:rPr>
        <w:t xml:space="preserve"> (typical dose 800 to 1200 mg </w:t>
      </w:r>
      <w:proofErr w:type="spellStart"/>
      <w:r w:rsidRPr="00373D9E">
        <w:rPr>
          <w:sz w:val="20"/>
          <w:szCs w:val="20"/>
        </w:rPr>
        <w:t>potid</w:t>
      </w:r>
      <w:proofErr w:type="spellEnd"/>
      <w:r w:rsidRPr="00373D9E">
        <w:rPr>
          <w:sz w:val="20"/>
          <w:szCs w:val="20"/>
        </w:rPr>
        <w:t xml:space="preserve">) is 5-ASA coated with an acrylic polymer whose pH solubility delays release of the drug until entry into the distal ileum </w:t>
      </w:r>
      <w:r w:rsidRPr="00373D9E">
        <w:rPr>
          <w:sz w:val="20"/>
          <w:szCs w:val="20"/>
        </w:rPr>
        <w:lastRenderedPageBreak/>
        <w:t xml:space="preserve">and colon. </w:t>
      </w:r>
      <w:proofErr w:type="spellStart"/>
      <w:r w:rsidRPr="00373D9E">
        <w:rPr>
          <w:sz w:val="20"/>
          <w:szCs w:val="20"/>
        </w:rPr>
        <w:t>Pentasa</w:t>
      </w:r>
      <w:proofErr w:type="spellEnd"/>
      <w:r w:rsidRPr="00373D9E">
        <w:rPr>
          <w:sz w:val="20"/>
          <w:szCs w:val="20"/>
        </w:rPr>
        <w:t xml:space="preserve"> (1 g </w:t>
      </w:r>
      <w:proofErr w:type="spellStart"/>
      <w:r w:rsidRPr="00373D9E">
        <w:rPr>
          <w:sz w:val="20"/>
          <w:szCs w:val="20"/>
        </w:rPr>
        <w:t>poqid</w:t>
      </w:r>
      <w:proofErr w:type="spellEnd"/>
      <w:r w:rsidRPr="00373D9E">
        <w:rPr>
          <w:sz w:val="20"/>
          <w:szCs w:val="20"/>
        </w:rPr>
        <w:t xml:space="preserve">) is 5-ASA encapsulated in </w:t>
      </w:r>
      <w:proofErr w:type="spellStart"/>
      <w:r w:rsidRPr="00373D9E">
        <w:rPr>
          <w:sz w:val="20"/>
          <w:szCs w:val="20"/>
        </w:rPr>
        <w:t>ethylcellulosemicrogranules</w:t>
      </w:r>
      <w:proofErr w:type="spellEnd"/>
      <w:r w:rsidRPr="00373D9E">
        <w:rPr>
          <w:sz w:val="20"/>
          <w:szCs w:val="20"/>
        </w:rPr>
        <w:t xml:space="preserve"> that release 35% of the drug in the small bowel. 5-ASA is also available as a suppository (500 or 1000 mg at bedtime or bid) or enema (4 g at bedtime or bid) for </w:t>
      </w:r>
      <w:proofErr w:type="spellStart"/>
      <w:r w:rsidRPr="00373D9E">
        <w:rPr>
          <w:sz w:val="20"/>
          <w:szCs w:val="20"/>
        </w:rPr>
        <w:t>proctitis</w:t>
      </w:r>
      <w:proofErr w:type="spellEnd"/>
      <w:r w:rsidRPr="00373D9E">
        <w:rPr>
          <w:sz w:val="20"/>
          <w:szCs w:val="20"/>
        </w:rPr>
        <w:t xml:space="preserve"> and left-sided colon </w:t>
      </w:r>
      <w:proofErr w:type="gramStart"/>
      <w:r w:rsidRPr="00373D9E">
        <w:rPr>
          <w:sz w:val="20"/>
          <w:szCs w:val="20"/>
        </w:rPr>
        <w:t>disease(</w:t>
      </w:r>
      <w:proofErr w:type="gramEnd"/>
      <w:r w:rsidRPr="00373D9E">
        <w:rPr>
          <w:sz w:val="20"/>
          <w:szCs w:val="20"/>
        </w:rPr>
        <w:t xml:space="preserve">8). </w:t>
      </w:r>
    </w:p>
    <w:p w:rsidR="00373D9E" w:rsidRPr="00373D9E" w:rsidRDefault="008A2447" w:rsidP="00FE636C">
      <w:pPr>
        <w:pStyle w:val="Default"/>
        <w:snapToGrid w:val="0"/>
        <w:jc w:val="both"/>
        <w:rPr>
          <w:b/>
          <w:sz w:val="20"/>
          <w:szCs w:val="20"/>
          <w:lang w:eastAsia="zh-CN"/>
        </w:rPr>
      </w:pPr>
      <w:r w:rsidRPr="00373D9E">
        <w:rPr>
          <w:b/>
          <w:sz w:val="20"/>
          <w:szCs w:val="20"/>
        </w:rPr>
        <w:t xml:space="preserve">Corticosteroids </w:t>
      </w:r>
    </w:p>
    <w:p w:rsidR="008A2447" w:rsidRPr="00373D9E" w:rsidRDefault="008A2447" w:rsidP="00373D9E">
      <w:pPr>
        <w:pStyle w:val="Default"/>
        <w:snapToGrid w:val="0"/>
        <w:ind w:firstLine="450"/>
        <w:jc w:val="both"/>
        <w:rPr>
          <w:sz w:val="20"/>
          <w:szCs w:val="20"/>
        </w:rPr>
      </w:pPr>
      <w:proofErr w:type="gramStart"/>
      <w:r w:rsidRPr="00373D9E">
        <w:rPr>
          <w:sz w:val="20"/>
          <w:szCs w:val="20"/>
        </w:rPr>
        <w:t xml:space="preserve">(Oral </w:t>
      </w:r>
      <w:proofErr w:type="spellStart"/>
      <w:r w:rsidRPr="00373D9E">
        <w:rPr>
          <w:sz w:val="20"/>
          <w:szCs w:val="20"/>
        </w:rPr>
        <w:t>prednisolone</w:t>
      </w:r>
      <w:proofErr w:type="spellEnd"/>
      <w:r w:rsidRPr="00373D9E">
        <w:rPr>
          <w:sz w:val="20"/>
          <w:szCs w:val="20"/>
        </w:rPr>
        <w:t xml:space="preserve">, prednisone, </w:t>
      </w:r>
      <w:proofErr w:type="spellStart"/>
      <w:r w:rsidRPr="00373D9E">
        <w:rPr>
          <w:sz w:val="20"/>
          <w:szCs w:val="20"/>
        </w:rPr>
        <w:t>budesonide</w:t>
      </w:r>
      <w:proofErr w:type="spellEnd"/>
      <w:r w:rsidRPr="00373D9E">
        <w:rPr>
          <w:sz w:val="20"/>
          <w:szCs w:val="20"/>
        </w:rPr>
        <w:t xml:space="preserve"> (among others), or intravenous hydrocortisone, </w:t>
      </w:r>
      <w:proofErr w:type="spellStart"/>
      <w:r w:rsidRPr="00373D9E">
        <w:rPr>
          <w:sz w:val="20"/>
          <w:szCs w:val="20"/>
        </w:rPr>
        <w:t>methylprednisolone</w:t>
      </w:r>
      <w:proofErr w:type="spellEnd"/>
      <w:r w:rsidRPr="00373D9E">
        <w:rPr>
          <w:sz w:val="20"/>
          <w:szCs w:val="20"/>
        </w:rPr>
        <w:t>.)</w:t>
      </w:r>
      <w:proofErr w:type="gramEnd"/>
      <w:r w:rsidRPr="00373D9E">
        <w:rPr>
          <w:sz w:val="20"/>
          <w:szCs w:val="20"/>
        </w:rPr>
        <w:t xml:space="preserve"> Topical suppositories, foam or liquid enemas include hydrocortisone, </w:t>
      </w:r>
      <w:proofErr w:type="spellStart"/>
      <w:r w:rsidRPr="00373D9E">
        <w:rPr>
          <w:sz w:val="20"/>
          <w:szCs w:val="20"/>
        </w:rPr>
        <w:t>prednisolone</w:t>
      </w:r>
      <w:proofErr w:type="spellEnd"/>
      <w:r w:rsidRPr="00373D9E">
        <w:rPr>
          <w:sz w:val="20"/>
          <w:szCs w:val="20"/>
        </w:rPr>
        <w:t xml:space="preserve"> </w:t>
      </w:r>
      <w:proofErr w:type="spellStart"/>
      <w:r w:rsidRPr="00373D9E">
        <w:rPr>
          <w:sz w:val="20"/>
          <w:szCs w:val="20"/>
        </w:rPr>
        <w:t>metasulphobenzoate</w:t>
      </w:r>
      <w:proofErr w:type="spellEnd"/>
      <w:r w:rsidRPr="00373D9E">
        <w:rPr>
          <w:sz w:val="20"/>
          <w:szCs w:val="20"/>
        </w:rPr>
        <w:t xml:space="preserve">, </w:t>
      </w:r>
      <w:proofErr w:type="spellStart"/>
      <w:r w:rsidRPr="00373D9E">
        <w:rPr>
          <w:sz w:val="20"/>
          <w:szCs w:val="20"/>
        </w:rPr>
        <w:t>betamethasone</w:t>
      </w:r>
      <w:proofErr w:type="spellEnd"/>
      <w:r w:rsidRPr="00373D9E">
        <w:rPr>
          <w:sz w:val="20"/>
          <w:szCs w:val="20"/>
        </w:rPr>
        <w:t xml:space="preserve">, </w:t>
      </w:r>
      <w:proofErr w:type="spellStart"/>
      <w:r w:rsidRPr="00373D9E">
        <w:rPr>
          <w:sz w:val="20"/>
          <w:szCs w:val="20"/>
        </w:rPr>
        <w:t>budesonide</w:t>
      </w:r>
      <w:proofErr w:type="spellEnd"/>
      <w:r w:rsidRPr="00373D9E">
        <w:rPr>
          <w:sz w:val="20"/>
          <w:szCs w:val="20"/>
        </w:rPr>
        <w:t xml:space="preserve">). Choice and mechanism </w:t>
      </w:r>
    </w:p>
    <w:p w:rsidR="008A2447" w:rsidRPr="00373D9E" w:rsidRDefault="008A2447" w:rsidP="00373D9E">
      <w:pPr>
        <w:pStyle w:val="Default"/>
        <w:snapToGrid w:val="0"/>
        <w:ind w:firstLine="450"/>
        <w:jc w:val="both"/>
        <w:rPr>
          <w:sz w:val="20"/>
          <w:szCs w:val="20"/>
        </w:rPr>
      </w:pPr>
      <w:r w:rsidRPr="00373D9E">
        <w:rPr>
          <w:sz w:val="20"/>
          <w:szCs w:val="20"/>
        </w:rPr>
        <w:t xml:space="preserve">Corticosteroids are potent anti-inflammatory agents for moderate to severe relapses of both UC and CD. They have no role in maintenance therapy for either disease. They act through inhibition of several inflammatory pathways— suppressing interleukin transcription, induction of </w:t>
      </w:r>
      <w:proofErr w:type="spellStart"/>
      <w:r w:rsidRPr="00373D9E">
        <w:rPr>
          <w:sz w:val="20"/>
          <w:szCs w:val="20"/>
        </w:rPr>
        <w:t>IkB</w:t>
      </w:r>
      <w:proofErr w:type="spellEnd"/>
      <w:r w:rsidRPr="00373D9E">
        <w:rPr>
          <w:sz w:val="20"/>
          <w:szCs w:val="20"/>
        </w:rPr>
        <w:t xml:space="preserve"> that </w:t>
      </w:r>
      <w:proofErr w:type="spellStart"/>
      <w:r w:rsidRPr="00373D9E">
        <w:rPr>
          <w:sz w:val="20"/>
          <w:szCs w:val="20"/>
        </w:rPr>
        <w:t>stabilises</w:t>
      </w:r>
      <w:proofErr w:type="spellEnd"/>
      <w:r w:rsidRPr="00373D9E">
        <w:rPr>
          <w:sz w:val="20"/>
          <w:szCs w:val="20"/>
        </w:rPr>
        <w:t xml:space="preserve"> the </w:t>
      </w:r>
      <w:proofErr w:type="spellStart"/>
      <w:r w:rsidRPr="00373D9E">
        <w:rPr>
          <w:sz w:val="20"/>
          <w:szCs w:val="20"/>
        </w:rPr>
        <w:t>NFkB</w:t>
      </w:r>
      <w:proofErr w:type="spellEnd"/>
      <w:r w:rsidRPr="00373D9E">
        <w:rPr>
          <w:sz w:val="20"/>
          <w:szCs w:val="20"/>
        </w:rPr>
        <w:t xml:space="preserve"> complex, suppression of </w:t>
      </w:r>
      <w:proofErr w:type="spellStart"/>
      <w:r w:rsidRPr="00373D9E">
        <w:rPr>
          <w:sz w:val="20"/>
          <w:szCs w:val="20"/>
        </w:rPr>
        <w:t>arachidonic</w:t>
      </w:r>
      <w:proofErr w:type="spellEnd"/>
      <w:r w:rsidRPr="00373D9E">
        <w:rPr>
          <w:sz w:val="20"/>
          <w:szCs w:val="20"/>
        </w:rPr>
        <w:t xml:space="preserve"> acid metabolism, and stimulation of apoptosis of lymphocytes within the lamina </w:t>
      </w:r>
      <w:proofErr w:type="spellStart"/>
      <w:r w:rsidRPr="00373D9E">
        <w:rPr>
          <w:sz w:val="20"/>
          <w:szCs w:val="20"/>
        </w:rPr>
        <w:t>propria</w:t>
      </w:r>
      <w:proofErr w:type="spellEnd"/>
      <w:r w:rsidRPr="00373D9E">
        <w:rPr>
          <w:sz w:val="20"/>
          <w:szCs w:val="20"/>
        </w:rPr>
        <w:t xml:space="preserve"> of the gut. </w:t>
      </w:r>
    </w:p>
    <w:p w:rsidR="008A2447" w:rsidRPr="00FE636C" w:rsidRDefault="008A2447" w:rsidP="00FE636C">
      <w:pPr>
        <w:pStyle w:val="Default"/>
        <w:snapToGrid w:val="0"/>
        <w:jc w:val="both"/>
        <w:rPr>
          <w:b/>
          <w:sz w:val="20"/>
          <w:szCs w:val="20"/>
        </w:rPr>
      </w:pPr>
      <w:r w:rsidRPr="00FE636C">
        <w:rPr>
          <w:b/>
          <w:sz w:val="20"/>
          <w:szCs w:val="20"/>
        </w:rPr>
        <w:t xml:space="preserve">Efficacy for active UC </w:t>
      </w:r>
    </w:p>
    <w:p w:rsidR="008A2447" w:rsidRPr="00373D9E" w:rsidRDefault="008A2447" w:rsidP="00373D9E">
      <w:pPr>
        <w:pStyle w:val="Default"/>
        <w:snapToGrid w:val="0"/>
        <w:ind w:firstLine="450"/>
        <w:jc w:val="both"/>
        <w:rPr>
          <w:sz w:val="20"/>
          <w:szCs w:val="20"/>
        </w:rPr>
      </w:pPr>
      <w:r w:rsidRPr="00373D9E">
        <w:rPr>
          <w:sz w:val="20"/>
          <w:szCs w:val="20"/>
        </w:rPr>
        <w:t xml:space="preserve">A combination of oral and rectal steroids is better than either alone. Adverse events are significantly more frequent at a dose of 60 mg/day compared with 40 mg/day, without added benefit. Too rapid reduction can be associated with early relapse and doses of </w:t>
      </w:r>
      <w:proofErr w:type="spellStart"/>
      <w:r w:rsidRPr="00373D9E">
        <w:rPr>
          <w:sz w:val="20"/>
          <w:szCs w:val="20"/>
        </w:rPr>
        <w:t>prednisolone</w:t>
      </w:r>
      <w:proofErr w:type="spellEnd"/>
      <w:r w:rsidR="00373D9E">
        <w:rPr>
          <w:sz w:val="20"/>
          <w:szCs w:val="20"/>
        </w:rPr>
        <w:t>.</w:t>
      </w:r>
    </w:p>
    <w:p w:rsidR="008A2447" w:rsidRPr="00FE636C" w:rsidRDefault="008A2447" w:rsidP="00FE636C">
      <w:pPr>
        <w:pStyle w:val="Default"/>
        <w:snapToGrid w:val="0"/>
        <w:jc w:val="both"/>
        <w:rPr>
          <w:b/>
          <w:sz w:val="20"/>
          <w:szCs w:val="20"/>
        </w:rPr>
      </w:pPr>
      <w:r w:rsidRPr="00FE636C">
        <w:rPr>
          <w:b/>
          <w:sz w:val="20"/>
          <w:szCs w:val="20"/>
        </w:rPr>
        <w:t xml:space="preserve">Efficacy for active CD </w:t>
      </w:r>
    </w:p>
    <w:p w:rsidR="008A2447" w:rsidRPr="00373D9E" w:rsidRDefault="008A2447" w:rsidP="00373D9E">
      <w:pPr>
        <w:pStyle w:val="Default"/>
        <w:snapToGrid w:val="0"/>
        <w:ind w:firstLine="450"/>
        <w:jc w:val="both"/>
        <w:rPr>
          <w:sz w:val="20"/>
          <w:szCs w:val="20"/>
        </w:rPr>
      </w:pPr>
      <w:r w:rsidRPr="00373D9E">
        <w:rPr>
          <w:sz w:val="20"/>
          <w:szCs w:val="20"/>
        </w:rPr>
        <w:t xml:space="preserve">In active </w:t>
      </w:r>
      <w:proofErr w:type="spellStart"/>
      <w:r w:rsidRPr="00373D9E">
        <w:rPr>
          <w:sz w:val="20"/>
          <w:szCs w:val="20"/>
        </w:rPr>
        <w:t>Crohn’s</w:t>
      </w:r>
      <w:proofErr w:type="spellEnd"/>
      <w:r w:rsidRPr="00373D9E">
        <w:rPr>
          <w:sz w:val="20"/>
          <w:szCs w:val="20"/>
        </w:rPr>
        <w:t xml:space="preserve"> prednisone 1 mg/kg/day should be given. </w:t>
      </w:r>
    </w:p>
    <w:p w:rsidR="008A2447" w:rsidRPr="00FE636C" w:rsidRDefault="008A2447" w:rsidP="00FE636C">
      <w:pPr>
        <w:pStyle w:val="Default"/>
        <w:snapToGrid w:val="0"/>
        <w:jc w:val="both"/>
        <w:rPr>
          <w:b/>
          <w:sz w:val="20"/>
          <w:szCs w:val="20"/>
        </w:rPr>
      </w:pPr>
      <w:r w:rsidRPr="00FE636C">
        <w:rPr>
          <w:b/>
          <w:sz w:val="20"/>
          <w:szCs w:val="20"/>
        </w:rPr>
        <w:t xml:space="preserve">Adverse effects of steroids </w:t>
      </w:r>
    </w:p>
    <w:p w:rsidR="008A2447" w:rsidRPr="00373D9E" w:rsidRDefault="008A2447" w:rsidP="00373D9E">
      <w:pPr>
        <w:pStyle w:val="Default"/>
        <w:snapToGrid w:val="0"/>
        <w:ind w:firstLine="450"/>
        <w:jc w:val="both"/>
        <w:rPr>
          <w:sz w:val="20"/>
          <w:szCs w:val="20"/>
        </w:rPr>
      </w:pPr>
      <w:r w:rsidRPr="00373D9E">
        <w:rPr>
          <w:sz w:val="20"/>
          <w:szCs w:val="20"/>
        </w:rPr>
        <w:t xml:space="preserve">Early effects due to </w:t>
      </w:r>
      <w:proofErr w:type="spellStart"/>
      <w:r w:rsidRPr="00373D9E">
        <w:rPr>
          <w:sz w:val="20"/>
          <w:szCs w:val="20"/>
        </w:rPr>
        <w:t>supraphysiological</w:t>
      </w:r>
      <w:proofErr w:type="spellEnd"/>
      <w:r w:rsidRPr="00373D9E">
        <w:rPr>
          <w:sz w:val="20"/>
          <w:szCs w:val="20"/>
        </w:rPr>
        <w:t xml:space="preserve"> doses include cosmetic (acne, moon face, </w:t>
      </w:r>
      <w:proofErr w:type="spellStart"/>
      <w:proofErr w:type="gramStart"/>
      <w:r w:rsidRPr="00373D9E">
        <w:rPr>
          <w:sz w:val="20"/>
          <w:szCs w:val="20"/>
        </w:rPr>
        <w:t>oedema</w:t>
      </w:r>
      <w:proofErr w:type="spellEnd"/>
      <w:proofErr w:type="gramEnd"/>
      <w:r w:rsidRPr="00373D9E">
        <w:rPr>
          <w:sz w:val="20"/>
          <w:szCs w:val="20"/>
        </w:rPr>
        <w:t xml:space="preserve">), sleep and mood disturbance, dyspepsia, or glucose intolerance. </w:t>
      </w:r>
    </w:p>
    <w:p w:rsidR="008A2447" w:rsidRPr="00373D9E" w:rsidRDefault="008A2447" w:rsidP="00373D9E">
      <w:pPr>
        <w:pStyle w:val="Default"/>
        <w:snapToGrid w:val="0"/>
        <w:ind w:firstLine="450"/>
        <w:jc w:val="both"/>
        <w:rPr>
          <w:sz w:val="20"/>
          <w:szCs w:val="20"/>
        </w:rPr>
      </w:pPr>
      <w:r w:rsidRPr="00373D9E">
        <w:rPr>
          <w:sz w:val="20"/>
          <w:szCs w:val="20"/>
        </w:rPr>
        <w:t xml:space="preserve">Effects associated with prolonged use (usually.12 weeks, but sometimes less) include posterior </w:t>
      </w:r>
      <w:proofErr w:type="spellStart"/>
      <w:r w:rsidRPr="00373D9E">
        <w:rPr>
          <w:sz w:val="20"/>
          <w:szCs w:val="20"/>
        </w:rPr>
        <w:t>subcapsular</w:t>
      </w:r>
      <w:proofErr w:type="spellEnd"/>
      <w:r w:rsidRPr="00373D9E">
        <w:rPr>
          <w:sz w:val="20"/>
          <w:szCs w:val="20"/>
        </w:rPr>
        <w:t xml:space="preserve"> cataracts, osteoporosis, </w:t>
      </w:r>
      <w:proofErr w:type="spellStart"/>
      <w:r w:rsidRPr="00373D9E">
        <w:rPr>
          <w:sz w:val="20"/>
          <w:szCs w:val="20"/>
        </w:rPr>
        <w:t>osteonecrosis</w:t>
      </w:r>
      <w:proofErr w:type="spellEnd"/>
      <w:r w:rsidRPr="00373D9E">
        <w:rPr>
          <w:sz w:val="20"/>
          <w:szCs w:val="20"/>
        </w:rPr>
        <w:t xml:space="preserve"> of the femoral head, </w:t>
      </w:r>
      <w:proofErr w:type="spellStart"/>
      <w:r w:rsidRPr="00373D9E">
        <w:rPr>
          <w:sz w:val="20"/>
          <w:szCs w:val="20"/>
        </w:rPr>
        <w:t>myopathy</w:t>
      </w:r>
      <w:proofErr w:type="spellEnd"/>
      <w:r w:rsidRPr="00373D9E">
        <w:rPr>
          <w:sz w:val="20"/>
          <w:szCs w:val="20"/>
        </w:rPr>
        <w:t xml:space="preserve">, and susceptibility to infection. </w:t>
      </w:r>
    </w:p>
    <w:p w:rsidR="008A2447" w:rsidRPr="00373D9E" w:rsidRDefault="008A2447" w:rsidP="00373D9E">
      <w:pPr>
        <w:pStyle w:val="Default"/>
        <w:snapToGrid w:val="0"/>
        <w:ind w:firstLine="450"/>
        <w:jc w:val="both"/>
        <w:rPr>
          <w:sz w:val="20"/>
          <w:szCs w:val="20"/>
        </w:rPr>
      </w:pPr>
      <w:r w:rsidRPr="00373D9E">
        <w:rPr>
          <w:sz w:val="20"/>
          <w:szCs w:val="20"/>
        </w:rPr>
        <w:t xml:space="preserve">Effects during withdrawal include acute adrenal insufficiency (from sudden cessation), a syndrome of </w:t>
      </w:r>
      <w:proofErr w:type="spellStart"/>
      <w:r w:rsidRPr="00373D9E">
        <w:rPr>
          <w:sz w:val="20"/>
          <w:szCs w:val="20"/>
        </w:rPr>
        <w:t>myalgia</w:t>
      </w:r>
      <w:proofErr w:type="spellEnd"/>
      <w:r w:rsidRPr="00373D9E">
        <w:rPr>
          <w:sz w:val="20"/>
          <w:szCs w:val="20"/>
        </w:rPr>
        <w:t xml:space="preserve">, malaise, and </w:t>
      </w:r>
      <w:proofErr w:type="spellStart"/>
      <w:r w:rsidRPr="00373D9E">
        <w:rPr>
          <w:sz w:val="20"/>
          <w:szCs w:val="20"/>
        </w:rPr>
        <w:t>arthralgia</w:t>
      </w:r>
      <w:proofErr w:type="spellEnd"/>
      <w:r w:rsidRPr="00373D9E">
        <w:rPr>
          <w:sz w:val="20"/>
          <w:szCs w:val="20"/>
        </w:rPr>
        <w:t xml:space="preserve"> (similar to </w:t>
      </w:r>
      <w:proofErr w:type="spellStart"/>
      <w:r w:rsidRPr="00373D9E">
        <w:rPr>
          <w:sz w:val="20"/>
          <w:szCs w:val="20"/>
        </w:rPr>
        <w:t>recrudesence</w:t>
      </w:r>
      <w:proofErr w:type="spellEnd"/>
      <w:r w:rsidRPr="00373D9E">
        <w:rPr>
          <w:sz w:val="20"/>
          <w:szCs w:val="20"/>
        </w:rPr>
        <w:t xml:space="preserve"> of CD), or raised intracranial pressure. </w:t>
      </w:r>
    </w:p>
    <w:p w:rsidR="008A2447" w:rsidRPr="00373D9E" w:rsidRDefault="008A2447" w:rsidP="00373D9E">
      <w:pPr>
        <w:pStyle w:val="Default"/>
        <w:snapToGrid w:val="0"/>
        <w:ind w:firstLine="450"/>
        <w:jc w:val="both"/>
        <w:rPr>
          <w:sz w:val="20"/>
          <w:szCs w:val="20"/>
        </w:rPr>
      </w:pPr>
      <w:r w:rsidRPr="00373D9E">
        <w:rPr>
          <w:sz w:val="20"/>
          <w:szCs w:val="20"/>
        </w:rPr>
        <w:t xml:space="preserve">Complete steroid withdrawal is facilitated by early introduction of </w:t>
      </w:r>
      <w:proofErr w:type="spellStart"/>
      <w:r w:rsidRPr="00373D9E">
        <w:rPr>
          <w:sz w:val="20"/>
          <w:szCs w:val="20"/>
        </w:rPr>
        <w:t>azathioprine</w:t>
      </w:r>
      <w:proofErr w:type="spellEnd"/>
      <w:r w:rsidRPr="00373D9E">
        <w:rPr>
          <w:sz w:val="20"/>
          <w:szCs w:val="20"/>
        </w:rPr>
        <w:t xml:space="preserve">, adjuvant nutritional therapy, or timely </w:t>
      </w:r>
      <w:proofErr w:type="gramStart"/>
      <w:r w:rsidRPr="00373D9E">
        <w:rPr>
          <w:sz w:val="20"/>
          <w:szCs w:val="20"/>
        </w:rPr>
        <w:t>surgery(</w:t>
      </w:r>
      <w:proofErr w:type="gramEnd"/>
      <w:r w:rsidRPr="00373D9E">
        <w:rPr>
          <w:sz w:val="20"/>
          <w:szCs w:val="20"/>
        </w:rPr>
        <w:t xml:space="preserve">9). </w:t>
      </w:r>
    </w:p>
    <w:p w:rsidR="008A2447" w:rsidRPr="00FE636C" w:rsidRDefault="008A2447" w:rsidP="00FE636C">
      <w:pPr>
        <w:pStyle w:val="Default"/>
        <w:snapToGrid w:val="0"/>
        <w:jc w:val="both"/>
        <w:rPr>
          <w:b/>
          <w:sz w:val="20"/>
          <w:szCs w:val="20"/>
        </w:rPr>
      </w:pPr>
      <w:proofErr w:type="spellStart"/>
      <w:r w:rsidRPr="00FE636C">
        <w:rPr>
          <w:b/>
          <w:sz w:val="20"/>
          <w:szCs w:val="20"/>
        </w:rPr>
        <w:t>Thiopurines</w:t>
      </w:r>
      <w:proofErr w:type="spellEnd"/>
    </w:p>
    <w:p w:rsidR="008A2447" w:rsidRPr="00373D9E" w:rsidRDefault="008A2447" w:rsidP="00373D9E">
      <w:pPr>
        <w:pStyle w:val="Default"/>
        <w:snapToGrid w:val="0"/>
        <w:ind w:firstLine="450"/>
        <w:jc w:val="both"/>
        <w:rPr>
          <w:sz w:val="20"/>
          <w:szCs w:val="20"/>
        </w:rPr>
      </w:pPr>
      <w:proofErr w:type="gramStart"/>
      <w:r w:rsidRPr="00373D9E">
        <w:rPr>
          <w:sz w:val="20"/>
          <w:szCs w:val="20"/>
        </w:rPr>
        <w:t>(</w:t>
      </w:r>
      <w:proofErr w:type="spellStart"/>
      <w:r w:rsidRPr="00373D9E">
        <w:rPr>
          <w:sz w:val="20"/>
          <w:szCs w:val="20"/>
        </w:rPr>
        <w:t>Azathioprine</w:t>
      </w:r>
      <w:proofErr w:type="spellEnd"/>
      <w:r w:rsidRPr="00373D9E">
        <w:rPr>
          <w:sz w:val="20"/>
          <w:szCs w:val="20"/>
        </w:rPr>
        <w:t xml:space="preserve"> (AZA) and </w:t>
      </w:r>
      <w:proofErr w:type="spellStart"/>
      <w:r w:rsidRPr="00373D9E">
        <w:rPr>
          <w:sz w:val="20"/>
          <w:szCs w:val="20"/>
        </w:rPr>
        <w:t>mercaptopurine</w:t>
      </w:r>
      <w:proofErr w:type="spellEnd"/>
      <w:r w:rsidRPr="00373D9E">
        <w:rPr>
          <w:sz w:val="20"/>
          <w:szCs w:val="20"/>
        </w:rPr>
        <w:t xml:space="preserve"> (MP).</w:t>
      </w:r>
      <w:proofErr w:type="gramEnd"/>
      <w:r w:rsidRPr="00373D9E">
        <w:rPr>
          <w:sz w:val="20"/>
          <w:szCs w:val="20"/>
        </w:rPr>
        <w:t xml:space="preserve"> </w:t>
      </w:r>
      <w:proofErr w:type="spellStart"/>
      <w:r w:rsidRPr="00373D9E">
        <w:rPr>
          <w:sz w:val="20"/>
          <w:szCs w:val="20"/>
        </w:rPr>
        <w:t>Purine</w:t>
      </w:r>
      <w:proofErr w:type="spellEnd"/>
      <w:r w:rsidRPr="00373D9E">
        <w:rPr>
          <w:sz w:val="20"/>
          <w:szCs w:val="20"/>
        </w:rPr>
        <w:t xml:space="preserve"> </w:t>
      </w:r>
      <w:proofErr w:type="spellStart"/>
      <w:r w:rsidRPr="00373D9E">
        <w:rPr>
          <w:sz w:val="20"/>
          <w:szCs w:val="20"/>
        </w:rPr>
        <w:t>antimetabolites</w:t>
      </w:r>
      <w:proofErr w:type="spellEnd"/>
      <w:r w:rsidRPr="00373D9E">
        <w:rPr>
          <w:sz w:val="20"/>
          <w:szCs w:val="20"/>
        </w:rPr>
        <w:t xml:space="preserve"> inhibit </w:t>
      </w:r>
      <w:proofErr w:type="spellStart"/>
      <w:r w:rsidRPr="00373D9E">
        <w:rPr>
          <w:sz w:val="20"/>
          <w:szCs w:val="20"/>
        </w:rPr>
        <w:t>ribonucleotide</w:t>
      </w:r>
      <w:proofErr w:type="spellEnd"/>
      <w:r w:rsidRPr="00373D9E">
        <w:rPr>
          <w:sz w:val="20"/>
          <w:szCs w:val="20"/>
        </w:rPr>
        <w:t xml:space="preserve"> synthesis, but the mechanism of </w:t>
      </w:r>
      <w:proofErr w:type="spellStart"/>
      <w:r w:rsidRPr="00373D9E">
        <w:rPr>
          <w:sz w:val="20"/>
          <w:szCs w:val="20"/>
        </w:rPr>
        <w:t>immunomodulation</w:t>
      </w:r>
      <w:proofErr w:type="spellEnd"/>
      <w:r w:rsidRPr="00373D9E">
        <w:rPr>
          <w:sz w:val="20"/>
          <w:szCs w:val="20"/>
        </w:rPr>
        <w:t xml:space="preserve"> is by inducing T cell apoptosis by modulating cell (Rac1) </w:t>
      </w:r>
      <w:proofErr w:type="spellStart"/>
      <w:r w:rsidRPr="00373D9E">
        <w:rPr>
          <w:sz w:val="20"/>
          <w:szCs w:val="20"/>
        </w:rPr>
        <w:t>signalling</w:t>
      </w:r>
      <w:proofErr w:type="spellEnd"/>
      <w:r w:rsidRPr="00373D9E">
        <w:rPr>
          <w:sz w:val="20"/>
          <w:szCs w:val="20"/>
        </w:rPr>
        <w:t xml:space="preserve">. </w:t>
      </w:r>
      <w:proofErr w:type="spellStart"/>
      <w:r w:rsidRPr="00373D9E">
        <w:rPr>
          <w:sz w:val="20"/>
          <w:szCs w:val="20"/>
        </w:rPr>
        <w:t>Azathioprine</w:t>
      </w:r>
      <w:proofErr w:type="spellEnd"/>
      <w:r w:rsidRPr="00373D9E">
        <w:rPr>
          <w:sz w:val="20"/>
          <w:szCs w:val="20"/>
        </w:rPr>
        <w:t xml:space="preserve"> is </w:t>
      </w:r>
      <w:proofErr w:type="spellStart"/>
      <w:r w:rsidRPr="00373D9E">
        <w:rPr>
          <w:sz w:val="20"/>
          <w:szCs w:val="20"/>
        </w:rPr>
        <w:t>metabolised</w:t>
      </w:r>
      <w:proofErr w:type="spellEnd"/>
      <w:r w:rsidRPr="00373D9E">
        <w:rPr>
          <w:sz w:val="20"/>
          <w:szCs w:val="20"/>
        </w:rPr>
        <w:t xml:space="preserve"> to </w:t>
      </w:r>
      <w:proofErr w:type="spellStart"/>
      <w:r w:rsidRPr="00373D9E">
        <w:rPr>
          <w:sz w:val="20"/>
          <w:szCs w:val="20"/>
        </w:rPr>
        <w:lastRenderedPageBreak/>
        <w:t>mercaptopurine</w:t>
      </w:r>
      <w:proofErr w:type="spellEnd"/>
      <w:r w:rsidRPr="00373D9E">
        <w:rPr>
          <w:sz w:val="20"/>
          <w:szCs w:val="20"/>
        </w:rPr>
        <w:t xml:space="preserve"> and subsequently to 6-thioguanine nucleotides. </w:t>
      </w:r>
      <w:proofErr w:type="spellStart"/>
      <w:r w:rsidRPr="00373D9E">
        <w:rPr>
          <w:sz w:val="20"/>
          <w:szCs w:val="20"/>
        </w:rPr>
        <w:t>Thiopurines</w:t>
      </w:r>
      <w:proofErr w:type="spellEnd"/>
      <w:r w:rsidRPr="00373D9E">
        <w:rPr>
          <w:sz w:val="20"/>
          <w:szCs w:val="20"/>
        </w:rPr>
        <w:t xml:space="preserve"> are effective for both active disease and maintaining remission in CD and UC. The main role for </w:t>
      </w:r>
      <w:proofErr w:type="spellStart"/>
      <w:r w:rsidRPr="00373D9E">
        <w:rPr>
          <w:sz w:val="20"/>
          <w:szCs w:val="20"/>
        </w:rPr>
        <w:t>thiopurines</w:t>
      </w:r>
      <w:proofErr w:type="spellEnd"/>
      <w:r w:rsidRPr="00373D9E">
        <w:rPr>
          <w:sz w:val="20"/>
          <w:szCs w:val="20"/>
        </w:rPr>
        <w:t xml:space="preserve"> is steroid sparing. </w:t>
      </w:r>
      <w:proofErr w:type="spellStart"/>
      <w:r w:rsidRPr="00373D9E">
        <w:rPr>
          <w:sz w:val="20"/>
          <w:szCs w:val="20"/>
        </w:rPr>
        <w:t>Thiopurines</w:t>
      </w:r>
      <w:proofErr w:type="spellEnd"/>
      <w:r w:rsidRPr="00373D9E">
        <w:rPr>
          <w:sz w:val="20"/>
          <w:szCs w:val="20"/>
        </w:rPr>
        <w:t xml:space="preserve"> should be considered for patients who require two or more corticosteroid courses within a calendar year; those whose disease relapses as the dose of steroid is reduced below 15 mg; relapse within 6 weeks of stopping steroid. </w:t>
      </w:r>
      <w:proofErr w:type="spellStart"/>
      <w:r w:rsidRPr="00373D9E">
        <w:rPr>
          <w:sz w:val="20"/>
          <w:szCs w:val="20"/>
        </w:rPr>
        <w:t>Thiopurines</w:t>
      </w:r>
      <w:proofErr w:type="spellEnd"/>
      <w:r w:rsidRPr="00373D9E">
        <w:rPr>
          <w:sz w:val="20"/>
          <w:szCs w:val="20"/>
        </w:rPr>
        <w:t xml:space="preserve"> are effective as maintenance therapy for CD for up to 4 years then stop, except in those with evidence of continuing disease activity. </w:t>
      </w:r>
      <w:proofErr w:type="gramStart"/>
      <w:r w:rsidRPr="00373D9E">
        <w:rPr>
          <w:sz w:val="20"/>
          <w:szCs w:val="20"/>
        </w:rPr>
        <w:t>Maintenance dose of AZA of 2–2.5 mg/kg/day and 6-MP of 1–1.5 mg/kg/day in both UC and CD.</w:t>
      </w:r>
      <w:proofErr w:type="gramEnd"/>
      <w:r w:rsidRPr="00373D9E">
        <w:rPr>
          <w:sz w:val="20"/>
          <w:szCs w:val="20"/>
        </w:rPr>
        <w:t xml:space="preserve"> </w:t>
      </w:r>
    </w:p>
    <w:p w:rsidR="008A2447" w:rsidRPr="00373D9E" w:rsidRDefault="008A2447" w:rsidP="00373D9E">
      <w:pPr>
        <w:pStyle w:val="Default"/>
        <w:snapToGrid w:val="0"/>
        <w:ind w:firstLine="450"/>
        <w:jc w:val="both"/>
        <w:rPr>
          <w:sz w:val="20"/>
          <w:szCs w:val="20"/>
        </w:rPr>
      </w:pPr>
      <w:r w:rsidRPr="00373D9E">
        <w:rPr>
          <w:sz w:val="20"/>
          <w:szCs w:val="20"/>
        </w:rPr>
        <w:t xml:space="preserve">Monitoring </w:t>
      </w:r>
      <w:proofErr w:type="spellStart"/>
      <w:r w:rsidRPr="00373D9E">
        <w:rPr>
          <w:sz w:val="20"/>
          <w:szCs w:val="20"/>
        </w:rPr>
        <w:t>thiopurinetherapy</w:t>
      </w:r>
      <w:proofErr w:type="gramStart"/>
      <w:r w:rsidRPr="00373D9E">
        <w:rPr>
          <w:sz w:val="20"/>
          <w:szCs w:val="20"/>
        </w:rPr>
        <w:t>:Manufacturers</w:t>
      </w:r>
      <w:proofErr w:type="spellEnd"/>
      <w:proofErr w:type="gramEnd"/>
      <w:r w:rsidRPr="00373D9E">
        <w:rPr>
          <w:sz w:val="20"/>
          <w:szCs w:val="20"/>
        </w:rPr>
        <w:t xml:space="preserve"> recommend weekly FBCs for the first 8 weeks of therapy followed by blood tests at least every 3 months. </w:t>
      </w:r>
    </w:p>
    <w:p w:rsidR="008A2447" w:rsidRPr="00FE636C" w:rsidRDefault="008A2447" w:rsidP="00FE636C">
      <w:pPr>
        <w:pStyle w:val="Default"/>
        <w:snapToGrid w:val="0"/>
        <w:jc w:val="both"/>
        <w:rPr>
          <w:b/>
          <w:sz w:val="20"/>
          <w:szCs w:val="20"/>
        </w:rPr>
      </w:pPr>
      <w:r w:rsidRPr="00FE636C">
        <w:rPr>
          <w:b/>
          <w:sz w:val="20"/>
          <w:szCs w:val="20"/>
        </w:rPr>
        <w:t xml:space="preserve">Side effects </w:t>
      </w:r>
    </w:p>
    <w:p w:rsidR="008A2447" w:rsidRPr="00373D9E" w:rsidRDefault="008A2447" w:rsidP="00373D9E">
      <w:pPr>
        <w:pStyle w:val="Default"/>
        <w:snapToGrid w:val="0"/>
        <w:ind w:firstLine="450"/>
        <w:jc w:val="both"/>
        <w:rPr>
          <w:sz w:val="20"/>
          <w:szCs w:val="20"/>
        </w:rPr>
      </w:pPr>
      <w:r w:rsidRPr="00373D9E">
        <w:rPr>
          <w:sz w:val="20"/>
          <w:szCs w:val="20"/>
        </w:rPr>
        <w:t>Leucopenia can develop</w:t>
      </w:r>
      <w:r w:rsidR="00373D9E">
        <w:rPr>
          <w:sz w:val="20"/>
          <w:szCs w:val="20"/>
        </w:rPr>
        <w:t>,</w:t>
      </w:r>
      <w:r w:rsidRPr="00373D9E">
        <w:rPr>
          <w:sz w:val="20"/>
          <w:szCs w:val="20"/>
        </w:rPr>
        <w:t xml:space="preserve"> </w:t>
      </w:r>
      <w:proofErr w:type="spellStart"/>
      <w:r w:rsidRPr="00373D9E">
        <w:rPr>
          <w:sz w:val="20"/>
          <w:szCs w:val="20"/>
        </w:rPr>
        <w:t>hepatotoxicity</w:t>
      </w:r>
      <w:proofErr w:type="spellEnd"/>
      <w:r w:rsidRPr="00373D9E">
        <w:rPr>
          <w:sz w:val="20"/>
          <w:szCs w:val="20"/>
        </w:rPr>
        <w:t xml:space="preserve"> and pancreatitis are uncommon (</w:t>
      </w:r>
      <w:proofErr w:type="gramStart"/>
      <w:r w:rsidRPr="00373D9E">
        <w:rPr>
          <w:sz w:val="20"/>
          <w:szCs w:val="20"/>
        </w:rPr>
        <w:t>,5</w:t>
      </w:r>
      <w:proofErr w:type="gramEnd"/>
      <w:r w:rsidRPr="00373D9E">
        <w:rPr>
          <w:sz w:val="20"/>
          <w:szCs w:val="20"/>
        </w:rPr>
        <w:t xml:space="preserve">%). </w:t>
      </w:r>
      <w:proofErr w:type="spellStart"/>
      <w:r w:rsidRPr="00373D9E">
        <w:rPr>
          <w:sz w:val="20"/>
          <w:szCs w:val="20"/>
        </w:rPr>
        <w:t>Thiopurines</w:t>
      </w:r>
      <w:proofErr w:type="spellEnd"/>
      <w:r w:rsidRPr="00373D9E">
        <w:rPr>
          <w:sz w:val="20"/>
          <w:szCs w:val="20"/>
        </w:rPr>
        <w:t xml:space="preserve"> can reasonably be continued during pregnancy if UC or CD has been refractory. There is no increased risk of lymphoma or other cancers in IBD patients treated with </w:t>
      </w:r>
      <w:proofErr w:type="gramStart"/>
      <w:r w:rsidRPr="00373D9E">
        <w:rPr>
          <w:sz w:val="20"/>
          <w:szCs w:val="20"/>
        </w:rPr>
        <w:t>AZA(</w:t>
      </w:r>
      <w:proofErr w:type="gramEnd"/>
      <w:r w:rsidRPr="00373D9E">
        <w:rPr>
          <w:sz w:val="20"/>
          <w:szCs w:val="20"/>
        </w:rPr>
        <w:t xml:space="preserve">10). </w:t>
      </w:r>
    </w:p>
    <w:p w:rsidR="008A2447" w:rsidRPr="00FE636C" w:rsidRDefault="008A2447" w:rsidP="00FE636C">
      <w:pPr>
        <w:pStyle w:val="Default"/>
        <w:snapToGrid w:val="0"/>
        <w:jc w:val="both"/>
        <w:rPr>
          <w:b/>
          <w:sz w:val="20"/>
          <w:szCs w:val="20"/>
        </w:rPr>
      </w:pPr>
      <w:proofErr w:type="spellStart"/>
      <w:r w:rsidRPr="00FE636C">
        <w:rPr>
          <w:b/>
          <w:sz w:val="20"/>
          <w:szCs w:val="20"/>
        </w:rPr>
        <w:t>Methotrexate</w:t>
      </w:r>
      <w:proofErr w:type="spellEnd"/>
      <w:r w:rsidRPr="00FE636C">
        <w:rPr>
          <w:b/>
          <w:sz w:val="20"/>
          <w:szCs w:val="20"/>
        </w:rPr>
        <w:t xml:space="preserve"> </w:t>
      </w:r>
    </w:p>
    <w:p w:rsidR="008A2447" w:rsidRPr="00373D9E" w:rsidRDefault="008A2447" w:rsidP="00373D9E">
      <w:pPr>
        <w:pStyle w:val="Default"/>
        <w:snapToGrid w:val="0"/>
        <w:ind w:firstLine="450"/>
        <w:jc w:val="both"/>
        <w:rPr>
          <w:sz w:val="20"/>
          <w:szCs w:val="20"/>
        </w:rPr>
      </w:pPr>
      <w:proofErr w:type="gramStart"/>
      <w:r w:rsidRPr="00373D9E">
        <w:rPr>
          <w:sz w:val="20"/>
          <w:szCs w:val="20"/>
        </w:rPr>
        <w:t>(Oral, subcutaneous or intramuscular injection, unlicensed therapy for IBD.)</w:t>
      </w:r>
      <w:proofErr w:type="spellStart"/>
      <w:proofErr w:type="gramEnd"/>
      <w:r w:rsidRPr="00373D9E">
        <w:rPr>
          <w:sz w:val="20"/>
          <w:szCs w:val="20"/>
        </w:rPr>
        <w:t>Polyglutamated</w:t>
      </w:r>
      <w:proofErr w:type="spellEnd"/>
      <w:r w:rsidRPr="00373D9E">
        <w:rPr>
          <w:sz w:val="20"/>
          <w:szCs w:val="20"/>
        </w:rPr>
        <w:t xml:space="preserve"> metabolites of </w:t>
      </w:r>
      <w:proofErr w:type="spellStart"/>
      <w:r w:rsidRPr="00373D9E">
        <w:rPr>
          <w:sz w:val="20"/>
          <w:szCs w:val="20"/>
        </w:rPr>
        <w:t>methotrexate</w:t>
      </w:r>
      <w:proofErr w:type="spellEnd"/>
      <w:r w:rsidRPr="00373D9E">
        <w:rPr>
          <w:sz w:val="20"/>
          <w:szCs w:val="20"/>
        </w:rPr>
        <w:t xml:space="preserve"> inhibit </w:t>
      </w:r>
      <w:proofErr w:type="spellStart"/>
      <w:r w:rsidRPr="00373D9E">
        <w:rPr>
          <w:sz w:val="20"/>
          <w:szCs w:val="20"/>
        </w:rPr>
        <w:t>dihydrofolatereductase</w:t>
      </w:r>
      <w:proofErr w:type="spellEnd"/>
      <w:r w:rsidRPr="00373D9E">
        <w:rPr>
          <w:sz w:val="20"/>
          <w:szCs w:val="20"/>
        </w:rPr>
        <w:t xml:space="preserve">, but this </w:t>
      </w:r>
      <w:proofErr w:type="spellStart"/>
      <w:r w:rsidRPr="00373D9E">
        <w:rPr>
          <w:sz w:val="20"/>
          <w:szCs w:val="20"/>
        </w:rPr>
        <w:t>cytotoxic</w:t>
      </w:r>
      <w:proofErr w:type="spellEnd"/>
      <w:r w:rsidRPr="00373D9E">
        <w:rPr>
          <w:sz w:val="20"/>
          <w:szCs w:val="20"/>
        </w:rPr>
        <w:t xml:space="preserve"> effect does not explain its anti-inflammatory effect. </w:t>
      </w:r>
      <w:proofErr w:type="gramStart"/>
      <w:r w:rsidRPr="00373D9E">
        <w:rPr>
          <w:sz w:val="20"/>
          <w:szCs w:val="20"/>
        </w:rPr>
        <w:t xml:space="preserve">Inhibition of cytokine and </w:t>
      </w:r>
      <w:proofErr w:type="spellStart"/>
      <w:r w:rsidRPr="00373D9E">
        <w:rPr>
          <w:sz w:val="20"/>
          <w:szCs w:val="20"/>
        </w:rPr>
        <w:t>eicosanoid</w:t>
      </w:r>
      <w:proofErr w:type="spellEnd"/>
      <w:r w:rsidRPr="00373D9E">
        <w:rPr>
          <w:sz w:val="20"/>
          <w:szCs w:val="20"/>
        </w:rPr>
        <w:t xml:space="preserve"> synthesis probably contribute</w:t>
      </w:r>
      <w:proofErr w:type="gramEnd"/>
      <w:r w:rsidRPr="00373D9E">
        <w:rPr>
          <w:sz w:val="20"/>
          <w:szCs w:val="20"/>
        </w:rPr>
        <w:t xml:space="preserve">. </w:t>
      </w:r>
    </w:p>
    <w:p w:rsidR="008A2447" w:rsidRPr="00613E1C" w:rsidRDefault="008A2447" w:rsidP="00613E1C">
      <w:pPr>
        <w:pStyle w:val="Default"/>
        <w:snapToGrid w:val="0"/>
        <w:jc w:val="both"/>
        <w:rPr>
          <w:b/>
          <w:sz w:val="20"/>
          <w:szCs w:val="20"/>
        </w:rPr>
      </w:pPr>
      <w:r w:rsidRPr="00613E1C">
        <w:rPr>
          <w:b/>
          <w:sz w:val="20"/>
          <w:szCs w:val="20"/>
        </w:rPr>
        <w:t xml:space="preserve">Efficacy </w:t>
      </w:r>
    </w:p>
    <w:p w:rsidR="008A2447" w:rsidRPr="00373D9E" w:rsidRDefault="008A2447" w:rsidP="00373D9E">
      <w:pPr>
        <w:pStyle w:val="Default"/>
        <w:snapToGrid w:val="0"/>
        <w:ind w:firstLine="450"/>
        <w:jc w:val="both"/>
        <w:rPr>
          <w:sz w:val="20"/>
          <w:szCs w:val="20"/>
        </w:rPr>
      </w:pPr>
      <w:proofErr w:type="spellStart"/>
      <w:r w:rsidRPr="00373D9E">
        <w:rPr>
          <w:sz w:val="20"/>
          <w:szCs w:val="20"/>
        </w:rPr>
        <w:t>Methotrexate</w:t>
      </w:r>
      <w:proofErr w:type="spellEnd"/>
      <w:r w:rsidRPr="00373D9E">
        <w:rPr>
          <w:sz w:val="20"/>
          <w:szCs w:val="20"/>
        </w:rPr>
        <w:t xml:space="preserve"> (MTX) is effective for inducing remission or preventing relapse in CD. At present, the role of MTX is in the treatment of active or relapsing CD in those refractory to or intolerant of AZA or MP. For CD and 25 mg/week is standard. No comparable trials have addressed the role of MTX in the induction or maintenance of remission in UC. </w:t>
      </w:r>
    </w:p>
    <w:p w:rsidR="008A2447" w:rsidRPr="00373D9E" w:rsidRDefault="008A2447" w:rsidP="00373D9E">
      <w:pPr>
        <w:pStyle w:val="Default"/>
        <w:snapToGrid w:val="0"/>
        <w:ind w:firstLine="450"/>
        <w:jc w:val="both"/>
        <w:rPr>
          <w:sz w:val="20"/>
          <w:szCs w:val="20"/>
        </w:rPr>
      </w:pPr>
      <w:r w:rsidRPr="00373D9E">
        <w:rPr>
          <w:sz w:val="20"/>
          <w:szCs w:val="20"/>
        </w:rPr>
        <w:t xml:space="preserve">Duration of therapy is debated. The 3 year remission rate for </w:t>
      </w:r>
      <w:proofErr w:type="spellStart"/>
      <w:r w:rsidRPr="00373D9E">
        <w:rPr>
          <w:sz w:val="20"/>
          <w:szCs w:val="20"/>
        </w:rPr>
        <w:t>methotrexate</w:t>
      </w:r>
      <w:proofErr w:type="spellEnd"/>
      <w:r w:rsidRPr="00373D9E">
        <w:rPr>
          <w:sz w:val="20"/>
          <w:szCs w:val="20"/>
        </w:rPr>
        <w:t xml:space="preserve"> in one series was 51%, which compares with data on </w:t>
      </w:r>
      <w:proofErr w:type="spellStart"/>
      <w:r w:rsidRPr="00373D9E">
        <w:rPr>
          <w:sz w:val="20"/>
          <w:szCs w:val="20"/>
        </w:rPr>
        <w:t>azathioprine</w:t>
      </w:r>
      <w:proofErr w:type="spellEnd"/>
      <w:r w:rsidRPr="00373D9E">
        <w:rPr>
          <w:sz w:val="20"/>
          <w:szCs w:val="20"/>
        </w:rPr>
        <w:t xml:space="preserve"> from the same centre (69% 3 year remission rate for </w:t>
      </w:r>
      <w:proofErr w:type="spellStart"/>
      <w:r w:rsidRPr="00373D9E">
        <w:rPr>
          <w:sz w:val="20"/>
          <w:szCs w:val="20"/>
        </w:rPr>
        <w:t>azathioprine</w:t>
      </w:r>
      <w:proofErr w:type="spellEnd"/>
      <w:r w:rsidRPr="00373D9E">
        <w:rPr>
          <w:sz w:val="20"/>
          <w:szCs w:val="20"/>
        </w:rPr>
        <w:t xml:space="preserve">). </w:t>
      </w:r>
    </w:p>
    <w:p w:rsidR="00E50F31" w:rsidRPr="00373D9E" w:rsidRDefault="008A2447" w:rsidP="00373D9E">
      <w:pPr>
        <w:pStyle w:val="Default"/>
        <w:snapToGrid w:val="0"/>
        <w:ind w:firstLine="450"/>
        <w:jc w:val="both"/>
        <w:rPr>
          <w:sz w:val="20"/>
          <w:szCs w:val="20"/>
        </w:rPr>
      </w:pPr>
      <w:r w:rsidRPr="00373D9E">
        <w:rPr>
          <w:sz w:val="20"/>
          <w:szCs w:val="20"/>
        </w:rPr>
        <w:t xml:space="preserve">Monitoring therapy: Measurement of full blood count and liver function tests are advisable before and within 4 weeks of starting therapy, then monthly. </w:t>
      </w:r>
      <w:r w:rsidR="00E50F31" w:rsidRPr="00373D9E">
        <w:rPr>
          <w:sz w:val="20"/>
          <w:szCs w:val="20"/>
        </w:rPr>
        <w:t xml:space="preserve">Side effects: Early toxicity from </w:t>
      </w:r>
      <w:proofErr w:type="spellStart"/>
      <w:r w:rsidR="00E50F31" w:rsidRPr="00373D9E">
        <w:rPr>
          <w:sz w:val="20"/>
          <w:szCs w:val="20"/>
        </w:rPr>
        <w:t>methotrexate</w:t>
      </w:r>
      <w:proofErr w:type="spellEnd"/>
      <w:r w:rsidR="00E50F31" w:rsidRPr="00373D9E">
        <w:rPr>
          <w:sz w:val="20"/>
          <w:szCs w:val="20"/>
        </w:rPr>
        <w:t xml:space="preserve"> is primarily gastrointestinal (nausea, vomiting, </w:t>
      </w:r>
      <w:proofErr w:type="spellStart"/>
      <w:r w:rsidR="00E50F31" w:rsidRPr="00373D9E">
        <w:rPr>
          <w:sz w:val="20"/>
          <w:szCs w:val="20"/>
        </w:rPr>
        <w:t>diarrhoea</w:t>
      </w:r>
      <w:proofErr w:type="spellEnd"/>
      <w:r w:rsidR="00E50F31" w:rsidRPr="00373D9E">
        <w:rPr>
          <w:sz w:val="20"/>
          <w:szCs w:val="20"/>
        </w:rPr>
        <w:t xml:space="preserve">, and </w:t>
      </w:r>
      <w:proofErr w:type="spellStart"/>
      <w:r w:rsidR="00E50F31" w:rsidRPr="00373D9E">
        <w:rPr>
          <w:sz w:val="20"/>
          <w:szCs w:val="20"/>
        </w:rPr>
        <w:t>stomatitis</w:t>
      </w:r>
      <w:proofErr w:type="spellEnd"/>
      <w:r w:rsidR="00E50F31" w:rsidRPr="00373D9E">
        <w:rPr>
          <w:sz w:val="20"/>
          <w:szCs w:val="20"/>
        </w:rPr>
        <w:t>) and this may be limited by co-prescription of folic acid</w:t>
      </w:r>
      <w:r w:rsidR="00373D9E">
        <w:rPr>
          <w:sz w:val="20"/>
          <w:szCs w:val="20"/>
        </w:rPr>
        <w:t>.</w:t>
      </w:r>
      <w:r w:rsidR="00E50F31" w:rsidRPr="00373D9E">
        <w:rPr>
          <w:sz w:val="20"/>
          <w:szCs w:val="20"/>
        </w:rPr>
        <w:t xml:space="preserve"> The principal concerns are </w:t>
      </w:r>
      <w:proofErr w:type="spellStart"/>
      <w:r w:rsidR="00E50F31" w:rsidRPr="00373D9E">
        <w:rPr>
          <w:sz w:val="20"/>
          <w:szCs w:val="20"/>
        </w:rPr>
        <w:t>hepatotoxicity</w:t>
      </w:r>
      <w:proofErr w:type="spellEnd"/>
      <w:r w:rsidR="00E50F31" w:rsidRPr="00373D9E">
        <w:rPr>
          <w:sz w:val="20"/>
          <w:szCs w:val="20"/>
        </w:rPr>
        <w:t xml:space="preserve"> and </w:t>
      </w:r>
      <w:proofErr w:type="spellStart"/>
      <w:proofErr w:type="gramStart"/>
      <w:r w:rsidR="00E50F31" w:rsidRPr="00373D9E">
        <w:rPr>
          <w:sz w:val="20"/>
          <w:szCs w:val="20"/>
        </w:rPr>
        <w:t>pneumonitis</w:t>
      </w:r>
      <w:proofErr w:type="spellEnd"/>
      <w:r w:rsidR="00E50F31" w:rsidRPr="00373D9E">
        <w:rPr>
          <w:sz w:val="20"/>
          <w:szCs w:val="20"/>
        </w:rPr>
        <w:t>(</w:t>
      </w:r>
      <w:proofErr w:type="gramEnd"/>
      <w:r w:rsidR="00E50F31" w:rsidRPr="00373D9E">
        <w:rPr>
          <w:sz w:val="20"/>
          <w:szCs w:val="20"/>
        </w:rPr>
        <w:t xml:space="preserve">11). </w:t>
      </w:r>
      <w:proofErr w:type="spellStart"/>
      <w:proofErr w:type="gramStart"/>
      <w:r w:rsidR="00E50F31" w:rsidRPr="00373D9E">
        <w:rPr>
          <w:sz w:val="20"/>
          <w:szCs w:val="20"/>
        </w:rPr>
        <w:t>Ciclosporin</w:t>
      </w:r>
      <w:proofErr w:type="spellEnd"/>
      <w:r w:rsidR="00E50F31" w:rsidRPr="00373D9E">
        <w:rPr>
          <w:sz w:val="20"/>
          <w:szCs w:val="20"/>
        </w:rPr>
        <w:t xml:space="preserve"> (Oral or intravenous, unlicensed therapy for UC.)</w:t>
      </w:r>
      <w:proofErr w:type="spellStart"/>
      <w:proofErr w:type="gramEnd"/>
      <w:r w:rsidR="00E50F31" w:rsidRPr="00373D9E">
        <w:rPr>
          <w:sz w:val="20"/>
          <w:szCs w:val="20"/>
        </w:rPr>
        <w:t>Ciclosporin</w:t>
      </w:r>
      <w:proofErr w:type="spellEnd"/>
      <w:r w:rsidR="00E50F31" w:rsidRPr="00373D9E">
        <w:rPr>
          <w:sz w:val="20"/>
          <w:szCs w:val="20"/>
        </w:rPr>
        <w:t xml:space="preserve"> (</w:t>
      </w:r>
      <w:proofErr w:type="spellStart"/>
      <w:r w:rsidR="00E50F31" w:rsidRPr="00373D9E">
        <w:rPr>
          <w:sz w:val="20"/>
          <w:szCs w:val="20"/>
        </w:rPr>
        <w:t>CsA</w:t>
      </w:r>
      <w:proofErr w:type="spellEnd"/>
      <w:r w:rsidR="00E50F31" w:rsidRPr="00373D9E">
        <w:rPr>
          <w:sz w:val="20"/>
          <w:szCs w:val="20"/>
        </w:rPr>
        <w:t xml:space="preserve">) is an inhibitor of </w:t>
      </w:r>
      <w:proofErr w:type="spellStart"/>
      <w:r w:rsidR="00E50F31" w:rsidRPr="00373D9E">
        <w:rPr>
          <w:sz w:val="20"/>
          <w:szCs w:val="20"/>
        </w:rPr>
        <w:t>calcineurin</w:t>
      </w:r>
      <w:proofErr w:type="spellEnd"/>
      <w:r w:rsidR="00E50F31" w:rsidRPr="00373D9E">
        <w:rPr>
          <w:sz w:val="20"/>
          <w:szCs w:val="20"/>
        </w:rPr>
        <w:t xml:space="preserve">, </w:t>
      </w:r>
      <w:r w:rsidR="00E50F31" w:rsidRPr="00373D9E">
        <w:rPr>
          <w:sz w:val="20"/>
          <w:szCs w:val="20"/>
        </w:rPr>
        <w:lastRenderedPageBreak/>
        <w:t xml:space="preserve">preventing </w:t>
      </w:r>
      <w:proofErr w:type="spellStart"/>
      <w:r w:rsidR="00E50F31" w:rsidRPr="00373D9E">
        <w:rPr>
          <w:sz w:val="20"/>
          <w:szCs w:val="20"/>
        </w:rPr>
        <w:t>clonal</w:t>
      </w:r>
      <w:proofErr w:type="spellEnd"/>
      <w:r w:rsidR="00E50F31" w:rsidRPr="00373D9E">
        <w:rPr>
          <w:sz w:val="20"/>
          <w:szCs w:val="20"/>
        </w:rPr>
        <w:t xml:space="preserve"> expansion of T-cell subsets. </w:t>
      </w:r>
      <w:proofErr w:type="gramStart"/>
      <w:r w:rsidR="00E50F31" w:rsidRPr="00373D9E">
        <w:rPr>
          <w:sz w:val="20"/>
          <w:szCs w:val="20"/>
        </w:rPr>
        <w:t>its</w:t>
      </w:r>
      <w:proofErr w:type="gramEnd"/>
      <w:r w:rsidR="00E50F31" w:rsidRPr="00373D9E">
        <w:rPr>
          <w:sz w:val="20"/>
          <w:szCs w:val="20"/>
        </w:rPr>
        <w:t xml:space="preserve"> main role is a bridge to </w:t>
      </w:r>
      <w:proofErr w:type="spellStart"/>
      <w:r w:rsidR="00E50F31" w:rsidRPr="00373D9E">
        <w:rPr>
          <w:sz w:val="20"/>
          <w:szCs w:val="20"/>
        </w:rPr>
        <w:t>thiopurine</w:t>
      </w:r>
      <w:proofErr w:type="spellEnd"/>
      <w:r w:rsidR="00E50F31" w:rsidRPr="00373D9E">
        <w:rPr>
          <w:sz w:val="20"/>
          <w:szCs w:val="20"/>
        </w:rPr>
        <w:t xml:space="preserve"> therapy. It has a rapid onset of action and is effective in the management of severe UC. Intravenous </w:t>
      </w:r>
      <w:proofErr w:type="spellStart"/>
      <w:r w:rsidR="00E50F31" w:rsidRPr="00373D9E">
        <w:rPr>
          <w:sz w:val="20"/>
          <w:szCs w:val="20"/>
        </w:rPr>
        <w:t>CsA</w:t>
      </w:r>
      <w:proofErr w:type="spellEnd"/>
      <w:r w:rsidR="00E50F31" w:rsidRPr="00373D9E">
        <w:rPr>
          <w:sz w:val="20"/>
          <w:szCs w:val="20"/>
        </w:rPr>
        <w:t xml:space="preserve"> is rapidly effective as a salvage therapy for patients with refractory colitis, who would otherwise face</w:t>
      </w:r>
      <w:r w:rsidR="00373D9E" w:rsidRPr="00373D9E">
        <w:rPr>
          <w:rFonts w:hint="eastAsia"/>
          <w:sz w:val="20"/>
          <w:szCs w:val="20"/>
          <w:lang w:eastAsia="zh-CN"/>
        </w:rPr>
        <w:t xml:space="preserve"> </w:t>
      </w:r>
      <w:proofErr w:type="spellStart"/>
      <w:r w:rsidR="00E50F31" w:rsidRPr="00373D9E">
        <w:rPr>
          <w:sz w:val="20"/>
          <w:szCs w:val="20"/>
        </w:rPr>
        <w:t>colectomy</w:t>
      </w:r>
      <w:proofErr w:type="spellEnd"/>
      <w:r w:rsidR="00E50F31" w:rsidRPr="00373D9E">
        <w:rPr>
          <w:sz w:val="20"/>
          <w:szCs w:val="20"/>
        </w:rPr>
        <w:t xml:space="preserve">, but its use is controversial because of toxicity and long term failure rate. Its only well-documented use in </w:t>
      </w:r>
      <w:proofErr w:type="spellStart"/>
      <w:r w:rsidR="00E50F31" w:rsidRPr="00373D9E">
        <w:rPr>
          <w:sz w:val="20"/>
          <w:szCs w:val="20"/>
        </w:rPr>
        <w:t>Crohn</w:t>
      </w:r>
      <w:proofErr w:type="spellEnd"/>
      <w:r w:rsidR="00E50F31" w:rsidRPr="00373D9E">
        <w:rPr>
          <w:sz w:val="20"/>
          <w:szCs w:val="20"/>
        </w:rPr>
        <w:t xml:space="preserve"> disease is for patients with refractory fistulas or </w:t>
      </w:r>
      <w:proofErr w:type="spellStart"/>
      <w:r w:rsidR="00E50F31" w:rsidRPr="00373D9E">
        <w:rPr>
          <w:sz w:val="20"/>
          <w:szCs w:val="20"/>
        </w:rPr>
        <w:t>pyoderma</w:t>
      </w:r>
      <w:proofErr w:type="spellEnd"/>
      <w:r w:rsidR="00E50F31" w:rsidRPr="00373D9E">
        <w:rPr>
          <w:sz w:val="20"/>
          <w:szCs w:val="20"/>
        </w:rPr>
        <w:t xml:space="preserve">. Initial dose is 4 mg/kg IV in continuous infusion over 24 h; responders are converted to an oral dose of 6 to 8 mg/kg once/day with early introduction of </w:t>
      </w:r>
      <w:proofErr w:type="spellStart"/>
      <w:r w:rsidR="00E50F31" w:rsidRPr="00373D9E">
        <w:rPr>
          <w:sz w:val="20"/>
          <w:szCs w:val="20"/>
        </w:rPr>
        <w:t>azathioprine</w:t>
      </w:r>
      <w:proofErr w:type="spellEnd"/>
      <w:r w:rsidR="00E50F31" w:rsidRPr="00373D9E">
        <w:rPr>
          <w:sz w:val="20"/>
          <w:szCs w:val="20"/>
        </w:rPr>
        <w:t xml:space="preserve"> or 6-mercaptopurine</w:t>
      </w:r>
      <w:r w:rsidR="00373D9E">
        <w:rPr>
          <w:sz w:val="20"/>
          <w:szCs w:val="20"/>
        </w:rPr>
        <w:t>.</w:t>
      </w:r>
      <w:r w:rsidR="00E50F31" w:rsidRPr="00373D9E">
        <w:rPr>
          <w:sz w:val="20"/>
          <w:szCs w:val="20"/>
        </w:rPr>
        <w:t xml:space="preserve"> Long-term use (&gt; 6 mo) is contraindicated. </w:t>
      </w:r>
    </w:p>
    <w:p w:rsidR="008A2447" w:rsidRPr="00373D9E" w:rsidRDefault="008A2447" w:rsidP="00373D9E">
      <w:pPr>
        <w:pStyle w:val="Default"/>
        <w:snapToGrid w:val="0"/>
        <w:ind w:firstLine="450"/>
        <w:jc w:val="both"/>
        <w:rPr>
          <w:sz w:val="20"/>
          <w:szCs w:val="20"/>
        </w:rPr>
      </w:pPr>
      <w:r w:rsidRPr="00373D9E">
        <w:rPr>
          <w:sz w:val="20"/>
          <w:szCs w:val="20"/>
        </w:rPr>
        <w:t xml:space="preserve">Monitoring therapy62: Measurement of blood pressure, full blood count, renal function, and </w:t>
      </w:r>
      <w:proofErr w:type="spellStart"/>
      <w:r w:rsidRPr="00373D9E">
        <w:rPr>
          <w:sz w:val="20"/>
          <w:szCs w:val="20"/>
        </w:rPr>
        <w:t>CsA</w:t>
      </w:r>
      <w:proofErr w:type="spellEnd"/>
      <w:r w:rsidRPr="00373D9E">
        <w:rPr>
          <w:sz w:val="20"/>
          <w:szCs w:val="20"/>
        </w:rPr>
        <w:t xml:space="preserve"> concentration (aim 100–200 </w:t>
      </w:r>
      <w:proofErr w:type="spellStart"/>
      <w:r w:rsidRPr="00373D9E">
        <w:rPr>
          <w:sz w:val="20"/>
          <w:szCs w:val="20"/>
        </w:rPr>
        <w:t>ng</w:t>
      </w:r>
      <w:proofErr w:type="spellEnd"/>
      <w:r w:rsidRPr="00373D9E">
        <w:rPr>
          <w:sz w:val="20"/>
          <w:szCs w:val="20"/>
        </w:rPr>
        <w:t>/ml) are advisable at 0, 1, and 2 weeks, then monthly. Measurement of blood cholesterol and magnesium are appropriate before starting therapy</w:t>
      </w:r>
      <w:r w:rsidR="00373D9E">
        <w:rPr>
          <w:sz w:val="20"/>
          <w:szCs w:val="20"/>
        </w:rPr>
        <w:t>.</w:t>
      </w:r>
    </w:p>
    <w:p w:rsidR="008A2447" w:rsidRPr="00613E1C" w:rsidRDefault="008A2447" w:rsidP="00613E1C">
      <w:pPr>
        <w:pStyle w:val="Default"/>
        <w:snapToGrid w:val="0"/>
        <w:jc w:val="both"/>
        <w:rPr>
          <w:b/>
          <w:sz w:val="20"/>
          <w:szCs w:val="20"/>
        </w:rPr>
      </w:pPr>
      <w:r w:rsidRPr="00613E1C">
        <w:rPr>
          <w:b/>
          <w:sz w:val="20"/>
          <w:szCs w:val="20"/>
        </w:rPr>
        <w:t xml:space="preserve">Side effects </w:t>
      </w:r>
    </w:p>
    <w:p w:rsidR="008A2447" w:rsidRPr="00373D9E" w:rsidRDefault="008A2447" w:rsidP="00373D9E">
      <w:pPr>
        <w:pStyle w:val="Default"/>
        <w:snapToGrid w:val="0"/>
        <w:ind w:firstLine="450"/>
        <w:jc w:val="both"/>
        <w:rPr>
          <w:sz w:val="20"/>
          <w:szCs w:val="20"/>
        </w:rPr>
      </w:pPr>
      <w:r w:rsidRPr="00373D9E">
        <w:rPr>
          <w:sz w:val="20"/>
          <w:szCs w:val="20"/>
        </w:rPr>
        <w:t xml:space="preserve">Tremor, </w:t>
      </w:r>
      <w:proofErr w:type="spellStart"/>
      <w:r w:rsidRPr="00373D9E">
        <w:rPr>
          <w:sz w:val="20"/>
          <w:szCs w:val="20"/>
        </w:rPr>
        <w:t>paraesthesiae</w:t>
      </w:r>
      <w:proofErr w:type="spellEnd"/>
      <w:r w:rsidRPr="00373D9E">
        <w:rPr>
          <w:sz w:val="20"/>
          <w:szCs w:val="20"/>
        </w:rPr>
        <w:t xml:space="preserve">, malaise, headache, abnormal liver function, gingival hyperplasia, </w:t>
      </w:r>
      <w:proofErr w:type="spellStart"/>
      <w:r w:rsidRPr="00373D9E">
        <w:rPr>
          <w:sz w:val="20"/>
          <w:szCs w:val="20"/>
        </w:rPr>
        <w:t>hirsutism</w:t>
      </w:r>
      <w:proofErr w:type="spellEnd"/>
      <w:r w:rsidRPr="00373D9E">
        <w:rPr>
          <w:sz w:val="20"/>
          <w:szCs w:val="20"/>
        </w:rPr>
        <w:t xml:space="preserve">, renal impairment, infections, and </w:t>
      </w:r>
      <w:proofErr w:type="gramStart"/>
      <w:r w:rsidRPr="00373D9E">
        <w:rPr>
          <w:sz w:val="20"/>
          <w:szCs w:val="20"/>
        </w:rPr>
        <w:t>neurotoxicity(</w:t>
      </w:r>
      <w:proofErr w:type="gramEnd"/>
      <w:r w:rsidRPr="00373D9E">
        <w:rPr>
          <w:sz w:val="20"/>
          <w:szCs w:val="20"/>
        </w:rPr>
        <w:t xml:space="preserve">12). </w:t>
      </w:r>
    </w:p>
    <w:p w:rsidR="008A2447" w:rsidRPr="00FE636C" w:rsidRDefault="008A2447" w:rsidP="00FE636C">
      <w:pPr>
        <w:pStyle w:val="Default"/>
        <w:snapToGrid w:val="0"/>
        <w:jc w:val="both"/>
        <w:rPr>
          <w:b/>
          <w:sz w:val="20"/>
          <w:szCs w:val="20"/>
        </w:rPr>
      </w:pPr>
      <w:proofErr w:type="spellStart"/>
      <w:r w:rsidRPr="00FE636C">
        <w:rPr>
          <w:b/>
          <w:sz w:val="20"/>
          <w:szCs w:val="20"/>
        </w:rPr>
        <w:t>Infliximab</w:t>
      </w:r>
      <w:proofErr w:type="spellEnd"/>
      <w:r w:rsidRPr="00FE636C">
        <w:rPr>
          <w:b/>
          <w:sz w:val="20"/>
          <w:szCs w:val="20"/>
        </w:rPr>
        <w:t xml:space="preserve"> </w:t>
      </w:r>
    </w:p>
    <w:p w:rsidR="008A2447" w:rsidRPr="00373D9E" w:rsidRDefault="008A2447" w:rsidP="00373D9E">
      <w:pPr>
        <w:pStyle w:val="Default"/>
        <w:snapToGrid w:val="0"/>
        <w:ind w:firstLine="450"/>
        <w:jc w:val="both"/>
        <w:rPr>
          <w:sz w:val="20"/>
          <w:szCs w:val="20"/>
        </w:rPr>
      </w:pPr>
      <w:proofErr w:type="spellStart"/>
      <w:r w:rsidRPr="00373D9E">
        <w:rPr>
          <w:sz w:val="20"/>
          <w:szCs w:val="20"/>
        </w:rPr>
        <w:t>Infliximab</w:t>
      </w:r>
      <w:proofErr w:type="spellEnd"/>
      <w:r w:rsidRPr="00373D9E">
        <w:rPr>
          <w:sz w:val="20"/>
          <w:szCs w:val="20"/>
        </w:rPr>
        <w:t xml:space="preserve"> (</w:t>
      </w:r>
      <w:proofErr w:type="spellStart"/>
      <w:r w:rsidRPr="00373D9E">
        <w:rPr>
          <w:sz w:val="20"/>
          <w:szCs w:val="20"/>
        </w:rPr>
        <w:t>Remicade</w:t>
      </w:r>
      <w:proofErr w:type="spellEnd"/>
      <w:r w:rsidRPr="00373D9E">
        <w:rPr>
          <w:sz w:val="20"/>
          <w:szCs w:val="20"/>
        </w:rPr>
        <w:t xml:space="preserve">) is an anti-TNF-alpha monoclonal antibody that is administered by infusion for the treatment of active and </w:t>
      </w:r>
      <w:proofErr w:type="spellStart"/>
      <w:r w:rsidRPr="00373D9E">
        <w:rPr>
          <w:sz w:val="20"/>
          <w:szCs w:val="20"/>
        </w:rPr>
        <w:t>fistulatingCrohn</w:t>
      </w:r>
      <w:proofErr w:type="spellEnd"/>
      <w:r w:rsidRPr="00373D9E">
        <w:rPr>
          <w:sz w:val="20"/>
          <w:szCs w:val="20"/>
        </w:rPr>
        <w:t xml:space="preserve"> disease. </w:t>
      </w:r>
      <w:proofErr w:type="spellStart"/>
      <w:r w:rsidRPr="00373D9E">
        <w:rPr>
          <w:sz w:val="20"/>
          <w:szCs w:val="20"/>
        </w:rPr>
        <w:t>Infliximab</w:t>
      </w:r>
      <w:proofErr w:type="spellEnd"/>
      <w:r w:rsidRPr="00373D9E">
        <w:rPr>
          <w:sz w:val="20"/>
          <w:szCs w:val="20"/>
        </w:rPr>
        <w:t xml:space="preserve"> is FDA approved for both ulcerative colitis and </w:t>
      </w:r>
      <w:proofErr w:type="spellStart"/>
      <w:r w:rsidRPr="00373D9E">
        <w:rPr>
          <w:sz w:val="20"/>
          <w:szCs w:val="20"/>
        </w:rPr>
        <w:t>Crohn</w:t>
      </w:r>
      <w:proofErr w:type="spellEnd"/>
      <w:r w:rsidRPr="00373D9E">
        <w:rPr>
          <w:sz w:val="20"/>
          <w:szCs w:val="20"/>
        </w:rPr>
        <w:t xml:space="preserve"> disease; it appears to have a higher efficacy rate in </w:t>
      </w:r>
      <w:proofErr w:type="spellStart"/>
      <w:r w:rsidRPr="00373D9E">
        <w:rPr>
          <w:sz w:val="20"/>
          <w:szCs w:val="20"/>
        </w:rPr>
        <w:t>Crohn</w:t>
      </w:r>
      <w:proofErr w:type="spellEnd"/>
      <w:r w:rsidRPr="00373D9E">
        <w:rPr>
          <w:sz w:val="20"/>
          <w:szCs w:val="20"/>
        </w:rPr>
        <w:t xml:space="preserve"> disease. </w:t>
      </w:r>
      <w:proofErr w:type="spellStart"/>
      <w:r w:rsidRPr="00373D9E">
        <w:rPr>
          <w:sz w:val="20"/>
          <w:szCs w:val="20"/>
        </w:rPr>
        <w:t>Infliximab</w:t>
      </w:r>
      <w:proofErr w:type="spellEnd"/>
      <w:r w:rsidRPr="00373D9E">
        <w:rPr>
          <w:sz w:val="20"/>
          <w:szCs w:val="20"/>
        </w:rPr>
        <w:t xml:space="preserve"> is generally administered as 3 separate infusions of 5 mg/kg over 2 h for the induction of remission of moderate to severe IBD at weeks 0, 2, and 6, followed by infusions every 8 weeks for maintenance of remission. </w:t>
      </w:r>
      <w:proofErr w:type="gramStart"/>
      <w:r w:rsidRPr="00373D9E">
        <w:rPr>
          <w:sz w:val="20"/>
          <w:szCs w:val="20"/>
        </w:rPr>
        <w:t>the</w:t>
      </w:r>
      <w:proofErr w:type="gramEnd"/>
      <w:r w:rsidRPr="00373D9E">
        <w:rPr>
          <w:sz w:val="20"/>
          <w:szCs w:val="20"/>
        </w:rPr>
        <w:t xml:space="preserve"> dose needs to be increased or the interval needs to be shortened within a year or so(13). </w:t>
      </w:r>
    </w:p>
    <w:p w:rsidR="008A2447" w:rsidRPr="00373D9E" w:rsidRDefault="008A2447" w:rsidP="00373D9E">
      <w:pPr>
        <w:pStyle w:val="Default"/>
        <w:snapToGrid w:val="0"/>
        <w:ind w:firstLine="450"/>
        <w:jc w:val="both"/>
        <w:rPr>
          <w:sz w:val="20"/>
          <w:szCs w:val="20"/>
        </w:rPr>
      </w:pPr>
      <w:proofErr w:type="spellStart"/>
      <w:r w:rsidRPr="00373D9E">
        <w:rPr>
          <w:sz w:val="20"/>
          <w:szCs w:val="20"/>
        </w:rPr>
        <w:t>Adalimumab</w:t>
      </w:r>
      <w:proofErr w:type="spellEnd"/>
      <w:r w:rsidRPr="00373D9E">
        <w:rPr>
          <w:sz w:val="20"/>
          <w:szCs w:val="20"/>
        </w:rPr>
        <w:t xml:space="preserve"> is given with an initial loading dose of 160 mg sc and then 80 mg sc at wk 2. After that dose, 40 mg sc is given every 2 wk. A third anti-TNF agent, </w:t>
      </w:r>
      <w:proofErr w:type="spellStart"/>
      <w:r w:rsidRPr="00373D9E">
        <w:rPr>
          <w:sz w:val="20"/>
          <w:szCs w:val="20"/>
        </w:rPr>
        <w:t>certolizumab</w:t>
      </w:r>
      <w:proofErr w:type="spellEnd"/>
      <w:r w:rsidRPr="00373D9E">
        <w:rPr>
          <w:sz w:val="20"/>
          <w:szCs w:val="20"/>
        </w:rPr>
        <w:t xml:space="preserve">, is also approved for use in </w:t>
      </w:r>
      <w:proofErr w:type="spellStart"/>
      <w:r w:rsidRPr="00373D9E">
        <w:rPr>
          <w:sz w:val="20"/>
          <w:szCs w:val="20"/>
        </w:rPr>
        <w:t>Crohn</w:t>
      </w:r>
      <w:proofErr w:type="spellEnd"/>
      <w:r w:rsidRPr="00373D9E">
        <w:rPr>
          <w:sz w:val="20"/>
          <w:szCs w:val="20"/>
        </w:rPr>
        <w:t xml:space="preserve"> disease. </w:t>
      </w:r>
      <w:proofErr w:type="spellStart"/>
      <w:r w:rsidRPr="00373D9E">
        <w:rPr>
          <w:sz w:val="20"/>
          <w:szCs w:val="20"/>
        </w:rPr>
        <w:t>Monotherapy</w:t>
      </w:r>
      <w:proofErr w:type="spellEnd"/>
      <w:r w:rsidRPr="00373D9E">
        <w:rPr>
          <w:sz w:val="20"/>
          <w:szCs w:val="20"/>
        </w:rPr>
        <w:t xml:space="preserve"> with anti-TNF agents is clearly effective for both induction and maintenance of remission, but some studies suggest better results when patients received an </w:t>
      </w:r>
      <w:proofErr w:type="spellStart"/>
      <w:r w:rsidRPr="00373D9E">
        <w:rPr>
          <w:sz w:val="20"/>
          <w:szCs w:val="20"/>
        </w:rPr>
        <w:t>immunomodulator</w:t>
      </w:r>
      <w:proofErr w:type="spellEnd"/>
      <w:r w:rsidRPr="00373D9E">
        <w:rPr>
          <w:sz w:val="20"/>
          <w:szCs w:val="20"/>
        </w:rPr>
        <w:t xml:space="preserve"> (AZA, MP, or MTX) unless these cannot be tolerated, as these probably extend the interval and reduce development of antibodies to IFX that in turn reduce efficacy and increase side </w:t>
      </w:r>
      <w:proofErr w:type="spellStart"/>
      <w:r w:rsidRPr="00373D9E">
        <w:rPr>
          <w:sz w:val="20"/>
          <w:szCs w:val="20"/>
        </w:rPr>
        <w:t>effects.certolizumabpegol</w:t>
      </w:r>
      <w:proofErr w:type="spellEnd"/>
      <w:r w:rsidRPr="00373D9E">
        <w:rPr>
          <w:sz w:val="20"/>
          <w:szCs w:val="20"/>
        </w:rPr>
        <w:t xml:space="preserve"> (</w:t>
      </w:r>
      <w:proofErr w:type="spellStart"/>
      <w:r w:rsidRPr="00373D9E">
        <w:rPr>
          <w:sz w:val="20"/>
          <w:szCs w:val="20"/>
        </w:rPr>
        <w:t>Cimzia</w:t>
      </w:r>
      <w:proofErr w:type="spellEnd"/>
      <w:r w:rsidRPr="00373D9E">
        <w:rPr>
          <w:sz w:val="20"/>
          <w:szCs w:val="20"/>
        </w:rPr>
        <w:t xml:space="preserve">), which is given by SC injection every 4 weeks. </w:t>
      </w:r>
      <w:proofErr w:type="spellStart"/>
      <w:r w:rsidRPr="00373D9E">
        <w:rPr>
          <w:sz w:val="20"/>
          <w:szCs w:val="20"/>
        </w:rPr>
        <w:t>Natalizumab</w:t>
      </w:r>
      <w:proofErr w:type="spellEnd"/>
      <w:r w:rsidRPr="00373D9E">
        <w:rPr>
          <w:sz w:val="20"/>
          <w:szCs w:val="20"/>
        </w:rPr>
        <w:t xml:space="preserve"> (</w:t>
      </w:r>
      <w:proofErr w:type="spellStart"/>
      <w:r w:rsidRPr="00373D9E">
        <w:rPr>
          <w:sz w:val="20"/>
          <w:szCs w:val="20"/>
        </w:rPr>
        <w:t>Tysabri</w:t>
      </w:r>
      <w:proofErr w:type="spellEnd"/>
      <w:r w:rsidRPr="00373D9E">
        <w:rPr>
          <w:sz w:val="20"/>
          <w:szCs w:val="20"/>
        </w:rPr>
        <w:t xml:space="preserve">), an agent aimed at preventing the accumulation of lymphocytes in the diseased bowel by blocking the effects of </w:t>
      </w:r>
      <w:proofErr w:type="spellStart"/>
      <w:r w:rsidRPr="00373D9E">
        <w:rPr>
          <w:sz w:val="20"/>
          <w:szCs w:val="20"/>
        </w:rPr>
        <w:t>integrin</w:t>
      </w:r>
      <w:proofErr w:type="spellEnd"/>
      <w:r w:rsidRPr="00373D9E">
        <w:rPr>
          <w:sz w:val="20"/>
          <w:szCs w:val="20"/>
        </w:rPr>
        <w:t xml:space="preserve">, </w:t>
      </w:r>
      <w:r w:rsidRPr="00373D9E">
        <w:rPr>
          <w:sz w:val="20"/>
          <w:szCs w:val="20"/>
        </w:rPr>
        <w:lastRenderedPageBreak/>
        <w:t xml:space="preserve">has been approved by the FDA, but it is only available through a restricted distribution program. </w:t>
      </w:r>
      <w:proofErr w:type="spellStart"/>
      <w:r w:rsidRPr="00373D9E">
        <w:rPr>
          <w:sz w:val="20"/>
          <w:szCs w:val="20"/>
        </w:rPr>
        <w:t>Natalizumab</w:t>
      </w:r>
      <w:proofErr w:type="spellEnd"/>
      <w:r w:rsidRPr="00373D9E">
        <w:rPr>
          <w:sz w:val="20"/>
          <w:szCs w:val="20"/>
        </w:rPr>
        <w:t xml:space="preserve"> is an intravenous medication that has shown efficacy in </w:t>
      </w:r>
      <w:proofErr w:type="spellStart"/>
      <w:r w:rsidRPr="00373D9E">
        <w:rPr>
          <w:sz w:val="20"/>
          <w:szCs w:val="20"/>
        </w:rPr>
        <w:t>Crohn</w:t>
      </w:r>
      <w:proofErr w:type="spellEnd"/>
      <w:r w:rsidRPr="00373D9E">
        <w:rPr>
          <w:sz w:val="20"/>
          <w:szCs w:val="20"/>
        </w:rPr>
        <w:t xml:space="preserve"> disease, but there have been 3 reports of progressive multifocal </w:t>
      </w:r>
      <w:proofErr w:type="spellStart"/>
      <w:r w:rsidRPr="00373D9E">
        <w:rPr>
          <w:sz w:val="20"/>
          <w:szCs w:val="20"/>
        </w:rPr>
        <w:t>leukoencephalopathy</w:t>
      </w:r>
      <w:proofErr w:type="spellEnd"/>
      <w:r w:rsidRPr="00373D9E">
        <w:rPr>
          <w:sz w:val="20"/>
          <w:szCs w:val="20"/>
        </w:rPr>
        <w:t xml:space="preserve">, a potentially fatal opportunistic viral infection. Risk is typically apparent in those with prior immunosuppressant exposure or with a duration of infusion for longer than 2 </w:t>
      </w:r>
      <w:proofErr w:type="gramStart"/>
      <w:r w:rsidRPr="00373D9E">
        <w:rPr>
          <w:sz w:val="20"/>
          <w:szCs w:val="20"/>
        </w:rPr>
        <w:t>years(</w:t>
      </w:r>
      <w:proofErr w:type="gramEnd"/>
      <w:r w:rsidRPr="00373D9E">
        <w:rPr>
          <w:sz w:val="20"/>
          <w:szCs w:val="20"/>
        </w:rPr>
        <w:t xml:space="preserve">14,15). </w:t>
      </w:r>
    </w:p>
    <w:p w:rsidR="008A2447" w:rsidRPr="00FE636C" w:rsidRDefault="008A2447" w:rsidP="00FE636C">
      <w:pPr>
        <w:pStyle w:val="Default"/>
        <w:snapToGrid w:val="0"/>
        <w:jc w:val="both"/>
        <w:rPr>
          <w:b/>
          <w:sz w:val="20"/>
          <w:szCs w:val="20"/>
        </w:rPr>
      </w:pPr>
      <w:r w:rsidRPr="00FE636C">
        <w:rPr>
          <w:b/>
          <w:sz w:val="20"/>
          <w:szCs w:val="20"/>
        </w:rPr>
        <w:t xml:space="preserve">Side effects </w:t>
      </w:r>
    </w:p>
    <w:p w:rsidR="008A2447" w:rsidRPr="00373D9E" w:rsidRDefault="008A2447" w:rsidP="00373D9E">
      <w:pPr>
        <w:pStyle w:val="Default"/>
        <w:snapToGrid w:val="0"/>
        <w:ind w:firstLine="450"/>
        <w:jc w:val="both"/>
        <w:rPr>
          <w:sz w:val="20"/>
          <w:szCs w:val="20"/>
        </w:rPr>
      </w:pPr>
      <w:r w:rsidRPr="00373D9E">
        <w:rPr>
          <w:sz w:val="20"/>
          <w:szCs w:val="20"/>
        </w:rPr>
        <w:t>Infusion reactions</w:t>
      </w:r>
      <w:r w:rsidR="00373D9E">
        <w:rPr>
          <w:sz w:val="20"/>
          <w:szCs w:val="20"/>
        </w:rPr>
        <w:t>,</w:t>
      </w:r>
      <w:r w:rsidRPr="00373D9E">
        <w:rPr>
          <w:sz w:val="20"/>
          <w:szCs w:val="20"/>
        </w:rPr>
        <w:t xml:space="preserve"> anaphylactic reactions and delayed reaction of joint pain and stiffness, fever, </w:t>
      </w:r>
      <w:proofErr w:type="spellStart"/>
      <w:r w:rsidRPr="00373D9E">
        <w:rPr>
          <w:sz w:val="20"/>
          <w:szCs w:val="20"/>
        </w:rPr>
        <w:t>myalgia</w:t>
      </w:r>
      <w:proofErr w:type="spellEnd"/>
      <w:r w:rsidRPr="00373D9E">
        <w:rPr>
          <w:sz w:val="20"/>
          <w:szCs w:val="20"/>
        </w:rPr>
        <w:t xml:space="preserve">, and malaise may occur. Active sepsis (for example, an abscess) is an absolute contraindication, as this risks overwhelming </w:t>
      </w:r>
      <w:proofErr w:type="spellStart"/>
      <w:r w:rsidRPr="00373D9E">
        <w:rPr>
          <w:sz w:val="20"/>
          <w:szCs w:val="20"/>
        </w:rPr>
        <w:t>septicaemia</w:t>
      </w:r>
      <w:proofErr w:type="spellEnd"/>
      <w:r w:rsidRPr="00373D9E">
        <w:rPr>
          <w:sz w:val="20"/>
          <w:szCs w:val="20"/>
        </w:rPr>
        <w:t xml:space="preserve">. </w:t>
      </w:r>
      <w:proofErr w:type="gramStart"/>
      <w:r w:rsidRPr="00373D9E">
        <w:rPr>
          <w:sz w:val="20"/>
          <w:szCs w:val="20"/>
        </w:rPr>
        <w:t>Reactivation or development of tuberculosis.</w:t>
      </w:r>
      <w:proofErr w:type="gramEnd"/>
      <w:r w:rsidRPr="00373D9E">
        <w:rPr>
          <w:sz w:val="20"/>
          <w:szCs w:val="20"/>
        </w:rPr>
        <w:t xml:space="preserve"> IFX may exacerbate existing cardiac failure. The theoretical risk of </w:t>
      </w:r>
      <w:proofErr w:type="spellStart"/>
      <w:r w:rsidRPr="00373D9E">
        <w:rPr>
          <w:sz w:val="20"/>
          <w:szCs w:val="20"/>
        </w:rPr>
        <w:t>lymphoproliferative</w:t>
      </w:r>
      <w:proofErr w:type="spellEnd"/>
      <w:r w:rsidRPr="00373D9E">
        <w:rPr>
          <w:sz w:val="20"/>
          <w:szCs w:val="20"/>
        </w:rPr>
        <w:t xml:space="preserve"> disorders or malignancy (in view of the role of endogenous TNF in tumor suppression) has not been confirmed. Before anti-TNF agents are administered, screening should be done for coexistent infection with </w:t>
      </w:r>
      <w:proofErr w:type="spellStart"/>
      <w:r w:rsidRPr="00373D9E">
        <w:rPr>
          <w:sz w:val="20"/>
          <w:szCs w:val="20"/>
        </w:rPr>
        <w:t>perianal</w:t>
      </w:r>
      <w:proofErr w:type="spellEnd"/>
      <w:r w:rsidRPr="00373D9E">
        <w:rPr>
          <w:sz w:val="20"/>
          <w:szCs w:val="20"/>
        </w:rPr>
        <w:t xml:space="preserve"> and abdominal abscess (including </w:t>
      </w:r>
      <w:r w:rsidRPr="00373D9E">
        <w:rPr>
          <w:i/>
          <w:iCs/>
          <w:sz w:val="20"/>
          <w:szCs w:val="20"/>
        </w:rPr>
        <w:t>Mycobacterium tuberculosis</w:t>
      </w:r>
      <w:r w:rsidRPr="00373D9E">
        <w:rPr>
          <w:sz w:val="20"/>
          <w:szCs w:val="20"/>
        </w:rPr>
        <w:t xml:space="preserve">), and caution is advised if a patient is a carrier for the hepatitis B </w:t>
      </w:r>
      <w:proofErr w:type="gramStart"/>
      <w:r w:rsidRPr="00373D9E">
        <w:rPr>
          <w:sz w:val="20"/>
          <w:szCs w:val="20"/>
        </w:rPr>
        <w:t>virus(</w:t>
      </w:r>
      <w:proofErr w:type="gramEnd"/>
      <w:r w:rsidRPr="00373D9E">
        <w:rPr>
          <w:sz w:val="20"/>
          <w:szCs w:val="20"/>
        </w:rPr>
        <w:t xml:space="preserve">16). </w:t>
      </w:r>
    </w:p>
    <w:p w:rsidR="008A2447" w:rsidRPr="00373D9E" w:rsidRDefault="008A2447" w:rsidP="00373D9E">
      <w:pPr>
        <w:pStyle w:val="Default"/>
        <w:snapToGrid w:val="0"/>
        <w:ind w:firstLine="450"/>
        <w:jc w:val="both"/>
        <w:rPr>
          <w:sz w:val="20"/>
          <w:szCs w:val="20"/>
        </w:rPr>
      </w:pPr>
      <w:r w:rsidRPr="00373D9E">
        <w:rPr>
          <w:sz w:val="20"/>
          <w:szCs w:val="20"/>
        </w:rPr>
        <w:t xml:space="preserve">Antibiotics and </w:t>
      </w:r>
      <w:proofErr w:type="spellStart"/>
      <w:r w:rsidRPr="00373D9E">
        <w:rPr>
          <w:sz w:val="20"/>
          <w:szCs w:val="20"/>
        </w:rPr>
        <w:t>probiotics</w:t>
      </w:r>
      <w:proofErr w:type="spellEnd"/>
      <w:r w:rsidRPr="00373D9E">
        <w:rPr>
          <w:sz w:val="20"/>
          <w:szCs w:val="20"/>
        </w:rPr>
        <w:t xml:space="preserve">: </w:t>
      </w:r>
      <w:proofErr w:type="spellStart"/>
      <w:r w:rsidRPr="00373D9E">
        <w:rPr>
          <w:sz w:val="20"/>
          <w:szCs w:val="20"/>
        </w:rPr>
        <w:t>Antituberculosis</w:t>
      </w:r>
      <w:proofErr w:type="spellEnd"/>
      <w:r w:rsidRPr="00373D9E">
        <w:rPr>
          <w:sz w:val="20"/>
          <w:szCs w:val="20"/>
        </w:rPr>
        <w:t xml:space="preserve"> therapy, </w:t>
      </w:r>
      <w:proofErr w:type="spellStart"/>
      <w:r w:rsidRPr="00373D9E">
        <w:rPr>
          <w:sz w:val="20"/>
          <w:szCs w:val="20"/>
        </w:rPr>
        <w:t>macrolides</w:t>
      </w:r>
      <w:proofErr w:type="spellEnd"/>
      <w:r w:rsidRPr="00373D9E">
        <w:rPr>
          <w:sz w:val="20"/>
          <w:szCs w:val="20"/>
        </w:rPr>
        <w:t xml:space="preserve">, </w:t>
      </w:r>
      <w:proofErr w:type="spellStart"/>
      <w:r w:rsidRPr="00373D9E">
        <w:rPr>
          <w:sz w:val="20"/>
          <w:szCs w:val="20"/>
        </w:rPr>
        <w:t>fluoroquinolones</w:t>
      </w:r>
      <w:proofErr w:type="spellEnd"/>
      <w:r w:rsidRPr="00373D9E">
        <w:rPr>
          <w:sz w:val="20"/>
          <w:szCs w:val="20"/>
        </w:rPr>
        <w:t xml:space="preserve">, 5-nitroimidazoles, and </w:t>
      </w:r>
      <w:proofErr w:type="spellStart"/>
      <w:r w:rsidRPr="00373D9E">
        <w:rPr>
          <w:sz w:val="20"/>
          <w:szCs w:val="20"/>
        </w:rPr>
        <w:t>rifaximin</w:t>
      </w:r>
      <w:proofErr w:type="spellEnd"/>
      <w:r w:rsidRPr="00373D9E">
        <w:rPr>
          <w:sz w:val="20"/>
          <w:szCs w:val="20"/>
        </w:rPr>
        <w:t xml:space="preserve"> (alone or in combination) have not consistently been shown to induce remission in selective active </w:t>
      </w:r>
      <w:proofErr w:type="spellStart"/>
      <w:r w:rsidRPr="00373D9E">
        <w:rPr>
          <w:sz w:val="20"/>
          <w:szCs w:val="20"/>
        </w:rPr>
        <w:t>Crohn</w:t>
      </w:r>
      <w:proofErr w:type="spellEnd"/>
      <w:r w:rsidRPr="00373D9E">
        <w:rPr>
          <w:sz w:val="20"/>
          <w:szCs w:val="20"/>
        </w:rPr>
        <w:t xml:space="preserve"> disease and have rarely been shown to induce remission in ulcerative colitis. Antibiotics may be helpful in </w:t>
      </w:r>
      <w:proofErr w:type="spellStart"/>
      <w:r w:rsidRPr="00373D9E">
        <w:rPr>
          <w:sz w:val="20"/>
          <w:szCs w:val="20"/>
        </w:rPr>
        <w:t>Crohn</w:t>
      </w:r>
      <w:proofErr w:type="spellEnd"/>
      <w:r w:rsidRPr="00373D9E">
        <w:rPr>
          <w:sz w:val="20"/>
          <w:szCs w:val="20"/>
        </w:rPr>
        <w:t xml:space="preserve"> disease but are of limited use in UC. </w:t>
      </w:r>
      <w:proofErr w:type="spellStart"/>
      <w:r w:rsidRPr="00373D9E">
        <w:rPr>
          <w:sz w:val="20"/>
          <w:szCs w:val="20"/>
        </w:rPr>
        <w:t>Metronidazole</w:t>
      </w:r>
      <w:proofErr w:type="spellEnd"/>
      <w:r w:rsidRPr="00373D9E">
        <w:rPr>
          <w:sz w:val="20"/>
          <w:szCs w:val="20"/>
        </w:rPr>
        <w:t xml:space="preserve"> 500 to 750 mg </w:t>
      </w:r>
      <w:proofErr w:type="spellStart"/>
      <w:r w:rsidRPr="00373D9E">
        <w:rPr>
          <w:sz w:val="20"/>
          <w:szCs w:val="20"/>
        </w:rPr>
        <w:t>potid</w:t>
      </w:r>
      <w:proofErr w:type="spellEnd"/>
      <w:r w:rsidRPr="00373D9E">
        <w:rPr>
          <w:sz w:val="20"/>
          <w:szCs w:val="20"/>
        </w:rPr>
        <w:t xml:space="preserve"> for 4 to 8 wk may control mild </w:t>
      </w:r>
      <w:proofErr w:type="spellStart"/>
      <w:r w:rsidRPr="00373D9E">
        <w:rPr>
          <w:sz w:val="20"/>
          <w:szCs w:val="20"/>
        </w:rPr>
        <w:t>Crohn</w:t>
      </w:r>
      <w:proofErr w:type="spellEnd"/>
      <w:r w:rsidRPr="00373D9E">
        <w:rPr>
          <w:sz w:val="20"/>
          <w:szCs w:val="20"/>
        </w:rPr>
        <w:t xml:space="preserve"> disease and help heal fistulas. Ciprofloxacin 500 to 750 mg </w:t>
      </w:r>
      <w:proofErr w:type="spellStart"/>
      <w:r w:rsidRPr="00373D9E">
        <w:rPr>
          <w:sz w:val="20"/>
          <w:szCs w:val="20"/>
        </w:rPr>
        <w:t>po</w:t>
      </w:r>
      <w:proofErr w:type="spellEnd"/>
      <w:r w:rsidRPr="00373D9E">
        <w:rPr>
          <w:sz w:val="20"/>
          <w:szCs w:val="20"/>
        </w:rPr>
        <w:t xml:space="preserve"> bid may prove less toxic. Many experts recommend </w:t>
      </w:r>
      <w:proofErr w:type="spellStart"/>
      <w:r w:rsidRPr="00373D9E">
        <w:rPr>
          <w:sz w:val="20"/>
          <w:szCs w:val="20"/>
        </w:rPr>
        <w:t>metronidazole</w:t>
      </w:r>
      <w:proofErr w:type="spellEnd"/>
      <w:r w:rsidRPr="00373D9E">
        <w:rPr>
          <w:sz w:val="20"/>
          <w:szCs w:val="20"/>
        </w:rPr>
        <w:t xml:space="preserve"> and ciprofloxacin in combination. </w:t>
      </w:r>
      <w:proofErr w:type="spellStart"/>
      <w:r w:rsidRPr="00373D9E">
        <w:rPr>
          <w:sz w:val="20"/>
          <w:szCs w:val="20"/>
        </w:rPr>
        <w:t>Rifaximin</w:t>
      </w:r>
      <w:proofErr w:type="spellEnd"/>
      <w:r w:rsidR="00373D9E">
        <w:rPr>
          <w:sz w:val="20"/>
          <w:szCs w:val="20"/>
        </w:rPr>
        <w:t>,</w:t>
      </w:r>
      <w:r w:rsidRPr="00373D9E">
        <w:rPr>
          <w:sz w:val="20"/>
          <w:szCs w:val="20"/>
        </w:rPr>
        <w:t xml:space="preserve"> a </w:t>
      </w:r>
      <w:proofErr w:type="spellStart"/>
      <w:r w:rsidRPr="00373D9E">
        <w:rPr>
          <w:sz w:val="20"/>
          <w:szCs w:val="20"/>
        </w:rPr>
        <w:t>nonabsorbable</w:t>
      </w:r>
      <w:proofErr w:type="spellEnd"/>
      <w:r w:rsidRPr="00373D9E">
        <w:rPr>
          <w:sz w:val="20"/>
          <w:szCs w:val="20"/>
        </w:rPr>
        <w:t xml:space="preserve"> antibiotic, at a dose of 200 mg </w:t>
      </w:r>
      <w:proofErr w:type="spellStart"/>
      <w:r w:rsidRPr="00373D9E">
        <w:rPr>
          <w:sz w:val="20"/>
          <w:szCs w:val="20"/>
        </w:rPr>
        <w:t>potid</w:t>
      </w:r>
      <w:proofErr w:type="spellEnd"/>
      <w:r w:rsidRPr="00373D9E">
        <w:rPr>
          <w:sz w:val="20"/>
          <w:szCs w:val="20"/>
        </w:rPr>
        <w:t xml:space="preserve"> or 800 mg </w:t>
      </w:r>
      <w:proofErr w:type="spellStart"/>
      <w:r w:rsidRPr="00373D9E">
        <w:rPr>
          <w:sz w:val="20"/>
          <w:szCs w:val="20"/>
        </w:rPr>
        <w:t>po</w:t>
      </w:r>
      <w:proofErr w:type="spellEnd"/>
      <w:r w:rsidRPr="00373D9E">
        <w:rPr>
          <w:sz w:val="20"/>
          <w:szCs w:val="20"/>
        </w:rPr>
        <w:t xml:space="preserve"> bid may also be beneficial as treatment for active </w:t>
      </w:r>
      <w:proofErr w:type="spellStart"/>
      <w:r w:rsidRPr="00373D9E">
        <w:rPr>
          <w:sz w:val="20"/>
          <w:szCs w:val="20"/>
        </w:rPr>
        <w:t>Crohn</w:t>
      </w:r>
      <w:proofErr w:type="spellEnd"/>
      <w:r w:rsidRPr="00373D9E">
        <w:rPr>
          <w:sz w:val="20"/>
          <w:szCs w:val="20"/>
        </w:rPr>
        <w:t xml:space="preserve"> disease. Antibiotics have potential adverse effects, including nausea, anorexia, diarrhea, and </w:t>
      </w:r>
      <w:proofErr w:type="spellStart"/>
      <w:r w:rsidRPr="00373D9E">
        <w:rPr>
          <w:sz w:val="20"/>
          <w:szCs w:val="20"/>
        </w:rPr>
        <w:t>monilial</w:t>
      </w:r>
      <w:proofErr w:type="spellEnd"/>
      <w:r w:rsidRPr="00373D9E">
        <w:rPr>
          <w:sz w:val="20"/>
          <w:szCs w:val="20"/>
        </w:rPr>
        <w:t xml:space="preserve"> (</w:t>
      </w:r>
      <w:proofErr w:type="spellStart"/>
      <w:r w:rsidRPr="00373D9E">
        <w:rPr>
          <w:sz w:val="20"/>
          <w:szCs w:val="20"/>
        </w:rPr>
        <w:t>candidal</w:t>
      </w:r>
      <w:proofErr w:type="spellEnd"/>
      <w:r w:rsidRPr="00373D9E">
        <w:rPr>
          <w:sz w:val="20"/>
          <w:szCs w:val="20"/>
        </w:rPr>
        <w:t xml:space="preserve">) infections. Peripheral neuropathy can be observed in association with </w:t>
      </w:r>
      <w:proofErr w:type="spellStart"/>
      <w:r w:rsidRPr="00373D9E">
        <w:rPr>
          <w:sz w:val="20"/>
          <w:szCs w:val="20"/>
        </w:rPr>
        <w:t>metronidazole</w:t>
      </w:r>
      <w:proofErr w:type="spellEnd"/>
      <w:r w:rsidRPr="00373D9E">
        <w:rPr>
          <w:sz w:val="20"/>
          <w:szCs w:val="20"/>
        </w:rPr>
        <w:t xml:space="preserve"> and, when present, requires discontinuation of therapy with that drug. Finally, antibiotics can also increase the risk of </w:t>
      </w:r>
      <w:r w:rsidRPr="00373D9E">
        <w:rPr>
          <w:i/>
          <w:iCs/>
          <w:sz w:val="20"/>
          <w:szCs w:val="20"/>
        </w:rPr>
        <w:t xml:space="preserve">Clostridium </w:t>
      </w:r>
      <w:proofErr w:type="spellStart"/>
      <w:r w:rsidRPr="00373D9E">
        <w:rPr>
          <w:i/>
          <w:iCs/>
          <w:sz w:val="20"/>
          <w:szCs w:val="20"/>
        </w:rPr>
        <w:t>difficile</w:t>
      </w:r>
      <w:r w:rsidRPr="00373D9E">
        <w:rPr>
          <w:sz w:val="20"/>
          <w:szCs w:val="20"/>
        </w:rPr>
        <w:t>colitis</w:t>
      </w:r>
      <w:proofErr w:type="spellEnd"/>
      <w:r w:rsidRPr="00373D9E">
        <w:rPr>
          <w:sz w:val="20"/>
          <w:szCs w:val="20"/>
        </w:rPr>
        <w:t xml:space="preserve">. </w:t>
      </w:r>
    </w:p>
    <w:p w:rsidR="008A2447" w:rsidRPr="00373D9E" w:rsidRDefault="008A2447" w:rsidP="00373D9E">
      <w:pPr>
        <w:pStyle w:val="Default"/>
        <w:snapToGrid w:val="0"/>
        <w:ind w:firstLine="450"/>
        <w:jc w:val="both"/>
        <w:rPr>
          <w:sz w:val="20"/>
          <w:szCs w:val="20"/>
        </w:rPr>
      </w:pPr>
      <w:proofErr w:type="gramStart"/>
      <w:r w:rsidRPr="00373D9E">
        <w:rPr>
          <w:sz w:val="20"/>
          <w:szCs w:val="20"/>
        </w:rPr>
        <w:t>Various nonpathogenic microorganisms (</w:t>
      </w:r>
      <w:proofErr w:type="spellStart"/>
      <w:r w:rsidRPr="00373D9E">
        <w:rPr>
          <w:sz w:val="20"/>
          <w:szCs w:val="20"/>
        </w:rPr>
        <w:t>eg</w:t>
      </w:r>
      <w:proofErr w:type="spellEnd"/>
      <w:r w:rsidRPr="00373D9E">
        <w:rPr>
          <w:sz w:val="20"/>
          <w:szCs w:val="20"/>
        </w:rPr>
        <w:t xml:space="preserve">, </w:t>
      </w:r>
      <w:proofErr w:type="spellStart"/>
      <w:r w:rsidRPr="00373D9E">
        <w:rPr>
          <w:sz w:val="20"/>
          <w:szCs w:val="20"/>
        </w:rPr>
        <w:t>commensal</w:t>
      </w:r>
      <w:proofErr w:type="spellEnd"/>
      <w:r w:rsidRPr="00373D9E">
        <w:rPr>
          <w:sz w:val="20"/>
          <w:szCs w:val="20"/>
        </w:rPr>
        <w:t xml:space="preserve"> Escherichia coli, Lactobacillus species, </w:t>
      </w:r>
      <w:proofErr w:type="spellStart"/>
      <w:r w:rsidRPr="00373D9E">
        <w:rPr>
          <w:sz w:val="20"/>
          <w:szCs w:val="20"/>
        </w:rPr>
        <w:t>Saccharomyces</w:t>
      </w:r>
      <w:proofErr w:type="spellEnd"/>
      <w:r w:rsidRPr="00373D9E">
        <w:rPr>
          <w:sz w:val="20"/>
          <w:szCs w:val="20"/>
        </w:rPr>
        <w:t xml:space="preserve">) given daily serve as </w:t>
      </w:r>
      <w:proofErr w:type="spellStart"/>
      <w:r w:rsidRPr="00373D9E">
        <w:rPr>
          <w:sz w:val="20"/>
          <w:szCs w:val="20"/>
        </w:rPr>
        <w:t>probiotics</w:t>
      </w:r>
      <w:proofErr w:type="spellEnd"/>
      <w:r w:rsidRPr="00373D9E">
        <w:rPr>
          <w:sz w:val="20"/>
          <w:szCs w:val="20"/>
        </w:rPr>
        <w:t xml:space="preserve"> and may be effective in preventing </w:t>
      </w:r>
      <w:proofErr w:type="spellStart"/>
      <w:r w:rsidRPr="00373D9E">
        <w:rPr>
          <w:sz w:val="20"/>
          <w:szCs w:val="20"/>
        </w:rPr>
        <w:t>pouchitis</w:t>
      </w:r>
      <w:proofErr w:type="spellEnd"/>
      <w:r w:rsidR="00373D9E">
        <w:rPr>
          <w:sz w:val="20"/>
          <w:szCs w:val="20"/>
        </w:rPr>
        <w:t>,</w:t>
      </w:r>
      <w:r w:rsidRPr="00373D9E">
        <w:rPr>
          <w:sz w:val="20"/>
          <w:szCs w:val="20"/>
        </w:rPr>
        <w:t xml:space="preserve"> but other therapeutic roles have yet to be clearly defined.</w:t>
      </w:r>
      <w:proofErr w:type="gramEnd"/>
      <w:r w:rsidRPr="00373D9E">
        <w:rPr>
          <w:sz w:val="20"/>
          <w:szCs w:val="20"/>
        </w:rPr>
        <w:t xml:space="preserve"> Therapeutic infestation with the parasite </w:t>
      </w:r>
      <w:proofErr w:type="spellStart"/>
      <w:r w:rsidRPr="00373D9E">
        <w:rPr>
          <w:sz w:val="20"/>
          <w:szCs w:val="20"/>
        </w:rPr>
        <w:t>Trichurissuis</w:t>
      </w:r>
      <w:proofErr w:type="spellEnd"/>
      <w:r w:rsidRPr="00373D9E">
        <w:rPr>
          <w:sz w:val="20"/>
          <w:szCs w:val="20"/>
        </w:rPr>
        <w:t xml:space="preserve"> has been tried in an effort to stimulate T2-helper cell </w:t>
      </w:r>
      <w:r w:rsidRPr="00373D9E">
        <w:rPr>
          <w:sz w:val="20"/>
          <w:szCs w:val="20"/>
        </w:rPr>
        <w:lastRenderedPageBreak/>
        <w:t>immunity and may decrease disease activity in UC</w:t>
      </w:r>
      <w:r w:rsidR="00373D9E">
        <w:rPr>
          <w:rFonts w:hint="eastAsia"/>
          <w:sz w:val="20"/>
          <w:szCs w:val="20"/>
          <w:lang w:eastAsia="zh-CN"/>
        </w:rPr>
        <w:t xml:space="preserve"> </w:t>
      </w:r>
      <w:r w:rsidRPr="00373D9E">
        <w:rPr>
          <w:sz w:val="20"/>
          <w:szCs w:val="20"/>
        </w:rPr>
        <w:t xml:space="preserve">(17). </w:t>
      </w:r>
    </w:p>
    <w:p w:rsidR="008A2447" w:rsidRPr="00FE636C" w:rsidRDefault="008A2447" w:rsidP="00FE636C">
      <w:pPr>
        <w:pStyle w:val="Default"/>
        <w:snapToGrid w:val="0"/>
        <w:jc w:val="both"/>
        <w:rPr>
          <w:b/>
          <w:sz w:val="20"/>
          <w:szCs w:val="20"/>
        </w:rPr>
      </w:pPr>
      <w:proofErr w:type="gramStart"/>
      <w:r w:rsidRPr="00FE636C">
        <w:rPr>
          <w:b/>
          <w:sz w:val="20"/>
          <w:szCs w:val="20"/>
        </w:rPr>
        <w:t>Medical management of inflammatory bowel disease.</w:t>
      </w:r>
      <w:proofErr w:type="gramEnd"/>
    </w:p>
    <w:p w:rsidR="00E50F31" w:rsidRPr="00373D9E" w:rsidRDefault="008A2447" w:rsidP="00FE636C">
      <w:pPr>
        <w:pStyle w:val="Default"/>
        <w:snapToGrid w:val="0"/>
        <w:ind w:firstLine="450"/>
        <w:jc w:val="both"/>
        <w:rPr>
          <w:sz w:val="20"/>
          <w:szCs w:val="20"/>
          <w:lang w:eastAsia="zh-CN"/>
        </w:rPr>
      </w:pPr>
      <w:r w:rsidRPr="00373D9E">
        <w:rPr>
          <w:sz w:val="20"/>
          <w:szCs w:val="20"/>
        </w:rPr>
        <w:t xml:space="preserve">Therapeutic decisions depend on the age of the onset of the disease, patient gender and race, mode of the disease presentation, disease location, disease activity disease-associated complications such as </w:t>
      </w:r>
      <w:proofErr w:type="spellStart"/>
      <w:r w:rsidRPr="00373D9E">
        <w:rPr>
          <w:sz w:val="20"/>
          <w:szCs w:val="20"/>
        </w:rPr>
        <w:t>perianal</w:t>
      </w:r>
      <w:proofErr w:type="spellEnd"/>
      <w:r w:rsidRPr="00373D9E">
        <w:rPr>
          <w:sz w:val="20"/>
          <w:szCs w:val="20"/>
        </w:rPr>
        <w:t xml:space="preserve"> disease/fistula, and serology and genetic markers can all help to individualize disease </w:t>
      </w:r>
      <w:r w:rsidRPr="00373D9E">
        <w:rPr>
          <w:sz w:val="20"/>
          <w:szCs w:val="20"/>
        </w:rPr>
        <w:lastRenderedPageBreak/>
        <w:t xml:space="preserve">treatment. These factors can help to determine </w:t>
      </w:r>
      <w:r w:rsidRPr="00373D9E">
        <w:rPr>
          <w:rFonts w:asciiTheme="majorBidi" w:hAnsiTheme="majorBidi" w:cstheme="majorBidi"/>
          <w:sz w:val="20"/>
          <w:szCs w:val="20"/>
        </w:rPr>
        <w:t xml:space="preserve">whether one should start with 5-ASA/antibiotic/steroid [step-up where there is no risk factors for aggressive disease course] or whether one should initiate biologic therapy at diagnosis [top-down approach], and whether it is most advisable to use </w:t>
      </w:r>
      <w:proofErr w:type="spellStart"/>
      <w:r w:rsidRPr="00373D9E">
        <w:rPr>
          <w:rFonts w:asciiTheme="majorBidi" w:hAnsiTheme="majorBidi" w:cstheme="majorBidi"/>
          <w:sz w:val="20"/>
          <w:szCs w:val="20"/>
        </w:rPr>
        <w:t>monotherapy</w:t>
      </w:r>
      <w:proofErr w:type="spellEnd"/>
      <w:r w:rsidRPr="00373D9E">
        <w:rPr>
          <w:rFonts w:asciiTheme="majorBidi" w:hAnsiTheme="majorBidi" w:cstheme="majorBidi"/>
          <w:sz w:val="20"/>
          <w:szCs w:val="20"/>
        </w:rPr>
        <w:t xml:space="preserve"> with biologic treatment [e.g. in young, Caucasian male or elderly] or use a combination therapy with a biologic and an </w:t>
      </w:r>
      <w:proofErr w:type="spellStart"/>
      <w:r w:rsidRPr="00373D9E">
        <w:rPr>
          <w:rFonts w:asciiTheme="majorBidi" w:hAnsiTheme="majorBidi" w:cstheme="majorBidi"/>
          <w:sz w:val="20"/>
          <w:szCs w:val="20"/>
        </w:rPr>
        <w:t>immunomodulator</w:t>
      </w:r>
      <w:proofErr w:type="spellEnd"/>
      <w:r w:rsidR="00373D9E">
        <w:rPr>
          <w:rFonts w:asciiTheme="majorBidi" w:hAnsiTheme="majorBidi" w:cstheme="majorBidi" w:hint="eastAsia"/>
          <w:sz w:val="20"/>
          <w:szCs w:val="20"/>
          <w:lang w:eastAsia="zh-CN"/>
        </w:rPr>
        <w:t xml:space="preserve"> </w:t>
      </w:r>
      <w:r w:rsidRPr="00373D9E">
        <w:rPr>
          <w:rFonts w:asciiTheme="majorBidi" w:hAnsiTheme="majorBidi" w:cstheme="majorBidi"/>
          <w:sz w:val="20"/>
          <w:szCs w:val="20"/>
        </w:rPr>
        <w:t>(18)</w:t>
      </w:r>
      <w:r w:rsidR="00373D9E">
        <w:rPr>
          <w:rFonts w:asciiTheme="majorBidi" w:hAnsiTheme="majorBidi" w:cstheme="majorBidi" w:hint="eastAsia"/>
          <w:sz w:val="20"/>
          <w:szCs w:val="20"/>
          <w:lang w:eastAsia="zh-CN"/>
        </w:rPr>
        <w:t xml:space="preserve">. </w:t>
      </w:r>
    </w:p>
    <w:p w:rsidR="00E50F31" w:rsidRPr="00373D9E" w:rsidRDefault="00E50F31" w:rsidP="00373D9E">
      <w:pPr>
        <w:suppressAutoHyphens/>
        <w:adjustRightInd w:val="0"/>
        <w:snapToGrid w:val="0"/>
        <w:spacing w:after="0" w:line="240" w:lineRule="auto"/>
        <w:ind w:firstLine="720"/>
        <w:jc w:val="both"/>
        <w:rPr>
          <w:rFonts w:ascii="Times New Roman" w:eastAsia="SimSun" w:hAnsi="Times New Roman" w:cs="Times New Roman"/>
          <w:sz w:val="20"/>
          <w:szCs w:val="20"/>
          <w:lang w:eastAsia="ar-SA"/>
        </w:rPr>
        <w:sectPr w:rsidR="00E50F31" w:rsidRPr="00373D9E" w:rsidSect="001800A9">
          <w:footnotePr>
            <w:pos w:val="beneathText"/>
          </w:footnotePr>
          <w:type w:val="continuous"/>
          <w:pgSz w:w="12240" w:h="15840" w:code="1"/>
          <w:pgMar w:top="1440" w:right="1440" w:bottom="1440" w:left="1440" w:header="720" w:footer="720" w:gutter="0"/>
          <w:cols w:num="2" w:space="720"/>
          <w:docGrid w:linePitch="360"/>
        </w:sectPr>
      </w:pPr>
    </w:p>
    <w:p w:rsidR="008A2447" w:rsidRPr="00373D9E" w:rsidRDefault="008A2447" w:rsidP="00373D9E">
      <w:pPr>
        <w:suppressAutoHyphens/>
        <w:adjustRightInd w:val="0"/>
        <w:snapToGrid w:val="0"/>
        <w:spacing w:after="0" w:line="240" w:lineRule="auto"/>
        <w:ind w:firstLine="720"/>
        <w:jc w:val="both"/>
        <w:rPr>
          <w:rFonts w:ascii="Times New Roman" w:eastAsia="SimSun" w:hAnsi="Times New Roman" w:cs="Times New Roman"/>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3"/>
        <w:gridCol w:w="3191"/>
      </w:tblGrid>
      <w:tr w:rsidR="008A2447" w:rsidRPr="00373D9E" w:rsidTr="00373D9E">
        <w:trPr>
          <w:trHeight w:val="88"/>
        </w:trPr>
        <w:tc>
          <w:tcPr>
            <w:tcW w:w="1667" w:type="pct"/>
          </w:tcPr>
          <w:p w:rsidR="008A2447" w:rsidRPr="00373D9E" w:rsidRDefault="008A2447" w:rsidP="00373D9E">
            <w:pPr>
              <w:pStyle w:val="Default"/>
              <w:snapToGrid w:val="0"/>
              <w:jc w:val="both"/>
              <w:rPr>
                <w:sz w:val="20"/>
                <w:szCs w:val="20"/>
              </w:rPr>
            </w:pPr>
            <w:r w:rsidRPr="00373D9E">
              <w:rPr>
                <w:sz w:val="20"/>
                <w:szCs w:val="20"/>
              </w:rPr>
              <w:t xml:space="preserve">Table (1): Truelove and </w:t>
            </w:r>
            <w:proofErr w:type="spellStart"/>
            <w:r w:rsidRPr="00373D9E">
              <w:rPr>
                <w:sz w:val="20"/>
                <w:szCs w:val="20"/>
              </w:rPr>
              <w:t>Witts</w:t>
            </w:r>
            <w:proofErr w:type="spellEnd"/>
            <w:r w:rsidRPr="00373D9E">
              <w:rPr>
                <w:sz w:val="20"/>
                <w:szCs w:val="20"/>
              </w:rPr>
              <w:t xml:space="preserve"> for U/C(19) </w:t>
            </w:r>
            <w:r w:rsidRPr="00373D9E">
              <w:rPr>
                <w:b/>
                <w:bCs/>
                <w:sz w:val="20"/>
                <w:szCs w:val="20"/>
              </w:rPr>
              <w:t xml:space="preserve">Symptoms </w:t>
            </w:r>
          </w:p>
        </w:tc>
        <w:tc>
          <w:tcPr>
            <w:tcW w:w="1667" w:type="pct"/>
          </w:tcPr>
          <w:p w:rsidR="008A2447" w:rsidRPr="00373D9E" w:rsidRDefault="008A2447" w:rsidP="00373D9E">
            <w:pPr>
              <w:pStyle w:val="Default"/>
              <w:snapToGrid w:val="0"/>
              <w:jc w:val="both"/>
              <w:rPr>
                <w:sz w:val="20"/>
                <w:szCs w:val="20"/>
              </w:rPr>
            </w:pPr>
            <w:r w:rsidRPr="00373D9E">
              <w:rPr>
                <w:b/>
                <w:bCs/>
                <w:sz w:val="20"/>
                <w:szCs w:val="20"/>
              </w:rPr>
              <w:t xml:space="preserve">Mild Activity </w:t>
            </w:r>
          </w:p>
        </w:tc>
        <w:tc>
          <w:tcPr>
            <w:tcW w:w="1667" w:type="pct"/>
          </w:tcPr>
          <w:p w:rsidR="008A2447" w:rsidRPr="00373D9E" w:rsidRDefault="008A2447" w:rsidP="00373D9E">
            <w:pPr>
              <w:pStyle w:val="Default"/>
              <w:snapToGrid w:val="0"/>
              <w:jc w:val="both"/>
              <w:rPr>
                <w:sz w:val="20"/>
                <w:szCs w:val="20"/>
              </w:rPr>
            </w:pPr>
            <w:r w:rsidRPr="00373D9E">
              <w:rPr>
                <w:b/>
                <w:bCs/>
                <w:sz w:val="20"/>
                <w:szCs w:val="20"/>
              </w:rPr>
              <w:t xml:space="preserve">Severe Activity </w:t>
            </w:r>
          </w:p>
        </w:tc>
      </w:tr>
      <w:tr w:rsidR="008A2447" w:rsidRPr="00373D9E" w:rsidTr="00373D9E">
        <w:trPr>
          <w:trHeight w:val="668"/>
        </w:trPr>
        <w:tc>
          <w:tcPr>
            <w:tcW w:w="1667" w:type="pct"/>
          </w:tcPr>
          <w:p w:rsidR="008A2447" w:rsidRPr="00373D9E" w:rsidRDefault="008A2447" w:rsidP="00373D9E">
            <w:pPr>
              <w:pStyle w:val="Default"/>
              <w:snapToGrid w:val="0"/>
              <w:jc w:val="both"/>
              <w:rPr>
                <w:sz w:val="20"/>
                <w:szCs w:val="20"/>
              </w:rPr>
            </w:pPr>
            <w:r w:rsidRPr="00373D9E">
              <w:rPr>
                <w:b/>
                <w:bCs/>
                <w:sz w:val="20"/>
                <w:szCs w:val="20"/>
              </w:rPr>
              <w:t xml:space="preserve">Daily BMs </w:t>
            </w:r>
          </w:p>
          <w:p w:rsidR="008A2447" w:rsidRPr="00373D9E" w:rsidRDefault="008A2447" w:rsidP="00373D9E">
            <w:pPr>
              <w:pStyle w:val="Default"/>
              <w:snapToGrid w:val="0"/>
              <w:jc w:val="both"/>
              <w:rPr>
                <w:sz w:val="20"/>
                <w:szCs w:val="20"/>
              </w:rPr>
            </w:pPr>
            <w:r w:rsidRPr="00373D9E">
              <w:rPr>
                <w:b/>
                <w:bCs/>
                <w:sz w:val="20"/>
                <w:szCs w:val="20"/>
              </w:rPr>
              <w:t xml:space="preserve">Rectal Bleeding </w:t>
            </w:r>
          </w:p>
          <w:p w:rsidR="008A2447" w:rsidRPr="00373D9E" w:rsidRDefault="008A2447" w:rsidP="00373D9E">
            <w:pPr>
              <w:pStyle w:val="Default"/>
              <w:snapToGrid w:val="0"/>
              <w:jc w:val="both"/>
              <w:rPr>
                <w:sz w:val="20"/>
                <w:szCs w:val="20"/>
              </w:rPr>
            </w:pPr>
            <w:r w:rsidRPr="00373D9E">
              <w:rPr>
                <w:b/>
                <w:bCs/>
                <w:sz w:val="20"/>
                <w:szCs w:val="20"/>
              </w:rPr>
              <w:t xml:space="preserve">Temperature </w:t>
            </w:r>
          </w:p>
          <w:p w:rsidR="008A2447" w:rsidRPr="00373D9E" w:rsidRDefault="008A2447" w:rsidP="00373D9E">
            <w:pPr>
              <w:pStyle w:val="Default"/>
              <w:snapToGrid w:val="0"/>
              <w:jc w:val="both"/>
              <w:rPr>
                <w:sz w:val="20"/>
                <w:szCs w:val="20"/>
              </w:rPr>
            </w:pPr>
            <w:r w:rsidRPr="00373D9E">
              <w:rPr>
                <w:b/>
                <w:bCs/>
                <w:sz w:val="20"/>
                <w:szCs w:val="20"/>
              </w:rPr>
              <w:t xml:space="preserve">Heart Rate </w:t>
            </w:r>
          </w:p>
          <w:p w:rsidR="008A2447" w:rsidRPr="00373D9E" w:rsidRDefault="008A2447" w:rsidP="00373D9E">
            <w:pPr>
              <w:pStyle w:val="Default"/>
              <w:snapToGrid w:val="0"/>
              <w:jc w:val="both"/>
              <w:rPr>
                <w:sz w:val="20"/>
                <w:szCs w:val="20"/>
              </w:rPr>
            </w:pPr>
            <w:r w:rsidRPr="00373D9E">
              <w:rPr>
                <w:b/>
                <w:bCs/>
                <w:sz w:val="20"/>
                <w:szCs w:val="20"/>
              </w:rPr>
              <w:t xml:space="preserve">Hemoglobin </w:t>
            </w:r>
          </w:p>
          <w:p w:rsidR="008A2447" w:rsidRPr="00373D9E" w:rsidRDefault="008A2447" w:rsidP="00373D9E">
            <w:pPr>
              <w:pStyle w:val="Default"/>
              <w:snapToGrid w:val="0"/>
              <w:jc w:val="both"/>
              <w:rPr>
                <w:sz w:val="20"/>
                <w:szCs w:val="20"/>
              </w:rPr>
            </w:pPr>
            <w:proofErr w:type="spellStart"/>
            <w:r w:rsidRPr="00373D9E">
              <w:rPr>
                <w:b/>
                <w:bCs/>
                <w:sz w:val="20"/>
                <w:szCs w:val="20"/>
              </w:rPr>
              <w:t>Sed</w:t>
            </w:r>
            <w:proofErr w:type="spellEnd"/>
            <w:r w:rsidRPr="00373D9E">
              <w:rPr>
                <w:b/>
                <w:bCs/>
                <w:sz w:val="20"/>
                <w:szCs w:val="20"/>
              </w:rPr>
              <w:t xml:space="preserve"> Rate </w:t>
            </w:r>
          </w:p>
        </w:tc>
        <w:tc>
          <w:tcPr>
            <w:tcW w:w="1667" w:type="pct"/>
          </w:tcPr>
          <w:p w:rsidR="008A2447" w:rsidRPr="00373D9E" w:rsidRDefault="008A2447" w:rsidP="00373D9E">
            <w:pPr>
              <w:pStyle w:val="Default"/>
              <w:snapToGrid w:val="0"/>
              <w:jc w:val="both"/>
              <w:rPr>
                <w:sz w:val="20"/>
                <w:szCs w:val="20"/>
              </w:rPr>
            </w:pPr>
            <w:r w:rsidRPr="00373D9E">
              <w:rPr>
                <w:sz w:val="20"/>
                <w:szCs w:val="20"/>
              </w:rPr>
              <w:t xml:space="preserve">&lt; 4 </w:t>
            </w:r>
          </w:p>
          <w:p w:rsidR="008A2447" w:rsidRPr="00373D9E" w:rsidRDefault="008A2447" w:rsidP="00373D9E">
            <w:pPr>
              <w:pStyle w:val="Default"/>
              <w:snapToGrid w:val="0"/>
              <w:jc w:val="both"/>
              <w:rPr>
                <w:sz w:val="20"/>
                <w:szCs w:val="20"/>
              </w:rPr>
            </w:pPr>
            <w:r w:rsidRPr="00373D9E">
              <w:rPr>
                <w:sz w:val="20"/>
                <w:szCs w:val="20"/>
              </w:rPr>
              <w:t xml:space="preserve">infrequent </w:t>
            </w:r>
          </w:p>
          <w:p w:rsidR="008A2447" w:rsidRPr="00373D9E" w:rsidRDefault="008A2447" w:rsidP="00373D9E">
            <w:pPr>
              <w:pStyle w:val="Default"/>
              <w:snapToGrid w:val="0"/>
              <w:jc w:val="both"/>
              <w:rPr>
                <w:sz w:val="20"/>
                <w:szCs w:val="20"/>
              </w:rPr>
            </w:pPr>
            <w:r w:rsidRPr="00373D9E">
              <w:rPr>
                <w:sz w:val="20"/>
                <w:szCs w:val="20"/>
              </w:rPr>
              <w:t xml:space="preserve">normal </w:t>
            </w:r>
          </w:p>
          <w:p w:rsidR="008A2447" w:rsidRPr="00373D9E" w:rsidRDefault="008A2447" w:rsidP="00373D9E">
            <w:pPr>
              <w:pStyle w:val="Default"/>
              <w:snapToGrid w:val="0"/>
              <w:jc w:val="both"/>
              <w:rPr>
                <w:sz w:val="20"/>
                <w:szCs w:val="20"/>
              </w:rPr>
            </w:pPr>
            <w:r w:rsidRPr="00373D9E">
              <w:rPr>
                <w:sz w:val="20"/>
                <w:szCs w:val="20"/>
              </w:rPr>
              <w:t xml:space="preserve">&lt;90 </w:t>
            </w:r>
            <w:proofErr w:type="spellStart"/>
            <w:r w:rsidRPr="00373D9E">
              <w:rPr>
                <w:sz w:val="20"/>
                <w:szCs w:val="20"/>
              </w:rPr>
              <w:t>bpm</w:t>
            </w:r>
            <w:proofErr w:type="spellEnd"/>
          </w:p>
          <w:p w:rsidR="008A2447" w:rsidRPr="00373D9E" w:rsidRDefault="008A2447" w:rsidP="00373D9E">
            <w:pPr>
              <w:pStyle w:val="Default"/>
              <w:snapToGrid w:val="0"/>
              <w:jc w:val="both"/>
              <w:rPr>
                <w:sz w:val="20"/>
                <w:szCs w:val="20"/>
              </w:rPr>
            </w:pPr>
            <w:r w:rsidRPr="00373D9E">
              <w:rPr>
                <w:sz w:val="20"/>
                <w:szCs w:val="20"/>
              </w:rPr>
              <w:t xml:space="preserve">&gt;10gm/100mL </w:t>
            </w:r>
          </w:p>
          <w:p w:rsidR="008A2447" w:rsidRPr="00373D9E" w:rsidRDefault="008A2447" w:rsidP="00373D9E">
            <w:pPr>
              <w:pStyle w:val="Default"/>
              <w:snapToGrid w:val="0"/>
              <w:jc w:val="both"/>
              <w:rPr>
                <w:sz w:val="20"/>
                <w:szCs w:val="20"/>
              </w:rPr>
            </w:pPr>
            <w:r w:rsidRPr="00373D9E">
              <w:rPr>
                <w:sz w:val="20"/>
                <w:szCs w:val="20"/>
              </w:rPr>
              <w:t xml:space="preserve">&lt; 30 mm/h </w:t>
            </w:r>
          </w:p>
        </w:tc>
        <w:tc>
          <w:tcPr>
            <w:tcW w:w="1667" w:type="pct"/>
          </w:tcPr>
          <w:p w:rsidR="008A2447" w:rsidRPr="00373D9E" w:rsidRDefault="008A2447" w:rsidP="00373D9E">
            <w:pPr>
              <w:pStyle w:val="Default"/>
              <w:snapToGrid w:val="0"/>
              <w:jc w:val="both"/>
              <w:rPr>
                <w:sz w:val="20"/>
                <w:szCs w:val="20"/>
              </w:rPr>
            </w:pPr>
            <w:r w:rsidRPr="00373D9E">
              <w:rPr>
                <w:sz w:val="20"/>
                <w:szCs w:val="20"/>
              </w:rPr>
              <w:t xml:space="preserve">&gt;6 </w:t>
            </w:r>
          </w:p>
          <w:p w:rsidR="008A2447" w:rsidRPr="00373D9E" w:rsidRDefault="008A2447" w:rsidP="00373D9E">
            <w:pPr>
              <w:pStyle w:val="Default"/>
              <w:snapToGrid w:val="0"/>
              <w:jc w:val="both"/>
              <w:rPr>
                <w:sz w:val="20"/>
                <w:szCs w:val="20"/>
              </w:rPr>
            </w:pPr>
            <w:r w:rsidRPr="00373D9E">
              <w:rPr>
                <w:sz w:val="20"/>
                <w:szCs w:val="20"/>
              </w:rPr>
              <w:t xml:space="preserve">frequent </w:t>
            </w:r>
          </w:p>
          <w:p w:rsidR="008A2447" w:rsidRPr="00373D9E" w:rsidRDefault="008A2447" w:rsidP="00373D9E">
            <w:pPr>
              <w:pStyle w:val="Default"/>
              <w:snapToGrid w:val="0"/>
              <w:jc w:val="both"/>
              <w:rPr>
                <w:sz w:val="20"/>
                <w:szCs w:val="20"/>
              </w:rPr>
            </w:pPr>
            <w:r w:rsidRPr="00373D9E">
              <w:rPr>
                <w:sz w:val="20"/>
                <w:szCs w:val="20"/>
              </w:rPr>
              <w:t xml:space="preserve">normal </w:t>
            </w:r>
            <w:proofErr w:type="spellStart"/>
            <w:r w:rsidRPr="00373D9E">
              <w:rPr>
                <w:sz w:val="20"/>
                <w:szCs w:val="20"/>
              </w:rPr>
              <w:t>toelevated</w:t>
            </w:r>
            <w:proofErr w:type="spellEnd"/>
          </w:p>
          <w:p w:rsidR="008A2447" w:rsidRPr="00373D9E" w:rsidRDefault="008A2447" w:rsidP="00373D9E">
            <w:pPr>
              <w:pStyle w:val="Default"/>
              <w:snapToGrid w:val="0"/>
              <w:jc w:val="both"/>
              <w:rPr>
                <w:sz w:val="20"/>
                <w:szCs w:val="20"/>
              </w:rPr>
            </w:pPr>
            <w:r w:rsidRPr="00373D9E">
              <w:rPr>
                <w:sz w:val="20"/>
                <w:szCs w:val="20"/>
              </w:rPr>
              <w:t xml:space="preserve">&gt;90 </w:t>
            </w:r>
            <w:proofErr w:type="spellStart"/>
            <w:r w:rsidRPr="00373D9E">
              <w:rPr>
                <w:sz w:val="20"/>
                <w:szCs w:val="20"/>
              </w:rPr>
              <w:t>bpm</w:t>
            </w:r>
            <w:proofErr w:type="spellEnd"/>
          </w:p>
          <w:p w:rsidR="008A2447" w:rsidRPr="00373D9E" w:rsidRDefault="008A2447" w:rsidP="00373D9E">
            <w:pPr>
              <w:pStyle w:val="Default"/>
              <w:snapToGrid w:val="0"/>
              <w:jc w:val="both"/>
              <w:rPr>
                <w:sz w:val="20"/>
                <w:szCs w:val="20"/>
              </w:rPr>
            </w:pPr>
            <w:r w:rsidRPr="00373D9E">
              <w:rPr>
                <w:sz w:val="20"/>
                <w:szCs w:val="20"/>
              </w:rPr>
              <w:t xml:space="preserve">&lt; 10g/100mL </w:t>
            </w:r>
          </w:p>
          <w:p w:rsidR="008A2447" w:rsidRPr="00373D9E" w:rsidRDefault="008A2447" w:rsidP="00373D9E">
            <w:pPr>
              <w:pStyle w:val="Default"/>
              <w:snapToGrid w:val="0"/>
              <w:jc w:val="both"/>
              <w:rPr>
                <w:sz w:val="20"/>
                <w:szCs w:val="20"/>
              </w:rPr>
            </w:pPr>
            <w:r w:rsidRPr="00373D9E">
              <w:rPr>
                <w:sz w:val="20"/>
                <w:szCs w:val="20"/>
              </w:rPr>
              <w:t xml:space="preserve">&gt;30 mm/h </w:t>
            </w:r>
          </w:p>
        </w:tc>
      </w:tr>
    </w:tbl>
    <w:p w:rsidR="008A2447" w:rsidRPr="00373D9E" w:rsidRDefault="008A2447" w:rsidP="00373D9E">
      <w:pPr>
        <w:adjustRightInd w:val="0"/>
        <w:snapToGrid w:val="0"/>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2"/>
        <w:gridCol w:w="1354"/>
      </w:tblGrid>
      <w:tr w:rsidR="008A2447" w:rsidRPr="00373D9E" w:rsidTr="00373D9E">
        <w:trPr>
          <w:trHeight w:val="88"/>
        </w:trPr>
        <w:tc>
          <w:tcPr>
            <w:tcW w:w="0" w:type="auto"/>
          </w:tcPr>
          <w:p w:rsidR="008A2447" w:rsidRPr="00373D9E" w:rsidRDefault="008A2447" w:rsidP="00373D9E">
            <w:pPr>
              <w:pStyle w:val="Default"/>
              <w:snapToGrid w:val="0"/>
              <w:jc w:val="both"/>
              <w:rPr>
                <w:sz w:val="20"/>
                <w:szCs w:val="20"/>
              </w:rPr>
            </w:pPr>
            <w:r w:rsidRPr="00373D9E">
              <w:rPr>
                <w:sz w:val="20"/>
                <w:szCs w:val="20"/>
              </w:rPr>
              <w:t xml:space="preserve">The CDAI The index consists of eight factors, each </w:t>
            </w:r>
            <w:proofErr w:type="spellStart"/>
            <w:r w:rsidRPr="00373D9E">
              <w:rPr>
                <w:sz w:val="20"/>
                <w:szCs w:val="20"/>
              </w:rPr>
              <w:t>summed</w:t>
            </w:r>
            <w:proofErr w:type="spellEnd"/>
            <w:r w:rsidRPr="00373D9E">
              <w:rPr>
                <w:sz w:val="20"/>
                <w:szCs w:val="20"/>
              </w:rPr>
              <w:t xml:space="preserve"> after adjustment with a weighting factor. The components of the CDAI and weighting factors are the following: </w:t>
            </w:r>
            <w:r w:rsidRPr="00373D9E">
              <w:rPr>
                <w:b/>
                <w:bCs/>
                <w:sz w:val="20"/>
                <w:szCs w:val="20"/>
              </w:rPr>
              <w:t xml:space="preserve">Clinical or laboratory variable </w:t>
            </w:r>
          </w:p>
        </w:tc>
        <w:tc>
          <w:tcPr>
            <w:tcW w:w="0" w:type="auto"/>
          </w:tcPr>
          <w:p w:rsidR="008A2447" w:rsidRPr="00373D9E" w:rsidRDefault="008A2447" w:rsidP="00373D9E">
            <w:pPr>
              <w:pStyle w:val="Default"/>
              <w:snapToGrid w:val="0"/>
              <w:jc w:val="both"/>
              <w:rPr>
                <w:sz w:val="20"/>
                <w:szCs w:val="20"/>
              </w:rPr>
            </w:pPr>
            <w:r w:rsidRPr="00373D9E">
              <w:rPr>
                <w:b/>
                <w:bCs/>
                <w:sz w:val="20"/>
                <w:szCs w:val="20"/>
              </w:rPr>
              <w:t xml:space="preserve">Weighting factor </w:t>
            </w:r>
          </w:p>
        </w:tc>
      </w:tr>
      <w:tr w:rsidR="008A2447" w:rsidRPr="00373D9E" w:rsidTr="00373D9E">
        <w:trPr>
          <w:trHeight w:val="90"/>
        </w:trPr>
        <w:tc>
          <w:tcPr>
            <w:tcW w:w="0" w:type="auto"/>
          </w:tcPr>
          <w:p w:rsidR="008A2447" w:rsidRPr="00373D9E" w:rsidRDefault="008A2447" w:rsidP="00373D9E">
            <w:pPr>
              <w:pStyle w:val="Default"/>
              <w:snapToGrid w:val="0"/>
              <w:jc w:val="both"/>
              <w:rPr>
                <w:sz w:val="20"/>
                <w:szCs w:val="20"/>
              </w:rPr>
            </w:pPr>
            <w:r w:rsidRPr="00373D9E">
              <w:rPr>
                <w:sz w:val="20"/>
                <w:szCs w:val="20"/>
              </w:rPr>
              <w:t xml:space="preserve">Number of liquid or soft stools each day for seven days </w:t>
            </w:r>
          </w:p>
        </w:tc>
        <w:tc>
          <w:tcPr>
            <w:tcW w:w="0" w:type="auto"/>
          </w:tcPr>
          <w:p w:rsidR="008A2447" w:rsidRPr="00373D9E" w:rsidRDefault="008A2447" w:rsidP="00373D9E">
            <w:pPr>
              <w:pStyle w:val="Default"/>
              <w:snapToGrid w:val="0"/>
              <w:jc w:val="both"/>
              <w:rPr>
                <w:sz w:val="20"/>
                <w:szCs w:val="20"/>
              </w:rPr>
            </w:pPr>
            <w:r w:rsidRPr="00373D9E">
              <w:rPr>
                <w:sz w:val="20"/>
                <w:szCs w:val="20"/>
              </w:rPr>
              <w:t xml:space="preserve">x 2 </w:t>
            </w:r>
          </w:p>
        </w:tc>
      </w:tr>
      <w:tr w:rsidR="008A2447" w:rsidRPr="00373D9E" w:rsidTr="00373D9E">
        <w:trPr>
          <w:trHeight w:val="90"/>
        </w:trPr>
        <w:tc>
          <w:tcPr>
            <w:tcW w:w="0" w:type="auto"/>
          </w:tcPr>
          <w:p w:rsidR="008A2447" w:rsidRPr="00373D9E" w:rsidRDefault="008A2447" w:rsidP="00373D9E">
            <w:pPr>
              <w:pStyle w:val="Default"/>
              <w:snapToGrid w:val="0"/>
              <w:jc w:val="both"/>
              <w:rPr>
                <w:sz w:val="20"/>
                <w:szCs w:val="20"/>
              </w:rPr>
            </w:pPr>
            <w:r w:rsidRPr="00373D9E">
              <w:rPr>
                <w:sz w:val="20"/>
                <w:szCs w:val="20"/>
              </w:rPr>
              <w:t xml:space="preserve">Abdominal pain (graded from 0-3 on severity) each day for seven days </w:t>
            </w:r>
          </w:p>
        </w:tc>
        <w:tc>
          <w:tcPr>
            <w:tcW w:w="0" w:type="auto"/>
          </w:tcPr>
          <w:p w:rsidR="008A2447" w:rsidRPr="00373D9E" w:rsidRDefault="008A2447" w:rsidP="00373D9E">
            <w:pPr>
              <w:pStyle w:val="Default"/>
              <w:snapToGrid w:val="0"/>
              <w:jc w:val="both"/>
              <w:rPr>
                <w:sz w:val="20"/>
                <w:szCs w:val="20"/>
              </w:rPr>
            </w:pPr>
            <w:r w:rsidRPr="00373D9E">
              <w:rPr>
                <w:sz w:val="20"/>
                <w:szCs w:val="20"/>
              </w:rPr>
              <w:t xml:space="preserve">x 5 </w:t>
            </w:r>
          </w:p>
        </w:tc>
      </w:tr>
      <w:tr w:rsidR="008A2447" w:rsidRPr="00373D9E" w:rsidTr="00373D9E">
        <w:trPr>
          <w:trHeight w:val="90"/>
        </w:trPr>
        <w:tc>
          <w:tcPr>
            <w:tcW w:w="0" w:type="auto"/>
          </w:tcPr>
          <w:p w:rsidR="008A2447" w:rsidRPr="00373D9E" w:rsidRDefault="008A2447" w:rsidP="00373D9E">
            <w:pPr>
              <w:pStyle w:val="Default"/>
              <w:snapToGrid w:val="0"/>
              <w:jc w:val="both"/>
              <w:rPr>
                <w:sz w:val="20"/>
                <w:szCs w:val="20"/>
              </w:rPr>
            </w:pPr>
            <w:r w:rsidRPr="00373D9E">
              <w:rPr>
                <w:sz w:val="20"/>
                <w:szCs w:val="20"/>
              </w:rPr>
              <w:t xml:space="preserve">General wellbeing, subjectively assessed from 0 (well) to 4 (terrible) each day for seven days </w:t>
            </w:r>
          </w:p>
        </w:tc>
        <w:tc>
          <w:tcPr>
            <w:tcW w:w="0" w:type="auto"/>
          </w:tcPr>
          <w:p w:rsidR="008A2447" w:rsidRPr="00373D9E" w:rsidRDefault="008A2447" w:rsidP="00373D9E">
            <w:pPr>
              <w:pStyle w:val="Default"/>
              <w:snapToGrid w:val="0"/>
              <w:jc w:val="both"/>
              <w:rPr>
                <w:sz w:val="20"/>
                <w:szCs w:val="20"/>
              </w:rPr>
            </w:pPr>
            <w:r w:rsidRPr="00373D9E">
              <w:rPr>
                <w:sz w:val="20"/>
                <w:szCs w:val="20"/>
              </w:rPr>
              <w:t xml:space="preserve">x 7 </w:t>
            </w:r>
          </w:p>
        </w:tc>
      </w:tr>
      <w:tr w:rsidR="008A2447" w:rsidRPr="00373D9E" w:rsidTr="00373D9E">
        <w:trPr>
          <w:trHeight w:val="112"/>
        </w:trPr>
        <w:tc>
          <w:tcPr>
            <w:tcW w:w="0" w:type="auto"/>
          </w:tcPr>
          <w:p w:rsidR="008A2447" w:rsidRPr="00373D9E" w:rsidRDefault="008A2447" w:rsidP="00373D9E">
            <w:pPr>
              <w:pStyle w:val="Default"/>
              <w:snapToGrid w:val="0"/>
              <w:jc w:val="both"/>
              <w:rPr>
                <w:sz w:val="20"/>
                <w:szCs w:val="20"/>
              </w:rPr>
            </w:pPr>
            <w:r w:rsidRPr="00373D9E">
              <w:rPr>
                <w:sz w:val="20"/>
                <w:szCs w:val="20"/>
              </w:rPr>
              <w:t xml:space="preserve">Presence of complications* </w:t>
            </w:r>
          </w:p>
        </w:tc>
        <w:tc>
          <w:tcPr>
            <w:tcW w:w="0" w:type="auto"/>
          </w:tcPr>
          <w:p w:rsidR="008A2447" w:rsidRPr="00373D9E" w:rsidRDefault="008A2447" w:rsidP="00373D9E">
            <w:pPr>
              <w:pStyle w:val="Default"/>
              <w:snapToGrid w:val="0"/>
              <w:jc w:val="both"/>
              <w:rPr>
                <w:sz w:val="20"/>
                <w:szCs w:val="20"/>
              </w:rPr>
            </w:pPr>
            <w:r w:rsidRPr="00373D9E">
              <w:rPr>
                <w:sz w:val="20"/>
                <w:szCs w:val="20"/>
              </w:rPr>
              <w:t xml:space="preserve">x 20 </w:t>
            </w:r>
          </w:p>
        </w:tc>
      </w:tr>
      <w:tr w:rsidR="008A2447" w:rsidRPr="00373D9E" w:rsidTr="00373D9E">
        <w:trPr>
          <w:trHeight w:val="90"/>
        </w:trPr>
        <w:tc>
          <w:tcPr>
            <w:tcW w:w="0" w:type="auto"/>
          </w:tcPr>
          <w:p w:rsidR="008A2447" w:rsidRPr="00373D9E" w:rsidRDefault="008A2447" w:rsidP="00373D9E">
            <w:pPr>
              <w:pStyle w:val="Default"/>
              <w:snapToGrid w:val="0"/>
              <w:jc w:val="both"/>
              <w:rPr>
                <w:sz w:val="20"/>
                <w:szCs w:val="20"/>
              </w:rPr>
            </w:pPr>
            <w:r w:rsidRPr="00373D9E">
              <w:rPr>
                <w:sz w:val="20"/>
                <w:szCs w:val="20"/>
              </w:rPr>
              <w:t xml:space="preserve">Taking </w:t>
            </w:r>
            <w:proofErr w:type="spellStart"/>
            <w:r w:rsidRPr="00373D9E">
              <w:rPr>
                <w:sz w:val="20"/>
                <w:szCs w:val="20"/>
              </w:rPr>
              <w:t>Lomotil</w:t>
            </w:r>
            <w:proofErr w:type="spellEnd"/>
            <w:r w:rsidRPr="00373D9E">
              <w:rPr>
                <w:sz w:val="20"/>
                <w:szCs w:val="20"/>
              </w:rPr>
              <w:t xml:space="preserve"> or opiates for diarrhea </w:t>
            </w:r>
          </w:p>
        </w:tc>
        <w:tc>
          <w:tcPr>
            <w:tcW w:w="0" w:type="auto"/>
          </w:tcPr>
          <w:p w:rsidR="008A2447" w:rsidRPr="00373D9E" w:rsidRDefault="008A2447" w:rsidP="00373D9E">
            <w:pPr>
              <w:pStyle w:val="Default"/>
              <w:snapToGrid w:val="0"/>
              <w:jc w:val="both"/>
              <w:rPr>
                <w:sz w:val="20"/>
                <w:szCs w:val="20"/>
              </w:rPr>
            </w:pPr>
            <w:r w:rsidRPr="00373D9E">
              <w:rPr>
                <w:sz w:val="20"/>
                <w:szCs w:val="20"/>
              </w:rPr>
              <w:t xml:space="preserve">x 30 </w:t>
            </w:r>
          </w:p>
        </w:tc>
      </w:tr>
      <w:tr w:rsidR="008A2447" w:rsidRPr="00373D9E" w:rsidTr="00373D9E">
        <w:trPr>
          <w:trHeight w:val="90"/>
        </w:trPr>
        <w:tc>
          <w:tcPr>
            <w:tcW w:w="0" w:type="auto"/>
          </w:tcPr>
          <w:p w:rsidR="008A2447" w:rsidRPr="00373D9E" w:rsidRDefault="008A2447" w:rsidP="00373D9E">
            <w:pPr>
              <w:pStyle w:val="Default"/>
              <w:snapToGrid w:val="0"/>
              <w:jc w:val="both"/>
              <w:rPr>
                <w:sz w:val="20"/>
                <w:szCs w:val="20"/>
              </w:rPr>
            </w:pPr>
            <w:r w:rsidRPr="00373D9E">
              <w:rPr>
                <w:sz w:val="20"/>
                <w:szCs w:val="20"/>
              </w:rPr>
              <w:t xml:space="preserve">Presence of an abdominal mass (0 as none, 2 as questionable, 5 as definite) </w:t>
            </w:r>
          </w:p>
        </w:tc>
        <w:tc>
          <w:tcPr>
            <w:tcW w:w="0" w:type="auto"/>
          </w:tcPr>
          <w:p w:rsidR="008A2447" w:rsidRPr="00373D9E" w:rsidRDefault="008A2447" w:rsidP="00373D9E">
            <w:pPr>
              <w:pStyle w:val="Default"/>
              <w:snapToGrid w:val="0"/>
              <w:jc w:val="both"/>
              <w:rPr>
                <w:sz w:val="20"/>
                <w:szCs w:val="20"/>
              </w:rPr>
            </w:pPr>
            <w:r w:rsidRPr="00373D9E">
              <w:rPr>
                <w:sz w:val="20"/>
                <w:szCs w:val="20"/>
              </w:rPr>
              <w:t xml:space="preserve">x 10 </w:t>
            </w:r>
          </w:p>
        </w:tc>
      </w:tr>
      <w:tr w:rsidR="008A2447" w:rsidRPr="00373D9E" w:rsidTr="00373D9E">
        <w:trPr>
          <w:trHeight w:val="90"/>
        </w:trPr>
        <w:tc>
          <w:tcPr>
            <w:tcW w:w="0" w:type="auto"/>
          </w:tcPr>
          <w:p w:rsidR="008A2447" w:rsidRPr="00373D9E" w:rsidRDefault="008A2447" w:rsidP="00373D9E">
            <w:pPr>
              <w:pStyle w:val="Default"/>
              <w:snapToGrid w:val="0"/>
              <w:jc w:val="both"/>
              <w:rPr>
                <w:sz w:val="20"/>
                <w:szCs w:val="20"/>
              </w:rPr>
            </w:pPr>
            <w:proofErr w:type="spellStart"/>
            <w:r w:rsidRPr="00373D9E">
              <w:rPr>
                <w:sz w:val="20"/>
                <w:szCs w:val="20"/>
              </w:rPr>
              <w:t>Hematocrit</w:t>
            </w:r>
            <w:proofErr w:type="spellEnd"/>
            <w:r w:rsidRPr="00373D9E">
              <w:rPr>
                <w:sz w:val="20"/>
                <w:szCs w:val="20"/>
              </w:rPr>
              <w:t xml:space="preserve"> of &lt;0.47 in men and &lt;0.42 in women </w:t>
            </w:r>
          </w:p>
        </w:tc>
        <w:tc>
          <w:tcPr>
            <w:tcW w:w="0" w:type="auto"/>
          </w:tcPr>
          <w:p w:rsidR="008A2447" w:rsidRPr="00373D9E" w:rsidRDefault="008A2447" w:rsidP="00373D9E">
            <w:pPr>
              <w:pStyle w:val="Default"/>
              <w:snapToGrid w:val="0"/>
              <w:jc w:val="both"/>
              <w:rPr>
                <w:sz w:val="20"/>
                <w:szCs w:val="20"/>
              </w:rPr>
            </w:pPr>
            <w:r w:rsidRPr="00373D9E">
              <w:rPr>
                <w:sz w:val="20"/>
                <w:szCs w:val="20"/>
              </w:rPr>
              <w:t xml:space="preserve">x 6 </w:t>
            </w:r>
          </w:p>
        </w:tc>
      </w:tr>
      <w:tr w:rsidR="008A2447" w:rsidRPr="00373D9E" w:rsidTr="00373D9E">
        <w:trPr>
          <w:trHeight w:val="90"/>
        </w:trPr>
        <w:tc>
          <w:tcPr>
            <w:tcW w:w="0" w:type="auto"/>
          </w:tcPr>
          <w:p w:rsidR="008A2447" w:rsidRPr="00373D9E" w:rsidRDefault="008A2447" w:rsidP="00373D9E">
            <w:pPr>
              <w:pStyle w:val="Default"/>
              <w:snapToGrid w:val="0"/>
              <w:jc w:val="both"/>
              <w:rPr>
                <w:sz w:val="20"/>
                <w:szCs w:val="20"/>
              </w:rPr>
            </w:pPr>
            <w:r w:rsidRPr="00373D9E">
              <w:rPr>
                <w:sz w:val="20"/>
                <w:szCs w:val="20"/>
              </w:rPr>
              <w:t xml:space="preserve">Percentage deviation from standard weight </w:t>
            </w:r>
          </w:p>
        </w:tc>
        <w:tc>
          <w:tcPr>
            <w:tcW w:w="0" w:type="auto"/>
          </w:tcPr>
          <w:p w:rsidR="008A2447" w:rsidRPr="00373D9E" w:rsidRDefault="008A2447" w:rsidP="00373D9E">
            <w:pPr>
              <w:pStyle w:val="Default"/>
              <w:snapToGrid w:val="0"/>
              <w:jc w:val="both"/>
              <w:rPr>
                <w:sz w:val="20"/>
                <w:szCs w:val="20"/>
              </w:rPr>
            </w:pPr>
            <w:r w:rsidRPr="00373D9E">
              <w:rPr>
                <w:sz w:val="20"/>
                <w:szCs w:val="20"/>
              </w:rPr>
              <w:t xml:space="preserve">x 1 </w:t>
            </w:r>
          </w:p>
        </w:tc>
      </w:tr>
    </w:tbl>
    <w:p w:rsidR="00E50F31" w:rsidRPr="00373D9E" w:rsidRDefault="00373D9E" w:rsidP="00373D9E">
      <w:pPr>
        <w:pStyle w:val="Default"/>
        <w:snapToGrid w:val="0"/>
        <w:jc w:val="both"/>
        <w:rPr>
          <w:sz w:val="20"/>
          <w:szCs w:val="20"/>
          <w:lang w:eastAsia="zh-CN"/>
        </w:rPr>
      </w:pPr>
      <w:r w:rsidRPr="00373D9E">
        <w:rPr>
          <w:sz w:val="20"/>
          <w:szCs w:val="20"/>
        </w:rPr>
        <w:t>*One point each is added for each set of complications: the presence of joint pains (</w:t>
      </w:r>
      <w:proofErr w:type="spellStart"/>
      <w:r w:rsidRPr="00373D9E">
        <w:rPr>
          <w:sz w:val="20"/>
          <w:szCs w:val="20"/>
        </w:rPr>
        <w:t>arthralgia</w:t>
      </w:r>
      <w:proofErr w:type="spellEnd"/>
      <w:r w:rsidRPr="00373D9E">
        <w:rPr>
          <w:sz w:val="20"/>
          <w:szCs w:val="20"/>
        </w:rPr>
        <w:t xml:space="preserve">) or frank arthritis inflammation of the iris or </w:t>
      </w:r>
      <w:proofErr w:type="spellStart"/>
      <w:r w:rsidRPr="00373D9E">
        <w:rPr>
          <w:sz w:val="20"/>
          <w:szCs w:val="20"/>
        </w:rPr>
        <w:t>uveitis</w:t>
      </w:r>
      <w:proofErr w:type="spellEnd"/>
      <w:r w:rsidRPr="00373D9E">
        <w:rPr>
          <w:sz w:val="20"/>
          <w:szCs w:val="20"/>
        </w:rPr>
        <w:t xml:space="preserve"> presence of </w:t>
      </w:r>
      <w:proofErr w:type="spellStart"/>
      <w:r w:rsidRPr="00373D9E">
        <w:rPr>
          <w:sz w:val="20"/>
          <w:szCs w:val="20"/>
        </w:rPr>
        <w:t>erythema</w:t>
      </w:r>
      <w:proofErr w:type="spellEnd"/>
      <w:r w:rsidRPr="00373D9E">
        <w:rPr>
          <w:sz w:val="20"/>
          <w:szCs w:val="20"/>
        </w:rPr>
        <w:t xml:space="preserve"> </w:t>
      </w:r>
      <w:proofErr w:type="spellStart"/>
      <w:r w:rsidRPr="00373D9E">
        <w:rPr>
          <w:sz w:val="20"/>
          <w:szCs w:val="20"/>
        </w:rPr>
        <w:t>nodosum</w:t>
      </w:r>
      <w:proofErr w:type="spellEnd"/>
      <w:r w:rsidRPr="00373D9E">
        <w:rPr>
          <w:sz w:val="20"/>
          <w:szCs w:val="20"/>
        </w:rPr>
        <w:t xml:space="preserve">, </w:t>
      </w:r>
      <w:proofErr w:type="spellStart"/>
      <w:r w:rsidRPr="00373D9E">
        <w:rPr>
          <w:sz w:val="20"/>
          <w:szCs w:val="20"/>
        </w:rPr>
        <w:t>pyodermagangrenosum</w:t>
      </w:r>
      <w:proofErr w:type="spellEnd"/>
      <w:r w:rsidRPr="00373D9E">
        <w:rPr>
          <w:sz w:val="20"/>
          <w:szCs w:val="20"/>
        </w:rPr>
        <w:t xml:space="preserve">, or </w:t>
      </w:r>
      <w:proofErr w:type="spellStart"/>
      <w:r w:rsidRPr="00373D9E">
        <w:rPr>
          <w:sz w:val="20"/>
          <w:szCs w:val="20"/>
        </w:rPr>
        <w:t>aphthous</w:t>
      </w:r>
      <w:proofErr w:type="spellEnd"/>
      <w:r w:rsidRPr="00373D9E">
        <w:rPr>
          <w:sz w:val="20"/>
          <w:szCs w:val="20"/>
        </w:rPr>
        <w:t xml:space="preserve"> ulcers anal fissures, fistulae or abscesses other fistulae fever during the previous week. </w:t>
      </w:r>
    </w:p>
    <w:p w:rsidR="00373D9E" w:rsidRPr="00373D9E" w:rsidRDefault="00373D9E" w:rsidP="00373D9E">
      <w:pPr>
        <w:adjustRightInd w:val="0"/>
        <w:snapToGrid w:val="0"/>
        <w:spacing w:after="0" w:line="240" w:lineRule="auto"/>
        <w:jc w:val="both"/>
        <w:rPr>
          <w:sz w:val="20"/>
          <w:szCs w:val="20"/>
          <w:lang w:eastAsia="zh-CN"/>
        </w:rPr>
      </w:pPr>
    </w:p>
    <w:p w:rsidR="00373D9E" w:rsidRDefault="00373D9E" w:rsidP="00373D9E">
      <w:pPr>
        <w:pStyle w:val="Default"/>
        <w:snapToGrid w:val="0"/>
        <w:ind w:firstLine="450"/>
        <w:jc w:val="both"/>
        <w:rPr>
          <w:sz w:val="20"/>
          <w:szCs w:val="20"/>
        </w:rPr>
        <w:sectPr w:rsidR="00373D9E" w:rsidSect="001800A9">
          <w:footnotePr>
            <w:pos w:val="beneathText"/>
          </w:footnotePr>
          <w:type w:val="continuous"/>
          <w:pgSz w:w="12240" w:h="15840" w:code="1"/>
          <w:pgMar w:top="1440" w:right="1440" w:bottom="1440" w:left="1440" w:header="720" w:footer="720" w:gutter="0"/>
          <w:cols w:space="720"/>
          <w:docGrid w:linePitch="360"/>
        </w:sectPr>
      </w:pPr>
    </w:p>
    <w:p w:rsidR="008A2447" w:rsidRPr="00373D9E" w:rsidRDefault="008A2447" w:rsidP="00373D9E">
      <w:pPr>
        <w:pStyle w:val="Default"/>
        <w:snapToGrid w:val="0"/>
        <w:ind w:firstLine="450"/>
        <w:jc w:val="both"/>
        <w:rPr>
          <w:sz w:val="20"/>
          <w:szCs w:val="20"/>
        </w:rPr>
      </w:pPr>
      <w:r w:rsidRPr="00373D9E">
        <w:rPr>
          <w:sz w:val="20"/>
          <w:szCs w:val="20"/>
        </w:rPr>
        <w:lastRenderedPageBreak/>
        <w:t xml:space="preserve">The </w:t>
      </w:r>
      <w:r w:rsidRPr="00373D9E">
        <w:rPr>
          <w:i/>
          <w:iCs/>
          <w:sz w:val="20"/>
          <w:szCs w:val="20"/>
        </w:rPr>
        <w:t xml:space="preserve">Harvey-Bradshaw index </w:t>
      </w:r>
      <w:r w:rsidRPr="00373D9E">
        <w:rPr>
          <w:sz w:val="20"/>
          <w:szCs w:val="20"/>
        </w:rPr>
        <w:t xml:space="preserve">is a simpler version of the CDAI for data collection purposes. It consists of only clinical parameters: general well-being (0 = very well, 1 = slightly below average, 2 = poor, 3 = very poor, 4 = terrible) abdominal pain (0 = none, 1 = mild, 2 = moderate, 3 = severe) number of liquid stools per day abdominal mass (0 = none, 1 = dubious, 2 = definite, 3 = tender) complications, as above, with one point for each. Remission of </w:t>
      </w:r>
      <w:proofErr w:type="spellStart"/>
      <w:r w:rsidRPr="00373D9E">
        <w:rPr>
          <w:sz w:val="20"/>
          <w:szCs w:val="20"/>
        </w:rPr>
        <w:t>Crohn's</w:t>
      </w:r>
      <w:proofErr w:type="spellEnd"/>
      <w:r w:rsidRPr="00373D9E">
        <w:rPr>
          <w:sz w:val="20"/>
          <w:szCs w:val="20"/>
        </w:rPr>
        <w:t xml:space="preserve"> disease is defined as a fall in the CDAI of less than 150 or HBI less than </w:t>
      </w:r>
      <w:proofErr w:type="gramStart"/>
      <w:r w:rsidRPr="00373D9E">
        <w:rPr>
          <w:sz w:val="20"/>
          <w:szCs w:val="20"/>
        </w:rPr>
        <w:t>5,</w:t>
      </w:r>
      <w:proofErr w:type="gramEnd"/>
      <w:r w:rsidRPr="00373D9E">
        <w:rPr>
          <w:sz w:val="20"/>
          <w:szCs w:val="20"/>
        </w:rPr>
        <w:t xml:space="preserve"> mild disease is defined with a CDAI value between 150 and 220 or with a HBI value between 5 and 7. Moderate disease is defined with a CDAI value between 220 and 450 or with a HBI value between 8 and 16. Severe disease is defined with a CDAI value &gt; 450 or with a HBI value &gt; 16. </w:t>
      </w:r>
    </w:p>
    <w:p w:rsidR="00E50F31" w:rsidRPr="00FE636C" w:rsidRDefault="00E50F31" w:rsidP="00FE636C">
      <w:pPr>
        <w:pStyle w:val="Default"/>
        <w:snapToGrid w:val="0"/>
        <w:jc w:val="both"/>
        <w:rPr>
          <w:b/>
          <w:sz w:val="20"/>
          <w:szCs w:val="20"/>
        </w:rPr>
      </w:pPr>
      <w:r w:rsidRPr="00FE636C">
        <w:rPr>
          <w:b/>
          <w:sz w:val="20"/>
          <w:szCs w:val="20"/>
        </w:rPr>
        <w:t xml:space="preserve">Treatment of mild to moderate disease </w:t>
      </w:r>
    </w:p>
    <w:p w:rsidR="00E50F31" w:rsidRPr="00373D9E" w:rsidRDefault="00E50F31" w:rsidP="00373D9E">
      <w:pPr>
        <w:pStyle w:val="Default"/>
        <w:snapToGrid w:val="0"/>
        <w:ind w:firstLine="450"/>
        <w:jc w:val="both"/>
        <w:rPr>
          <w:sz w:val="20"/>
          <w:szCs w:val="20"/>
        </w:rPr>
      </w:pPr>
      <w:r w:rsidRPr="00373D9E">
        <w:rPr>
          <w:sz w:val="20"/>
          <w:szCs w:val="20"/>
        </w:rPr>
        <w:t xml:space="preserve">Topical management is appropriate for those with </w:t>
      </w:r>
      <w:proofErr w:type="spellStart"/>
      <w:r w:rsidRPr="00373D9E">
        <w:rPr>
          <w:sz w:val="20"/>
          <w:szCs w:val="20"/>
        </w:rPr>
        <w:t>proctitis</w:t>
      </w:r>
      <w:proofErr w:type="spellEnd"/>
      <w:r w:rsidRPr="00373D9E">
        <w:rPr>
          <w:sz w:val="20"/>
          <w:szCs w:val="20"/>
        </w:rPr>
        <w:t xml:space="preserve"> and often the case if the disease extends into the sigmoid. For those with more extensive </w:t>
      </w:r>
      <w:r w:rsidRPr="00373D9E">
        <w:rPr>
          <w:sz w:val="20"/>
          <w:szCs w:val="20"/>
        </w:rPr>
        <w:lastRenderedPageBreak/>
        <w:t xml:space="preserve">disease, oral or </w:t>
      </w:r>
      <w:proofErr w:type="spellStart"/>
      <w:r w:rsidRPr="00373D9E">
        <w:rPr>
          <w:sz w:val="20"/>
          <w:szCs w:val="20"/>
        </w:rPr>
        <w:t>parenteral</w:t>
      </w:r>
      <w:proofErr w:type="spellEnd"/>
      <w:r w:rsidRPr="00373D9E">
        <w:rPr>
          <w:sz w:val="20"/>
          <w:szCs w:val="20"/>
        </w:rPr>
        <w:t xml:space="preserve"> </w:t>
      </w:r>
      <w:proofErr w:type="gramStart"/>
      <w:r w:rsidRPr="00373D9E">
        <w:rPr>
          <w:sz w:val="20"/>
          <w:szCs w:val="20"/>
        </w:rPr>
        <w:t>therapy are</w:t>
      </w:r>
      <w:proofErr w:type="gramEnd"/>
      <w:r w:rsidRPr="00373D9E">
        <w:rPr>
          <w:sz w:val="20"/>
          <w:szCs w:val="20"/>
        </w:rPr>
        <w:t xml:space="preserve"> the mainstays of treatment, although some of these patients may get additional benefit from topical therapy. </w:t>
      </w:r>
    </w:p>
    <w:p w:rsidR="00E50F31" w:rsidRPr="00373D9E" w:rsidRDefault="00E50F31" w:rsidP="00373D9E">
      <w:pPr>
        <w:pStyle w:val="Default"/>
        <w:snapToGrid w:val="0"/>
        <w:ind w:firstLine="450"/>
        <w:jc w:val="both"/>
        <w:rPr>
          <w:sz w:val="20"/>
          <w:szCs w:val="20"/>
        </w:rPr>
      </w:pPr>
      <w:r w:rsidRPr="00373D9E">
        <w:rPr>
          <w:sz w:val="20"/>
          <w:szCs w:val="20"/>
        </w:rPr>
        <w:t xml:space="preserve">Step 1: Topical </w:t>
      </w:r>
      <w:proofErr w:type="spellStart"/>
      <w:r w:rsidRPr="00373D9E">
        <w:rPr>
          <w:sz w:val="20"/>
          <w:szCs w:val="20"/>
        </w:rPr>
        <w:t>mesalazine</w:t>
      </w:r>
      <w:proofErr w:type="spellEnd"/>
      <w:r w:rsidRPr="00373D9E">
        <w:rPr>
          <w:sz w:val="20"/>
          <w:szCs w:val="20"/>
        </w:rPr>
        <w:t xml:space="preserve"> 1 g daily combined with oral </w:t>
      </w:r>
      <w:proofErr w:type="spellStart"/>
      <w:r w:rsidRPr="00373D9E">
        <w:rPr>
          <w:sz w:val="20"/>
          <w:szCs w:val="20"/>
        </w:rPr>
        <w:t>mesalazine</w:t>
      </w:r>
      <w:proofErr w:type="spellEnd"/>
      <w:r w:rsidRPr="00373D9E">
        <w:rPr>
          <w:sz w:val="20"/>
          <w:szCs w:val="20"/>
        </w:rPr>
        <w:t xml:space="preserve"> 2–4 g daily, </w:t>
      </w:r>
      <w:proofErr w:type="spellStart"/>
      <w:r w:rsidRPr="00373D9E">
        <w:rPr>
          <w:sz w:val="20"/>
          <w:szCs w:val="20"/>
        </w:rPr>
        <w:t>olsalazine</w:t>
      </w:r>
      <w:proofErr w:type="spellEnd"/>
      <w:r w:rsidRPr="00373D9E">
        <w:rPr>
          <w:sz w:val="20"/>
          <w:szCs w:val="20"/>
        </w:rPr>
        <w:t xml:space="preserve"> 1.5–3 g daily, or </w:t>
      </w:r>
      <w:proofErr w:type="spellStart"/>
      <w:r w:rsidRPr="00373D9E">
        <w:rPr>
          <w:sz w:val="20"/>
          <w:szCs w:val="20"/>
        </w:rPr>
        <w:t>balsalazide</w:t>
      </w:r>
      <w:proofErr w:type="spellEnd"/>
      <w:r w:rsidRPr="00373D9E">
        <w:rPr>
          <w:sz w:val="20"/>
          <w:szCs w:val="20"/>
        </w:rPr>
        <w:t xml:space="preserve"> 6.75 g daily. </w:t>
      </w:r>
      <w:proofErr w:type="gramStart"/>
      <w:r w:rsidRPr="00373D9E">
        <w:rPr>
          <w:sz w:val="20"/>
          <w:szCs w:val="20"/>
        </w:rPr>
        <w:t xml:space="preserve">Topical corticosteroids for patients who are intolerant of topical </w:t>
      </w:r>
      <w:proofErr w:type="spellStart"/>
      <w:r w:rsidRPr="00373D9E">
        <w:rPr>
          <w:sz w:val="20"/>
          <w:szCs w:val="20"/>
        </w:rPr>
        <w:t>mesalazine</w:t>
      </w:r>
      <w:proofErr w:type="spellEnd"/>
      <w:r w:rsidRPr="00373D9E">
        <w:rPr>
          <w:sz w:val="20"/>
          <w:szCs w:val="20"/>
        </w:rPr>
        <w:t>.</w:t>
      </w:r>
      <w:proofErr w:type="gramEnd"/>
    </w:p>
    <w:p w:rsidR="00E50F31" w:rsidRPr="00373D9E" w:rsidRDefault="00E50F31" w:rsidP="00373D9E">
      <w:pPr>
        <w:pStyle w:val="Default"/>
        <w:snapToGrid w:val="0"/>
        <w:ind w:firstLine="450"/>
        <w:jc w:val="both"/>
        <w:rPr>
          <w:sz w:val="20"/>
          <w:szCs w:val="20"/>
        </w:rPr>
      </w:pPr>
      <w:r w:rsidRPr="00373D9E">
        <w:rPr>
          <w:sz w:val="20"/>
          <w:szCs w:val="20"/>
        </w:rPr>
        <w:t xml:space="preserve">Step 1 A: Antibiotics </w:t>
      </w:r>
    </w:p>
    <w:p w:rsidR="00E50F31" w:rsidRPr="00373D9E" w:rsidRDefault="00E50F31" w:rsidP="00373D9E">
      <w:pPr>
        <w:pStyle w:val="Default"/>
        <w:snapToGrid w:val="0"/>
        <w:ind w:firstLine="450"/>
        <w:jc w:val="both"/>
        <w:rPr>
          <w:sz w:val="20"/>
          <w:szCs w:val="20"/>
        </w:rPr>
      </w:pPr>
      <w:r w:rsidRPr="00373D9E">
        <w:rPr>
          <w:sz w:val="20"/>
          <w:szCs w:val="20"/>
        </w:rPr>
        <w:t xml:space="preserve">Step 2: Oral </w:t>
      </w:r>
      <w:proofErr w:type="spellStart"/>
      <w:r w:rsidRPr="00373D9E">
        <w:rPr>
          <w:sz w:val="20"/>
          <w:szCs w:val="20"/>
        </w:rPr>
        <w:t>prednisolone</w:t>
      </w:r>
      <w:proofErr w:type="spellEnd"/>
      <w:r w:rsidRPr="00373D9E">
        <w:rPr>
          <w:sz w:val="20"/>
          <w:szCs w:val="20"/>
        </w:rPr>
        <w:t xml:space="preserve"> 40 mg daily. </w:t>
      </w:r>
      <w:proofErr w:type="spellStart"/>
      <w:r w:rsidRPr="00373D9E">
        <w:rPr>
          <w:sz w:val="20"/>
          <w:szCs w:val="20"/>
        </w:rPr>
        <w:t>Prednisolone</w:t>
      </w:r>
      <w:proofErr w:type="spellEnd"/>
      <w:r w:rsidRPr="00373D9E">
        <w:rPr>
          <w:sz w:val="20"/>
          <w:szCs w:val="20"/>
        </w:rPr>
        <w:t xml:space="preserve"> should be reduced gradually according to severity and patient response, generally over 8 weeks. In CD concomitant intravenous </w:t>
      </w:r>
      <w:proofErr w:type="spellStart"/>
      <w:r w:rsidRPr="00373D9E">
        <w:rPr>
          <w:sz w:val="20"/>
          <w:szCs w:val="20"/>
        </w:rPr>
        <w:t>metronidazole</w:t>
      </w:r>
      <w:proofErr w:type="spellEnd"/>
      <w:r w:rsidRPr="00373D9E">
        <w:rPr>
          <w:sz w:val="20"/>
          <w:szCs w:val="20"/>
        </w:rPr>
        <w:t xml:space="preserve"> is often advisable, because it may be difficult to distinguish between active disease and a septic complication </w:t>
      </w:r>
    </w:p>
    <w:p w:rsidR="00E50F31" w:rsidRPr="00373D9E" w:rsidRDefault="00E50F31" w:rsidP="00373D9E">
      <w:pPr>
        <w:pStyle w:val="Default"/>
        <w:snapToGrid w:val="0"/>
        <w:ind w:firstLine="450"/>
        <w:jc w:val="both"/>
        <w:rPr>
          <w:sz w:val="20"/>
          <w:szCs w:val="20"/>
        </w:rPr>
      </w:pPr>
      <w:r w:rsidRPr="00373D9E">
        <w:rPr>
          <w:sz w:val="20"/>
          <w:szCs w:val="20"/>
        </w:rPr>
        <w:t xml:space="preserve">Step 3: Patients with chronic active steroid dependent disease should be treated with </w:t>
      </w:r>
      <w:proofErr w:type="spellStart"/>
      <w:r w:rsidRPr="00373D9E">
        <w:rPr>
          <w:sz w:val="20"/>
          <w:szCs w:val="20"/>
        </w:rPr>
        <w:t>azathioprine</w:t>
      </w:r>
      <w:proofErr w:type="spellEnd"/>
      <w:r w:rsidRPr="00373D9E">
        <w:rPr>
          <w:sz w:val="20"/>
          <w:szCs w:val="20"/>
        </w:rPr>
        <w:t xml:space="preserve"> 1.5–2.5 mg/kg/day or </w:t>
      </w:r>
      <w:proofErr w:type="spellStart"/>
      <w:r w:rsidRPr="00373D9E">
        <w:rPr>
          <w:sz w:val="20"/>
          <w:szCs w:val="20"/>
        </w:rPr>
        <w:t>mercaptopurine</w:t>
      </w:r>
      <w:proofErr w:type="spellEnd"/>
      <w:r w:rsidRPr="00373D9E">
        <w:rPr>
          <w:sz w:val="20"/>
          <w:szCs w:val="20"/>
        </w:rPr>
        <w:t xml:space="preserve"> 0.75–1.5 mg/kg/day. In CD </w:t>
      </w:r>
      <w:proofErr w:type="spellStart"/>
      <w:r w:rsidRPr="00373D9E">
        <w:rPr>
          <w:sz w:val="20"/>
          <w:szCs w:val="20"/>
        </w:rPr>
        <w:t>Methotrexate</w:t>
      </w:r>
      <w:proofErr w:type="spellEnd"/>
      <w:r w:rsidRPr="00373D9E">
        <w:rPr>
          <w:sz w:val="20"/>
          <w:szCs w:val="20"/>
        </w:rPr>
        <w:t xml:space="preserve"> (15–25 mg IM </w:t>
      </w:r>
      <w:r w:rsidRPr="00373D9E">
        <w:rPr>
          <w:sz w:val="20"/>
          <w:szCs w:val="20"/>
        </w:rPr>
        <w:lastRenderedPageBreak/>
        <w:t xml:space="preserve">weekly) is effective for patients whose active disease has responded to IM </w:t>
      </w:r>
      <w:proofErr w:type="spellStart"/>
      <w:r w:rsidRPr="00373D9E">
        <w:rPr>
          <w:sz w:val="20"/>
          <w:szCs w:val="20"/>
        </w:rPr>
        <w:t>methotrexate</w:t>
      </w:r>
      <w:proofErr w:type="spellEnd"/>
      <w:r w:rsidR="00373D9E">
        <w:rPr>
          <w:sz w:val="20"/>
          <w:szCs w:val="20"/>
        </w:rPr>
        <w:t>.</w:t>
      </w:r>
      <w:r w:rsidRPr="00373D9E">
        <w:rPr>
          <w:sz w:val="20"/>
          <w:szCs w:val="20"/>
        </w:rPr>
        <w:t xml:space="preserve"> It is appropriate for those intolerant of, or who have failed, </w:t>
      </w:r>
      <w:proofErr w:type="spellStart"/>
      <w:r w:rsidRPr="00373D9E">
        <w:rPr>
          <w:sz w:val="20"/>
          <w:szCs w:val="20"/>
        </w:rPr>
        <w:t>azathioprine</w:t>
      </w:r>
      <w:proofErr w:type="spellEnd"/>
      <w:r w:rsidRPr="00373D9E">
        <w:rPr>
          <w:sz w:val="20"/>
          <w:szCs w:val="20"/>
        </w:rPr>
        <w:t>/</w:t>
      </w:r>
      <w:proofErr w:type="spellStart"/>
      <w:r w:rsidRPr="00373D9E">
        <w:rPr>
          <w:sz w:val="20"/>
          <w:szCs w:val="20"/>
        </w:rPr>
        <w:t>mercaptopurine</w:t>
      </w:r>
      <w:proofErr w:type="spellEnd"/>
      <w:r w:rsidRPr="00373D9E">
        <w:rPr>
          <w:sz w:val="20"/>
          <w:szCs w:val="20"/>
        </w:rPr>
        <w:t xml:space="preserve"> Therapy. </w:t>
      </w:r>
    </w:p>
    <w:p w:rsidR="00E50F31" w:rsidRPr="00373D9E" w:rsidRDefault="00E50F31" w:rsidP="00373D9E">
      <w:pPr>
        <w:pStyle w:val="Default"/>
        <w:snapToGrid w:val="0"/>
        <w:ind w:firstLine="450"/>
        <w:jc w:val="both"/>
        <w:rPr>
          <w:sz w:val="20"/>
          <w:szCs w:val="20"/>
        </w:rPr>
      </w:pPr>
      <w:r w:rsidRPr="00373D9E">
        <w:rPr>
          <w:sz w:val="20"/>
          <w:szCs w:val="20"/>
        </w:rPr>
        <w:t xml:space="preserve">Step 4: </w:t>
      </w:r>
      <w:proofErr w:type="spellStart"/>
      <w:r w:rsidRPr="00373D9E">
        <w:rPr>
          <w:sz w:val="20"/>
          <w:szCs w:val="20"/>
        </w:rPr>
        <w:t>Infliximab</w:t>
      </w:r>
      <w:proofErr w:type="spellEnd"/>
      <w:r w:rsidRPr="00373D9E">
        <w:rPr>
          <w:sz w:val="20"/>
          <w:szCs w:val="20"/>
        </w:rPr>
        <w:t xml:space="preserve"> is administered as 3 infusions of 5 mg/kg for the induction of </w:t>
      </w:r>
      <w:proofErr w:type="gramStart"/>
      <w:r w:rsidRPr="00373D9E">
        <w:rPr>
          <w:sz w:val="20"/>
          <w:szCs w:val="20"/>
        </w:rPr>
        <w:t>remission(</w:t>
      </w:r>
      <w:proofErr w:type="gramEnd"/>
      <w:r w:rsidRPr="00373D9E">
        <w:rPr>
          <w:sz w:val="20"/>
          <w:szCs w:val="20"/>
        </w:rPr>
        <w:t xml:space="preserve">22). </w:t>
      </w:r>
    </w:p>
    <w:p w:rsidR="00E50F31" w:rsidRPr="00FE636C" w:rsidRDefault="00E50F31" w:rsidP="00FE636C">
      <w:pPr>
        <w:pStyle w:val="Default"/>
        <w:snapToGrid w:val="0"/>
        <w:jc w:val="both"/>
        <w:rPr>
          <w:b/>
          <w:sz w:val="20"/>
          <w:szCs w:val="20"/>
        </w:rPr>
      </w:pPr>
      <w:r w:rsidRPr="00FE636C">
        <w:rPr>
          <w:b/>
          <w:sz w:val="20"/>
          <w:szCs w:val="20"/>
        </w:rPr>
        <w:t xml:space="preserve">Treatment of severe IBD </w:t>
      </w:r>
    </w:p>
    <w:p w:rsidR="00E50F31" w:rsidRPr="00373D9E" w:rsidRDefault="00E50F31" w:rsidP="00373D9E">
      <w:pPr>
        <w:pStyle w:val="Default"/>
        <w:snapToGrid w:val="0"/>
        <w:ind w:firstLine="450"/>
        <w:jc w:val="both"/>
        <w:rPr>
          <w:sz w:val="20"/>
          <w:szCs w:val="20"/>
        </w:rPr>
      </w:pPr>
      <w:proofErr w:type="gramStart"/>
      <w:r w:rsidRPr="00373D9E">
        <w:rPr>
          <w:sz w:val="20"/>
          <w:szCs w:val="20"/>
        </w:rPr>
        <w:t>Physical examination daily to evaluate abdominal tenderness and rebound tenderness.</w:t>
      </w:r>
      <w:proofErr w:type="gramEnd"/>
      <w:r w:rsidRPr="00373D9E">
        <w:rPr>
          <w:sz w:val="20"/>
          <w:szCs w:val="20"/>
        </w:rPr>
        <w:t xml:space="preserve"> Joint medical and surgical management is appropriate. </w:t>
      </w:r>
      <w:proofErr w:type="gramStart"/>
      <w:r w:rsidRPr="00373D9E">
        <w:rPr>
          <w:sz w:val="20"/>
          <w:szCs w:val="20"/>
        </w:rPr>
        <w:t xml:space="preserve">Recording of vital signs four times daily and more often if deterioration </w:t>
      </w:r>
      <w:proofErr w:type="spellStart"/>
      <w:r w:rsidRPr="00373D9E">
        <w:rPr>
          <w:sz w:val="20"/>
          <w:szCs w:val="20"/>
        </w:rPr>
        <w:t>noted.A</w:t>
      </w:r>
      <w:proofErr w:type="spellEnd"/>
      <w:r w:rsidRPr="00373D9E">
        <w:rPr>
          <w:sz w:val="20"/>
          <w:szCs w:val="20"/>
        </w:rPr>
        <w:t xml:space="preserve"> stool chart to record number and character of bowel movements, including the presence or absence of blood and liquid versus solid stool.</w:t>
      </w:r>
      <w:proofErr w:type="gramEnd"/>
      <w:r w:rsidRPr="00373D9E">
        <w:rPr>
          <w:sz w:val="20"/>
          <w:szCs w:val="20"/>
        </w:rPr>
        <w:t xml:space="preserve"> Measurement of FBC, ESR, or CRP, serum electrolytes, serum albumin, and liver function tests every 24–48 hours. Daily abdominal radiography if colonic dilatation (transverse colon diameter &gt;5.5 cm) is detected at presentation. </w:t>
      </w:r>
      <w:proofErr w:type="gramStart"/>
      <w:r w:rsidRPr="00373D9E">
        <w:rPr>
          <w:sz w:val="20"/>
          <w:szCs w:val="20"/>
        </w:rPr>
        <w:t>Intravenous fluid and electrolyte replacement to correct and prevent dehydration or electrolyte imbalance, with blood transfusion to maintain a haemoglobin</w:t>
      </w:r>
      <w:r w:rsidR="00373D9E">
        <w:rPr>
          <w:sz w:val="20"/>
          <w:szCs w:val="20"/>
        </w:rPr>
        <w:t>.</w:t>
      </w:r>
      <w:r w:rsidRPr="00373D9E">
        <w:rPr>
          <w:sz w:val="20"/>
          <w:szCs w:val="20"/>
        </w:rPr>
        <w:t>10 g/</w:t>
      </w:r>
      <w:proofErr w:type="spellStart"/>
      <w:r w:rsidRPr="00373D9E">
        <w:rPr>
          <w:sz w:val="20"/>
          <w:szCs w:val="20"/>
        </w:rPr>
        <w:t>dl.Subcutaneous</w:t>
      </w:r>
      <w:proofErr w:type="spellEnd"/>
      <w:r w:rsidRPr="00373D9E">
        <w:rPr>
          <w:sz w:val="20"/>
          <w:szCs w:val="20"/>
        </w:rPr>
        <w:t xml:space="preserve"> heparin to reduce the risk of </w:t>
      </w:r>
      <w:proofErr w:type="spellStart"/>
      <w:r w:rsidRPr="00373D9E">
        <w:rPr>
          <w:sz w:val="20"/>
          <w:szCs w:val="20"/>
        </w:rPr>
        <w:t>thromboembolism.Nutritional</w:t>
      </w:r>
      <w:proofErr w:type="spellEnd"/>
      <w:r w:rsidRPr="00373D9E">
        <w:rPr>
          <w:sz w:val="20"/>
          <w:szCs w:val="20"/>
        </w:rPr>
        <w:t xml:space="preserve"> support (by </w:t>
      </w:r>
      <w:proofErr w:type="spellStart"/>
      <w:r w:rsidRPr="00373D9E">
        <w:rPr>
          <w:sz w:val="20"/>
          <w:szCs w:val="20"/>
        </w:rPr>
        <w:t>enteral</w:t>
      </w:r>
      <w:proofErr w:type="spellEnd"/>
      <w:r w:rsidRPr="00373D9E">
        <w:rPr>
          <w:sz w:val="20"/>
          <w:szCs w:val="20"/>
        </w:rPr>
        <w:t xml:space="preserve"> or </w:t>
      </w:r>
      <w:proofErr w:type="spellStart"/>
      <w:r w:rsidRPr="00373D9E">
        <w:rPr>
          <w:sz w:val="20"/>
          <w:szCs w:val="20"/>
        </w:rPr>
        <w:t>parenteral</w:t>
      </w:r>
      <w:proofErr w:type="spellEnd"/>
      <w:r w:rsidRPr="00373D9E">
        <w:rPr>
          <w:sz w:val="20"/>
          <w:szCs w:val="20"/>
        </w:rPr>
        <w:t xml:space="preserve"> route) if the patient is malnourished.</w:t>
      </w:r>
      <w:proofErr w:type="gramEnd"/>
      <w:r w:rsidRPr="00373D9E">
        <w:rPr>
          <w:sz w:val="20"/>
          <w:szCs w:val="20"/>
        </w:rPr>
        <w:t xml:space="preserve"> </w:t>
      </w:r>
      <w:proofErr w:type="gramStart"/>
      <w:r w:rsidRPr="00373D9E">
        <w:rPr>
          <w:sz w:val="20"/>
          <w:szCs w:val="20"/>
        </w:rPr>
        <w:t xml:space="preserve">Intravenous corticosteroids (hydrocortisone 400 mg/day or </w:t>
      </w:r>
      <w:proofErr w:type="spellStart"/>
      <w:r w:rsidRPr="00373D9E">
        <w:rPr>
          <w:sz w:val="20"/>
          <w:szCs w:val="20"/>
        </w:rPr>
        <w:t>methylprednisolone</w:t>
      </w:r>
      <w:proofErr w:type="spellEnd"/>
      <w:r w:rsidRPr="00373D9E">
        <w:rPr>
          <w:sz w:val="20"/>
          <w:szCs w:val="20"/>
        </w:rPr>
        <w:t xml:space="preserve"> 60 mg/day), biological </w:t>
      </w:r>
      <w:proofErr w:type="spellStart"/>
      <w:r w:rsidRPr="00373D9E">
        <w:rPr>
          <w:sz w:val="20"/>
          <w:szCs w:val="20"/>
        </w:rPr>
        <w:t>therapy</w:t>
      </w:r>
      <w:r w:rsidR="00373D9E">
        <w:rPr>
          <w:sz w:val="20"/>
          <w:szCs w:val="20"/>
        </w:rPr>
        <w:t>.</w:t>
      </w:r>
      <w:r w:rsidRPr="00373D9E">
        <w:rPr>
          <w:sz w:val="20"/>
          <w:szCs w:val="20"/>
        </w:rPr>
        <w:t>Withdrawal</w:t>
      </w:r>
      <w:proofErr w:type="spellEnd"/>
      <w:r w:rsidRPr="00373D9E">
        <w:rPr>
          <w:sz w:val="20"/>
          <w:szCs w:val="20"/>
        </w:rPr>
        <w:t xml:space="preserve"> of </w:t>
      </w:r>
      <w:proofErr w:type="spellStart"/>
      <w:r w:rsidRPr="00373D9E">
        <w:rPr>
          <w:sz w:val="20"/>
          <w:szCs w:val="20"/>
        </w:rPr>
        <w:t>anticholinergic</w:t>
      </w:r>
      <w:proofErr w:type="spellEnd"/>
      <w:r w:rsidRPr="00373D9E">
        <w:rPr>
          <w:sz w:val="20"/>
          <w:szCs w:val="20"/>
        </w:rPr>
        <w:t xml:space="preserve">, </w:t>
      </w:r>
      <w:proofErr w:type="spellStart"/>
      <w:r w:rsidRPr="00373D9E">
        <w:rPr>
          <w:sz w:val="20"/>
          <w:szCs w:val="20"/>
        </w:rPr>
        <w:t>antidiarrhoeal</w:t>
      </w:r>
      <w:proofErr w:type="spellEnd"/>
      <w:r w:rsidRPr="00373D9E">
        <w:rPr>
          <w:sz w:val="20"/>
          <w:szCs w:val="20"/>
        </w:rPr>
        <w:t xml:space="preserve"> agents, NSAID and </w:t>
      </w:r>
      <w:proofErr w:type="spellStart"/>
      <w:r w:rsidRPr="00373D9E">
        <w:rPr>
          <w:sz w:val="20"/>
          <w:szCs w:val="20"/>
        </w:rPr>
        <w:t>opioid</w:t>
      </w:r>
      <w:proofErr w:type="spellEnd"/>
      <w:r w:rsidRPr="00373D9E">
        <w:rPr>
          <w:sz w:val="20"/>
          <w:szCs w:val="20"/>
        </w:rPr>
        <w:t xml:space="preserve"> drugs, which risk precipitating colonic dilatation.</w:t>
      </w:r>
      <w:proofErr w:type="gramEnd"/>
      <w:r w:rsidRPr="00373D9E">
        <w:rPr>
          <w:sz w:val="20"/>
          <w:szCs w:val="20"/>
        </w:rPr>
        <w:t xml:space="preserve"> Continuation of </w:t>
      </w:r>
      <w:proofErr w:type="spellStart"/>
      <w:r w:rsidRPr="00373D9E">
        <w:rPr>
          <w:sz w:val="20"/>
          <w:szCs w:val="20"/>
        </w:rPr>
        <w:t>aminosalicylates</w:t>
      </w:r>
      <w:proofErr w:type="spellEnd"/>
      <w:r w:rsidRPr="00373D9E">
        <w:rPr>
          <w:sz w:val="20"/>
          <w:szCs w:val="20"/>
        </w:rPr>
        <w:t xml:space="preserve"> once oral intake resumes, although these have not been studied in severe </w:t>
      </w:r>
    </w:p>
    <w:p w:rsidR="00E50F31" w:rsidRPr="00373D9E" w:rsidRDefault="00E50F31" w:rsidP="00373D9E">
      <w:pPr>
        <w:pStyle w:val="Default"/>
        <w:snapToGrid w:val="0"/>
        <w:ind w:firstLine="450"/>
        <w:jc w:val="both"/>
        <w:rPr>
          <w:sz w:val="20"/>
          <w:szCs w:val="20"/>
        </w:rPr>
      </w:pPr>
      <w:proofErr w:type="gramStart"/>
      <w:r w:rsidRPr="00373D9E">
        <w:rPr>
          <w:sz w:val="20"/>
          <w:szCs w:val="20"/>
        </w:rPr>
        <w:t>disease</w:t>
      </w:r>
      <w:proofErr w:type="gramEnd"/>
      <w:r w:rsidRPr="00373D9E">
        <w:rPr>
          <w:sz w:val="20"/>
          <w:szCs w:val="20"/>
        </w:rPr>
        <w:t xml:space="preserve">. </w:t>
      </w:r>
      <w:proofErr w:type="gramStart"/>
      <w:r w:rsidRPr="00373D9E">
        <w:rPr>
          <w:sz w:val="20"/>
          <w:szCs w:val="20"/>
        </w:rPr>
        <w:t xml:space="preserve">Topical therapy (corticosteroids or </w:t>
      </w:r>
      <w:proofErr w:type="spellStart"/>
      <w:r w:rsidRPr="00373D9E">
        <w:rPr>
          <w:sz w:val="20"/>
          <w:szCs w:val="20"/>
        </w:rPr>
        <w:t>mesalazine</w:t>
      </w:r>
      <w:proofErr w:type="spellEnd"/>
      <w:r w:rsidRPr="00373D9E">
        <w:rPr>
          <w:sz w:val="20"/>
          <w:szCs w:val="20"/>
        </w:rPr>
        <w:t>) if tolerated and retained.</w:t>
      </w:r>
      <w:proofErr w:type="gramEnd"/>
      <w:r w:rsidRPr="00373D9E">
        <w:rPr>
          <w:sz w:val="20"/>
          <w:szCs w:val="20"/>
        </w:rPr>
        <w:t xml:space="preserve"> Intravenous antibiotics only if infection is considered, or immediately before surgery. Immediate surgical referral if there is evidence of toxic </w:t>
      </w:r>
      <w:proofErr w:type="spellStart"/>
      <w:r w:rsidRPr="00373D9E">
        <w:rPr>
          <w:sz w:val="20"/>
          <w:szCs w:val="20"/>
        </w:rPr>
        <w:t>megacolon</w:t>
      </w:r>
      <w:proofErr w:type="spellEnd"/>
      <w:r w:rsidRPr="00373D9E">
        <w:rPr>
          <w:sz w:val="20"/>
          <w:szCs w:val="20"/>
        </w:rPr>
        <w:t xml:space="preserve"> (diameter</w:t>
      </w:r>
      <w:r w:rsidR="00373D9E">
        <w:rPr>
          <w:sz w:val="20"/>
          <w:szCs w:val="20"/>
        </w:rPr>
        <w:t>.</w:t>
      </w:r>
      <w:r w:rsidRPr="00373D9E">
        <w:rPr>
          <w:sz w:val="20"/>
          <w:szCs w:val="20"/>
        </w:rPr>
        <w:t>5.5 cm, or caecum</w:t>
      </w:r>
      <w:r w:rsidR="00373D9E">
        <w:rPr>
          <w:sz w:val="20"/>
          <w:szCs w:val="20"/>
        </w:rPr>
        <w:t>.</w:t>
      </w:r>
      <w:r w:rsidRPr="00373D9E">
        <w:rPr>
          <w:sz w:val="20"/>
          <w:szCs w:val="20"/>
        </w:rPr>
        <w:t xml:space="preserve">9 cm). Consideration of </w:t>
      </w:r>
      <w:proofErr w:type="spellStart"/>
      <w:r w:rsidRPr="00373D9E">
        <w:rPr>
          <w:sz w:val="20"/>
          <w:szCs w:val="20"/>
        </w:rPr>
        <w:t>colectomy</w:t>
      </w:r>
      <w:proofErr w:type="spellEnd"/>
      <w:r w:rsidRPr="00373D9E">
        <w:rPr>
          <w:sz w:val="20"/>
          <w:szCs w:val="20"/>
        </w:rPr>
        <w:t xml:space="preserve"> or intravenous </w:t>
      </w:r>
      <w:proofErr w:type="spellStart"/>
      <w:r w:rsidRPr="00373D9E">
        <w:rPr>
          <w:sz w:val="20"/>
          <w:szCs w:val="20"/>
        </w:rPr>
        <w:t>ciclosporin</w:t>
      </w:r>
      <w:proofErr w:type="spellEnd"/>
      <w:r w:rsidRPr="00373D9E">
        <w:rPr>
          <w:sz w:val="20"/>
          <w:szCs w:val="20"/>
        </w:rPr>
        <w:t xml:space="preserve"> 2 mg/kg/day if there is no improvement during the first 3 days. Following induction of remission, oral </w:t>
      </w:r>
      <w:proofErr w:type="spellStart"/>
      <w:r w:rsidRPr="00373D9E">
        <w:rPr>
          <w:sz w:val="20"/>
          <w:szCs w:val="20"/>
        </w:rPr>
        <w:t>ciclosporin</w:t>
      </w:r>
      <w:proofErr w:type="spellEnd"/>
      <w:r w:rsidRPr="00373D9E">
        <w:rPr>
          <w:sz w:val="20"/>
          <w:szCs w:val="20"/>
        </w:rPr>
        <w:t xml:space="preserve"> for 3–6 months is appropriate. Surgery should be considered for those who have failed medical. </w:t>
      </w:r>
    </w:p>
    <w:p w:rsidR="00E50F31" w:rsidRPr="00FE636C" w:rsidRDefault="00E50F31" w:rsidP="00FE636C">
      <w:pPr>
        <w:pStyle w:val="Default"/>
        <w:snapToGrid w:val="0"/>
        <w:jc w:val="both"/>
        <w:rPr>
          <w:b/>
          <w:sz w:val="20"/>
          <w:szCs w:val="20"/>
        </w:rPr>
      </w:pPr>
      <w:r w:rsidRPr="00FE636C">
        <w:rPr>
          <w:b/>
          <w:sz w:val="20"/>
          <w:szCs w:val="20"/>
        </w:rPr>
        <w:t xml:space="preserve">Maintenance of remission </w:t>
      </w:r>
    </w:p>
    <w:p w:rsidR="00E50F31" w:rsidRPr="00373D9E" w:rsidRDefault="00E50F31" w:rsidP="00373D9E">
      <w:pPr>
        <w:pStyle w:val="Default"/>
        <w:snapToGrid w:val="0"/>
        <w:ind w:firstLine="450"/>
        <w:jc w:val="both"/>
        <w:rPr>
          <w:sz w:val="20"/>
          <w:szCs w:val="20"/>
        </w:rPr>
      </w:pPr>
      <w:r w:rsidRPr="00373D9E">
        <w:rPr>
          <w:sz w:val="20"/>
          <w:szCs w:val="20"/>
        </w:rPr>
        <w:t xml:space="preserve">A general rule of thumb is that once remission is achieved, the medications used to achieve remission should be continued, except steroids, which should be tapered off, because they have no role in maintaining </w:t>
      </w:r>
      <w:proofErr w:type="gramStart"/>
      <w:r w:rsidRPr="00373D9E">
        <w:rPr>
          <w:sz w:val="20"/>
          <w:szCs w:val="20"/>
        </w:rPr>
        <w:t>remission[</w:t>
      </w:r>
      <w:proofErr w:type="gramEnd"/>
      <w:r w:rsidRPr="00373D9E">
        <w:rPr>
          <w:sz w:val="20"/>
          <w:szCs w:val="20"/>
        </w:rPr>
        <w:t xml:space="preserve">8] and their use may lead to debilitating illness(23) </w:t>
      </w:r>
    </w:p>
    <w:p w:rsidR="00E50F31" w:rsidRPr="00373D9E" w:rsidRDefault="00E50F31" w:rsidP="00373D9E">
      <w:pPr>
        <w:pStyle w:val="Default"/>
        <w:snapToGrid w:val="0"/>
        <w:ind w:firstLine="450"/>
        <w:jc w:val="both"/>
        <w:rPr>
          <w:sz w:val="20"/>
          <w:szCs w:val="20"/>
        </w:rPr>
      </w:pPr>
      <w:proofErr w:type="gramStart"/>
      <w:r w:rsidRPr="00373D9E">
        <w:rPr>
          <w:sz w:val="20"/>
          <w:szCs w:val="20"/>
        </w:rPr>
        <w:t xml:space="preserve">Oral </w:t>
      </w:r>
      <w:proofErr w:type="spellStart"/>
      <w:r w:rsidRPr="00373D9E">
        <w:rPr>
          <w:sz w:val="20"/>
          <w:szCs w:val="20"/>
        </w:rPr>
        <w:t>Crohn’s</w:t>
      </w:r>
      <w:proofErr w:type="spellEnd"/>
      <w:r w:rsidRPr="00373D9E">
        <w:rPr>
          <w:sz w:val="20"/>
          <w:szCs w:val="20"/>
        </w:rPr>
        <w:t xml:space="preserve"> disease.</w:t>
      </w:r>
      <w:proofErr w:type="gramEnd"/>
      <w:r w:rsidRPr="00373D9E">
        <w:rPr>
          <w:sz w:val="20"/>
          <w:szCs w:val="20"/>
        </w:rPr>
        <w:t xml:space="preserve"> This is best managed in conjunction with a specialist in oral medicine. Topical steroids, topical </w:t>
      </w:r>
      <w:proofErr w:type="spellStart"/>
      <w:r w:rsidRPr="00373D9E">
        <w:rPr>
          <w:sz w:val="20"/>
          <w:szCs w:val="20"/>
        </w:rPr>
        <w:t>tacrolimus</w:t>
      </w:r>
      <w:proofErr w:type="spellEnd"/>
      <w:r w:rsidRPr="00373D9E">
        <w:rPr>
          <w:sz w:val="20"/>
          <w:szCs w:val="20"/>
        </w:rPr>
        <w:t>, intra-</w:t>
      </w:r>
      <w:proofErr w:type="spellStart"/>
      <w:r w:rsidRPr="00373D9E">
        <w:rPr>
          <w:sz w:val="20"/>
          <w:szCs w:val="20"/>
        </w:rPr>
        <w:t>lesional</w:t>
      </w:r>
      <w:proofErr w:type="spellEnd"/>
      <w:r w:rsidRPr="00373D9E">
        <w:rPr>
          <w:sz w:val="20"/>
          <w:szCs w:val="20"/>
        </w:rPr>
        <w:t xml:space="preserve"> steroid injections, </w:t>
      </w:r>
      <w:proofErr w:type="spellStart"/>
      <w:r w:rsidRPr="00373D9E">
        <w:rPr>
          <w:sz w:val="20"/>
          <w:szCs w:val="20"/>
        </w:rPr>
        <w:t>enteral</w:t>
      </w:r>
      <w:proofErr w:type="spellEnd"/>
      <w:r w:rsidRPr="00373D9E">
        <w:rPr>
          <w:sz w:val="20"/>
          <w:szCs w:val="20"/>
        </w:rPr>
        <w:t xml:space="preserve"> nutrition, and </w:t>
      </w:r>
      <w:proofErr w:type="spellStart"/>
      <w:r w:rsidRPr="00373D9E">
        <w:rPr>
          <w:sz w:val="20"/>
          <w:szCs w:val="20"/>
        </w:rPr>
        <w:t>infliximab</w:t>
      </w:r>
      <w:proofErr w:type="spellEnd"/>
      <w:r w:rsidRPr="00373D9E">
        <w:rPr>
          <w:sz w:val="20"/>
          <w:szCs w:val="20"/>
        </w:rPr>
        <w:t xml:space="preserve"> may have a role in management. </w:t>
      </w:r>
    </w:p>
    <w:p w:rsidR="00E50F31" w:rsidRPr="00373D9E" w:rsidRDefault="00E50F31" w:rsidP="00373D9E">
      <w:pPr>
        <w:pStyle w:val="Default"/>
        <w:snapToGrid w:val="0"/>
        <w:ind w:firstLine="450"/>
        <w:jc w:val="both"/>
        <w:rPr>
          <w:sz w:val="20"/>
          <w:szCs w:val="20"/>
        </w:rPr>
      </w:pPr>
      <w:proofErr w:type="spellStart"/>
      <w:proofErr w:type="gramStart"/>
      <w:r w:rsidRPr="00373D9E">
        <w:rPr>
          <w:sz w:val="20"/>
          <w:szCs w:val="20"/>
        </w:rPr>
        <w:lastRenderedPageBreak/>
        <w:t>Gastroduodenal</w:t>
      </w:r>
      <w:proofErr w:type="spellEnd"/>
      <w:r w:rsidRPr="00373D9E">
        <w:rPr>
          <w:sz w:val="20"/>
          <w:szCs w:val="20"/>
        </w:rPr>
        <w:t xml:space="preserve"> disease.</w:t>
      </w:r>
      <w:proofErr w:type="gramEnd"/>
      <w:r w:rsidRPr="00373D9E">
        <w:rPr>
          <w:sz w:val="20"/>
          <w:szCs w:val="20"/>
        </w:rPr>
        <w:t xml:space="preserve"> Symptoms are often relieved by proton pump inhibitors. Surgery is difficult and may be complicated by </w:t>
      </w:r>
      <w:proofErr w:type="spellStart"/>
      <w:r w:rsidRPr="00373D9E">
        <w:rPr>
          <w:sz w:val="20"/>
          <w:szCs w:val="20"/>
        </w:rPr>
        <w:t>fistulation</w:t>
      </w:r>
      <w:proofErr w:type="spellEnd"/>
      <w:r w:rsidRPr="00373D9E">
        <w:rPr>
          <w:sz w:val="20"/>
          <w:szCs w:val="20"/>
        </w:rPr>
        <w:t xml:space="preserve">. </w:t>
      </w:r>
    </w:p>
    <w:p w:rsidR="00E50F31" w:rsidRPr="00373D9E" w:rsidRDefault="00E50F31" w:rsidP="00373D9E">
      <w:pPr>
        <w:pStyle w:val="Default"/>
        <w:snapToGrid w:val="0"/>
        <w:ind w:firstLine="450"/>
        <w:jc w:val="both"/>
        <w:rPr>
          <w:sz w:val="20"/>
          <w:szCs w:val="20"/>
        </w:rPr>
      </w:pPr>
      <w:r w:rsidRPr="00373D9E">
        <w:rPr>
          <w:sz w:val="20"/>
          <w:szCs w:val="20"/>
        </w:rPr>
        <w:t xml:space="preserve">Diffuse small bowel disease. Stricture dilatation or </w:t>
      </w:r>
      <w:proofErr w:type="spellStart"/>
      <w:r w:rsidRPr="00373D9E">
        <w:rPr>
          <w:sz w:val="20"/>
          <w:szCs w:val="20"/>
        </w:rPr>
        <w:t>strictureplasty</w:t>
      </w:r>
      <w:proofErr w:type="spellEnd"/>
      <w:r w:rsidRPr="00373D9E">
        <w:rPr>
          <w:sz w:val="20"/>
          <w:szCs w:val="20"/>
        </w:rPr>
        <w:t xml:space="preserve"> with or without </w:t>
      </w:r>
      <w:proofErr w:type="spellStart"/>
      <w:r w:rsidRPr="00373D9E">
        <w:rPr>
          <w:sz w:val="20"/>
          <w:szCs w:val="20"/>
        </w:rPr>
        <w:t>triamcinolone</w:t>
      </w:r>
      <w:proofErr w:type="spellEnd"/>
      <w:r w:rsidRPr="00373D9E">
        <w:rPr>
          <w:sz w:val="20"/>
          <w:szCs w:val="20"/>
        </w:rPr>
        <w:t xml:space="preserve"> injection should be considered. </w:t>
      </w:r>
      <w:proofErr w:type="gramStart"/>
      <w:r w:rsidRPr="00373D9E">
        <w:rPr>
          <w:sz w:val="20"/>
          <w:szCs w:val="20"/>
        </w:rPr>
        <w:t xml:space="preserve">Nutritional support before and after surgery </w:t>
      </w:r>
      <w:proofErr w:type="spellStart"/>
      <w:r w:rsidRPr="00373D9E">
        <w:rPr>
          <w:sz w:val="20"/>
          <w:szCs w:val="20"/>
        </w:rPr>
        <w:t>isusually</w:t>
      </w:r>
      <w:proofErr w:type="spellEnd"/>
      <w:r w:rsidRPr="00373D9E">
        <w:rPr>
          <w:sz w:val="20"/>
          <w:szCs w:val="20"/>
        </w:rPr>
        <w:t xml:space="preserve"> essential.</w:t>
      </w:r>
      <w:proofErr w:type="gramEnd"/>
      <w:r w:rsidRPr="00373D9E">
        <w:rPr>
          <w:sz w:val="20"/>
          <w:szCs w:val="20"/>
        </w:rPr>
        <w:t xml:space="preserve"> Other approaches, including the combination of </w:t>
      </w:r>
      <w:proofErr w:type="spellStart"/>
      <w:r w:rsidRPr="00373D9E">
        <w:rPr>
          <w:sz w:val="20"/>
          <w:szCs w:val="20"/>
        </w:rPr>
        <w:t>infliximab</w:t>
      </w:r>
      <w:proofErr w:type="spellEnd"/>
      <w:r w:rsidRPr="00373D9E">
        <w:rPr>
          <w:sz w:val="20"/>
          <w:szCs w:val="20"/>
        </w:rPr>
        <w:t xml:space="preserve"> with surgery for residual strictures, are evolving. </w:t>
      </w:r>
    </w:p>
    <w:p w:rsidR="00E50F31" w:rsidRPr="00373D9E" w:rsidRDefault="00E50F31" w:rsidP="00373D9E">
      <w:pPr>
        <w:pStyle w:val="Default"/>
        <w:snapToGrid w:val="0"/>
        <w:ind w:firstLine="450"/>
        <w:jc w:val="both"/>
        <w:rPr>
          <w:sz w:val="20"/>
          <w:szCs w:val="20"/>
        </w:rPr>
      </w:pPr>
      <w:r w:rsidRPr="00373D9E">
        <w:rPr>
          <w:sz w:val="20"/>
          <w:szCs w:val="20"/>
        </w:rPr>
        <w:t xml:space="preserve">Patients who have a poor response to steroids can be divided into steroid refractory and steroid dependent. </w:t>
      </w:r>
    </w:p>
    <w:p w:rsidR="00373D9E" w:rsidRPr="00373D9E" w:rsidRDefault="00E50F31" w:rsidP="00373D9E">
      <w:pPr>
        <w:pStyle w:val="Default"/>
        <w:snapToGrid w:val="0"/>
        <w:ind w:firstLine="450"/>
        <w:jc w:val="both"/>
        <w:rPr>
          <w:sz w:val="20"/>
          <w:szCs w:val="20"/>
          <w:lang w:eastAsia="zh-CN"/>
        </w:rPr>
      </w:pPr>
      <w:r w:rsidRPr="00373D9E">
        <w:rPr>
          <w:sz w:val="20"/>
          <w:szCs w:val="20"/>
        </w:rPr>
        <w:t xml:space="preserve">Steroid-refractory disease may be defined as active disease in spite of an adequate dose and duration of </w:t>
      </w:r>
      <w:proofErr w:type="spellStart"/>
      <w:r w:rsidRPr="00373D9E">
        <w:rPr>
          <w:sz w:val="20"/>
          <w:szCs w:val="20"/>
        </w:rPr>
        <w:t>prednisolone</w:t>
      </w:r>
      <w:proofErr w:type="spellEnd"/>
      <w:r w:rsidRPr="00373D9E">
        <w:rPr>
          <w:sz w:val="20"/>
          <w:szCs w:val="20"/>
        </w:rPr>
        <w:t xml:space="preserve"> (&gt;20 mg/d for &gt;2 weeks) and steroid dependence as a relapse when the steroid dose is reduced below 20 mg/day, or within 6 weeks of stopping steroids. Such patients should be considered for treatment with </w:t>
      </w:r>
      <w:proofErr w:type="spellStart"/>
      <w:r w:rsidRPr="00373D9E">
        <w:rPr>
          <w:sz w:val="20"/>
          <w:szCs w:val="20"/>
        </w:rPr>
        <w:t>immunomodulators</w:t>
      </w:r>
      <w:proofErr w:type="spellEnd"/>
      <w:r w:rsidRPr="00373D9E">
        <w:rPr>
          <w:sz w:val="20"/>
          <w:szCs w:val="20"/>
        </w:rPr>
        <w:t xml:space="preserve"> if surgery is not an immediate consideration. </w:t>
      </w:r>
      <w:proofErr w:type="spellStart"/>
      <w:r w:rsidRPr="00373D9E">
        <w:rPr>
          <w:sz w:val="20"/>
          <w:szCs w:val="20"/>
        </w:rPr>
        <w:t>Azathioprine</w:t>
      </w:r>
      <w:proofErr w:type="spellEnd"/>
      <w:r w:rsidRPr="00373D9E">
        <w:rPr>
          <w:sz w:val="20"/>
          <w:szCs w:val="20"/>
        </w:rPr>
        <w:t xml:space="preserve"> 1.5–2.5 mg/kg/day, or </w:t>
      </w:r>
      <w:proofErr w:type="spellStart"/>
      <w:r w:rsidRPr="00373D9E">
        <w:rPr>
          <w:sz w:val="20"/>
          <w:szCs w:val="20"/>
        </w:rPr>
        <w:t>mercaptopurine</w:t>
      </w:r>
      <w:proofErr w:type="spellEnd"/>
      <w:r w:rsidRPr="00373D9E">
        <w:rPr>
          <w:sz w:val="20"/>
          <w:szCs w:val="20"/>
        </w:rPr>
        <w:t xml:space="preserve"> 0.75– 1.25 mg/kg/day are the first line agents of choice for steroid dependent disease. </w:t>
      </w:r>
    </w:p>
    <w:p w:rsidR="00002758" w:rsidRPr="00373D9E" w:rsidRDefault="00E50F31" w:rsidP="00373D9E">
      <w:pPr>
        <w:pStyle w:val="Default"/>
        <w:snapToGrid w:val="0"/>
        <w:ind w:firstLine="450"/>
        <w:jc w:val="both"/>
        <w:rPr>
          <w:sz w:val="20"/>
          <w:szCs w:val="20"/>
        </w:rPr>
      </w:pPr>
      <w:proofErr w:type="spellStart"/>
      <w:r w:rsidRPr="00373D9E">
        <w:rPr>
          <w:sz w:val="20"/>
          <w:szCs w:val="20"/>
        </w:rPr>
        <w:t>Methotrexate</w:t>
      </w:r>
      <w:proofErr w:type="spellEnd"/>
      <w:r w:rsidRPr="00373D9E">
        <w:rPr>
          <w:sz w:val="20"/>
          <w:szCs w:val="20"/>
        </w:rPr>
        <w:t xml:space="preserve"> IM 25 mg weekly for up to 16 weeks followed by 15 mg weekly is effective for chronic active disease. </w:t>
      </w:r>
      <w:proofErr w:type="spellStart"/>
      <w:r w:rsidRPr="00373D9E">
        <w:rPr>
          <w:sz w:val="20"/>
          <w:szCs w:val="20"/>
        </w:rPr>
        <w:t>Infliximab</w:t>
      </w:r>
      <w:proofErr w:type="spellEnd"/>
      <w:r w:rsidRPr="00373D9E">
        <w:rPr>
          <w:sz w:val="20"/>
          <w:szCs w:val="20"/>
        </w:rPr>
        <w:t xml:space="preserve"> (5 mg/kg) should be reserved for patients with moderate to severe CD, who are refractory to or intolerant </w:t>
      </w:r>
      <w:r w:rsidR="00002758" w:rsidRPr="00373D9E">
        <w:rPr>
          <w:sz w:val="20"/>
          <w:szCs w:val="20"/>
        </w:rPr>
        <w:t xml:space="preserve">of treatment with steroids, </w:t>
      </w:r>
      <w:proofErr w:type="spellStart"/>
      <w:r w:rsidR="00002758" w:rsidRPr="00373D9E">
        <w:rPr>
          <w:sz w:val="20"/>
          <w:szCs w:val="20"/>
        </w:rPr>
        <w:t>mesalazine</w:t>
      </w:r>
      <w:proofErr w:type="spellEnd"/>
      <w:r w:rsidR="00002758" w:rsidRPr="00373D9E">
        <w:rPr>
          <w:sz w:val="20"/>
          <w:szCs w:val="20"/>
        </w:rPr>
        <w:t xml:space="preserve">, </w:t>
      </w:r>
      <w:proofErr w:type="spellStart"/>
      <w:r w:rsidR="00002758" w:rsidRPr="00373D9E">
        <w:rPr>
          <w:sz w:val="20"/>
          <w:szCs w:val="20"/>
        </w:rPr>
        <w:t>azathioprine</w:t>
      </w:r>
      <w:proofErr w:type="spellEnd"/>
      <w:r w:rsidR="00002758" w:rsidRPr="00373D9E">
        <w:rPr>
          <w:sz w:val="20"/>
          <w:szCs w:val="20"/>
        </w:rPr>
        <w:t xml:space="preserve">/ </w:t>
      </w:r>
      <w:proofErr w:type="spellStart"/>
      <w:r w:rsidR="00002758" w:rsidRPr="00373D9E">
        <w:rPr>
          <w:sz w:val="20"/>
          <w:szCs w:val="20"/>
        </w:rPr>
        <w:t>mercaptopurine</w:t>
      </w:r>
      <w:proofErr w:type="spellEnd"/>
      <w:r w:rsidR="00002758" w:rsidRPr="00373D9E">
        <w:rPr>
          <w:sz w:val="20"/>
          <w:szCs w:val="20"/>
        </w:rPr>
        <w:t xml:space="preserve">, and </w:t>
      </w:r>
      <w:proofErr w:type="spellStart"/>
      <w:r w:rsidR="00002758" w:rsidRPr="00373D9E">
        <w:rPr>
          <w:sz w:val="20"/>
          <w:szCs w:val="20"/>
        </w:rPr>
        <w:t>methotrexate</w:t>
      </w:r>
      <w:proofErr w:type="spellEnd"/>
      <w:r w:rsidR="00002758" w:rsidRPr="00373D9E">
        <w:rPr>
          <w:sz w:val="20"/>
          <w:szCs w:val="20"/>
        </w:rPr>
        <w:t>, and where surgery is considered inappropriate</w:t>
      </w:r>
      <w:r w:rsidR="00373D9E" w:rsidRPr="00373D9E">
        <w:rPr>
          <w:rFonts w:hint="eastAsia"/>
          <w:sz w:val="20"/>
          <w:szCs w:val="20"/>
          <w:lang w:eastAsia="zh-CN"/>
        </w:rPr>
        <w:t xml:space="preserve"> </w:t>
      </w:r>
      <w:r w:rsidR="00002758" w:rsidRPr="00373D9E">
        <w:rPr>
          <w:sz w:val="20"/>
          <w:szCs w:val="20"/>
        </w:rPr>
        <w:t xml:space="preserve">(24). </w:t>
      </w:r>
    </w:p>
    <w:p w:rsidR="000A1D35" w:rsidRPr="00373D9E" w:rsidRDefault="00002758" w:rsidP="00373D9E">
      <w:pPr>
        <w:pStyle w:val="Default"/>
        <w:snapToGrid w:val="0"/>
        <w:ind w:firstLine="450"/>
        <w:jc w:val="both"/>
        <w:rPr>
          <w:sz w:val="20"/>
          <w:szCs w:val="20"/>
        </w:rPr>
      </w:pPr>
      <w:r w:rsidRPr="00373D9E">
        <w:rPr>
          <w:sz w:val="20"/>
          <w:szCs w:val="20"/>
        </w:rPr>
        <w:t xml:space="preserve">SURGERY FOR INFLAMMATORY BOWEL DISEASE </w:t>
      </w:r>
      <w:r w:rsidR="000A1D35" w:rsidRPr="00373D9E">
        <w:rPr>
          <w:sz w:val="20"/>
          <w:szCs w:val="20"/>
        </w:rPr>
        <w:t xml:space="preserve">of treatment with steroids, </w:t>
      </w:r>
      <w:proofErr w:type="spellStart"/>
      <w:r w:rsidR="000A1D35" w:rsidRPr="00373D9E">
        <w:rPr>
          <w:sz w:val="20"/>
          <w:szCs w:val="20"/>
        </w:rPr>
        <w:t>mesalazine</w:t>
      </w:r>
      <w:proofErr w:type="spellEnd"/>
      <w:r w:rsidR="000A1D35" w:rsidRPr="00373D9E">
        <w:rPr>
          <w:sz w:val="20"/>
          <w:szCs w:val="20"/>
        </w:rPr>
        <w:t xml:space="preserve">, </w:t>
      </w:r>
      <w:proofErr w:type="spellStart"/>
      <w:r w:rsidR="000A1D35" w:rsidRPr="00373D9E">
        <w:rPr>
          <w:sz w:val="20"/>
          <w:szCs w:val="20"/>
        </w:rPr>
        <w:t>azathioprine</w:t>
      </w:r>
      <w:proofErr w:type="spellEnd"/>
      <w:r w:rsidR="000A1D35" w:rsidRPr="00373D9E">
        <w:rPr>
          <w:sz w:val="20"/>
          <w:szCs w:val="20"/>
        </w:rPr>
        <w:t xml:space="preserve">/ </w:t>
      </w:r>
      <w:proofErr w:type="spellStart"/>
      <w:r w:rsidR="000A1D35" w:rsidRPr="00373D9E">
        <w:rPr>
          <w:sz w:val="20"/>
          <w:szCs w:val="20"/>
        </w:rPr>
        <w:t>mercaptopurine</w:t>
      </w:r>
      <w:proofErr w:type="spellEnd"/>
      <w:r w:rsidR="000A1D35" w:rsidRPr="00373D9E">
        <w:rPr>
          <w:sz w:val="20"/>
          <w:szCs w:val="20"/>
        </w:rPr>
        <w:t xml:space="preserve">, and </w:t>
      </w:r>
      <w:proofErr w:type="spellStart"/>
      <w:r w:rsidR="000A1D35" w:rsidRPr="00373D9E">
        <w:rPr>
          <w:sz w:val="20"/>
          <w:szCs w:val="20"/>
        </w:rPr>
        <w:t>methotrexate</w:t>
      </w:r>
      <w:proofErr w:type="spellEnd"/>
      <w:r w:rsidR="000A1D35" w:rsidRPr="00373D9E">
        <w:rPr>
          <w:sz w:val="20"/>
          <w:szCs w:val="20"/>
        </w:rPr>
        <w:t xml:space="preserve">, and where surgery is considered </w:t>
      </w:r>
      <w:proofErr w:type="gramStart"/>
      <w:r w:rsidR="000A1D35" w:rsidRPr="00373D9E">
        <w:rPr>
          <w:sz w:val="20"/>
          <w:szCs w:val="20"/>
        </w:rPr>
        <w:t>inappropriate(</w:t>
      </w:r>
      <w:proofErr w:type="gramEnd"/>
      <w:r w:rsidR="000A1D35" w:rsidRPr="00373D9E">
        <w:rPr>
          <w:sz w:val="20"/>
          <w:szCs w:val="20"/>
        </w:rPr>
        <w:t xml:space="preserve">24). </w:t>
      </w:r>
    </w:p>
    <w:p w:rsidR="00002758" w:rsidRPr="00373D9E" w:rsidRDefault="000A1D35" w:rsidP="00373D9E">
      <w:pPr>
        <w:pStyle w:val="Default"/>
        <w:snapToGrid w:val="0"/>
        <w:ind w:firstLine="450"/>
        <w:jc w:val="both"/>
        <w:rPr>
          <w:sz w:val="20"/>
          <w:szCs w:val="20"/>
        </w:rPr>
      </w:pPr>
      <w:r w:rsidRPr="00373D9E">
        <w:rPr>
          <w:sz w:val="20"/>
          <w:szCs w:val="20"/>
        </w:rPr>
        <w:t xml:space="preserve">SURGERY FOR INFLAMMATORY BOWEL DISEASE </w:t>
      </w:r>
      <w:r w:rsidR="00002758" w:rsidRPr="00373D9E">
        <w:rPr>
          <w:sz w:val="20"/>
          <w:szCs w:val="20"/>
        </w:rPr>
        <w:t xml:space="preserve">of treatment with steroids, </w:t>
      </w:r>
      <w:proofErr w:type="spellStart"/>
      <w:r w:rsidR="00002758" w:rsidRPr="00373D9E">
        <w:rPr>
          <w:sz w:val="20"/>
          <w:szCs w:val="20"/>
        </w:rPr>
        <w:t>mesalazine</w:t>
      </w:r>
      <w:proofErr w:type="spellEnd"/>
      <w:r w:rsidR="00002758" w:rsidRPr="00373D9E">
        <w:rPr>
          <w:sz w:val="20"/>
          <w:szCs w:val="20"/>
        </w:rPr>
        <w:t xml:space="preserve">, </w:t>
      </w:r>
      <w:proofErr w:type="spellStart"/>
      <w:r w:rsidR="00002758" w:rsidRPr="00373D9E">
        <w:rPr>
          <w:sz w:val="20"/>
          <w:szCs w:val="20"/>
        </w:rPr>
        <w:t>azathioprine</w:t>
      </w:r>
      <w:proofErr w:type="spellEnd"/>
      <w:r w:rsidR="00002758" w:rsidRPr="00373D9E">
        <w:rPr>
          <w:sz w:val="20"/>
          <w:szCs w:val="20"/>
        </w:rPr>
        <w:t xml:space="preserve">/ </w:t>
      </w:r>
      <w:proofErr w:type="spellStart"/>
      <w:r w:rsidR="00002758" w:rsidRPr="00373D9E">
        <w:rPr>
          <w:sz w:val="20"/>
          <w:szCs w:val="20"/>
        </w:rPr>
        <w:t>mercaptopurine</w:t>
      </w:r>
      <w:proofErr w:type="spellEnd"/>
      <w:r w:rsidR="00002758" w:rsidRPr="00373D9E">
        <w:rPr>
          <w:sz w:val="20"/>
          <w:szCs w:val="20"/>
        </w:rPr>
        <w:t xml:space="preserve">, and </w:t>
      </w:r>
      <w:proofErr w:type="spellStart"/>
      <w:r w:rsidR="00002758" w:rsidRPr="00373D9E">
        <w:rPr>
          <w:sz w:val="20"/>
          <w:szCs w:val="20"/>
        </w:rPr>
        <w:t>methotrexate</w:t>
      </w:r>
      <w:proofErr w:type="spellEnd"/>
      <w:r w:rsidR="00002758" w:rsidRPr="00373D9E">
        <w:rPr>
          <w:sz w:val="20"/>
          <w:szCs w:val="20"/>
        </w:rPr>
        <w:t xml:space="preserve">, and where surgery is considered </w:t>
      </w:r>
      <w:proofErr w:type="gramStart"/>
      <w:r w:rsidR="00002758" w:rsidRPr="00373D9E">
        <w:rPr>
          <w:sz w:val="20"/>
          <w:szCs w:val="20"/>
        </w:rPr>
        <w:t>inappropriate(</w:t>
      </w:r>
      <w:proofErr w:type="gramEnd"/>
      <w:r w:rsidR="00002758" w:rsidRPr="00373D9E">
        <w:rPr>
          <w:sz w:val="20"/>
          <w:szCs w:val="20"/>
        </w:rPr>
        <w:t xml:space="preserve">24). </w:t>
      </w:r>
    </w:p>
    <w:p w:rsidR="00002758" w:rsidRPr="00373D9E" w:rsidRDefault="00002758" w:rsidP="00373D9E">
      <w:pPr>
        <w:pStyle w:val="Default"/>
        <w:snapToGrid w:val="0"/>
        <w:ind w:firstLine="450"/>
        <w:jc w:val="both"/>
        <w:rPr>
          <w:sz w:val="20"/>
          <w:szCs w:val="20"/>
        </w:rPr>
      </w:pPr>
      <w:r w:rsidRPr="00373D9E">
        <w:rPr>
          <w:sz w:val="20"/>
          <w:szCs w:val="20"/>
        </w:rPr>
        <w:t xml:space="preserve">SURGERY FOR INFLAMMATORY BOWEL DISEASE </w:t>
      </w:r>
    </w:p>
    <w:p w:rsidR="00E50F31" w:rsidRPr="00373D9E" w:rsidRDefault="00E50F31" w:rsidP="00373D9E">
      <w:pPr>
        <w:pStyle w:val="Default"/>
        <w:snapToGrid w:val="0"/>
        <w:ind w:firstLine="450"/>
        <w:jc w:val="both"/>
        <w:rPr>
          <w:sz w:val="20"/>
          <w:szCs w:val="20"/>
        </w:rPr>
      </w:pPr>
      <w:bookmarkStart w:id="5" w:name="_GoBack"/>
      <w:bookmarkEnd w:id="5"/>
      <w:r w:rsidRPr="00373D9E">
        <w:rPr>
          <w:sz w:val="20"/>
          <w:szCs w:val="20"/>
        </w:rPr>
        <w:t xml:space="preserve">For UC, surgery should be advised for disease not responding to intensive medical therapy. The decision to operate is best taken by the gastroenterologist and colorectal surgeon in conjunction with the patient. Other patients with dysplasia or carcinoma, poorly controlled disease, recurrent acute </w:t>
      </w:r>
      <w:proofErr w:type="spellStart"/>
      <w:r w:rsidRPr="00373D9E">
        <w:rPr>
          <w:sz w:val="20"/>
          <w:szCs w:val="20"/>
        </w:rPr>
        <w:t>on</w:t>
      </w:r>
      <w:proofErr w:type="spellEnd"/>
      <w:r w:rsidRPr="00373D9E">
        <w:rPr>
          <w:sz w:val="20"/>
          <w:szCs w:val="20"/>
        </w:rPr>
        <w:t xml:space="preserve"> chronic episodes of UC should be counseled regarding surgical options. </w:t>
      </w:r>
    </w:p>
    <w:p w:rsidR="00E50F31" w:rsidRPr="00373D9E" w:rsidRDefault="00E50F31" w:rsidP="00373D9E">
      <w:pPr>
        <w:pStyle w:val="Default"/>
        <w:snapToGrid w:val="0"/>
        <w:ind w:firstLine="450"/>
        <w:jc w:val="both"/>
        <w:rPr>
          <w:sz w:val="20"/>
          <w:szCs w:val="20"/>
        </w:rPr>
      </w:pPr>
      <w:r w:rsidRPr="00373D9E">
        <w:rPr>
          <w:sz w:val="20"/>
          <w:szCs w:val="20"/>
        </w:rPr>
        <w:t xml:space="preserve">For CD, surgery should only be undertaken for symptomatic rather than asymptomatic, </w:t>
      </w:r>
      <w:proofErr w:type="spellStart"/>
      <w:r w:rsidRPr="00373D9E">
        <w:rPr>
          <w:sz w:val="20"/>
          <w:szCs w:val="20"/>
        </w:rPr>
        <w:t>radiologically</w:t>
      </w:r>
      <w:proofErr w:type="spellEnd"/>
      <w:r w:rsidRPr="00373D9E">
        <w:rPr>
          <w:sz w:val="20"/>
          <w:szCs w:val="20"/>
        </w:rPr>
        <w:t xml:space="preserve"> identified disease, because it is potentially </w:t>
      </w:r>
      <w:proofErr w:type="spellStart"/>
      <w:r w:rsidRPr="00373D9E">
        <w:rPr>
          <w:sz w:val="20"/>
          <w:szCs w:val="20"/>
        </w:rPr>
        <w:t>panenteric</w:t>
      </w:r>
      <w:proofErr w:type="spellEnd"/>
      <w:r w:rsidRPr="00373D9E">
        <w:rPr>
          <w:sz w:val="20"/>
          <w:szCs w:val="20"/>
        </w:rPr>
        <w:t xml:space="preserve"> and usually recurs following surgery. Resections should be </w:t>
      </w:r>
      <w:proofErr w:type="gramStart"/>
      <w:r w:rsidRPr="00373D9E">
        <w:rPr>
          <w:sz w:val="20"/>
          <w:szCs w:val="20"/>
        </w:rPr>
        <w:t>conservative(</w:t>
      </w:r>
      <w:proofErr w:type="gramEnd"/>
      <w:r w:rsidRPr="00373D9E">
        <w:rPr>
          <w:sz w:val="20"/>
          <w:szCs w:val="20"/>
        </w:rPr>
        <w:t xml:space="preserve">25). </w:t>
      </w:r>
    </w:p>
    <w:p w:rsidR="00E50F31" w:rsidRPr="00373D9E" w:rsidRDefault="00E50F31" w:rsidP="00373D9E">
      <w:pPr>
        <w:pStyle w:val="Default"/>
        <w:snapToGrid w:val="0"/>
        <w:ind w:firstLine="450"/>
        <w:jc w:val="both"/>
        <w:rPr>
          <w:sz w:val="20"/>
          <w:szCs w:val="20"/>
        </w:rPr>
      </w:pPr>
      <w:r w:rsidRPr="00373D9E">
        <w:rPr>
          <w:sz w:val="20"/>
          <w:szCs w:val="20"/>
        </w:rPr>
        <w:t xml:space="preserve">Surveillance for colonic </w:t>
      </w:r>
      <w:proofErr w:type="spellStart"/>
      <w:r w:rsidRPr="00373D9E">
        <w:rPr>
          <w:sz w:val="20"/>
          <w:szCs w:val="20"/>
        </w:rPr>
        <w:t>carcinomaIt</w:t>
      </w:r>
      <w:proofErr w:type="spellEnd"/>
      <w:r w:rsidRPr="00373D9E">
        <w:rPr>
          <w:sz w:val="20"/>
          <w:szCs w:val="20"/>
        </w:rPr>
        <w:t xml:space="preserve"> is important to discuss with individual patients their risk of </w:t>
      </w:r>
      <w:r w:rsidRPr="00373D9E">
        <w:rPr>
          <w:sz w:val="20"/>
          <w:szCs w:val="20"/>
        </w:rPr>
        <w:lastRenderedPageBreak/>
        <w:t xml:space="preserve">colorectal cancer, the implications should dysplasia be identified, the limitations of surveillance (which may miss dysplasia), and the small, but definable, risks of colonoscopy. </w:t>
      </w:r>
    </w:p>
    <w:p w:rsidR="00E50F31" w:rsidRPr="00373D9E" w:rsidRDefault="00E50F31" w:rsidP="00373D9E">
      <w:pPr>
        <w:pStyle w:val="Default"/>
        <w:snapToGrid w:val="0"/>
        <w:ind w:firstLine="450"/>
        <w:jc w:val="both"/>
        <w:rPr>
          <w:sz w:val="20"/>
          <w:szCs w:val="20"/>
        </w:rPr>
      </w:pPr>
      <w:r w:rsidRPr="00373D9E">
        <w:rPr>
          <w:sz w:val="20"/>
          <w:szCs w:val="20"/>
        </w:rPr>
        <w:t xml:space="preserve">It is advisable that patients with UC should have a colonoscopy after 8–10 years to re-evaluate disease extent. Colonoscopies should be conducted every 3 years in the second decade, every 2 years in the third decade, and annually in the fourth decade of disease. Four random biopsies every 10 cm from the entire colon are best taken with additional samples of suspicious areas. </w:t>
      </w:r>
    </w:p>
    <w:p w:rsidR="00E50F31" w:rsidRPr="00373D9E" w:rsidRDefault="00E50F31" w:rsidP="00373D9E">
      <w:pPr>
        <w:pStyle w:val="Default"/>
        <w:snapToGrid w:val="0"/>
        <w:ind w:firstLine="450"/>
        <w:jc w:val="both"/>
        <w:rPr>
          <w:sz w:val="20"/>
          <w:szCs w:val="20"/>
        </w:rPr>
      </w:pPr>
      <w:r w:rsidRPr="00373D9E">
        <w:rPr>
          <w:sz w:val="20"/>
          <w:szCs w:val="20"/>
        </w:rPr>
        <w:t xml:space="preserve">Patients with primary </w:t>
      </w:r>
      <w:proofErr w:type="spellStart"/>
      <w:r w:rsidRPr="00373D9E">
        <w:rPr>
          <w:sz w:val="20"/>
          <w:szCs w:val="20"/>
        </w:rPr>
        <w:t>sclerosing</w:t>
      </w:r>
      <w:proofErr w:type="spellEnd"/>
      <w:r w:rsidRPr="00373D9E">
        <w:rPr>
          <w:sz w:val="20"/>
          <w:szCs w:val="20"/>
        </w:rPr>
        <w:t xml:space="preserve"> </w:t>
      </w:r>
      <w:proofErr w:type="spellStart"/>
      <w:r w:rsidRPr="00373D9E">
        <w:rPr>
          <w:sz w:val="20"/>
          <w:szCs w:val="20"/>
        </w:rPr>
        <w:t>cholangitis</w:t>
      </w:r>
      <w:proofErr w:type="spellEnd"/>
      <w:r w:rsidRPr="00373D9E">
        <w:rPr>
          <w:sz w:val="20"/>
          <w:szCs w:val="20"/>
        </w:rPr>
        <w:t xml:space="preserve"> appear to represent a subgroup at higher risk of cancer, and they should have more frequent (perhaps annual) colonoscopy. If dysplasia (of any grade) is detected </w:t>
      </w:r>
      <w:proofErr w:type="spellStart"/>
      <w:r w:rsidRPr="00373D9E">
        <w:rPr>
          <w:sz w:val="20"/>
          <w:szCs w:val="20"/>
        </w:rPr>
        <w:t>colectomy</w:t>
      </w:r>
      <w:proofErr w:type="spellEnd"/>
      <w:r w:rsidRPr="00373D9E">
        <w:rPr>
          <w:sz w:val="20"/>
          <w:szCs w:val="20"/>
        </w:rPr>
        <w:t xml:space="preserve"> is usually </w:t>
      </w:r>
      <w:proofErr w:type="gramStart"/>
      <w:r w:rsidRPr="00373D9E">
        <w:rPr>
          <w:sz w:val="20"/>
          <w:szCs w:val="20"/>
        </w:rPr>
        <w:t>advisable(</w:t>
      </w:r>
      <w:proofErr w:type="gramEnd"/>
      <w:r w:rsidRPr="00373D9E">
        <w:rPr>
          <w:sz w:val="20"/>
          <w:szCs w:val="20"/>
        </w:rPr>
        <w:t xml:space="preserve">26).The regular 5-ASA use is associated with some reduction in the risk of CRC developing in ulcerative colitis(27). NSAID use increases the risk of hospitalizations due to complications in the lower gastrointestinal tract. By inhibiting COX-2 or other </w:t>
      </w:r>
      <w:proofErr w:type="spellStart"/>
      <w:r w:rsidRPr="00373D9E">
        <w:rPr>
          <w:sz w:val="20"/>
          <w:szCs w:val="20"/>
        </w:rPr>
        <w:t>tumorigenic</w:t>
      </w:r>
      <w:proofErr w:type="spellEnd"/>
      <w:r w:rsidRPr="00373D9E">
        <w:rPr>
          <w:sz w:val="20"/>
          <w:szCs w:val="20"/>
        </w:rPr>
        <w:t xml:space="preserve"> targets, NSAIDs, especially aspirin or new aspirin derivates, may prevent colon cancer in selected </w:t>
      </w:r>
      <w:proofErr w:type="gramStart"/>
      <w:r w:rsidRPr="00373D9E">
        <w:rPr>
          <w:sz w:val="20"/>
          <w:szCs w:val="20"/>
        </w:rPr>
        <w:t>populations(</w:t>
      </w:r>
      <w:proofErr w:type="gramEnd"/>
      <w:r w:rsidRPr="00373D9E">
        <w:rPr>
          <w:sz w:val="20"/>
          <w:szCs w:val="20"/>
        </w:rPr>
        <w:t xml:space="preserve">28). </w:t>
      </w:r>
    </w:p>
    <w:p w:rsidR="00E50F31" w:rsidRPr="00FE636C" w:rsidRDefault="00E50F31" w:rsidP="00FE636C">
      <w:pPr>
        <w:pStyle w:val="Default"/>
        <w:snapToGrid w:val="0"/>
        <w:jc w:val="both"/>
        <w:rPr>
          <w:b/>
          <w:sz w:val="20"/>
          <w:szCs w:val="20"/>
        </w:rPr>
      </w:pPr>
      <w:r w:rsidRPr="00FE636C">
        <w:rPr>
          <w:b/>
          <w:sz w:val="20"/>
          <w:szCs w:val="20"/>
        </w:rPr>
        <w:t xml:space="preserve">Management of pregnancy </w:t>
      </w:r>
    </w:p>
    <w:p w:rsidR="00E50F31" w:rsidRPr="00373D9E" w:rsidRDefault="00E50F31" w:rsidP="00373D9E">
      <w:pPr>
        <w:pStyle w:val="Default"/>
        <w:snapToGrid w:val="0"/>
        <w:ind w:firstLine="450"/>
        <w:jc w:val="both"/>
        <w:rPr>
          <w:sz w:val="20"/>
          <w:szCs w:val="20"/>
        </w:rPr>
      </w:pPr>
      <w:r w:rsidRPr="00373D9E">
        <w:rPr>
          <w:sz w:val="20"/>
          <w:szCs w:val="20"/>
        </w:rPr>
        <w:t xml:space="preserve">Maintaining adequate disease control during pregnancy is essential for both maternal and fetal health. If planning pregnancy, patients should be counseled to conceive during remission and advised to continue their maintenance medication. Before conception, patients should be well nourished and take </w:t>
      </w:r>
      <w:proofErr w:type="spellStart"/>
      <w:r w:rsidRPr="00373D9E">
        <w:rPr>
          <w:sz w:val="20"/>
          <w:szCs w:val="20"/>
        </w:rPr>
        <w:t>folate</w:t>
      </w:r>
      <w:proofErr w:type="spellEnd"/>
      <w:r w:rsidRPr="00373D9E">
        <w:rPr>
          <w:sz w:val="20"/>
          <w:szCs w:val="20"/>
        </w:rPr>
        <w:t xml:space="preserve"> supplements. Patients with acute severe colitis or other life threatening complications of disease should be managed as for the non-pregnant patient, including abdominal radiograph. The best interests of the fetus are served by optimal management of maternal IBD. The mode of delivery should be carefully considered. It may be best for patients with </w:t>
      </w:r>
      <w:proofErr w:type="spellStart"/>
      <w:r w:rsidRPr="00373D9E">
        <w:rPr>
          <w:sz w:val="20"/>
          <w:szCs w:val="20"/>
        </w:rPr>
        <w:t>perianal</w:t>
      </w:r>
      <w:proofErr w:type="spellEnd"/>
      <w:r w:rsidRPr="00373D9E">
        <w:rPr>
          <w:sz w:val="20"/>
          <w:szCs w:val="20"/>
        </w:rPr>
        <w:t xml:space="preserve"> CD or </w:t>
      </w:r>
      <w:proofErr w:type="spellStart"/>
      <w:r w:rsidRPr="00373D9E">
        <w:rPr>
          <w:sz w:val="20"/>
          <w:szCs w:val="20"/>
        </w:rPr>
        <w:t>ileoanal</w:t>
      </w:r>
      <w:proofErr w:type="spellEnd"/>
      <w:r w:rsidRPr="00373D9E">
        <w:rPr>
          <w:sz w:val="20"/>
          <w:szCs w:val="20"/>
        </w:rPr>
        <w:t xml:space="preserve"> pouch formation to have a Caesarian section to avoid the risk of damage to the anal sphincter. </w:t>
      </w:r>
      <w:proofErr w:type="spellStart"/>
      <w:r w:rsidRPr="00373D9E">
        <w:rPr>
          <w:sz w:val="20"/>
          <w:szCs w:val="20"/>
        </w:rPr>
        <w:t>Sulphasalazine</w:t>
      </w:r>
      <w:proofErr w:type="spellEnd"/>
      <w:r w:rsidRPr="00373D9E">
        <w:rPr>
          <w:sz w:val="20"/>
          <w:szCs w:val="20"/>
        </w:rPr>
        <w:t xml:space="preserve"> should be stopped if there is suspected neonatal </w:t>
      </w:r>
      <w:proofErr w:type="spellStart"/>
      <w:r w:rsidRPr="00373D9E">
        <w:rPr>
          <w:sz w:val="20"/>
          <w:szCs w:val="20"/>
        </w:rPr>
        <w:t>haemolysis</w:t>
      </w:r>
      <w:proofErr w:type="spellEnd"/>
      <w:r w:rsidRPr="00373D9E">
        <w:rPr>
          <w:sz w:val="20"/>
          <w:szCs w:val="20"/>
        </w:rPr>
        <w:t xml:space="preserve">. </w:t>
      </w:r>
      <w:proofErr w:type="spellStart"/>
      <w:r w:rsidRPr="00373D9E">
        <w:rPr>
          <w:sz w:val="20"/>
          <w:szCs w:val="20"/>
        </w:rPr>
        <w:t>Azathioprine</w:t>
      </w:r>
      <w:proofErr w:type="spellEnd"/>
      <w:r w:rsidRPr="00373D9E">
        <w:rPr>
          <w:sz w:val="20"/>
          <w:szCs w:val="20"/>
        </w:rPr>
        <w:t xml:space="preserve"> should in general be continued during pregnancy, as the risks to the fetus from disease activity appear to be greater than continued therapy. Corticosteroids can be used for active disease, as the risks to the pregnancy from disease activity are greater than from continued therapy. </w:t>
      </w:r>
      <w:proofErr w:type="spellStart"/>
      <w:r w:rsidRPr="00373D9E">
        <w:rPr>
          <w:sz w:val="20"/>
          <w:szCs w:val="20"/>
        </w:rPr>
        <w:t>Methotrexate</w:t>
      </w:r>
      <w:proofErr w:type="spellEnd"/>
      <w:r w:rsidRPr="00373D9E">
        <w:rPr>
          <w:sz w:val="20"/>
          <w:szCs w:val="20"/>
        </w:rPr>
        <w:t xml:space="preserve"> is absolutely contraindicated in pregnancy. Anti-</w:t>
      </w:r>
      <w:proofErr w:type="spellStart"/>
      <w:r w:rsidRPr="00373D9E">
        <w:rPr>
          <w:sz w:val="20"/>
          <w:szCs w:val="20"/>
        </w:rPr>
        <w:t>TNFα</w:t>
      </w:r>
      <w:proofErr w:type="spellEnd"/>
      <w:r w:rsidRPr="00373D9E">
        <w:rPr>
          <w:sz w:val="20"/>
          <w:szCs w:val="20"/>
        </w:rPr>
        <w:t xml:space="preserve"> therapies are considered category B drugs for pregnancy. To date, there is no evidence that </w:t>
      </w:r>
      <w:proofErr w:type="spellStart"/>
      <w:r w:rsidRPr="00373D9E">
        <w:rPr>
          <w:sz w:val="20"/>
          <w:szCs w:val="20"/>
        </w:rPr>
        <w:t>TNFα</w:t>
      </w:r>
      <w:proofErr w:type="spellEnd"/>
      <w:r w:rsidRPr="00373D9E">
        <w:rPr>
          <w:sz w:val="20"/>
          <w:szCs w:val="20"/>
        </w:rPr>
        <w:t xml:space="preserve"> antagonists are associated with embryo toxicity, </w:t>
      </w:r>
      <w:proofErr w:type="spellStart"/>
      <w:r w:rsidRPr="00373D9E">
        <w:rPr>
          <w:sz w:val="20"/>
          <w:szCs w:val="20"/>
        </w:rPr>
        <w:t>teratogenicity</w:t>
      </w:r>
      <w:proofErr w:type="spellEnd"/>
      <w:r w:rsidRPr="00373D9E">
        <w:rPr>
          <w:sz w:val="20"/>
          <w:szCs w:val="20"/>
        </w:rPr>
        <w:t xml:space="preserve"> or increased pregnancy loss. However, caution should be taken when anti-</w:t>
      </w:r>
      <w:proofErr w:type="spellStart"/>
      <w:r w:rsidRPr="00373D9E">
        <w:rPr>
          <w:sz w:val="20"/>
          <w:szCs w:val="20"/>
        </w:rPr>
        <w:t>TNFα</w:t>
      </w:r>
      <w:proofErr w:type="spellEnd"/>
      <w:r w:rsidRPr="00373D9E">
        <w:rPr>
          <w:sz w:val="20"/>
          <w:szCs w:val="20"/>
        </w:rPr>
        <w:t xml:space="preserve"> agents are used during pregnancy, as experience in humans, with regard to safety for the developing </w:t>
      </w:r>
      <w:proofErr w:type="spellStart"/>
      <w:r w:rsidRPr="00373D9E">
        <w:rPr>
          <w:sz w:val="20"/>
          <w:szCs w:val="20"/>
        </w:rPr>
        <w:t>foetus</w:t>
      </w:r>
      <w:proofErr w:type="spellEnd"/>
      <w:r w:rsidRPr="00373D9E">
        <w:rPr>
          <w:sz w:val="20"/>
          <w:szCs w:val="20"/>
        </w:rPr>
        <w:t xml:space="preserve">, is still limited. Absolute indications for surgery </w:t>
      </w:r>
      <w:r w:rsidRPr="00373D9E">
        <w:rPr>
          <w:sz w:val="20"/>
          <w:szCs w:val="20"/>
        </w:rPr>
        <w:lastRenderedPageBreak/>
        <w:t xml:space="preserve">are unaltered by pregnancy and surgery should only be delayed where aggressive medical therapy may allow critical fetal </w:t>
      </w:r>
      <w:proofErr w:type="gramStart"/>
      <w:r w:rsidRPr="00373D9E">
        <w:rPr>
          <w:sz w:val="20"/>
          <w:szCs w:val="20"/>
        </w:rPr>
        <w:t>maturation(</w:t>
      </w:r>
      <w:proofErr w:type="gramEnd"/>
      <w:r w:rsidRPr="00373D9E">
        <w:rPr>
          <w:sz w:val="20"/>
          <w:szCs w:val="20"/>
        </w:rPr>
        <w:t xml:space="preserve">29). </w:t>
      </w:r>
    </w:p>
    <w:p w:rsidR="00E50F31" w:rsidRPr="00FE636C" w:rsidRDefault="00E50F31" w:rsidP="00FE636C">
      <w:pPr>
        <w:pStyle w:val="Default"/>
        <w:snapToGrid w:val="0"/>
        <w:jc w:val="both"/>
        <w:rPr>
          <w:b/>
          <w:sz w:val="20"/>
          <w:szCs w:val="20"/>
        </w:rPr>
      </w:pPr>
      <w:r w:rsidRPr="00FE636C">
        <w:rPr>
          <w:b/>
          <w:sz w:val="20"/>
          <w:szCs w:val="20"/>
        </w:rPr>
        <w:t xml:space="preserve">Nutrition </w:t>
      </w:r>
    </w:p>
    <w:p w:rsidR="00E50F31" w:rsidRPr="00373D9E" w:rsidRDefault="00E50F31" w:rsidP="00373D9E">
      <w:pPr>
        <w:pStyle w:val="Default"/>
        <w:snapToGrid w:val="0"/>
        <w:ind w:firstLine="450"/>
        <w:jc w:val="both"/>
        <w:rPr>
          <w:sz w:val="20"/>
          <w:szCs w:val="20"/>
        </w:rPr>
      </w:pPr>
      <w:r w:rsidRPr="00373D9E">
        <w:rPr>
          <w:sz w:val="20"/>
          <w:szCs w:val="20"/>
        </w:rPr>
        <w:t xml:space="preserve">There is no evidence that artificial nutritional support alters the inflammatory response in UC, in contrast to CD. For CD, nutrition should be considered an integral component of the management of all patients. Specific attention should be paid to vitamin B12 status, especially after </w:t>
      </w:r>
      <w:proofErr w:type="spellStart"/>
      <w:r w:rsidRPr="00373D9E">
        <w:rPr>
          <w:sz w:val="20"/>
          <w:szCs w:val="20"/>
        </w:rPr>
        <w:t>ileal</w:t>
      </w:r>
      <w:proofErr w:type="spellEnd"/>
      <w:r w:rsidRPr="00373D9E">
        <w:rPr>
          <w:sz w:val="20"/>
          <w:szCs w:val="20"/>
        </w:rPr>
        <w:t xml:space="preserve"> resection. Nutritional support is appropriate as adjunctive therapy for any malnourished patients, or for those with intestinal partial obstruction awaiting surgery, or severely symptomatic </w:t>
      </w:r>
      <w:proofErr w:type="spellStart"/>
      <w:r w:rsidRPr="00373D9E">
        <w:rPr>
          <w:sz w:val="20"/>
          <w:szCs w:val="20"/>
        </w:rPr>
        <w:t>perianal</w:t>
      </w:r>
      <w:proofErr w:type="spellEnd"/>
      <w:r w:rsidRPr="00373D9E">
        <w:rPr>
          <w:sz w:val="20"/>
          <w:szCs w:val="20"/>
        </w:rPr>
        <w:t xml:space="preserve"> disease, or those with postoperative complications. </w:t>
      </w:r>
      <w:proofErr w:type="spellStart"/>
      <w:r w:rsidRPr="00373D9E">
        <w:rPr>
          <w:sz w:val="20"/>
          <w:szCs w:val="20"/>
        </w:rPr>
        <w:t>Enteral</w:t>
      </w:r>
      <w:proofErr w:type="spellEnd"/>
      <w:r w:rsidRPr="00373D9E">
        <w:rPr>
          <w:sz w:val="20"/>
          <w:szCs w:val="20"/>
        </w:rPr>
        <w:t xml:space="preserve"> nutrition is preferred when the patient’s condition </w:t>
      </w:r>
      <w:proofErr w:type="gramStart"/>
      <w:r w:rsidRPr="00373D9E">
        <w:rPr>
          <w:sz w:val="20"/>
          <w:szCs w:val="20"/>
        </w:rPr>
        <w:t>permits(</w:t>
      </w:r>
      <w:proofErr w:type="gramEnd"/>
      <w:r w:rsidRPr="00373D9E">
        <w:rPr>
          <w:sz w:val="20"/>
          <w:szCs w:val="20"/>
        </w:rPr>
        <w:t xml:space="preserve">30). </w:t>
      </w:r>
    </w:p>
    <w:p w:rsidR="00E50F31" w:rsidRPr="00FE636C" w:rsidRDefault="00E50F31" w:rsidP="00FE636C">
      <w:pPr>
        <w:pStyle w:val="Default"/>
        <w:snapToGrid w:val="0"/>
        <w:jc w:val="both"/>
        <w:rPr>
          <w:b/>
          <w:sz w:val="20"/>
          <w:szCs w:val="20"/>
        </w:rPr>
      </w:pPr>
      <w:r w:rsidRPr="00FE636C">
        <w:rPr>
          <w:b/>
          <w:sz w:val="20"/>
          <w:szCs w:val="20"/>
        </w:rPr>
        <w:t xml:space="preserve">Management of </w:t>
      </w:r>
      <w:proofErr w:type="spellStart"/>
      <w:r w:rsidRPr="00FE636C">
        <w:rPr>
          <w:b/>
          <w:sz w:val="20"/>
          <w:szCs w:val="20"/>
        </w:rPr>
        <w:t>extraintestinal</w:t>
      </w:r>
      <w:proofErr w:type="spellEnd"/>
      <w:r w:rsidRPr="00FE636C">
        <w:rPr>
          <w:b/>
          <w:sz w:val="20"/>
          <w:szCs w:val="20"/>
        </w:rPr>
        <w:t xml:space="preserve"> manifestations </w:t>
      </w:r>
    </w:p>
    <w:p w:rsidR="00E50F31" w:rsidRPr="00373D9E" w:rsidRDefault="00E50F31" w:rsidP="00373D9E">
      <w:pPr>
        <w:pStyle w:val="Default"/>
        <w:snapToGrid w:val="0"/>
        <w:ind w:firstLine="450"/>
        <w:jc w:val="both"/>
        <w:rPr>
          <w:sz w:val="20"/>
          <w:szCs w:val="20"/>
        </w:rPr>
      </w:pPr>
      <w:proofErr w:type="spellStart"/>
      <w:r w:rsidRPr="00373D9E">
        <w:rPr>
          <w:sz w:val="20"/>
          <w:szCs w:val="20"/>
        </w:rPr>
        <w:t>Extraintestinal</w:t>
      </w:r>
      <w:proofErr w:type="spellEnd"/>
      <w:r w:rsidRPr="00373D9E">
        <w:rPr>
          <w:sz w:val="20"/>
          <w:szCs w:val="20"/>
        </w:rPr>
        <w:t xml:space="preserve"> manifestations are more common in </w:t>
      </w:r>
      <w:proofErr w:type="spellStart"/>
      <w:r w:rsidRPr="00373D9E">
        <w:rPr>
          <w:sz w:val="20"/>
          <w:szCs w:val="20"/>
        </w:rPr>
        <w:t>Crohn’s</w:t>
      </w:r>
      <w:proofErr w:type="spellEnd"/>
      <w:r w:rsidRPr="00373D9E">
        <w:rPr>
          <w:sz w:val="20"/>
          <w:szCs w:val="20"/>
        </w:rPr>
        <w:t xml:space="preserve"> colitis and </w:t>
      </w:r>
      <w:proofErr w:type="spellStart"/>
      <w:r w:rsidRPr="00373D9E">
        <w:rPr>
          <w:sz w:val="20"/>
          <w:szCs w:val="20"/>
        </w:rPr>
        <w:t>ileocolitis</w:t>
      </w:r>
      <w:proofErr w:type="spellEnd"/>
      <w:r w:rsidRPr="00373D9E">
        <w:rPr>
          <w:sz w:val="20"/>
          <w:szCs w:val="20"/>
        </w:rPr>
        <w:t xml:space="preserve"> than in exclusively small bowel those that are associated with active intestinal disease largely respond to therapy aimed at controlling disease </w:t>
      </w:r>
      <w:proofErr w:type="gramStart"/>
      <w:r w:rsidRPr="00373D9E">
        <w:rPr>
          <w:sz w:val="20"/>
          <w:szCs w:val="20"/>
        </w:rPr>
        <w:t>activity(</w:t>
      </w:r>
      <w:proofErr w:type="gramEnd"/>
      <w:r w:rsidRPr="00373D9E">
        <w:rPr>
          <w:sz w:val="20"/>
          <w:szCs w:val="20"/>
        </w:rPr>
        <w:t xml:space="preserve">31). </w:t>
      </w:r>
    </w:p>
    <w:p w:rsidR="00002758" w:rsidRPr="00373D9E" w:rsidRDefault="00E50F31" w:rsidP="00373D9E">
      <w:pPr>
        <w:pStyle w:val="Default"/>
        <w:snapToGrid w:val="0"/>
        <w:ind w:firstLine="450"/>
        <w:jc w:val="both"/>
        <w:rPr>
          <w:sz w:val="20"/>
          <w:szCs w:val="20"/>
          <w:lang w:eastAsia="zh-CN"/>
        </w:rPr>
      </w:pPr>
      <w:r w:rsidRPr="00373D9E">
        <w:rPr>
          <w:sz w:val="20"/>
          <w:szCs w:val="20"/>
        </w:rPr>
        <w:t xml:space="preserve">Recent literature supports an association between inflammatory bowel disease and coronary artery disease. While hypertension increases the risk of coronary artery disease in inflammatory bowel disease patients, other typical risk factors have not been confirmed, and markers of inflammation may predict coronary artery disease risk in this population. Common cardiovascular drugs such as </w:t>
      </w:r>
      <w:proofErr w:type="spellStart"/>
      <w:r w:rsidRPr="00373D9E">
        <w:rPr>
          <w:sz w:val="20"/>
          <w:szCs w:val="20"/>
        </w:rPr>
        <w:t>statins</w:t>
      </w:r>
      <w:proofErr w:type="spellEnd"/>
      <w:r w:rsidRPr="00373D9E">
        <w:rPr>
          <w:sz w:val="20"/>
          <w:szCs w:val="20"/>
        </w:rPr>
        <w:t xml:space="preserve"> and </w:t>
      </w:r>
      <w:proofErr w:type="spellStart"/>
      <w:r w:rsidRPr="00373D9E">
        <w:rPr>
          <w:sz w:val="20"/>
          <w:szCs w:val="20"/>
        </w:rPr>
        <w:t>angiotensin</w:t>
      </w:r>
      <w:proofErr w:type="spellEnd"/>
      <w:r w:rsidRPr="00373D9E">
        <w:rPr>
          <w:sz w:val="20"/>
          <w:szCs w:val="20"/>
        </w:rPr>
        <w:t xml:space="preserve">-converting enzyme inhibitors may have dual potential for controlling inflammatory bowel disease and preventing or treating coronary artery </w:t>
      </w:r>
      <w:proofErr w:type="gramStart"/>
      <w:r w:rsidRPr="00373D9E">
        <w:rPr>
          <w:sz w:val="20"/>
          <w:szCs w:val="20"/>
        </w:rPr>
        <w:t>disease(</w:t>
      </w:r>
      <w:proofErr w:type="gramEnd"/>
      <w:r w:rsidRPr="00373D9E">
        <w:rPr>
          <w:sz w:val="20"/>
          <w:szCs w:val="20"/>
        </w:rPr>
        <w:t xml:space="preserve">32). </w:t>
      </w:r>
    </w:p>
    <w:p w:rsidR="00373D9E" w:rsidRDefault="00373D9E" w:rsidP="00373D9E">
      <w:pPr>
        <w:pStyle w:val="Default"/>
        <w:snapToGrid w:val="0"/>
        <w:jc w:val="both"/>
        <w:rPr>
          <w:sz w:val="20"/>
          <w:szCs w:val="20"/>
          <w:lang w:eastAsia="zh-CN"/>
        </w:rPr>
      </w:pPr>
    </w:p>
    <w:p w:rsidR="00373D9E" w:rsidRPr="00373D9E" w:rsidRDefault="00373D9E" w:rsidP="00373D9E">
      <w:pPr>
        <w:suppressAutoHyphens/>
        <w:adjustRightInd w:val="0"/>
        <w:snapToGrid w:val="0"/>
        <w:spacing w:after="0" w:line="240" w:lineRule="auto"/>
        <w:jc w:val="both"/>
        <w:rPr>
          <w:rFonts w:asciiTheme="majorBidi" w:eastAsia="SimSun" w:hAnsiTheme="majorBidi" w:cstheme="majorBidi"/>
          <w:b/>
          <w:sz w:val="20"/>
          <w:szCs w:val="20"/>
          <w:lang w:eastAsia="ar-SA"/>
        </w:rPr>
      </w:pPr>
      <w:r w:rsidRPr="00373D9E">
        <w:rPr>
          <w:rFonts w:asciiTheme="majorBidi" w:eastAsia="SimSun" w:hAnsiTheme="majorBidi" w:cstheme="majorBidi"/>
          <w:b/>
          <w:sz w:val="20"/>
          <w:szCs w:val="20"/>
          <w:lang w:eastAsia="ar-SA"/>
        </w:rPr>
        <w:t>Corresponding Author:</w:t>
      </w:r>
    </w:p>
    <w:p w:rsidR="00373D9E" w:rsidRPr="00373D9E" w:rsidRDefault="00373D9E" w:rsidP="00373D9E">
      <w:pPr>
        <w:suppressAutoHyphens/>
        <w:adjustRightInd w:val="0"/>
        <w:snapToGrid w:val="0"/>
        <w:spacing w:after="0" w:line="240" w:lineRule="auto"/>
        <w:jc w:val="both"/>
        <w:rPr>
          <w:rFonts w:ascii="Times New Roman" w:eastAsia="SimSun" w:hAnsi="Times New Roman" w:cs="Times New Roman"/>
          <w:sz w:val="20"/>
          <w:szCs w:val="20"/>
          <w:lang w:eastAsia="ar-SA"/>
        </w:rPr>
      </w:pPr>
      <w:r w:rsidRPr="00373D9E">
        <w:rPr>
          <w:rFonts w:ascii="Times New Roman" w:eastAsia="SimSun" w:hAnsi="Times New Roman" w:cs="Times New Roman"/>
          <w:sz w:val="20"/>
          <w:szCs w:val="20"/>
          <w:lang w:eastAsia="ar-SA"/>
        </w:rPr>
        <w:t xml:space="preserve">Dr. </w:t>
      </w:r>
      <w:proofErr w:type="spellStart"/>
      <w:r w:rsidRPr="00373D9E">
        <w:rPr>
          <w:rFonts w:ascii="Times New Roman" w:eastAsia="SimSun" w:hAnsi="Times New Roman" w:cs="Times New Roman"/>
          <w:sz w:val="20"/>
          <w:szCs w:val="20"/>
          <w:lang w:eastAsia="ar-SA"/>
        </w:rPr>
        <w:t>Engy</w:t>
      </w:r>
      <w:proofErr w:type="spellEnd"/>
      <w:r>
        <w:rPr>
          <w:rFonts w:ascii="Times New Roman" w:hAnsi="Times New Roman" w:cs="Times New Roman" w:hint="eastAsia"/>
          <w:sz w:val="20"/>
          <w:szCs w:val="20"/>
          <w:lang w:eastAsia="zh-CN"/>
        </w:rPr>
        <w:t xml:space="preserve"> </w:t>
      </w:r>
      <w:proofErr w:type="spellStart"/>
      <w:r w:rsidRPr="00373D9E">
        <w:rPr>
          <w:rFonts w:ascii="Times New Roman" w:eastAsia="SimSun" w:hAnsi="Times New Roman" w:cs="Times New Roman"/>
          <w:sz w:val="20"/>
          <w:szCs w:val="20"/>
          <w:lang w:eastAsia="ar-SA"/>
        </w:rPr>
        <w:t>Yousry</w:t>
      </w:r>
      <w:proofErr w:type="spellEnd"/>
      <w:r w:rsidRPr="00373D9E">
        <w:rPr>
          <w:rFonts w:ascii="Times New Roman" w:eastAsia="SimSun" w:hAnsi="Times New Roman" w:cs="Times New Roman"/>
          <w:sz w:val="20"/>
          <w:szCs w:val="20"/>
          <w:lang w:eastAsia="ar-SA"/>
        </w:rPr>
        <w:t xml:space="preserve"> El </w:t>
      </w:r>
      <w:proofErr w:type="spellStart"/>
      <w:r w:rsidRPr="00373D9E">
        <w:rPr>
          <w:rFonts w:ascii="Times New Roman" w:eastAsia="SimSun" w:hAnsi="Times New Roman" w:cs="Times New Roman"/>
          <w:sz w:val="20"/>
          <w:szCs w:val="20"/>
          <w:lang w:eastAsia="ar-SA"/>
        </w:rPr>
        <w:t>sayed</w:t>
      </w:r>
      <w:proofErr w:type="spellEnd"/>
    </w:p>
    <w:p w:rsidR="00373D9E" w:rsidRPr="00373D9E" w:rsidRDefault="00373D9E" w:rsidP="00373D9E">
      <w:pPr>
        <w:suppressAutoHyphens/>
        <w:adjustRightInd w:val="0"/>
        <w:snapToGrid w:val="0"/>
        <w:spacing w:after="0" w:line="240" w:lineRule="auto"/>
        <w:jc w:val="both"/>
        <w:rPr>
          <w:rFonts w:ascii="Times New Roman" w:eastAsia="SimSun" w:hAnsi="Times New Roman" w:cs="Times New Roman"/>
          <w:sz w:val="20"/>
          <w:szCs w:val="20"/>
          <w:lang w:eastAsia="ar-SA"/>
        </w:rPr>
      </w:pPr>
      <w:r w:rsidRPr="00373D9E">
        <w:rPr>
          <w:rFonts w:ascii="Times New Roman" w:eastAsia="SimSun" w:hAnsi="Times New Roman" w:cs="Times New Roman"/>
          <w:sz w:val="20"/>
          <w:szCs w:val="20"/>
          <w:lang w:eastAsia="ar-SA"/>
        </w:rPr>
        <w:t xml:space="preserve">Department of internal medicine </w:t>
      </w:r>
    </w:p>
    <w:p w:rsidR="00373D9E" w:rsidRPr="00373D9E" w:rsidRDefault="00373D9E" w:rsidP="00373D9E">
      <w:pPr>
        <w:suppressAutoHyphens/>
        <w:adjustRightInd w:val="0"/>
        <w:snapToGrid w:val="0"/>
        <w:spacing w:after="0" w:line="240" w:lineRule="auto"/>
        <w:jc w:val="both"/>
        <w:rPr>
          <w:rFonts w:ascii="Times New Roman" w:eastAsia="SimSun" w:hAnsi="Times New Roman" w:cs="Times New Roman"/>
          <w:sz w:val="20"/>
          <w:szCs w:val="20"/>
          <w:lang w:eastAsia="ar-SA"/>
        </w:rPr>
      </w:pPr>
      <w:proofErr w:type="spellStart"/>
      <w:r w:rsidRPr="00373D9E">
        <w:rPr>
          <w:rFonts w:ascii="Times New Roman" w:eastAsia="SimSun" w:hAnsi="Times New Roman" w:cs="Times New Roman"/>
          <w:sz w:val="20"/>
          <w:szCs w:val="20"/>
          <w:lang w:eastAsia="ar-SA"/>
        </w:rPr>
        <w:t>Ain</w:t>
      </w:r>
      <w:proofErr w:type="spellEnd"/>
      <w:r>
        <w:rPr>
          <w:rFonts w:ascii="Times New Roman" w:hAnsi="Times New Roman" w:cs="Times New Roman" w:hint="eastAsia"/>
          <w:sz w:val="20"/>
          <w:szCs w:val="20"/>
          <w:lang w:eastAsia="zh-CN"/>
        </w:rPr>
        <w:t xml:space="preserve"> </w:t>
      </w:r>
      <w:proofErr w:type="spellStart"/>
      <w:r w:rsidRPr="00373D9E">
        <w:rPr>
          <w:rFonts w:ascii="Times New Roman" w:eastAsia="SimSun" w:hAnsi="Times New Roman" w:cs="Times New Roman"/>
          <w:sz w:val="20"/>
          <w:szCs w:val="20"/>
          <w:lang w:eastAsia="ar-SA"/>
        </w:rPr>
        <w:t>Sha</w:t>
      </w:r>
      <w:proofErr w:type="gramStart"/>
      <w:r w:rsidRPr="00373D9E">
        <w:rPr>
          <w:rFonts w:ascii="Times New Roman" w:eastAsia="SimSun" w:hAnsi="Times New Roman" w:cs="Times New Roman"/>
          <w:sz w:val="20"/>
          <w:szCs w:val="20"/>
          <w:lang w:eastAsia="ar-SA"/>
        </w:rPr>
        <w:t>,s</w:t>
      </w:r>
      <w:proofErr w:type="spellEnd"/>
      <w:proofErr w:type="gramEnd"/>
      <w:r w:rsidRPr="00373D9E">
        <w:rPr>
          <w:rFonts w:ascii="Times New Roman" w:eastAsia="SimSun" w:hAnsi="Times New Roman" w:cs="Times New Roman"/>
          <w:sz w:val="20"/>
          <w:szCs w:val="20"/>
          <w:lang w:eastAsia="ar-SA"/>
        </w:rPr>
        <w:t xml:space="preserve"> University</w:t>
      </w:r>
      <w:r w:rsidR="00FE636C">
        <w:rPr>
          <w:rFonts w:ascii="Times New Roman" w:hAnsi="Times New Roman" w:cs="Times New Roman" w:hint="eastAsia"/>
          <w:sz w:val="20"/>
          <w:szCs w:val="20"/>
          <w:lang w:eastAsia="zh-CN"/>
        </w:rPr>
        <w:t xml:space="preserve">, </w:t>
      </w:r>
      <w:r w:rsidRPr="00373D9E">
        <w:rPr>
          <w:rFonts w:ascii="Times New Roman" w:eastAsia="SimSun" w:hAnsi="Times New Roman" w:cs="Times New Roman"/>
          <w:sz w:val="20"/>
          <w:szCs w:val="20"/>
          <w:lang w:eastAsia="ar-SA"/>
        </w:rPr>
        <w:t>EGYPT</w:t>
      </w:r>
    </w:p>
    <w:p w:rsidR="00373D9E" w:rsidRPr="00373D9E" w:rsidRDefault="00373D9E" w:rsidP="00373D9E">
      <w:pPr>
        <w:suppressAutoHyphens/>
        <w:adjustRightInd w:val="0"/>
        <w:snapToGrid w:val="0"/>
        <w:spacing w:after="0" w:line="240" w:lineRule="auto"/>
        <w:jc w:val="both"/>
        <w:rPr>
          <w:rFonts w:ascii="Times New Roman" w:eastAsia="SimSun" w:hAnsi="Times New Roman" w:cs="Times New Roman"/>
          <w:sz w:val="20"/>
          <w:szCs w:val="20"/>
          <w:lang w:eastAsia="ar-SA"/>
        </w:rPr>
      </w:pPr>
      <w:r w:rsidRPr="00373D9E">
        <w:rPr>
          <w:rFonts w:ascii="Times New Roman" w:eastAsia="SimSun" w:hAnsi="Times New Roman" w:cs="Times New Roman"/>
          <w:sz w:val="20"/>
          <w:szCs w:val="20"/>
          <w:lang w:eastAsia="ar-SA"/>
        </w:rPr>
        <w:t xml:space="preserve">E-mail: </w:t>
      </w:r>
      <w:r w:rsidRPr="00373D9E">
        <w:rPr>
          <w:rFonts w:ascii="Times New Roman" w:eastAsia="SimSun" w:hAnsi="Times New Roman" w:cs="Times New Roman"/>
          <w:color w:val="0000FF"/>
          <w:sz w:val="20"/>
          <w:szCs w:val="20"/>
          <w:u w:val="single"/>
          <w:lang w:eastAsia="ar-SA"/>
        </w:rPr>
        <w:t>ashorengy@yahoo.com</w:t>
      </w:r>
    </w:p>
    <w:p w:rsidR="00373D9E" w:rsidRPr="00373D9E" w:rsidRDefault="00373D9E" w:rsidP="00373D9E">
      <w:pPr>
        <w:pStyle w:val="Default"/>
        <w:snapToGrid w:val="0"/>
        <w:jc w:val="both"/>
        <w:rPr>
          <w:sz w:val="20"/>
          <w:szCs w:val="20"/>
          <w:lang w:eastAsia="zh-CN"/>
        </w:rPr>
      </w:pPr>
    </w:p>
    <w:p w:rsidR="00002758" w:rsidRPr="00373D9E" w:rsidRDefault="00002758" w:rsidP="00373D9E">
      <w:pPr>
        <w:pStyle w:val="Default"/>
        <w:snapToGrid w:val="0"/>
        <w:jc w:val="both"/>
        <w:rPr>
          <w:b/>
          <w:sz w:val="20"/>
          <w:szCs w:val="20"/>
        </w:rPr>
      </w:pPr>
      <w:r w:rsidRPr="00373D9E">
        <w:rPr>
          <w:b/>
          <w:sz w:val="20"/>
          <w:szCs w:val="20"/>
        </w:rPr>
        <w:t xml:space="preserve">References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1: </w:t>
      </w:r>
      <w:proofErr w:type="spellStart"/>
      <w:r w:rsidRPr="00FE636C">
        <w:rPr>
          <w:rFonts w:asciiTheme="majorBidi" w:hAnsiTheme="majorBidi" w:cstheme="majorBidi"/>
          <w:sz w:val="18"/>
          <w:szCs w:val="18"/>
        </w:rPr>
        <w:t>Molodecky</w:t>
      </w:r>
      <w:proofErr w:type="spellEnd"/>
      <w:r w:rsidRPr="00FE636C">
        <w:rPr>
          <w:rFonts w:asciiTheme="majorBidi" w:hAnsiTheme="majorBidi" w:cstheme="majorBidi"/>
          <w:sz w:val="18"/>
          <w:szCs w:val="18"/>
        </w:rPr>
        <w:t xml:space="preserve"> NA, Soon IS, Rabi DM, </w:t>
      </w:r>
      <w:proofErr w:type="spellStart"/>
      <w:r w:rsidRPr="00FE636C">
        <w:rPr>
          <w:rFonts w:asciiTheme="majorBidi" w:hAnsiTheme="majorBidi" w:cstheme="majorBidi"/>
          <w:sz w:val="18"/>
          <w:szCs w:val="18"/>
        </w:rPr>
        <w:t>Ghali</w:t>
      </w:r>
      <w:proofErr w:type="spellEnd"/>
      <w:r w:rsidRPr="00FE636C">
        <w:rPr>
          <w:rFonts w:asciiTheme="majorBidi" w:hAnsiTheme="majorBidi" w:cstheme="majorBidi"/>
          <w:sz w:val="18"/>
          <w:szCs w:val="18"/>
        </w:rPr>
        <w:t xml:space="preserve"> WA, Ferris M, </w:t>
      </w:r>
      <w:proofErr w:type="spellStart"/>
      <w:r w:rsidRPr="00FE636C">
        <w:rPr>
          <w:rFonts w:asciiTheme="majorBidi" w:hAnsiTheme="majorBidi" w:cstheme="majorBidi"/>
          <w:sz w:val="18"/>
          <w:szCs w:val="18"/>
        </w:rPr>
        <w:t>Chernoff</w:t>
      </w:r>
      <w:proofErr w:type="spellEnd"/>
      <w:r w:rsidRPr="00FE636C">
        <w:rPr>
          <w:rFonts w:asciiTheme="majorBidi" w:hAnsiTheme="majorBidi" w:cstheme="majorBidi"/>
          <w:sz w:val="18"/>
          <w:szCs w:val="18"/>
        </w:rPr>
        <w:t xml:space="preserve"> G, et al: Increasing incidence and prevalence of the inflammatory bowel diseases with time, based on systematic review. </w:t>
      </w:r>
      <w:proofErr w:type="gramStart"/>
      <w:r w:rsidRPr="00FE636C">
        <w:rPr>
          <w:rFonts w:asciiTheme="majorBidi" w:hAnsiTheme="majorBidi" w:cstheme="majorBidi"/>
          <w:i/>
          <w:iCs/>
          <w:sz w:val="18"/>
          <w:szCs w:val="18"/>
        </w:rPr>
        <w:t>Gastroenterology</w:t>
      </w:r>
      <w:r w:rsidRPr="00FE636C">
        <w:rPr>
          <w:rFonts w:asciiTheme="majorBidi" w:hAnsiTheme="majorBidi" w:cstheme="majorBidi"/>
          <w:sz w:val="18"/>
          <w:szCs w:val="18"/>
        </w:rPr>
        <w:t>.</w:t>
      </w:r>
      <w:proofErr w:type="gramEnd"/>
      <w:r w:rsidRPr="00FE636C">
        <w:rPr>
          <w:rFonts w:asciiTheme="majorBidi" w:hAnsiTheme="majorBidi" w:cstheme="majorBidi"/>
          <w:sz w:val="18"/>
          <w:szCs w:val="18"/>
        </w:rPr>
        <w:t xml:space="preserve"> Jan 2012</w:t>
      </w:r>
      <w:proofErr w:type="gramStart"/>
      <w:r w:rsidRPr="00FE636C">
        <w:rPr>
          <w:rFonts w:asciiTheme="majorBidi" w:hAnsiTheme="majorBidi" w:cstheme="majorBidi"/>
          <w:sz w:val="18"/>
          <w:szCs w:val="18"/>
        </w:rPr>
        <w:t>;142</w:t>
      </w:r>
      <w:proofErr w:type="gramEnd"/>
      <w:r w:rsidRPr="00FE636C">
        <w:rPr>
          <w:rFonts w:asciiTheme="majorBidi" w:hAnsiTheme="majorBidi" w:cstheme="majorBidi"/>
          <w:sz w:val="18"/>
          <w:szCs w:val="18"/>
        </w:rPr>
        <w:t xml:space="preserve">(1):46-54.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2: </w:t>
      </w:r>
      <w:proofErr w:type="spellStart"/>
      <w:r w:rsidRPr="00FE636C">
        <w:rPr>
          <w:rFonts w:asciiTheme="majorBidi" w:hAnsiTheme="majorBidi" w:cstheme="majorBidi"/>
          <w:i/>
          <w:iCs/>
          <w:sz w:val="18"/>
          <w:szCs w:val="18"/>
        </w:rPr>
        <w:t>Ardizzone</w:t>
      </w:r>
      <w:proofErr w:type="spellEnd"/>
      <w:r w:rsidRPr="00FE636C">
        <w:rPr>
          <w:rFonts w:asciiTheme="majorBidi" w:hAnsiTheme="majorBidi" w:cstheme="majorBidi"/>
          <w:i/>
          <w:iCs/>
          <w:sz w:val="18"/>
          <w:szCs w:val="18"/>
        </w:rPr>
        <w:t xml:space="preserve"> S, </w:t>
      </w:r>
      <w:proofErr w:type="spellStart"/>
      <w:r w:rsidRPr="00FE636C">
        <w:rPr>
          <w:rFonts w:asciiTheme="majorBidi" w:hAnsiTheme="majorBidi" w:cstheme="majorBidi"/>
          <w:i/>
          <w:iCs/>
          <w:sz w:val="18"/>
          <w:szCs w:val="18"/>
        </w:rPr>
        <w:t>Porro</w:t>
      </w:r>
      <w:proofErr w:type="spellEnd"/>
      <w:r w:rsidRPr="00FE636C">
        <w:rPr>
          <w:rFonts w:asciiTheme="majorBidi" w:hAnsiTheme="majorBidi" w:cstheme="majorBidi"/>
          <w:i/>
          <w:iCs/>
          <w:sz w:val="18"/>
          <w:szCs w:val="18"/>
        </w:rPr>
        <w:t xml:space="preserve"> GB: Inflammatory bowel disease: new insights into pathogenesis and treatment. J Intern Med.2002</w:t>
      </w:r>
      <w:proofErr w:type="gramStart"/>
      <w:r w:rsidRPr="00FE636C">
        <w:rPr>
          <w:rFonts w:asciiTheme="majorBidi" w:hAnsiTheme="majorBidi" w:cstheme="majorBidi"/>
          <w:i/>
          <w:iCs/>
          <w:sz w:val="18"/>
          <w:szCs w:val="18"/>
        </w:rPr>
        <w:t>;252:475</w:t>
      </w:r>
      <w:proofErr w:type="gramEnd"/>
      <w:r w:rsidRPr="00FE636C">
        <w:rPr>
          <w:rFonts w:asciiTheme="majorBidi" w:hAnsiTheme="majorBidi" w:cstheme="majorBidi"/>
          <w:i/>
          <w:iCs/>
          <w:sz w:val="18"/>
          <w:szCs w:val="18"/>
        </w:rPr>
        <w:t xml:space="preserve">–96.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3:</w:t>
      </w:r>
      <w:r w:rsidR="00FE636C">
        <w:rPr>
          <w:rFonts w:asciiTheme="majorBidi" w:hAnsiTheme="majorBidi" w:cstheme="majorBidi" w:hint="eastAsia"/>
          <w:sz w:val="18"/>
          <w:szCs w:val="18"/>
          <w:lang w:eastAsia="zh-CN"/>
        </w:rPr>
        <w:t xml:space="preserve"> </w:t>
      </w:r>
      <w:r w:rsidRPr="00FE636C">
        <w:rPr>
          <w:rFonts w:asciiTheme="majorBidi" w:hAnsiTheme="majorBidi" w:cstheme="majorBidi"/>
          <w:i/>
          <w:iCs/>
          <w:sz w:val="18"/>
          <w:szCs w:val="18"/>
        </w:rPr>
        <w:t>Card T, Hubbard R, Logan RFA. Mortality in inflammatory bowel disease: a population-based cohort study. Gastroenterology.2003</w:t>
      </w:r>
      <w:proofErr w:type="gramStart"/>
      <w:r w:rsidRPr="00FE636C">
        <w:rPr>
          <w:rFonts w:asciiTheme="majorBidi" w:hAnsiTheme="majorBidi" w:cstheme="majorBidi"/>
          <w:i/>
          <w:iCs/>
          <w:sz w:val="18"/>
          <w:szCs w:val="18"/>
        </w:rPr>
        <w:t>;125:1583</w:t>
      </w:r>
      <w:proofErr w:type="gramEnd"/>
      <w:r w:rsidRPr="00FE636C">
        <w:rPr>
          <w:rFonts w:asciiTheme="majorBidi" w:hAnsiTheme="majorBidi" w:cstheme="majorBidi"/>
          <w:i/>
          <w:iCs/>
          <w:sz w:val="18"/>
          <w:szCs w:val="18"/>
        </w:rPr>
        <w:t xml:space="preserve">–90.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4:</w:t>
      </w:r>
      <w:r w:rsidR="00FE636C">
        <w:rPr>
          <w:rFonts w:asciiTheme="majorBidi" w:hAnsiTheme="majorBidi" w:cstheme="majorBidi" w:hint="eastAsia"/>
          <w:sz w:val="18"/>
          <w:szCs w:val="18"/>
          <w:lang w:eastAsia="zh-CN"/>
        </w:rPr>
        <w:t xml:space="preserve"> </w:t>
      </w:r>
      <w:r w:rsidRPr="00FE636C">
        <w:rPr>
          <w:rFonts w:asciiTheme="majorBidi" w:hAnsiTheme="majorBidi" w:cstheme="majorBidi"/>
          <w:i/>
          <w:iCs/>
          <w:sz w:val="18"/>
          <w:szCs w:val="18"/>
        </w:rPr>
        <w:t>Sands BE: From symptom to diagnosis: clinical distinctions among various forms of intestinal inflammation. Gastroenterology.2004</w:t>
      </w:r>
      <w:proofErr w:type="gramStart"/>
      <w:r w:rsidRPr="00FE636C">
        <w:rPr>
          <w:rFonts w:asciiTheme="majorBidi" w:hAnsiTheme="majorBidi" w:cstheme="majorBidi"/>
          <w:i/>
          <w:iCs/>
          <w:sz w:val="18"/>
          <w:szCs w:val="18"/>
        </w:rPr>
        <w:t>;126:1518</w:t>
      </w:r>
      <w:proofErr w:type="gramEnd"/>
      <w:r w:rsidRPr="00FE636C">
        <w:rPr>
          <w:rFonts w:asciiTheme="majorBidi" w:hAnsiTheme="majorBidi" w:cstheme="majorBidi"/>
          <w:i/>
          <w:iCs/>
          <w:sz w:val="18"/>
          <w:szCs w:val="18"/>
        </w:rPr>
        <w:t xml:space="preserve">–32.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lastRenderedPageBreak/>
        <w:t xml:space="preserve">5: </w:t>
      </w:r>
      <w:proofErr w:type="spellStart"/>
      <w:r w:rsidRPr="00FE636C">
        <w:rPr>
          <w:rFonts w:asciiTheme="majorBidi" w:hAnsiTheme="majorBidi" w:cstheme="majorBidi"/>
          <w:sz w:val="18"/>
          <w:szCs w:val="18"/>
        </w:rPr>
        <w:t>Vavricka</w:t>
      </w:r>
      <w:proofErr w:type="spellEnd"/>
      <w:r w:rsidRPr="00FE636C">
        <w:rPr>
          <w:rFonts w:asciiTheme="majorBidi" w:hAnsiTheme="majorBidi" w:cstheme="majorBidi"/>
          <w:sz w:val="18"/>
          <w:szCs w:val="18"/>
        </w:rPr>
        <w:t xml:space="preserve"> SR, </w:t>
      </w:r>
      <w:proofErr w:type="spellStart"/>
      <w:r w:rsidRPr="00FE636C">
        <w:rPr>
          <w:rFonts w:asciiTheme="majorBidi" w:hAnsiTheme="majorBidi" w:cstheme="majorBidi"/>
          <w:sz w:val="18"/>
          <w:szCs w:val="18"/>
        </w:rPr>
        <w:t>Brun</w:t>
      </w:r>
      <w:proofErr w:type="spellEnd"/>
      <w:r w:rsidRPr="00FE636C">
        <w:rPr>
          <w:rFonts w:asciiTheme="majorBidi" w:hAnsiTheme="majorBidi" w:cstheme="majorBidi"/>
          <w:sz w:val="18"/>
          <w:szCs w:val="18"/>
        </w:rPr>
        <w:t xml:space="preserve"> L, </w:t>
      </w:r>
      <w:proofErr w:type="spellStart"/>
      <w:r w:rsidRPr="00FE636C">
        <w:rPr>
          <w:rFonts w:asciiTheme="majorBidi" w:hAnsiTheme="majorBidi" w:cstheme="majorBidi"/>
          <w:sz w:val="18"/>
          <w:szCs w:val="18"/>
        </w:rPr>
        <w:t>Ballabeni</w:t>
      </w:r>
      <w:proofErr w:type="spellEnd"/>
      <w:r w:rsidRPr="00FE636C">
        <w:rPr>
          <w:rFonts w:asciiTheme="majorBidi" w:hAnsiTheme="majorBidi" w:cstheme="majorBidi"/>
          <w:sz w:val="18"/>
          <w:szCs w:val="18"/>
        </w:rPr>
        <w:t xml:space="preserve"> P, </w:t>
      </w:r>
      <w:proofErr w:type="spellStart"/>
      <w:r w:rsidRPr="00FE636C">
        <w:rPr>
          <w:rFonts w:asciiTheme="majorBidi" w:hAnsiTheme="majorBidi" w:cstheme="majorBidi"/>
          <w:sz w:val="18"/>
          <w:szCs w:val="18"/>
        </w:rPr>
        <w:t>Pittet</w:t>
      </w:r>
      <w:proofErr w:type="spellEnd"/>
      <w:r w:rsidRPr="00FE636C">
        <w:rPr>
          <w:rFonts w:asciiTheme="majorBidi" w:hAnsiTheme="majorBidi" w:cstheme="majorBidi"/>
          <w:sz w:val="18"/>
          <w:szCs w:val="18"/>
        </w:rPr>
        <w:t xml:space="preserve"> V, </w:t>
      </w:r>
      <w:proofErr w:type="spellStart"/>
      <w:r w:rsidRPr="00FE636C">
        <w:rPr>
          <w:rFonts w:asciiTheme="majorBidi" w:hAnsiTheme="majorBidi" w:cstheme="majorBidi"/>
          <w:sz w:val="18"/>
          <w:szCs w:val="18"/>
        </w:rPr>
        <w:t>PrinzVavricka</w:t>
      </w:r>
      <w:proofErr w:type="spellEnd"/>
      <w:r w:rsidRPr="00FE636C">
        <w:rPr>
          <w:rFonts w:asciiTheme="majorBidi" w:hAnsiTheme="majorBidi" w:cstheme="majorBidi"/>
          <w:sz w:val="18"/>
          <w:szCs w:val="18"/>
        </w:rPr>
        <w:t xml:space="preserve"> BM, </w:t>
      </w:r>
      <w:proofErr w:type="spellStart"/>
      <w:r w:rsidRPr="00FE636C">
        <w:rPr>
          <w:rFonts w:asciiTheme="majorBidi" w:hAnsiTheme="majorBidi" w:cstheme="majorBidi"/>
          <w:sz w:val="18"/>
          <w:szCs w:val="18"/>
        </w:rPr>
        <w:t>Zeitz</w:t>
      </w:r>
      <w:proofErr w:type="spellEnd"/>
      <w:r w:rsidRPr="00FE636C">
        <w:rPr>
          <w:rFonts w:asciiTheme="majorBidi" w:hAnsiTheme="majorBidi" w:cstheme="majorBidi"/>
          <w:sz w:val="18"/>
          <w:szCs w:val="18"/>
        </w:rPr>
        <w:t xml:space="preserve"> J, et al: Frequency and risk factors for </w:t>
      </w:r>
      <w:proofErr w:type="spellStart"/>
      <w:r w:rsidRPr="00FE636C">
        <w:rPr>
          <w:rFonts w:asciiTheme="majorBidi" w:hAnsiTheme="majorBidi" w:cstheme="majorBidi"/>
          <w:sz w:val="18"/>
          <w:szCs w:val="18"/>
        </w:rPr>
        <w:t>extraintestinal</w:t>
      </w:r>
      <w:proofErr w:type="spellEnd"/>
      <w:r w:rsidRPr="00FE636C">
        <w:rPr>
          <w:rFonts w:asciiTheme="majorBidi" w:hAnsiTheme="majorBidi" w:cstheme="majorBidi"/>
          <w:sz w:val="18"/>
          <w:szCs w:val="18"/>
        </w:rPr>
        <w:t xml:space="preserve"> manifestations in the Swiss inflammatory bowel disease cohort. </w:t>
      </w:r>
      <w:proofErr w:type="gramStart"/>
      <w:r w:rsidRPr="00FE636C">
        <w:rPr>
          <w:rFonts w:asciiTheme="majorBidi" w:hAnsiTheme="majorBidi" w:cstheme="majorBidi"/>
          <w:i/>
          <w:iCs/>
          <w:sz w:val="18"/>
          <w:szCs w:val="18"/>
        </w:rPr>
        <w:t xml:space="preserve">Am J </w:t>
      </w:r>
      <w:proofErr w:type="spellStart"/>
      <w:r w:rsidRPr="00FE636C">
        <w:rPr>
          <w:rFonts w:asciiTheme="majorBidi" w:hAnsiTheme="majorBidi" w:cstheme="majorBidi"/>
          <w:i/>
          <w:iCs/>
          <w:sz w:val="18"/>
          <w:szCs w:val="18"/>
        </w:rPr>
        <w:t>Gastroenterol</w:t>
      </w:r>
      <w:proofErr w:type="spellEnd"/>
      <w:r w:rsidRPr="00FE636C">
        <w:rPr>
          <w:rFonts w:asciiTheme="majorBidi" w:hAnsiTheme="majorBidi" w:cstheme="majorBidi"/>
          <w:sz w:val="18"/>
          <w:szCs w:val="18"/>
        </w:rPr>
        <w:t>.</w:t>
      </w:r>
      <w:proofErr w:type="gramEnd"/>
      <w:r w:rsidRPr="00FE636C">
        <w:rPr>
          <w:rFonts w:asciiTheme="majorBidi" w:hAnsiTheme="majorBidi" w:cstheme="majorBidi"/>
          <w:sz w:val="18"/>
          <w:szCs w:val="18"/>
        </w:rPr>
        <w:t xml:space="preserve"> 2011</w:t>
      </w:r>
      <w:proofErr w:type="gramStart"/>
      <w:r w:rsidRPr="00FE636C">
        <w:rPr>
          <w:rFonts w:asciiTheme="majorBidi" w:hAnsiTheme="majorBidi" w:cstheme="majorBidi"/>
          <w:sz w:val="18"/>
          <w:szCs w:val="18"/>
        </w:rPr>
        <w:t>;106:110</w:t>
      </w:r>
      <w:proofErr w:type="gramEnd"/>
      <w:r w:rsidRPr="00FE636C">
        <w:rPr>
          <w:rFonts w:asciiTheme="majorBidi" w:hAnsiTheme="majorBidi" w:cstheme="majorBidi"/>
          <w:sz w:val="18"/>
          <w:szCs w:val="18"/>
        </w:rPr>
        <w:t xml:space="preserve">-119.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6:</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Mokrowiecka</w:t>
      </w:r>
      <w:proofErr w:type="spellEnd"/>
      <w:r w:rsidRPr="00FE636C">
        <w:rPr>
          <w:rFonts w:asciiTheme="majorBidi" w:hAnsiTheme="majorBidi" w:cstheme="majorBidi"/>
          <w:sz w:val="18"/>
          <w:szCs w:val="18"/>
        </w:rPr>
        <w:t xml:space="preserve"> A, Daniel P, </w:t>
      </w:r>
      <w:proofErr w:type="spellStart"/>
      <w:r w:rsidRPr="00FE636C">
        <w:rPr>
          <w:rFonts w:asciiTheme="majorBidi" w:hAnsiTheme="majorBidi" w:cstheme="majorBidi"/>
          <w:sz w:val="18"/>
          <w:szCs w:val="18"/>
        </w:rPr>
        <w:t>Slomka</w:t>
      </w:r>
      <w:proofErr w:type="spellEnd"/>
      <w:r w:rsidRPr="00FE636C">
        <w:rPr>
          <w:rFonts w:asciiTheme="majorBidi" w:hAnsiTheme="majorBidi" w:cstheme="majorBidi"/>
          <w:sz w:val="18"/>
          <w:szCs w:val="18"/>
        </w:rPr>
        <w:t xml:space="preserve"> M, </w:t>
      </w:r>
      <w:proofErr w:type="spellStart"/>
      <w:r w:rsidRPr="00FE636C">
        <w:rPr>
          <w:rFonts w:asciiTheme="majorBidi" w:hAnsiTheme="majorBidi" w:cstheme="majorBidi"/>
          <w:sz w:val="18"/>
          <w:szCs w:val="18"/>
        </w:rPr>
        <w:t>Majak</w:t>
      </w:r>
      <w:proofErr w:type="spellEnd"/>
      <w:r w:rsidRPr="00FE636C">
        <w:rPr>
          <w:rFonts w:asciiTheme="majorBidi" w:hAnsiTheme="majorBidi" w:cstheme="majorBidi"/>
          <w:sz w:val="18"/>
          <w:szCs w:val="18"/>
        </w:rPr>
        <w:t xml:space="preserve"> P, </w:t>
      </w:r>
      <w:proofErr w:type="spellStart"/>
      <w:r w:rsidRPr="00FE636C">
        <w:rPr>
          <w:rFonts w:asciiTheme="majorBidi" w:hAnsiTheme="majorBidi" w:cstheme="majorBidi"/>
          <w:sz w:val="18"/>
          <w:szCs w:val="18"/>
        </w:rPr>
        <w:t>Malecka-Panas</w:t>
      </w:r>
      <w:proofErr w:type="spellEnd"/>
      <w:r w:rsidRPr="00FE636C">
        <w:rPr>
          <w:rFonts w:asciiTheme="majorBidi" w:hAnsiTheme="majorBidi" w:cstheme="majorBidi"/>
          <w:sz w:val="18"/>
          <w:szCs w:val="18"/>
        </w:rPr>
        <w:t xml:space="preserve"> E: Clinical utility of serological markers in inflammatory bowel disease. </w:t>
      </w:r>
      <w:proofErr w:type="spellStart"/>
      <w:proofErr w:type="gramStart"/>
      <w:r w:rsidRPr="00FE636C">
        <w:rPr>
          <w:rFonts w:asciiTheme="majorBidi" w:hAnsiTheme="majorBidi" w:cstheme="majorBidi"/>
          <w:i/>
          <w:iCs/>
          <w:sz w:val="18"/>
          <w:szCs w:val="18"/>
        </w:rPr>
        <w:t>Hepatogastroenterology</w:t>
      </w:r>
      <w:proofErr w:type="spellEnd"/>
      <w:r w:rsidRPr="00FE636C">
        <w:rPr>
          <w:rFonts w:asciiTheme="majorBidi" w:hAnsiTheme="majorBidi" w:cstheme="majorBidi"/>
          <w:sz w:val="18"/>
          <w:szCs w:val="18"/>
        </w:rPr>
        <w:t>.</w:t>
      </w:r>
      <w:proofErr w:type="gramEnd"/>
      <w:r w:rsidRPr="00FE636C">
        <w:rPr>
          <w:rFonts w:asciiTheme="majorBidi" w:hAnsiTheme="majorBidi" w:cstheme="majorBidi"/>
          <w:sz w:val="18"/>
          <w:szCs w:val="18"/>
        </w:rPr>
        <w:t xml:space="preserve"> Jan-Feb 2009</w:t>
      </w:r>
      <w:proofErr w:type="gramStart"/>
      <w:r w:rsidRPr="00FE636C">
        <w:rPr>
          <w:rFonts w:asciiTheme="majorBidi" w:hAnsiTheme="majorBidi" w:cstheme="majorBidi"/>
          <w:sz w:val="18"/>
          <w:szCs w:val="18"/>
        </w:rPr>
        <w:t>;56</w:t>
      </w:r>
      <w:proofErr w:type="gramEnd"/>
      <w:r w:rsidRPr="00FE636C">
        <w:rPr>
          <w:rFonts w:asciiTheme="majorBidi" w:hAnsiTheme="majorBidi" w:cstheme="majorBidi"/>
          <w:sz w:val="18"/>
          <w:szCs w:val="18"/>
        </w:rPr>
        <w:t xml:space="preserve">(89):162-6.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7:</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SVermeire</w:t>
      </w:r>
      <w:proofErr w:type="spellEnd"/>
      <w:r w:rsidRPr="00FE636C">
        <w:rPr>
          <w:rFonts w:asciiTheme="majorBidi" w:hAnsiTheme="majorBidi" w:cstheme="majorBidi"/>
          <w:sz w:val="18"/>
          <w:szCs w:val="18"/>
        </w:rPr>
        <w:t xml:space="preserve">, G Van </w:t>
      </w:r>
      <w:proofErr w:type="spellStart"/>
      <w:r w:rsidRPr="00FE636C">
        <w:rPr>
          <w:rFonts w:asciiTheme="majorBidi" w:hAnsiTheme="majorBidi" w:cstheme="majorBidi"/>
          <w:sz w:val="18"/>
          <w:szCs w:val="18"/>
        </w:rPr>
        <w:t>Assche</w:t>
      </w:r>
      <w:proofErr w:type="spellEnd"/>
      <w:r w:rsidRPr="00FE636C">
        <w:rPr>
          <w:rFonts w:asciiTheme="majorBidi" w:hAnsiTheme="majorBidi" w:cstheme="majorBidi"/>
          <w:sz w:val="18"/>
          <w:szCs w:val="18"/>
        </w:rPr>
        <w:t xml:space="preserve">, and P </w:t>
      </w:r>
      <w:proofErr w:type="spellStart"/>
      <w:r w:rsidRPr="00FE636C">
        <w:rPr>
          <w:rFonts w:asciiTheme="majorBidi" w:hAnsiTheme="majorBidi" w:cstheme="majorBidi"/>
          <w:sz w:val="18"/>
          <w:szCs w:val="18"/>
        </w:rPr>
        <w:t>Rutgeerts</w:t>
      </w:r>
      <w:proofErr w:type="spellEnd"/>
      <w:r w:rsidRPr="00FE636C">
        <w:rPr>
          <w:rFonts w:asciiTheme="majorBidi" w:hAnsiTheme="majorBidi" w:cstheme="majorBidi"/>
          <w:sz w:val="18"/>
          <w:szCs w:val="18"/>
        </w:rPr>
        <w:t xml:space="preserve">. Laboratory markers in IBD: useful, magic, or unnecessary toys? </w:t>
      </w:r>
      <w:proofErr w:type="gramStart"/>
      <w:r w:rsidRPr="00FE636C">
        <w:rPr>
          <w:rFonts w:asciiTheme="majorBidi" w:hAnsiTheme="majorBidi" w:cstheme="majorBidi"/>
          <w:sz w:val="18"/>
          <w:szCs w:val="18"/>
        </w:rPr>
        <w:t>Gut.</w:t>
      </w:r>
      <w:proofErr w:type="gramEnd"/>
      <w:r w:rsidRPr="00FE636C">
        <w:rPr>
          <w:rFonts w:asciiTheme="majorBidi" w:hAnsiTheme="majorBidi" w:cstheme="majorBidi"/>
          <w:sz w:val="18"/>
          <w:szCs w:val="18"/>
        </w:rPr>
        <w:t xml:space="preserve"> 2006 March; 55(3): 426–431.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8:</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i/>
          <w:iCs/>
          <w:sz w:val="18"/>
          <w:szCs w:val="18"/>
        </w:rPr>
        <w:t>Sandborn</w:t>
      </w:r>
      <w:proofErr w:type="spellEnd"/>
      <w:r w:rsidRPr="00FE636C">
        <w:rPr>
          <w:rFonts w:asciiTheme="majorBidi" w:hAnsiTheme="majorBidi" w:cstheme="majorBidi"/>
          <w:i/>
          <w:iCs/>
          <w:sz w:val="18"/>
          <w:szCs w:val="18"/>
        </w:rPr>
        <w:t xml:space="preserve"> WJ, </w:t>
      </w:r>
      <w:proofErr w:type="spellStart"/>
      <w:r w:rsidRPr="00FE636C">
        <w:rPr>
          <w:rFonts w:asciiTheme="majorBidi" w:hAnsiTheme="majorBidi" w:cstheme="majorBidi"/>
          <w:i/>
          <w:iCs/>
          <w:sz w:val="18"/>
          <w:szCs w:val="18"/>
        </w:rPr>
        <w:t>Hanauer</w:t>
      </w:r>
      <w:proofErr w:type="spellEnd"/>
      <w:r w:rsidRPr="00FE636C">
        <w:rPr>
          <w:rFonts w:asciiTheme="majorBidi" w:hAnsiTheme="majorBidi" w:cstheme="majorBidi"/>
          <w:i/>
          <w:iCs/>
          <w:sz w:val="18"/>
          <w:szCs w:val="18"/>
        </w:rPr>
        <w:t xml:space="preserve"> SB. Systematic review: the pharmacokinetic profiles of oral </w:t>
      </w:r>
      <w:proofErr w:type="spellStart"/>
      <w:r w:rsidRPr="00FE636C">
        <w:rPr>
          <w:rFonts w:asciiTheme="majorBidi" w:hAnsiTheme="majorBidi" w:cstheme="majorBidi"/>
          <w:i/>
          <w:iCs/>
          <w:sz w:val="18"/>
          <w:szCs w:val="18"/>
        </w:rPr>
        <w:t>mesalazine</w:t>
      </w:r>
      <w:proofErr w:type="spellEnd"/>
      <w:r w:rsidRPr="00FE636C">
        <w:rPr>
          <w:rFonts w:asciiTheme="majorBidi" w:hAnsiTheme="majorBidi" w:cstheme="majorBidi"/>
          <w:i/>
          <w:iCs/>
          <w:sz w:val="18"/>
          <w:szCs w:val="18"/>
        </w:rPr>
        <w:t xml:space="preserve"> formulations and </w:t>
      </w:r>
      <w:proofErr w:type="spellStart"/>
      <w:r w:rsidRPr="00FE636C">
        <w:rPr>
          <w:rFonts w:asciiTheme="majorBidi" w:hAnsiTheme="majorBidi" w:cstheme="majorBidi"/>
          <w:i/>
          <w:iCs/>
          <w:sz w:val="18"/>
          <w:szCs w:val="18"/>
        </w:rPr>
        <w:t>mesalazineprodrugs</w:t>
      </w:r>
      <w:proofErr w:type="spellEnd"/>
      <w:r w:rsidRPr="00FE636C">
        <w:rPr>
          <w:rFonts w:asciiTheme="majorBidi" w:hAnsiTheme="majorBidi" w:cstheme="majorBidi"/>
          <w:i/>
          <w:iCs/>
          <w:sz w:val="18"/>
          <w:szCs w:val="18"/>
        </w:rPr>
        <w:t xml:space="preserve"> used in the management of ulcerative colitis. Aliment </w:t>
      </w:r>
      <w:proofErr w:type="spellStart"/>
      <w:r w:rsidRPr="00FE636C">
        <w:rPr>
          <w:rFonts w:asciiTheme="majorBidi" w:hAnsiTheme="majorBidi" w:cstheme="majorBidi"/>
          <w:i/>
          <w:iCs/>
          <w:sz w:val="18"/>
          <w:szCs w:val="18"/>
        </w:rPr>
        <w:t>Pharmacol</w:t>
      </w:r>
      <w:proofErr w:type="spellEnd"/>
      <w:r w:rsidRPr="00FE636C">
        <w:rPr>
          <w:rFonts w:asciiTheme="majorBidi" w:hAnsiTheme="majorBidi" w:cstheme="majorBidi"/>
          <w:i/>
          <w:iCs/>
          <w:sz w:val="18"/>
          <w:szCs w:val="18"/>
        </w:rPr>
        <w:t xml:space="preserve"> </w:t>
      </w:r>
      <w:proofErr w:type="spellStart"/>
      <w:r w:rsidRPr="00FE636C">
        <w:rPr>
          <w:rFonts w:asciiTheme="majorBidi" w:hAnsiTheme="majorBidi" w:cstheme="majorBidi"/>
          <w:i/>
          <w:iCs/>
          <w:sz w:val="18"/>
          <w:szCs w:val="18"/>
        </w:rPr>
        <w:t>Ther</w:t>
      </w:r>
      <w:proofErr w:type="spellEnd"/>
      <w:r w:rsidR="00FE636C">
        <w:rPr>
          <w:rFonts w:asciiTheme="majorBidi" w:hAnsiTheme="majorBidi" w:cstheme="majorBidi" w:hint="eastAsia"/>
          <w:i/>
          <w:iCs/>
          <w:sz w:val="18"/>
          <w:szCs w:val="18"/>
          <w:lang w:eastAsia="zh-CN"/>
        </w:rPr>
        <w:t xml:space="preserve"> </w:t>
      </w:r>
      <w:r w:rsidRPr="00FE636C">
        <w:rPr>
          <w:rFonts w:asciiTheme="majorBidi" w:hAnsiTheme="majorBidi" w:cstheme="majorBidi"/>
          <w:i/>
          <w:iCs/>
          <w:sz w:val="18"/>
          <w:szCs w:val="18"/>
        </w:rPr>
        <w:t>2003</w:t>
      </w:r>
      <w:proofErr w:type="gramStart"/>
      <w:r w:rsidRPr="00FE636C">
        <w:rPr>
          <w:rFonts w:asciiTheme="majorBidi" w:hAnsiTheme="majorBidi" w:cstheme="majorBidi"/>
          <w:i/>
          <w:iCs/>
          <w:sz w:val="18"/>
          <w:szCs w:val="18"/>
        </w:rPr>
        <w:t>;17:29</w:t>
      </w:r>
      <w:proofErr w:type="gramEnd"/>
      <w:r w:rsidRPr="00FE636C">
        <w:rPr>
          <w:rFonts w:asciiTheme="majorBidi" w:hAnsiTheme="majorBidi" w:cstheme="majorBidi"/>
          <w:i/>
          <w:iCs/>
          <w:sz w:val="18"/>
          <w:szCs w:val="18"/>
        </w:rPr>
        <w:t xml:space="preserve">–42.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9: </w:t>
      </w:r>
      <w:proofErr w:type="spellStart"/>
      <w:r w:rsidRPr="00FE636C">
        <w:rPr>
          <w:rFonts w:asciiTheme="majorBidi" w:hAnsiTheme="majorBidi" w:cstheme="majorBidi"/>
          <w:i/>
          <w:iCs/>
          <w:sz w:val="18"/>
          <w:szCs w:val="18"/>
        </w:rPr>
        <w:t>Franchimont</w:t>
      </w:r>
      <w:proofErr w:type="spellEnd"/>
      <w:r w:rsidRPr="00FE636C">
        <w:rPr>
          <w:rFonts w:asciiTheme="majorBidi" w:hAnsiTheme="majorBidi" w:cstheme="majorBidi"/>
          <w:i/>
          <w:iCs/>
          <w:sz w:val="18"/>
          <w:szCs w:val="18"/>
        </w:rPr>
        <w:t xml:space="preserve"> D, Kino T, </w:t>
      </w:r>
      <w:proofErr w:type="spellStart"/>
      <w:r w:rsidRPr="00FE636C">
        <w:rPr>
          <w:rFonts w:asciiTheme="majorBidi" w:hAnsiTheme="majorBidi" w:cstheme="majorBidi"/>
          <w:i/>
          <w:iCs/>
          <w:sz w:val="18"/>
          <w:szCs w:val="18"/>
        </w:rPr>
        <w:t>Galon</w:t>
      </w:r>
      <w:proofErr w:type="spellEnd"/>
      <w:r w:rsidRPr="00FE636C">
        <w:rPr>
          <w:rFonts w:asciiTheme="majorBidi" w:hAnsiTheme="majorBidi" w:cstheme="majorBidi"/>
          <w:i/>
          <w:iCs/>
          <w:sz w:val="18"/>
          <w:szCs w:val="18"/>
        </w:rPr>
        <w:t xml:space="preserve"> J, et al: </w:t>
      </w:r>
      <w:proofErr w:type="spellStart"/>
      <w:r w:rsidRPr="00FE636C">
        <w:rPr>
          <w:rFonts w:asciiTheme="majorBidi" w:hAnsiTheme="majorBidi" w:cstheme="majorBidi"/>
          <w:i/>
          <w:iCs/>
          <w:sz w:val="18"/>
          <w:szCs w:val="18"/>
        </w:rPr>
        <w:t>Glucorticoids</w:t>
      </w:r>
      <w:proofErr w:type="spellEnd"/>
      <w:r w:rsidRPr="00FE636C">
        <w:rPr>
          <w:rFonts w:asciiTheme="majorBidi" w:hAnsiTheme="majorBidi" w:cstheme="majorBidi"/>
          <w:i/>
          <w:iCs/>
          <w:sz w:val="18"/>
          <w:szCs w:val="18"/>
        </w:rPr>
        <w:t xml:space="preserve"> and inflammation revisited: the state of the art. Neuroimmunomodulation2003</w:t>
      </w:r>
      <w:proofErr w:type="gramStart"/>
      <w:r w:rsidRPr="00FE636C">
        <w:rPr>
          <w:rFonts w:asciiTheme="majorBidi" w:hAnsiTheme="majorBidi" w:cstheme="majorBidi"/>
          <w:i/>
          <w:iCs/>
          <w:sz w:val="18"/>
          <w:szCs w:val="18"/>
        </w:rPr>
        <w:t>;10:247</w:t>
      </w:r>
      <w:proofErr w:type="gramEnd"/>
      <w:r w:rsidRPr="00FE636C">
        <w:rPr>
          <w:rFonts w:asciiTheme="majorBidi" w:hAnsiTheme="majorBidi" w:cstheme="majorBidi"/>
          <w:i/>
          <w:iCs/>
          <w:sz w:val="18"/>
          <w:szCs w:val="18"/>
        </w:rPr>
        <w:t xml:space="preserve">–60.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10: </w:t>
      </w:r>
      <w:proofErr w:type="spellStart"/>
      <w:r w:rsidRPr="00FE636C">
        <w:rPr>
          <w:rFonts w:asciiTheme="majorBidi" w:hAnsiTheme="majorBidi" w:cstheme="majorBidi"/>
          <w:i/>
          <w:iCs/>
          <w:sz w:val="18"/>
          <w:szCs w:val="18"/>
        </w:rPr>
        <w:t>Tiede</w:t>
      </w:r>
      <w:proofErr w:type="spellEnd"/>
      <w:r w:rsidRPr="00FE636C">
        <w:rPr>
          <w:rFonts w:asciiTheme="majorBidi" w:hAnsiTheme="majorBidi" w:cstheme="majorBidi"/>
          <w:i/>
          <w:iCs/>
          <w:sz w:val="18"/>
          <w:szCs w:val="18"/>
        </w:rPr>
        <w:t xml:space="preserve"> I, Fritz G, Strand S, et al: CD28-dependent Rac1 activation is the molecular target of </w:t>
      </w:r>
      <w:proofErr w:type="spellStart"/>
      <w:r w:rsidRPr="00FE636C">
        <w:rPr>
          <w:rFonts w:asciiTheme="majorBidi" w:hAnsiTheme="majorBidi" w:cstheme="majorBidi"/>
          <w:i/>
          <w:iCs/>
          <w:sz w:val="18"/>
          <w:szCs w:val="18"/>
        </w:rPr>
        <w:t>aziothioprine</w:t>
      </w:r>
      <w:proofErr w:type="spellEnd"/>
      <w:r w:rsidRPr="00FE636C">
        <w:rPr>
          <w:rFonts w:asciiTheme="majorBidi" w:hAnsiTheme="majorBidi" w:cstheme="majorBidi"/>
          <w:i/>
          <w:iCs/>
          <w:sz w:val="18"/>
          <w:szCs w:val="18"/>
        </w:rPr>
        <w:t xml:space="preserve"> in primary human CD4+ T lymphocytes. J </w:t>
      </w:r>
      <w:proofErr w:type="spellStart"/>
      <w:r w:rsidRPr="00FE636C">
        <w:rPr>
          <w:rFonts w:asciiTheme="majorBidi" w:hAnsiTheme="majorBidi" w:cstheme="majorBidi"/>
          <w:i/>
          <w:iCs/>
          <w:sz w:val="18"/>
          <w:szCs w:val="18"/>
        </w:rPr>
        <w:t>Clin</w:t>
      </w:r>
      <w:proofErr w:type="spellEnd"/>
      <w:r w:rsidRPr="00FE636C">
        <w:rPr>
          <w:rFonts w:asciiTheme="majorBidi" w:hAnsiTheme="majorBidi" w:cstheme="majorBidi"/>
          <w:i/>
          <w:iCs/>
          <w:sz w:val="18"/>
          <w:szCs w:val="18"/>
        </w:rPr>
        <w:t xml:space="preserve"> Invest2003</w:t>
      </w:r>
      <w:proofErr w:type="gramStart"/>
      <w:r w:rsidRPr="00FE636C">
        <w:rPr>
          <w:rFonts w:asciiTheme="majorBidi" w:hAnsiTheme="majorBidi" w:cstheme="majorBidi"/>
          <w:i/>
          <w:iCs/>
          <w:sz w:val="18"/>
          <w:szCs w:val="18"/>
        </w:rPr>
        <w:t>;111:1133</w:t>
      </w:r>
      <w:proofErr w:type="gramEnd"/>
      <w:r w:rsidRPr="00FE636C">
        <w:rPr>
          <w:rFonts w:asciiTheme="majorBidi" w:hAnsiTheme="majorBidi" w:cstheme="majorBidi"/>
          <w:i/>
          <w:iCs/>
          <w:sz w:val="18"/>
          <w:szCs w:val="18"/>
        </w:rPr>
        <w:t>–45</w:t>
      </w:r>
      <w:r w:rsidRPr="00FE636C">
        <w:rPr>
          <w:rFonts w:asciiTheme="majorBidi" w:hAnsiTheme="majorBidi" w:cstheme="majorBidi"/>
          <w:sz w:val="18"/>
          <w:szCs w:val="18"/>
        </w:rPr>
        <w:t xml:space="preserve">.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i/>
          <w:iCs/>
          <w:sz w:val="18"/>
          <w:szCs w:val="18"/>
        </w:rPr>
        <w:t>11:</w:t>
      </w:r>
      <w:r w:rsidR="00FE636C">
        <w:rPr>
          <w:rFonts w:asciiTheme="majorBidi" w:hAnsiTheme="majorBidi" w:cstheme="majorBidi" w:hint="eastAsia"/>
          <w:i/>
          <w:iCs/>
          <w:sz w:val="18"/>
          <w:szCs w:val="18"/>
          <w:lang w:eastAsia="zh-CN"/>
        </w:rPr>
        <w:t xml:space="preserve"> </w:t>
      </w:r>
      <w:r w:rsidRPr="00FE636C">
        <w:rPr>
          <w:rFonts w:asciiTheme="majorBidi" w:hAnsiTheme="majorBidi" w:cstheme="majorBidi"/>
          <w:i/>
          <w:iCs/>
          <w:sz w:val="18"/>
          <w:szCs w:val="18"/>
        </w:rPr>
        <w:t xml:space="preserve">Fraser AG: </w:t>
      </w:r>
      <w:proofErr w:type="spellStart"/>
      <w:r w:rsidRPr="00FE636C">
        <w:rPr>
          <w:rFonts w:asciiTheme="majorBidi" w:hAnsiTheme="majorBidi" w:cstheme="majorBidi"/>
          <w:i/>
          <w:iCs/>
          <w:sz w:val="18"/>
          <w:szCs w:val="18"/>
        </w:rPr>
        <w:t>Methotrexate</w:t>
      </w:r>
      <w:proofErr w:type="spellEnd"/>
      <w:r w:rsidRPr="00FE636C">
        <w:rPr>
          <w:rFonts w:asciiTheme="majorBidi" w:hAnsiTheme="majorBidi" w:cstheme="majorBidi"/>
          <w:i/>
          <w:iCs/>
          <w:sz w:val="18"/>
          <w:szCs w:val="18"/>
        </w:rPr>
        <w:t xml:space="preserve">: first or second-line </w:t>
      </w:r>
      <w:proofErr w:type="spellStart"/>
      <w:r w:rsidRPr="00FE636C">
        <w:rPr>
          <w:rFonts w:asciiTheme="majorBidi" w:hAnsiTheme="majorBidi" w:cstheme="majorBidi"/>
          <w:i/>
          <w:iCs/>
          <w:sz w:val="18"/>
          <w:szCs w:val="18"/>
        </w:rPr>
        <w:t>immunomodulator</w:t>
      </w:r>
      <w:proofErr w:type="spellEnd"/>
      <w:r w:rsidRPr="00FE636C">
        <w:rPr>
          <w:rFonts w:asciiTheme="majorBidi" w:hAnsiTheme="majorBidi" w:cstheme="majorBidi"/>
          <w:i/>
          <w:iCs/>
          <w:sz w:val="18"/>
          <w:szCs w:val="18"/>
        </w:rPr>
        <w:t xml:space="preserve">? </w:t>
      </w:r>
      <w:proofErr w:type="spellStart"/>
      <w:r w:rsidRPr="00FE636C">
        <w:rPr>
          <w:rFonts w:asciiTheme="majorBidi" w:hAnsiTheme="majorBidi" w:cstheme="majorBidi"/>
          <w:i/>
          <w:iCs/>
          <w:sz w:val="18"/>
          <w:szCs w:val="18"/>
        </w:rPr>
        <w:t>Eur</w:t>
      </w:r>
      <w:proofErr w:type="spellEnd"/>
      <w:r w:rsidRPr="00FE636C">
        <w:rPr>
          <w:rFonts w:asciiTheme="majorBidi" w:hAnsiTheme="majorBidi" w:cstheme="majorBidi"/>
          <w:i/>
          <w:iCs/>
          <w:sz w:val="18"/>
          <w:szCs w:val="18"/>
        </w:rPr>
        <w:t xml:space="preserve"> J </w:t>
      </w:r>
      <w:proofErr w:type="spellStart"/>
      <w:r w:rsidRPr="00FE636C">
        <w:rPr>
          <w:rFonts w:asciiTheme="majorBidi" w:hAnsiTheme="majorBidi" w:cstheme="majorBidi"/>
          <w:i/>
          <w:iCs/>
          <w:sz w:val="18"/>
          <w:szCs w:val="18"/>
        </w:rPr>
        <w:t>Gastroenterol</w:t>
      </w:r>
      <w:proofErr w:type="spellEnd"/>
      <w:r w:rsidRPr="00FE636C">
        <w:rPr>
          <w:rFonts w:asciiTheme="majorBidi" w:hAnsiTheme="majorBidi" w:cstheme="majorBidi"/>
          <w:i/>
          <w:iCs/>
          <w:sz w:val="18"/>
          <w:szCs w:val="18"/>
        </w:rPr>
        <w:t xml:space="preserve"> </w:t>
      </w:r>
      <w:proofErr w:type="spellStart"/>
      <w:r w:rsidRPr="00FE636C">
        <w:rPr>
          <w:rFonts w:asciiTheme="majorBidi" w:hAnsiTheme="majorBidi" w:cstheme="majorBidi"/>
          <w:i/>
          <w:iCs/>
          <w:sz w:val="18"/>
          <w:szCs w:val="18"/>
        </w:rPr>
        <w:t>Hepatol</w:t>
      </w:r>
      <w:proofErr w:type="spellEnd"/>
      <w:r w:rsidR="00FE636C">
        <w:rPr>
          <w:rFonts w:asciiTheme="majorBidi" w:hAnsiTheme="majorBidi" w:cstheme="majorBidi" w:hint="eastAsia"/>
          <w:i/>
          <w:iCs/>
          <w:sz w:val="18"/>
          <w:szCs w:val="18"/>
          <w:lang w:eastAsia="zh-CN"/>
        </w:rPr>
        <w:t xml:space="preserve"> </w:t>
      </w:r>
      <w:r w:rsidRPr="00FE636C">
        <w:rPr>
          <w:rFonts w:asciiTheme="majorBidi" w:hAnsiTheme="majorBidi" w:cstheme="majorBidi"/>
          <w:i/>
          <w:iCs/>
          <w:sz w:val="18"/>
          <w:szCs w:val="18"/>
        </w:rPr>
        <w:t>2003</w:t>
      </w:r>
      <w:proofErr w:type="gramStart"/>
      <w:r w:rsidRPr="00FE636C">
        <w:rPr>
          <w:rFonts w:asciiTheme="majorBidi" w:hAnsiTheme="majorBidi" w:cstheme="majorBidi"/>
          <w:i/>
          <w:iCs/>
          <w:sz w:val="18"/>
          <w:szCs w:val="18"/>
        </w:rPr>
        <w:t>;15:225</w:t>
      </w:r>
      <w:proofErr w:type="gramEnd"/>
      <w:r w:rsidRPr="00FE636C">
        <w:rPr>
          <w:rFonts w:asciiTheme="majorBidi" w:hAnsiTheme="majorBidi" w:cstheme="majorBidi"/>
          <w:i/>
          <w:iCs/>
          <w:sz w:val="18"/>
          <w:szCs w:val="18"/>
        </w:rPr>
        <w:t>–31</w:t>
      </w:r>
      <w:r w:rsidRPr="00FE636C">
        <w:rPr>
          <w:rFonts w:asciiTheme="majorBidi" w:hAnsiTheme="majorBidi" w:cstheme="majorBidi"/>
          <w:sz w:val="18"/>
          <w:szCs w:val="18"/>
        </w:rPr>
        <w:t xml:space="preserve">.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12</w:t>
      </w:r>
      <w:proofErr w:type="gramStart"/>
      <w:r w:rsidRPr="00FE636C">
        <w:rPr>
          <w:rFonts w:asciiTheme="majorBidi" w:hAnsiTheme="majorBidi" w:cstheme="majorBidi"/>
          <w:sz w:val="18"/>
          <w:szCs w:val="18"/>
        </w:rPr>
        <w:t>:</w:t>
      </w:r>
      <w:r w:rsidRPr="00FE636C">
        <w:rPr>
          <w:rFonts w:asciiTheme="majorBidi" w:hAnsiTheme="majorBidi" w:cstheme="majorBidi"/>
          <w:i/>
          <w:iCs/>
          <w:sz w:val="18"/>
          <w:szCs w:val="18"/>
        </w:rPr>
        <w:t>Hawthorne</w:t>
      </w:r>
      <w:proofErr w:type="gramEnd"/>
      <w:r w:rsidRPr="00FE636C">
        <w:rPr>
          <w:rFonts w:asciiTheme="majorBidi" w:hAnsiTheme="majorBidi" w:cstheme="majorBidi"/>
          <w:i/>
          <w:iCs/>
          <w:sz w:val="18"/>
          <w:szCs w:val="18"/>
        </w:rPr>
        <w:t xml:space="preserve"> AB: </w:t>
      </w:r>
      <w:proofErr w:type="spellStart"/>
      <w:r w:rsidRPr="00FE636C">
        <w:rPr>
          <w:rFonts w:asciiTheme="majorBidi" w:hAnsiTheme="majorBidi" w:cstheme="majorBidi"/>
          <w:i/>
          <w:iCs/>
          <w:sz w:val="18"/>
          <w:szCs w:val="18"/>
        </w:rPr>
        <w:t>Ciclosporin</w:t>
      </w:r>
      <w:proofErr w:type="spellEnd"/>
      <w:r w:rsidRPr="00FE636C">
        <w:rPr>
          <w:rFonts w:asciiTheme="majorBidi" w:hAnsiTheme="majorBidi" w:cstheme="majorBidi"/>
          <w:i/>
          <w:iCs/>
          <w:sz w:val="18"/>
          <w:szCs w:val="18"/>
        </w:rPr>
        <w:t xml:space="preserve"> and refractory colitis. </w:t>
      </w:r>
      <w:proofErr w:type="spellStart"/>
      <w:r w:rsidRPr="00FE636C">
        <w:rPr>
          <w:rFonts w:asciiTheme="majorBidi" w:hAnsiTheme="majorBidi" w:cstheme="majorBidi"/>
          <w:i/>
          <w:iCs/>
          <w:sz w:val="18"/>
          <w:szCs w:val="18"/>
        </w:rPr>
        <w:t>Eur</w:t>
      </w:r>
      <w:proofErr w:type="spellEnd"/>
      <w:r w:rsidRPr="00FE636C">
        <w:rPr>
          <w:rFonts w:asciiTheme="majorBidi" w:hAnsiTheme="majorBidi" w:cstheme="majorBidi"/>
          <w:i/>
          <w:iCs/>
          <w:sz w:val="18"/>
          <w:szCs w:val="18"/>
        </w:rPr>
        <w:t xml:space="preserve"> J </w:t>
      </w:r>
      <w:proofErr w:type="spellStart"/>
      <w:r w:rsidRPr="00FE636C">
        <w:rPr>
          <w:rFonts w:asciiTheme="majorBidi" w:hAnsiTheme="majorBidi" w:cstheme="majorBidi"/>
          <w:i/>
          <w:iCs/>
          <w:sz w:val="18"/>
          <w:szCs w:val="18"/>
        </w:rPr>
        <w:t>Gastroenterol</w:t>
      </w:r>
      <w:proofErr w:type="spellEnd"/>
      <w:r w:rsidRPr="00FE636C">
        <w:rPr>
          <w:rFonts w:asciiTheme="majorBidi" w:hAnsiTheme="majorBidi" w:cstheme="majorBidi"/>
          <w:i/>
          <w:iCs/>
          <w:sz w:val="18"/>
          <w:szCs w:val="18"/>
        </w:rPr>
        <w:t xml:space="preserve"> Hepatol2003</w:t>
      </w:r>
      <w:proofErr w:type="gramStart"/>
      <w:r w:rsidRPr="00FE636C">
        <w:rPr>
          <w:rFonts w:asciiTheme="majorBidi" w:hAnsiTheme="majorBidi" w:cstheme="majorBidi"/>
          <w:i/>
          <w:iCs/>
          <w:sz w:val="18"/>
          <w:szCs w:val="18"/>
        </w:rPr>
        <w:t>;15:239</w:t>
      </w:r>
      <w:proofErr w:type="gramEnd"/>
      <w:r w:rsidRPr="00FE636C">
        <w:rPr>
          <w:rFonts w:asciiTheme="majorBidi" w:hAnsiTheme="majorBidi" w:cstheme="majorBidi"/>
          <w:i/>
          <w:iCs/>
          <w:sz w:val="18"/>
          <w:szCs w:val="18"/>
        </w:rPr>
        <w:t xml:space="preserve">–44.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13:</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i/>
          <w:iCs/>
          <w:sz w:val="18"/>
          <w:szCs w:val="18"/>
        </w:rPr>
        <w:t>Rutgeerts</w:t>
      </w:r>
      <w:proofErr w:type="spellEnd"/>
      <w:r w:rsidRPr="00FE636C">
        <w:rPr>
          <w:rFonts w:asciiTheme="majorBidi" w:hAnsiTheme="majorBidi" w:cstheme="majorBidi"/>
          <w:i/>
          <w:iCs/>
          <w:sz w:val="18"/>
          <w:szCs w:val="18"/>
        </w:rPr>
        <w:t xml:space="preserve"> P, Van </w:t>
      </w:r>
      <w:proofErr w:type="spellStart"/>
      <w:r w:rsidRPr="00FE636C">
        <w:rPr>
          <w:rFonts w:asciiTheme="majorBidi" w:hAnsiTheme="majorBidi" w:cstheme="majorBidi"/>
          <w:i/>
          <w:iCs/>
          <w:sz w:val="18"/>
          <w:szCs w:val="18"/>
        </w:rPr>
        <w:t>Assche</w:t>
      </w:r>
      <w:proofErr w:type="spellEnd"/>
      <w:r w:rsidRPr="00FE636C">
        <w:rPr>
          <w:rFonts w:asciiTheme="majorBidi" w:hAnsiTheme="majorBidi" w:cstheme="majorBidi"/>
          <w:i/>
          <w:iCs/>
          <w:sz w:val="18"/>
          <w:szCs w:val="18"/>
        </w:rPr>
        <w:t xml:space="preserve"> G, </w:t>
      </w:r>
      <w:proofErr w:type="spellStart"/>
      <w:r w:rsidRPr="00FE636C">
        <w:rPr>
          <w:rFonts w:asciiTheme="majorBidi" w:hAnsiTheme="majorBidi" w:cstheme="majorBidi"/>
          <w:i/>
          <w:iCs/>
          <w:sz w:val="18"/>
          <w:szCs w:val="18"/>
        </w:rPr>
        <w:t>Vermeire</w:t>
      </w:r>
      <w:proofErr w:type="spellEnd"/>
      <w:r w:rsidRPr="00FE636C">
        <w:rPr>
          <w:rFonts w:asciiTheme="majorBidi" w:hAnsiTheme="majorBidi" w:cstheme="majorBidi"/>
          <w:i/>
          <w:iCs/>
          <w:sz w:val="18"/>
          <w:szCs w:val="18"/>
        </w:rPr>
        <w:t xml:space="preserve"> S: </w:t>
      </w:r>
      <w:proofErr w:type="spellStart"/>
      <w:r w:rsidRPr="00FE636C">
        <w:rPr>
          <w:rFonts w:asciiTheme="majorBidi" w:hAnsiTheme="majorBidi" w:cstheme="majorBidi"/>
          <w:i/>
          <w:iCs/>
          <w:sz w:val="18"/>
          <w:szCs w:val="18"/>
        </w:rPr>
        <w:t>Optimising</w:t>
      </w:r>
      <w:proofErr w:type="spellEnd"/>
      <w:r w:rsidRPr="00FE636C">
        <w:rPr>
          <w:rFonts w:asciiTheme="majorBidi" w:hAnsiTheme="majorBidi" w:cstheme="majorBidi"/>
          <w:i/>
          <w:iCs/>
          <w:sz w:val="18"/>
          <w:szCs w:val="18"/>
        </w:rPr>
        <w:t xml:space="preserve"> anti-TNF treatment in inflammatory bowel disease. Gastroenterology2004</w:t>
      </w:r>
      <w:proofErr w:type="gramStart"/>
      <w:r w:rsidRPr="00FE636C">
        <w:rPr>
          <w:rFonts w:asciiTheme="majorBidi" w:hAnsiTheme="majorBidi" w:cstheme="majorBidi"/>
          <w:i/>
          <w:iCs/>
          <w:sz w:val="18"/>
          <w:szCs w:val="18"/>
        </w:rPr>
        <w:t>;126:1593</w:t>
      </w:r>
      <w:proofErr w:type="gramEnd"/>
      <w:r w:rsidRPr="00FE636C">
        <w:rPr>
          <w:rFonts w:asciiTheme="majorBidi" w:hAnsiTheme="majorBidi" w:cstheme="majorBidi"/>
          <w:i/>
          <w:iCs/>
          <w:sz w:val="18"/>
          <w:szCs w:val="18"/>
        </w:rPr>
        <w:t xml:space="preserve">–610.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14: </w:t>
      </w:r>
      <w:proofErr w:type="spellStart"/>
      <w:r w:rsidRPr="00FE636C">
        <w:rPr>
          <w:rFonts w:asciiTheme="majorBidi" w:hAnsiTheme="majorBidi" w:cstheme="majorBidi"/>
          <w:sz w:val="18"/>
          <w:szCs w:val="18"/>
        </w:rPr>
        <w:t>Ambrogio</w:t>
      </w:r>
      <w:proofErr w:type="spellEnd"/>
      <w:r w:rsidRPr="00FE636C">
        <w:rPr>
          <w:rFonts w:asciiTheme="majorBidi" w:hAnsiTheme="majorBidi" w:cstheme="majorBidi"/>
          <w:sz w:val="18"/>
          <w:szCs w:val="18"/>
        </w:rPr>
        <w:t xml:space="preserve"> Orlando, Alessandro </w:t>
      </w:r>
      <w:proofErr w:type="spellStart"/>
      <w:r w:rsidRPr="00FE636C">
        <w:rPr>
          <w:rFonts w:asciiTheme="majorBidi" w:hAnsiTheme="majorBidi" w:cstheme="majorBidi"/>
          <w:sz w:val="18"/>
          <w:szCs w:val="18"/>
        </w:rPr>
        <w:t>Armuzzi</w:t>
      </w:r>
      <w:proofErr w:type="spellEnd"/>
      <w:r w:rsidRPr="00FE636C">
        <w:rPr>
          <w:rFonts w:asciiTheme="majorBidi" w:hAnsiTheme="majorBidi" w:cstheme="majorBidi"/>
          <w:sz w:val="18"/>
          <w:szCs w:val="18"/>
        </w:rPr>
        <w:t xml:space="preserve">, Claudio </w:t>
      </w:r>
      <w:proofErr w:type="spellStart"/>
      <w:r w:rsidRPr="00FE636C">
        <w:rPr>
          <w:rFonts w:asciiTheme="majorBidi" w:hAnsiTheme="majorBidi" w:cstheme="majorBidi"/>
          <w:sz w:val="18"/>
          <w:szCs w:val="18"/>
        </w:rPr>
        <w:t>Papi</w:t>
      </w:r>
      <w:proofErr w:type="spellEnd"/>
      <w:r w:rsidRPr="00FE636C">
        <w:rPr>
          <w:rFonts w:asciiTheme="majorBidi" w:hAnsiTheme="majorBidi" w:cstheme="majorBidi"/>
          <w:sz w:val="18"/>
          <w:szCs w:val="18"/>
        </w:rPr>
        <w:t xml:space="preserve">, et </w:t>
      </w:r>
      <w:proofErr w:type="spellStart"/>
      <w:r w:rsidRPr="00FE636C">
        <w:rPr>
          <w:rFonts w:asciiTheme="majorBidi" w:hAnsiTheme="majorBidi" w:cstheme="majorBidi"/>
          <w:sz w:val="18"/>
          <w:szCs w:val="18"/>
        </w:rPr>
        <w:t>al.The</w:t>
      </w:r>
      <w:proofErr w:type="spellEnd"/>
      <w:r w:rsidRPr="00FE636C">
        <w:rPr>
          <w:rFonts w:asciiTheme="majorBidi" w:hAnsiTheme="majorBidi" w:cstheme="majorBidi"/>
          <w:sz w:val="18"/>
          <w:szCs w:val="18"/>
        </w:rPr>
        <w:t xml:space="preserve"> Italian Society of Gastroenterology (SIGE) and the Italian Group for the study of Inflammatory Bowel Disease (IG-IBD) Clinical Practice Guidelines: The use of tumor necrosis factor-alpha antagonist therapy in Inflammatory Bowel Disease Original Research Article </w:t>
      </w:r>
      <w:r w:rsidRPr="00FE636C">
        <w:rPr>
          <w:rFonts w:asciiTheme="majorBidi" w:hAnsiTheme="majorBidi" w:cstheme="majorBidi"/>
          <w:i/>
          <w:iCs/>
          <w:sz w:val="18"/>
          <w:szCs w:val="18"/>
        </w:rPr>
        <w:t>Digestive and Liver Disease</w:t>
      </w:r>
      <w:r w:rsidRPr="00FE636C">
        <w:rPr>
          <w:rFonts w:asciiTheme="majorBidi" w:hAnsiTheme="majorBidi" w:cstheme="majorBidi"/>
          <w:sz w:val="18"/>
          <w:szCs w:val="18"/>
        </w:rPr>
        <w:t xml:space="preserve">, </w:t>
      </w:r>
      <w:r w:rsidRPr="00FE636C">
        <w:rPr>
          <w:rFonts w:asciiTheme="majorBidi" w:hAnsiTheme="majorBidi" w:cstheme="majorBidi"/>
          <w:i/>
          <w:iCs/>
          <w:sz w:val="18"/>
          <w:szCs w:val="18"/>
        </w:rPr>
        <w:t>Volume 43, Issue 1</w:t>
      </w:r>
      <w:r w:rsidRPr="00FE636C">
        <w:rPr>
          <w:rFonts w:asciiTheme="majorBidi" w:hAnsiTheme="majorBidi" w:cstheme="majorBidi"/>
          <w:sz w:val="18"/>
          <w:szCs w:val="18"/>
        </w:rPr>
        <w:t xml:space="preserve">, </w:t>
      </w:r>
      <w:r w:rsidRPr="00FE636C">
        <w:rPr>
          <w:rFonts w:asciiTheme="majorBidi" w:hAnsiTheme="majorBidi" w:cstheme="majorBidi"/>
          <w:i/>
          <w:iCs/>
          <w:sz w:val="18"/>
          <w:szCs w:val="18"/>
        </w:rPr>
        <w:t>January 2011</w:t>
      </w:r>
      <w:r w:rsidRPr="00FE636C">
        <w:rPr>
          <w:rFonts w:asciiTheme="majorBidi" w:hAnsiTheme="majorBidi" w:cstheme="majorBidi"/>
          <w:sz w:val="18"/>
          <w:szCs w:val="18"/>
        </w:rPr>
        <w:t xml:space="preserve">.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15:</w:t>
      </w:r>
      <w:r w:rsidR="00FE636C">
        <w:rPr>
          <w:rFonts w:asciiTheme="majorBidi" w:hAnsiTheme="majorBidi" w:cstheme="majorBidi" w:hint="eastAsia"/>
          <w:sz w:val="18"/>
          <w:szCs w:val="18"/>
          <w:lang w:eastAsia="zh-CN"/>
        </w:rPr>
        <w:t xml:space="preserve"> </w:t>
      </w:r>
      <w:r w:rsidRPr="00FE636C">
        <w:rPr>
          <w:rFonts w:asciiTheme="majorBidi" w:hAnsiTheme="majorBidi" w:cstheme="majorBidi"/>
          <w:sz w:val="18"/>
          <w:szCs w:val="18"/>
        </w:rPr>
        <w:t xml:space="preserve">US Food and Drug Administration. FDA drug safety communication: new risk factor for progressive multifocal </w:t>
      </w:r>
      <w:proofErr w:type="spellStart"/>
      <w:r w:rsidRPr="00FE636C">
        <w:rPr>
          <w:rFonts w:asciiTheme="majorBidi" w:hAnsiTheme="majorBidi" w:cstheme="majorBidi"/>
          <w:sz w:val="18"/>
          <w:szCs w:val="18"/>
        </w:rPr>
        <w:t>leukoencephalopathy</w:t>
      </w:r>
      <w:proofErr w:type="spellEnd"/>
      <w:r w:rsidRPr="00FE636C">
        <w:rPr>
          <w:rFonts w:asciiTheme="majorBidi" w:hAnsiTheme="majorBidi" w:cstheme="majorBidi"/>
          <w:sz w:val="18"/>
          <w:szCs w:val="18"/>
        </w:rPr>
        <w:t xml:space="preserve"> (PML) associated with </w:t>
      </w:r>
      <w:proofErr w:type="spellStart"/>
      <w:r w:rsidRPr="00FE636C">
        <w:rPr>
          <w:rFonts w:asciiTheme="majorBidi" w:hAnsiTheme="majorBidi" w:cstheme="majorBidi"/>
          <w:sz w:val="18"/>
          <w:szCs w:val="18"/>
        </w:rPr>
        <w:t>Tysabri</w:t>
      </w:r>
      <w:proofErr w:type="spellEnd"/>
      <w:r w:rsidRPr="00FE636C">
        <w:rPr>
          <w:rFonts w:asciiTheme="majorBidi" w:hAnsiTheme="majorBidi" w:cstheme="majorBidi"/>
          <w:sz w:val="18"/>
          <w:szCs w:val="18"/>
        </w:rPr>
        <w:t xml:space="preserve"> (</w:t>
      </w:r>
      <w:proofErr w:type="spellStart"/>
      <w:r w:rsidRPr="00FE636C">
        <w:rPr>
          <w:rFonts w:asciiTheme="majorBidi" w:hAnsiTheme="majorBidi" w:cstheme="majorBidi"/>
          <w:sz w:val="18"/>
          <w:szCs w:val="18"/>
        </w:rPr>
        <w:t>natalizumab</w:t>
      </w:r>
      <w:proofErr w:type="spellEnd"/>
      <w:r w:rsidRPr="00FE636C">
        <w:rPr>
          <w:rFonts w:asciiTheme="majorBidi" w:hAnsiTheme="majorBidi" w:cstheme="majorBidi"/>
          <w:sz w:val="18"/>
          <w:szCs w:val="18"/>
        </w:rPr>
        <w:t xml:space="preserve">). </w:t>
      </w:r>
      <w:proofErr w:type="gramStart"/>
      <w:r w:rsidRPr="00FE636C">
        <w:rPr>
          <w:rFonts w:asciiTheme="majorBidi" w:hAnsiTheme="majorBidi" w:cstheme="majorBidi"/>
          <w:sz w:val="18"/>
          <w:szCs w:val="18"/>
        </w:rPr>
        <w:t xml:space="preserve">Available at </w:t>
      </w:r>
      <w:hyperlink r:id="rId12" w:history="1">
        <w:r w:rsidR="00373D9E" w:rsidRPr="00FE636C">
          <w:rPr>
            <w:rStyle w:val="Hyperlink"/>
            <w:rFonts w:asciiTheme="majorBidi" w:hAnsiTheme="majorBidi" w:cstheme="majorBidi"/>
            <w:sz w:val="18"/>
            <w:szCs w:val="18"/>
          </w:rPr>
          <w:t>http://www.fda.gov/drugs/drugsafety/ucm288186.htm</w:t>
        </w:r>
      </w:hyperlink>
      <w:r w:rsidRPr="00FE636C">
        <w:rPr>
          <w:rFonts w:asciiTheme="majorBidi" w:hAnsiTheme="majorBidi" w:cstheme="majorBidi"/>
          <w:sz w:val="18"/>
          <w:szCs w:val="18"/>
        </w:rPr>
        <w:t>.</w:t>
      </w:r>
      <w:proofErr w:type="gramEnd"/>
      <w:r w:rsidR="00373D9E" w:rsidRPr="00FE636C">
        <w:rPr>
          <w:rFonts w:asciiTheme="majorBidi" w:hAnsiTheme="majorBidi" w:cstheme="majorBidi" w:hint="eastAsia"/>
          <w:sz w:val="18"/>
          <w:szCs w:val="18"/>
          <w:lang w:eastAsia="zh-CN"/>
        </w:rPr>
        <w:t xml:space="preserve"> </w:t>
      </w:r>
      <w:proofErr w:type="gramStart"/>
      <w:r w:rsidRPr="00FE636C">
        <w:rPr>
          <w:rFonts w:asciiTheme="majorBidi" w:hAnsiTheme="majorBidi" w:cstheme="majorBidi"/>
          <w:sz w:val="18"/>
          <w:szCs w:val="18"/>
        </w:rPr>
        <w:t>Accessed July 11, 2012.</w:t>
      </w:r>
      <w:proofErr w:type="gramEnd"/>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16: Rubin DT, </w:t>
      </w:r>
      <w:proofErr w:type="spellStart"/>
      <w:r w:rsidRPr="00FE636C">
        <w:rPr>
          <w:rFonts w:asciiTheme="majorBidi" w:hAnsiTheme="majorBidi" w:cstheme="majorBidi"/>
          <w:sz w:val="18"/>
          <w:szCs w:val="18"/>
        </w:rPr>
        <w:t>Panaccione</w:t>
      </w:r>
      <w:proofErr w:type="spellEnd"/>
      <w:r w:rsidRPr="00FE636C">
        <w:rPr>
          <w:rFonts w:asciiTheme="majorBidi" w:hAnsiTheme="majorBidi" w:cstheme="majorBidi"/>
          <w:sz w:val="18"/>
          <w:szCs w:val="18"/>
        </w:rPr>
        <w:t xml:space="preserve"> R, Chao J, Robinson AM. </w:t>
      </w:r>
      <w:proofErr w:type="gramStart"/>
      <w:r w:rsidRPr="00FE636C">
        <w:rPr>
          <w:rFonts w:asciiTheme="majorBidi" w:hAnsiTheme="majorBidi" w:cstheme="majorBidi"/>
          <w:sz w:val="18"/>
          <w:szCs w:val="18"/>
        </w:rPr>
        <w:t xml:space="preserve">A practical, evidence-based guide to the use of </w:t>
      </w:r>
      <w:proofErr w:type="spellStart"/>
      <w:r w:rsidRPr="00FE636C">
        <w:rPr>
          <w:rFonts w:asciiTheme="majorBidi" w:hAnsiTheme="majorBidi" w:cstheme="majorBidi"/>
          <w:sz w:val="18"/>
          <w:szCs w:val="18"/>
        </w:rPr>
        <w:t>adalimumab</w:t>
      </w:r>
      <w:proofErr w:type="spellEnd"/>
      <w:r w:rsidRPr="00FE636C">
        <w:rPr>
          <w:rFonts w:asciiTheme="majorBidi" w:hAnsiTheme="majorBidi" w:cstheme="majorBidi"/>
          <w:sz w:val="18"/>
          <w:szCs w:val="18"/>
        </w:rPr>
        <w:t xml:space="preserve"> in </w:t>
      </w:r>
      <w:proofErr w:type="spellStart"/>
      <w:r w:rsidRPr="00FE636C">
        <w:rPr>
          <w:rFonts w:asciiTheme="majorBidi" w:hAnsiTheme="majorBidi" w:cstheme="majorBidi"/>
          <w:sz w:val="18"/>
          <w:szCs w:val="18"/>
        </w:rPr>
        <w:t>Crohn's</w:t>
      </w:r>
      <w:proofErr w:type="spellEnd"/>
      <w:r w:rsidRPr="00FE636C">
        <w:rPr>
          <w:rFonts w:asciiTheme="majorBidi" w:hAnsiTheme="majorBidi" w:cstheme="majorBidi"/>
          <w:sz w:val="18"/>
          <w:szCs w:val="18"/>
        </w:rPr>
        <w:t xml:space="preserve"> </w:t>
      </w:r>
      <w:proofErr w:type="spellStart"/>
      <w:r w:rsidRPr="00FE636C">
        <w:rPr>
          <w:rFonts w:asciiTheme="majorBidi" w:hAnsiTheme="majorBidi" w:cstheme="majorBidi"/>
          <w:sz w:val="18"/>
          <w:szCs w:val="18"/>
        </w:rPr>
        <w:t>disease.</w:t>
      </w:r>
      <w:r w:rsidRPr="00FE636C">
        <w:rPr>
          <w:rFonts w:asciiTheme="majorBidi" w:hAnsiTheme="majorBidi" w:cstheme="majorBidi"/>
          <w:i/>
          <w:iCs/>
          <w:sz w:val="18"/>
          <w:szCs w:val="18"/>
        </w:rPr>
        <w:t>Curr</w:t>
      </w:r>
      <w:proofErr w:type="spellEnd"/>
      <w:r w:rsidRPr="00FE636C">
        <w:rPr>
          <w:rFonts w:asciiTheme="majorBidi" w:hAnsiTheme="majorBidi" w:cstheme="majorBidi"/>
          <w:i/>
          <w:iCs/>
          <w:sz w:val="18"/>
          <w:szCs w:val="18"/>
        </w:rPr>
        <w:t xml:space="preserve"> Med Res </w:t>
      </w:r>
      <w:proofErr w:type="spellStart"/>
      <w:r w:rsidRPr="00FE636C">
        <w:rPr>
          <w:rFonts w:asciiTheme="majorBidi" w:hAnsiTheme="majorBidi" w:cstheme="majorBidi"/>
          <w:i/>
          <w:iCs/>
          <w:sz w:val="18"/>
          <w:szCs w:val="18"/>
        </w:rPr>
        <w:t>Opin</w:t>
      </w:r>
      <w:proofErr w:type="spellEnd"/>
      <w:r w:rsidRPr="00FE636C">
        <w:rPr>
          <w:rFonts w:asciiTheme="majorBidi" w:hAnsiTheme="majorBidi" w:cstheme="majorBidi"/>
          <w:sz w:val="18"/>
          <w:szCs w:val="18"/>
        </w:rPr>
        <w:t>.</w:t>
      </w:r>
      <w:proofErr w:type="gramEnd"/>
      <w:r w:rsidRPr="00FE636C">
        <w:rPr>
          <w:rFonts w:asciiTheme="majorBidi" w:hAnsiTheme="majorBidi" w:cstheme="majorBidi"/>
          <w:sz w:val="18"/>
          <w:szCs w:val="18"/>
        </w:rPr>
        <w:t xml:space="preserve"> Sep 2011</w:t>
      </w:r>
      <w:proofErr w:type="gramStart"/>
      <w:r w:rsidRPr="00FE636C">
        <w:rPr>
          <w:rFonts w:asciiTheme="majorBidi" w:hAnsiTheme="majorBidi" w:cstheme="majorBidi"/>
          <w:sz w:val="18"/>
          <w:szCs w:val="18"/>
        </w:rPr>
        <w:t>;27</w:t>
      </w:r>
      <w:proofErr w:type="gramEnd"/>
      <w:r w:rsidRPr="00FE636C">
        <w:rPr>
          <w:rFonts w:asciiTheme="majorBidi" w:hAnsiTheme="majorBidi" w:cstheme="majorBidi"/>
          <w:sz w:val="18"/>
          <w:szCs w:val="18"/>
        </w:rPr>
        <w:t xml:space="preserve">(9):1803-13.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17: Khan KJ, </w:t>
      </w:r>
      <w:proofErr w:type="spellStart"/>
      <w:r w:rsidRPr="00FE636C">
        <w:rPr>
          <w:rFonts w:asciiTheme="majorBidi" w:hAnsiTheme="majorBidi" w:cstheme="majorBidi"/>
          <w:sz w:val="18"/>
          <w:szCs w:val="18"/>
        </w:rPr>
        <w:t>Ullman</w:t>
      </w:r>
      <w:proofErr w:type="spellEnd"/>
      <w:r w:rsidRPr="00FE636C">
        <w:rPr>
          <w:rFonts w:asciiTheme="majorBidi" w:hAnsiTheme="majorBidi" w:cstheme="majorBidi"/>
          <w:sz w:val="18"/>
          <w:szCs w:val="18"/>
        </w:rPr>
        <w:t xml:space="preserve"> TA, Ford AC, et al. Antibiotic therapy in inflammatory bowel disease: a systematic review and meta-analysis. </w:t>
      </w:r>
      <w:proofErr w:type="gramStart"/>
      <w:r w:rsidRPr="00FE636C">
        <w:rPr>
          <w:rFonts w:asciiTheme="majorBidi" w:hAnsiTheme="majorBidi" w:cstheme="majorBidi"/>
          <w:i/>
          <w:iCs/>
          <w:sz w:val="18"/>
          <w:szCs w:val="18"/>
        </w:rPr>
        <w:t xml:space="preserve">Am J </w:t>
      </w:r>
      <w:proofErr w:type="spellStart"/>
      <w:r w:rsidRPr="00FE636C">
        <w:rPr>
          <w:rFonts w:asciiTheme="majorBidi" w:hAnsiTheme="majorBidi" w:cstheme="majorBidi"/>
          <w:i/>
          <w:iCs/>
          <w:sz w:val="18"/>
          <w:szCs w:val="18"/>
        </w:rPr>
        <w:t>Gastroenterol</w:t>
      </w:r>
      <w:proofErr w:type="spellEnd"/>
      <w:r w:rsidRPr="00FE636C">
        <w:rPr>
          <w:rFonts w:asciiTheme="majorBidi" w:hAnsiTheme="majorBidi" w:cstheme="majorBidi"/>
          <w:sz w:val="18"/>
          <w:szCs w:val="18"/>
        </w:rPr>
        <w:t>.</w:t>
      </w:r>
      <w:proofErr w:type="gramEnd"/>
      <w:r w:rsidRPr="00FE636C">
        <w:rPr>
          <w:rFonts w:asciiTheme="majorBidi" w:hAnsiTheme="majorBidi" w:cstheme="majorBidi"/>
          <w:sz w:val="18"/>
          <w:szCs w:val="18"/>
        </w:rPr>
        <w:t xml:space="preserve"> Apr 2011</w:t>
      </w:r>
      <w:proofErr w:type="gramStart"/>
      <w:r w:rsidRPr="00FE636C">
        <w:rPr>
          <w:rFonts w:asciiTheme="majorBidi" w:hAnsiTheme="majorBidi" w:cstheme="majorBidi"/>
          <w:sz w:val="18"/>
          <w:szCs w:val="18"/>
        </w:rPr>
        <w:t>;106</w:t>
      </w:r>
      <w:proofErr w:type="gramEnd"/>
      <w:r w:rsidRPr="00FE636C">
        <w:rPr>
          <w:rFonts w:asciiTheme="majorBidi" w:hAnsiTheme="majorBidi" w:cstheme="majorBidi"/>
          <w:sz w:val="18"/>
          <w:szCs w:val="18"/>
        </w:rPr>
        <w:t xml:space="preserve">(4):661-73.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lastRenderedPageBreak/>
        <w:t xml:space="preserve">18: </w:t>
      </w:r>
      <w:proofErr w:type="spellStart"/>
      <w:r w:rsidRPr="00FE636C">
        <w:rPr>
          <w:rFonts w:asciiTheme="majorBidi" w:hAnsiTheme="majorBidi" w:cstheme="majorBidi"/>
          <w:sz w:val="18"/>
          <w:szCs w:val="18"/>
        </w:rPr>
        <w:t>Sohrabpour</w:t>
      </w:r>
      <w:proofErr w:type="spellEnd"/>
      <w:r w:rsidRPr="00FE636C">
        <w:rPr>
          <w:rFonts w:asciiTheme="majorBidi" w:hAnsiTheme="majorBidi" w:cstheme="majorBidi"/>
          <w:sz w:val="18"/>
          <w:szCs w:val="18"/>
        </w:rPr>
        <w:t xml:space="preserve"> AA, </w:t>
      </w:r>
      <w:proofErr w:type="spellStart"/>
      <w:r w:rsidRPr="00FE636C">
        <w:rPr>
          <w:rFonts w:asciiTheme="majorBidi" w:hAnsiTheme="majorBidi" w:cstheme="majorBidi"/>
          <w:sz w:val="18"/>
          <w:szCs w:val="18"/>
        </w:rPr>
        <w:t>Malekzadeh</w:t>
      </w:r>
      <w:proofErr w:type="spellEnd"/>
      <w:r w:rsidRPr="00FE636C">
        <w:rPr>
          <w:rFonts w:asciiTheme="majorBidi" w:hAnsiTheme="majorBidi" w:cstheme="majorBidi"/>
          <w:sz w:val="18"/>
          <w:szCs w:val="18"/>
        </w:rPr>
        <w:t xml:space="preserve"> R, </w:t>
      </w:r>
      <w:proofErr w:type="spellStart"/>
      <w:r w:rsidRPr="00FE636C">
        <w:rPr>
          <w:rFonts w:asciiTheme="majorBidi" w:hAnsiTheme="majorBidi" w:cstheme="majorBidi"/>
          <w:sz w:val="18"/>
          <w:szCs w:val="18"/>
        </w:rPr>
        <w:t>KeshavarzianA.Current</w:t>
      </w:r>
      <w:proofErr w:type="spellEnd"/>
      <w:r w:rsidRPr="00FE636C">
        <w:rPr>
          <w:rFonts w:asciiTheme="majorBidi" w:hAnsiTheme="majorBidi" w:cstheme="majorBidi"/>
          <w:sz w:val="18"/>
          <w:szCs w:val="18"/>
        </w:rPr>
        <w:t xml:space="preserve"> therapeutic approaches in inflammatory bowel disease. </w:t>
      </w:r>
      <w:proofErr w:type="spellStart"/>
      <w:r w:rsidRPr="00FE636C">
        <w:rPr>
          <w:rFonts w:asciiTheme="majorBidi" w:hAnsiTheme="majorBidi" w:cstheme="majorBidi"/>
          <w:sz w:val="18"/>
          <w:szCs w:val="18"/>
        </w:rPr>
        <w:t>Curr</w:t>
      </w:r>
      <w:proofErr w:type="spellEnd"/>
      <w:r w:rsidRPr="00FE636C">
        <w:rPr>
          <w:rFonts w:asciiTheme="majorBidi" w:hAnsiTheme="majorBidi" w:cstheme="majorBidi"/>
          <w:sz w:val="18"/>
          <w:szCs w:val="18"/>
        </w:rPr>
        <w:t xml:space="preserve"> </w:t>
      </w:r>
      <w:proofErr w:type="spellStart"/>
      <w:r w:rsidRPr="00FE636C">
        <w:rPr>
          <w:rFonts w:asciiTheme="majorBidi" w:hAnsiTheme="majorBidi" w:cstheme="majorBidi"/>
          <w:sz w:val="18"/>
          <w:szCs w:val="18"/>
        </w:rPr>
        <w:t>Pharm</w:t>
      </w:r>
      <w:proofErr w:type="spellEnd"/>
      <w:r w:rsidRPr="00FE636C">
        <w:rPr>
          <w:rFonts w:asciiTheme="majorBidi" w:hAnsiTheme="majorBidi" w:cstheme="majorBidi"/>
          <w:sz w:val="18"/>
          <w:szCs w:val="18"/>
        </w:rPr>
        <w:t xml:space="preserve"> Des. 2010</w:t>
      </w:r>
      <w:proofErr w:type="gramStart"/>
      <w:r w:rsidRPr="00FE636C">
        <w:rPr>
          <w:rFonts w:asciiTheme="majorBidi" w:hAnsiTheme="majorBidi" w:cstheme="majorBidi"/>
          <w:sz w:val="18"/>
          <w:szCs w:val="18"/>
        </w:rPr>
        <w:t>;16</w:t>
      </w:r>
      <w:proofErr w:type="gramEnd"/>
      <w:r w:rsidRPr="00FE636C">
        <w:rPr>
          <w:rFonts w:asciiTheme="majorBidi" w:hAnsiTheme="majorBidi" w:cstheme="majorBidi"/>
          <w:sz w:val="18"/>
          <w:szCs w:val="18"/>
        </w:rPr>
        <w:t xml:space="preserve">(33):3668-83.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19:</w:t>
      </w:r>
      <w:r w:rsidR="00FE636C">
        <w:rPr>
          <w:rFonts w:asciiTheme="majorBidi" w:hAnsiTheme="majorBidi" w:cstheme="majorBidi" w:hint="eastAsia"/>
          <w:sz w:val="18"/>
          <w:szCs w:val="18"/>
          <w:lang w:eastAsia="zh-CN"/>
        </w:rPr>
        <w:t xml:space="preserve"> </w:t>
      </w:r>
      <w:r w:rsidRPr="00FE636C">
        <w:rPr>
          <w:rFonts w:asciiTheme="majorBidi" w:hAnsiTheme="majorBidi" w:cstheme="majorBidi"/>
          <w:sz w:val="18"/>
          <w:szCs w:val="18"/>
        </w:rPr>
        <w:t xml:space="preserve">Truelove SC, </w:t>
      </w:r>
      <w:proofErr w:type="spellStart"/>
      <w:r w:rsidRPr="00FE636C">
        <w:rPr>
          <w:rFonts w:asciiTheme="majorBidi" w:hAnsiTheme="majorBidi" w:cstheme="majorBidi"/>
          <w:sz w:val="18"/>
          <w:szCs w:val="18"/>
        </w:rPr>
        <w:t>Witts</w:t>
      </w:r>
      <w:proofErr w:type="spellEnd"/>
      <w:r w:rsidRPr="00FE636C">
        <w:rPr>
          <w:rFonts w:asciiTheme="majorBidi" w:hAnsiTheme="majorBidi" w:cstheme="majorBidi"/>
          <w:sz w:val="18"/>
          <w:szCs w:val="18"/>
        </w:rPr>
        <w:t xml:space="preserve"> LJ: Cortisone in ulcerative colitis: final report on a therapeutic trial. BMJ, 1955</w:t>
      </w:r>
      <w:proofErr w:type="gramStart"/>
      <w:r w:rsidRPr="00FE636C">
        <w:rPr>
          <w:rFonts w:asciiTheme="majorBidi" w:hAnsiTheme="majorBidi" w:cstheme="majorBidi"/>
          <w:sz w:val="18"/>
          <w:szCs w:val="18"/>
        </w:rPr>
        <w:t>;2:1041</w:t>
      </w:r>
      <w:proofErr w:type="gramEnd"/>
      <w:r w:rsidRPr="00FE636C">
        <w:rPr>
          <w:rFonts w:asciiTheme="majorBidi" w:hAnsiTheme="majorBidi" w:cstheme="majorBidi"/>
          <w:sz w:val="18"/>
          <w:szCs w:val="18"/>
        </w:rPr>
        <w:t xml:space="preserve">-1048.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20: </w:t>
      </w:r>
      <w:proofErr w:type="spellStart"/>
      <w:r w:rsidRPr="00FE636C">
        <w:rPr>
          <w:rFonts w:asciiTheme="majorBidi" w:hAnsiTheme="majorBidi" w:cstheme="majorBidi"/>
          <w:sz w:val="18"/>
          <w:szCs w:val="18"/>
        </w:rPr>
        <w:t>Ardizzone</w:t>
      </w:r>
      <w:proofErr w:type="spellEnd"/>
      <w:r w:rsidRPr="00FE636C">
        <w:rPr>
          <w:rFonts w:asciiTheme="majorBidi" w:hAnsiTheme="majorBidi" w:cstheme="majorBidi"/>
          <w:sz w:val="18"/>
          <w:szCs w:val="18"/>
        </w:rPr>
        <w:t xml:space="preserve"> S, </w:t>
      </w:r>
      <w:proofErr w:type="spellStart"/>
      <w:r w:rsidRPr="00FE636C">
        <w:rPr>
          <w:rFonts w:asciiTheme="majorBidi" w:hAnsiTheme="majorBidi" w:cstheme="majorBidi"/>
          <w:sz w:val="18"/>
          <w:szCs w:val="18"/>
        </w:rPr>
        <w:t>Cassinotti</w:t>
      </w:r>
      <w:proofErr w:type="spellEnd"/>
      <w:r w:rsidRPr="00FE636C">
        <w:rPr>
          <w:rFonts w:asciiTheme="majorBidi" w:hAnsiTheme="majorBidi" w:cstheme="majorBidi"/>
          <w:sz w:val="18"/>
          <w:szCs w:val="18"/>
        </w:rPr>
        <w:t xml:space="preserve"> A, </w:t>
      </w:r>
      <w:proofErr w:type="spellStart"/>
      <w:r w:rsidRPr="00FE636C">
        <w:rPr>
          <w:rFonts w:asciiTheme="majorBidi" w:hAnsiTheme="majorBidi" w:cstheme="majorBidi"/>
          <w:sz w:val="18"/>
          <w:szCs w:val="18"/>
        </w:rPr>
        <w:t>Duca</w:t>
      </w:r>
      <w:proofErr w:type="spellEnd"/>
      <w:r w:rsidRPr="00FE636C">
        <w:rPr>
          <w:rFonts w:asciiTheme="majorBidi" w:hAnsiTheme="majorBidi" w:cstheme="majorBidi"/>
          <w:sz w:val="18"/>
          <w:szCs w:val="18"/>
        </w:rPr>
        <w:t xml:space="preserve"> P, et al. Mucosal healing predicts late outcomes after the first course of corticosteroids for newly diagnosed ulcerative colitis. </w:t>
      </w:r>
      <w:proofErr w:type="spellStart"/>
      <w:r w:rsidRPr="00FE636C">
        <w:rPr>
          <w:rFonts w:asciiTheme="majorBidi" w:hAnsiTheme="majorBidi" w:cstheme="majorBidi"/>
          <w:i/>
          <w:iCs/>
          <w:sz w:val="18"/>
          <w:szCs w:val="18"/>
        </w:rPr>
        <w:t>Clin</w:t>
      </w:r>
      <w:proofErr w:type="spellEnd"/>
      <w:r w:rsidR="00FE636C">
        <w:rPr>
          <w:rFonts w:asciiTheme="majorBidi" w:hAnsiTheme="majorBidi" w:cstheme="majorBidi" w:hint="eastAsia"/>
          <w:i/>
          <w:iCs/>
          <w:sz w:val="18"/>
          <w:szCs w:val="18"/>
          <w:lang w:eastAsia="zh-CN"/>
        </w:rPr>
        <w:t xml:space="preserve"> </w:t>
      </w:r>
      <w:proofErr w:type="spellStart"/>
      <w:r w:rsidRPr="00FE636C">
        <w:rPr>
          <w:rFonts w:asciiTheme="majorBidi" w:hAnsiTheme="majorBidi" w:cstheme="majorBidi"/>
          <w:i/>
          <w:iCs/>
          <w:sz w:val="18"/>
          <w:szCs w:val="18"/>
        </w:rPr>
        <w:t>Gastroenterol</w:t>
      </w:r>
      <w:proofErr w:type="spellEnd"/>
      <w:r w:rsidR="00FE636C">
        <w:rPr>
          <w:rFonts w:asciiTheme="majorBidi" w:hAnsiTheme="majorBidi" w:cstheme="majorBidi" w:hint="eastAsia"/>
          <w:i/>
          <w:iCs/>
          <w:sz w:val="18"/>
          <w:szCs w:val="18"/>
          <w:lang w:eastAsia="zh-CN"/>
        </w:rPr>
        <w:t xml:space="preserve"> </w:t>
      </w:r>
      <w:proofErr w:type="spellStart"/>
      <w:r w:rsidRPr="00FE636C">
        <w:rPr>
          <w:rFonts w:asciiTheme="majorBidi" w:hAnsiTheme="majorBidi" w:cstheme="majorBidi"/>
          <w:i/>
          <w:iCs/>
          <w:sz w:val="18"/>
          <w:szCs w:val="18"/>
        </w:rPr>
        <w:t>Hepatol</w:t>
      </w:r>
      <w:proofErr w:type="spellEnd"/>
      <w:r w:rsidRPr="00FE636C">
        <w:rPr>
          <w:rFonts w:asciiTheme="majorBidi" w:hAnsiTheme="majorBidi" w:cstheme="majorBidi"/>
          <w:sz w:val="18"/>
          <w:szCs w:val="18"/>
        </w:rPr>
        <w:t>. Jun 2011</w:t>
      </w:r>
      <w:proofErr w:type="gramStart"/>
      <w:r w:rsidRPr="00FE636C">
        <w:rPr>
          <w:rFonts w:asciiTheme="majorBidi" w:hAnsiTheme="majorBidi" w:cstheme="majorBidi"/>
          <w:sz w:val="18"/>
          <w:szCs w:val="18"/>
        </w:rPr>
        <w:t>;9</w:t>
      </w:r>
      <w:proofErr w:type="gramEnd"/>
      <w:r w:rsidRPr="00FE636C">
        <w:rPr>
          <w:rFonts w:asciiTheme="majorBidi" w:hAnsiTheme="majorBidi" w:cstheme="majorBidi"/>
          <w:sz w:val="18"/>
          <w:szCs w:val="18"/>
        </w:rPr>
        <w:t xml:space="preserve">(6):483-489.e3.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21:</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Hanauer</w:t>
      </w:r>
      <w:proofErr w:type="spellEnd"/>
      <w:r w:rsidRPr="00FE636C">
        <w:rPr>
          <w:rFonts w:asciiTheme="majorBidi" w:hAnsiTheme="majorBidi" w:cstheme="majorBidi"/>
          <w:sz w:val="18"/>
          <w:szCs w:val="18"/>
        </w:rPr>
        <w:t xml:space="preserve"> S, </w:t>
      </w:r>
      <w:proofErr w:type="spellStart"/>
      <w:r w:rsidRPr="00FE636C">
        <w:rPr>
          <w:rFonts w:asciiTheme="majorBidi" w:hAnsiTheme="majorBidi" w:cstheme="majorBidi"/>
          <w:sz w:val="18"/>
          <w:szCs w:val="18"/>
        </w:rPr>
        <w:t>Feagan</w:t>
      </w:r>
      <w:proofErr w:type="spellEnd"/>
      <w:r w:rsidRPr="00FE636C">
        <w:rPr>
          <w:rFonts w:asciiTheme="majorBidi" w:hAnsiTheme="majorBidi" w:cstheme="majorBidi"/>
          <w:sz w:val="18"/>
          <w:szCs w:val="18"/>
        </w:rPr>
        <w:t xml:space="preserve"> B, Lichtenstein G, Mayer L, Schreiber S, </w:t>
      </w:r>
      <w:proofErr w:type="spellStart"/>
      <w:r w:rsidRPr="00FE636C">
        <w:rPr>
          <w:rFonts w:asciiTheme="majorBidi" w:hAnsiTheme="majorBidi" w:cstheme="majorBidi"/>
          <w:sz w:val="18"/>
          <w:szCs w:val="18"/>
        </w:rPr>
        <w:t>Colombel</w:t>
      </w:r>
      <w:proofErr w:type="spellEnd"/>
      <w:r w:rsidRPr="00FE636C">
        <w:rPr>
          <w:rFonts w:asciiTheme="majorBidi" w:hAnsiTheme="majorBidi" w:cstheme="majorBidi"/>
          <w:sz w:val="18"/>
          <w:szCs w:val="18"/>
        </w:rPr>
        <w:t xml:space="preserve"> J, </w:t>
      </w:r>
      <w:proofErr w:type="spellStart"/>
      <w:r w:rsidRPr="00FE636C">
        <w:rPr>
          <w:rFonts w:asciiTheme="majorBidi" w:hAnsiTheme="majorBidi" w:cstheme="majorBidi"/>
          <w:sz w:val="18"/>
          <w:szCs w:val="18"/>
        </w:rPr>
        <w:t>Rachmilewitz</w:t>
      </w:r>
      <w:proofErr w:type="spellEnd"/>
      <w:r w:rsidRPr="00FE636C">
        <w:rPr>
          <w:rFonts w:asciiTheme="majorBidi" w:hAnsiTheme="majorBidi" w:cstheme="majorBidi"/>
          <w:sz w:val="18"/>
          <w:szCs w:val="18"/>
        </w:rPr>
        <w:t xml:space="preserve"> D, Wolf D, Olson A, </w:t>
      </w:r>
      <w:proofErr w:type="spellStart"/>
      <w:r w:rsidRPr="00FE636C">
        <w:rPr>
          <w:rFonts w:asciiTheme="majorBidi" w:hAnsiTheme="majorBidi" w:cstheme="majorBidi"/>
          <w:sz w:val="18"/>
          <w:szCs w:val="18"/>
        </w:rPr>
        <w:t>Bao</w:t>
      </w:r>
      <w:proofErr w:type="spellEnd"/>
      <w:r w:rsidRPr="00FE636C">
        <w:rPr>
          <w:rFonts w:asciiTheme="majorBidi" w:hAnsiTheme="majorBidi" w:cstheme="majorBidi"/>
          <w:sz w:val="18"/>
          <w:szCs w:val="18"/>
        </w:rPr>
        <w:t xml:space="preserve"> W, </w:t>
      </w:r>
      <w:proofErr w:type="spellStart"/>
      <w:r w:rsidRPr="00FE636C">
        <w:rPr>
          <w:rFonts w:asciiTheme="majorBidi" w:hAnsiTheme="majorBidi" w:cstheme="majorBidi"/>
          <w:sz w:val="18"/>
          <w:szCs w:val="18"/>
        </w:rPr>
        <w:t>Rutgeerts</w:t>
      </w:r>
      <w:proofErr w:type="spellEnd"/>
      <w:r w:rsidRPr="00FE636C">
        <w:rPr>
          <w:rFonts w:asciiTheme="majorBidi" w:hAnsiTheme="majorBidi" w:cstheme="majorBidi"/>
          <w:sz w:val="18"/>
          <w:szCs w:val="18"/>
        </w:rPr>
        <w:t xml:space="preserve"> P (2002). "Maintenance </w:t>
      </w:r>
      <w:proofErr w:type="spellStart"/>
      <w:r w:rsidRPr="00FE636C">
        <w:rPr>
          <w:rFonts w:asciiTheme="majorBidi" w:hAnsiTheme="majorBidi" w:cstheme="majorBidi"/>
          <w:sz w:val="18"/>
          <w:szCs w:val="18"/>
        </w:rPr>
        <w:t>infliximab</w:t>
      </w:r>
      <w:proofErr w:type="spellEnd"/>
      <w:r w:rsidRPr="00FE636C">
        <w:rPr>
          <w:rFonts w:asciiTheme="majorBidi" w:hAnsiTheme="majorBidi" w:cstheme="majorBidi"/>
          <w:sz w:val="18"/>
          <w:szCs w:val="18"/>
        </w:rPr>
        <w:t xml:space="preserve"> for </w:t>
      </w:r>
      <w:proofErr w:type="spellStart"/>
      <w:r w:rsidRPr="00FE636C">
        <w:rPr>
          <w:rFonts w:asciiTheme="majorBidi" w:hAnsiTheme="majorBidi" w:cstheme="majorBidi"/>
          <w:sz w:val="18"/>
          <w:szCs w:val="18"/>
        </w:rPr>
        <w:t>Crohn's</w:t>
      </w:r>
      <w:proofErr w:type="spellEnd"/>
      <w:r w:rsidRPr="00FE636C">
        <w:rPr>
          <w:rFonts w:asciiTheme="majorBidi" w:hAnsiTheme="majorBidi" w:cstheme="majorBidi"/>
          <w:sz w:val="18"/>
          <w:szCs w:val="18"/>
        </w:rPr>
        <w:t xml:space="preserve"> disease: the ACCENT I </w:t>
      </w:r>
      <w:proofErr w:type="spellStart"/>
      <w:r w:rsidRPr="00FE636C">
        <w:rPr>
          <w:rFonts w:asciiTheme="majorBidi" w:hAnsiTheme="majorBidi" w:cstheme="majorBidi"/>
          <w:sz w:val="18"/>
          <w:szCs w:val="18"/>
        </w:rPr>
        <w:t>randomised</w:t>
      </w:r>
      <w:proofErr w:type="spellEnd"/>
      <w:r w:rsidRPr="00FE636C">
        <w:rPr>
          <w:rFonts w:asciiTheme="majorBidi" w:hAnsiTheme="majorBidi" w:cstheme="majorBidi"/>
          <w:sz w:val="18"/>
          <w:szCs w:val="18"/>
        </w:rPr>
        <w:t xml:space="preserve"> trial."</w:t>
      </w:r>
      <w:r w:rsidR="00FE636C">
        <w:rPr>
          <w:rFonts w:asciiTheme="majorBidi" w:hAnsiTheme="majorBidi" w:cstheme="majorBidi" w:hint="eastAsia"/>
          <w:sz w:val="18"/>
          <w:szCs w:val="18"/>
          <w:lang w:eastAsia="zh-CN"/>
        </w:rPr>
        <w:t xml:space="preserve"> </w:t>
      </w:r>
      <w:r w:rsidRPr="00FE636C">
        <w:rPr>
          <w:rFonts w:asciiTheme="majorBidi" w:hAnsiTheme="majorBidi" w:cstheme="majorBidi"/>
          <w:i/>
          <w:iCs/>
          <w:sz w:val="18"/>
          <w:szCs w:val="18"/>
        </w:rPr>
        <w:t xml:space="preserve">Lancet </w:t>
      </w:r>
      <w:r w:rsidRPr="00FE636C">
        <w:rPr>
          <w:rFonts w:asciiTheme="majorBidi" w:hAnsiTheme="majorBidi" w:cstheme="majorBidi"/>
          <w:sz w:val="18"/>
          <w:szCs w:val="18"/>
        </w:rPr>
        <w:t xml:space="preserve">359 (9317): 1541–9.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22:</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Hanauer</w:t>
      </w:r>
      <w:proofErr w:type="spellEnd"/>
      <w:r w:rsidRPr="00FE636C">
        <w:rPr>
          <w:rFonts w:asciiTheme="majorBidi" w:hAnsiTheme="majorBidi" w:cstheme="majorBidi"/>
          <w:sz w:val="18"/>
          <w:szCs w:val="18"/>
        </w:rPr>
        <w:t xml:space="preserve"> SB. </w:t>
      </w:r>
      <w:proofErr w:type="spellStart"/>
      <w:r w:rsidRPr="00FE636C">
        <w:rPr>
          <w:rFonts w:asciiTheme="majorBidi" w:hAnsiTheme="majorBidi" w:cstheme="majorBidi"/>
          <w:sz w:val="18"/>
          <w:szCs w:val="18"/>
        </w:rPr>
        <w:t>Crohn's</w:t>
      </w:r>
      <w:proofErr w:type="spellEnd"/>
      <w:r w:rsidRPr="00FE636C">
        <w:rPr>
          <w:rFonts w:asciiTheme="majorBidi" w:hAnsiTheme="majorBidi" w:cstheme="majorBidi"/>
          <w:sz w:val="18"/>
          <w:szCs w:val="18"/>
        </w:rPr>
        <w:t xml:space="preserve"> disease: step up or top down therapy. </w:t>
      </w:r>
      <w:r w:rsidRPr="00FE636C">
        <w:rPr>
          <w:rFonts w:asciiTheme="majorBidi" w:hAnsiTheme="majorBidi" w:cstheme="majorBidi"/>
          <w:i/>
          <w:iCs/>
          <w:sz w:val="18"/>
          <w:szCs w:val="18"/>
        </w:rPr>
        <w:t xml:space="preserve">Best </w:t>
      </w:r>
      <w:proofErr w:type="spellStart"/>
      <w:r w:rsidRPr="00FE636C">
        <w:rPr>
          <w:rFonts w:asciiTheme="majorBidi" w:hAnsiTheme="majorBidi" w:cstheme="majorBidi"/>
          <w:i/>
          <w:iCs/>
          <w:sz w:val="18"/>
          <w:szCs w:val="18"/>
        </w:rPr>
        <w:t>Pract</w:t>
      </w:r>
      <w:proofErr w:type="spellEnd"/>
      <w:r w:rsidRPr="00FE636C">
        <w:rPr>
          <w:rFonts w:asciiTheme="majorBidi" w:hAnsiTheme="majorBidi" w:cstheme="majorBidi"/>
          <w:i/>
          <w:iCs/>
          <w:sz w:val="18"/>
          <w:szCs w:val="18"/>
        </w:rPr>
        <w:t xml:space="preserve"> Res </w:t>
      </w:r>
      <w:proofErr w:type="spellStart"/>
      <w:r w:rsidRPr="00FE636C">
        <w:rPr>
          <w:rFonts w:asciiTheme="majorBidi" w:hAnsiTheme="majorBidi" w:cstheme="majorBidi"/>
          <w:i/>
          <w:iCs/>
          <w:sz w:val="18"/>
          <w:szCs w:val="18"/>
        </w:rPr>
        <w:t>ClinGastroenterol</w:t>
      </w:r>
      <w:proofErr w:type="spellEnd"/>
      <w:r w:rsidRPr="00FE636C">
        <w:rPr>
          <w:rFonts w:asciiTheme="majorBidi" w:hAnsiTheme="majorBidi" w:cstheme="majorBidi"/>
          <w:sz w:val="18"/>
          <w:szCs w:val="18"/>
        </w:rPr>
        <w:t>. Feb 2003</w:t>
      </w:r>
      <w:proofErr w:type="gramStart"/>
      <w:r w:rsidRPr="00FE636C">
        <w:rPr>
          <w:rFonts w:asciiTheme="majorBidi" w:hAnsiTheme="majorBidi" w:cstheme="majorBidi"/>
          <w:sz w:val="18"/>
          <w:szCs w:val="18"/>
        </w:rPr>
        <w:t>;17</w:t>
      </w:r>
      <w:proofErr w:type="gramEnd"/>
      <w:r w:rsidRPr="00FE636C">
        <w:rPr>
          <w:rFonts w:asciiTheme="majorBidi" w:hAnsiTheme="majorBidi" w:cstheme="majorBidi"/>
          <w:sz w:val="18"/>
          <w:szCs w:val="18"/>
        </w:rPr>
        <w:t xml:space="preserve">(1):131-7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 xml:space="preserve">23: </w:t>
      </w:r>
      <w:r w:rsidRPr="00FE636C">
        <w:rPr>
          <w:rFonts w:asciiTheme="majorBidi" w:hAnsiTheme="majorBidi" w:cstheme="majorBidi"/>
          <w:i/>
          <w:iCs/>
          <w:sz w:val="18"/>
          <w:szCs w:val="18"/>
        </w:rPr>
        <w:t xml:space="preserve">Sutherland LR, Roth D, Beck P, et al. Oral 5-aminosalicylic acid for maintaining remission in ulcerative colitis. Cochrane Database </w:t>
      </w:r>
      <w:proofErr w:type="spellStart"/>
      <w:r w:rsidRPr="00FE636C">
        <w:rPr>
          <w:rFonts w:asciiTheme="majorBidi" w:hAnsiTheme="majorBidi" w:cstheme="majorBidi"/>
          <w:i/>
          <w:iCs/>
          <w:sz w:val="18"/>
          <w:szCs w:val="18"/>
        </w:rPr>
        <w:t>Syst</w:t>
      </w:r>
      <w:proofErr w:type="spellEnd"/>
      <w:r w:rsidRPr="00FE636C">
        <w:rPr>
          <w:rFonts w:asciiTheme="majorBidi" w:hAnsiTheme="majorBidi" w:cstheme="majorBidi"/>
          <w:i/>
          <w:iCs/>
          <w:sz w:val="18"/>
          <w:szCs w:val="18"/>
        </w:rPr>
        <w:t xml:space="preserve"> Rev2002; (4)</w:t>
      </w:r>
      <w:r w:rsidR="00373D9E" w:rsidRPr="00FE636C">
        <w:rPr>
          <w:rFonts w:asciiTheme="majorBidi" w:hAnsiTheme="majorBidi" w:cstheme="majorBidi"/>
          <w:i/>
          <w:iCs/>
          <w:sz w:val="18"/>
          <w:szCs w:val="18"/>
        </w:rPr>
        <w:t>:</w:t>
      </w:r>
      <w:r w:rsidRPr="00FE636C">
        <w:rPr>
          <w:rFonts w:asciiTheme="majorBidi" w:hAnsiTheme="majorBidi" w:cstheme="majorBidi"/>
          <w:i/>
          <w:iCs/>
          <w:sz w:val="18"/>
          <w:szCs w:val="18"/>
        </w:rPr>
        <w:t xml:space="preserve">CD000544.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24:</w:t>
      </w:r>
      <w:r w:rsidR="00FE636C">
        <w:rPr>
          <w:rFonts w:asciiTheme="majorBidi" w:hAnsiTheme="majorBidi" w:cstheme="majorBidi" w:hint="eastAsia"/>
          <w:sz w:val="18"/>
          <w:szCs w:val="18"/>
          <w:lang w:eastAsia="zh-CN"/>
        </w:rPr>
        <w:t xml:space="preserve"> </w:t>
      </w:r>
      <w:r w:rsidRPr="00FE636C">
        <w:rPr>
          <w:rFonts w:asciiTheme="majorBidi" w:hAnsiTheme="majorBidi" w:cstheme="majorBidi"/>
          <w:sz w:val="18"/>
          <w:szCs w:val="18"/>
        </w:rPr>
        <w:t xml:space="preserve">Ford AC, Bernstein CN, Khan KJ, et al. </w:t>
      </w:r>
      <w:proofErr w:type="spellStart"/>
      <w:r w:rsidRPr="00FE636C">
        <w:rPr>
          <w:rFonts w:asciiTheme="majorBidi" w:hAnsiTheme="majorBidi" w:cstheme="majorBidi"/>
          <w:sz w:val="18"/>
          <w:szCs w:val="18"/>
        </w:rPr>
        <w:t>Glucocorticosteroid</w:t>
      </w:r>
      <w:proofErr w:type="spellEnd"/>
      <w:r w:rsidRPr="00FE636C">
        <w:rPr>
          <w:rFonts w:asciiTheme="majorBidi" w:hAnsiTheme="majorBidi" w:cstheme="majorBidi"/>
          <w:sz w:val="18"/>
          <w:szCs w:val="18"/>
        </w:rPr>
        <w:t xml:space="preserve"> therapy in inflammatory bowel disease: systematic review and meta-analysis. </w:t>
      </w:r>
      <w:proofErr w:type="gramStart"/>
      <w:r w:rsidRPr="00FE636C">
        <w:rPr>
          <w:rFonts w:asciiTheme="majorBidi" w:hAnsiTheme="majorBidi" w:cstheme="majorBidi"/>
          <w:i/>
          <w:iCs/>
          <w:sz w:val="18"/>
          <w:szCs w:val="18"/>
        </w:rPr>
        <w:t xml:space="preserve">Am J </w:t>
      </w:r>
      <w:proofErr w:type="spellStart"/>
      <w:r w:rsidRPr="00FE636C">
        <w:rPr>
          <w:rFonts w:asciiTheme="majorBidi" w:hAnsiTheme="majorBidi" w:cstheme="majorBidi"/>
          <w:i/>
          <w:iCs/>
          <w:sz w:val="18"/>
          <w:szCs w:val="18"/>
        </w:rPr>
        <w:t>Gastroenterol</w:t>
      </w:r>
      <w:proofErr w:type="spellEnd"/>
      <w:r w:rsidRPr="00FE636C">
        <w:rPr>
          <w:rFonts w:asciiTheme="majorBidi" w:hAnsiTheme="majorBidi" w:cstheme="majorBidi"/>
          <w:sz w:val="18"/>
          <w:szCs w:val="18"/>
        </w:rPr>
        <w:t>.</w:t>
      </w:r>
      <w:proofErr w:type="gramEnd"/>
      <w:r w:rsidRPr="00FE636C">
        <w:rPr>
          <w:rFonts w:asciiTheme="majorBidi" w:hAnsiTheme="majorBidi" w:cstheme="majorBidi"/>
          <w:sz w:val="18"/>
          <w:szCs w:val="18"/>
        </w:rPr>
        <w:t xml:space="preserve"> Apr 2011</w:t>
      </w:r>
      <w:proofErr w:type="gramStart"/>
      <w:r w:rsidRPr="00FE636C">
        <w:rPr>
          <w:rFonts w:asciiTheme="majorBidi" w:hAnsiTheme="majorBidi" w:cstheme="majorBidi"/>
          <w:sz w:val="18"/>
          <w:szCs w:val="18"/>
        </w:rPr>
        <w:t>;106</w:t>
      </w:r>
      <w:proofErr w:type="gramEnd"/>
      <w:r w:rsidRPr="00FE636C">
        <w:rPr>
          <w:rFonts w:asciiTheme="majorBidi" w:hAnsiTheme="majorBidi" w:cstheme="majorBidi"/>
          <w:sz w:val="18"/>
          <w:szCs w:val="18"/>
        </w:rPr>
        <w:t xml:space="preserve">(4):590-9.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25:</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Kiran</w:t>
      </w:r>
      <w:proofErr w:type="spellEnd"/>
      <w:r w:rsidRPr="00FE636C">
        <w:rPr>
          <w:rFonts w:asciiTheme="majorBidi" w:hAnsiTheme="majorBidi" w:cstheme="majorBidi"/>
          <w:sz w:val="18"/>
          <w:szCs w:val="18"/>
        </w:rPr>
        <w:t xml:space="preserve"> RP, </w:t>
      </w:r>
      <w:proofErr w:type="spellStart"/>
      <w:r w:rsidRPr="00FE636C">
        <w:rPr>
          <w:rFonts w:asciiTheme="majorBidi" w:hAnsiTheme="majorBidi" w:cstheme="majorBidi"/>
          <w:sz w:val="18"/>
          <w:szCs w:val="18"/>
        </w:rPr>
        <w:t>Nisar</w:t>
      </w:r>
      <w:proofErr w:type="spellEnd"/>
      <w:r w:rsidRPr="00FE636C">
        <w:rPr>
          <w:rFonts w:asciiTheme="majorBidi" w:hAnsiTheme="majorBidi" w:cstheme="majorBidi"/>
          <w:sz w:val="18"/>
          <w:szCs w:val="18"/>
        </w:rPr>
        <w:t xml:space="preserve"> PJ, Church JM, Fazio VW. The role of primary surgical procedure in maintaining intestinal continuity for patients with </w:t>
      </w:r>
      <w:proofErr w:type="spellStart"/>
      <w:r w:rsidRPr="00FE636C">
        <w:rPr>
          <w:rFonts w:asciiTheme="majorBidi" w:hAnsiTheme="majorBidi" w:cstheme="majorBidi"/>
          <w:sz w:val="18"/>
          <w:szCs w:val="18"/>
        </w:rPr>
        <w:t>Crohn's</w:t>
      </w:r>
      <w:proofErr w:type="spellEnd"/>
      <w:r w:rsidRPr="00FE636C">
        <w:rPr>
          <w:rFonts w:asciiTheme="majorBidi" w:hAnsiTheme="majorBidi" w:cstheme="majorBidi"/>
          <w:sz w:val="18"/>
          <w:szCs w:val="18"/>
        </w:rPr>
        <w:t xml:space="preserve"> </w:t>
      </w:r>
      <w:proofErr w:type="spellStart"/>
      <w:r w:rsidRPr="00FE636C">
        <w:rPr>
          <w:rFonts w:asciiTheme="majorBidi" w:hAnsiTheme="majorBidi" w:cstheme="majorBidi"/>
          <w:sz w:val="18"/>
          <w:szCs w:val="18"/>
        </w:rPr>
        <w:t>colitis.</w:t>
      </w:r>
      <w:r w:rsidRPr="00FE636C">
        <w:rPr>
          <w:rFonts w:asciiTheme="majorBidi" w:hAnsiTheme="majorBidi" w:cstheme="majorBidi"/>
          <w:i/>
          <w:iCs/>
          <w:sz w:val="18"/>
          <w:szCs w:val="18"/>
        </w:rPr>
        <w:t>Ann</w:t>
      </w:r>
      <w:proofErr w:type="spellEnd"/>
      <w:r w:rsidRPr="00FE636C">
        <w:rPr>
          <w:rFonts w:asciiTheme="majorBidi" w:hAnsiTheme="majorBidi" w:cstheme="majorBidi"/>
          <w:i/>
          <w:iCs/>
          <w:sz w:val="18"/>
          <w:szCs w:val="18"/>
        </w:rPr>
        <w:t xml:space="preserve"> Surg</w:t>
      </w:r>
      <w:r w:rsidRPr="00FE636C">
        <w:rPr>
          <w:rFonts w:asciiTheme="majorBidi" w:hAnsiTheme="majorBidi" w:cstheme="majorBidi"/>
          <w:sz w:val="18"/>
          <w:szCs w:val="18"/>
        </w:rPr>
        <w:t>. Jun 2011</w:t>
      </w:r>
      <w:proofErr w:type="gramStart"/>
      <w:r w:rsidRPr="00FE636C">
        <w:rPr>
          <w:rFonts w:asciiTheme="majorBidi" w:hAnsiTheme="majorBidi" w:cstheme="majorBidi"/>
          <w:sz w:val="18"/>
          <w:szCs w:val="18"/>
        </w:rPr>
        <w:t>;253</w:t>
      </w:r>
      <w:proofErr w:type="gramEnd"/>
      <w:r w:rsidRPr="00FE636C">
        <w:rPr>
          <w:rFonts w:asciiTheme="majorBidi" w:hAnsiTheme="majorBidi" w:cstheme="majorBidi"/>
          <w:sz w:val="18"/>
          <w:szCs w:val="18"/>
        </w:rPr>
        <w:t xml:space="preserve">(6):1130-5.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26:</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Colonoscopic</w:t>
      </w:r>
      <w:proofErr w:type="spellEnd"/>
      <w:r w:rsidRPr="00FE636C">
        <w:rPr>
          <w:rFonts w:asciiTheme="majorBidi" w:hAnsiTheme="majorBidi" w:cstheme="majorBidi"/>
          <w:sz w:val="18"/>
          <w:szCs w:val="18"/>
        </w:rPr>
        <w:t xml:space="preserve"> surveillance for prevention of colorectal cancer in people with ulcerative colitis, </w:t>
      </w:r>
      <w:proofErr w:type="spellStart"/>
      <w:r w:rsidRPr="00FE636C">
        <w:rPr>
          <w:rFonts w:asciiTheme="majorBidi" w:hAnsiTheme="majorBidi" w:cstheme="majorBidi"/>
          <w:sz w:val="18"/>
          <w:szCs w:val="18"/>
        </w:rPr>
        <w:t>Crohn's</w:t>
      </w:r>
      <w:proofErr w:type="spellEnd"/>
      <w:r w:rsidRPr="00FE636C">
        <w:rPr>
          <w:rFonts w:asciiTheme="majorBidi" w:hAnsiTheme="majorBidi" w:cstheme="majorBidi"/>
          <w:sz w:val="18"/>
          <w:szCs w:val="18"/>
        </w:rPr>
        <w:t xml:space="preserve"> disease or adenomas. London, UK: National Institute for Health and Clinical Excellence (NICE); 2011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27:</w:t>
      </w:r>
      <w:r w:rsidR="00FE636C">
        <w:rPr>
          <w:rFonts w:asciiTheme="majorBidi" w:hAnsiTheme="majorBidi" w:cstheme="majorBidi" w:hint="eastAsia"/>
          <w:sz w:val="18"/>
          <w:szCs w:val="18"/>
          <w:lang w:eastAsia="zh-CN"/>
        </w:rPr>
        <w:t xml:space="preserve"> </w:t>
      </w:r>
      <w:r w:rsidRPr="00FE636C">
        <w:rPr>
          <w:rFonts w:asciiTheme="majorBidi" w:hAnsiTheme="majorBidi" w:cstheme="majorBidi"/>
          <w:sz w:val="18"/>
          <w:szCs w:val="18"/>
        </w:rPr>
        <w:t xml:space="preserve">T P van </w:t>
      </w:r>
      <w:proofErr w:type="spellStart"/>
      <w:r w:rsidRPr="00FE636C">
        <w:rPr>
          <w:rFonts w:asciiTheme="majorBidi" w:hAnsiTheme="majorBidi" w:cstheme="majorBidi"/>
          <w:sz w:val="18"/>
          <w:szCs w:val="18"/>
        </w:rPr>
        <w:t>Staa</w:t>
      </w:r>
      <w:proofErr w:type="spellEnd"/>
      <w:r w:rsidRPr="00FE636C">
        <w:rPr>
          <w:rFonts w:asciiTheme="majorBidi" w:hAnsiTheme="majorBidi" w:cstheme="majorBidi"/>
          <w:sz w:val="18"/>
          <w:szCs w:val="18"/>
        </w:rPr>
        <w:t xml:space="preserve">, T Card, R F Logan, and H G M Leufkens.5-Aminosalicylate use and colorectal cancer risk in inflammatory bowel disease: a large epidemiological study. </w:t>
      </w:r>
      <w:proofErr w:type="gramStart"/>
      <w:r w:rsidRPr="00FE636C">
        <w:rPr>
          <w:rFonts w:asciiTheme="majorBidi" w:hAnsiTheme="majorBidi" w:cstheme="majorBidi"/>
          <w:sz w:val="18"/>
          <w:szCs w:val="18"/>
        </w:rPr>
        <w:t>Gut.</w:t>
      </w:r>
      <w:proofErr w:type="gramEnd"/>
      <w:r w:rsidRPr="00FE636C">
        <w:rPr>
          <w:rFonts w:asciiTheme="majorBidi" w:hAnsiTheme="majorBidi" w:cstheme="majorBidi"/>
          <w:sz w:val="18"/>
          <w:szCs w:val="18"/>
        </w:rPr>
        <w:t xml:space="preserve"> 2005 November; 54(11): 1573–1578.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28:</w:t>
      </w:r>
      <w:r w:rsidR="00FE636C">
        <w:rPr>
          <w:rFonts w:asciiTheme="majorBidi" w:hAnsiTheme="majorBidi" w:cstheme="majorBidi" w:hint="eastAsia"/>
          <w:sz w:val="18"/>
          <w:szCs w:val="18"/>
          <w:lang w:eastAsia="zh-CN"/>
        </w:rPr>
        <w:t xml:space="preserve"> </w:t>
      </w:r>
      <w:r w:rsidRPr="00FE636C">
        <w:rPr>
          <w:rFonts w:asciiTheme="majorBidi" w:hAnsiTheme="majorBidi" w:cstheme="majorBidi"/>
          <w:sz w:val="18"/>
          <w:szCs w:val="18"/>
        </w:rPr>
        <w:t>Angel</w:t>
      </w:r>
      <w:r w:rsidR="00373D9E" w:rsidRP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Lanas</w:t>
      </w:r>
      <w:proofErr w:type="spellEnd"/>
      <w:r w:rsidRPr="00FE636C">
        <w:rPr>
          <w:rFonts w:asciiTheme="majorBidi" w:hAnsiTheme="majorBidi" w:cstheme="majorBidi"/>
          <w:sz w:val="18"/>
          <w:szCs w:val="18"/>
        </w:rPr>
        <w:t xml:space="preserve">, Angel </w:t>
      </w:r>
      <w:proofErr w:type="spellStart"/>
      <w:r w:rsidRPr="00FE636C">
        <w:rPr>
          <w:rFonts w:asciiTheme="majorBidi" w:hAnsiTheme="majorBidi" w:cstheme="majorBidi"/>
          <w:sz w:val="18"/>
          <w:szCs w:val="18"/>
        </w:rPr>
        <w:t>Ferrandez</w:t>
      </w:r>
      <w:proofErr w:type="spellEnd"/>
      <w:r w:rsidRPr="00FE636C">
        <w:rPr>
          <w:rFonts w:asciiTheme="majorBidi" w:hAnsiTheme="majorBidi" w:cstheme="majorBidi"/>
          <w:sz w:val="18"/>
          <w:szCs w:val="18"/>
        </w:rPr>
        <w:t xml:space="preserve">. </w:t>
      </w:r>
      <w:proofErr w:type="gramStart"/>
      <w:r w:rsidRPr="00FE636C">
        <w:rPr>
          <w:rFonts w:asciiTheme="majorBidi" w:hAnsiTheme="majorBidi" w:cstheme="majorBidi"/>
          <w:sz w:val="18"/>
          <w:szCs w:val="18"/>
        </w:rPr>
        <w:t xml:space="preserve">NSAIDs and the Colon </w:t>
      </w:r>
      <w:proofErr w:type="spellStart"/>
      <w:r w:rsidRPr="00FE636C">
        <w:rPr>
          <w:rFonts w:asciiTheme="majorBidi" w:hAnsiTheme="majorBidi" w:cstheme="majorBidi"/>
          <w:sz w:val="18"/>
          <w:szCs w:val="18"/>
        </w:rPr>
        <w:t>Curr</w:t>
      </w:r>
      <w:proofErr w:type="spellEnd"/>
      <w:r w:rsidR="00373D9E" w:rsidRP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Opin</w:t>
      </w:r>
      <w:proofErr w:type="spellEnd"/>
      <w:r w:rsidR="00373D9E" w:rsidRP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Gastroenterol</w:t>
      </w:r>
      <w:proofErr w:type="spellEnd"/>
      <w:r w:rsidRPr="00FE636C">
        <w:rPr>
          <w:rFonts w:asciiTheme="majorBidi" w:hAnsiTheme="majorBidi" w:cstheme="majorBidi"/>
          <w:sz w:val="18"/>
          <w:szCs w:val="18"/>
        </w:rPr>
        <w:t>.</w:t>
      </w:r>
      <w:proofErr w:type="gramEnd"/>
      <w:r w:rsidRPr="00FE636C">
        <w:rPr>
          <w:rFonts w:asciiTheme="majorBidi" w:hAnsiTheme="majorBidi" w:cstheme="majorBidi"/>
          <w:sz w:val="18"/>
          <w:szCs w:val="18"/>
        </w:rPr>
        <w:t xml:space="preserve"> 2009</w:t>
      </w:r>
      <w:proofErr w:type="gramStart"/>
      <w:r w:rsidRPr="00FE636C">
        <w:rPr>
          <w:rFonts w:asciiTheme="majorBidi" w:hAnsiTheme="majorBidi" w:cstheme="majorBidi"/>
          <w:sz w:val="18"/>
          <w:szCs w:val="18"/>
        </w:rPr>
        <w:t>;25</w:t>
      </w:r>
      <w:proofErr w:type="gramEnd"/>
      <w:r w:rsidRPr="00FE636C">
        <w:rPr>
          <w:rFonts w:asciiTheme="majorBidi" w:hAnsiTheme="majorBidi" w:cstheme="majorBidi"/>
          <w:sz w:val="18"/>
          <w:szCs w:val="18"/>
        </w:rPr>
        <w:t xml:space="preserve">(1):44-49.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sz w:val="18"/>
          <w:szCs w:val="18"/>
        </w:rPr>
        <w:t>29:</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Zelinkova</w:t>
      </w:r>
      <w:proofErr w:type="spellEnd"/>
      <w:r w:rsidRPr="00FE636C">
        <w:rPr>
          <w:rFonts w:asciiTheme="majorBidi" w:hAnsiTheme="majorBidi" w:cstheme="majorBidi"/>
          <w:sz w:val="18"/>
          <w:szCs w:val="18"/>
        </w:rPr>
        <w:t xml:space="preserve"> Z, de </w:t>
      </w:r>
      <w:proofErr w:type="spellStart"/>
      <w:r w:rsidRPr="00FE636C">
        <w:rPr>
          <w:rFonts w:asciiTheme="majorBidi" w:hAnsiTheme="majorBidi" w:cstheme="majorBidi"/>
          <w:sz w:val="18"/>
          <w:szCs w:val="18"/>
        </w:rPr>
        <w:t>Haar</w:t>
      </w:r>
      <w:proofErr w:type="spellEnd"/>
      <w:r w:rsidRPr="00FE636C">
        <w:rPr>
          <w:rFonts w:asciiTheme="majorBidi" w:hAnsiTheme="majorBidi" w:cstheme="majorBidi"/>
          <w:sz w:val="18"/>
          <w:szCs w:val="18"/>
        </w:rPr>
        <w:t xml:space="preserve"> C, de </w:t>
      </w:r>
      <w:proofErr w:type="spellStart"/>
      <w:r w:rsidRPr="00FE636C">
        <w:rPr>
          <w:rFonts w:asciiTheme="majorBidi" w:hAnsiTheme="majorBidi" w:cstheme="majorBidi"/>
          <w:sz w:val="18"/>
          <w:szCs w:val="18"/>
        </w:rPr>
        <w:t>Ridder</w:t>
      </w:r>
      <w:proofErr w:type="spellEnd"/>
      <w:r w:rsidRPr="00FE636C">
        <w:rPr>
          <w:rFonts w:asciiTheme="majorBidi" w:hAnsiTheme="majorBidi" w:cstheme="majorBidi"/>
          <w:sz w:val="18"/>
          <w:szCs w:val="18"/>
        </w:rPr>
        <w:t xml:space="preserve"> L, </w:t>
      </w:r>
      <w:proofErr w:type="spellStart"/>
      <w:r w:rsidRPr="00FE636C">
        <w:rPr>
          <w:rFonts w:asciiTheme="majorBidi" w:hAnsiTheme="majorBidi" w:cstheme="majorBidi"/>
          <w:sz w:val="18"/>
          <w:szCs w:val="18"/>
        </w:rPr>
        <w:t>Pierik</w:t>
      </w:r>
      <w:proofErr w:type="spellEnd"/>
      <w:r w:rsidRPr="00FE636C">
        <w:rPr>
          <w:rFonts w:asciiTheme="majorBidi" w:hAnsiTheme="majorBidi" w:cstheme="majorBidi"/>
          <w:sz w:val="18"/>
          <w:szCs w:val="18"/>
        </w:rPr>
        <w:t xml:space="preserve"> MJ, </w:t>
      </w:r>
      <w:proofErr w:type="spellStart"/>
      <w:r w:rsidRPr="00FE636C">
        <w:rPr>
          <w:rFonts w:asciiTheme="majorBidi" w:hAnsiTheme="majorBidi" w:cstheme="majorBidi"/>
          <w:sz w:val="18"/>
          <w:szCs w:val="18"/>
        </w:rPr>
        <w:t>Kuipers</w:t>
      </w:r>
      <w:proofErr w:type="spellEnd"/>
      <w:r w:rsidRPr="00FE636C">
        <w:rPr>
          <w:rFonts w:asciiTheme="majorBidi" w:hAnsiTheme="majorBidi" w:cstheme="majorBidi"/>
          <w:sz w:val="18"/>
          <w:szCs w:val="18"/>
        </w:rPr>
        <w:t xml:space="preserve"> EJ, </w:t>
      </w:r>
      <w:proofErr w:type="spellStart"/>
      <w:r w:rsidRPr="00FE636C">
        <w:rPr>
          <w:rFonts w:asciiTheme="majorBidi" w:hAnsiTheme="majorBidi" w:cstheme="majorBidi"/>
          <w:sz w:val="18"/>
          <w:szCs w:val="18"/>
        </w:rPr>
        <w:t>Peppelenbosch</w:t>
      </w:r>
      <w:proofErr w:type="spellEnd"/>
      <w:r w:rsidRPr="00FE636C">
        <w:rPr>
          <w:rFonts w:asciiTheme="majorBidi" w:hAnsiTheme="majorBidi" w:cstheme="majorBidi"/>
          <w:sz w:val="18"/>
          <w:szCs w:val="18"/>
        </w:rPr>
        <w:t xml:space="preserve"> MP, et al. High intra-uterine exposure to </w:t>
      </w:r>
      <w:proofErr w:type="spellStart"/>
      <w:r w:rsidRPr="00FE636C">
        <w:rPr>
          <w:rFonts w:asciiTheme="majorBidi" w:hAnsiTheme="majorBidi" w:cstheme="majorBidi"/>
          <w:sz w:val="18"/>
          <w:szCs w:val="18"/>
        </w:rPr>
        <w:t>infliximab</w:t>
      </w:r>
      <w:proofErr w:type="spellEnd"/>
      <w:r w:rsidRPr="00FE636C">
        <w:rPr>
          <w:rFonts w:asciiTheme="majorBidi" w:hAnsiTheme="majorBidi" w:cstheme="majorBidi"/>
          <w:sz w:val="18"/>
          <w:szCs w:val="18"/>
        </w:rPr>
        <w:t xml:space="preserve"> following maternal anti-TNF treatment during pregnancy. </w:t>
      </w:r>
      <w:r w:rsidRPr="00FE636C">
        <w:rPr>
          <w:rFonts w:asciiTheme="majorBidi" w:hAnsiTheme="majorBidi" w:cstheme="majorBidi"/>
          <w:i/>
          <w:iCs/>
          <w:sz w:val="18"/>
          <w:szCs w:val="18"/>
        </w:rPr>
        <w:t xml:space="preserve">Aliment </w:t>
      </w:r>
      <w:proofErr w:type="spellStart"/>
      <w:r w:rsidRPr="00FE636C">
        <w:rPr>
          <w:rFonts w:asciiTheme="majorBidi" w:hAnsiTheme="majorBidi" w:cstheme="majorBidi"/>
          <w:i/>
          <w:iCs/>
          <w:sz w:val="18"/>
          <w:szCs w:val="18"/>
        </w:rPr>
        <w:t>PharmacolTher</w:t>
      </w:r>
      <w:proofErr w:type="spellEnd"/>
      <w:r w:rsidRPr="00FE636C">
        <w:rPr>
          <w:rFonts w:asciiTheme="majorBidi" w:hAnsiTheme="majorBidi" w:cstheme="majorBidi"/>
          <w:sz w:val="18"/>
          <w:szCs w:val="18"/>
        </w:rPr>
        <w:t>. May 2011</w:t>
      </w:r>
      <w:proofErr w:type="gramStart"/>
      <w:r w:rsidRPr="00FE636C">
        <w:rPr>
          <w:rFonts w:asciiTheme="majorBidi" w:hAnsiTheme="majorBidi" w:cstheme="majorBidi"/>
          <w:sz w:val="18"/>
          <w:szCs w:val="18"/>
        </w:rPr>
        <w:t>;33</w:t>
      </w:r>
      <w:proofErr w:type="gramEnd"/>
      <w:r w:rsidRPr="00FE636C">
        <w:rPr>
          <w:rFonts w:asciiTheme="majorBidi" w:hAnsiTheme="majorBidi" w:cstheme="majorBidi"/>
          <w:sz w:val="18"/>
          <w:szCs w:val="18"/>
        </w:rPr>
        <w:t xml:space="preserve">(9):1053-8. </w:t>
      </w:r>
    </w:p>
    <w:p w:rsidR="00002758" w:rsidRPr="00FE636C" w:rsidRDefault="00002758" w:rsidP="00373D9E">
      <w:pPr>
        <w:pStyle w:val="Default"/>
        <w:snapToGrid w:val="0"/>
        <w:ind w:left="360" w:hanging="360"/>
        <w:jc w:val="both"/>
        <w:rPr>
          <w:rFonts w:asciiTheme="majorBidi" w:hAnsiTheme="majorBidi" w:cstheme="majorBidi"/>
          <w:sz w:val="18"/>
          <w:szCs w:val="18"/>
        </w:rPr>
      </w:pPr>
      <w:r w:rsidRPr="00FE636C">
        <w:rPr>
          <w:rFonts w:asciiTheme="majorBidi" w:hAnsiTheme="majorBidi" w:cstheme="majorBidi"/>
          <w:i/>
          <w:iCs/>
          <w:sz w:val="18"/>
          <w:szCs w:val="18"/>
        </w:rPr>
        <w:t xml:space="preserve">30: Graham TO, </w:t>
      </w:r>
      <w:proofErr w:type="spellStart"/>
      <w:r w:rsidRPr="00FE636C">
        <w:rPr>
          <w:rFonts w:asciiTheme="majorBidi" w:hAnsiTheme="majorBidi" w:cstheme="majorBidi"/>
          <w:i/>
          <w:iCs/>
          <w:sz w:val="18"/>
          <w:szCs w:val="18"/>
        </w:rPr>
        <w:t>Kandil</w:t>
      </w:r>
      <w:proofErr w:type="spellEnd"/>
      <w:r w:rsidRPr="00FE636C">
        <w:rPr>
          <w:rFonts w:asciiTheme="majorBidi" w:hAnsiTheme="majorBidi" w:cstheme="majorBidi"/>
          <w:i/>
          <w:iCs/>
          <w:sz w:val="18"/>
          <w:szCs w:val="18"/>
        </w:rPr>
        <w:t xml:space="preserve"> HM. Nutritional factors in inflammatory bowel disease. </w:t>
      </w:r>
      <w:proofErr w:type="spellStart"/>
      <w:r w:rsidRPr="00FE636C">
        <w:rPr>
          <w:rFonts w:asciiTheme="majorBidi" w:hAnsiTheme="majorBidi" w:cstheme="majorBidi"/>
          <w:i/>
          <w:iCs/>
          <w:sz w:val="18"/>
          <w:szCs w:val="18"/>
        </w:rPr>
        <w:t>GastroenterolClin</w:t>
      </w:r>
      <w:proofErr w:type="spellEnd"/>
      <w:r w:rsidRPr="00FE636C">
        <w:rPr>
          <w:rFonts w:asciiTheme="majorBidi" w:hAnsiTheme="majorBidi" w:cstheme="majorBidi"/>
          <w:i/>
          <w:iCs/>
          <w:sz w:val="18"/>
          <w:szCs w:val="18"/>
        </w:rPr>
        <w:t xml:space="preserve"> North Am2002</w:t>
      </w:r>
      <w:proofErr w:type="gramStart"/>
      <w:r w:rsidRPr="00FE636C">
        <w:rPr>
          <w:rFonts w:asciiTheme="majorBidi" w:hAnsiTheme="majorBidi" w:cstheme="majorBidi"/>
          <w:i/>
          <w:iCs/>
          <w:sz w:val="18"/>
          <w:szCs w:val="18"/>
        </w:rPr>
        <w:t>;31:203</w:t>
      </w:r>
      <w:proofErr w:type="gramEnd"/>
      <w:r w:rsidRPr="00FE636C">
        <w:rPr>
          <w:rFonts w:asciiTheme="majorBidi" w:hAnsiTheme="majorBidi" w:cstheme="majorBidi"/>
          <w:i/>
          <w:iCs/>
          <w:sz w:val="18"/>
          <w:szCs w:val="18"/>
        </w:rPr>
        <w:t xml:space="preserve">–18. </w:t>
      </w:r>
    </w:p>
    <w:p w:rsidR="00002758" w:rsidRPr="00FE636C" w:rsidRDefault="00002758" w:rsidP="00373D9E">
      <w:pPr>
        <w:suppressAutoHyphens/>
        <w:adjustRightInd w:val="0"/>
        <w:snapToGrid w:val="0"/>
        <w:spacing w:after="0" w:line="240" w:lineRule="auto"/>
        <w:ind w:left="360" w:hanging="360"/>
        <w:jc w:val="both"/>
        <w:rPr>
          <w:rFonts w:asciiTheme="majorBidi" w:hAnsiTheme="majorBidi" w:cstheme="majorBidi"/>
          <w:i/>
          <w:iCs/>
          <w:sz w:val="18"/>
          <w:szCs w:val="18"/>
        </w:rPr>
      </w:pPr>
      <w:r w:rsidRPr="00FE636C">
        <w:rPr>
          <w:rFonts w:asciiTheme="majorBidi" w:hAnsiTheme="majorBidi" w:cstheme="majorBidi"/>
          <w:i/>
          <w:iCs/>
          <w:sz w:val="18"/>
          <w:szCs w:val="18"/>
        </w:rPr>
        <w:t>31:</w:t>
      </w:r>
      <w:r w:rsidR="00FE636C">
        <w:rPr>
          <w:rFonts w:asciiTheme="majorBidi" w:hAnsiTheme="majorBidi" w:cstheme="majorBidi" w:hint="eastAsia"/>
          <w:i/>
          <w:iCs/>
          <w:sz w:val="18"/>
          <w:szCs w:val="18"/>
          <w:lang w:eastAsia="zh-CN"/>
        </w:rPr>
        <w:t xml:space="preserve"> </w:t>
      </w:r>
      <w:r w:rsidRPr="00FE636C">
        <w:rPr>
          <w:rFonts w:asciiTheme="majorBidi" w:hAnsiTheme="majorBidi" w:cstheme="majorBidi"/>
          <w:i/>
          <w:iCs/>
          <w:sz w:val="18"/>
          <w:szCs w:val="18"/>
        </w:rPr>
        <w:t xml:space="preserve">Su CG, Judge TA, Lichtenstein GR. </w:t>
      </w:r>
      <w:proofErr w:type="spellStart"/>
      <w:r w:rsidRPr="00FE636C">
        <w:rPr>
          <w:rFonts w:asciiTheme="majorBidi" w:hAnsiTheme="majorBidi" w:cstheme="majorBidi"/>
          <w:i/>
          <w:iCs/>
          <w:sz w:val="18"/>
          <w:szCs w:val="18"/>
        </w:rPr>
        <w:t>Extraintestinal</w:t>
      </w:r>
      <w:proofErr w:type="spellEnd"/>
      <w:r w:rsidRPr="00FE636C">
        <w:rPr>
          <w:rFonts w:asciiTheme="majorBidi" w:hAnsiTheme="majorBidi" w:cstheme="majorBidi"/>
          <w:i/>
          <w:iCs/>
          <w:sz w:val="18"/>
          <w:szCs w:val="18"/>
        </w:rPr>
        <w:t xml:space="preserve"> manifestations of inflammatory bowel disease. </w:t>
      </w:r>
      <w:proofErr w:type="spellStart"/>
      <w:r w:rsidRPr="00FE636C">
        <w:rPr>
          <w:rFonts w:asciiTheme="majorBidi" w:hAnsiTheme="majorBidi" w:cstheme="majorBidi"/>
          <w:i/>
          <w:iCs/>
          <w:sz w:val="18"/>
          <w:szCs w:val="18"/>
        </w:rPr>
        <w:t>Gastroenterol</w:t>
      </w:r>
      <w:proofErr w:type="spellEnd"/>
      <w:r w:rsidR="00FE636C">
        <w:rPr>
          <w:rFonts w:asciiTheme="majorBidi" w:hAnsiTheme="majorBidi" w:cstheme="majorBidi" w:hint="eastAsia"/>
          <w:i/>
          <w:iCs/>
          <w:sz w:val="18"/>
          <w:szCs w:val="18"/>
          <w:lang w:eastAsia="zh-CN"/>
        </w:rPr>
        <w:t xml:space="preserve"> </w:t>
      </w:r>
      <w:proofErr w:type="spellStart"/>
      <w:r w:rsidRPr="00FE636C">
        <w:rPr>
          <w:rFonts w:asciiTheme="majorBidi" w:hAnsiTheme="majorBidi" w:cstheme="majorBidi"/>
          <w:i/>
          <w:iCs/>
          <w:sz w:val="18"/>
          <w:szCs w:val="18"/>
        </w:rPr>
        <w:t>Clin</w:t>
      </w:r>
      <w:proofErr w:type="spellEnd"/>
      <w:r w:rsidRPr="00FE636C">
        <w:rPr>
          <w:rFonts w:asciiTheme="majorBidi" w:hAnsiTheme="majorBidi" w:cstheme="majorBidi"/>
          <w:i/>
          <w:iCs/>
          <w:sz w:val="18"/>
          <w:szCs w:val="18"/>
        </w:rPr>
        <w:t xml:space="preserve"> North Am2002</w:t>
      </w:r>
      <w:proofErr w:type="gramStart"/>
      <w:r w:rsidRPr="00FE636C">
        <w:rPr>
          <w:rFonts w:asciiTheme="majorBidi" w:hAnsiTheme="majorBidi" w:cstheme="majorBidi"/>
          <w:i/>
          <w:iCs/>
          <w:sz w:val="18"/>
          <w:szCs w:val="18"/>
        </w:rPr>
        <w:t>;31:307</w:t>
      </w:r>
      <w:proofErr w:type="gramEnd"/>
      <w:r w:rsidRPr="00FE636C">
        <w:rPr>
          <w:rFonts w:asciiTheme="majorBidi" w:hAnsiTheme="majorBidi" w:cstheme="majorBidi"/>
          <w:i/>
          <w:iCs/>
          <w:sz w:val="18"/>
          <w:szCs w:val="18"/>
        </w:rPr>
        <w:t xml:space="preserve">–21. </w:t>
      </w:r>
    </w:p>
    <w:p w:rsidR="00002758" w:rsidRPr="00FE636C" w:rsidRDefault="00002758" w:rsidP="00373D9E">
      <w:pPr>
        <w:suppressAutoHyphens/>
        <w:adjustRightInd w:val="0"/>
        <w:snapToGrid w:val="0"/>
        <w:spacing w:after="0" w:line="240" w:lineRule="auto"/>
        <w:ind w:left="360" w:hanging="360"/>
        <w:jc w:val="both"/>
        <w:rPr>
          <w:rFonts w:asciiTheme="majorBidi" w:eastAsia="SimSun" w:hAnsiTheme="majorBidi" w:cstheme="majorBidi"/>
          <w:sz w:val="18"/>
          <w:szCs w:val="18"/>
          <w:lang w:eastAsia="zh-CN"/>
        </w:rPr>
      </w:pPr>
      <w:r w:rsidRPr="00FE636C">
        <w:rPr>
          <w:rFonts w:asciiTheme="majorBidi" w:hAnsiTheme="majorBidi" w:cstheme="majorBidi"/>
          <w:sz w:val="18"/>
          <w:szCs w:val="18"/>
        </w:rPr>
        <w:t>32:</w:t>
      </w:r>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Neeraj</w:t>
      </w:r>
      <w:proofErr w:type="spellEnd"/>
      <w:r w:rsidR="00FE636C">
        <w:rPr>
          <w:rFonts w:asciiTheme="majorBidi" w:hAnsiTheme="majorBidi" w:cstheme="majorBidi" w:hint="eastAsia"/>
          <w:sz w:val="18"/>
          <w:szCs w:val="18"/>
          <w:lang w:eastAsia="zh-CN"/>
        </w:rPr>
        <w:t xml:space="preserve"> </w:t>
      </w:r>
      <w:proofErr w:type="spellStart"/>
      <w:r w:rsidRPr="00FE636C">
        <w:rPr>
          <w:rFonts w:asciiTheme="majorBidi" w:hAnsiTheme="majorBidi" w:cstheme="majorBidi"/>
          <w:sz w:val="18"/>
          <w:szCs w:val="18"/>
        </w:rPr>
        <w:t>Narula</w:t>
      </w:r>
      <w:proofErr w:type="spellEnd"/>
      <w:r w:rsidRPr="00FE636C">
        <w:rPr>
          <w:rFonts w:asciiTheme="majorBidi" w:hAnsiTheme="majorBidi" w:cstheme="majorBidi"/>
          <w:sz w:val="18"/>
          <w:szCs w:val="18"/>
        </w:rPr>
        <w:t xml:space="preserve">, John K. Marshall, </w:t>
      </w:r>
      <w:proofErr w:type="gramStart"/>
      <w:r w:rsidRPr="00FE636C">
        <w:rPr>
          <w:rFonts w:asciiTheme="majorBidi" w:hAnsiTheme="majorBidi" w:cstheme="majorBidi"/>
          <w:sz w:val="18"/>
          <w:szCs w:val="18"/>
        </w:rPr>
        <w:t>Michael</w:t>
      </w:r>
      <w:proofErr w:type="gramEnd"/>
      <w:r w:rsidRPr="00FE636C">
        <w:rPr>
          <w:rFonts w:asciiTheme="majorBidi" w:hAnsiTheme="majorBidi" w:cstheme="majorBidi"/>
          <w:sz w:val="18"/>
          <w:szCs w:val="18"/>
        </w:rPr>
        <w:t xml:space="preserve"> </w:t>
      </w:r>
      <w:proofErr w:type="spellStart"/>
      <w:r w:rsidRPr="00FE636C">
        <w:rPr>
          <w:rFonts w:asciiTheme="majorBidi" w:hAnsiTheme="majorBidi" w:cstheme="majorBidi"/>
          <w:sz w:val="18"/>
          <w:szCs w:val="18"/>
        </w:rPr>
        <w:t>Farkouh</w:t>
      </w:r>
      <w:proofErr w:type="spellEnd"/>
      <w:r w:rsidRPr="00FE636C">
        <w:rPr>
          <w:rFonts w:asciiTheme="majorBidi" w:hAnsiTheme="majorBidi" w:cstheme="majorBidi"/>
          <w:sz w:val="18"/>
          <w:szCs w:val="18"/>
        </w:rPr>
        <w:t>: Are Patients with Inflammatory Bowel Disease at Increased Risk of Coronary Artery Disease? The American Journal of Medicine October</w:t>
      </w:r>
      <w:r w:rsidR="00373D9E" w:rsidRPr="00FE636C">
        <w:rPr>
          <w:rFonts w:asciiTheme="majorBidi" w:hAnsiTheme="majorBidi" w:cstheme="majorBidi" w:hint="eastAsia"/>
          <w:sz w:val="18"/>
          <w:szCs w:val="18"/>
          <w:lang w:eastAsia="zh-CN"/>
        </w:rPr>
        <w:t xml:space="preserve"> </w:t>
      </w:r>
      <w:r w:rsidRPr="00FE636C">
        <w:rPr>
          <w:rFonts w:asciiTheme="majorBidi" w:hAnsiTheme="majorBidi" w:cstheme="majorBidi"/>
          <w:sz w:val="18"/>
          <w:szCs w:val="18"/>
        </w:rPr>
        <w:t>2</w:t>
      </w:r>
      <w:r w:rsidR="00373D9E" w:rsidRPr="00FE636C">
        <w:rPr>
          <w:rFonts w:asciiTheme="majorBidi" w:hAnsiTheme="majorBidi" w:cstheme="majorBidi" w:hint="eastAsia"/>
          <w:sz w:val="18"/>
          <w:szCs w:val="18"/>
          <w:lang w:eastAsia="zh-CN"/>
        </w:rPr>
        <w:t>.</w:t>
      </w:r>
    </w:p>
    <w:p w:rsidR="00373D9E" w:rsidRDefault="00373D9E" w:rsidP="00373D9E">
      <w:pPr>
        <w:suppressAutoHyphens/>
        <w:adjustRightInd w:val="0"/>
        <w:snapToGrid w:val="0"/>
        <w:spacing w:after="0" w:line="240" w:lineRule="auto"/>
        <w:jc w:val="both"/>
        <w:rPr>
          <w:rFonts w:asciiTheme="majorBidi" w:hAnsiTheme="majorBidi" w:cstheme="majorBidi"/>
          <w:sz w:val="20"/>
          <w:szCs w:val="20"/>
          <w:lang w:eastAsia="zh-CN"/>
        </w:rPr>
        <w:sectPr w:rsidR="00373D9E" w:rsidSect="00373D9E">
          <w:footnotePr>
            <w:pos w:val="beneathText"/>
          </w:footnotePr>
          <w:type w:val="continuous"/>
          <w:pgSz w:w="12240" w:h="15840" w:code="1"/>
          <w:pgMar w:top="1440" w:right="1440" w:bottom="1440" w:left="1440" w:header="720" w:footer="720" w:gutter="0"/>
          <w:cols w:num="2" w:space="576"/>
          <w:docGrid w:linePitch="360"/>
        </w:sectPr>
      </w:pPr>
    </w:p>
    <w:p w:rsidR="00FD7C0D" w:rsidRPr="00373D9E" w:rsidRDefault="00FD7C0D" w:rsidP="00373D9E">
      <w:pPr>
        <w:suppressAutoHyphens/>
        <w:adjustRightInd w:val="0"/>
        <w:snapToGrid w:val="0"/>
        <w:spacing w:after="0" w:line="240" w:lineRule="auto"/>
        <w:jc w:val="both"/>
        <w:rPr>
          <w:rFonts w:asciiTheme="majorBidi" w:hAnsiTheme="majorBidi" w:cstheme="majorBidi"/>
          <w:sz w:val="20"/>
          <w:szCs w:val="20"/>
          <w:lang w:eastAsia="zh-CN"/>
        </w:rPr>
      </w:pPr>
    </w:p>
    <w:p w:rsidR="00E50F31" w:rsidRPr="00373D9E" w:rsidRDefault="00373D9E" w:rsidP="00373D9E">
      <w:pPr>
        <w:pStyle w:val="Default"/>
        <w:snapToGrid w:val="0"/>
        <w:jc w:val="both"/>
        <w:rPr>
          <w:sz w:val="20"/>
          <w:szCs w:val="20"/>
          <w:lang w:eastAsia="zh-CN"/>
        </w:rPr>
      </w:pPr>
      <w:r>
        <w:rPr>
          <w:rFonts w:hint="eastAsia"/>
          <w:sz w:val="20"/>
          <w:szCs w:val="20"/>
          <w:lang w:eastAsia="zh-CN"/>
        </w:rPr>
        <w:t>5/21/2013</w:t>
      </w:r>
    </w:p>
    <w:sectPr w:rsidR="00E50F31" w:rsidRPr="00373D9E" w:rsidSect="001800A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9CC" w:rsidRDefault="009749CC" w:rsidP="00164F13">
      <w:pPr>
        <w:spacing w:after="0" w:line="240" w:lineRule="auto"/>
      </w:pPr>
      <w:r>
        <w:separator/>
      </w:r>
    </w:p>
  </w:endnote>
  <w:endnote w:type="continuationSeparator" w:id="0">
    <w:p w:rsidR="009749CC" w:rsidRDefault="009749CC" w:rsidP="00164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31" w:rsidRDefault="005832CB" w:rsidP="00E50F31">
    <w:pPr>
      <w:pStyle w:val="Footer"/>
      <w:framePr w:wrap="around" w:vAnchor="text" w:hAnchor="margin" w:xAlign="center" w:y="1"/>
      <w:rPr>
        <w:rStyle w:val="PageNumber"/>
      </w:rPr>
    </w:pPr>
    <w:r>
      <w:rPr>
        <w:rStyle w:val="PageNumber"/>
      </w:rPr>
      <w:fldChar w:fldCharType="begin"/>
    </w:r>
    <w:r w:rsidR="00E50F31">
      <w:rPr>
        <w:rStyle w:val="PageNumber"/>
      </w:rPr>
      <w:instrText xml:space="preserve">PAGE  </w:instrText>
    </w:r>
    <w:r>
      <w:rPr>
        <w:rStyle w:val="PageNumber"/>
      </w:rPr>
      <w:fldChar w:fldCharType="end"/>
    </w:r>
  </w:p>
  <w:p w:rsidR="00E50F31" w:rsidRDefault="00E50F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31" w:rsidRPr="0036411D" w:rsidRDefault="005832CB" w:rsidP="00E50F31">
    <w:pPr>
      <w:pStyle w:val="Footer"/>
      <w:framePr w:wrap="around" w:vAnchor="text" w:hAnchor="margin" w:xAlign="center" w:y="1"/>
      <w:rPr>
        <w:rStyle w:val="PageNumber"/>
        <w:rFonts w:ascii="Times New Roman" w:hAnsi="Times New Roman" w:cs="Times New Roman"/>
        <w:sz w:val="20"/>
        <w:szCs w:val="20"/>
      </w:rPr>
    </w:pPr>
    <w:r w:rsidRPr="0036411D">
      <w:rPr>
        <w:rStyle w:val="PageNumber"/>
        <w:rFonts w:ascii="Times New Roman" w:hAnsi="Times New Roman" w:cs="Times New Roman"/>
        <w:sz w:val="20"/>
        <w:szCs w:val="20"/>
      </w:rPr>
      <w:fldChar w:fldCharType="begin"/>
    </w:r>
    <w:r w:rsidR="00E50F31" w:rsidRPr="0036411D">
      <w:rPr>
        <w:rStyle w:val="PageNumber"/>
        <w:rFonts w:ascii="Times New Roman" w:hAnsi="Times New Roman" w:cs="Times New Roman"/>
        <w:sz w:val="20"/>
        <w:szCs w:val="20"/>
      </w:rPr>
      <w:instrText xml:space="preserve">PAGE  </w:instrText>
    </w:r>
    <w:r w:rsidRPr="0036411D">
      <w:rPr>
        <w:rStyle w:val="PageNumber"/>
        <w:rFonts w:ascii="Times New Roman" w:hAnsi="Times New Roman" w:cs="Times New Roman"/>
        <w:sz w:val="20"/>
        <w:szCs w:val="20"/>
      </w:rPr>
      <w:fldChar w:fldCharType="separate"/>
    </w:r>
    <w:r w:rsidR="00F22D59">
      <w:rPr>
        <w:rStyle w:val="PageNumber"/>
        <w:rFonts w:ascii="Times New Roman" w:hAnsi="Times New Roman" w:cs="Times New Roman"/>
        <w:noProof/>
        <w:sz w:val="20"/>
        <w:szCs w:val="20"/>
      </w:rPr>
      <w:t>1</w:t>
    </w:r>
    <w:r w:rsidRPr="0036411D">
      <w:rPr>
        <w:rStyle w:val="PageNumber"/>
        <w:rFonts w:ascii="Times New Roman" w:hAnsi="Times New Roman" w:cs="Times New Roman"/>
        <w:sz w:val="20"/>
        <w:szCs w:val="20"/>
      </w:rPr>
      <w:fldChar w:fldCharType="end"/>
    </w:r>
  </w:p>
  <w:p w:rsidR="00E50F31" w:rsidRPr="0036411D" w:rsidRDefault="005832CB" w:rsidP="00E50F31">
    <w:pPr>
      <w:jc w:val="center"/>
      <w:rPr>
        <w:rFonts w:ascii="Times New Roman" w:hAnsi="Times New Roman" w:cs="Times New Roman"/>
        <w:sz w:val="20"/>
        <w:szCs w:val="20"/>
      </w:rPr>
    </w:pPr>
    <w:hyperlink r:id="rId1" w:history="1">
      <w:r w:rsidR="00E50F31" w:rsidRPr="0036411D">
        <w:rPr>
          <w:rStyle w:val="Hyperlink"/>
          <w:rFonts w:ascii="Times New Roman" w:hAnsi="Times New Roman" w:cs="Times New Roman"/>
          <w:sz w:val="20"/>
          <w:szCs w:val="20"/>
        </w:rPr>
        <w:t>http://www.sciencepub.net/nature</w:t>
      </w:r>
    </w:hyperlink>
    <w:r w:rsidR="00373D9E" w:rsidRPr="0036411D">
      <w:rPr>
        <w:rFonts w:ascii="Times New Roman" w:hAnsi="Times New Roman" w:cs="Times New Roman"/>
        <w:sz w:val="20"/>
        <w:szCs w:val="20"/>
        <w:lang w:eastAsia="zh-CN"/>
      </w:rPr>
      <w:t xml:space="preserve">                                                             </w:t>
    </w:r>
    <w:hyperlink r:id="rId2" w:history="1">
      <w:r w:rsidR="00E50F31" w:rsidRPr="0036411D">
        <w:rPr>
          <w:rStyle w:val="Hyperlink"/>
          <w:rFonts w:ascii="Times New Roman" w:hAnsi="Times New Roman" w:cs="Times New Roman"/>
          <w:bCs/>
          <w:sz w:val="20"/>
          <w:szCs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9CC" w:rsidRDefault="009749CC" w:rsidP="00164F13">
      <w:pPr>
        <w:spacing w:after="0" w:line="240" w:lineRule="auto"/>
      </w:pPr>
      <w:r>
        <w:separator/>
      </w:r>
    </w:p>
  </w:footnote>
  <w:footnote w:type="continuationSeparator" w:id="0">
    <w:p w:rsidR="009749CC" w:rsidRDefault="009749CC" w:rsidP="00164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31" w:rsidRPr="001800A9" w:rsidRDefault="00E50F31" w:rsidP="001800A9">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bookmarkStart w:id="2" w:name="OLE_LINK3"/>
    <w:bookmarkStart w:id="3" w:name="OLE_LINK4"/>
    <w:bookmarkStart w:id="4" w:name="_Hlk359239218"/>
    <w:r w:rsidRPr="001800A9">
      <w:rPr>
        <w:rFonts w:ascii="Times New Roman" w:hAnsi="Times New Roman" w:cs="Times New Roman"/>
        <w:sz w:val="20"/>
        <w:szCs w:val="20"/>
      </w:rPr>
      <w:t>Nature and Science 2013</w:t>
    </w:r>
    <w:proofErr w:type="gramStart"/>
    <w:r w:rsidRPr="001800A9">
      <w:rPr>
        <w:rFonts w:ascii="Times New Roman" w:hAnsi="Times New Roman" w:cs="Times New Roman"/>
        <w:sz w:val="20"/>
        <w:szCs w:val="20"/>
      </w:rPr>
      <w:t>;11</w:t>
    </w:r>
    <w:proofErr w:type="gramEnd"/>
    <w:r w:rsidRPr="001800A9">
      <w:rPr>
        <w:rFonts w:ascii="Times New Roman" w:hAnsi="Times New Roman" w:cs="Times New Roman"/>
        <w:sz w:val="20"/>
        <w:szCs w:val="20"/>
      </w:rPr>
      <w:t>(</w:t>
    </w:r>
    <w:r w:rsidR="0066702A">
      <w:rPr>
        <w:rFonts w:ascii="Times New Roman" w:hAnsi="Times New Roman" w:cs="Times New Roman" w:hint="eastAsia"/>
        <w:sz w:val="20"/>
        <w:szCs w:val="20"/>
        <w:lang w:eastAsia="zh-CN"/>
      </w:rPr>
      <w:t>8</w:t>
    </w:r>
    <w:r w:rsidRPr="001800A9">
      <w:rPr>
        <w:rFonts w:ascii="Times New Roman" w:hAnsi="Times New Roman" w:cs="Times New Roman"/>
        <w:sz w:val="20"/>
        <w:szCs w:val="20"/>
      </w:rPr>
      <w:t xml:space="preserve">) </w:t>
    </w:r>
    <w:r w:rsidR="001800A9" w:rsidRPr="001800A9">
      <w:rPr>
        <w:rFonts w:ascii="Times New Roman" w:hAnsi="Times New Roman" w:cs="Times New Roman"/>
        <w:sz w:val="20"/>
        <w:szCs w:val="20"/>
        <w:lang w:eastAsia="zh-CN"/>
      </w:rPr>
      <w:t xml:space="preserve">                                                              </w:t>
    </w:r>
    <w:hyperlink r:id="rId1" w:history="1">
      <w:r w:rsidRPr="001800A9">
        <w:rPr>
          <w:rStyle w:val="Hyperlink"/>
          <w:rFonts w:ascii="Times New Roman" w:hAnsi="Times New Roman" w:cs="Times New Roman"/>
          <w:sz w:val="20"/>
          <w:szCs w:val="20"/>
        </w:rPr>
        <w:t>http://www.sciencepub.net/nature</w:t>
      </w:r>
    </w:hyperlink>
  </w:p>
  <w:bookmarkEnd w:id="2"/>
  <w:bookmarkEnd w:id="3"/>
  <w:bookmarkEnd w:id="4"/>
  <w:p w:rsidR="00E50F31" w:rsidRPr="001800A9" w:rsidRDefault="00E50F31" w:rsidP="001800A9">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30541"/>
    <w:multiLevelType w:val="hybridMultilevel"/>
    <w:tmpl w:val="F7620AC2"/>
    <w:lvl w:ilvl="0" w:tplc="87A8B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9457"/>
  </w:hdrShapeDefaults>
  <w:footnotePr>
    <w:pos w:val="beneathText"/>
    <w:footnote w:id="-1"/>
    <w:footnote w:id="0"/>
  </w:footnotePr>
  <w:endnotePr>
    <w:endnote w:id="-1"/>
    <w:endnote w:id="0"/>
  </w:endnotePr>
  <w:compat>
    <w:useFELayout/>
  </w:compat>
  <w:rsids>
    <w:rsidRoot w:val="008A2447"/>
    <w:rsid w:val="00002758"/>
    <w:rsid w:val="000A1D35"/>
    <w:rsid w:val="000D30A3"/>
    <w:rsid w:val="00164F13"/>
    <w:rsid w:val="001800A9"/>
    <w:rsid w:val="001A0EE9"/>
    <w:rsid w:val="00263CF1"/>
    <w:rsid w:val="0036411D"/>
    <w:rsid w:val="00373D9E"/>
    <w:rsid w:val="003D394E"/>
    <w:rsid w:val="00446D36"/>
    <w:rsid w:val="00460CAC"/>
    <w:rsid w:val="00475636"/>
    <w:rsid w:val="005832CB"/>
    <w:rsid w:val="00613E1C"/>
    <w:rsid w:val="0066702A"/>
    <w:rsid w:val="00786BA9"/>
    <w:rsid w:val="008A2447"/>
    <w:rsid w:val="008B7498"/>
    <w:rsid w:val="0092482D"/>
    <w:rsid w:val="009749CC"/>
    <w:rsid w:val="00B24A36"/>
    <w:rsid w:val="00CF6FA5"/>
    <w:rsid w:val="00E33BC3"/>
    <w:rsid w:val="00E50F31"/>
    <w:rsid w:val="00EA3397"/>
    <w:rsid w:val="00F22D59"/>
    <w:rsid w:val="00F61109"/>
    <w:rsid w:val="00FD7C0D"/>
    <w:rsid w:val="00FE24AE"/>
    <w:rsid w:val="00FE636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4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447"/>
  </w:style>
  <w:style w:type="paragraph" w:styleId="Footer">
    <w:name w:val="footer"/>
    <w:basedOn w:val="Normal"/>
    <w:link w:val="FooterChar"/>
    <w:uiPriority w:val="99"/>
    <w:semiHidden/>
    <w:unhideWhenUsed/>
    <w:rsid w:val="008A24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447"/>
  </w:style>
  <w:style w:type="character" w:styleId="PageNumber">
    <w:name w:val="page number"/>
    <w:basedOn w:val="DefaultParagraphFont"/>
    <w:rsid w:val="008A2447"/>
  </w:style>
  <w:style w:type="character" w:styleId="Hyperlink">
    <w:name w:val="Hyperlink"/>
    <w:basedOn w:val="DefaultParagraphFont"/>
    <w:rsid w:val="008A2447"/>
    <w:rPr>
      <w:color w:val="0000FF"/>
      <w:u w:val="single"/>
    </w:rPr>
  </w:style>
  <w:style w:type="paragraph" w:customStyle="1" w:styleId="Default">
    <w:name w:val="Default"/>
    <w:rsid w:val="008A244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4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447"/>
  </w:style>
  <w:style w:type="paragraph" w:styleId="Footer">
    <w:name w:val="footer"/>
    <w:basedOn w:val="Normal"/>
    <w:link w:val="FooterChar"/>
    <w:uiPriority w:val="99"/>
    <w:semiHidden/>
    <w:unhideWhenUsed/>
    <w:rsid w:val="008A24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447"/>
  </w:style>
  <w:style w:type="character" w:styleId="PageNumber">
    <w:name w:val="page number"/>
    <w:basedOn w:val="DefaultParagraphFont"/>
    <w:rsid w:val="008A2447"/>
  </w:style>
  <w:style w:type="character" w:styleId="Hyperlink">
    <w:name w:val="Hyperlink"/>
    <w:basedOn w:val="DefaultParagraphFont"/>
    <w:rsid w:val="008A2447"/>
    <w:rPr>
      <w:color w:val="0000FF"/>
      <w:u w:val="single"/>
    </w:rPr>
  </w:style>
  <w:style w:type="paragraph" w:customStyle="1" w:styleId="Default">
    <w:name w:val="Default"/>
    <w:rsid w:val="008A24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orengy@yahoo.com" TargetMode="External"/><Relationship Id="rId12" Type="http://schemas.openxmlformats.org/officeDocument/2006/relationships/hyperlink" Target="http://www.fda.gov/drugs/drugsafety/ucm28818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5892</Words>
  <Characters>33586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Administrator</cp:lastModifiedBy>
  <cp:revision>13</cp:revision>
  <dcterms:created xsi:type="dcterms:W3CDTF">2013-06-06T03:36:00Z</dcterms:created>
  <dcterms:modified xsi:type="dcterms:W3CDTF">2013-06-17T05:31:00Z</dcterms:modified>
</cp:coreProperties>
</file>