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83" w:rsidRPr="00232743" w:rsidRDefault="001E7E6A" w:rsidP="001D7F10">
      <w:pPr>
        <w:autoSpaceDE w:val="0"/>
        <w:autoSpaceDN w:val="0"/>
        <w:bidi w:val="0"/>
        <w:adjustRightInd w:val="0"/>
        <w:snapToGrid w:val="0"/>
        <w:jc w:val="center"/>
        <w:rPr>
          <w:rFonts w:cs="Times New Roman"/>
          <w:b/>
          <w:bCs/>
          <w:sz w:val="20"/>
          <w:szCs w:val="20"/>
          <w:lang w:bidi="fa-IR"/>
        </w:rPr>
      </w:pPr>
      <w:bookmarkStart w:id="0" w:name="OLE_LINK7"/>
      <w:r w:rsidRPr="00232743">
        <w:rPr>
          <w:rFonts w:eastAsia="Calibri" w:cs="Times New Roman"/>
          <w:b/>
          <w:bCs/>
          <w:sz w:val="20"/>
          <w:szCs w:val="20"/>
        </w:rPr>
        <w:t>Evaluation of the</w:t>
      </w:r>
      <w:r w:rsidRPr="00232743">
        <w:rPr>
          <w:rFonts w:cs="Times New Roman"/>
          <w:b/>
          <w:bCs/>
          <w:sz w:val="20"/>
          <w:szCs w:val="20"/>
          <w:lang w:bidi="fa-IR"/>
        </w:rPr>
        <w:t xml:space="preserve"> Effective </w:t>
      </w:r>
      <w:r w:rsidRPr="00232743">
        <w:rPr>
          <w:rFonts w:eastAsia="Calibri" w:cs="Times New Roman"/>
          <w:b/>
          <w:bCs/>
          <w:sz w:val="20"/>
          <w:szCs w:val="20"/>
        </w:rPr>
        <w:t xml:space="preserve">Barriers </w:t>
      </w:r>
      <w:r w:rsidRPr="00232743">
        <w:rPr>
          <w:rFonts w:cs="Times New Roman"/>
          <w:b/>
          <w:bCs/>
          <w:sz w:val="20"/>
          <w:szCs w:val="20"/>
          <w:lang w:bidi="fa-IR"/>
        </w:rPr>
        <w:t>in GSCM implementation Using DEMATEL Method</w:t>
      </w:r>
      <w:r w:rsidR="009A56B0" w:rsidRPr="00232743">
        <w:rPr>
          <w:rFonts w:cs="Times New Roman"/>
          <w:b/>
          <w:bCs/>
          <w:sz w:val="20"/>
          <w:szCs w:val="20"/>
          <w:lang w:bidi="fa-IR"/>
        </w:rPr>
        <w:t xml:space="preserve"> </w:t>
      </w:r>
    </w:p>
    <w:p w:rsidR="001E7E6A" w:rsidRPr="00232743" w:rsidRDefault="001E7E6A" w:rsidP="001D7F10">
      <w:pPr>
        <w:autoSpaceDE w:val="0"/>
        <w:autoSpaceDN w:val="0"/>
        <w:bidi w:val="0"/>
        <w:adjustRightInd w:val="0"/>
        <w:snapToGrid w:val="0"/>
        <w:jc w:val="center"/>
        <w:rPr>
          <w:rFonts w:cs="Times New Roman"/>
          <w:b/>
          <w:bCs/>
          <w:sz w:val="20"/>
          <w:szCs w:val="20"/>
          <w:lang w:bidi="fa-IR"/>
        </w:rPr>
      </w:pPr>
      <w:r w:rsidRPr="00232743">
        <w:rPr>
          <w:rFonts w:eastAsiaTheme="minorHAnsi" w:cs="Times New Roman"/>
          <w:b/>
          <w:bCs/>
          <w:sz w:val="20"/>
          <w:szCs w:val="20"/>
        </w:rPr>
        <w:t xml:space="preserve">(Case study: Iran </w:t>
      </w:r>
      <w:proofErr w:type="spellStart"/>
      <w:r w:rsidRPr="00232743">
        <w:rPr>
          <w:rFonts w:eastAsiaTheme="minorHAnsi" w:cs="Times New Roman"/>
          <w:b/>
          <w:bCs/>
          <w:sz w:val="20"/>
          <w:szCs w:val="20"/>
        </w:rPr>
        <w:t>Khodro</w:t>
      </w:r>
      <w:proofErr w:type="spellEnd"/>
      <w:r w:rsidRPr="00232743">
        <w:rPr>
          <w:rFonts w:eastAsiaTheme="minorHAnsi" w:cs="Times New Roman"/>
          <w:b/>
          <w:bCs/>
          <w:sz w:val="20"/>
          <w:szCs w:val="20"/>
        </w:rPr>
        <w:t xml:space="preserve"> CO)</w:t>
      </w:r>
    </w:p>
    <w:p w:rsidR="003824A1" w:rsidRPr="00232743" w:rsidRDefault="003824A1" w:rsidP="001D7F10">
      <w:pPr>
        <w:bidi w:val="0"/>
        <w:adjustRightInd w:val="0"/>
        <w:snapToGrid w:val="0"/>
        <w:jc w:val="both"/>
        <w:rPr>
          <w:rFonts w:cs="Times New Roman"/>
          <w:b/>
          <w:bCs/>
          <w:sz w:val="20"/>
          <w:szCs w:val="20"/>
          <w:rtl/>
        </w:rPr>
      </w:pPr>
    </w:p>
    <w:p w:rsidR="007E6E6D" w:rsidRPr="00232743" w:rsidRDefault="007E6E6D" w:rsidP="001D7F10">
      <w:pPr>
        <w:bidi w:val="0"/>
        <w:adjustRightInd w:val="0"/>
        <w:snapToGrid w:val="0"/>
        <w:jc w:val="center"/>
        <w:rPr>
          <w:rFonts w:eastAsia="Times New Roman+FPEF" w:cs="Times New Roman"/>
          <w:sz w:val="20"/>
          <w:szCs w:val="20"/>
        </w:rPr>
      </w:pPr>
      <w:proofErr w:type="spellStart"/>
      <w:r w:rsidRPr="00232743">
        <w:rPr>
          <w:rFonts w:eastAsia="Times New Roman+FPEF" w:cs="Times New Roman"/>
          <w:sz w:val="20"/>
          <w:szCs w:val="20"/>
        </w:rPr>
        <w:t>Sajjad</w:t>
      </w:r>
      <w:proofErr w:type="spellEnd"/>
      <w:r w:rsidRPr="00232743">
        <w:rPr>
          <w:rFonts w:eastAsia="Times New Roman+FPEF" w:cs="Times New Roman"/>
          <w:sz w:val="20"/>
          <w:szCs w:val="20"/>
        </w:rPr>
        <w:t xml:space="preserve"> Jalalifar</w:t>
      </w:r>
      <w:r w:rsidR="003C0EEE" w:rsidRPr="00232743">
        <w:rPr>
          <w:rFonts w:eastAsia="Times New Roman+FPEF" w:cs="Times New Roman"/>
          <w:sz w:val="20"/>
          <w:szCs w:val="20"/>
          <w:vertAlign w:val="superscript"/>
        </w:rPr>
        <w:t>1</w:t>
      </w:r>
      <w:r w:rsidRPr="00232743">
        <w:rPr>
          <w:rFonts w:eastAsia="Times New Roman+FPEF" w:cs="Times New Roman"/>
          <w:sz w:val="20"/>
          <w:szCs w:val="20"/>
        </w:rPr>
        <w:t xml:space="preserve">, </w:t>
      </w:r>
      <w:proofErr w:type="spellStart"/>
      <w:r w:rsidRPr="00232743">
        <w:rPr>
          <w:rFonts w:eastAsia="Times New Roman+FPEF" w:cs="Times New Roman"/>
          <w:sz w:val="20"/>
          <w:szCs w:val="20"/>
        </w:rPr>
        <w:t>Kiamars</w:t>
      </w:r>
      <w:proofErr w:type="spellEnd"/>
      <w:r w:rsidRPr="00232743">
        <w:rPr>
          <w:rFonts w:eastAsia="Times New Roman+FPEF" w:cs="Times New Roman"/>
          <w:sz w:val="20"/>
          <w:szCs w:val="20"/>
        </w:rPr>
        <w:t xml:space="preserve"> </w:t>
      </w:r>
      <w:proofErr w:type="spellStart"/>
      <w:r w:rsidRPr="00232743">
        <w:rPr>
          <w:rFonts w:eastAsia="Times New Roman+FPEF" w:cs="Times New Roman"/>
          <w:sz w:val="20"/>
          <w:szCs w:val="20"/>
        </w:rPr>
        <w:t>Fathi</w:t>
      </w:r>
      <w:proofErr w:type="spellEnd"/>
      <w:r w:rsidRPr="00232743">
        <w:rPr>
          <w:rFonts w:eastAsia="Times New Roman+FPEF" w:cs="Times New Roman"/>
          <w:sz w:val="20"/>
          <w:szCs w:val="20"/>
        </w:rPr>
        <w:t xml:space="preserve"> Hafshejani</w:t>
      </w:r>
      <w:r w:rsidR="003C0EEE" w:rsidRPr="00232743">
        <w:rPr>
          <w:rFonts w:eastAsia="Times New Roman+FPEF" w:cs="Times New Roman"/>
          <w:sz w:val="20"/>
          <w:szCs w:val="20"/>
          <w:vertAlign w:val="superscript"/>
        </w:rPr>
        <w:t>2</w:t>
      </w:r>
      <w:r w:rsidR="00DF5890" w:rsidRPr="00232743">
        <w:rPr>
          <w:rFonts w:eastAsia="Times New Roman+FPEF" w:cs="Times New Roman"/>
          <w:sz w:val="20"/>
          <w:szCs w:val="20"/>
        </w:rPr>
        <w:t>, Mohammad</w:t>
      </w:r>
      <w:r w:rsidRPr="00232743">
        <w:rPr>
          <w:rFonts w:eastAsia="Times New Roman+FPEF" w:cs="Times New Roman"/>
          <w:sz w:val="20"/>
          <w:szCs w:val="20"/>
        </w:rPr>
        <w:t xml:space="preserve"> </w:t>
      </w:r>
      <w:r w:rsidR="00DF5890" w:rsidRPr="00232743">
        <w:rPr>
          <w:rFonts w:eastAsia="Times New Roman+FPEF" w:cs="Times New Roman"/>
          <w:sz w:val="20"/>
          <w:szCs w:val="20"/>
        </w:rPr>
        <w:t>M. Movahedi</w:t>
      </w:r>
      <w:r w:rsidR="003C0EEE" w:rsidRPr="00232743">
        <w:rPr>
          <w:rFonts w:eastAsia="Times New Roman+FPEF" w:cs="Times New Roman"/>
          <w:sz w:val="20"/>
          <w:szCs w:val="20"/>
          <w:vertAlign w:val="superscript"/>
        </w:rPr>
        <w:t>3</w:t>
      </w:r>
    </w:p>
    <w:p w:rsidR="007E6E6D" w:rsidRPr="00232743" w:rsidRDefault="007E6E6D" w:rsidP="001D7F10">
      <w:pPr>
        <w:bidi w:val="0"/>
        <w:adjustRightInd w:val="0"/>
        <w:snapToGrid w:val="0"/>
        <w:jc w:val="both"/>
        <w:rPr>
          <w:rFonts w:eastAsia="Times New Roman+FPEF" w:cs="Times New Roman"/>
          <w:sz w:val="20"/>
          <w:szCs w:val="20"/>
        </w:rPr>
      </w:pPr>
    </w:p>
    <w:p w:rsidR="00F92FA7" w:rsidRPr="00232743" w:rsidRDefault="00DF5890" w:rsidP="001D7F10">
      <w:pPr>
        <w:autoSpaceDE w:val="0"/>
        <w:autoSpaceDN w:val="0"/>
        <w:bidi w:val="0"/>
        <w:adjustRightInd w:val="0"/>
        <w:snapToGrid w:val="0"/>
        <w:jc w:val="center"/>
        <w:rPr>
          <w:rFonts w:eastAsia="Times New Roman+FPEF" w:cs="Times New Roman"/>
          <w:sz w:val="20"/>
          <w:szCs w:val="20"/>
        </w:rPr>
      </w:pPr>
      <w:r w:rsidRPr="00232743">
        <w:rPr>
          <w:rFonts w:eastAsia="Times New Roman+FPEF" w:cs="Times New Roman"/>
          <w:sz w:val="20"/>
          <w:szCs w:val="20"/>
          <w:vertAlign w:val="superscript"/>
        </w:rPr>
        <w:t>1</w:t>
      </w:r>
      <w:r w:rsidR="007E6E6D" w:rsidRPr="00232743">
        <w:rPr>
          <w:rFonts w:eastAsia="Times New Roman+FPEF" w:cs="Times New Roman"/>
          <w:sz w:val="20"/>
          <w:szCs w:val="20"/>
        </w:rPr>
        <w:t>Department of Industrial Management, Qazvin branch, Islamic Azad University (IAU), Qazvin, Iran</w:t>
      </w:r>
    </w:p>
    <w:p w:rsidR="007E6E6D" w:rsidRPr="00232743" w:rsidRDefault="00DF5890" w:rsidP="001D7F10">
      <w:pPr>
        <w:bidi w:val="0"/>
        <w:adjustRightInd w:val="0"/>
        <w:snapToGrid w:val="0"/>
        <w:jc w:val="center"/>
        <w:rPr>
          <w:rFonts w:cs="Times New Roman"/>
          <w:sz w:val="20"/>
          <w:szCs w:val="20"/>
          <w:lang w:bidi="fa-IR"/>
        </w:rPr>
      </w:pPr>
      <w:r w:rsidRPr="00232743">
        <w:rPr>
          <w:rFonts w:eastAsia="Times New Roman+FPEF" w:cs="Times New Roman"/>
          <w:sz w:val="20"/>
          <w:szCs w:val="20"/>
          <w:vertAlign w:val="superscript"/>
        </w:rPr>
        <w:t>2</w:t>
      </w:r>
      <w:r w:rsidRPr="00232743">
        <w:rPr>
          <w:rFonts w:eastAsia="Times New Roman+FPEF" w:cs="Times New Roman"/>
          <w:sz w:val="20"/>
          <w:szCs w:val="20"/>
        </w:rPr>
        <w:t>Assistant Professor, Department of Management, South Tehran Branch Islamic Azad University, Tehran, Iran</w:t>
      </w:r>
    </w:p>
    <w:p w:rsidR="007E6E6D" w:rsidRPr="00232743" w:rsidRDefault="00DF5890" w:rsidP="001D7F10">
      <w:pPr>
        <w:autoSpaceDE w:val="0"/>
        <w:autoSpaceDN w:val="0"/>
        <w:bidi w:val="0"/>
        <w:adjustRightInd w:val="0"/>
        <w:snapToGrid w:val="0"/>
        <w:jc w:val="center"/>
        <w:rPr>
          <w:rFonts w:eastAsia="Times New Roman+FPEF" w:cs="Times New Roman"/>
          <w:sz w:val="20"/>
          <w:szCs w:val="20"/>
        </w:rPr>
      </w:pPr>
      <w:r w:rsidRPr="00232743">
        <w:rPr>
          <w:rFonts w:eastAsia="Times New Roman+FPEF" w:cs="Times New Roman"/>
          <w:sz w:val="20"/>
          <w:szCs w:val="20"/>
          <w:vertAlign w:val="superscript"/>
        </w:rPr>
        <w:t>3</w:t>
      </w:r>
      <w:r w:rsidR="007E6E6D" w:rsidRPr="00232743">
        <w:rPr>
          <w:rFonts w:eastAsia="Times New Roman+FPEF" w:cs="Times New Roman"/>
          <w:sz w:val="20"/>
          <w:szCs w:val="20"/>
        </w:rPr>
        <w:t xml:space="preserve">Assistant Professor, Department of Management, </w:t>
      </w:r>
      <w:proofErr w:type="spellStart"/>
      <w:r w:rsidR="007E6E6D" w:rsidRPr="00232743">
        <w:rPr>
          <w:rFonts w:eastAsia="Times New Roman+FPEF" w:cs="Times New Roman"/>
          <w:sz w:val="20"/>
          <w:szCs w:val="20"/>
        </w:rPr>
        <w:t>Firozkouh</w:t>
      </w:r>
      <w:proofErr w:type="spellEnd"/>
      <w:r w:rsidR="007E6E6D" w:rsidRPr="00232743">
        <w:rPr>
          <w:rFonts w:eastAsia="Times New Roman+FPEF" w:cs="Times New Roman"/>
          <w:sz w:val="20"/>
          <w:szCs w:val="20"/>
        </w:rPr>
        <w:t xml:space="preserve"> branch, Islamic Azad University, </w:t>
      </w:r>
      <w:proofErr w:type="spellStart"/>
      <w:r w:rsidR="007E6E6D" w:rsidRPr="00232743">
        <w:rPr>
          <w:rFonts w:eastAsia="Times New Roman+FPEF" w:cs="Times New Roman"/>
          <w:sz w:val="20"/>
          <w:szCs w:val="20"/>
        </w:rPr>
        <w:t>Firozkouh</w:t>
      </w:r>
      <w:proofErr w:type="spellEnd"/>
      <w:r w:rsidR="007E6E6D" w:rsidRPr="00232743">
        <w:rPr>
          <w:rFonts w:eastAsia="Times New Roman+FPEF" w:cs="Times New Roman"/>
          <w:sz w:val="20"/>
          <w:szCs w:val="20"/>
        </w:rPr>
        <w:t>, Iran</w:t>
      </w:r>
    </w:p>
    <w:p w:rsidR="00232743" w:rsidRDefault="00232743" w:rsidP="001D7F10">
      <w:pPr>
        <w:bidi w:val="0"/>
        <w:adjustRightInd w:val="0"/>
        <w:snapToGrid w:val="0"/>
        <w:jc w:val="both"/>
        <w:rPr>
          <w:rFonts w:cs="Times New Roman"/>
          <w:b/>
          <w:sz w:val="20"/>
          <w:szCs w:val="20"/>
          <w:lang w:eastAsia="zh-CN"/>
        </w:rPr>
      </w:pPr>
    </w:p>
    <w:p w:rsidR="001015A7" w:rsidRPr="00232743" w:rsidRDefault="007D3DAF" w:rsidP="001D7F10">
      <w:pPr>
        <w:bidi w:val="0"/>
        <w:adjustRightInd w:val="0"/>
        <w:snapToGrid w:val="0"/>
        <w:jc w:val="both"/>
        <w:rPr>
          <w:rFonts w:cs="Times New Roman"/>
          <w:b/>
          <w:bCs/>
          <w:sz w:val="20"/>
          <w:szCs w:val="20"/>
          <w:rtl/>
          <w:lang w:bidi="fa-IR"/>
        </w:rPr>
      </w:pPr>
      <w:r w:rsidRPr="00232743">
        <w:rPr>
          <w:rFonts w:eastAsia="SimSun" w:cs="Times New Roman"/>
          <w:b/>
          <w:sz w:val="20"/>
          <w:szCs w:val="20"/>
          <w:lang w:eastAsia="ar-SA"/>
        </w:rPr>
        <w:t>Abstract:</w:t>
      </w:r>
      <w:r w:rsidRPr="00232743">
        <w:rPr>
          <w:rFonts w:cs="Times New Roman"/>
          <w:b/>
          <w:bCs/>
          <w:sz w:val="20"/>
          <w:szCs w:val="20"/>
          <w:lang w:bidi="fa-IR"/>
        </w:rPr>
        <w:t xml:space="preserve"> </w:t>
      </w:r>
      <w:r w:rsidR="001015A7" w:rsidRPr="00232743">
        <w:rPr>
          <w:rFonts w:cs="Times New Roman"/>
          <w:sz w:val="20"/>
          <w:szCs w:val="20"/>
          <w:lang w:bidi="fa-IR"/>
        </w:rPr>
        <w:t>The purpose this study is Evaluation</w:t>
      </w:r>
      <w:r w:rsidR="001015A7" w:rsidRPr="00232743">
        <w:rPr>
          <w:rFonts w:eastAsia="Calibri" w:cs="Times New Roman"/>
          <w:sz w:val="20"/>
          <w:szCs w:val="20"/>
        </w:rPr>
        <w:t xml:space="preserve"> of the</w:t>
      </w:r>
      <w:r w:rsidR="001015A7" w:rsidRPr="00232743">
        <w:rPr>
          <w:rFonts w:cs="Times New Roman"/>
          <w:sz w:val="20"/>
          <w:szCs w:val="20"/>
          <w:lang w:bidi="fa-IR"/>
        </w:rPr>
        <w:t xml:space="preserve"> Effective </w:t>
      </w:r>
      <w:r w:rsidR="001015A7" w:rsidRPr="00232743">
        <w:rPr>
          <w:rFonts w:eastAsia="Calibri" w:cs="Times New Roman"/>
          <w:sz w:val="20"/>
          <w:szCs w:val="20"/>
        </w:rPr>
        <w:t xml:space="preserve">Barriers </w:t>
      </w:r>
      <w:r w:rsidR="001015A7" w:rsidRPr="00232743">
        <w:rPr>
          <w:rFonts w:cs="Times New Roman"/>
          <w:sz w:val="20"/>
          <w:szCs w:val="20"/>
          <w:lang w:bidi="fa-IR"/>
        </w:rPr>
        <w:t xml:space="preserve">in GSCM implementation Using DEMATEL Methods and the impact of these factors on each. </w:t>
      </w:r>
      <w:r w:rsidR="001015A7" w:rsidRPr="00232743">
        <w:rPr>
          <w:rFonts w:eastAsia="Calibri" w:cs="Times New Roman"/>
          <w:sz w:val="20"/>
          <w:szCs w:val="20"/>
          <w:lang w:bidi="fa-IR"/>
        </w:rPr>
        <w:t xml:space="preserve">To identify critical influential factors, the authors studied and reviewed relevant literature from numerous fields of study associated with the essential issues of </w:t>
      </w:r>
      <w:r w:rsidR="001015A7" w:rsidRPr="00232743">
        <w:rPr>
          <w:rFonts w:cs="Times New Roman"/>
          <w:sz w:val="20"/>
          <w:szCs w:val="20"/>
          <w:lang w:bidi="fa-IR"/>
        </w:rPr>
        <w:t>GSCM</w:t>
      </w:r>
      <w:r w:rsidR="001015A7" w:rsidRPr="00232743">
        <w:rPr>
          <w:rFonts w:eastAsia="Calibri" w:cs="Times New Roman"/>
          <w:sz w:val="20"/>
          <w:szCs w:val="20"/>
          <w:lang w:bidi="fa-IR"/>
        </w:rPr>
        <w:t>.</w:t>
      </w:r>
      <w:r w:rsidR="001015A7" w:rsidRPr="00232743">
        <w:rPr>
          <w:rFonts w:eastAsia="AdvGulliv-R" w:cs="Times New Roman"/>
          <w:sz w:val="20"/>
          <w:szCs w:val="20"/>
          <w:lang w:bidi="fa-IR"/>
        </w:rPr>
        <w:t xml:space="preserve"> This research uses the </w:t>
      </w:r>
      <w:r w:rsidR="001015A7" w:rsidRPr="00232743">
        <w:rPr>
          <w:rFonts w:eastAsia="Calibri" w:cs="Times New Roman"/>
          <w:sz w:val="20"/>
          <w:szCs w:val="20"/>
        </w:rPr>
        <w:t>DEMATEL method</w:t>
      </w:r>
      <w:r w:rsidR="001015A7" w:rsidRPr="00232743">
        <w:rPr>
          <w:rFonts w:eastAsia="AdvGulliv-R" w:cs="Times New Roman"/>
          <w:sz w:val="20"/>
          <w:szCs w:val="20"/>
          <w:lang w:bidi="fa-IR"/>
        </w:rPr>
        <w:t xml:space="preserve"> as the tool that determines the </w:t>
      </w:r>
      <w:r w:rsidR="001015A7" w:rsidRPr="00232743">
        <w:rPr>
          <w:rFonts w:eastAsia="Calibri" w:cs="Times New Roman"/>
          <w:sz w:val="20"/>
          <w:szCs w:val="20"/>
        </w:rPr>
        <w:t>Prioritization</w:t>
      </w:r>
      <w:r w:rsidR="001015A7" w:rsidRPr="00232743">
        <w:rPr>
          <w:rFonts w:eastAsia="AdvGulliv-R" w:cs="Times New Roman"/>
          <w:sz w:val="20"/>
          <w:szCs w:val="20"/>
          <w:lang w:bidi="fa-IR"/>
        </w:rPr>
        <w:t xml:space="preserve"> and</w:t>
      </w:r>
      <w:r w:rsidR="001015A7" w:rsidRPr="00232743">
        <w:rPr>
          <w:rFonts w:eastAsia="Calibri" w:cs="Times New Roman"/>
          <w:sz w:val="20"/>
          <w:szCs w:val="20"/>
        </w:rPr>
        <w:t xml:space="preserve"> Influence severity</w:t>
      </w:r>
      <w:r w:rsidR="001015A7" w:rsidRPr="00232743">
        <w:rPr>
          <w:rFonts w:eastAsia="AdvGulliv-R" w:cs="Times New Roman"/>
          <w:sz w:val="20"/>
          <w:szCs w:val="20"/>
        </w:rPr>
        <w:t xml:space="preserve"> </w:t>
      </w:r>
      <w:r w:rsidR="001015A7" w:rsidRPr="00232743">
        <w:rPr>
          <w:rFonts w:eastAsia="AdvGulliv-R" w:cs="Times New Roman"/>
          <w:sz w:val="20"/>
          <w:szCs w:val="20"/>
          <w:lang w:bidi="fa-IR"/>
        </w:rPr>
        <w:t>of each factor.</w:t>
      </w:r>
      <w:r w:rsidR="001015A7" w:rsidRPr="00232743">
        <w:rPr>
          <w:rFonts w:eastAsia="Calibri" w:cs="Times New Roman"/>
          <w:sz w:val="20"/>
          <w:szCs w:val="20"/>
          <w:lang w:bidi="fa-IR"/>
        </w:rPr>
        <w:t xml:space="preserve"> The results show </w:t>
      </w:r>
      <w:r w:rsidR="001015A7" w:rsidRPr="00232743">
        <w:rPr>
          <w:rFonts w:eastAsia="Calibri" w:cs="Times New Roman"/>
          <w:sz w:val="20"/>
          <w:szCs w:val="20"/>
        </w:rPr>
        <w:t>Organization Management</w:t>
      </w:r>
      <w:r w:rsidR="001015A7" w:rsidRPr="00232743">
        <w:rPr>
          <w:rFonts w:eastAsia="Calibri" w:cs="Times New Roman"/>
          <w:sz w:val="20"/>
          <w:szCs w:val="20"/>
          <w:lang w:bidi="fa-IR"/>
        </w:rPr>
        <w:t xml:space="preserve"> has great impact on success of </w:t>
      </w:r>
      <w:r w:rsidR="001015A7" w:rsidRPr="00232743">
        <w:rPr>
          <w:rFonts w:cs="Times New Roman"/>
          <w:sz w:val="20"/>
          <w:szCs w:val="20"/>
          <w:lang w:bidi="fa-IR"/>
        </w:rPr>
        <w:t xml:space="preserve">GSCM </w:t>
      </w:r>
      <w:r w:rsidR="001015A7" w:rsidRPr="00232743">
        <w:rPr>
          <w:rFonts w:eastAsia="Calibri" w:cs="Times New Roman"/>
          <w:sz w:val="20"/>
          <w:szCs w:val="20"/>
          <w:lang w:bidi="fa-IR"/>
        </w:rPr>
        <w:t xml:space="preserve">implementation among main aspects. Among criteria of </w:t>
      </w:r>
      <w:r w:rsidR="001015A7" w:rsidRPr="00232743">
        <w:rPr>
          <w:rFonts w:eastAsia="Calibri" w:cs="Times New Roman"/>
          <w:sz w:val="20"/>
          <w:szCs w:val="20"/>
        </w:rPr>
        <w:t>Organization Management</w:t>
      </w:r>
      <w:r w:rsidR="001015A7" w:rsidRPr="00232743">
        <w:rPr>
          <w:rFonts w:eastAsia="Calibri" w:cs="Times New Roman"/>
          <w:sz w:val="20"/>
          <w:szCs w:val="20"/>
          <w:lang w:bidi="fa-IR"/>
        </w:rPr>
        <w:t xml:space="preserve">‚ </w:t>
      </w:r>
      <w:r w:rsidR="001015A7" w:rsidRPr="00232743">
        <w:rPr>
          <w:rFonts w:eastAsia="Calibri" w:cs="Times New Roman"/>
          <w:sz w:val="20"/>
          <w:szCs w:val="20"/>
        </w:rPr>
        <w:t>Lack of top management support</w:t>
      </w:r>
      <w:r w:rsidR="001015A7" w:rsidRPr="00232743">
        <w:rPr>
          <w:rFonts w:eastAsia="Calibri" w:cs="Times New Roman"/>
          <w:sz w:val="20"/>
          <w:szCs w:val="20"/>
          <w:lang w:bidi="fa-IR"/>
        </w:rPr>
        <w:t xml:space="preserve"> has Great</w:t>
      </w:r>
      <w:r w:rsidR="001015A7" w:rsidRPr="00232743">
        <w:rPr>
          <w:rFonts w:eastAsia="Calibri" w:cs="Times New Roman"/>
          <w:sz w:val="20"/>
          <w:szCs w:val="20"/>
        </w:rPr>
        <w:t xml:space="preserve"> Influence</w:t>
      </w:r>
      <w:r w:rsidR="001015A7" w:rsidRPr="00232743">
        <w:rPr>
          <w:rFonts w:eastAsia="AdvGulliv-R" w:cs="Times New Roman"/>
          <w:sz w:val="20"/>
          <w:szCs w:val="20"/>
          <w:lang w:bidi="fa-IR"/>
        </w:rPr>
        <w:t xml:space="preserve"> on other criteria.</w:t>
      </w:r>
      <w:r w:rsidR="001015A7" w:rsidRPr="00232743">
        <w:rPr>
          <w:rFonts w:eastAsia="Calibri" w:cs="Times New Roman"/>
          <w:sz w:val="20"/>
          <w:szCs w:val="20"/>
          <w:lang w:bidi="fa-IR"/>
        </w:rPr>
        <w:t xml:space="preserve"> Also‚</w:t>
      </w:r>
      <w:r w:rsidR="001015A7" w:rsidRPr="00232743">
        <w:rPr>
          <w:rFonts w:eastAsia="AdvGulliv-R" w:cs="Times New Roman"/>
          <w:sz w:val="20"/>
          <w:szCs w:val="20"/>
          <w:lang w:bidi="fa-IR"/>
        </w:rPr>
        <w:t xml:space="preserve"> </w:t>
      </w:r>
      <w:r w:rsidR="001015A7" w:rsidRPr="00232743">
        <w:rPr>
          <w:rFonts w:eastAsia="Calibri" w:cs="Times New Roman"/>
          <w:sz w:val="20"/>
          <w:szCs w:val="20"/>
          <w:lang w:bidi="fa-IR"/>
        </w:rPr>
        <w:t xml:space="preserve">among criteria of </w:t>
      </w:r>
      <w:r w:rsidR="001015A7" w:rsidRPr="00232743">
        <w:rPr>
          <w:rFonts w:eastAsia="Calibri" w:cs="Times New Roman"/>
          <w:sz w:val="20"/>
          <w:szCs w:val="20"/>
        </w:rPr>
        <w:t>Organizational Culture</w:t>
      </w:r>
      <w:r w:rsidR="001015A7" w:rsidRPr="00232743">
        <w:rPr>
          <w:rFonts w:eastAsia="Calibri" w:cs="Times New Roman"/>
          <w:sz w:val="20"/>
          <w:szCs w:val="20"/>
          <w:lang w:bidi="fa-IR"/>
        </w:rPr>
        <w:t xml:space="preserve">‚ </w:t>
      </w:r>
      <w:r w:rsidR="001015A7" w:rsidRPr="00232743">
        <w:rPr>
          <w:rFonts w:eastAsia="Calibri" w:cs="Times New Roman"/>
          <w:sz w:val="20"/>
          <w:szCs w:val="20"/>
        </w:rPr>
        <w:t>the lack of incentive legislation for the Green Supply Chain</w:t>
      </w:r>
      <w:r w:rsidR="001015A7" w:rsidRPr="00232743">
        <w:rPr>
          <w:rFonts w:eastAsia="Calibri" w:cs="Times New Roman"/>
          <w:sz w:val="20"/>
          <w:szCs w:val="20"/>
          <w:lang w:bidi="fa-IR"/>
        </w:rPr>
        <w:t xml:space="preserve"> has Great</w:t>
      </w:r>
      <w:r w:rsidR="001015A7" w:rsidRPr="00232743">
        <w:rPr>
          <w:rFonts w:eastAsia="Calibri" w:cs="Times New Roman"/>
          <w:sz w:val="20"/>
          <w:szCs w:val="20"/>
        </w:rPr>
        <w:t xml:space="preserve"> Influence</w:t>
      </w:r>
      <w:r w:rsidR="001015A7" w:rsidRPr="00232743">
        <w:rPr>
          <w:rFonts w:eastAsia="AdvGulliv-R" w:cs="Times New Roman"/>
          <w:sz w:val="20"/>
          <w:szCs w:val="20"/>
          <w:lang w:bidi="fa-IR"/>
        </w:rPr>
        <w:t xml:space="preserve"> on other criteria.</w:t>
      </w:r>
      <w:r w:rsidR="007004D8">
        <w:rPr>
          <w:rFonts w:eastAsia="AdvGulliv-R" w:cs="Times New Roman"/>
          <w:sz w:val="20"/>
          <w:szCs w:val="20"/>
          <w:lang w:bidi="fa-IR"/>
        </w:rPr>
        <w:t xml:space="preserve"> </w:t>
      </w:r>
      <w:r w:rsidR="001015A7" w:rsidRPr="00232743">
        <w:rPr>
          <w:rFonts w:eastAsia="Calibri" w:cs="Times New Roman"/>
          <w:sz w:val="20"/>
          <w:szCs w:val="20"/>
          <w:lang w:bidi="fa-IR"/>
        </w:rPr>
        <w:t>Also‚</w:t>
      </w:r>
      <w:r w:rsidR="001015A7" w:rsidRPr="00232743">
        <w:rPr>
          <w:rFonts w:eastAsia="AdvGulliv-R" w:cs="Times New Roman"/>
          <w:sz w:val="20"/>
          <w:szCs w:val="20"/>
          <w:lang w:bidi="fa-IR"/>
        </w:rPr>
        <w:t xml:space="preserve"> </w:t>
      </w:r>
      <w:r w:rsidR="001015A7" w:rsidRPr="00232743">
        <w:rPr>
          <w:rFonts w:eastAsia="Calibri" w:cs="Times New Roman"/>
          <w:sz w:val="20"/>
          <w:szCs w:val="20"/>
          <w:lang w:bidi="fa-IR"/>
        </w:rPr>
        <w:t xml:space="preserve">among criteria of </w:t>
      </w:r>
      <w:r w:rsidR="001015A7" w:rsidRPr="00232743">
        <w:rPr>
          <w:rFonts w:eastAsia="Calibri" w:cs="Times New Roman"/>
          <w:sz w:val="20"/>
          <w:szCs w:val="20"/>
        </w:rPr>
        <w:t>Organizational Structure</w:t>
      </w:r>
      <w:r w:rsidR="001015A7" w:rsidRPr="00232743">
        <w:rPr>
          <w:rFonts w:eastAsia="Calibri" w:cs="Times New Roman"/>
          <w:sz w:val="20"/>
          <w:szCs w:val="20"/>
          <w:lang w:bidi="fa-IR"/>
        </w:rPr>
        <w:t xml:space="preserve">‚ </w:t>
      </w:r>
      <w:r w:rsidR="001015A7" w:rsidRPr="00232743">
        <w:rPr>
          <w:rFonts w:eastAsia="Calibri" w:cs="Times New Roman"/>
          <w:sz w:val="20"/>
          <w:szCs w:val="20"/>
        </w:rPr>
        <w:t>Lack of information and data required</w:t>
      </w:r>
      <w:r w:rsidR="001015A7" w:rsidRPr="00232743">
        <w:rPr>
          <w:rFonts w:eastAsia="Calibri" w:cs="Times New Roman"/>
          <w:sz w:val="20"/>
          <w:szCs w:val="20"/>
          <w:lang w:bidi="fa-IR"/>
        </w:rPr>
        <w:t xml:space="preserve"> has Great</w:t>
      </w:r>
      <w:r w:rsidR="001015A7" w:rsidRPr="00232743">
        <w:rPr>
          <w:rFonts w:eastAsia="Calibri" w:cs="Times New Roman"/>
          <w:sz w:val="20"/>
          <w:szCs w:val="20"/>
        </w:rPr>
        <w:t xml:space="preserve"> Influence</w:t>
      </w:r>
      <w:r w:rsidR="001015A7" w:rsidRPr="00232743">
        <w:rPr>
          <w:rFonts w:eastAsia="AdvGulliv-R" w:cs="Times New Roman"/>
          <w:sz w:val="20"/>
          <w:szCs w:val="20"/>
          <w:lang w:bidi="fa-IR"/>
        </w:rPr>
        <w:t xml:space="preserve"> on other criteria.</w:t>
      </w:r>
      <w:r w:rsidR="001015A7" w:rsidRPr="00232743">
        <w:rPr>
          <w:rFonts w:eastAsia="AdvGulliv-R" w:cs="Times New Roman"/>
          <w:sz w:val="20"/>
          <w:szCs w:val="20"/>
          <w:rtl/>
          <w:lang w:bidi="fa-IR"/>
        </w:rPr>
        <w:t xml:space="preserve"> </w:t>
      </w:r>
      <w:r w:rsidR="001015A7" w:rsidRPr="00232743">
        <w:rPr>
          <w:rFonts w:eastAsia="Calibri" w:cs="Times New Roman"/>
          <w:sz w:val="20"/>
          <w:szCs w:val="20"/>
          <w:lang w:bidi="fa-IR"/>
        </w:rPr>
        <w:t>Also‚</w:t>
      </w:r>
      <w:r w:rsidR="001015A7" w:rsidRPr="00232743">
        <w:rPr>
          <w:rFonts w:eastAsia="AdvGulliv-R" w:cs="Times New Roman"/>
          <w:sz w:val="20"/>
          <w:szCs w:val="20"/>
          <w:lang w:bidi="fa-IR"/>
        </w:rPr>
        <w:t xml:space="preserve"> </w:t>
      </w:r>
      <w:r w:rsidR="001015A7" w:rsidRPr="00232743">
        <w:rPr>
          <w:rFonts w:eastAsia="Calibri" w:cs="Times New Roman"/>
          <w:sz w:val="20"/>
          <w:szCs w:val="20"/>
          <w:lang w:bidi="fa-IR"/>
        </w:rPr>
        <w:t xml:space="preserve">among criteria of </w:t>
      </w:r>
      <w:r w:rsidR="001015A7" w:rsidRPr="00232743">
        <w:rPr>
          <w:rFonts w:eastAsia="Calibri" w:cs="Times New Roman"/>
          <w:sz w:val="20"/>
          <w:szCs w:val="20"/>
        </w:rPr>
        <w:t>Rules and guidelines</w:t>
      </w:r>
      <w:r w:rsidR="001015A7" w:rsidRPr="00232743">
        <w:rPr>
          <w:rFonts w:eastAsia="Calibri" w:cs="Times New Roman"/>
          <w:sz w:val="20"/>
          <w:szCs w:val="20"/>
          <w:lang w:bidi="fa-IR"/>
        </w:rPr>
        <w:t xml:space="preserve"> ‚ </w:t>
      </w:r>
      <w:r w:rsidR="001015A7" w:rsidRPr="00232743">
        <w:rPr>
          <w:rFonts w:eastAsia="Calibri" w:cs="Times New Roman"/>
          <w:sz w:val="20"/>
          <w:szCs w:val="20"/>
        </w:rPr>
        <w:t>Lack of supply chain integration</w:t>
      </w:r>
      <w:r w:rsidR="001015A7" w:rsidRPr="00232743">
        <w:rPr>
          <w:rFonts w:eastAsia="Calibri" w:cs="Times New Roman"/>
          <w:sz w:val="20"/>
          <w:szCs w:val="20"/>
          <w:lang w:bidi="fa-IR"/>
        </w:rPr>
        <w:t xml:space="preserve"> has Great</w:t>
      </w:r>
      <w:r w:rsidR="001015A7" w:rsidRPr="00232743">
        <w:rPr>
          <w:rFonts w:eastAsia="Calibri" w:cs="Times New Roman"/>
          <w:sz w:val="20"/>
          <w:szCs w:val="20"/>
        </w:rPr>
        <w:t xml:space="preserve"> Influence</w:t>
      </w:r>
      <w:r w:rsidR="001015A7" w:rsidRPr="00232743">
        <w:rPr>
          <w:rFonts w:eastAsia="AdvGulliv-R" w:cs="Times New Roman"/>
          <w:sz w:val="20"/>
          <w:szCs w:val="20"/>
          <w:lang w:bidi="fa-IR"/>
        </w:rPr>
        <w:t xml:space="preserve"> on other criteria.</w:t>
      </w:r>
    </w:p>
    <w:p w:rsidR="00717A83" w:rsidRPr="000619F6" w:rsidRDefault="00717A83" w:rsidP="001D7F10">
      <w:pPr>
        <w:autoSpaceDE w:val="0"/>
        <w:autoSpaceDN w:val="0"/>
        <w:bidi w:val="0"/>
        <w:adjustRightInd w:val="0"/>
        <w:snapToGrid w:val="0"/>
        <w:jc w:val="both"/>
        <w:rPr>
          <w:rFonts w:cs="Times New Roman"/>
          <w:b/>
          <w:bCs/>
          <w:sz w:val="20"/>
          <w:szCs w:val="20"/>
          <w:lang w:eastAsia="zh-CN" w:bidi="fa-IR"/>
        </w:rPr>
      </w:pPr>
      <w:r w:rsidRPr="00232743">
        <w:rPr>
          <w:rFonts w:eastAsia="SimSun" w:cs="Times New Roman"/>
          <w:color w:val="000000"/>
          <w:sz w:val="20"/>
          <w:szCs w:val="20"/>
          <w:lang w:eastAsia="ar-SA"/>
        </w:rPr>
        <w:t>[</w:t>
      </w:r>
      <w:proofErr w:type="spellStart"/>
      <w:r w:rsidRPr="00232743">
        <w:rPr>
          <w:rFonts w:eastAsia="Times New Roman+FPEF" w:cs="Times New Roman"/>
          <w:sz w:val="20"/>
          <w:szCs w:val="20"/>
        </w:rPr>
        <w:t>Jalalifar</w:t>
      </w:r>
      <w:proofErr w:type="spellEnd"/>
      <w:r w:rsidRPr="00232743">
        <w:rPr>
          <w:rFonts w:eastAsia="SimSun" w:cs="Times New Roman"/>
          <w:sz w:val="20"/>
          <w:szCs w:val="20"/>
          <w:lang w:eastAsia="ar-SA"/>
        </w:rPr>
        <w:t xml:space="preserve"> S, </w:t>
      </w:r>
      <w:proofErr w:type="spellStart"/>
      <w:r w:rsidRPr="00232743">
        <w:rPr>
          <w:rFonts w:eastAsia="Times New Roman+FPEF" w:cs="Times New Roman"/>
          <w:sz w:val="20"/>
          <w:szCs w:val="20"/>
        </w:rPr>
        <w:t>Fathi</w:t>
      </w:r>
      <w:proofErr w:type="spellEnd"/>
      <w:r w:rsidRPr="00232743">
        <w:rPr>
          <w:rFonts w:eastAsia="Times New Roman+FPEF" w:cs="Times New Roman"/>
          <w:sz w:val="20"/>
          <w:szCs w:val="20"/>
        </w:rPr>
        <w:t xml:space="preserve"> </w:t>
      </w:r>
      <w:proofErr w:type="spellStart"/>
      <w:r w:rsidRPr="00232743">
        <w:rPr>
          <w:rFonts w:eastAsia="Times New Roman+FPEF" w:cs="Times New Roman"/>
          <w:sz w:val="20"/>
          <w:szCs w:val="20"/>
        </w:rPr>
        <w:t>Hafshejani</w:t>
      </w:r>
      <w:proofErr w:type="spellEnd"/>
      <w:r w:rsidRPr="00232743">
        <w:rPr>
          <w:rFonts w:eastAsia="SimSun" w:cs="Times New Roman"/>
          <w:sz w:val="20"/>
          <w:szCs w:val="20"/>
          <w:lang w:eastAsia="ar-SA"/>
        </w:rPr>
        <w:t xml:space="preserve"> K, </w:t>
      </w:r>
      <w:proofErr w:type="spellStart"/>
      <w:proofErr w:type="gramStart"/>
      <w:r w:rsidRPr="00232743">
        <w:rPr>
          <w:rFonts w:eastAsia="Times New Roman+FPEF" w:cs="Times New Roman"/>
          <w:sz w:val="20"/>
          <w:szCs w:val="20"/>
        </w:rPr>
        <w:t>Movahedi</w:t>
      </w:r>
      <w:proofErr w:type="spellEnd"/>
      <w:proofErr w:type="gramEnd"/>
      <w:r w:rsidRPr="00232743">
        <w:rPr>
          <w:rFonts w:eastAsia="SimSun" w:cs="Times New Roman"/>
          <w:sz w:val="20"/>
          <w:szCs w:val="20"/>
          <w:lang w:eastAsia="ar-SA"/>
        </w:rPr>
        <w:t xml:space="preserve"> M.M. </w:t>
      </w:r>
      <w:r w:rsidRPr="00232743">
        <w:rPr>
          <w:rFonts w:eastAsia="Calibri" w:cs="Times New Roman"/>
          <w:b/>
          <w:bCs/>
          <w:sz w:val="20"/>
          <w:szCs w:val="20"/>
        </w:rPr>
        <w:t>Evaluation of the</w:t>
      </w:r>
      <w:r w:rsidRPr="00232743">
        <w:rPr>
          <w:rFonts w:cs="Times New Roman"/>
          <w:b/>
          <w:bCs/>
          <w:sz w:val="20"/>
          <w:szCs w:val="20"/>
          <w:lang w:bidi="fa-IR"/>
        </w:rPr>
        <w:t xml:space="preserve"> Effective </w:t>
      </w:r>
      <w:r w:rsidRPr="00232743">
        <w:rPr>
          <w:rFonts w:eastAsia="Calibri" w:cs="Times New Roman"/>
          <w:b/>
          <w:bCs/>
          <w:sz w:val="20"/>
          <w:szCs w:val="20"/>
        </w:rPr>
        <w:t xml:space="preserve">Barriers </w:t>
      </w:r>
      <w:r w:rsidRPr="00232743">
        <w:rPr>
          <w:rFonts w:cs="Times New Roman"/>
          <w:b/>
          <w:bCs/>
          <w:sz w:val="20"/>
          <w:szCs w:val="20"/>
          <w:lang w:bidi="fa-IR"/>
        </w:rPr>
        <w:t xml:space="preserve">in GSCM implementation Using DEMATEL Method </w:t>
      </w:r>
      <w:r w:rsidRPr="00232743">
        <w:rPr>
          <w:rFonts w:eastAsiaTheme="minorHAnsi" w:cs="Times New Roman"/>
          <w:b/>
          <w:bCs/>
          <w:sz w:val="20"/>
          <w:szCs w:val="20"/>
        </w:rPr>
        <w:t xml:space="preserve">(Case study: Iran </w:t>
      </w:r>
      <w:proofErr w:type="spellStart"/>
      <w:r w:rsidRPr="00232743">
        <w:rPr>
          <w:rFonts w:eastAsiaTheme="minorHAnsi" w:cs="Times New Roman"/>
          <w:b/>
          <w:bCs/>
          <w:sz w:val="20"/>
          <w:szCs w:val="20"/>
        </w:rPr>
        <w:t>Khodro</w:t>
      </w:r>
      <w:proofErr w:type="spellEnd"/>
      <w:r w:rsidRPr="00232743">
        <w:rPr>
          <w:rFonts w:eastAsiaTheme="minorHAnsi" w:cs="Times New Roman"/>
          <w:b/>
          <w:bCs/>
          <w:sz w:val="20"/>
          <w:szCs w:val="20"/>
        </w:rPr>
        <w:t xml:space="preserve"> CO)</w:t>
      </w:r>
      <w:r w:rsidRPr="00232743">
        <w:rPr>
          <w:rFonts w:eastAsia="SimSun" w:cs="Times New Roman"/>
          <w:sz w:val="20"/>
          <w:szCs w:val="20"/>
          <w:lang w:eastAsia="ar-SA"/>
        </w:rPr>
        <w:t>.</w:t>
      </w:r>
      <w:r w:rsidRPr="00232743">
        <w:rPr>
          <w:rFonts w:eastAsia="SimSun" w:cs="Times New Roman"/>
          <w:color w:val="000000"/>
          <w:sz w:val="20"/>
          <w:szCs w:val="20"/>
          <w:lang w:eastAsia="ar-SA"/>
        </w:rPr>
        <w:t xml:space="preserve"> </w:t>
      </w:r>
      <w:r w:rsidRPr="00232743">
        <w:rPr>
          <w:rFonts w:cs="Times New Roman"/>
          <w:bCs/>
          <w:i/>
          <w:sz w:val="20"/>
          <w:szCs w:val="20"/>
          <w:lang w:eastAsia="ar-SA"/>
        </w:rPr>
        <w:t xml:space="preserve">Nat </w:t>
      </w:r>
      <w:proofErr w:type="spellStart"/>
      <w:r w:rsidRPr="00232743">
        <w:rPr>
          <w:rFonts w:cs="Times New Roman"/>
          <w:bCs/>
          <w:i/>
          <w:sz w:val="20"/>
          <w:szCs w:val="20"/>
          <w:lang w:eastAsia="ar-SA"/>
        </w:rPr>
        <w:t>Sci</w:t>
      </w:r>
      <w:proofErr w:type="spellEnd"/>
      <w:r w:rsidRPr="00232743">
        <w:rPr>
          <w:rFonts w:cs="Times New Roman"/>
          <w:bCs/>
          <w:sz w:val="20"/>
          <w:szCs w:val="20"/>
          <w:lang w:eastAsia="ar-SA"/>
        </w:rPr>
        <w:t xml:space="preserve"> </w:t>
      </w:r>
      <w:r w:rsidRPr="00232743">
        <w:rPr>
          <w:rFonts w:eastAsia="SimSun" w:cs="Times New Roman"/>
          <w:sz w:val="20"/>
          <w:szCs w:val="20"/>
          <w:lang w:eastAsia="ar-SA"/>
        </w:rPr>
        <w:t>2013;11(</w:t>
      </w:r>
      <w:r w:rsidR="000619F6">
        <w:rPr>
          <w:rFonts w:cs="Times New Roman" w:hint="eastAsia"/>
          <w:sz w:val="20"/>
          <w:szCs w:val="20"/>
          <w:lang w:eastAsia="zh-CN"/>
        </w:rPr>
        <w:t>11</w:t>
      </w:r>
      <w:r w:rsidRPr="00232743">
        <w:rPr>
          <w:rFonts w:eastAsia="SimSun" w:cs="Times New Roman"/>
          <w:sz w:val="20"/>
          <w:szCs w:val="20"/>
          <w:lang w:eastAsia="ar-SA"/>
        </w:rPr>
        <w:t>):</w:t>
      </w:r>
      <w:r w:rsidR="000619F6">
        <w:rPr>
          <w:rFonts w:cs="Times New Roman" w:hint="eastAsia"/>
          <w:sz w:val="20"/>
          <w:szCs w:val="20"/>
          <w:lang w:eastAsia="zh-CN"/>
        </w:rPr>
        <w:t>95</w:t>
      </w:r>
      <w:r w:rsidRPr="00232743">
        <w:rPr>
          <w:rFonts w:eastAsia="SimSun" w:cs="Times New Roman"/>
          <w:sz w:val="20"/>
          <w:szCs w:val="20"/>
          <w:lang w:eastAsia="ar-SA"/>
        </w:rPr>
        <w:t>-</w:t>
      </w:r>
      <w:r w:rsidR="003C0421">
        <w:rPr>
          <w:rFonts w:cs="Times New Roman" w:hint="eastAsia"/>
          <w:sz w:val="20"/>
          <w:szCs w:val="20"/>
          <w:lang w:eastAsia="zh-CN"/>
        </w:rPr>
        <w:t>10</w:t>
      </w:r>
      <w:r w:rsidR="00AD71F2">
        <w:rPr>
          <w:rFonts w:cs="Times New Roman" w:hint="eastAsia"/>
          <w:sz w:val="20"/>
          <w:szCs w:val="20"/>
          <w:lang w:eastAsia="zh-CN"/>
        </w:rPr>
        <w:t>2</w:t>
      </w:r>
      <w:r w:rsidRPr="00232743">
        <w:rPr>
          <w:rFonts w:eastAsia="SimSun" w:cs="Times New Roman"/>
          <w:sz w:val="20"/>
          <w:szCs w:val="20"/>
          <w:lang w:eastAsia="ar-SA"/>
        </w:rPr>
        <w:t xml:space="preserve">]. (ISSN: 1545-0740). </w:t>
      </w:r>
      <w:hyperlink r:id="rId8" w:history="1">
        <w:r w:rsidRPr="00232743">
          <w:rPr>
            <w:rFonts w:eastAsia="SimSun" w:cs="Times New Roman"/>
            <w:color w:val="0000FF"/>
            <w:sz w:val="20"/>
            <w:szCs w:val="20"/>
            <w:u w:val="single"/>
            <w:lang w:eastAsia="ar-SA"/>
          </w:rPr>
          <w:t>http://www.sciencepub.net/nature</w:t>
        </w:r>
      </w:hyperlink>
      <w:r w:rsidRPr="00232743">
        <w:rPr>
          <w:rFonts w:eastAsia="SimSun" w:cs="Times New Roman"/>
          <w:sz w:val="20"/>
          <w:szCs w:val="20"/>
          <w:lang w:eastAsia="ar-SA"/>
        </w:rPr>
        <w:t xml:space="preserve">. </w:t>
      </w:r>
      <w:r w:rsidR="000619F6">
        <w:rPr>
          <w:rFonts w:cs="Times New Roman" w:hint="eastAsia"/>
          <w:sz w:val="20"/>
          <w:szCs w:val="20"/>
          <w:lang w:eastAsia="zh-CN"/>
        </w:rPr>
        <w:t>14</w:t>
      </w:r>
    </w:p>
    <w:p w:rsidR="00717A83" w:rsidRPr="00232743" w:rsidRDefault="00717A83" w:rsidP="001D7F10">
      <w:pPr>
        <w:autoSpaceDE w:val="0"/>
        <w:autoSpaceDN w:val="0"/>
        <w:bidi w:val="0"/>
        <w:adjustRightInd w:val="0"/>
        <w:snapToGrid w:val="0"/>
        <w:jc w:val="both"/>
        <w:rPr>
          <w:rFonts w:cs="Times New Roman"/>
          <w:sz w:val="20"/>
          <w:szCs w:val="20"/>
          <w:lang w:bidi="fa-IR"/>
        </w:rPr>
      </w:pPr>
    </w:p>
    <w:p w:rsidR="00D9474C" w:rsidRPr="00232743" w:rsidRDefault="003332E9" w:rsidP="001D7F10">
      <w:pPr>
        <w:tabs>
          <w:tab w:val="left" w:pos="4073"/>
          <w:tab w:val="center" w:pos="4818"/>
        </w:tabs>
        <w:bidi w:val="0"/>
        <w:adjustRightInd w:val="0"/>
        <w:snapToGrid w:val="0"/>
        <w:jc w:val="both"/>
        <w:rPr>
          <w:rFonts w:cs="Times New Roman"/>
          <w:sz w:val="20"/>
          <w:szCs w:val="20"/>
          <w:lang w:bidi="fa-IR"/>
        </w:rPr>
      </w:pPr>
      <w:r w:rsidRPr="00232743">
        <w:rPr>
          <w:rFonts w:cs="Times New Roman"/>
          <w:b/>
          <w:bCs/>
          <w:sz w:val="20"/>
          <w:szCs w:val="20"/>
        </w:rPr>
        <w:t>Keywords:</w:t>
      </w:r>
      <w:r w:rsidRPr="00232743">
        <w:rPr>
          <w:rFonts w:cs="Times New Roman"/>
          <w:sz w:val="20"/>
          <w:szCs w:val="20"/>
        </w:rPr>
        <w:t xml:space="preserve"> </w:t>
      </w:r>
      <w:r w:rsidR="00D9474C" w:rsidRPr="00232743">
        <w:rPr>
          <w:rFonts w:cs="Times New Roman"/>
          <w:sz w:val="20"/>
          <w:szCs w:val="20"/>
          <w:lang w:bidi="fa-IR"/>
        </w:rPr>
        <w:t>Supply Chain, Green Supply Chain Management, Multi-criteria decision making, DEMATEL</w:t>
      </w:r>
    </w:p>
    <w:bookmarkEnd w:id="0"/>
    <w:p w:rsidR="00696A3B" w:rsidRPr="00232743" w:rsidRDefault="00696A3B" w:rsidP="001D7F10">
      <w:pPr>
        <w:bidi w:val="0"/>
        <w:adjustRightInd w:val="0"/>
        <w:snapToGrid w:val="0"/>
        <w:jc w:val="both"/>
        <w:rPr>
          <w:rFonts w:cs="Times New Roman"/>
          <w:b/>
          <w:bCs/>
          <w:sz w:val="20"/>
          <w:szCs w:val="20"/>
        </w:rPr>
      </w:pPr>
    </w:p>
    <w:p w:rsidR="007004D8" w:rsidRDefault="007004D8" w:rsidP="001D7F10">
      <w:pPr>
        <w:bidi w:val="0"/>
        <w:adjustRightInd w:val="0"/>
        <w:snapToGrid w:val="0"/>
        <w:jc w:val="both"/>
        <w:rPr>
          <w:rFonts w:cs="Times New Roman"/>
          <w:b/>
          <w:bCs/>
          <w:sz w:val="20"/>
          <w:szCs w:val="20"/>
        </w:rPr>
        <w:sectPr w:rsidR="007004D8" w:rsidSect="007004D8">
          <w:headerReference w:type="default" r:id="rId9"/>
          <w:footerReference w:type="even" r:id="rId10"/>
          <w:footerReference w:type="default" r:id="rId11"/>
          <w:type w:val="continuous"/>
          <w:pgSz w:w="12242" w:h="15842" w:code="1"/>
          <w:pgMar w:top="1440" w:right="1440" w:bottom="1440" w:left="1440" w:header="720" w:footer="720" w:gutter="0"/>
          <w:pgNumType w:start="95"/>
          <w:cols w:space="708"/>
          <w:bidi/>
          <w:docGrid w:linePitch="408"/>
        </w:sectPr>
      </w:pPr>
    </w:p>
    <w:p w:rsidR="003332E9" w:rsidRPr="00232743" w:rsidRDefault="003332E9" w:rsidP="007004D8">
      <w:pPr>
        <w:bidi w:val="0"/>
        <w:adjustRightInd w:val="0"/>
        <w:snapToGrid w:val="0"/>
        <w:jc w:val="both"/>
        <w:rPr>
          <w:rFonts w:cs="Times New Roman"/>
          <w:b/>
          <w:bCs/>
          <w:sz w:val="20"/>
          <w:szCs w:val="20"/>
        </w:rPr>
      </w:pPr>
      <w:r w:rsidRPr="00232743">
        <w:rPr>
          <w:rFonts w:cs="Times New Roman"/>
          <w:b/>
          <w:bCs/>
          <w:sz w:val="20"/>
          <w:szCs w:val="20"/>
        </w:rPr>
        <w:lastRenderedPageBreak/>
        <w:t>1. Introduction</w:t>
      </w:r>
    </w:p>
    <w:p w:rsidR="009616ED" w:rsidRPr="00232743" w:rsidRDefault="0071268E" w:rsidP="007004D8">
      <w:pPr>
        <w:autoSpaceDE w:val="0"/>
        <w:autoSpaceDN w:val="0"/>
        <w:bidi w:val="0"/>
        <w:adjustRightInd w:val="0"/>
        <w:snapToGrid w:val="0"/>
        <w:ind w:firstLine="720"/>
        <w:jc w:val="both"/>
        <w:rPr>
          <w:rFonts w:cs="Times New Roman"/>
          <w:sz w:val="20"/>
          <w:szCs w:val="20"/>
        </w:rPr>
      </w:pPr>
      <w:r w:rsidRPr="00232743">
        <w:rPr>
          <w:rFonts w:cs="Times New Roman"/>
          <w:sz w:val="20"/>
          <w:szCs w:val="20"/>
        </w:rPr>
        <w:t>The rapid of environmental issues throughout the world have increasing much concern from customers, buyers, communities and also government. For instance, both the local or international customers and buyers are now requiring their suppliers to make environmental friendly products.</w:t>
      </w:r>
      <w:r w:rsidR="002829B2" w:rsidRPr="00232743">
        <w:rPr>
          <w:rStyle w:val="hps"/>
          <w:rFonts w:cs="Times New Roman"/>
          <w:sz w:val="20"/>
          <w:szCs w:val="20"/>
        </w:rPr>
        <w:t xml:space="preserve"> </w:t>
      </w:r>
      <w:r w:rsidR="00296BE8" w:rsidRPr="00232743">
        <w:rPr>
          <w:rFonts w:cs="Times New Roman"/>
          <w:sz w:val="20"/>
          <w:szCs w:val="20"/>
        </w:rPr>
        <w:t xml:space="preserve">Ho et al. (2002), </w:t>
      </w:r>
      <w:proofErr w:type="spellStart"/>
      <w:r w:rsidR="00296BE8" w:rsidRPr="00232743">
        <w:rPr>
          <w:rFonts w:cs="Times New Roman"/>
          <w:sz w:val="20"/>
          <w:szCs w:val="20"/>
        </w:rPr>
        <w:t>Giannakis</w:t>
      </w:r>
      <w:proofErr w:type="spellEnd"/>
      <w:r w:rsidR="00296BE8" w:rsidRPr="00232743">
        <w:rPr>
          <w:rFonts w:cs="Times New Roman"/>
          <w:sz w:val="20"/>
          <w:szCs w:val="20"/>
        </w:rPr>
        <w:t xml:space="preserve"> and </w:t>
      </w:r>
      <w:proofErr w:type="spellStart"/>
      <w:r w:rsidR="00296BE8" w:rsidRPr="00232743">
        <w:rPr>
          <w:rFonts w:cs="Times New Roman"/>
          <w:sz w:val="20"/>
          <w:szCs w:val="20"/>
        </w:rPr>
        <w:t>Croom</w:t>
      </w:r>
      <w:proofErr w:type="spellEnd"/>
      <w:r w:rsidR="00296BE8" w:rsidRPr="00232743">
        <w:rPr>
          <w:rFonts w:cs="Times New Roman"/>
          <w:sz w:val="20"/>
          <w:szCs w:val="20"/>
        </w:rPr>
        <w:t xml:space="preserve"> (2004) and Chen and </w:t>
      </w:r>
      <w:proofErr w:type="spellStart"/>
      <w:r w:rsidR="00296BE8" w:rsidRPr="00232743">
        <w:rPr>
          <w:rFonts w:cs="Times New Roman"/>
          <w:sz w:val="20"/>
          <w:szCs w:val="20"/>
        </w:rPr>
        <w:t>Paulraj</w:t>
      </w:r>
      <w:proofErr w:type="spellEnd"/>
      <w:r w:rsidR="00296BE8" w:rsidRPr="00232743">
        <w:rPr>
          <w:rFonts w:cs="Times New Roman"/>
          <w:sz w:val="20"/>
          <w:szCs w:val="20"/>
        </w:rPr>
        <w:t xml:space="preserve"> (2004) take a strategic management perspective to address theory development in the SCM area. Likewise, New (1997) provides a thematic overview of the SCM literature. Some of the reviews are narrowly based along functional lines; for example, </w:t>
      </w:r>
      <w:proofErr w:type="spellStart"/>
      <w:r w:rsidR="00296BE8" w:rsidRPr="00232743">
        <w:rPr>
          <w:rFonts w:cs="Times New Roman"/>
          <w:sz w:val="20"/>
          <w:szCs w:val="20"/>
        </w:rPr>
        <w:t>Skjoett</w:t>
      </w:r>
      <w:proofErr w:type="spellEnd"/>
      <w:r w:rsidR="00296BE8" w:rsidRPr="00232743">
        <w:rPr>
          <w:rFonts w:cs="Times New Roman"/>
          <w:sz w:val="20"/>
          <w:szCs w:val="20"/>
        </w:rPr>
        <w:t xml:space="preserve">-Larsen’s (1999) review is focused on the logistics discipline while Larson and </w:t>
      </w:r>
      <w:proofErr w:type="spellStart"/>
      <w:r w:rsidR="00296BE8" w:rsidRPr="00232743">
        <w:rPr>
          <w:rFonts w:cs="Times New Roman"/>
          <w:sz w:val="20"/>
          <w:szCs w:val="20"/>
        </w:rPr>
        <w:t>Halldorsson’s</w:t>
      </w:r>
      <w:proofErr w:type="spellEnd"/>
      <w:r w:rsidR="00296BE8" w:rsidRPr="00232743">
        <w:rPr>
          <w:rFonts w:cs="Times New Roman"/>
          <w:sz w:val="20"/>
          <w:szCs w:val="20"/>
        </w:rPr>
        <w:t xml:space="preserve"> (2002) review is based on the purchasing literature.</w:t>
      </w:r>
      <w:r w:rsidR="002829B2" w:rsidRPr="00232743">
        <w:rPr>
          <w:rFonts w:cs="Times New Roman"/>
          <w:sz w:val="20"/>
          <w:szCs w:val="20"/>
        </w:rPr>
        <w:t xml:space="preserve"> </w:t>
      </w:r>
      <w:r w:rsidR="00E05B84" w:rsidRPr="00232743">
        <w:rPr>
          <w:rFonts w:cs="Times New Roman"/>
          <w:sz w:val="20"/>
          <w:szCs w:val="20"/>
        </w:rPr>
        <w:t>GSCM is defined to be the addition of green issues into supply chain management (</w:t>
      </w:r>
      <w:proofErr w:type="spellStart"/>
      <w:r w:rsidR="00E05B84" w:rsidRPr="00232743">
        <w:rPr>
          <w:rFonts w:cs="Times New Roman"/>
          <w:sz w:val="20"/>
          <w:szCs w:val="20"/>
        </w:rPr>
        <w:t>Hervani</w:t>
      </w:r>
      <w:proofErr w:type="spellEnd"/>
      <w:r w:rsidR="00E05B84" w:rsidRPr="00232743">
        <w:rPr>
          <w:rFonts w:cs="Times New Roman"/>
          <w:sz w:val="20"/>
          <w:szCs w:val="20"/>
        </w:rPr>
        <w:t xml:space="preserve"> et al., 2005). In addition, Zhu and </w:t>
      </w:r>
      <w:proofErr w:type="spellStart"/>
      <w:r w:rsidR="00E05B84" w:rsidRPr="00232743">
        <w:rPr>
          <w:rFonts w:cs="Times New Roman"/>
          <w:sz w:val="20"/>
          <w:szCs w:val="20"/>
        </w:rPr>
        <w:t>Sarkis</w:t>
      </w:r>
      <w:proofErr w:type="spellEnd"/>
      <w:r w:rsidR="00E05B84" w:rsidRPr="00232743">
        <w:rPr>
          <w:rFonts w:cs="Times New Roman"/>
          <w:sz w:val="20"/>
          <w:szCs w:val="20"/>
        </w:rPr>
        <w:t xml:space="preserve"> (2004) state that GSCM supply chain involves from suppliers to manufacturers, customers and reverse logistics throughout the so called closed-loop supply chain. </w:t>
      </w:r>
      <w:proofErr w:type="spellStart"/>
      <w:r w:rsidR="00E05B84" w:rsidRPr="00232743">
        <w:rPr>
          <w:rFonts w:cs="Times New Roman"/>
          <w:sz w:val="20"/>
          <w:szCs w:val="20"/>
        </w:rPr>
        <w:t>Hervani</w:t>
      </w:r>
      <w:proofErr w:type="spellEnd"/>
      <w:r w:rsidR="00E05B84" w:rsidRPr="00232743">
        <w:rPr>
          <w:rFonts w:cs="Times New Roman"/>
          <w:sz w:val="20"/>
          <w:szCs w:val="20"/>
        </w:rPr>
        <w:t xml:space="preserve"> et al. (2005) indicate there are various activities involving GSCM such as reuse, remanufacturing, and recycling which are embedded in green design, green procurement practices, total quality environmental management, environmentally friendly packaging, transportation, and various product end-of-life practices.</w:t>
      </w:r>
      <w:r w:rsidR="002829B2" w:rsidRPr="00232743">
        <w:rPr>
          <w:rFonts w:cs="Times New Roman"/>
          <w:sz w:val="20"/>
          <w:szCs w:val="20"/>
        </w:rPr>
        <w:t xml:space="preserve"> </w:t>
      </w:r>
      <w:r w:rsidR="00186225" w:rsidRPr="00232743">
        <w:rPr>
          <w:rFonts w:cs="Times New Roman"/>
          <w:sz w:val="20"/>
          <w:szCs w:val="20"/>
        </w:rPr>
        <w:t xml:space="preserve">Green supply chain management (GSCM) is one of the corporate environmental management that had been recognized </w:t>
      </w:r>
      <w:r w:rsidR="00186225" w:rsidRPr="00232743">
        <w:rPr>
          <w:rFonts w:cs="Times New Roman"/>
          <w:sz w:val="20"/>
          <w:szCs w:val="20"/>
        </w:rPr>
        <w:lastRenderedPageBreak/>
        <w:t>and applied by among manufacturing companies</w:t>
      </w:r>
      <w:r w:rsidR="00F12DB1" w:rsidRPr="00232743">
        <w:rPr>
          <w:rFonts w:cs="Times New Roman"/>
          <w:sz w:val="20"/>
          <w:szCs w:val="20"/>
        </w:rPr>
        <w:t xml:space="preserve">. </w:t>
      </w:r>
      <w:r w:rsidR="00186225" w:rsidRPr="00232743">
        <w:rPr>
          <w:rFonts w:cs="Times New Roman"/>
          <w:sz w:val="20"/>
          <w:szCs w:val="20"/>
        </w:rPr>
        <w:t xml:space="preserve">It aims to reduce or minimize negative environmental impact such as pollution, waste of resources, and product </w:t>
      </w:r>
      <w:r w:rsidR="00F12DB1" w:rsidRPr="00232743">
        <w:rPr>
          <w:rFonts w:cs="Times New Roman"/>
          <w:sz w:val="20"/>
          <w:szCs w:val="20"/>
        </w:rPr>
        <w:t>dumping.</w:t>
      </w:r>
      <w:r w:rsidR="00F634A8" w:rsidRPr="00232743">
        <w:rPr>
          <w:rFonts w:cs="Times New Roman"/>
          <w:sz w:val="20"/>
          <w:szCs w:val="20"/>
        </w:rPr>
        <w:t xml:space="preserve"> </w:t>
      </w:r>
      <w:r w:rsidR="00186225" w:rsidRPr="00232743">
        <w:rPr>
          <w:rFonts w:cs="Times New Roman"/>
          <w:sz w:val="20"/>
          <w:szCs w:val="20"/>
        </w:rPr>
        <w:t>GSCM was starting debated since the quality revolution of the 1980s and supply chain revolution of the 1990s</w:t>
      </w:r>
      <w:r w:rsidR="007004D8">
        <w:rPr>
          <w:rFonts w:cs="Times New Roman"/>
          <w:sz w:val="20"/>
          <w:szCs w:val="20"/>
        </w:rPr>
        <w:t>.</w:t>
      </w:r>
      <w:r w:rsidR="00186225" w:rsidRPr="00232743">
        <w:rPr>
          <w:rFonts w:cs="Times New Roman"/>
          <w:sz w:val="20"/>
          <w:szCs w:val="20"/>
        </w:rPr>
        <w:t xml:space="preserve">Zhu and </w:t>
      </w:r>
      <w:proofErr w:type="spellStart"/>
      <w:r w:rsidR="00186225" w:rsidRPr="00232743">
        <w:rPr>
          <w:rFonts w:cs="Times New Roman"/>
          <w:sz w:val="20"/>
          <w:szCs w:val="20"/>
        </w:rPr>
        <w:t>Sarkis</w:t>
      </w:r>
      <w:proofErr w:type="spellEnd"/>
      <w:r w:rsidR="00186225" w:rsidRPr="00232743">
        <w:rPr>
          <w:rFonts w:cs="Times New Roman"/>
          <w:sz w:val="20"/>
          <w:szCs w:val="20"/>
        </w:rPr>
        <w:t xml:space="preserve"> (2004) defined GSCM has a ranged from green purchasing to integrated supply chains starting from suppliers, to manufacturer, to customer and reverse logistics.</w:t>
      </w:r>
    </w:p>
    <w:p w:rsidR="00F634A8" w:rsidRDefault="00F12DB1" w:rsidP="007004D8">
      <w:pPr>
        <w:autoSpaceDE w:val="0"/>
        <w:autoSpaceDN w:val="0"/>
        <w:bidi w:val="0"/>
        <w:adjustRightInd w:val="0"/>
        <w:snapToGrid w:val="0"/>
        <w:ind w:firstLine="720"/>
        <w:jc w:val="both"/>
        <w:rPr>
          <w:rFonts w:cs="Times New Roman"/>
          <w:sz w:val="20"/>
          <w:szCs w:val="20"/>
          <w:lang w:eastAsia="zh-CN"/>
        </w:rPr>
      </w:pPr>
      <w:r w:rsidRPr="00232743">
        <w:rPr>
          <w:rFonts w:cs="Times New Roman"/>
          <w:sz w:val="20"/>
          <w:szCs w:val="20"/>
        </w:rPr>
        <w:t>All of business activities related to green supply chain management (GSCM) have played as an important role to environmental management factors applied for the purpose of business manufacturer. Scholars and practitioners explore the close relationship between supplier’s product quality and environmental performance influenced the customers in global market. They also consider how to manage operational firm more efficiently in the market competition (</w:t>
      </w:r>
      <w:proofErr w:type="spellStart"/>
      <w:r w:rsidRPr="00232743">
        <w:rPr>
          <w:rFonts w:cs="Times New Roman"/>
          <w:sz w:val="20"/>
          <w:szCs w:val="20"/>
        </w:rPr>
        <w:t>Sarmah</w:t>
      </w:r>
      <w:proofErr w:type="spellEnd"/>
      <w:r w:rsidRPr="00232743">
        <w:rPr>
          <w:rFonts w:cs="Times New Roman"/>
          <w:sz w:val="20"/>
          <w:szCs w:val="20"/>
        </w:rPr>
        <w:t xml:space="preserve">, </w:t>
      </w:r>
      <w:proofErr w:type="spellStart"/>
      <w:r w:rsidRPr="00232743">
        <w:rPr>
          <w:rFonts w:cs="Times New Roman"/>
          <w:sz w:val="20"/>
          <w:szCs w:val="20"/>
        </w:rPr>
        <w:t>Acharya</w:t>
      </w:r>
      <w:proofErr w:type="spellEnd"/>
      <w:r w:rsidRPr="00232743">
        <w:rPr>
          <w:rFonts w:cs="Times New Roman"/>
          <w:sz w:val="20"/>
          <w:szCs w:val="20"/>
        </w:rPr>
        <w:t xml:space="preserve"> &amp; </w:t>
      </w:r>
      <w:proofErr w:type="spellStart"/>
      <w:r w:rsidRPr="00232743">
        <w:rPr>
          <w:rFonts w:cs="Times New Roman"/>
          <w:sz w:val="20"/>
          <w:szCs w:val="20"/>
        </w:rPr>
        <w:t>Goyal</w:t>
      </w:r>
      <w:proofErr w:type="spellEnd"/>
      <w:r w:rsidRPr="00232743">
        <w:rPr>
          <w:rFonts w:cs="Times New Roman"/>
          <w:sz w:val="20"/>
          <w:szCs w:val="20"/>
        </w:rPr>
        <w:t>, 2006)</w:t>
      </w:r>
      <w:r w:rsidR="00D33DAB" w:rsidRPr="00232743">
        <w:rPr>
          <w:rFonts w:cs="Times New Roman"/>
          <w:sz w:val="20"/>
          <w:szCs w:val="20"/>
        </w:rPr>
        <w:t>.</w:t>
      </w:r>
    </w:p>
    <w:p w:rsidR="000619F6" w:rsidRPr="00232743" w:rsidRDefault="000619F6" w:rsidP="007004D8">
      <w:pPr>
        <w:autoSpaceDE w:val="0"/>
        <w:autoSpaceDN w:val="0"/>
        <w:bidi w:val="0"/>
        <w:adjustRightInd w:val="0"/>
        <w:snapToGrid w:val="0"/>
        <w:jc w:val="both"/>
        <w:rPr>
          <w:rFonts w:cs="Times New Roman"/>
          <w:sz w:val="20"/>
          <w:szCs w:val="20"/>
          <w:lang w:eastAsia="zh-CN"/>
        </w:rPr>
      </w:pPr>
    </w:p>
    <w:p w:rsidR="00F92FA7" w:rsidRPr="00232743" w:rsidRDefault="00A05210" w:rsidP="007004D8">
      <w:pPr>
        <w:bidi w:val="0"/>
        <w:adjustRightInd w:val="0"/>
        <w:snapToGrid w:val="0"/>
        <w:jc w:val="both"/>
        <w:rPr>
          <w:rFonts w:cs="Times New Roman"/>
          <w:b/>
          <w:bCs/>
          <w:sz w:val="20"/>
          <w:szCs w:val="20"/>
          <w:lang w:bidi="fa-IR"/>
        </w:rPr>
      </w:pPr>
      <w:r w:rsidRPr="00232743">
        <w:rPr>
          <w:rFonts w:cs="Times New Roman"/>
          <w:b/>
          <w:bCs/>
          <w:sz w:val="20"/>
          <w:szCs w:val="20"/>
          <w:lang w:bidi="fa-IR"/>
        </w:rPr>
        <w:t>2. Supply</w:t>
      </w:r>
      <w:r w:rsidR="00BB38A2" w:rsidRPr="00232743">
        <w:rPr>
          <w:rFonts w:cs="Times New Roman"/>
          <w:b/>
          <w:bCs/>
          <w:sz w:val="20"/>
          <w:szCs w:val="20"/>
          <w:lang w:bidi="fa-IR"/>
        </w:rPr>
        <w:t xml:space="preserve"> Chain Management</w:t>
      </w:r>
    </w:p>
    <w:p w:rsidR="002829B2" w:rsidRPr="00232743" w:rsidRDefault="009616ED" w:rsidP="007004D8">
      <w:pPr>
        <w:autoSpaceDE w:val="0"/>
        <w:autoSpaceDN w:val="0"/>
        <w:bidi w:val="0"/>
        <w:adjustRightInd w:val="0"/>
        <w:snapToGrid w:val="0"/>
        <w:ind w:firstLine="720"/>
        <w:jc w:val="both"/>
        <w:rPr>
          <w:rFonts w:cs="Times New Roman"/>
          <w:sz w:val="20"/>
          <w:szCs w:val="20"/>
        </w:rPr>
      </w:pPr>
      <w:r w:rsidRPr="00232743">
        <w:rPr>
          <w:rFonts w:cs="Times New Roman"/>
          <w:sz w:val="20"/>
          <w:szCs w:val="20"/>
        </w:rPr>
        <w:t>The term supply chain management (SCM) as a concept, a philosophy and a management process, emerged in the 1980s from then current practices (</w:t>
      </w:r>
      <w:proofErr w:type="spellStart"/>
      <w:r w:rsidRPr="00232743">
        <w:rPr>
          <w:rFonts w:cs="Times New Roman"/>
          <w:sz w:val="20"/>
          <w:szCs w:val="20"/>
        </w:rPr>
        <w:t>Svensson</w:t>
      </w:r>
      <w:proofErr w:type="spellEnd"/>
      <w:r w:rsidRPr="00232743">
        <w:rPr>
          <w:rFonts w:cs="Times New Roman"/>
          <w:sz w:val="20"/>
          <w:szCs w:val="20"/>
        </w:rPr>
        <w:t>, 2003), gained academic focus gradually, and flourishing since the 1990s (</w:t>
      </w:r>
      <w:proofErr w:type="spellStart"/>
      <w:r w:rsidRPr="00232743">
        <w:rPr>
          <w:rFonts w:cs="Times New Roman"/>
          <w:sz w:val="20"/>
          <w:szCs w:val="20"/>
        </w:rPr>
        <w:t>Svensson</w:t>
      </w:r>
      <w:proofErr w:type="spellEnd"/>
      <w:r w:rsidRPr="00232743">
        <w:rPr>
          <w:rFonts w:cs="Times New Roman"/>
          <w:sz w:val="20"/>
          <w:szCs w:val="20"/>
        </w:rPr>
        <w:t>, 2003). Recently, SCM is such an important topic that at the moment researchers in many different academic fields are conducting research in this and related fields.</w:t>
      </w:r>
      <w:r w:rsidR="002829B2" w:rsidRPr="00232743">
        <w:rPr>
          <w:rFonts w:cs="Times New Roman"/>
          <w:sz w:val="20"/>
          <w:szCs w:val="20"/>
        </w:rPr>
        <w:t xml:space="preserve"> Today’s global marketplace offers significant opportunities to conduct supply chain management </w:t>
      </w:r>
      <w:r w:rsidR="002829B2" w:rsidRPr="00232743">
        <w:rPr>
          <w:rFonts w:cs="Times New Roman"/>
          <w:sz w:val="20"/>
          <w:szCs w:val="20"/>
        </w:rPr>
        <w:lastRenderedPageBreak/>
        <w:t xml:space="preserve">(SCM). </w:t>
      </w:r>
      <w:proofErr w:type="spellStart"/>
      <w:r w:rsidR="002829B2" w:rsidRPr="00232743">
        <w:rPr>
          <w:rFonts w:cs="Times New Roman"/>
          <w:sz w:val="20"/>
          <w:szCs w:val="20"/>
        </w:rPr>
        <w:t>Ogulin</w:t>
      </w:r>
      <w:proofErr w:type="spellEnd"/>
      <w:r w:rsidR="002829B2" w:rsidRPr="00232743">
        <w:rPr>
          <w:rFonts w:cs="Times New Roman"/>
          <w:sz w:val="20"/>
          <w:szCs w:val="20"/>
        </w:rPr>
        <w:t xml:space="preserve"> (2003) suggests that supply chain firms need to develop organizational, procedural, technical, and strategic capabilities to respond to four emerging requirements in the twenty-first century: customer and end consumer focus, technology adoption, relationships management, and styles of leadership. In addition, knowing that the firm’s capabilities are limited in time and effort, management will need to choose the level of partnership appropriate for each particular supply chain member (Lambert and Cooper, 2000).</w:t>
      </w:r>
    </w:p>
    <w:p w:rsidR="00B257E7" w:rsidRPr="00232743" w:rsidRDefault="009616ED" w:rsidP="007004D8">
      <w:pPr>
        <w:autoSpaceDE w:val="0"/>
        <w:autoSpaceDN w:val="0"/>
        <w:bidi w:val="0"/>
        <w:adjustRightInd w:val="0"/>
        <w:snapToGrid w:val="0"/>
        <w:ind w:firstLine="720"/>
        <w:jc w:val="both"/>
        <w:rPr>
          <w:rFonts w:cs="Times New Roman"/>
          <w:sz w:val="20"/>
          <w:szCs w:val="20"/>
        </w:rPr>
      </w:pPr>
      <w:r w:rsidRPr="00232743">
        <w:rPr>
          <w:rFonts w:cs="Times New Roman"/>
          <w:sz w:val="20"/>
          <w:szCs w:val="20"/>
        </w:rPr>
        <w:t>Within the SCM domain there are many aspects that need to be tackled for the purpose of practical application, topics such as performance evaluation of a supply chain and its members, inter-organizational coordination and management, how the supply chain members share the outcome of the operations (</w:t>
      </w:r>
      <w:proofErr w:type="spellStart"/>
      <w:r w:rsidRPr="00232743">
        <w:rPr>
          <w:rFonts w:cs="Times New Roman"/>
          <w:sz w:val="20"/>
          <w:szCs w:val="20"/>
        </w:rPr>
        <w:t>Croxton</w:t>
      </w:r>
      <w:proofErr w:type="spellEnd"/>
      <w:r w:rsidRPr="00232743">
        <w:rPr>
          <w:rFonts w:cs="Times New Roman"/>
          <w:sz w:val="20"/>
          <w:szCs w:val="20"/>
        </w:rPr>
        <w:t xml:space="preserve"> et al., 2001); human interaction in a supply chain (</w:t>
      </w:r>
      <w:proofErr w:type="spellStart"/>
      <w:r w:rsidRPr="00232743">
        <w:rPr>
          <w:rFonts w:cs="Times New Roman"/>
          <w:sz w:val="20"/>
          <w:szCs w:val="20"/>
        </w:rPr>
        <w:t>Giannakis</w:t>
      </w:r>
      <w:proofErr w:type="spellEnd"/>
      <w:r w:rsidRPr="00232743">
        <w:rPr>
          <w:rFonts w:cs="Times New Roman"/>
          <w:sz w:val="20"/>
          <w:szCs w:val="20"/>
        </w:rPr>
        <w:t xml:space="preserve"> and </w:t>
      </w:r>
      <w:proofErr w:type="spellStart"/>
      <w:r w:rsidRPr="00232743">
        <w:rPr>
          <w:rFonts w:cs="Times New Roman"/>
          <w:sz w:val="20"/>
          <w:szCs w:val="20"/>
        </w:rPr>
        <w:t>Croom</w:t>
      </w:r>
      <w:proofErr w:type="spellEnd"/>
      <w:r w:rsidRPr="00232743">
        <w:rPr>
          <w:rFonts w:cs="Times New Roman"/>
          <w:sz w:val="20"/>
          <w:szCs w:val="20"/>
        </w:rPr>
        <w:t>, 2004); knowledge (strategic and operational aspects) sharing among supply chain members.</w:t>
      </w:r>
      <w:r w:rsidR="002829B2" w:rsidRPr="00232743">
        <w:rPr>
          <w:rFonts w:cs="Times New Roman"/>
          <w:sz w:val="20"/>
          <w:szCs w:val="20"/>
        </w:rPr>
        <w:t xml:space="preserve"> </w:t>
      </w:r>
      <w:r w:rsidR="00E35733" w:rsidRPr="00232743">
        <w:rPr>
          <w:rFonts w:cs="Times New Roman"/>
          <w:sz w:val="20"/>
          <w:szCs w:val="20"/>
        </w:rPr>
        <w:t>Supply chain management (SCM), represents the integration of key business processes among industry partners to add value for the end customers. It tightly links together several consecutive elements of the industry value chain: from upstream suppliers; to sub-assembly manufacturers; to final manufacturers; to distributors; to retailers; to end-customers.</w:t>
      </w:r>
      <w:r w:rsidR="002829B2" w:rsidRPr="00232743">
        <w:rPr>
          <w:rFonts w:cs="Times New Roman"/>
          <w:sz w:val="20"/>
          <w:szCs w:val="20"/>
        </w:rPr>
        <w:t xml:space="preserve"> </w:t>
      </w:r>
      <w:r w:rsidR="00B36659" w:rsidRPr="00232743">
        <w:rPr>
          <w:rFonts w:cs="Times New Roman"/>
          <w:sz w:val="20"/>
          <w:szCs w:val="20"/>
        </w:rPr>
        <w:t>Supply chain refers to the end-to-end business processes, which are embodied in technologies such as Customer Relationship Management (CRM) and enterprise resource management (ERP). A supply chain links organizations directly with one or more flows of products, services, finances and information.</w:t>
      </w:r>
    </w:p>
    <w:p w:rsidR="00B257E7" w:rsidRPr="00232743" w:rsidRDefault="00B257E7" w:rsidP="007004D8">
      <w:pPr>
        <w:autoSpaceDE w:val="0"/>
        <w:autoSpaceDN w:val="0"/>
        <w:bidi w:val="0"/>
        <w:adjustRightInd w:val="0"/>
        <w:snapToGrid w:val="0"/>
        <w:jc w:val="both"/>
        <w:rPr>
          <w:rFonts w:cs="Times New Roman"/>
          <w:sz w:val="20"/>
          <w:szCs w:val="20"/>
          <w:lang w:bidi="fa-IR"/>
        </w:rPr>
      </w:pPr>
    </w:p>
    <w:p w:rsidR="00F92FA7" w:rsidRPr="00232743" w:rsidRDefault="00A05210" w:rsidP="007004D8">
      <w:pPr>
        <w:autoSpaceDE w:val="0"/>
        <w:autoSpaceDN w:val="0"/>
        <w:bidi w:val="0"/>
        <w:adjustRightInd w:val="0"/>
        <w:snapToGrid w:val="0"/>
        <w:jc w:val="both"/>
        <w:rPr>
          <w:rFonts w:cs="Times New Roman"/>
          <w:b/>
          <w:bCs/>
          <w:sz w:val="20"/>
          <w:szCs w:val="20"/>
          <w:lang w:bidi="fa-IR"/>
        </w:rPr>
      </w:pPr>
      <w:r w:rsidRPr="00232743">
        <w:rPr>
          <w:rFonts w:cs="Times New Roman"/>
          <w:b/>
          <w:bCs/>
          <w:sz w:val="20"/>
          <w:szCs w:val="20"/>
          <w:lang w:bidi="fa-IR"/>
        </w:rPr>
        <w:t>3. Green</w:t>
      </w:r>
      <w:r w:rsidR="00BB38A2" w:rsidRPr="00232743">
        <w:rPr>
          <w:rFonts w:cs="Times New Roman"/>
          <w:b/>
          <w:bCs/>
          <w:sz w:val="20"/>
          <w:szCs w:val="20"/>
          <w:lang w:bidi="fa-IR"/>
        </w:rPr>
        <w:t xml:space="preserve"> Supply Chain Management</w:t>
      </w:r>
    </w:p>
    <w:p w:rsidR="00D6543C" w:rsidRPr="00232743" w:rsidRDefault="00D73A33" w:rsidP="007004D8">
      <w:pPr>
        <w:autoSpaceDE w:val="0"/>
        <w:autoSpaceDN w:val="0"/>
        <w:bidi w:val="0"/>
        <w:adjustRightInd w:val="0"/>
        <w:snapToGrid w:val="0"/>
        <w:ind w:firstLine="720"/>
        <w:jc w:val="both"/>
        <w:rPr>
          <w:rFonts w:cs="Times New Roman"/>
          <w:sz w:val="20"/>
          <w:szCs w:val="20"/>
        </w:rPr>
      </w:pPr>
      <w:r w:rsidRPr="00232743">
        <w:rPr>
          <w:rFonts w:cs="Times New Roman"/>
          <w:sz w:val="20"/>
          <w:szCs w:val="20"/>
        </w:rPr>
        <w:t>In recent years, green supply chain management (GSCM) initiatives have gained considerable prominence. However, how much value it brings to organizations is still being investigated.</w:t>
      </w:r>
      <w:r w:rsidR="00F634A8" w:rsidRPr="00232743">
        <w:rPr>
          <w:rFonts w:cs="Times New Roman"/>
          <w:sz w:val="20"/>
          <w:szCs w:val="20"/>
        </w:rPr>
        <w:t xml:space="preserve"> </w:t>
      </w:r>
      <w:proofErr w:type="spellStart"/>
      <w:r w:rsidR="00847833" w:rsidRPr="00232743">
        <w:rPr>
          <w:rFonts w:eastAsia="GulliverRM" w:cs="Times New Roman"/>
          <w:sz w:val="20"/>
          <w:szCs w:val="20"/>
        </w:rPr>
        <w:t>Kogg</w:t>
      </w:r>
      <w:proofErr w:type="spellEnd"/>
      <w:r w:rsidR="00847833" w:rsidRPr="00232743">
        <w:rPr>
          <w:rFonts w:eastAsia="GulliverRM" w:cs="Times New Roman"/>
          <w:sz w:val="20"/>
          <w:szCs w:val="20"/>
        </w:rPr>
        <w:t xml:space="preserve"> (2003) used the definition of GSCM given by </w:t>
      </w:r>
      <w:proofErr w:type="spellStart"/>
      <w:r w:rsidR="00847833" w:rsidRPr="00232743">
        <w:rPr>
          <w:rFonts w:eastAsia="GulliverRM" w:cs="Times New Roman"/>
          <w:sz w:val="20"/>
          <w:szCs w:val="20"/>
        </w:rPr>
        <w:t>Zsidisin</w:t>
      </w:r>
      <w:proofErr w:type="spellEnd"/>
      <w:r w:rsidR="00847833" w:rsidRPr="00232743">
        <w:rPr>
          <w:rFonts w:eastAsia="GulliverRM" w:cs="Times New Roman"/>
          <w:sz w:val="20"/>
          <w:szCs w:val="20"/>
        </w:rPr>
        <w:t xml:space="preserve"> and </w:t>
      </w:r>
      <w:proofErr w:type="spellStart"/>
      <w:r w:rsidR="00847833" w:rsidRPr="00232743">
        <w:rPr>
          <w:rFonts w:eastAsia="GulliverRM" w:cs="Times New Roman"/>
          <w:sz w:val="20"/>
          <w:szCs w:val="20"/>
        </w:rPr>
        <w:t>Siferd</w:t>
      </w:r>
      <w:proofErr w:type="spellEnd"/>
      <w:r w:rsidR="00847833" w:rsidRPr="00232743">
        <w:rPr>
          <w:rFonts w:eastAsia="GulliverRM" w:cs="Times New Roman"/>
          <w:sz w:val="20"/>
          <w:szCs w:val="20"/>
        </w:rPr>
        <w:t xml:space="preserve"> (2001): “the set of supply chain management policies held, actions taken and relationships formed in response to concerns related to the natural environment with regard to the design, acquisition, production, distribution, use, re-use and disposal of the firm’s goods and services”. </w:t>
      </w:r>
      <w:proofErr w:type="spellStart"/>
      <w:r w:rsidR="00847833" w:rsidRPr="00232743">
        <w:rPr>
          <w:rFonts w:eastAsia="GulliverRM" w:cs="Times New Roman"/>
          <w:sz w:val="20"/>
          <w:szCs w:val="20"/>
        </w:rPr>
        <w:t>Srivastava</w:t>
      </w:r>
      <w:proofErr w:type="spellEnd"/>
      <w:r w:rsidR="00847833" w:rsidRPr="00232743">
        <w:rPr>
          <w:rFonts w:eastAsia="GulliverRM" w:cs="Times New Roman"/>
          <w:sz w:val="20"/>
          <w:szCs w:val="20"/>
        </w:rPr>
        <w:t xml:space="preserve"> (2007) </w:t>
      </w:r>
      <w:proofErr w:type="spellStart"/>
      <w:r w:rsidR="00847833" w:rsidRPr="00232743">
        <w:rPr>
          <w:rFonts w:eastAsia="GulliverRM" w:cs="Times New Roman"/>
          <w:sz w:val="20"/>
          <w:szCs w:val="20"/>
        </w:rPr>
        <w:t>definedGSCMas</w:t>
      </w:r>
      <w:proofErr w:type="spellEnd"/>
      <w:r w:rsidR="00847833" w:rsidRPr="00232743">
        <w:rPr>
          <w:rFonts w:eastAsia="GulliverRM" w:cs="Times New Roman"/>
          <w:sz w:val="20"/>
          <w:szCs w:val="20"/>
        </w:rPr>
        <w:t xml:space="preserve"> “integrating environmental </w:t>
      </w:r>
      <w:r w:rsidR="00847833" w:rsidRPr="00232743">
        <w:rPr>
          <w:rFonts w:eastAsia="GulliverRM" w:cs="Times New Roman"/>
          <w:sz w:val="20"/>
          <w:szCs w:val="20"/>
        </w:rPr>
        <w:lastRenderedPageBreak/>
        <w:t>thinking into supply chain management, including product design, material sourcing and selection, manufacturing processes, delivery of the final products to the consumers, and end-of-life management of the product after its useful life”.</w:t>
      </w:r>
      <w:r w:rsidR="00F634A8" w:rsidRPr="00232743">
        <w:rPr>
          <w:rFonts w:cs="Times New Roman"/>
          <w:sz w:val="20"/>
          <w:szCs w:val="20"/>
        </w:rPr>
        <w:t xml:space="preserve"> </w:t>
      </w:r>
      <w:r w:rsidR="0099781C" w:rsidRPr="00232743">
        <w:rPr>
          <w:rFonts w:cs="Times New Roman"/>
          <w:sz w:val="20"/>
          <w:szCs w:val="20"/>
        </w:rPr>
        <w:t>Generally, GSCM is understood to involve screening suppliers based on their environmental performance and doing business only with those that meet certain environmental regulations or standards (</w:t>
      </w:r>
      <w:proofErr w:type="spellStart"/>
      <w:r w:rsidR="0099781C" w:rsidRPr="00232743">
        <w:rPr>
          <w:rFonts w:cs="Times New Roman"/>
          <w:sz w:val="20"/>
          <w:szCs w:val="20"/>
        </w:rPr>
        <w:t>Rao</w:t>
      </w:r>
      <w:proofErr w:type="spellEnd"/>
      <w:r w:rsidR="0099781C" w:rsidRPr="00232743">
        <w:rPr>
          <w:rFonts w:cs="Times New Roman"/>
          <w:sz w:val="20"/>
          <w:szCs w:val="20"/>
        </w:rPr>
        <w:t>, 2002). Supplier selection either in GSCM or sustainable supply chain management (SSCM) has been identified as significant in making purchasing decisions (</w:t>
      </w:r>
      <w:proofErr w:type="spellStart"/>
      <w:r w:rsidR="0099781C" w:rsidRPr="00232743">
        <w:rPr>
          <w:rFonts w:cs="Times New Roman"/>
          <w:sz w:val="20"/>
          <w:szCs w:val="20"/>
        </w:rPr>
        <w:t>Hu</w:t>
      </w:r>
      <w:proofErr w:type="spellEnd"/>
      <w:r w:rsidR="0099781C" w:rsidRPr="00232743">
        <w:rPr>
          <w:rFonts w:cs="Times New Roman"/>
          <w:sz w:val="20"/>
          <w:szCs w:val="20"/>
        </w:rPr>
        <w:t xml:space="preserve"> and Hsu, 2010).</w:t>
      </w:r>
      <w:r w:rsidR="00F634A8" w:rsidRPr="00232743">
        <w:rPr>
          <w:rFonts w:cs="Times New Roman"/>
          <w:sz w:val="20"/>
          <w:szCs w:val="20"/>
        </w:rPr>
        <w:t xml:space="preserve"> </w:t>
      </w:r>
      <w:r w:rsidR="0099781C" w:rsidRPr="00232743">
        <w:rPr>
          <w:rFonts w:cs="Times New Roman"/>
          <w:sz w:val="20"/>
          <w:szCs w:val="20"/>
        </w:rPr>
        <w:t>Simultaneously in the operational process of supply chain management, thus contributing to the initiative of green-supply chain management (G-SCM). Correspondingly, all the solutions, including logistics management, for managing the overall lifecycle of products should be integrated in a more comprehensive supply chain procedure.</w:t>
      </w:r>
    </w:p>
    <w:p w:rsidR="00D6543C" w:rsidRPr="00232743" w:rsidRDefault="0099781C" w:rsidP="007004D8">
      <w:pPr>
        <w:autoSpaceDE w:val="0"/>
        <w:autoSpaceDN w:val="0"/>
        <w:bidi w:val="0"/>
        <w:adjustRightInd w:val="0"/>
        <w:snapToGrid w:val="0"/>
        <w:ind w:firstLine="720"/>
        <w:jc w:val="both"/>
        <w:rPr>
          <w:rFonts w:cs="Times New Roman"/>
          <w:sz w:val="20"/>
          <w:szCs w:val="20"/>
        </w:rPr>
      </w:pPr>
      <w:r w:rsidRPr="00232743">
        <w:rPr>
          <w:rFonts w:cs="Times New Roman"/>
          <w:sz w:val="20"/>
          <w:szCs w:val="20"/>
        </w:rPr>
        <w:t>Despite the importance of G-SCM in industrial ecology, the integration of logistics flows in a green-supply chain still remains as a critical issue in G-SCM for the following reasons. First, from an organizational strategic point of view, it is difficult to coordinate the activities of all the chain members, including the product-oriented logistics distribution channels and corresponding reverse-logistics channels. To a certain extent, this difficulty is rooted in the conflicts of operational goals among these chain members. For instance, maximizing the profits of one member in a reverse-logistics chain does not necessarily maximize the profits of a manufacturer in a given green supply chain due to the induced reverse logistics costs. Second, there is a lack of appropriate models for use as tools to manage the corresponding logistics flows associated with each chain member under the condition of system optimization in the process of G-SCM.</w:t>
      </w:r>
    </w:p>
    <w:p w:rsidR="00F634A8" w:rsidRPr="00232743" w:rsidRDefault="00F634A8" w:rsidP="007004D8">
      <w:pPr>
        <w:autoSpaceDE w:val="0"/>
        <w:autoSpaceDN w:val="0"/>
        <w:bidi w:val="0"/>
        <w:adjustRightInd w:val="0"/>
        <w:snapToGrid w:val="0"/>
        <w:jc w:val="both"/>
        <w:rPr>
          <w:rFonts w:cs="Times New Roman"/>
          <w:sz w:val="20"/>
          <w:szCs w:val="20"/>
          <w:lang w:bidi="fa-IR"/>
        </w:rPr>
      </w:pPr>
    </w:p>
    <w:p w:rsidR="00B56BC5" w:rsidRPr="00232743" w:rsidRDefault="00A05210" w:rsidP="007004D8">
      <w:pPr>
        <w:bidi w:val="0"/>
        <w:adjustRightInd w:val="0"/>
        <w:snapToGrid w:val="0"/>
        <w:jc w:val="both"/>
        <w:rPr>
          <w:rFonts w:cs="Times New Roman"/>
          <w:b/>
          <w:bCs/>
          <w:sz w:val="20"/>
          <w:szCs w:val="20"/>
          <w:lang w:bidi="fa-IR"/>
        </w:rPr>
      </w:pPr>
      <w:r w:rsidRPr="00232743">
        <w:rPr>
          <w:rFonts w:eastAsiaTheme="minorHAnsi" w:cs="Times New Roman"/>
          <w:b/>
          <w:bCs/>
          <w:sz w:val="20"/>
          <w:szCs w:val="20"/>
        </w:rPr>
        <w:t>4</w:t>
      </w:r>
      <w:r w:rsidR="00B56BC5" w:rsidRPr="00232743">
        <w:rPr>
          <w:rFonts w:eastAsiaTheme="minorHAnsi" w:cs="Times New Roman"/>
          <w:b/>
          <w:bCs/>
          <w:sz w:val="20"/>
          <w:szCs w:val="20"/>
        </w:rPr>
        <w:t xml:space="preserve">. </w:t>
      </w:r>
      <w:r w:rsidR="009B52C7" w:rsidRPr="00232743">
        <w:rPr>
          <w:rFonts w:cs="Times New Roman"/>
          <w:b/>
          <w:bCs/>
          <w:sz w:val="20"/>
          <w:szCs w:val="20"/>
          <w:lang w:bidi="fa-IR"/>
        </w:rPr>
        <w:t xml:space="preserve">Effective </w:t>
      </w:r>
      <w:r w:rsidR="009B52C7" w:rsidRPr="00232743">
        <w:rPr>
          <w:rFonts w:eastAsia="Calibri" w:cs="Times New Roman"/>
          <w:b/>
          <w:bCs/>
          <w:sz w:val="20"/>
          <w:szCs w:val="20"/>
        </w:rPr>
        <w:t xml:space="preserve">Barriers </w:t>
      </w:r>
      <w:r w:rsidR="009B52C7" w:rsidRPr="00232743">
        <w:rPr>
          <w:rFonts w:cs="Times New Roman"/>
          <w:b/>
          <w:bCs/>
          <w:sz w:val="20"/>
          <w:szCs w:val="20"/>
          <w:lang w:bidi="fa-IR"/>
        </w:rPr>
        <w:t>in GSCM implementation</w:t>
      </w:r>
    </w:p>
    <w:p w:rsidR="000619F6" w:rsidRDefault="009B52C7" w:rsidP="007004D8">
      <w:pPr>
        <w:bidi w:val="0"/>
        <w:adjustRightInd w:val="0"/>
        <w:snapToGrid w:val="0"/>
        <w:ind w:firstLine="720"/>
        <w:jc w:val="both"/>
        <w:rPr>
          <w:rFonts w:cs="Times New Roman"/>
          <w:sz w:val="20"/>
          <w:szCs w:val="20"/>
          <w:lang w:eastAsia="zh-CN" w:bidi="fa-IR"/>
        </w:rPr>
      </w:pPr>
      <w:r w:rsidRPr="00232743">
        <w:rPr>
          <w:rFonts w:eastAsiaTheme="minorHAnsi" w:cs="Times New Roman"/>
          <w:sz w:val="20"/>
          <w:szCs w:val="20"/>
        </w:rPr>
        <w:t>Based on the previous literature</w:t>
      </w:r>
      <w:r w:rsidRPr="00232743">
        <w:rPr>
          <w:rFonts w:eastAsiaTheme="minorHAnsi" w:cs="Times New Roman"/>
          <w:sz w:val="20"/>
          <w:szCs w:val="20"/>
          <w:lang w:bidi="fa-IR"/>
        </w:rPr>
        <w:t xml:space="preserve"> review</w:t>
      </w:r>
      <w:r w:rsidRPr="00232743">
        <w:rPr>
          <w:rFonts w:eastAsiaTheme="minorHAnsi" w:cs="Times New Roman"/>
          <w:sz w:val="20"/>
          <w:szCs w:val="20"/>
        </w:rPr>
        <w:t xml:space="preserve">, we focus on </w:t>
      </w:r>
      <w:r w:rsidRPr="00232743">
        <w:rPr>
          <w:rFonts w:eastAsiaTheme="minorHAnsi" w:cs="Times New Roman"/>
          <w:sz w:val="20"/>
          <w:szCs w:val="20"/>
          <w:lang w:bidi="fa-IR"/>
        </w:rPr>
        <w:t xml:space="preserve">four main aspects including </w:t>
      </w:r>
      <w:r w:rsidRPr="00232743">
        <w:rPr>
          <w:rFonts w:cs="Times New Roman"/>
          <w:sz w:val="20"/>
          <w:szCs w:val="20"/>
        </w:rPr>
        <w:t>Organization Management</w:t>
      </w:r>
      <w:r w:rsidRPr="00232743">
        <w:rPr>
          <w:rFonts w:eastAsiaTheme="minorHAnsi" w:cs="Times New Roman"/>
          <w:sz w:val="20"/>
          <w:szCs w:val="20"/>
          <w:lang w:bidi="fa-IR"/>
        </w:rPr>
        <w:t xml:space="preserve">‚ </w:t>
      </w:r>
      <w:r w:rsidRPr="00232743">
        <w:rPr>
          <w:rFonts w:cs="Times New Roman"/>
          <w:sz w:val="20"/>
          <w:szCs w:val="20"/>
        </w:rPr>
        <w:t>Organizational Culture</w:t>
      </w:r>
      <w:r w:rsidRPr="00232743">
        <w:rPr>
          <w:rFonts w:eastAsiaTheme="minorHAnsi" w:cs="Times New Roman"/>
          <w:sz w:val="20"/>
          <w:szCs w:val="20"/>
          <w:lang w:bidi="fa-IR"/>
        </w:rPr>
        <w:t xml:space="preserve">, </w:t>
      </w:r>
      <w:r w:rsidRPr="00232743">
        <w:rPr>
          <w:rFonts w:cs="Times New Roman"/>
          <w:sz w:val="20"/>
          <w:szCs w:val="20"/>
        </w:rPr>
        <w:t>Organizational Structure</w:t>
      </w:r>
      <w:r w:rsidRPr="00232743">
        <w:rPr>
          <w:rFonts w:eastAsiaTheme="minorHAnsi" w:cs="Times New Roman"/>
          <w:sz w:val="20"/>
          <w:szCs w:val="20"/>
          <w:lang w:bidi="fa-IR"/>
        </w:rPr>
        <w:t xml:space="preserve"> and </w:t>
      </w:r>
      <w:r w:rsidRPr="00232743">
        <w:rPr>
          <w:rFonts w:cs="Times New Roman"/>
          <w:sz w:val="20"/>
          <w:szCs w:val="20"/>
        </w:rPr>
        <w:t>Rules and Guidelines</w:t>
      </w:r>
      <w:r w:rsidRPr="00232743">
        <w:rPr>
          <w:rFonts w:eastAsiaTheme="minorHAnsi" w:cs="Times New Roman"/>
          <w:sz w:val="20"/>
          <w:szCs w:val="20"/>
          <w:lang w:bidi="fa-IR"/>
        </w:rPr>
        <w:t xml:space="preserve">. From these main aspects, 18 </w:t>
      </w:r>
      <w:r w:rsidRPr="00232743">
        <w:rPr>
          <w:rFonts w:cs="Times New Roman"/>
          <w:sz w:val="20"/>
          <w:szCs w:val="20"/>
          <w:lang w:bidi="fa-IR"/>
        </w:rPr>
        <w:t xml:space="preserve">Effective </w:t>
      </w:r>
      <w:r w:rsidRPr="00232743">
        <w:rPr>
          <w:rFonts w:eastAsia="Calibri" w:cs="Times New Roman"/>
          <w:sz w:val="20"/>
          <w:szCs w:val="20"/>
        </w:rPr>
        <w:t xml:space="preserve">Barriers </w:t>
      </w:r>
      <w:r w:rsidRPr="00232743">
        <w:rPr>
          <w:rFonts w:cs="Times New Roman"/>
          <w:sz w:val="20"/>
          <w:szCs w:val="20"/>
          <w:lang w:bidi="fa-IR"/>
        </w:rPr>
        <w:t>in GSCM implementation</w:t>
      </w:r>
      <w:r w:rsidRPr="00232743">
        <w:rPr>
          <w:rFonts w:eastAsiaTheme="minorHAnsi" w:cs="Times New Roman"/>
          <w:sz w:val="20"/>
          <w:szCs w:val="20"/>
          <w:lang w:bidi="fa-IR"/>
        </w:rPr>
        <w:t xml:space="preserve"> are maintained. The classification of those main </w:t>
      </w:r>
      <w:r w:rsidRPr="00232743">
        <w:rPr>
          <w:rFonts w:cs="Times New Roman"/>
          <w:sz w:val="20"/>
          <w:szCs w:val="20"/>
          <w:lang w:bidi="fa-IR"/>
        </w:rPr>
        <w:t>Criteria</w:t>
      </w:r>
      <w:r w:rsidRPr="00232743">
        <w:rPr>
          <w:rFonts w:eastAsiaTheme="minorHAnsi" w:cs="Times New Roman"/>
          <w:sz w:val="20"/>
          <w:szCs w:val="20"/>
          <w:lang w:bidi="fa-IR"/>
        </w:rPr>
        <w:t xml:space="preserve"> and their </w:t>
      </w:r>
      <w:r w:rsidRPr="00232743">
        <w:rPr>
          <w:rFonts w:cs="Times New Roman"/>
          <w:sz w:val="20"/>
          <w:szCs w:val="20"/>
          <w:lang w:bidi="fa-IR"/>
        </w:rPr>
        <w:t>Sub-Criteria</w:t>
      </w:r>
      <w:r w:rsidRPr="00232743">
        <w:rPr>
          <w:rFonts w:eastAsiaTheme="minorHAnsi" w:cs="Times New Roman"/>
          <w:sz w:val="20"/>
          <w:szCs w:val="20"/>
          <w:lang w:bidi="fa-IR"/>
        </w:rPr>
        <w:t xml:space="preserve"> are shown in Table 1.</w:t>
      </w:r>
    </w:p>
    <w:p w:rsidR="007004D8" w:rsidRDefault="007004D8" w:rsidP="001D7F10">
      <w:pPr>
        <w:bidi w:val="0"/>
        <w:adjustRightInd w:val="0"/>
        <w:snapToGrid w:val="0"/>
        <w:ind w:firstLine="720"/>
        <w:jc w:val="both"/>
        <w:rPr>
          <w:rFonts w:cs="Times New Roman"/>
          <w:sz w:val="20"/>
          <w:szCs w:val="20"/>
          <w:lang w:eastAsia="zh-CN" w:bidi="fa-IR"/>
        </w:rPr>
        <w:sectPr w:rsidR="007004D8" w:rsidSect="007004D8">
          <w:type w:val="continuous"/>
          <w:pgSz w:w="12242" w:h="15842" w:code="1"/>
          <w:pgMar w:top="1440" w:right="1440" w:bottom="1440" w:left="1440" w:header="720" w:footer="720" w:gutter="0"/>
          <w:cols w:num="2" w:space="576"/>
          <w:docGrid w:linePitch="408"/>
        </w:sectPr>
      </w:pPr>
    </w:p>
    <w:p w:rsidR="009B52C7" w:rsidRDefault="009B52C7" w:rsidP="001D7F10">
      <w:pPr>
        <w:bidi w:val="0"/>
        <w:adjustRightInd w:val="0"/>
        <w:snapToGrid w:val="0"/>
        <w:ind w:firstLine="720"/>
        <w:jc w:val="both"/>
        <w:rPr>
          <w:rFonts w:cs="Times New Roman"/>
          <w:sz w:val="20"/>
          <w:szCs w:val="20"/>
          <w:lang w:eastAsia="zh-CN" w:bidi="fa-IR"/>
        </w:rPr>
      </w:pPr>
    </w:p>
    <w:tbl>
      <w:tblPr>
        <w:tblStyle w:val="TableGrid"/>
        <w:tblW w:w="0" w:type="auto"/>
        <w:tblLook w:val="04A0"/>
      </w:tblPr>
      <w:tblGrid>
        <w:gridCol w:w="1844"/>
        <w:gridCol w:w="3565"/>
        <w:gridCol w:w="4169"/>
      </w:tblGrid>
      <w:tr w:rsidR="0045522C" w:rsidRPr="00232743" w:rsidTr="007004D8">
        <w:tc>
          <w:tcPr>
            <w:tcW w:w="0" w:type="auto"/>
            <w:gridSpan w:val="2"/>
          </w:tcPr>
          <w:p w:rsidR="0045522C" w:rsidRPr="00232743" w:rsidRDefault="0045522C"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lang w:bidi="fa-IR"/>
              </w:rPr>
              <w:t xml:space="preserve">Table 1.Effective </w:t>
            </w:r>
            <w:r w:rsidRPr="00232743">
              <w:rPr>
                <w:rFonts w:ascii="Times New Roman" w:eastAsia="Calibri" w:hAnsi="Times New Roman" w:cs="Times New Roman"/>
                <w:sz w:val="20"/>
                <w:szCs w:val="20"/>
              </w:rPr>
              <w:t xml:space="preserve">Barriers </w:t>
            </w:r>
            <w:r w:rsidRPr="00232743">
              <w:rPr>
                <w:rFonts w:ascii="Times New Roman" w:hAnsi="Times New Roman" w:cs="Times New Roman"/>
                <w:sz w:val="20"/>
                <w:szCs w:val="20"/>
                <w:lang w:bidi="fa-IR"/>
              </w:rPr>
              <w:t>in GSCM implementation</w:t>
            </w:r>
          </w:p>
        </w:tc>
        <w:tc>
          <w:tcPr>
            <w:tcW w:w="0" w:type="auto"/>
          </w:tcPr>
          <w:p w:rsidR="0045522C" w:rsidRPr="00232743" w:rsidRDefault="0045522C" w:rsidP="001D7F10">
            <w:pPr>
              <w:autoSpaceDE w:val="0"/>
              <w:autoSpaceDN w:val="0"/>
              <w:bidi w:val="0"/>
              <w:adjustRightInd w:val="0"/>
              <w:snapToGrid w:val="0"/>
              <w:jc w:val="both"/>
              <w:rPr>
                <w:rFonts w:ascii="Times New Roman" w:hAnsi="Times New Roman" w:cs="Times New Roman"/>
                <w:sz w:val="20"/>
                <w:szCs w:val="20"/>
                <w:lang w:bidi="fa-IR"/>
              </w:rPr>
            </w:pPr>
          </w:p>
        </w:tc>
      </w:tr>
      <w:tr w:rsidR="00F634A8" w:rsidRPr="00232743" w:rsidTr="007004D8">
        <w:tc>
          <w:tcPr>
            <w:tcW w:w="0" w:type="auto"/>
          </w:tcPr>
          <w:p w:rsidR="0045522C" w:rsidRPr="00232743" w:rsidRDefault="0045522C" w:rsidP="001D7F10">
            <w:pPr>
              <w:autoSpaceDE w:val="0"/>
              <w:autoSpaceDN w:val="0"/>
              <w:bidi w:val="0"/>
              <w:adjustRightInd w:val="0"/>
              <w:snapToGrid w:val="0"/>
              <w:jc w:val="both"/>
              <w:rPr>
                <w:rFonts w:ascii="Times New Roman" w:hAnsi="Times New Roman" w:cs="Times New Roman"/>
                <w:b/>
                <w:bCs/>
                <w:sz w:val="20"/>
                <w:szCs w:val="20"/>
                <w:lang w:bidi="fa-IR"/>
              </w:rPr>
            </w:pPr>
            <w:r w:rsidRPr="00232743">
              <w:rPr>
                <w:rFonts w:ascii="Times New Roman" w:hAnsi="Times New Roman" w:cs="Times New Roman"/>
                <w:b/>
                <w:bCs/>
                <w:sz w:val="20"/>
                <w:szCs w:val="20"/>
                <w:lang w:bidi="fa-IR"/>
              </w:rPr>
              <w:t>Criteria</w:t>
            </w:r>
          </w:p>
        </w:tc>
        <w:tc>
          <w:tcPr>
            <w:tcW w:w="0" w:type="auto"/>
          </w:tcPr>
          <w:p w:rsidR="0045522C" w:rsidRPr="00232743" w:rsidRDefault="0045522C" w:rsidP="001D7F10">
            <w:pPr>
              <w:autoSpaceDE w:val="0"/>
              <w:autoSpaceDN w:val="0"/>
              <w:bidi w:val="0"/>
              <w:adjustRightInd w:val="0"/>
              <w:snapToGrid w:val="0"/>
              <w:jc w:val="both"/>
              <w:rPr>
                <w:rFonts w:ascii="Times New Roman" w:hAnsi="Times New Roman" w:cs="Times New Roman"/>
                <w:b/>
                <w:bCs/>
                <w:sz w:val="20"/>
                <w:szCs w:val="20"/>
                <w:lang w:bidi="fa-IR"/>
              </w:rPr>
            </w:pPr>
            <w:r w:rsidRPr="00232743">
              <w:rPr>
                <w:rFonts w:ascii="Times New Roman" w:hAnsi="Times New Roman" w:cs="Times New Roman"/>
                <w:b/>
                <w:bCs/>
                <w:sz w:val="20"/>
                <w:szCs w:val="20"/>
                <w:lang w:bidi="fa-IR"/>
              </w:rPr>
              <w:t>Sub-Criteria</w:t>
            </w:r>
          </w:p>
        </w:tc>
        <w:tc>
          <w:tcPr>
            <w:tcW w:w="0" w:type="auto"/>
          </w:tcPr>
          <w:p w:rsidR="0045522C" w:rsidRPr="00232743" w:rsidRDefault="0045522C" w:rsidP="001D7F10">
            <w:pPr>
              <w:autoSpaceDE w:val="0"/>
              <w:autoSpaceDN w:val="0"/>
              <w:bidi w:val="0"/>
              <w:adjustRightInd w:val="0"/>
              <w:snapToGrid w:val="0"/>
              <w:jc w:val="both"/>
              <w:rPr>
                <w:rFonts w:ascii="Times New Roman" w:hAnsi="Times New Roman" w:cs="Times New Roman"/>
                <w:b/>
                <w:bCs/>
                <w:sz w:val="20"/>
                <w:szCs w:val="20"/>
                <w:lang w:bidi="fa-IR"/>
              </w:rPr>
            </w:pPr>
            <w:r w:rsidRPr="00232743">
              <w:rPr>
                <w:rFonts w:ascii="Times New Roman" w:eastAsia="AdvGulliv-R" w:hAnsi="Times New Roman" w:cs="Times New Roman"/>
                <w:b/>
                <w:bCs/>
                <w:sz w:val="20"/>
                <w:szCs w:val="20"/>
                <w:lang w:bidi="fa-IR"/>
              </w:rPr>
              <w:t>Reference</w:t>
            </w:r>
          </w:p>
        </w:tc>
      </w:tr>
      <w:tr w:rsidR="00CB1955" w:rsidRPr="00232743" w:rsidTr="007004D8">
        <w:tc>
          <w:tcPr>
            <w:tcW w:w="0" w:type="auto"/>
            <w:vMerge w:val="restart"/>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rPr>
            </w:pPr>
          </w:p>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Organization Management</w:t>
            </w:r>
          </w:p>
        </w:tc>
        <w:tc>
          <w:tcPr>
            <w:tcW w:w="0" w:type="auto"/>
          </w:tcPr>
          <w:p w:rsidR="00CB1955" w:rsidRPr="00232743" w:rsidRDefault="00D659DE"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Instability of the senior management</w:t>
            </w:r>
          </w:p>
        </w:tc>
        <w:tc>
          <w:tcPr>
            <w:tcW w:w="0" w:type="auto"/>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Yu &amp; </w:t>
            </w:r>
            <w:proofErr w:type="spellStart"/>
            <w:r w:rsidRPr="00232743">
              <w:rPr>
                <w:rFonts w:ascii="Times New Roman" w:hAnsi="Times New Roman" w:cs="Times New Roman"/>
                <w:sz w:val="20"/>
                <w:szCs w:val="20"/>
              </w:rPr>
              <w:t>Hui</w:t>
            </w:r>
            <w:proofErr w:type="spellEnd"/>
            <w:r w:rsidRPr="00232743">
              <w:rPr>
                <w:rFonts w:ascii="Times New Roman" w:hAnsi="Times New Roman" w:cs="Times New Roman"/>
                <w:sz w:val="20"/>
                <w:szCs w:val="20"/>
              </w:rPr>
              <w:t xml:space="preserve"> ‚</w:t>
            </w:r>
            <w:r w:rsidR="001D7F10">
              <w:rPr>
                <w:rFonts w:ascii="Times New Roman" w:eastAsiaTheme="minorEastAsia" w:hAnsi="Times New Roman" w:cs="Times New Roman" w:hint="eastAsia"/>
                <w:sz w:val="20"/>
                <w:szCs w:val="20"/>
                <w:lang w:eastAsia="zh-CN"/>
              </w:rPr>
              <w:t xml:space="preserve"> </w:t>
            </w:r>
            <w:r w:rsidRPr="00232743">
              <w:rPr>
                <w:rFonts w:ascii="Times New Roman" w:hAnsi="Times New Roman" w:cs="Times New Roman"/>
                <w:sz w:val="20"/>
                <w:szCs w:val="20"/>
              </w:rPr>
              <w:t xml:space="preserve">(2008) </w:t>
            </w:r>
          </w:p>
        </w:tc>
      </w:tr>
      <w:tr w:rsidR="00CB1955" w:rsidRPr="00232743" w:rsidTr="007004D8">
        <w:tc>
          <w:tcPr>
            <w:tcW w:w="0" w:type="auto"/>
            <w:vMerge/>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CB1955" w:rsidRPr="00232743" w:rsidRDefault="00D659DE"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top management support</w:t>
            </w:r>
          </w:p>
        </w:tc>
        <w:tc>
          <w:tcPr>
            <w:tcW w:w="0" w:type="auto"/>
          </w:tcPr>
          <w:p w:rsidR="00CB1955" w:rsidRPr="00232743" w:rsidRDefault="00CB1955"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Helen and Neil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Yu &amp; </w:t>
            </w:r>
            <w:proofErr w:type="spellStart"/>
            <w:r w:rsidRPr="00232743">
              <w:rPr>
                <w:rFonts w:ascii="Times New Roman" w:hAnsi="Times New Roman" w:cs="Times New Roman"/>
                <w:sz w:val="20"/>
                <w:szCs w:val="20"/>
              </w:rPr>
              <w:t>Hui</w:t>
            </w:r>
            <w:proofErr w:type="spellEnd"/>
            <w:r w:rsidRPr="00232743">
              <w:rPr>
                <w:rFonts w:ascii="Times New Roman" w:hAnsi="Times New Roman" w:cs="Times New Roman"/>
                <w:sz w:val="20"/>
                <w:szCs w:val="20"/>
              </w:rPr>
              <w:t xml:space="preserve"> ‚(2008)</w:t>
            </w:r>
            <w:r w:rsidR="007004D8">
              <w:rPr>
                <w:rFonts w:ascii="Times New Roman" w:hAnsi="Times New Roman" w:cs="Times New Roman"/>
                <w:sz w:val="20"/>
                <w:szCs w:val="20"/>
              </w:rPr>
              <w:t xml:space="preserve"> </w:t>
            </w:r>
          </w:p>
        </w:tc>
      </w:tr>
      <w:tr w:rsidR="00CB1955" w:rsidRPr="00232743" w:rsidTr="007004D8">
        <w:tc>
          <w:tcPr>
            <w:tcW w:w="0" w:type="auto"/>
            <w:vMerge/>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CB1955" w:rsidRPr="00232743" w:rsidRDefault="00D659DE"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 xml:space="preserve">Lack of knowledge and experience of </w:t>
            </w:r>
            <w:r w:rsidRPr="00232743">
              <w:rPr>
                <w:rFonts w:ascii="Times New Roman" w:hAnsi="Times New Roman" w:cs="Times New Roman"/>
                <w:sz w:val="20"/>
                <w:szCs w:val="20"/>
              </w:rPr>
              <w:lastRenderedPageBreak/>
              <w:t>staff</w:t>
            </w:r>
          </w:p>
        </w:tc>
        <w:tc>
          <w:tcPr>
            <w:tcW w:w="0" w:type="auto"/>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lastRenderedPageBreak/>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w:t>
            </w:r>
            <w:r w:rsidRPr="00232743">
              <w:rPr>
                <w:rFonts w:ascii="Times New Roman" w:hAnsi="Times New Roman" w:cs="Times New Roman"/>
                <w:sz w:val="20"/>
                <w:szCs w:val="20"/>
              </w:rPr>
              <w:lastRenderedPageBreak/>
              <w:t>(2005)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Hall (2006) </w:t>
            </w:r>
          </w:p>
        </w:tc>
      </w:tr>
      <w:tr w:rsidR="00F634A8" w:rsidRPr="00232743" w:rsidTr="007004D8">
        <w:tc>
          <w:tcPr>
            <w:tcW w:w="0" w:type="auto"/>
            <w:vMerge/>
            <w:tcBorders>
              <w:bottom w:val="single" w:sz="12" w:space="0" w:color="auto"/>
            </w:tcBorders>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Borders>
              <w:bottom w:val="single" w:sz="12" w:space="0" w:color="auto"/>
            </w:tcBorders>
          </w:tcPr>
          <w:p w:rsidR="00CB1955" w:rsidRPr="00232743" w:rsidRDefault="00D659DE"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Employee dissatisfaction</w:t>
            </w:r>
          </w:p>
        </w:tc>
        <w:tc>
          <w:tcPr>
            <w:tcW w:w="0" w:type="auto"/>
            <w:tcBorders>
              <w:bottom w:val="single" w:sz="12" w:space="0" w:color="auto"/>
            </w:tcBorders>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
        </w:tc>
      </w:tr>
      <w:tr w:rsidR="00CB1955" w:rsidRPr="00232743" w:rsidTr="007004D8">
        <w:tc>
          <w:tcPr>
            <w:tcW w:w="0" w:type="auto"/>
            <w:vMerge w:val="restart"/>
            <w:tcBorders>
              <w:top w:val="single" w:sz="12" w:space="0" w:color="auto"/>
            </w:tcBorders>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rPr>
            </w:pPr>
          </w:p>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rPr>
            </w:pPr>
          </w:p>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rPr>
            </w:pPr>
          </w:p>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Organizational Culture</w:t>
            </w:r>
          </w:p>
        </w:tc>
        <w:tc>
          <w:tcPr>
            <w:tcW w:w="0" w:type="auto"/>
            <w:tcBorders>
              <w:top w:val="single" w:sz="12" w:space="0" w:color="auto"/>
            </w:tcBorders>
          </w:tcPr>
          <w:p w:rsidR="00CB1955"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Weak Organizational Culture</w:t>
            </w:r>
          </w:p>
        </w:tc>
        <w:tc>
          <w:tcPr>
            <w:tcW w:w="0" w:type="auto"/>
            <w:tcBorders>
              <w:top w:val="single" w:sz="12" w:space="0" w:color="auto"/>
            </w:tcBorders>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
        </w:tc>
      </w:tr>
      <w:tr w:rsidR="00CB1955" w:rsidRPr="00232743" w:rsidTr="007004D8">
        <w:tc>
          <w:tcPr>
            <w:tcW w:w="0" w:type="auto"/>
            <w:vMerge/>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CB1955"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attention in</w:t>
            </w:r>
            <w:r w:rsidR="007004D8">
              <w:rPr>
                <w:rFonts w:ascii="Times New Roman" w:hAnsi="Times New Roman" w:cs="Times New Roman"/>
                <w:sz w:val="20"/>
                <w:szCs w:val="20"/>
              </w:rPr>
              <w:t xml:space="preserve"> </w:t>
            </w:r>
            <w:r w:rsidRPr="00232743">
              <w:rPr>
                <w:rFonts w:ascii="Times New Roman" w:hAnsi="Times New Roman" w:cs="Times New Roman"/>
                <w:sz w:val="20"/>
                <w:szCs w:val="20"/>
              </w:rPr>
              <w:t>Green Innovation</w:t>
            </w:r>
          </w:p>
        </w:tc>
        <w:tc>
          <w:tcPr>
            <w:tcW w:w="0" w:type="auto"/>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
        </w:tc>
      </w:tr>
      <w:tr w:rsidR="00CB1955" w:rsidRPr="00232743" w:rsidTr="007004D8">
        <w:tc>
          <w:tcPr>
            <w:tcW w:w="0" w:type="auto"/>
            <w:vMerge/>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CB1955"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resources</w:t>
            </w:r>
          </w:p>
        </w:tc>
        <w:tc>
          <w:tcPr>
            <w:tcW w:w="0" w:type="auto"/>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Helen and Neil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
        </w:tc>
      </w:tr>
      <w:tr w:rsidR="00F634A8" w:rsidRPr="00232743" w:rsidTr="007004D8">
        <w:tc>
          <w:tcPr>
            <w:tcW w:w="0" w:type="auto"/>
            <w:vMerge/>
            <w:tcBorders>
              <w:bottom w:val="single" w:sz="12" w:space="0" w:color="auto"/>
            </w:tcBorders>
          </w:tcPr>
          <w:p w:rsidR="00CB1955" w:rsidRPr="00232743" w:rsidRDefault="00CB1955"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Borders>
              <w:bottom w:val="single" w:sz="12" w:space="0" w:color="auto"/>
            </w:tcBorders>
          </w:tcPr>
          <w:p w:rsidR="00CB1955"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eastAsia="Calibri" w:hAnsi="Times New Roman" w:cs="Times New Roman"/>
                <w:sz w:val="20"/>
                <w:szCs w:val="20"/>
              </w:rPr>
              <w:t>the lack of incentive legislation for the Green Supply Chain</w:t>
            </w:r>
          </w:p>
        </w:tc>
        <w:tc>
          <w:tcPr>
            <w:tcW w:w="0" w:type="auto"/>
            <w:tcBorders>
              <w:bottom w:val="single" w:sz="12" w:space="0" w:color="auto"/>
            </w:tcBorders>
          </w:tcPr>
          <w:p w:rsidR="00CB1955" w:rsidRPr="00232743" w:rsidRDefault="00CB1955"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Hall (2006)</w:t>
            </w:r>
          </w:p>
        </w:tc>
      </w:tr>
      <w:tr w:rsidR="002124AC" w:rsidRPr="00232743" w:rsidTr="007004D8">
        <w:tc>
          <w:tcPr>
            <w:tcW w:w="0" w:type="auto"/>
            <w:vMerge w:val="restart"/>
            <w:tcBorders>
              <w:top w:val="single" w:sz="12" w:space="0" w:color="auto"/>
            </w:tcBorders>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Organizational Structure</w:t>
            </w:r>
          </w:p>
        </w:tc>
        <w:tc>
          <w:tcPr>
            <w:tcW w:w="0" w:type="auto"/>
            <w:tcBorders>
              <w:top w:val="single" w:sz="12" w:space="0" w:color="auto"/>
            </w:tcBorders>
          </w:tcPr>
          <w:p w:rsidR="002124AC"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Uncertainty in the Supply Chain</w:t>
            </w:r>
          </w:p>
        </w:tc>
        <w:tc>
          <w:tcPr>
            <w:tcW w:w="0" w:type="auto"/>
            <w:tcBorders>
              <w:top w:val="single" w:sz="12" w:space="0" w:color="auto"/>
            </w:tcBorders>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Helen and Neil (2012)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technical infrastructure</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information needed</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communication between members of the supply chain</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 </w:t>
            </w:r>
          </w:p>
        </w:tc>
      </w:tr>
      <w:tr w:rsidR="00F634A8" w:rsidRPr="00232743" w:rsidTr="007004D8">
        <w:tc>
          <w:tcPr>
            <w:tcW w:w="0" w:type="auto"/>
            <w:vMerge/>
            <w:tcBorders>
              <w:bottom w:val="single" w:sz="12" w:space="0" w:color="auto"/>
            </w:tcBorders>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Borders>
              <w:bottom w:val="single" w:sz="12" w:space="0" w:color="auto"/>
            </w:tcBorders>
          </w:tcPr>
          <w:p w:rsidR="002124AC" w:rsidRPr="00232743" w:rsidRDefault="007223F5"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attention to the short-term profit</w:t>
            </w:r>
          </w:p>
        </w:tc>
        <w:tc>
          <w:tcPr>
            <w:tcW w:w="0" w:type="auto"/>
            <w:tcBorders>
              <w:bottom w:val="single" w:sz="12" w:space="0" w:color="auto"/>
            </w:tcBorders>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 </w:t>
            </w:r>
          </w:p>
        </w:tc>
      </w:tr>
      <w:tr w:rsidR="002124AC" w:rsidRPr="00232743" w:rsidTr="007004D8">
        <w:tc>
          <w:tcPr>
            <w:tcW w:w="0" w:type="auto"/>
            <w:vMerge w:val="restart"/>
            <w:tcBorders>
              <w:top w:val="single" w:sz="12" w:space="0" w:color="auto"/>
            </w:tcBorders>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rPr>
            </w:pPr>
          </w:p>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Rules and Guidelines</w:t>
            </w:r>
          </w:p>
        </w:tc>
        <w:tc>
          <w:tcPr>
            <w:tcW w:w="0" w:type="auto"/>
            <w:tcBorders>
              <w:top w:val="single" w:sz="12" w:space="0" w:color="auto"/>
            </w:tcBorders>
          </w:tcPr>
          <w:p w:rsidR="002124AC" w:rsidRPr="00232743" w:rsidRDefault="006823B3"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financial resources</w:t>
            </w:r>
          </w:p>
        </w:tc>
        <w:tc>
          <w:tcPr>
            <w:tcW w:w="0" w:type="auto"/>
            <w:tcBorders>
              <w:top w:val="single" w:sz="12" w:space="0" w:color="auto"/>
            </w:tcBorders>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6823B3"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government support</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6823B3"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Slow Return to capital after the implementation of green supply chain</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Helen and Neil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6823B3"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eastAsia="Calibri" w:hAnsi="Times New Roman" w:cs="Times New Roman"/>
                <w:sz w:val="20"/>
                <w:szCs w:val="20"/>
              </w:rPr>
              <w:t>Lack of supply chain integration</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Ravi and Shankar‚ (2005)</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Hall (2006)</w:t>
            </w:r>
          </w:p>
        </w:tc>
      </w:tr>
      <w:tr w:rsidR="002124AC" w:rsidRPr="00232743" w:rsidTr="007004D8">
        <w:tc>
          <w:tcPr>
            <w:tcW w:w="0" w:type="auto"/>
            <w:vMerge/>
          </w:tcPr>
          <w:p w:rsidR="002124AC" w:rsidRPr="00232743" w:rsidRDefault="002124AC" w:rsidP="001D7F10">
            <w:pPr>
              <w:autoSpaceDE w:val="0"/>
              <w:autoSpaceDN w:val="0"/>
              <w:bidi w:val="0"/>
              <w:adjustRightInd w:val="0"/>
              <w:snapToGrid w:val="0"/>
              <w:jc w:val="both"/>
              <w:rPr>
                <w:rFonts w:ascii="Times New Roman" w:hAnsi="Times New Roman" w:cs="Times New Roman"/>
                <w:sz w:val="20"/>
                <w:szCs w:val="20"/>
                <w:lang w:bidi="fa-IR"/>
              </w:rPr>
            </w:pPr>
          </w:p>
        </w:tc>
        <w:tc>
          <w:tcPr>
            <w:tcW w:w="0" w:type="auto"/>
          </w:tcPr>
          <w:p w:rsidR="002124AC" w:rsidRPr="00232743" w:rsidRDefault="006823B3" w:rsidP="001D7F10">
            <w:pPr>
              <w:autoSpaceDE w:val="0"/>
              <w:autoSpaceDN w:val="0"/>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t>Lack of appropriate strategies for green supply chain vision and mission</w:t>
            </w:r>
          </w:p>
        </w:tc>
        <w:tc>
          <w:tcPr>
            <w:tcW w:w="0" w:type="auto"/>
          </w:tcPr>
          <w:p w:rsidR="002124AC" w:rsidRPr="00232743" w:rsidRDefault="002124AC" w:rsidP="001D7F10">
            <w:pPr>
              <w:bidi w:val="0"/>
              <w:adjustRightInd w:val="0"/>
              <w:snapToGrid w:val="0"/>
              <w:jc w:val="both"/>
              <w:rPr>
                <w:rFonts w:ascii="Times New Roman" w:hAnsi="Times New Roman" w:cs="Times New Roman"/>
                <w:sz w:val="20"/>
                <w:szCs w:val="20"/>
              </w:rPr>
            </w:pPr>
            <w:proofErr w:type="spellStart"/>
            <w:r w:rsidRPr="00232743">
              <w:rPr>
                <w:rFonts w:ascii="Times New Roman" w:hAnsi="Times New Roman" w:cs="Times New Roman"/>
                <w:sz w:val="20"/>
                <w:szCs w:val="20"/>
              </w:rPr>
              <w:t>Balasubramanian</w:t>
            </w:r>
            <w:proofErr w:type="spellEnd"/>
            <w:r w:rsidRPr="00232743">
              <w:rPr>
                <w:rFonts w:ascii="Times New Roman" w:hAnsi="Times New Roman" w:cs="Times New Roman"/>
                <w:sz w:val="20"/>
                <w:szCs w:val="20"/>
              </w:rPr>
              <w:t xml:space="preserve">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Helen and Neil (2012)</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w:t>
            </w:r>
            <w:proofErr w:type="spellStart"/>
            <w:r w:rsidRPr="00232743">
              <w:rPr>
                <w:rFonts w:ascii="Times New Roman" w:hAnsi="Times New Roman" w:cs="Times New Roman"/>
                <w:sz w:val="20"/>
                <w:szCs w:val="20"/>
              </w:rPr>
              <w:t>Sarkis</w:t>
            </w:r>
            <w:proofErr w:type="spellEnd"/>
            <w:r w:rsidRPr="00232743">
              <w:rPr>
                <w:rFonts w:ascii="Times New Roman" w:hAnsi="Times New Roman" w:cs="Times New Roman"/>
                <w:sz w:val="20"/>
                <w:szCs w:val="20"/>
              </w:rPr>
              <w:t xml:space="preserve"> (2009)</w:t>
            </w:r>
            <w:r w:rsidR="007004D8">
              <w:rPr>
                <w:rFonts w:ascii="Times New Roman" w:hAnsi="Times New Roman" w:cs="Times New Roman"/>
                <w:sz w:val="20"/>
                <w:szCs w:val="20"/>
              </w:rPr>
              <w:t>,</w:t>
            </w:r>
            <w:r w:rsidRPr="00232743">
              <w:rPr>
                <w:rFonts w:ascii="Times New Roman" w:hAnsi="Times New Roman" w:cs="Times New Roman"/>
                <w:sz w:val="20"/>
                <w:szCs w:val="20"/>
              </w:rPr>
              <w:t xml:space="preserve"> Hall (2006)</w:t>
            </w:r>
          </w:p>
        </w:tc>
      </w:tr>
    </w:tbl>
    <w:p w:rsidR="0045522C" w:rsidRPr="00232743" w:rsidRDefault="0045522C" w:rsidP="001D7F10">
      <w:pPr>
        <w:autoSpaceDE w:val="0"/>
        <w:autoSpaceDN w:val="0"/>
        <w:bidi w:val="0"/>
        <w:adjustRightInd w:val="0"/>
        <w:snapToGrid w:val="0"/>
        <w:jc w:val="both"/>
        <w:rPr>
          <w:rFonts w:cs="Times New Roman"/>
          <w:sz w:val="20"/>
          <w:szCs w:val="20"/>
          <w:lang w:bidi="fa-IR"/>
        </w:rPr>
      </w:pPr>
    </w:p>
    <w:p w:rsidR="00D6543C" w:rsidRPr="00232743" w:rsidRDefault="00A05210" w:rsidP="001D7F10">
      <w:pPr>
        <w:autoSpaceDE w:val="0"/>
        <w:autoSpaceDN w:val="0"/>
        <w:bidi w:val="0"/>
        <w:adjustRightInd w:val="0"/>
        <w:snapToGrid w:val="0"/>
        <w:rPr>
          <w:rFonts w:cs="Times New Roman"/>
          <w:b/>
          <w:bCs/>
          <w:sz w:val="20"/>
          <w:szCs w:val="20"/>
          <w:lang w:bidi="fa-IR"/>
        </w:rPr>
      </w:pPr>
      <w:r w:rsidRPr="00232743">
        <w:rPr>
          <w:rFonts w:cs="Times New Roman"/>
          <w:b/>
          <w:bCs/>
          <w:sz w:val="20"/>
          <w:szCs w:val="20"/>
          <w:lang w:bidi="fa-IR"/>
        </w:rPr>
        <w:t>5. DEMATEL</w:t>
      </w:r>
      <w:r w:rsidR="003B67F2" w:rsidRPr="00232743">
        <w:rPr>
          <w:rFonts w:cs="Times New Roman"/>
          <w:b/>
          <w:bCs/>
          <w:sz w:val="20"/>
          <w:szCs w:val="20"/>
          <w:lang w:bidi="fa-IR"/>
        </w:rPr>
        <w:t xml:space="preserve"> Technique</w:t>
      </w:r>
    </w:p>
    <w:p w:rsidR="00D6543C" w:rsidRPr="00232743" w:rsidRDefault="00913085" w:rsidP="001D7F10">
      <w:pPr>
        <w:autoSpaceDE w:val="0"/>
        <w:autoSpaceDN w:val="0"/>
        <w:bidi w:val="0"/>
        <w:adjustRightInd w:val="0"/>
        <w:snapToGrid w:val="0"/>
        <w:ind w:firstLine="720"/>
        <w:jc w:val="both"/>
        <w:rPr>
          <w:rFonts w:eastAsia="AdvGulliv-R" w:cs="Times New Roman"/>
          <w:sz w:val="20"/>
          <w:szCs w:val="20"/>
        </w:rPr>
      </w:pPr>
      <w:r w:rsidRPr="00232743">
        <w:rPr>
          <w:rFonts w:eastAsia="AdvGulliv-R" w:cs="Times New Roman"/>
          <w:sz w:val="20"/>
          <w:szCs w:val="20"/>
        </w:rPr>
        <w:t>The DEMATEL method was first conducted by The Battelle Memorial Institute through its Geneva Research Centre in 1973. DEMATEL is an extended method for building and analyzing a structural model for analyzing the influence relation among complex criteria. However, making decisions is very difficulty in fuzzy environment to segment complex factors.</w:t>
      </w:r>
    </w:p>
    <w:p w:rsidR="00B56BC5" w:rsidRPr="00232743" w:rsidRDefault="00B56BC5" w:rsidP="001D7F10">
      <w:pPr>
        <w:autoSpaceDE w:val="0"/>
        <w:autoSpaceDN w:val="0"/>
        <w:bidi w:val="0"/>
        <w:adjustRightInd w:val="0"/>
        <w:snapToGrid w:val="0"/>
        <w:ind w:firstLine="720"/>
        <w:jc w:val="both"/>
        <w:rPr>
          <w:rFonts w:eastAsiaTheme="minorHAnsi" w:cs="Times New Roman"/>
          <w:sz w:val="20"/>
          <w:szCs w:val="20"/>
        </w:rPr>
      </w:pPr>
      <w:r w:rsidRPr="00232743">
        <w:rPr>
          <w:rFonts w:eastAsiaTheme="minorHAnsi" w:cs="Times New Roman"/>
          <w:sz w:val="20"/>
          <w:szCs w:val="20"/>
        </w:rPr>
        <w:t>The procedures of the DEMATEL method (</w:t>
      </w:r>
      <w:proofErr w:type="spellStart"/>
      <w:r w:rsidRPr="00232743">
        <w:rPr>
          <w:rFonts w:eastAsiaTheme="minorHAnsi" w:cs="Times New Roman"/>
          <w:sz w:val="20"/>
          <w:szCs w:val="20"/>
        </w:rPr>
        <w:t>Fontela</w:t>
      </w:r>
      <w:proofErr w:type="spellEnd"/>
      <w:r w:rsidRPr="00232743">
        <w:rPr>
          <w:rFonts w:eastAsiaTheme="minorHAnsi" w:cs="Times New Roman"/>
          <w:sz w:val="20"/>
          <w:szCs w:val="20"/>
        </w:rPr>
        <w:t xml:space="preserve"> &amp; </w:t>
      </w:r>
      <w:proofErr w:type="spellStart"/>
      <w:r w:rsidRPr="00232743">
        <w:rPr>
          <w:rFonts w:eastAsiaTheme="minorHAnsi" w:cs="Times New Roman"/>
          <w:sz w:val="20"/>
          <w:szCs w:val="20"/>
        </w:rPr>
        <w:t>Gabus</w:t>
      </w:r>
      <w:proofErr w:type="spellEnd"/>
      <w:r w:rsidRPr="00232743">
        <w:rPr>
          <w:rFonts w:eastAsiaTheme="minorHAnsi" w:cs="Times New Roman"/>
          <w:sz w:val="20"/>
          <w:szCs w:val="20"/>
        </w:rPr>
        <w:t>, 1976) are discussed below.</w:t>
      </w:r>
    </w:p>
    <w:p w:rsidR="00B56BC5" w:rsidRPr="00232743" w:rsidRDefault="00B56BC5" w:rsidP="001D7F10">
      <w:pPr>
        <w:autoSpaceDE w:val="0"/>
        <w:autoSpaceDN w:val="0"/>
        <w:bidi w:val="0"/>
        <w:adjustRightInd w:val="0"/>
        <w:snapToGrid w:val="0"/>
        <w:jc w:val="both"/>
        <w:rPr>
          <w:rFonts w:eastAsiaTheme="minorHAnsi" w:cs="Times New Roman"/>
          <w:sz w:val="20"/>
          <w:szCs w:val="20"/>
        </w:rPr>
      </w:pPr>
    </w:p>
    <w:p w:rsidR="00B56BC5" w:rsidRPr="00232743" w:rsidRDefault="00B56BC5" w:rsidP="001D7F10">
      <w:pPr>
        <w:autoSpaceDE w:val="0"/>
        <w:autoSpaceDN w:val="0"/>
        <w:bidi w:val="0"/>
        <w:adjustRightInd w:val="0"/>
        <w:snapToGrid w:val="0"/>
        <w:jc w:val="both"/>
        <w:rPr>
          <w:rFonts w:eastAsiaTheme="minorHAnsi" w:cs="Times New Roman"/>
          <w:sz w:val="20"/>
          <w:szCs w:val="20"/>
        </w:rPr>
      </w:pPr>
      <w:r w:rsidRPr="00232743">
        <w:rPr>
          <w:rFonts w:eastAsiaTheme="minorHAnsi" w:cs="Times New Roman"/>
          <w:sz w:val="20"/>
          <w:szCs w:val="20"/>
        </w:rPr>
        <w:t xml:space="preserve">Step 1: </w:t>
      </w:r>
      <w:r w:rsidRPr="00232743">
        <w:rPr>
          <w:rFonts w:eastAsiaTheme="minorHAnsi" w:cs="Times New Roman"/>
          <w:i/>
          <w:iCs/>
          <w:sz w:val="20"/>
          <w:szCs w:val="20"/>
        </w:rPr>
        <w:t xml:space="preserve">Generating the direct-relation matrix. </w:t>
      </w:r>
    </w:p>
    <w:p w:rsidR="00B56BC5" w:rsidRPr="00232743" w:rsidRDefault="00B56BC5" w:rsidP="001D7F10">
      <w:pPr>
        <w:autoSpaceDE w:val="0"/>
        <w:autoSpaceDN w:val="0"/>
        <w:bidi w:val="0"/>
        <w:adjustRightInd w:val="0"/>
        <w:snapToGrid w:val="0"/>
        <w:ind w:firstLine="720"/>
        <w:jc w:val="both"/>
        <w:rPr>
          <w:rFonts w:eastAsiaTheme="minorHAnsi" w:cs="Times New Roman"/>
          <w:sz w:val="20"/>
          <w:szCs w:val="20"/>
        </w:rPr>
      </w:pPr>
      <w:r w:rsidRPr="00232743">
        <w:rPr>
          <w:rFonts w:eastAsiaTheme="minorHAnsi" w:cs="Times New Roman"/>
          <w:sz w:val="20"/>
          <w:szCs w:val="20"/>
        </w:rPr>
        <w:t>We use five scales for measuring the relationship among different criteria: 0 (no influence), 1 (very low influence), 2 (low influence), 3 (</w:t>
      </w:r>
      <w:r w:rsidRPr="00232743">
        <w:rPr>
          <w:rFonts w:eastAsia="DFKai-SB" w:cs="Times New Roman"/>
          <w:sz w:val="20"/>
          <w:szCs w:val="20"/>
        </w:rPr>
        <w:t>high influence</w:t>
      </w:r>
      <w:r w:rsidRPr="00232743">
        <w:rPr>
          <w:rFonts w:eastAsiaTheme="minorHAnsi" w:cs="Times New Roman"/>
          <w:sz w:val="20"/>
          <w:szCs w:val="20"/>
        </w:rPr>
        <w:t>), and 4 (very high influence). Next, decision makers prepare sets of the pair</w:t>
      </w:r>
      <w:r w:rsidRPr="00232743">
        <w:rPr>
          <w:rFonts w:eastAsiaTheme="minorHAnsi" w:cs="Times New Roman"/>
          <w:b/>
          <w:bCs/>
          <w:sz w:val="20"/>
          <w:szCs w:val="20"/>
        </w:rPr>
        <w:t>-</w:t>
      </w:r>
      <w:r w:rsidRPr="00232743">
        <w:rPr>
          <w:rFonts w:eastAsiaTheme="minorHAnsi" w:cs="Times New Roman"/>
          <w:sz w:val="20"/>
          <w:szCs w:val="20"/>
        </w:rPr>
        <w:t xml:space="preserve">wise comparisons in terms of effects and direction between criteria. Then the initial data can be obtained as the direct-relation matrix which is an </w:t>
      </w:r>
      <w:r w:rsidRPr="00232743">
        <w:rPr>
          <w:rFonts w:eastAsiaTheme="minorHAnsi" w:cs="Times New Roman"/>
          <w:i/>
          <w:iCs/>
          <w:sz w:val="20"/>
          <w:szCs w:val="20"/>
        </w:rPr>
        <w:t xml:space="preserve">n × n </w:t>
      </w:r>
      <w:r w:rsidRPr="00232743">
        <w:rPr>
          <w:rFonts w:eastAsiaTheme="minorHAnsi" w:cs="Times New Roman"/>
          <w:sz w:val="20"/>
          <w:szCs w:val="20"/>
        </w:rPr>
        <w:t xml:space="preserve">matrix </w:t>
      </w:r>
      <w:r w:rsidRPr="00232743">
        <w:rPr>
          <w:rFonts w:eastAsiaTheme="minorHAnsi" w:cs="Times New Roman"/>
          <w:i/>
          <w:iCs/>
          <w:sz w:val="20"/>
          <w:szCs w:val="20"/>
        </w:rPr>
        <w:t xml:space="preserve">T </w:t>
      </w:r>
      <w:r w:rsidRPr="00232743">
        <w:rPr>
          <w:rFonts w:eastAsiaTheme="minorHAnsi" w:cs="Times New Roman"/>
          <w:sz w:val="20"/>
          <w:szCs w:val="20"/>
        </w:rPr>
        <w:t xml:space="preserve">where each element of </w:t>
      </w:r>
      <w:proofErr w:type="spellStart"/>
      <w:r w:rsidRPr="00232743">
        <w:rPr>
          <w:rFonts w:eastAsiaTheme="minorHAnsi" w:cs="Times New Roman"/>
          <w:i/>
          <w:iCs/>
          <w:sz w:val="20"/>
          <w:szCs w:val="20"/>
        </w:rPr>
        <w:t>a</w:t>
      </w:r>
      <w:r w:rsidRPr="00232743">
        <w:rPr>
          <w:rFonts w:eastAsiaTheme="minorHAnsi" w:cs="Times New Roman"/>
          <w:i/>
          <w:iCs/>
          <w:sz w:val="20"/>
          <w:szCs w:val="20"/>
          <w:vertAlign w:val="subscript"/>
        </w:rPr>
        <w:t>ij</w:t>
      </w:r>
      <w:proofErr w:type="spellEnd"/>
      <w:r w:rsidRPr="00232743">
        <w:rPr>
          <w:rFonts w:eastAsiaTheme="minorHAnsi" w:cs="Times New Roman"/>
          <w:i/>
          <w:iCs/>
          <w:sz w:val="20"/>
          <w:szCs w:val="20"/>
        </w:rPr>
        <w:t xml:space="preserve"> </w:t>
      </w:r>
      <w:r w:rsidRPr="00232743">
        <w:rPr>
          <w:rFonts w:eastAsiaTheme="minorHAnsi" w:cs="Times New Roman"/>
          <w:sz w:val="20"/>
          <w:szCs w:val="20"/>
        </w:rPr>
        <w:t xml:space="preserve">is denoted as the degree in which the criterion </w:t>
      </w:r>
      <w:proofErr w:type="spellStart"/>
      <w:r w:rsidRPr="00232743">
        <w:rPr>
          <w:rFonts w:eastAsiaTheme="minorHAnsi" w:cs="Times New Roman"/>
          <w:i/>
          <w:iCs/>
          <w:sz w:val="20"/>
          <w:szCs w:val="20"/>
        </w:rPr>
        <w:t>i</w:t>
      </w:r>
      <w:proofErr w:type="spellEnd"/>
      <w:r w:rsidRPr="00232743">
        <w:rPr>
          <w:rFonts w:eastAsiaTheme="minorHAnsi" w:cs="Times New Roman"/>
          <w:i/>
          <w:iCs/>
          <w:sz w:val="20"/>
          <w:szCs w:val="20"/>
        </w:rPr>
        <w:t xml:space="preserve"> </w:t>
      </w:r>
      <w:r w:rsidRPr="00232743">
        <w:rPr>
          <w:rFonts w:eastAsiaTheme="minorHAnsi" w:cs="Times New Roman"/>
          <w:sz w:val="20"/>
          <w:szCs w:val="20"/>
        </w:rPr>
        <w:t xml:space="preserve">affects the criterion </w:t>
      </w:r>
      <w:r w:rsidRPr="00232743">
        <w:rPr>
          <w:rFonts w:eastAsiaTheme="minorHAnsi" w:cs="Times New Roman"/>
          <w:i/>
          <w:iCs/>
          <w:sz w:val="20"/>
          <w:szCs w:val="20"/>
        </w:rPr>
        <w:t>j</w:t>
      </w:r>
      <w:r w:rsidRPr="00232743">
        <w:rPr>
          <w:rFonts w:eastAsiaTheme="minorHAnsi" w:cs="Times New Roman"/>
          <w:sz w:val="20"/>
          <w:szCs w:val="20"/>
        </w:rPr>
        <w:t>.</w:t>
      </w:r>
    </w:p>
    <w:p w:rsidR="00B56BC5" w:rsidRPr="00232743" w:rsidRDefault="00B56BC5" w:rsidP="001D7F10">
      <w:pPr>
        <w:autoSpaceDE w:val="0"/>
        <w:autoSpaceDN w:val="0"/>
        <w:bidi w:val="0"/>
        <w:adjustRightInd w:val="0"/>
        <w:snapToGrid w:val="0"/>
        <w:jc w:val="both"/>
        <w:rPr>
          <w:rFonts w:eastAsiaTheme="minorHAnsi" w:cs="Times New Roman"/>
          <w:sz w:val="20"/>
          <w:szCs w:val="20"/>
        </w:rPr>
      </w:pPr>
    </w:p>
    <w:p w:rsidR="00B56BC5" w:rsidRPr="00232743" w:rsidRDefault="00B56BC5" w:rsidP="001D7F10">
      <w:pPr>
        <w:autoSpaceDE w:val="0"/>
        <w:autoSpaceDN w:val="0"/>
        <w:bidi w:val="0"/>
        <w:adjustRightInd w:val="0"/>
        <w:snapToGrid w:val="0"/>
        <w:jc w:val="both"/>
        <w:rPr>
          <w:rFonts w:eastAsiaTheme="minorHAnsi" w:cs="Times New Roman"/>
          <w:sz w:val="20"/>
          <w:szCs w:val="20"/>
        </w:rPr>
      </w:pPr>
      <w:r w:rsidRPr="00232743">
        <w:rPr>
          <w:rFonts w:eastAsiaTheme="minorHAnsi" w:cs="Times New Roman"/>
          <w:sz w:val="20"/>
          <w:szCs w:val="20"/>
        </w:rPr>
        <w:t xml:space="preserve">Step 2: </w:t>
      </w:r>
      <w:r w:rsidRPr="00232743">
        <w:rPr>
          <w:rFonts w:eastAsiaTheme="minorHAnsi" w:cs="Times New Roman"/>
          <w:i/>
          <w:iCs/>
          <w:sz w:val="20"/>
          <w:szCs w:val="20"/>
        </w:rPr>
        <w:t xml:space="preserve">Normalizing the direct-relation matrix. </w:t>
      </w:r>
      <w:r w:rsidRPr="00232743">
        <w:rPr>
          <w:rFonts w:eastAsiaTheme="minorHAnsi" w:cs="Times New Roman"/>
          <w:sz w:val="20"/>
          <w:szCs w:val="20"/>
        </w:rPr>
        <w:t>Normalization is performed using the following,</w:t>
      </w:r>
    </w:p>
    <w:p w:rsidR="00B56BC5" w:rsidRPr="00232743" w:rsidRDefault="00B56BC5" w:rsidP="001D7F10">
      <w:pPr>
        <w:autoSpaceDE w:val="0"/>
        <w:autoSpaceDN w:val="0"/>
        <w:bidi w:val="0"/>
        <w:adjustRightInd w:val="0"/>
        <w:snapToGrid w:val="0"/>
        <w:jc w:val="both"/>
        <w:rPr>
          <w:rFonts w:eastAsiaTheme="minorHAnsi" w:cs="Times New Roman"/>
          <w:sz w:val="20"/>
          <w:szCs w:val="20"/>
        </w:rPr>
      </w:pPr>
    </w:p>
    <w:p w:rsidR="00B56BC5" w:rsidRPr="00232743" w:rsidRDefault="00B56BC5" w:rsidP="001D7F10">
      <w:pPr>
        <w:autoSpaceDE w:val="0"/>
        <w:autoSpaceDN w:val="0"/>
        <w:bidi w:val="0"/>
        <w:adjustRightInd w:val="0"/>
        <w:snapToGrid w:val="0"/>
        <w:jc w:val="both"/>
        <w:rPr>
          <w:rFonts w:eastAsiaTheme="minorHAnsi" w:cs="Times New Roman"/>
          <w:sz w:val="20"/>
          <w:szCs w:val="20"/>
        </w:rPr>
      </w:pPr>
      <m:oMathPara>
        <m:oMathParaPr>
          <m:jc m:val="left"/>
        </m:oMathParaPr>
        <m:oMath>
          <m:r>
            <w:rPr>
              <w:rFonts w:ascii="Cambria Math" w:eastAsiaTheme="minorHAnsi" w:hAnsi="Cambria Math" w:cs="Times New Roman"/>
              <w:sz w:val="20"/>
              <w:szCs w:val="20"/>
            </w:rPr>
            <m:t>K</m:t>
          </m:r>
          <m:r>
            <w:rPr>
              <w:rFonts w:ascii="Cambria Math" w:eastAsiaTheme="minorHAnsi" w:cs="Times New Roman"/>
              <w:sz w:val="20"/>
              <w:szCs w:val="20"/>
            </w:rPr>
            <m:t>=</m:t>
          </m:r>
          <m:f>
            <m:fPr>
              <m:ctrlPr>
                <w:rPr>
                  <w:rFonts w:ascii="Cambria Math" w:eastAsiaTheme="minorHAnsi" w:hAnsi="Cambria Math" w:cs="Times New Roman"/>
                  <w:i/>
                  <w:sz w:val="20"/>
                  <w:szCs w:val="20"/>
                </w:rPr>
              </m:ctrlPr>
            </m:fPr>
            <m:num>
              <m:r>
                <w:rPr>
                  <w:rFonts w:ascii="Cambria Math" w:eastAsiaTheme="minorHAnsi" w:cs="Times New Roman"/>
                  <w:sz w:val="20"/>
                  <w:szCs w:val="20"/>
                </w:rPr>
                <m:t>1</m:t>
              </m:r>
            </m:num>
            <m:den>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max</m:t>
                  </m:r>
                </m:e>
                <m:sub>
                  <m:r>
                    <w:rPr>
                      <w:rFonts w:ascii="Cambria Math" w:eastAsiaTheme="minorHAnsi" w:cs="Times New Roman"/>
                      <w:sz w:val="20"/>
                      <w:szCs w:val="20"/>
                    </w:rPr>
                    <m:t>1</m:t>
                  </m:r>
                  <m:r>
                    <w:rPr>
                      <w:rFonts w:ascii="Cambria Math" w:eastAsiaTheme="minorHAnsi" w:cs="Times New Roman"/>
                      <w:sz w:val="20"/>
                      <w:szCs w:val="20"/>
                    </w:rPr>
                    <m:t>≤</m:t>
                  </m:r>
                  <m:r>
                    <w:rPr>
                      <w:rFonts w:ascii="Cambria Math" w:eastAsiaTheme="minorHAnsi" w:hAnsi="Cambria Math" w:cs="Times New Roman"/>
                      <w:sz w:val="20"/>
                      <w:szCs w:val="20"/>
                    </w:rPr>
                    <m:t>i</m:t>
                  </m:r>
                  <m:r>
                    <w:rPr>
                      <w:rFonts w:ascii="Cambria Math" w:eastAsiaTheme="minorHAnsi" w:cs="Times New Roman"/>
                      <w:sz w:val="20"/>
                      <w:szCs w:val="20"/>
                    </w:rPr>
                    <m:t>≤</m:t>
                  </m:r>
                  <m:r>
                    <w:rPr>
                      <w:rFonts w:ascii="Cambria Math" w:eastAsiaTheme="minorHAnsi" w:hAnsi="Cambria Math" w:cs="Times New Roman"/>
                      <w:sz w:val="20"/>
                      <w:szCs w:val="20"/>
                    </w:rPr>
                    <m:t>n</m:t>
                  </m:r>
                </m:sub>
              </m:sSub>
              <m:nary>
                <m:naryPr>
                  <m:chr m:val="∑"/>
                  <m:limLoc m:val="undOvr"/>
                  <m:ctrlPr>
                    <w:rPr>
                      <w:rFonts w:ascii="Cambria Math" w:eastAsiaTheme="minorHAnsi" w:hAnsi="Cambria Math" w:cs="Times New Roman"/>
                      <w:i/>
                      <w:sz w:val="20"/>
                      <w:szCs w:val="20"/>
                    </w:rPr>
                  </m:ctrlPr>
                </m:naryPr>
                <m:sub>
                  <m:r>
                    <w:rPr>
                      <w:rFonts w:ascii="Cambria Math" w:eastAsiaTheme="minorHAnsi" w:hAnsi="Cambria Math" w:cs="Times New Roman"/>
                      <w:sz w:val="20"/>
                      <w:szCs w:val="20"/>
                    </w:rPr>
                    <m:t>j</m:t>
                  </m:r>
                  <m:r>
                    <w:rPr>
                      <w:rFonts w:ascii="Cambria Math" w:eastAsiaTheme="minorHAnsi" w:cs="Times New Roman"/>
                      <w:sz w:val="20"/>
                      <w:szCs w:val="20"/>
                    </w:rPr>
                    <m:t>=1</m:t>
                  </m:r>
                </m:sub>
                <m:sup>
                  <m:r>
                    <w:rPr>
                      <w:rFonts w:ascii="Cambria Math" w:eastAsiaTheme="minorHAnsi" w:hAnsi="Cambria Math" w:cs="Times New Roman"/>
                      <w:sz w:val="20"/>
                      <w:szCs w:val="20"/>
                    </w:rPr>
                    <m:t>n</m:t>
                  </m:r>
                </m:sup>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a</m:t>
                      </m:r>
                    </m:e>
                    <m:sub>
                      <m:r>
                        <w:rPr>
                          <w:rFonts w:ascii="Cambria Math" w:eastAsiaTheme="minorHAnsi" w:hAnsi="Cambria Math" w:cs="Times New Roman"/>
                          <w:sz w:val="20"/>
                          <w:szCs w:val="20"/>
                        </w:rPr>
                        <m:t>ij</m:t>
                      </m:r>
                    </m:sub>
                  </m:sSub>
                </m:e>
              </m:nary>
            </m:den>
          </m:f>
          <m:r>
            <w:rPr>
              <w:rFonts w:ascii="Cambria Math" w:eastAsiaTheme="minorHAnsi" w:cs="Times New Roman"/>
              <w:sz w:val="20"/>
              <w:szCs w:val="20"/>
            </w:rPr>
            <m:t xml:space="preserve">  </m:t>
          </m:r>
          <m:r>
            <w:rPr>
              <w:rFonts w:ascii="Cambria Math" w:eastAsiaTheme="minorHAnsi" w:hAnsi="Cambria Math" w:cs="Times New Roman"/>
              <w:sz w:val="20"/>
              <w:szCs w:val="20"/>
            </w:rPr>
            <m:t>i</m:t>
          </m:r>
          <m:r>
            <w:rPr>
              <w:rFonts w:ascii="Cambria Math" w:eastAsiaTheme="minorHAnsi" w:cs="Times New Roman"/>
              <w:sz w:val="20"/>
              <w:szCs w:val="20"/>
            </w:rPr>
            <m:t>,</m:t>
          </m:r>
          <m:r>
            <w:rPr>
              <w:rFonts w:ascii="Cambria Math" w:eastAsiaTheme="minorHAnsi" w:hAnsi="Cambria Math" w:cs="Times New Roman"/>
              <w:sz w:val="20"/>
              <w:szCs w:val="20"/>
            </w:rPr>
            <m:t>j</m:t>
          </m:r>
          <m:r>
            <w:rPr>
              <w:rFonts w:ascii="Cambria Math" w:eastAsiaTheme="minorHAnsi" w:cs="Times New Roman"/>
              <w:sz w:val="20"/>
              <w:szCs w:val="20"/>
            </w:rPr>
            <m:t>=1,2,</m:t>
          </m:r>
          <m:r>
            <w:rPr>
              <w:rFonts w:ascii="Cambria Math" w:eastAsiaTheme="minorHAnsi" w:cs="Times New Roman"/>
              <w:sz w:val="20"/>
              <w:szCs w:val="20"/>
            </w:rPr>
            <m:t>…</m:t>
          </m:r>
          <m:r>
            <w:rPr>
              <w:rFonts w:ascii="Cambria Math" w:eastAsiaTheme="minorHAnsi" w:cs="Times New Roman"/>
              <w:sz w:val="20"/>
              <w:szCs w:val="20"/>
            </w:rPr>
            <m:t>,</m:t>
          </m:r>
          <m:r>
            <w:rPr>
              <w:rFonts w:ascii="Cambria Math" w:eastAsiaTheme="minorHAnsi" w:hAnsi="Cambria Math" w:cs="Times New Roman"/>
              <w:sz w:val="20"/>
              <w:szCs w:val="20"/>
            </w:rPr>
            <m:t>n</m:t>
          </m:r>
          <m:r>
            <w:rPr>
              <w:rFonts w:ascii="Cambria Math" w:eastAsiaTheme="minorHAnsi" w:cs="Times New Roman"/>
              <w:sz w:val="20"/>
              <w:szCs w:val="20"/>
            </w:rPr>
            <m:t xml:space="preserve">      (1)</m:t>
          </m:r>
        </m:oMath>
      </m:oMathPara>
    </w:p>
    <w:p w:rsidR="00B56BC5" w:rsidRPr="00232743" w:rsidRDefault="00B56BC5" w:rsidP="001D7F10">
      <w:pPr>
        <w:autoSpaceDE w:val="0"/>
        <w:autoSpaceDN w:val="0"/>
        <w:bidi w:val="0"/>
        <w:adjustRightInd w:val="0"/>
        <w:snapToGrid w:val="0"/>
        <w:jc w:val="both"/>
        <w:rPr>
          <w:rFonts w:eastAsiaTheme="minorHAnsi" w:cs="Times New Roman"/>
          <w:sz w:val="20"/>
          <w:szCs w:val="20"/>
        </w:rPr>
      </w:pPr>
    </w:p>
    <w:p w:rsidR="00B56BC5" w:rsidRPr="00232743" w:rsidRDefault="00B56BC5" w:rsidP="001D7F10">
      <w:pPr>
        <w:autoSpaceDE w:val="0"/>
        <w:autoSpaceDN w:val="0"/>
        <w:bidi w:val="0"/>
        <w:adjustRightInd w:val="0"/>
        <w:snapToGrid w:val="0"/>
        <w:rPr>
          <w:rFonts w:eastAsiaTheme="minorHAnsi" w:cs="Times New Roman"/>
          <w:sz w:val="20"/>
          <w:szCs w:val="20"/>
        </w:rPr>
      </w:pPr>
      <m:oMathPara>
        <m:oMathParaPr>
          <m:jc m:val="left"/>
        </m:oMathParaPr>
        <m:oMath>
          <m:r>
            <w:rPr>
              <w:rFonts w:ascii="Cambria Math" w:eastAsiaTheme="minorHAnsi" w:hAnsi="Cambria Math" w:cs="Times New Roman"/>
              <w:sz w:val="20"/>
              <w:szCs w:val="20"/>
            </w:rPr>
            <m:t>S</m:t>
          </m:r>
          <m:r>
            <w:rPr>
              <w:rFonts w:ascii="Cambria Math" w:eastAsiaTheme="minorHAnsi" w:cs="Times New Roman"/>
              <w:sz w:val="20"/>
              <w:szCs w:val="20"/>
            </w:rPr>
            <m:t>=</m:t>
          </m:r>
          <m:r>
            <w:rPr>
              <w:rFonts w:ascii="Cambria Math" w:eastAsiaTheme="minorHAnsi" w:hAnsi="Cambria Math" w:cs="Times New Roman"/>
              <w:sz w:val="20"/>
              <w:szCs w:val="20"/>
            </w:rPr>
            <m:t>K</m:t>
          </m:r>
          <m:r>
            <w:rPr>
              <w:rFonts w:ascii="Cambria Math" w:eastAsiaTheme="minorHAnsi" w:cs="Times New Roman"/>
              <w:sz w:val="20"/>
              <w:szCs w:val="20"/>
            </w:rPr>
            <m:t>.</m:t>
          </m:r>
          <m:r>
            <w:rPr>
              <w:rFonts w:ascii="Cambria Math" w:eastAsiaTheme="minorHAnsi" w:hAnsi="Cambria Math" w:cs="Times New Roman"/>
              <w:sz w:val="20"/>
              <w:szCs w:val="20"/>
            </w:rPr>
            <m:t>T</m:t>
          </m:r>
          <m:r>
            <w:rPr>
              <w:rFonts w:ascii="Cambria Math" w:eastAsiaTheme="minorHAnsi" w:cs="Times New Roman"/>
              <w:sz w:val="20"/>
              <w:szCs w:val="20"/>
            </w:rPr>
            <m:t xml:space="preserve">                                                            (2)</m:t>
          </m:r>
        </m:oMath>
      </m:oMathPara>
    </w:p>
    <w:p w:rsidR="00B56BC5" w:rsidRPr="00232743" w:rsidRDefault="00B56BC5" w:rsidP="001D7F10">
      <w:pPr>
        <w:autoSpaceDE w:val="0"/>
        <w:autoSpaceDN w:val="0"/>
        <w:bidi w:val="0"/>
        <w:adjustRightInd w:val="0"/>
        <w:snapToGrid w:val="0"/>
        <w:rPr>
          <w:rFonts w:eastAsiaTheme="minorHAnsi" w:cs="Times New Roman"/>
          <w:sz w:val="20"/>
          <w:szCs w:val="20"/>
        </w:rPr>
      </w:pPr>
    </w:p>
    <w:p w:rsidR="00B56BC5" w:rsidRPr="00232743" w:rsidRDefault="00B56BC5" w:rsidP="001D7F10">
      <w:pPr>
        <w:autoSpaceDE w:val="0"/>
        <w:autoSpaceDN w:val="0"/>
        <w:bidi w:val="0"/>
        <w:adjustRightInd w:val="0"/>
        <w:snapToGrid w:val="0"/>
        <w:jc w:val="both"/>
        <w:rPr>
          <w:rFonts w:eastAsiaTheme="minorHAnsi" w:cs="Times New Roman"/>
          <w:sz w:val="20"/>
          <w:szCs w:val="20"/>
        </w:rPr>
      </w:pPr>
      <w:r w:rsidRPr="00232743">
        <w:rPr>
          <w:rFonts w:eastAsiaTheme="minorHAnsi" w:cs="Times New Roman"/>
          <w:sz w:val="20"/>
          <w:szCs w:val="20"/>
        </w:rPr>
        <w:t xml:space="preserve">Step 3: </w:t>
      </w:r>
      <w:r w:rsidRPr="00232743">
        <w:rPr>
          <w:rFonts w:eastAsiaTheme="minorHAnsi" w:cs="Times New Roman"/>
          <w:i/>
          <w:iCs/>
          <w:sz w:val="20"/>
          <w:szCs w:val="20"/>
        </w:rPr>
        <w:t xml:space="preserve">Attaining the total-relation matrix. </w:t>
      </w:r>
      <w:r w:rsidRPr="00232743">
        <w:rPr>
          <w:rFonts w:eastAsiaTheme="minorHAnsi" w:cs="Times New Roman"/>
          <w:sz w:val="20"/>
          <w:szCs w:val="20"/>
        </w:rPr>
        <w:t xml:space="preserve">The total relation matrix </w:t>
      </w:r>
      <w:r w:rsidRPr="00232743">
        <w:rPr>
          <w:rFonts w:eastAsiaTheme="minorHAnsi" w:cs="Times New Roman"/>
          <w:i/>
          <w:iCs/>
          <w:sz w:val="20"/>
          <w:szCs w:val="20"/>
        </w:rPr>
        <w:t xml:space="preserve">M </w:t>
      </w:r>
      <w:r w:rsidRPr="00232743">
        <w:rPr>
          <w:rFonts w:eastAsiaTheme="minorHAnsi" w:cs="Times New Roman"/>
          <w:sz w:val="20"/>
          <w:szCs w:val="20"/>
        </w:rPr>
        <w:t xml:space="preserve">can be acquired by using Eq. (3), where </w:t>
      </w:r>
      <w:r w:rsidRPr="00232743">
        <w:rPr>
          <w:rFonts w:eastAsiaTheme="minorHAnsi" w:cs="Times New Roman"/>
          <w:i/>
          <w:iCs/>
          <w:sz w:val="20"/>
          <w:szCs w:val="20"/>
        </w:rPr>
        <w:t xml:space="preserve">I </w:t>
      </w:r>
      <w:proofErr w:type="gramStart"/>
      <w:r w:rsidRPr="00232743">
        <w:rPr>
          <w:rFonts w:eastAsiaTheme="minorHAnsi" w:cs="Times New Roman"/>
          <w:sz w:val="20"/>
          <w:szCs w:val="20"/>
        </w:rPr>
        <w:t>is</w:t>
      </w:r>
      <w:proofErr w:type="gramEnd"/>
      <w:r w:rsidRPr="00232743">
        <w:rPr>
          <w:rFonts w:eastAsiaTheme="minorHAnsi" w:cs="Times New Roman"/>
          <w:sz w:val="20"/>
          <w:szCs w:val="20"/>
        </w:rPr>
        <w:t xml:space="preserve"> denoted as the identity matrix</w:t>
      </w:r>
    </w:p>
    <w:p w:rsidR="00B56BC5" w:rsidRPr="00232743" w:rsidRDefault="00B56BC5" w:rsidP="001D7F10">
      <w:pPr>
        <w:autoSpaceDE w:val="0"/>
        <w:autoSpaceDN w:val="0"/>
        <w:bidi w:val="0"/>
        <w:adjustRightInd w:val="0"/>
        <w:snapToGrid w:val="0"/>
        <w:rPr>
          <w:rFonts w:eastAsiaTheme="minorHAnsi" w:cs="Times New Roman"/>
          <w:sz w:val="20"/>
          <w:szCs w:val="20"/>
        </w:rPr>
      </w:pPr>
    </w:p>
    <w:p w:rsidR="00B56BC5" w:rsidRPr="00232743" w:rsidRDefault="00B56BC5" w:rsidP="001D7F10">
      <w:pPr>
        <w:autoSpaceDE w:val="0"/>
        <w:autoSpaceDN w:val="0"/>
        <w:bidi w:val="0"/>
        <w:adjustRightInd w:val="0"/>
        <w:snapToGrid w:val="0"/>
        <w:rPr>
          <w:rFonts w:eastAsiaTheme="minorHAnsi" w:cs="Times New Roman"/>
          <w:sz w:val="20"/>
          <w:szCs w:val="20"/>
        </w:rPr>
      </w:pPr>
      <m:oMathPara>
        <m:oMathParaPr>
          <m:jc m:val="left"/>
        </m:oMathParaPr>
        <m:oMath>
          <m:r>
            <w:rPr>
              <w:rFonts w:ascii="Cambria Math" w:eastAsiaTheme="minorHAnsi" w:hAnsi="Cambria Math" w:cs="Times New Roman"/>
              <w:sz w:val="20"/>
              <w:szCs w:val="20"/>
            </w:rPr>
            <m:t>M</m:t>
          </m:r>
          <m:r>
            <w:rPr>
              <w:rFonts w:ascii="Cambria Math" w:eastAsiaTheme="minorHAnsi" w:cs="Times New Roman"/>
              <w:sz w:val="20"/>
              <w:szCs w:val="20"/>
            </w:rPr>
            <m:t>=</m:t>
          </m:r>
          <m:r>
            <w:rPr>
              <w:rFonts w:ascii="Cambria Math" w:eastAsiaTheme="minorHAnsi" w:hAnsi="Cambria Math" w:cs="Times New Roman"/>
              <w:sz w:val="20"/>
              <w:szCs w:val="20"/>
            </w:rPr>
            <m:t>X</m:t>
          </m:r>
          <m:r>
            <w:rPr>
              <w:rFonts w:ascii="Cambria Math" w:eastAsiaTheme="minorHAnsi" w:cs="Times New Roman"/>
              <w:sz w:val="20"/>
              <w:szCs w:val="20"/>
            </w:rPr>
            <m:t>(</m:t>
          </m:r>
          <m:r>
            <w:rPr>
              <w:rFonts w:ascii="Cambria Math" w:eastAsiaTheme="minorHAnsi" w:hAnsi="Cambria Math" w:cs="Times New Roman"/>
              <w:sz w:val="20"/>
              <w:szCs w:val="20"/>
            </w:rPr>
            <m:t>I</m:t>
          </m:r>
          <m:r>
            <w:rPr>
              <w:rFonts w:eastAsiaTheme="minorHAnsi" w:cs="Times New Roman"/>
              <w:sz w:val="20"/>
              <w:szCs w:val="20"/>
            </w:rPr>
            <m:t>-</m:t>
          </m:r>
          <m:r>
            <w:rPr>
              <w:rFonts w:ascii="Cambria Math" w:eastAsiaTheme="minorHAnsi" w:hAnsi="Cambria Math" w:cs="Times New Roman"/>
              <w:sz w:val="20"/>
              <w:szCs w:val="20"/>
            </w:rPr>
            <m:t>X</m:t>
          </m:r>
          <m:sSup>
            <m:sSupPr>
              <m:ctrlPr>
                <w:rPr>
                  <w:rFonts w:ascii="Cambria Math" w:eastAsiaTheme="minorHAnsi" w:hAnsi="Cambria Math" w:cs="Times New Roman"/>
                  <w:i/>
                  <w:sz w:val="20"/>
                  <w:szCs w:val="20"/>
                </w:rPr>
              </m:ctrlPr>
            </m:sSupPr>
            <m:e>
              <m:r>
                <w:rPr>
                  <w:rFonts w:ascii="Cambria Math" w:eastAsiaTheme="minorHAnsi" w:cs="Times New Roman"/>
                  <w:sz w:val="20"/>
                  <w:szCs w:val="20"/>
                </w:rPr>
                <m:t>)</m:t>
              </m:r>
            </m:e>
            <m:sup>
              <m:r>
                <w:rPr>
                  <w:rFonts w:eastAsiaTheme="minorHAnsi" w:cs="Times New Roman"/>
                  <w:sz w:val="20"/>
                  <w:szCs w:val="20"/>
                </w:rPr>
                <m:t>-</m:t>
              </m:r>
              <m:r>
                <w:rPr>
                  <w:rFonts w:ascii="Cambria Math" w:eastAsiaTheme="minorHAnsi" w:cs="Times New Roman"/>
                  <w:sz w:val="20"/>
                  <w:szCs w:val="20"/>
                </w:rPr>
                <m:t>1</m:t>
              </m:r>
            </m:sup>
          </m:sSup>
          <m:r>
            <w:rPr>
              <w:rFonts w:ascii="Cambria Math" w:eastAsiaTheme="minorHAnsi" w:cs="Times New Roman"/>
              <w:sz w:val="20"/>
              <w:szCs w:val="20"/>
            </w:rPr>
            <m:t xml:space="preserve">                                             (3)</m:t>
          </m:r>
        </m:oMath>
      </m:oMathPara>
    </w:p>
    <w:p w:rsidR="00B56BC5" w:rsidRPr="00232743" w:rsidRDefault="00B56BC5" w:rsidP="001D7F10">
      <w:pPr>
        <w:autoSpaceDE w:val="0"/>
        <w:autoSpaceDN w:val="0"/>
        <w:bidi w:val="0"/>
        <w:adjustRightInd w:val="0"/>
        <w:snapToGrid w:val="0"/>
        <w:rPr>
          <w:rFonts w:eastAsiaTheme="minorHAnsi" w:cs="Times New Roman"/>
          <w:sz w:val="20"/>
          <w:szCs w:val="20"/>
        </w:rPr>
      </w:pPr>
    </w:p>
    <w:p w:rsidR="00B56BC5" w:rsidRPr="00232743" w:rsidRDefault="00B56BC5" w:rsidP="001D7F10">
      <w:pPr>
        <w:autoSpaceDE w:val="0"/>
        <w:autoSpaceDN w:val="0"/>
        <w:bidi w:val="0"/>
        <w:adjustRightInd w:val="0"/>
        <w:snapToGrid w:val="0"/>
        <w:jc w:val="both"/>
        <w:rPr>
          <w:rFonts w:eastAsiaTheme="minorHAnsi" w:cs="Times New Roman"/>
          <w:sz w:val="20"/>
          <w:szCs w:val="20"/>
        </w:rPr>
      </w:pPr>
      <w:r w:rsidRPr="00232743">
        <w:rPr>
          <w:rFonts w:eastAsiaTheme="minorHAnsi" w:cs="Times New Roman"/>
          <w:sz w:val="20"/>
          <w:szCs w:val="20"/>
        </w:rPr>
        <w:t xml:space="preserve">Step 4: </w:t>
      </w:r>
      <w:r w:rsidRPr="00232743">
        <w:rPr>
          <w:rFonts w:eastAsiaTheme="minorHAnsi" w:cs="Times New Roman"/>
          <w:i/>
          <w:iCs/>
          <w:sz w:val="20"/>
          <w:szCs w:val="20"/>
        </w:rPr>
        <w:t xml:space="preserve">Producing a causal diagram. </w:t>
      </w:r>
      <w:r w:rsidRPr="00232743">
        <w:rPr>
          <w:rFonts w:eastAsiaTheme="minorHAnsi" w:cs="Times New Roman"/>
          <w:sz w:val="20"/>
          <w:szCs w:val="20"/>
        </w:rPr>
        <w:t xml:space="preserve">The sum of rows and the sum of columns are separately denoted as vector </w:t>
      </w:r>
      <w:r w:rsidRPr="00232743">
        <w:rPr>
          <w:rFonts w:eastAsiaTheme="minorHAnsi" w:cs="Times New Roman"/>
          <w:i/>
          <w:iCs/>
          <w:sz w:val="20"/>
          <w:szCs w:val="20"/>
        </w:rPr>
        <w:t xml:space="preserve">D </w:t>
      </w:r>
      <w:r w:rsidRPr="00232743">
        <w:rPr>
          <w:rFonts w:eastAsiaTheme="minorHAnsi" w:cs="Times New Roman"/>
          <w:sz w:val="20"/>
          <w:szCs w:val="20"/>
        </w:rPr>
        <w:t xml:space="preserve">and vector </w:t>
      </w:r>
      <w:r w:rsidRPr="00232743">
        <w:rPr>
          <w:rFonts w:eastAsiaTheme="minorHAnsi" w:cs="Times New Roman"/>
          <w:i/>
          <w:iCs/>
          <w:sz w:val="20"/>
          <w:szCs w:val="20"/>
        </w:rPr>
        <w:t xml:space="preserve">R </w:t>
      </w:r>
      <w:r w:rsidRPr="00232743">
        <w:rPr>
          <w:rFonts w:eastAsiaTheme="minorHAnsi" w:cs="Times New Roman"/>
          <w:sz w:val="20"/>
          <w:szCs w:val="20"/>
        </w:rPr>
        <w:t xml:space="preserve">through </w:t>
      </w:r>
      <w:proofErr w:type="spellStart"/>
      <w:r w:rsidRPr="00232743">
        <w:rPr>
          <w:rFonts w:eastAsiaTheme="minorHAnsi" w:cs="Times New Roman"/>
          <w:sz w:val="20"/>
          <w:szCs w:val="20"/>
        </w:rPr>
        <w:t>Eqs</w:t>
      </w:r>
      <w:proofErr w:type="spellEnd"/>
      <w:r w:rsidRPr="00232743">
        <w:rPr>
          <w:rFonts w:eastAsiaTheme="minorHAnsi" w:cs="Times New Roman"/>
          <w:sz w:val="20"/>
          <w:szCs w:val="20"/>
        </w:rPr>
        <w:t>. (4-6). Then, the horizontal axis vector (</w:t>
      </w:r>
      <w:r w:rsidRPr="00232743">
        <w:rPr>
          <w:rFonts w:eastAsiaTheme="minorHAnsi" w:cs="Times New Roman"/>
          <w:i/>
          <w:iCs/>
          <w:sz w:val="20"/>
          <w:szCs w:val="20"/>
        </w:rPr>
        <w:t xml:space="preserve">D </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xml:space="preserve">) named ‘‘Prominence’’ is made by adding </w:t>
      </w:r>
      <w:r w:rsidRPr="00232743">
        <w:rPr>
          <w:rFonts w:eastAsiaTheme="minorHAnsi" w:cs="Times New Roman"/>
          <w:i/>
          <w:iCs/>
          <w:sz w:val="20"/>
          <w:szCs w:val="20"/>
        </w:rPr>
        <w:t xml:space="preserve">D </w:t>
      </w:r>
      <w:r w:rsidRPr="00232743">
        <w:rPr>
          <w:rFonts w:eastAsiaTheme="minorHAnsi" w:cs="Times New Roman"/>
          <w:sz w:val="20"/>
          <w:szCs w:val="20"/>
        </w:rPr>
        <w:t xml:space="preserve">to </w:t>
      </w:r>
      <w:r w:rsidRPr="00232743">
        <w:rPr>
          <w:rFonts w:eastAsiaTheme="minorHAnsi" w:cs="Times New Roman"/>
          <w:i/>
          <w:iCs/>
          <w:sz w:val="20"/>
          <w:szCs w:val="20"/>
        </w:rPr>
        <w:t>R</w:t>
      </w:r>
      <w:r w:rsidRPr="00232743">
        <w:rPr>
          <w:rFonts w:eastAsiaTheme="minorHAnsi" w:cs="Times New Roman"/>
          <w:sz w:val="20"/>
          <w:szCs w:val="20"/>
        </w:rPr>
        <w:t>, which reveals the relative importance of each criterion. Similarly, the vertical axis (</w:t>
      </w:r>
      <w:r w:rsidRPr="00232743">
        <w:rPr>
          <w:rFonts w:eastAsiaTheme="minorHAnsi" w:cs="Times New Roman"/>
          <w:i/>
          <w:iCs/>
          <w:sz w:val="20"/>
          <w:szCs w:val="20"/>
        </w:rPr>
        <w:t xml:space="preserve">D </w:t>
      </w:r>
      <w:r w:rsidRPr="00232743">
        <w:rPr>
          <w:rFonts w:eastAsiaTheme="minorHAnsi" w:cs="Times New Roman"/>
          <w:b/>
          <w:bCs/>
          <w:sz w:val="20"/>
          <w:szCs w:val="20"/>
        </w:rPr>
        <w:t>-</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xml:space="preserve">) named ‘‘Relation’’ is made by subtracting </w:t>
      </w:r>
      <w:r w:rsidRPr="00232743">
        <w:rPr>
          <w:rFonts w:eastAsiaTheme="minorHAnsi" w:cs="Times New Roman"/>
          <w:i/>
          <w:iCs/>
          <w:sz w:val="20"/>
          <w:szCs w:val="20"/>
        </w:rPr>
        <w:t xml:space="preserve">R </w:t>
      </w:r>
      <w:r w:rsidRPr="00232743">
        <w:rPr>
          <w:rFonts w:eastAsiaTheme="minorHAnsi" w:cs="Times New Roman"/>
          <w:sz w:val="20"/>
          <w:szCs w:val="20"/>
        </w:rPr>
        <w:t xml:space="preserve">from </w:t>
      </w:r>
      <w:r w:rsidRPr="00232743">
        <w:rPr>
          <w:rFonts w:eastAsiaTheme="minorHAnsi" w:cs="Times New Roman"/>
          <w:i/>
          <w:iCs/>
          <w:sz w:val="20"/>
          <w:szCs w:val="20"/>
        </w:rPr>
        <w:t>D</w:t>
      </w:r>
      <w:r w:rsidRPr="00232743">
        <w:rPr>
          <w:rFonts w:eastAsiaTheme="minorHAnsi" w:cs="Times New Roman"/>
          <w:sz w:val="20"/>
          <w:szCs w:val="20"/>
        </w:rPr>
        <w:t>, which may divide criteria into a cause and effect groups. Generally, when (</w:t>
      </w:r>
      <w:r w:rsidRPr="00232743">
        <w:rPr>
          <w:rFonts w:eastAsiaTheme="minorHAnsi" w:cs="Times New Roman"/>
          <w:i/>
          <w:iCs/>
          <w:sz w:val="20"/>
          <w:szCs w:val="20"/>
        </w:rPr>
        <w:t xml:space="preserve">D </w:t>
      </w:r>
      <w:r w:rsidRPr="00232743">
        <w:rPr>
          <w:rFonts w:eastAsiaTheme="minorHAnsi" w:cs="Times New Roman"/>
          <w:b/>
          <w:bCs/>
          <w:sz w:val="20"/>
          <w:szCs w:val="20"/>
        </w:rPr>
        <w:t>-</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is positive, the criterion belongs to the cause group and when the (</w:t>
      </w:r>
      <w:r w:rsidRPr="00232743">
        <w:rPr>
          <w:rFonts w:eastAsiaTheme="minorHAnsi" w:cs="Times New Roman"/>
          <w:i/>
          <w:iCs/>
          <w:sz w:val="20"/>
          <w:szCs w:val="20"/>
        </w:rPr>
        <w:t xml:space="preserve">D </w:t>
      </w:r>
      <w:r w:rsidRPr="00232743">
        <w:rPr>
          <w:rFonts w:eastAsiaTheme="minorHAnsi" w:cs="Times New Roman"/>
          <w:b/>
          <w:bCs/>
          <w:sz w:val="20"/>
          <w:szCs w:val="20"/>
        </w:rPr>
        <w:t>-</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is negative, the criterion represents the effect group. Therefore, the causal diagram can be obtained by mapping the dataset of the (</w:t>
      </w:r>
      <w:r w:rsidRPr="00232743">
        <w:rPr>
          <w:rFonts w:eastAsiaTheme="minorHAnsi" w:cs="Times New Roman"/>
          <w:i/>
          <w:iCs/>
          <w:sz w:val="20"/>
          <w:szCs w:val="20"/>
        </w:rPr>
        <w:t xml:space="preserve">D </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xml:space="preserve">, </w:t>
      </w:r>
      <w:r w:rsidRPr="00232743">
        <w:rPr>
          <w:rFonts w:eastAsiaTheme="minorHAnsi" w:cs="Times New Roman"/>
          <w:i/>
          <w:iCs/>
          <w:sz w:val="20"/>
          <w:szCs w:val="20"/>
        </w:rPr>
        <w:t xml:space="preserve">D </w:t>
      </w:r>
      <w:r w:rsidRPr="00232743">
        <w:rPr>
          <w:rFonts w:eastAsiaTheme="minorHAnsi" w:cs="Times New Roman"/>
          <w:b/>
          <w:bCs/>
          <w:sz w:val="20"/>
          <w:szCs w:val="20"/>
        </w:rPr>
        <w:t>-</w:t>
      </w:r>
      <w:r w:rsidRPr="00232743">
        <w:rPr>
          <w:rFonts w:eastAsiaTheme="minorHAnsi" w:cs="Times New Roman"/>
          <w:sz w:val="20"/>
          <w:szCs w:val="20"/>
        </w:rPr>
        <w:t xml:space="preserve"> </w:t>
      </w:r>
      <w:r w:rsidRPr="00232743">
        <w:rPr>
          <w:rFonts w:eastAsiaTheme="minorHAnsi" w:cs="Times New Roman"/>
          <w:i/>
          <w:iCs/>
          <w:sz w:val="20"/>
          <w:szCs w:val="20"/>
        </w:rPr>
        <w:t>R</w:t>
      </w:r>
      <w:r w:rsidRPr="00232743">
        <w:rPr>
          <w:rFonts w:eastAsiaTheme="minorHAnsi" w:cs="Times New Roman"/>
          <w:sz w:val="20"/>
          <w:szCs w:val="20"/>
        </w:rPr>
        <w:t>), providing some insight for making decisions.</w:t>
      </w:r>
    </w:p>
    <w:p w:rsidR="00B56BC5" w:rsidRPr="00232743" w:rsidRDefault="00B56BC5" w:rsidP="001D7F10">
      <w:pPr>
        <w:bidi w:val="0"/>
        <w:adjustRightInd w:val="0"/>
        <w:snapToGrid w:val="0"/>
        <w:jc w:val="both"/>
        <w:rPr>
          <w:rFonts w:eastAsiaTheme="minorHAnsi" w:cs="Times New Roman"/>
          <w:sz w:val="20"/>
          <w:szCs w:val="20"/>
        </w:rPr>
      </w:pPr>
    </w:p>
    <w:p w:rsidR="00B56BC5" w:rsidRPr="00232743" w:rsidRDefault="00B56BC5" w:rsidP="001D7F10">
      <w:pPr>
        <w:bidi w:val="0"/>
        <w:adjustRightInd w:val="0"/>
        <w:snapToGrid w:val="0"/>
        <w:jc w:val="both"/>
        <w:rPr>
          <w:rFonts w:eastAsiaTheme="minorHAnsi" w:cs="Times New Roman"/>
          <w:sz w:val="20"/>
          <w:szCs w:val="20"/>
        </w:rPr>
      </w:pPr>
      <m:oMathPara>
        <m:oMathParaPr>
          <m:jc m:val="left"/>
        </m:oMathParaPr>
        <m:oMath>
          <m:r>
            <w:rPr>
              <w:rFonts w:ascii="Cambria Math" w:eastAsiaTheme="minorHAnsi" w:hAnsi="Cambria Math" w:cs="Times New Roman"/>
              <w:sz w:val="20"/>
              <w:szCs w:val="20"/>
            </w:rPr>
            <m:t>M</m:t>
          </m:r>
          <m:r>
            <w:rPr>
              <w:rFonts w:ascii="Cambria Math" w:eastAsiaTheme="minorHAnsi" w:cs="Times New Roman"/>
              <w:sz w:val="20"/>
              <w:szCs w:val="20"/>
            </w:rPr>
            <m:t>=</m:t>
          </m:r>
          <m:sSub>
            <m:sSubPr>
              <m:ctrlPr>
                <w:rPr>
                  <w:rFonts w:ascii="Cambria Math" w:eastAsiaTheme="minorHAnsi" w:hAnsi="Cambria Math" w:cs="Times New Roman"/>
                  <w:i/>
                  <w:sz w:val="20"/>
                  <w:szCs w:val="20"/>
                </w:rPr>
              </m:ctrlPr>
            </m:sSubPr>
            <m:e>
              <m:d>
                <m:dPr>
                  <m:begChr m:val="["/>
                  <m:endChr m:val="]"/>
                  <m:ctrlPr>
                    <w:rPr>
                      <w:rFonts w:ascii="Cambria Math" w:eastAsiaTheme="minorHAnsi" w:hAnsi="Cambria Math" w:cs="Times New Roman"/>
                      <w:i/>
                      <w:sz w:val="20"/>
                      <w:szCs w:val="20"/>
                    </w:rPr>
                  </m:ctrlPr>
                </m:dPr>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m</m:t>
                      </m:r>
                    </m:e>
                    <m:sub>
                      <m:r>
                        <w:rPr>
                          <w:rFonts w:ascii="Cambria Math" w:eastAsiaTheme="minorHAnsi" w:hAnsi="Cambria Math" w:cs="Times New Roman"/>
                          <w:sz w:val="20"/>
                          <w:szCs w:val="20"/>
                        </w:rPr>
                        <m:t>ij</m:t>
                      </m:r>
                    </m:sub>
                  </m:sSub>
                </m:e>
              </m:d>
            </m:e>
            <m:sub>
              <m:r>
                <w:rPr>
                  <w:rFonts w:ascii="Cambria Math" w:eastAsiaTheme="minorHAnsi" w:hAnsi="Cambria Math" w:cs="Times New Roman"/>
                  <w:sz w:val="20"/>
                  <w:szCs w:val="20"/>
                </w:rPr>
                <m:t>n</m:t>
              </m:r>
              <m:r>
                <w:rPr>
                  <w:rFonts w:ascii="Cambria Math" w:eastAsiaTheme="minorHAnsi" w:cs="Times New Roman"/>
                  <w:sz w:val="20"/>
                  <w:szCs w:val="20"/>
                </w:rPr>
                <m:t>×</m:t>
              </m:r>
              <m:r>
                <w:rPr>
                  <w:rFonts w:ascii="Cambria Math" w:eastAsiaTheme="minorHAnsi" w:hAnsi="Cambria Math" w:cs="Times New Roman"/>
                  <w:sz w:val="20"/>
                  <w:szCs w:val="20"/>
                </w:rPr>
                <m:t>n</m:t>
              </m:r>
            </m:sub>
          </m:sSub>
          <m:r>
            <w:rPr>
              <w:rFonts w:ascii="Cambria Math" w:eastAsiaTheme="minorHAnsi" w:cs="Times New Roman"/>
              <w:sz w:val="20"/>
              <w:szCs w:val="20"/>
            </w:rPr>
            <m:t xml:space="preserve">,    </m:t>
          </m:r>
          <m:r>
            <w:rPr>
              <w:rFonts w:ascii="Cambria Math" w:eastAsiaTheme="minorHAnsi" w:hAnsi="Cambria Math" w:cs="Times New Roman"/>
              <w:sz w:val="20"/>
              <w:szCs w:val="20"/>
            </w:rPr>
            <m:t>i</m:t>
          </m:r>
          <m:r>
            <w:rPr>
              <w:rFonts w:ascii="Cambria Math" w:eastAsiaTheme="minorHAnsi" w:cs="Times New Roman"/>
              <w:sz w:val="20"/>
              <w:szCs w:val="20"/>
            </w:rPr>
            <m:t>,</m:t>
          </m:r>
          <m:r>
            <w:rPr>
              <w:rFonts w:ascii="Cambria Math" w:eastAsiaTheme="minorHAnsi" w:hAnsi="Cambria Math" w:cs="Times New Roman"/>
              <w:sz w:val="20"/>
              <w:szCs w:val="20"/>
            </w:rPr>
            <m:t>j</m:t>
          </m:r>
          <m:r>
            <w:rPr>
              <w:rFonts w:ascii="Cambria Math" w:eastAsiaTheme="minorHAnsi" w:cs="Times New Roman"/>
              <w:sz w:val="20"/>
              <w:szCs w:val="20"/>
            </w:rPr>
            <m:t>=1,2,</m:t>
          </m:r>
          <m:r>
            <w:rPr>
              <w:rFonts w:ascii="Cambria Math" w:eastAsiaTheme="minorHAnsi" w:cs="Times New Roman"/>
              <w:sz w:val="20"/>
              <w:szCs w:val="20"/>
            </w:rPr>
            <m:t>…</m:t>
          </m:r>
          <m:r>
            <w:rPr>
              <w:rFonts w:ascii="Cambria Math" w:eastAsiaTheme="minorHAnsi" w:cs="Times New Roman"/>
              <w:sz w:val="20"/>
              <w:szCs w:val="20"/>
            </w:rPr>
            <m:t>,</m:t>
          </m:r>
          <m:r>
            <w:rPr>
              <w:rFonts w:ascii="Cambria Math" w:eastAsiaTheme="minorHAnsi" w:hAnsi="Cambria Math" w:cs="Times New Roman"/>
              <w:sz w:val="20"/>
              <w:szCs w:val="20"/>
            </w:rPr>
            <m:t>n</m:t>
          </m:r>
          <m:r>
            <w:rPr>
              <w:rFonts w:ascii="Cambria Math" w:eastAsiaTheme="minorHAnsi" w:cs="Times New Roman"/>
              <w:sz w:val="20"/>
              <w:szCs w:val="20"/>
            </w:rPr>
            <m:t xml:space="preserve">               (4)</m:t>
          </m:r>
        </m:oMath>
      </m:oMathPara>
    </w:p>
    <w:p w:rsidR="00B56BC5" w:rsidRPr="00232743" w:rsidRDefault="00B56BC5" w:rsidP="001D7F10">
      <w:pPr>
        <w:bidi w:val="0"/>
        <w:adjustRightInd w:val="0"/>
        <w:snapToGrid w:val="0"/>
        <w:jc w:val="both"/>
        <w:rPr>
          <w:rFonts w:eastAsiaTheme="minorHAnsi" w:cs="Times New Roman"/>
          <w:sz w:val="20"/>
          <w:szCs w:val="20"/>
        </w:rPr>
      </w:pPr>
      <m:oMathPara>
        <m:oMathParaPr>
          <m:jc m:val="left"/>
        </m:oMathParaPr>
        <m:oMath>
          <m:r>
            <w:rPr>
              <w:rFonts w:ascii="Cambria Math" w:eastAsiaTheme="minorHAnsi" w:hAnsi="Cambria Math" w:cs="Times New Roman"/>
              <w:sz w:val="20"/>
              <w:szCs w:val="20"/>
            </w:rPr>
            <m:t>D</m:t>
          </m:r>
          <m:r>
            <w:rPr>
              <w:rFonts w:ascii="Cambria Math" w:eastAsiaTheme="minorHAnsi" w:cs="Times New Roman"/>
              <w:sz w:val="20"/>
              <w:szCs w:val="20"/>
            </w:rPr>
            <m:t>=</m:t>
          </m:r>
          <m:sSub>
            <m:sSubPr>
              <m:ctrlPr>
                <w:rPr>
                  <w:rFonts w:ascii="Cambria Math" w:eastAsiaTheme="minorHAnsi" w:hAnsi="Cambria Math" w:cs="Times New Roman"/>
                  <w:i/>
                  <w:sz w:val="20"/>
                  <w:szCs w:val="20"/>
                </w:rPr>
              </m:ctrlPr>
            </m:sSubPr>
            <m:e>
              <m:d>
                <m:dPr>
                  <m:begChr m:val="["/>
                  <m:endChr m:val="]"/>
                  <m:ctrlPr>
                    <w:rPr>
                      <w:rFonts w:ascii="Cambria Math" w:eastAsiaTheme="minorHAnsi" w:hAnsi="Cambria Math" w:cs="Times New Roman"/>
                      <w:i/>
                      <w:sz w:val="20"/>
                      <w:szCs w:val="20"/>
                    </w:rPr>
                  </m:ctrlPr>
                </m:dPr>
                <m:e>
                  <m:nary>
                    <m:naryPr>
                      <m:chr m:val="∑"/>
                      <m:limLoc m:val="undOvr"/>
                      <m:ctrlPr>
                        <w:rPr>
                          <w:rFonts w:ascii="Cambria Math" w:eastAsiaTheme="minorHAnsi" w:hAnsi="Cambria Math" w:cs="Times New Roman"/>
                          <w:i/>
                          <w:sz w:val="20"/>
                          <w:szCs w:val="20"/>
                        </w:rPr>
                      </m:ctrlPr>
                    </m:naryPr>
                    <m:sub>
                      <m:r>
                        <w:rPr>
                          <w:rFonts w:ascii="Cambria Math" w:eastAsiaTheme="minorHAnsi" w:hAnsi="Cambria Math" w:cs="Times New Roman"/>
                          <w:sz w:val="20"/>
                          <w:szCs w:val="20"/>
                        </w:rPr>
                        <m:t>j</m:t>
                      </m:r>
                      <m:r>
                        <w:rPr>
                          <w:rFonts w:ascii="Cambria Math" w:eastAsiaTheme="minorHAnsi" w:cs="Times New Roman"/>
                          <w:sz w:val="20"/>
                          <w:szCs w:val="20"/>
                        </w:rPr>
                        <m:t>=1</m:t>
                      </m:r>
                    </m:sub>
                    <m:sup>
                      <m:r>
                        <w:rPr>
                          <w:rFonts w:ascii="Cambria Math" w:eastAsiaTheme="minorHAnsi" w:hAnsi="Cambria Math" w:cs="Times New Roman"/>
                          <w:sz w:val="20"/>
                          <w:szCs w:val="20"/>
                        </w:rPr>
                        <m:t>n</m:t>
                      </m:r>
                    </m:sup>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m</m:t>
                          </m:r>
                        </m:e>
                        <m:sub>
                          <m:r>
                            <w:rPr>
                              <w:rFonts w:ascii="Cambria Math" w:eastAsiaTheme="minorHAnsi" w:hAnsi="Cambria Math" w:cs="Times New Roman"/>
                              <w:sz w:val="20"/>
                              <w:szCs w:val="20"/>
                            </w:rPr>
                            <m:t>ij</m:t>
                          </m:r>
                        </m:sub>
                      </m:sSub>
                    </m:e>
                  </m:nary>
                </m:e>
              </m:d>
            </m:e>
            <m:sub>
              <m:r>
                <w:rPr>
                  <w:rFonts w:ascii="Cambria Math" w:eastAsiaTheme="minorHAnsi" w:hAnsi="Cambria Math" w:cs="Times New Roman"/>
                  <w:sz w:val="20"/>
                  <w:szCs w:val="20"/>
                </w:rPr>
                <m:t>n</m:t>
              </m:r>
              <m:r>
                <w:rPr>
                  <w:rFonts w:ascii="Cambria Math" w:eastAsiaTheme="minorHAnsi" w:cs="Times New Roman"/>
                  <w:sz w:val="20"/>
                  <w:szCs w:val="20"/>
                </w:rPr>
                <m:t>×</m:t>
              </m:r>
              <m:r>
                <w:rPr>
                  <w:rFonts w:ascii="Cambria Math" w:eastAsiaTheme="minorHAnsi" w:cs="Times New Roman"/>
                  <w:sz w:val="20"/>
                  <w:szCs w:val="20"/>
                </w:rPr>
                <m:t>1</m:t>
              </m:r>
            </m:sub>
          </m:sSub>
          <m:r>
            <w:rPr>
              <w:rFonts w:ascii="Cambria Math" w:eastAsiaTheme="minorHAnsi" w:cs="Times New Roman"/>
              <w:sz w:val="20"/>
              <w:szCs w:val="20"/>
            </w:rPr>
            <m:t xml:space="preserve">  =</m:t>
          </m:r>
          <m:sSub>
            <m:sSubPr>
              <m:ctrlPr>
                <w:rPr>
                  <w:rFonts w:ascii="Cambria Math" w:eastAsiaTheme="minorHAnsi" w:hAnsi="Cambria Math" w:cs="Times New Roman"/>
                  <w:i/>
                  <w:sz w:val="20"/>
                  <w:szCs w:val="20"/>
                </w:rPr>
              </m:ctrlPr>
            </m:sSubPr>
            <m:e>
              <m:d>
                <m:dPr>
                  <m:begChr m:val="["/>
                  <m:endChr m:val="]"/>
                  <m:ctrlPr>
                    <w:rPr>
                      <w:rFonts w:ascii="Cambria Math" w:eastAsiaTheme="minorHAnsi" w:hAnsi="Cambria Math" w:cs="Times New Roman"/>
                      <w:i/>
                      <w:sz w:val="20"/>
                      <w:szCs w:val="20"/>
                    </w:rPr>
                  </m:ctrlPr>
                </m:dPr>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t</m:t>
                      </m:r>
                    </m:e>
                    <m:sub>
                      <m:r>
                        <w:rPr>
                          <w:rFonts w:ascii="Cambria Math" w:eastAsiaTheme="minorHAnsi" w:hAnsi="Cambria Math" w:cs="Times New Roman"/>
                          <w:sz w:val="20"/>
                          <w:szCs w:val="20"/>
                        </w:rPr>
                        <m:t>i</m:t>
                      </m:r>
                      <m:r>
                        <w:rPr>
                          <w:rFonts w:ascii="Cambria Math" w:eastAsiaTheme="minorHAnsi" w:cs="Times New Roman"/>
                          <w:sz w:val="20"/>
                          <w:szCs w:val="20"/>
                        </w:rPr>
                        <m:t>.</m:t>
                      </m:r>
                    </m:sub>
                  </m:sSub>
                </m:e>
              </m:d>
            </m:e>
            <m:sub>
              <m:r>
                <w:rPr>
                  <w:rFonts w:ascii="Cambria Math" w:eastAsiaTheme="minorHAnsi" w:hAnsi="Cambria Math" w:cs="Times New Roman"/>
                  <w:sz w:val="20"/>
                  <w:szCs w:val="20"/>
                </w:rPr>
                <m:t>n</m:t>
              </m:r>
              <m:r>
                <w:rPr>
                  <w:rFonts w:ascii="Cambria Math" w:eastAsiaTheme="minorHAnsi" w:cs="Times New Roman"/>
                  <w:sz w:val="20"/>
                  <w:szCs w:val="20"/>
                </w:rPr>
                <m:t>×</m:t>
              </m:r>
              <m:r>
                <w:rPr>
                  <w:rFonts w:ascii="Cambria Math" w:eastAsiaTheme="minorHAnsi" w:cs="Times New Roman"/>
                  <w:sz w:val="20"/>
                  <w:szCs w:val="20"/>
                </w:rPr>
                <m:t>1</m:t>
              </m:r>
            </m:sub>
          </m:sSub>
          <m:r>
            <w:rPr>
              <w:rFonts w:ascii="Cambria Math" w:eastAsiaTheme="minorHAnsi" w:cs="Times New Roman"/>
              <w:sz w:val="20"/>
              <w:szCs w:val="20"/>
            </w:rPr>
            <m:t xml:space="preserve">                     (5)</m:t>
          </m:r>
        </m:oMath>
      </m:oMathPara>
    </w:p>
    <w:p w:rsidR="00B56BC5" w:rsidRPr="00232743" w:rsidRDefault="00B56BC5" w:rsidP="001D7F10">
      <w:pPr>
        <w:bidi w:val="0"/>
        <w:adjustRightInd w:val="0"/>
        <w:snapToGrid w:val="0"/>
        <w:jc w:val="both"/>
        <w:rPr>
          <w:rFonts w:eastAsiaTheme="minorHAnsi" w:cs="Times New Roman"/>
          <w:sz w:val="20"/>
          <w:szCs w:val="20"/>
        </w:rPr>
      </w:pPr>
      <m:oMathPara>
        <m:oMathParaPr>
          <m:jc m:val="left"/>
        </m:oMathParaPr>
        <m:oMath>
          <m:r>
            <w:rPr>
              <w:rFonts w:ascii="Cambria Math" w:eastAsiaTheme="minorHAnsi" w:hAnsi="Cambria Math" w:cs="Times New Roman"/>
              <w:sz w:val="20"/>
              <w:szCs w:val="20"/>
            </w:rPr>
            <m:t>R</m:t>
          </m:r>
          <m:r>
            <w:rPr>
              <w:rFonts w:ascii="Cambria Math" w:eastAsiaTheme="minorHAnsi" w:cs="Times New Roman"/>
              <w:sz w:val="20"/>
              <w:szCs w:val="20"/>
            </w:rPr>
            <m:t>=</m:t>
          </m:r>
          <m:sSub>
            <m:sSubPr>
              <m:ctrlPr>
                <w:rPr>
                  <w:rFonts w:ascii="Cambria Math" w:eastAsiaTheme="minorHAnsi" w:hAnsi="Cambria Math" w:cs="Times New Roman"/>
                  <w:i/>
                  <w:sz w:val="20"/>
                  <w:szCs w:val="20"/>
                </w:rPr>
              </m:ctrlPr>
            </m:sSubPr>
            <m:e>
              <m:d>
                <m:dPr>
                  <m:begChr m:val="["/>
                  <m:endChr m:val="]"/>
                  <m:ctrlPr>
                    <w:rPr>
                      <w:rFonts w:ascii="Cambria Math" w:eastAsiaTheme="minorHAnsi" w:hAnsi="Cambria Math" w:cs="Times New Roman"/>
                      <w:i/>
                      <w:sz w:val="20"/>
                      <w:szCs w:val="20"/>
                    </w:rPr>
                  </m:ctrlPr>
                </m:dPr>
                <m:e>
                  <m:nary>
                    <m:naryPr>
                      <m:chr m:val="∑"/>
                      <m:limLoc m:val="undOvr"/>
                      <m:ctrlPr>
                        <w:rPr>
                          <w:rFonts w:ascii="Cambria Math" w:eastAsiaTheme="minorHAnsi" w:hAnsi="Cambria Math" w:cs="Times New Roman"/>
                          <w:i/>
                          <w:sz w:val="20"/>
                          <w:szCs w:val="20"/>
                        </w:rPr>
                      </m:ctrlPr>
                    </m:naryPr>
                    <m:sub>
                      <m:r>
                        <w:rPr>
                          <w:rFonts w:ascii="Cambria Math" w:eastAsiaTheme="minorHAnsi" w:hAnsi="Cambria Math" w:cs="Times New Roman"/>
                          <w:sz w:val="20"/>
                          <w:szCs w:val="20"/>
                        </w:rPr>
                        <m:t>i</m:t>
                      </m:r>
                      <m:r>
                        <w:rPr>
                          <w:rFonts w:ascii="Cambria Math" w:eastAsiaTheme="minorHAnsi" w:cs="Times New Roman"/>
                          <w:sz w:val="20"/>
                          <w:szCs w:val="20"/>
                        </w:rPr>
                        <m:t>=1</m:t>
                      </m:r>
                    </m:sub>
                    <m:sup>
                      <m:r>
                        <w:rPr>
                          <w:rFonts w:ascii="Cambria Math" w:eastAsiaTheme="minorHAnsi" w:hAnsi="Cambria Math" w:cs="Times New Roman"/>
                          <w:sz w:val="20"/>
                          <w:szCs w:val="20"/>
                        </w:rPr>
                        <m:t>n</m:t>
                      </m:r>
                    </m:sup>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m</m:t>
                          </m:r>
                        </m:e>
                        <m:sub>
                          <m:r>
                            <w:rPr>
                              <w:rFonts w:ascii="Cambria Math" w:eastAsiaTheme="minorHAnsi" w:hAnsi="Cambria Math" w:cs="Times New Roman"/>
                              <w:sz w:val="20"/>
                              <w:szCs w:val="20"/>
                            </w:rPr>
                            <m:t>ij</m:t>
                          </m:r>
                        </m:sub>
                      </m:sSub>
                    </m:e>
                  </m:nary>
                </m:e>
              </m:d>
            </m:e>
            <m:sub>
              <m:r>
                <w:rPr>
                  <w:rFonts w:ascii="Cambria Math" w:eastAsiaTheme="minorHAnsi" w:cs="Times New Roman"/>
                  <w:sz w:val="20"/>
                  <w:szCs w:val="20"/>
                </w:rPr>
                <m:t>1</m:t>
              </m:r>
              <m:r>
                <w:rPr>
                  <w:rFonts w:ascii="Cambria Math" w:eastAsiaTheme="minorHAnsi" w:cs="Times New Roman"/>
                  <w:sz w:val="20"/>
                  <w:szCs w:val="20"/>
                </w:rPr>
                <m:t>×</m:t>
              </m:r>
              <m:r>
                <w:rPr>
                  <w:rFonts w:ascii="Cambria Math" w:eastAsiaTheme="minorHAnsi" w:hAnsi="Cambria Math" w:cs="Times New Roman"/>
                  <w:sz w:val="20"/>
                  <w:szCs w:val="20"/>
                </w:rPr>
                <m:t>n</m:t>
              </m:r>
            </m:sub>
          </m:sSub>
          <m:r>
            <w:rPr>
              <w:rFonts w:ascii="Cambria Math" w:eastAsiaTheme="minorHAnsi" w:cs="Times New Roman"/>
              <w:sz w:val="20"/>
              <w:szCs w:val="20"/>
            </w:rPr>
            <m:t xml:space="preserve">  =</m:t>
          </m:r>
          <m:sSub>
            <m:sSubPr>
              <m:ctrlPr>
                <w:rPr>
                  <w:rFonts w:ascii="Cambria Math" w:eastAsiaTheme="minorHAnsi" w:hAnsi="Cambria Math" w:cs="Times New Roman"/>
                  <w:i/>
                  <w:sz w:val="20"/>
                  <w:szCs w:val="20"/>
                </w:rPr>
              </m:ctrlPr>
            </m:sSubPr>
            <m:e>
              <m:d>
                <m:dPr>
                  <m:begChr m:val="["/>
                  <m:endChr m:val="]"/>
                  <m:ctrlPr>
                    <w:rPr>
                      <w:rFonts w:ascii="Cambria Math" w:eastAsiaTheme="minorHAnsi" w:hAnsi="Cambria Math" w:cs="Times New Roman"/>
                      <w:i/>
                      <w:sz w:val="20"/>
                      <w:szCs w:val="20"/>
                    </w:rPr>
                  </m:ctrlPr>
                </m:dPr>
                <m:e>
                  <m:sSub>
                    <m:sSubPr>
                      <m:ctrlPr>
                        <w:rPr>
                          <w:rFonts w:ascii="Cambria Math" w:eastAsiaTheme="minorHAnsi" w:hAnsi="Cambria Math" w:cs="Times New Roman"/>
                          <w:i/>
                          <w:sz w:val="20"/>
                          <w:szCs w:val="20"/>
                        </w:rPr>
                      </m:ctrlPr>
                    </m:sSubPr>
                    <m:e>
                      <m:r>
                        <w:rPr>
                          <w:rFonts w:ascii="Cambria Math" w:eastAsiaTheme="minorHAnsi" w:hAnsi="Cambria Math" w:cs="Times New Roman"/>
                          <w:sz w:val="20"/>
                          <w:szCs w:val="20"/>
                        </w:rPr>
                        <m:t>t</m:t>
                      </m:r>
                    </m:e>
                    <m:sub>
                      <m:r>
                        <w:rPr>
                          <w:rFonts w:ascii="Cambria Math" w:eastAsiaTheme="minorHAnsi" w:hAnsi="Cambria Math" w:cs="Times New Roman"/>
                          <w:sz w:val="20"/>
                          <w:szCs w:val="20"/>
                        </w:rPr>
                        <m:t>j</m:t>
                      </m:r>
                      <m:r>
                        <w:rPr>
                          <w:rFonts w:ascii="Cambria Math" w:eastAsiaTheme="minorHAnsi" w:cs="Times New Roman"/>
                          <w:sz w:val="20"/>
                          <w:szCs w:val="20"/>
                        </w:rPr>
                        <m:t>.</m:t>
                      </m:r>
                    </m:sub>
                  </m:sSub>
                </m:e>
              </m:d>
            </m:e>
            <m:sub>
              <m:r>
                <w:rPr>
                  <w:rFonts w:ascii="Cambria Math" w:eastAsiaTheme="minorHAnsi" w:cs="Times New Roman"/>
                  <w:sz w:val="20"/>
                  <w:szCs w:val="20"/>
                </w:rPr>
                <m:t>1</m:t>
              </m:r>
              <m:r>
                <w:rPr>
                  <w:rFonts w:ascii="Cambria Math" w:eastAsiaTheme="minorHAnsi" w:cs="Times New Roman"/>
                  <w:sz w:val="20"/>
                  <w:szCs w:val="20"/>
                </w:rPr>
                <m:t>×</m:t>
              </m:r>
              <m:r>
                <w:rPr>
                  <w:rFonts w:ascii="Cambria Math" w:eastAsiaTheme="minorHAnsi" w:hAnsi="Cambria Math" w:cs="Times New Roman"/>
                  <w:sz w:val="20"/>
                  <w:szCs w:val="20"/>
                </w:rPr>
                <m:t>n</m:t>
              </m:r>
            </m:sub>
          </m:sSub>
          <m:r>
            <w:rPr>
              <w:rFonts w:ascii="Cambria Math" w:eastAsiaTheme="minorHAnsi" w:cs="Times New Roman"/>
              <w:sz w:val="20"/>
              <w:szCs w:val="20"/>
            </w:rPr>
            <m:t xml:space="preserve">                     (6)</m:t>
          </m:r>
        </m:oMath>
      </m:oMathPara>
    </w:p>
    <w:p w:rsidR="00B56BC5" w:rsidRPr="00232743" w:rsidRDefault="00B56BC5" w:rsidP="001D7F10">
      <w:pPr>
        <w:autoSpaceDE w:val="0"/>
        <w:autoSpaceDN w:val="0"/>
        <w:bidi w:val="0"/>
        <w:adjustRightInd w:val="0"/>
        <w:snapToGrid w:val="0"/>
        <w:jc w:val="both"/>
        <w:rPr>
          <w:rFonts w:eastAsia="AdvGulliv-R" w:cs="Times New Roman"/>
          <w:sz w:val="20"/>
          <w:szCs w:val="20"/>
        </w:rPr>
      </w:pPr>
      <w:proofErr w:type="gramStart"/>
      <w:r w:rsidRPr="00232743">
        <w:rPr>
          <w:rFonts w:eastAsia="AdvGulliv-R" w:cs="Times New Roman"/>
          <w:sz w:val="20"/>
          <w:szCs w:val="20"/>
        </w:rPr>
        <w:t>where</w:t>
      </w:r>
      <w:proofErr w:type="gramEnd"/>
      <w:r w:rsidRPr="00232743">
        <w:rPr>
          <w:rFonts w:eastAsia="AdvGulliv-R" w:cs="Times New Roman"/>
          <w:sz w:val="20"/>
          <w:szCs w:val="20"/>
        </w:rPr>
        <w:t xml:space="preserve"> D and R denote the sum of rows and the sum of columns, respectively. Finally, a causal and effect graph can be acquired by mapping the dataset of (D + R, D </w:t>
      </w:r>
      <w:r w:rsidRPr="00232743">
        <w:rPr>
          <w:rFonts w:eastAsia="AdvGulliv-R" w:cs="Times New Roman"/>
          <w:b/>
          <w:bCs/>
          <w:sz w:val="20"/>
          <w:szCs w:val="20"/>
        </w:rPr>
        <w:t>-</w:t>
      </w:r>
      <w:r w:rsidRPr="00232743">
        <w:rPr>
          <w:rFonts w:eastAsia="AdvGulliv-R" w:cs="Times New Roman"/>
          <w:sz w:val="20"/>
          <w:szCs w:val="20"/>
        </w:rPr>
        <w:t xml:space="preserve"> R), where the horizontal axis (D + R) is made by adding D to R, and the vertical axis (D </w:t>
      </w:r>
      <w:r w:rsidRPr="00232743">
        <w:rPr>
          <w:rFonts w:eastAsia="AdvGulliv-R" w:cs="Times New Roman"/>
          <w:b/>
          <w:bCs/>
          <w:sz w:val="20"/>
          <w:szCs w:val="20"/>
        </w:rPr>
        <w:t>-</w:t>
      </w:r>
      <w:r w:rsidRPr="00232743">
        <w:rPr>
          <w:rFonts w:eastAsia="AdvGulliv-R" w:cs="Times New Roman"/>
          <w:sz w:val="20"/>
          <w:szCs w:val="20"/>
        </w:rPr>
        <w:t xml:space="preserve"> R) is made by subtracting R from D.</w:t>
      </w:r>
    </w:p>
    <w:p w:rsidR="00D6543C" w:rsidRPr="00232743" w:rsidRDefault="00D6543C" w:rsidP="001D7F10">
      <w:pPr>
        <w:autoSpaceDE w:val="0"/>
        <w:autoSpaceDN w:val="0"/>
        <w:bidi w:val="0"/>
        <w:adjustRightInd w:val="0"/>
        <w:snapToGrid w:val="0"/>
        <w:rPr>
          <w:rFonts w:cs="Times New Roman"/>
          <w:sz w:val="20"/>
          <w:szCs w:val="20"/>
          <w:lang w:bidi="fa-IR"/>
        </w:rPr>
      </w:pPr>
    </w:p>
    <w:p w:rsidR="00D6543C" w:rsidRPr="00232743" w:rsidRDefault="00A05210" w:rsidP="001D7F10">
      <w:pPr>
        <w:autoSpaceDE w:val="0"/>
        <w:autoSpaceDN w:val="0"/>
        <w:bidi w:val="0"/>
        <w:adjustRightInd w:val="0"/>
        <w:snapToGrid w:val="0"/>
        <w:rPr>
          <w:rFonts w:cs="Times New Roman"/>
          <w:b/>
          <w:bCs/>
          <w:sz w:val="20"/>
          <w:szCs w:val="20"/>
          <w:lang w:bidi="fa-IR"/>
        </w:rPr>
      </w:pPr>
      <w:r w:rsidRPr="00232743">
        <w:rPr>
          <w:rFonts w:cs="Times New Roman"/>
          <w:b/>
          <w:bCs/>
          <w:sz w:val="20"/>
          <w:szCs w:val="20"/>
          <w:lang w:bidi="fa-IR"/>
        </w:rPr>
        <w:t>6</w:t>
      </w:r>
      <w:r w:rsidR="006070CF" w:rsidRPr="00232743">
        <w:rPr>
          <w:rFonts w:cs="Times New Roman"/>
          <w:b/>
          <w:bCs/>
          <w:sz w:val="20"/>
          <w:szCs w:val="20"/>
          <w:lang w:bidi="fa-IR"/>
        </w:rPr>
        <w:t>. Data analysis</w:t>
      </w:r>
    </w:p>
    <w:p w:rsidR="008A515F" w:rsidRPr="00232743" w:rsidRDefault="008A515F" w:rsidP="001D7F10">
      <w:pPr>
        <w:autoSpaceDE w:val="0"/>
        <w:autoSpaceDN w:val="0"/>
        <w:bidi w:val="0"/>
        <w:adjustRightInd w:val="0"/>
        <w:snapToGrid w:val="0"/>
        <w:ind w:firstLine="720"/>
        <w:jc w:val="both"/>
        <w:rPr>
          <w:rFonts w:eastAsiaTheme="minorHAnsi" w:cs="Times New Roman"/>
          <w:sz w:val="20"/>
          <w:szCs w:val="20"/>
          <w:lang w:bidi="fa-IR"/>
        </w:rPr>
      </w:pPr>
      <w:r w:rsidRPr="00232743">
        <w:rPr>
          <w:rFonts w:eastAsia="AdvGulliv-R" w:cs="Times New Roman"/>
          <w:sz w:val="20"/>
          <w:szCs w:val="20"/>
        </w:rPr>
        <w:t>Data collected from the experts was analyzed with the DEMATEL method</w:t>
      </w:r>
      <w:r w:rsidRPr="00232743">
        <w:rPr>
          <w:rFonts w:eastAsia="AdvGulliv-R" w:cs="Times New Roman"/>
          <w:sz w:val="20"/>
          <w:szCs w:val="20"/>
          <w:lang w:bidi="fa-IR"/>
        </w:rPr>
        <w:t>. The degree of central role (</w:t>
      </w:r>
      <w:proofErr w:type="spellStart"/>
      <w:r w:rsidRPr="00232743">
        <w:rPr>
          <w:rFonts w:eastAsia="AdvGulliv-R" w:cs="Times New Roman"/>
          <w:sz w:val="20"/>
          <w:szCs w:val="20"/>
          <w:lang w:bidi="fa-IR"/>
        </w:rPr>
        <w:t>D</w:t>
      </w:r>
      <w:r w:rsidRPr="00232743">
        <w:rPr>
          <w:rFonts w:eastAsia="AdvGulliv-R" w:cs="Times New Roman"/>
          <w:sz w:val="20"/>
          <w:szCs w:val="20"/>
          <w:vertAlign w:val="subscript"/>
          <w:lang w:bidi="fa-IR"/>
        </w:rPr>
        <w:t>x</w:t>
      </w:r>
      <w:proofErr w:type="spellEnd"/>
      <w:r w:rsidRPr="00232743">
        <w:rPr>
          <w:rFonts w:eastAsia="AdvGulliv-R" w:cs="Times New Roman"/>
          <w:sz w:val="20"/>
          <w:szCs w:val="20"/>
          <w:lang w:bidi="fa-IR"/>
        </w:rPr>
        <w:t xml:space="preserve"> +</w:t>
      </w:r>
      <w:r w:rsidRPr="00232743">
        <w:rPr>
          <w:rFonts w:eastAsia="AdvGulliv-R" w:cs="Times New Roman"/>
          <w:sz w:val="20"/>
          <w:szCs w:val="20"/>
          <w:rtl/>
          <w:lang w:bidi="fa-IR"/>
        </w:rPr>
        <w:t>‏</w:t>
      </w:r>
      <w:r w:rsidRPr="00232743">
        <w:rPr>
          <w:rFonts w:eastAsia="AdvGulliv-R" w:cs="Times New Roman"/>
          <w:sz w:val="20"/>
          <w:szCs w:val="20"/>
          <w:lang w:bidi="fa-IR"/>
        </w:rPr>
        <w:t xml:space="preserve"> </w:t>
      </w:r>
      <w:proofErr w:type="gramStart"/>
      <w:r w:rsidRPr="00232743">
        <w:rPr>
          <w:rFonts w:eastAsia="AdvGulliv-R" w:cs="Times New Roman"/>
          <w:sz w:val="20"/>
          <w:szCs w:val="20"/>
          <w:lang w:bidi="fa-IR"/>
        </w:rPr>
        <w:t>R</w:t>
      </w:r>
      <w:r w:rsidRPr="00232743">
        <w:rPr>
          <w:rFonts w:eastAsia="AdvGulliv-R" w:cs="Times New Roman"/>
          <w:sz w:val="20"/>
          <w:szCs w:val="20"/>
          <w:vertAlign w:val="subscript"/>
          <w:lang w:bidi="fa-IR"/>
        </w:rPr>
        <w:t>x</w:t>
      </w:r>
      <w:r w:rsidR="007004D8">
        <w:rPr>
          <w:rFonts w:eastAsia="AdvGulliv-R" w:cs="Times New Roman"/>
          <w:sz w:val="20"/>
          <w:szCs w:val="20"/>
          <w:rtl/>
          <w:lang w:bidi="fa-IR"/>
        </w:rPr>
        <w:t xml:space="preserve"> </w:t>
      </w:r>
      <w:r w:rsidRPr="00232743">
        <w:rPr>
          <w:rFonts w:eastAsia="AdvGulliv-R" w:cs="Times New Roman"/>
          <w:sz w:val="20"/>
          <w:szCs w:val="20"/>
          <w:lang w:bidi="fa-IR"/>
        </w:rPr>
        <w:t xml:space="preserve"> </w:t>
      </w:r>
      <w:r w:rsidRPr="00232743">
        <w:rPr>
          <w:rFonts w:eastAsia="AdvGulliv-R" w:cs="Times New Roman"/>
          <w:sz w:val="20"/>
          <w:szCs w:val="20"/>
          <w:rtl/>
          <w:lang w:bidi="fa-IR"/>
        </w:rPr>
        <w:t>(</w:t>
      </w:r>
      <w:proofErr w:type="gramEnd"/>
      <w:r w:rsidRPr="00232743">
        <w:rPr>
          <w:rFonts w:eastAsia="AdvGulliv-R" w:cs="Times New Roman"/>
          <w:sz w:val="20"/>
          <w:szCs w:val="20"/>
          <w:lang w:bidi="fa-IR"/>
        </w:rPr>
        <w:t>in DEMATEL represents the strength of influences both dispatched and received. On the other hand, if (</w:t>
      </w:r>
      <w:proofErr w:type="spellStart"/>
      <w:r w:rsidRPr="00232743">
        <w:rPr>
          <w:rFonts w:eastAsia="AdvGulliv-R" w:cs="Times New Roman"/>
          <w:sz w:val="20"/>
          <w:szCs w:val="20"/>
          <w:lang w:bidi="fa-IR"/>
        </w:rPr>
        <w:t>D</w:t>
      </w:r>
      <w:r w:rsidRPr="00232743">
        <w:rPr>
          <w:rFonts w:eastAsia="AdvGulliv-R" w:cs="Times New Roman"/>
          <w:sz w:val="20"/>
          <w:szCs w:val="20"/>
          <w:vertAlign w:val="subscript"/>
          <w:lang w:bidi="fa-IR"/>
        </w:rPr>
        <w:t>x</w:t>
      </w:r>
      <w:proofErr w:type="spellEnd"/>
      <w:r w:rsidRPr="00232743">
        <w:rPr>
          <w:rFonts w:eastAsia="AdvGulliv-R" w:cs="Times New Roman"/>
          <w:sz w:val="20"/>
          <w:szCs w:val="20"/>
          <w:lang w:bidi="fa-IR"/>
        </w:rPr>
        <w:t xml:space="preserve"> </w:t>
      </w:r>
      <w:r w:rsidRPr="00232743">
        <w:rPr>
          <w:rFonts w:eastAsia="AdvGulliv-R" w:cs="Times New Roman"/>
          <w:b/>
          <w:bCs/>
          <w:sz w:val="20"/>
          <w:szCs w:val="20"/>
          <w:lang w:bidi="fa-IR"/>
        </w:rPr>
        <w:t>-</w:t>
      </w:r>
      <w:r w:rsidRPr="00232743">
        <w:rPr>
          <w:rFonts w:eastAsia="AdvGulliv-R" w:cs="Times New Roman"/>
          <w:sz w:val="20"/>
          <w:szCs w:val="20"/>
          <w:lang w:bidi="fa-IR"/>
        </w:rPr>
        <w:t xml:space="preserve"> R</w:t>
      </w:r>
      <w:r w:rsidRPr="00232743">
        <w:rPr>
          <w:rFonts w:eastAsia="AdvGulliv-R" w:cs="Times New Roman"/>
          <w:sz w:val="20"/>
          <w:szCs w:val="20"/>
          <w:vertAlign w:val="subscript"/>
          <w:lang w:bidi="fa-IR"/>
        </w:rPr>
        <w:t>x</w:t>
      </w:r>
      <w:r w:rsidRPr="00232743">
        <w:rPr>
          <w:rFonts w:eastAsia="AdvGulliv-R" w:cs="Times New Roman"/>
          <w:sz w:val="20"/>
          <w:szCs w:val="20"/>
          <w:lang w:bidi="fa-IR"/>
        </w:rPr>
        <w:t xml:space="preserve">) </w:t>
      </w:r>
      <w:r w:rsidRPr="00232743">
        <w:rPr>
          <w:rFonts w:eastAsiaTheme="minorHAnsi" w:cs="Times New Roman"/>
          <w:sz w:val="20"/>
          <w:szCs w:val="20"/>
        </w:rPr>
        <w:t>is positive</w:t>
      </w:r>
      <w:r w:rsidRPr="00232743">
        <w:rPr>
          <w:rFonts w:eastAsia="AdvGulliv-R" w:cs="Times New Roman"/>
          <w:sz w:val="20"/>
          <w:szCs w:val="20"/>
          <w:lang w:bidi="fa-IR"/>
        </w:rPr>
        <w:t>, then the evaluation criterion x dispatches the influence to other evaluation criteria more than it receives. If (</w:t>
      </w:r>
      <w:proofErr w:type="spellStart"/>
      <w:r w:rsidRPr="00232743">
        <w:rPr>
          <w:rFonts w:eastAsia="AdvGulliv-R" w:cs="Times New Roman"/>
          <w:sz w:val="20"/>
          <w:szCs w:val="20"/>
          <w:lang w:bidi="fa-IR"/>
        </w:rPr>
        <w:t>D</w:t>
      </w:r>
      <w:r w:rsidRPr="00232743">
        <w:rPr>
          <w:rFonts w:eastAsia="AdvGulliv-R" w:cs="Times New Roman"/>
          <w:sz w:val="20"/>
          <w:szCs w:val="20"/>
          <w:vertAlign w:val="subscript"/>
          <w:lang w:bidi="fa-IR"/>
        </w:rPr>
        <w:t>x</w:t>
      </w:r>
      <w:proofErr w:type="spellEnd"/>
      <w:r w:rsidRPr="00232743">
        <w:rPr>
          <w:rFonts w:eastAsia="AdvGulliv-R" w:cs="Times New Roman"/>
          <w:sz w:val="20"/>
          <w:szCs w:val="20"/>
          <w:lang w:bidi="fa-IR"/>
        </w:rPr>
        <w:t xml:space="preserve"> </w:t>
      </w:r>
      <w:r w:rsidRPr="00232743">
        <w:rPr>
          <w:rFonts w:eastAsia="AdvGulliv-R" w:cs="Times New Roman"/>
          <w:b/>
          <w:bCs/>
          <w:sz w:val="20"/>
          <w:szCs w:val="20"/>
          <w:lang w:bidi="fa-IR"/>
        </w:rPr>
        <w:t>-</w:t>
      </w:r>
      <w:r w:rsidRPr="00232743">
        <w:rPr>
          <w:rFonts w:eastAsia="AdvGulliv-R" w:cs="Times New Roman"/>
          <w:sz w:val="20"/>
          <w:szCs w:val="20"/>
          <w:lang w:bidi="fa-IR"/>
        </w:rPr>
        <w:t xml:space="preserve"> R</w:t>
      </w:r>
      <w:r w:rsidRPr="00232743">
        <w:rPr>
          <w:rFonts w:eastAsia="AdvGulliv-R" w:cs="Times New Roman"/>
          <w:sz w:val="20"/>
          <w:szCs w:val="20"/>
          <w:vertAlign w:val="subscript"/>
          <w:lang w:bidi="fa-IR"/>
        </w:rPr>
        <w:t>x</w:t>
      </w:r>
      <w:r w:rsidRPr="00232743">
        <w:rPr>
          <w:rFonts w:eastAsia="AdvGulliv-R" w:cs="Times New Roman"/>
          <w:sz w:val="20"/>
          <w:szCs w:val="20"/>
          <w:lang w:bidi="fa-IR"/>
        </w:rPr>
        <w:t xml:space="preserve">) </w:t>
      </w:r>
      <w:r w:rsidRPr="00232743">
        <w:rPr>
          <w:rFonts w:eastAsiaTheme="minorHAnsi" w:cs="Times New Roman"/>
          <w:sz w:val="20"/>
          <w:szCs w:val="20"/>
        </w:rPr>
        <w:t>is negative</w:t>
      </w:r>
      <w:r w:rsidRPr="00232743">
        <w:rPr>
          <w:rFonts w:eastAsia="AdvGulliv-R" w:cs="Times New Roman"/>
          <w:sz w:val="20"/>
          <w:szCs w:val="20"/>
          <w:lang w:bidi="fa-IR"/>
        </w:rPr>
        <w:t>, the evaluation criterion x receives the influence from other evaluation criteria more than it dispatched.</w:t>
      </w:r>
      <w:r w:rsidRPr="00232743">
        <w:rPr>
          <w:rFonts w:eastAsiaTheme="minorHAnsi" w:cs="Times New Roman"/>
          <w:sz w:val="20"/>
          <w:szCs w:val="20"/>
          <w:lang w:bidi="fa-IR"/>
        </w:rPr>
        <w:t xml:space="preserve"> Total relationships matrices are demonstrated in Tables 2 to Table 6.</w:t>
      </w:r>
    </w:p>
    <w:p w:rsidR="00A56201" w:rsidRPr="00232743" w:rsidRDefault="00A56201" w:rsidP="001D7F10">
      <w:pPr>
        <w:autoSpaceDE w:val="0"/>
        <w:autoSpaceDN w:val="0"/>
        <w:bidi w:val="0"/>
        <w:adjustRightInd w:val="0"/>
        <w:snapToGrid w:val="0"/>
        <w:ind w:firstLine="720"/>
        <w:jc w:val="both"/>
        <w:rPr>
          <w:rFonts w:eastAsiaTheme="minorHAnsi" w:cs="Times New Roman"/>
          <w:sz w:val="20"/>
          <w:szCs w:val="20"/>
          <w:lang w:bidi="fa-IR"/>
        </w:rPr>
      </w:pPr>
      <w:r w:rsidRPr="00232743">
        <w:rPr>
          <w:rFonts w:eastAsia="Calibri" w:cs="Times New Roman"/>
          <w:sz w:val="20"/>
          <w:szCs w:val="20"/>
          <w:lang w:bidi="fa-IR"/>
        </w:rPr>
        <w:t xml:space="preserve">The results show </w:t>
      </w:r>
      <w:r w:rsidRPr="00232743">
        <w:rPr>
          <w:rFonts w:eastAsia="Calibri" w:cs="Times New Roman"/>
          <w:sz w:val="20"/>
          <w:szCs w:val="20"/>
        </w:rPr>
        <w:t>Organization Management</w:t>
      </w:r>
      <w:r w:rsidRPr="00232743">
        <w:rPr>
          <w:rFonts w:eastAsia="Calibri" w:cs="Times New Roman"/>
          <w:sz w:val="20"/>
          <w:szCs w:val="20"/>
          <w:lang w:bidi="fa-IR"/>
        </w:rPr>
        <w:t xml:space="preserve"> has great impact on success of </w:t>
      </w:r>
      <w:r w:rsidRPr="00232743">
        <w:rPr>
          <w:rFonts w:cs="Times New Roman"/>
          <w:sz w:val="20"/>
          <w:szCs w:val="20"/>
          <w:lang w:bidi="fa-IR"/>
        </w:rPr>
        <w:t xml:space="preserve">GSCM </w:t>
      </w:r>
      <w:r w:rsidRPr="00232743">
        <w:rPr>
          <w:rFonts w:eastAsia="Calibri" w:cs="Times New Roman"/>
          <w:sz w:val="20"/>
          <w:szCs w:val="20"/>
          <w:lang w:bidi="fa-IR"/>
        </w:rPr>
        <w:t>implementation among main aspects.</w:t>
      </w:r>
    </w:p>
    <w:p w:rsidR="003C0421" w:rsidRPr="00232743" w:rsidRDefault="003C0421" w:rsidP="001D7F10">
      <w:pPr>
        <w:autoSpaceDE w:val="0"/>
        <w:autoSpaceDN w:val="0"/>
        <w:bidi w:val="0"/>
        <w:adjustRightInd w:val="0"/>
        <w:snapToGrid w:val="0"/>
        <w:rPr>
          <w:rFonts w:cs="Times New Roman"/>
          <w:sz w:val="20"/>
          <w:szCs w:val="20"/>
          <w:lang w:eastAsia="zh-CN" w:bidi="fa-IR"/>
        </w:rPr>
      </w:pPr>
    </w:p>
    <w:tbl>
      <w:tblPr>
        <w:tblStyle w:val="TableGrid"/>
        <w:tblW w:w="5000" w:type="pct"/>
        <w:jc w:val="center"/>
        <w:tblLook w:val="04A0"/>
      </w:tblPr>
      <w:tblGrid>
        <w:gridCol w:w="1689"/>
        <w:gridCol w:w="1481"/>
        <w:gridCol w:w="1350"/>
        <w:gridCol w:w="1439"/>
        <w:gridCol w:w="1260"/>
        <w:gridCol w:w="810"/>
        <w:gridCol w:w="720"/>
        <w:gridCol w:w="829"/>
      </w:tblGrid>
      <w:tr w:rsidR="00D6543C" w:rsidRPr="007004D8" w:rsidTr="007004D8">
        <w:trPr>
          <w:jc w:val="center"/>
        </w:trPr>
        <w:tc>
          <w:tcPr>
            <w:tcW w:w="5000" w:type="pct"/>
            <w:gridSpan w:val="8"/>
          </w:tcPr>
          <w:p w:rsidR="00D6543C" w:rsidRPr="007004D8" w:rsidRDefault="00D6543C" w:rsidP="001D7F10">
            <w:pPr>
              <w:bidi w:val="0"/>
              <w:adjustRightInd w:val="0"/>
              <w:snapToGrid w:val="0"/>
              <w:jc w:val="both"/>
              <w:rPr>
                <w:rFonts w:ascii="Times New Roman" w:hAnsi="Times New Roman" w:cs="Times New Roman"/>
                <w:sz w:val="16"/>
                <w:szCs w:val="16"/>
                <w:lang w:bidi="fa-IR"/>
              </w:rPr>
            </w:pPr>
            <w:r w:rsidRPr="007004D8">
              <w:rPr>
                <w:rFonts w:ascii="Times New Roman" w:hAnsi="Times New Roman" w:cs="Times New Roman"/>
                <w:sz w:val="16"/>
                <w:szCs w:val="16"/>
              </w:rPr>
              <w:t xml:space="preserve">Table 2.The matrix </w:t>
            </w:r>
            <w:r w:rsidR="008A76CA" w:rsidRPr="007004D8">
              <w:rPr>
                <w:rFonts w:ascii="Times New Roman" w:hAnsi="Times New Roman" w:cs="Times New Roman"/>
                <w:sz w:val="16"/>
                <w:szCs w:val="16"/>
              </w:rPr>
              <w:t>X (I-X)</w:t>
            </w:r>
            <w:r w:rsidR="008A76CA" w:rsidRPr="007004D8">
              <w:rPr>
                <w:rFonts w:ascii="Times New Roman" w:hAnsi="Times New Roman" w:cs="Times New Roman"/>
                <w:sz w:val="16"/>
                <w:szCs w:val="16"/>
                <w:vertAlign w:val="superscript"/>
              </w:rPr>
              <w:t>-1</w:t>
            </w:r>
            <w:r w:rsidRPr="007004D8">
              <w:rPr>
                <w:rFonts w:ascii="Times New Roman" w:hAnsi="Times New Roman" w:cs="Times New Roman"/>
                <w:sz w:val="16"/>
                <w:szCs w:val="16"/>
              </w:rPr>
              <w:t xml:space="preserve"> for </w:t>
            </w:r>
            <w:r w:rsidRPr="007004D8">
              <w:rPr>
                <w:rFonts w:ascii="Times New Roman" w:hAnsi="Times New Roman" w:cs="Times New Roman"/>
                <w:sz w:val="16"/>
                <w:szCs w:val="16"/>
                <w:lang w:bidi="fa-IR"/>
              </w:rPr>
              <w:t>Main aspect.</w:t>
            </w:r>
          </w:p>
        </w:tc>
      </w:tr>
      <w:tr w:rsidR="007004D8" w:rsidRPr="007004D8" w:rsidTr="007004D8">
        <w:trPr>
          <w:jc w:val="center"/>
        </w:trPr>
        <w:tc>
          <w:tcPr>
            <w:tcW w:w="881" w:type="pct"/>
          </w:tcPr>
          <w:p w:rsidR="00D6543C" w:rsidRPr="007004D8" w:rsidRDefault="00D6543C" w:rsidP="001D7F10">
            <w:pPr>
              <w:bidi w:val="0"/>
              <w:adjustRightInd w:val="0"/>
              <w:snapToGrid w:val="0"/>
              <w:rPr>
                <w:rFonts w:ascii="Times New Roman" w:hAnsi="Times New Roman" w:cs="Times New Roman"/>
                <w:sz w:val="16"/>
                <w:szCs w:val="16"/>
              </w:rPr>
            </w:pPr>
          </w:p>
        </w:tc>
        <w:tc>
          <w:tcPr>
            <w:tcW w:w="773" w:type="pct"/>
          </w:tcPr>
          <w:p w:rsidR="00D6543C" w:rsidRPr="007004D8" w:rsidRDefault="00D6543C"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 Management</w:t>
            </w:r>
          </w:p>
        </w:tc>
        <w:tc>
          <w:tcPr>
            <w:tcW w:w="705" w:type="pct"/>
          </w:tcPr>
          <w:p w:rsidR="00D6543C" w:rsidRPr="007004D8" w:rsidRDefault="00D6543C"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Organizational Culture</w:t>
            </w:r>
          </w:p>
        </w:tc>
        <w:tc>
          <w:tcPr>
            <w:tcW w:w="751" w:type="pct"/>
          </w:tcPr>
          <w:p w:rsidR="00D6543C" w:rsidRPr="007004D8" w:rsidRDefault="00D6543C"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Organizational Structure</w:t>
            </w:r>
          </w:p>
        </w:tc>
        <w:tc>
          <w:tcPr>
            <w:tcW w:w="658" w:type="pct"/>
          </w:tcPr>
          <w:p w:rsidR="00D6543C" w:rsidRPr="007004D8" w:rsidRDefault="00D6543C"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Rules and Guidelines</w:t>
            </w:r>
          </w:p>
        </w:tc>
        <w:tc>
          <w:tcPr>
            <w:tcW w:w="423" w:type="pct"/>
          </w:tcPr>
          <w:p w:rsidR="00D6543C" w:rsidRPr="007004D8" w:rsidRDefault="00D6543C"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w:t>
            </w:r>
          </w:p>
        </w:tc>
        <w:tc>
          <w:tcPr>
            <w:tcW w:w="376" w:type="pct"/>
          </w:tcPr>
          <w:p w:rsidR="00D6543C" w:rsidRPr="007004D8" w:rsidRDefault="00D6543C"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D+R</w:t>
            </w:r>
          </w:p>
        </w:tc>
        <w:tc>
          <w:tcPr>
            <w:tcW w:w="433" w:type="pct"/>
          </w:tcPr>
          <w:p w:rsidR="00D6543C" w:rsidRPr="007004D8" w:rsidRDefault="00D6543C"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D-R</w:t>
            </w:r>
          </w:p>
        </w:tc>
      </w:tr>
      <w:tr w:rsidR="007004D8" w:rsidRPr="007004D8" w:rsidTr="007004D8">
        <w:trPr>
          <w:jc w:val="center"/>
        </w:trPr>
        <w:tc>
          <w:tcPr>
            <w:tcW w:w="881" w:type="pct"/>
          </w:tcPr>
          <w:p w:rsidR="00E02114" w:rsidRPr="007004D8" w:rsidRDefault="00E02114"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 Management</w:t>
            </w:r>
          </w:p>
        </w:tc>
        <w:tc>
          <w:tcPr>
            <w:tcW w:w="77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0.453</w:t>
            </w:r>
          </w:p>
        </w:tc>
        <w:tc>
          <w:tcPr>
            <w:tcW w:w="705"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0.481</w:t>
            </w:r>
          </w:p>
        </w:tc>
        <w:tc>
          <w:tcPr>
            <w:tcW w:w="751"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0.521</w:t>
            </w:r>
          </w:p>
        </w:tc>
        <w:tc>
          <w:tcPr>
            <w:tcW w:w="658"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0.416</w:t>
            </w:r>
          </w:p>
        </w:tc>
        <w:tc>
          <w:tcPr>
            <w:tcW w:w="42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1.871</w:t>
            </w:r>
          </w:p>
        </w:tc>
        <w:tc>
          <w:tcPr>
            <w:tcW w:w="376"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3.496</w:t>
            </w:r>
          </w:p>
        </w:tc>
        <w:tc>
          <w:tcPr>
            <w:tcW w:w="433"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0.246</w:t>
            </w:r>
          </w:p>
        </w:tc>
      </w:tr>
      <w:tr w:rsidR="007004D8" w:rsidRPr="007004D8" w:rsidTr="007004D8">
        <w:trPr>
          <w:jc w:val="center"/>
        </w:trPr>
        <w:tc>
          <w:tcPr>
            <w:tcW w:w="881" w:type="pct"/>
          </w:tcPr>
          <w:p w:rsidR="00E02114" w:rsidRPr="007004D8" w:rsidRDefault="00E02114"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Organizational Culture</w:t>
            </w:r>
          </w:p>
        </w:tc>
        <w:tc>
          <w:tcPr>
            <w:tcW w:w="77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0.475</w:t>
            </w:r>
          </w:p>
        </w:tc>
        <w:tc>
          <w:tcPr>
            <w:tcW w:w="705"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0.574</w:t>
            </w:r>
          </w:p>
        </w:tc>
        <w:tc>
          <w:tcPr>
            <w:tcW w:w="751"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0.216</w:t>
            </w:r>
          </w:p>
        </w:tc>
        <w:tc>
          <w:tcPr>
            <w:tcW w:w="658"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0.281</w:t>
            </w:r>
          </w:p>
        </w:tc>
        <w:tc>
          <w:tcPr>
            <w:tcW w:w="42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1.546</w:t>
            </w:r>
          </w:p>
        </w:tc>
        <w:tc>
          <w:tcPr>
            <w:tcW w:w="376"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3.125</w:t>
            </w:r>
          </w:p>
        </w:tc>
        <w:tc>
          <w:tcPr>
            <w:tcW w:w="433"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Pr>
              <w:t>-0.033</w:t>
            </w:r>
          </w:p>
        </w:tc>
      </w:tr>
      <w:tr w:rsidR="007004D8" w:rsidRPr="007004D8" w:rsidTr="007004D8">
        <w:trPr>
          <w:jc w:val="center"/>
        </w:trPr>
        <w:tc>
          <w:tcPr>
            <w:tcW w:w="881" w:type="pct"/>
          </w:tcPr>
          <w:p w:rsidR="00E02114" w:rsidRPr="007004D8" w:rsidRDefault="00E02114"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Organizational Structure</w:t>
            </w:r>
          </w:p>
        </w:tc>
        <w:tc>
          <w:tcPr>
            <w:tcW w:w="77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0.256</w:t>
            </w:r>
          </w:p>
        </w:tc>
        <w:tc>
          <w:tcPr>
            <w:tcW w:w="705"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0.199</w:t>
            </w:r>
          </w:p>
        </w:tc>
        <w:tc>
          <w:tcPr>
            <w:tcW w:w="751"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0.268</w:t>
            </w:r>
          </w:p>
        </w:tc>
        <w:tc>
          <w:tcPr>
            <w:tcW w:w="658"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0.562</w:t>
            </w:r>
          </w:p>
        </w:tc>
        <w:tc>
          <w:tcPr>
            <w:tcW w:w="42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1.285</w:t>
            </w:r>
          </w:p>
        </w:tc>
        <w:tc>
          <w:tcPr>
            <w:tcW w:w="376"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2.674</w:t>
            </w:r>
          </w:p>
        </w:tc>
        <w:tc>
          <w:tcPr>
            <w:tcW w:w="433"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Pr>
              <w:t>-0.104</w:t>
            </w:r>
          </w:p>
        </w:tc>
      </w:tr>
      <w:tr w:rsidR="007004D8" w:rsidRPr="007004D8" w:rsidTr="007004D8">
        <w:trPr>
          <w:jc w:val="center"/>
        </w:trPr>
        <w:tc>
          <w:tcPr>
            <w:tcW w:w="881" w:type="pct"/>
          </w:tcPr>
          <w:p w:rsidR="00E02114" w:rsidRPr="007004D8" w:rsidRDefault="00E02114"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Rules and Guidelines</w:t>
            </w:r>
          </w:p>
        </w:tc>
        <w:tc>
          <w:tcPr>
            <w:tcW w:w="77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0.441</w:t>
            </w:r>
          </w:p>
        </w:tc>
        <w:tc>
          <w:tcPr>
            <w:tcW w:w="705"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0.325</w:t>
            </w:r>
          </w:p>
        </w:tc>
        <w:tc>
          <w:tcPr>
            <w:tcW w:w="751"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0.384</w:t>
            </w:r>
          </w:p>
        </w:tc>
        <w:tc>
          <w:tcPr>
            <w:tcW w:w="658"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0.157</w:t>
            </w:r>
          </w:p>
        </w:tc>
        <w:tc>
          <w:tcPr>
            <w:tcW w:w="42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1.307</w:t>
            </w:r>
          </w:p>
        </w:tc>
        <w:tc>
          <w:tcPr>
            <w:tcW w:w="376"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2.723</w:t>
            </w:r>
          </w:p>
        </w:tc>
        <w:tc>
          <w:tcPr>
            <w:tcW w:w="433" w:type="pct"/>
          </w:tcPr>
          <w:p w:rsidR="00E02114" w:rsidRPr="007004D8" w:rsidRDefault="00E02114" w:rsidP="001D7F10">
            <w:pPr>
              <w:bidi w:val="0"/>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Pr>
              <w:t>-0.109</w:t>
            </w:r>
          </w:p>
        </w:tc>
      </w:tr>
      <w:tr w:rsidR="007004D8" w:rsidRPr="007004D8" w:rsidTr="007004D8">
        <w:trPr>
          <w:trHeight w:val="167"/>
          <w:jc w:val="center"/>
        </w:trPr>
        <w:tc>
          <w:tcPr>
            <w:tcW w:w="881" w:type="pct"/>
          </w:tcPr>
          <w:p w:rsidR="00E02114" w:rsidRPr="007004D8" w:rsidRDefault="00E02114"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R</w:t>
            </w:r>
          </w:p>
        </w:tc>
        <w:tc>
          <w:tcPr>
            <w:tcW w:w="773"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1.625</w:t>
            </w:r>
          </w:p>
        </w:tc>
        <w:tc>
          <w:tcPr>
            <w:tcW w:w="705"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1.579</w:t>
            </w:r>
          </w:p>
        </w:tc>
        <w:tc>
          <w:tcPr>
            <w:tcW w:w="751"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1.389</w:t>
            </w:r>
          </w:p>
        </w:tc>
        <w:tc>
          <w:tcPr>
            <w:tcW w:w="658" w:type="pct"/>
          </w:tcPr>
          <w:p w:rsidR="00E02114" w:rsidRPr="007004D8" w:rsidRDefault="00E02114" w:rsidP="001D7F10">
            <w:pPr>
              <w:adjustRightInd w:val="0"/>
              <w:snapToGrid w:val="0"/>
              <w:jc w:val="center"/>
              <w:rPr>
                <w:rFonts w:ascii="Times New Roman" w:hAnsi="Times New Roman" w:cs="Times New Roman"/>
                <w:sz w:val="16"/>
                <w:szCs w:val="16"/>
                <w:rtl/>
              </w:rPr>
            </w:pPr>
            <w:r w:rsidRPr="007004D8">
              <w:rPr>
                <w:rFonts w:ascii="Times New Roman" w:hAnsi="Times New Roman" w:cs="Times New Roman"/>
                <w:sz w:val="16"/>
                <w:szCs w:val="16"/>
                <w:rtl/>
              </w:rPr>
              <w:t>1.416</w:t>
            </w:r>
          </w:p>
        </w:tc>
        <w:tc>
          <w:tcPr>
            <w:tcW w:w="423" w:type="pct"/>
          </w:tcPr>
          <w:p w:rsidR="00E02114" w:rsidRPr="007004D8" w:rsidRDefault="00E02114" w:rsidP="001D7F10">
            <w:pPr>
              <w:bidi w:val="0"/>
              <w:adjustRightInd w:val="0"/>
              <w:snapToGrid w:val="0"/>
              <w:jc w:val="center"/>
              <w:rPr>
                <w:rFonts w:ascii="Times New Roman" w:hAnsi="Times New Roman" w:cs="Times New Roman"/>
                <w:sz w:val="16"/>
                <w:szCs w:val="16"/>
              </w:rPr>
            </w:pPr>
          </w:p>
        </w:tc>
        <w:tc>
          <w:tcPr>
            <w:tcW w:w="376" w:type="pct"/>
          </w:tcPr>
          <w:p w:rsidR="00E02114" w:rsidRPr="007004D8" w:rsidRDefault="00E02114" w:rsidP="001D7F10">
            <w:pPr>
              <w:bidi w:val="0"/>
              <w:adjustRightInd w:val="0"/>
              <w:snapToGrid w:val="0"/>
              <w:jc w:val="center"/>
              <w:rPr>
                <w:rFonts w:ascii="Times New Roman" w:hAnsi="Times New Roman" w:cs="Times New Roman"/>
                <w:sz w:val="16"/>
                <w:szCs w:val="16"/>
              </w:rPr>
            </w:pPr>
          </w:p>
        </w:tc>
        <w:tc>
          <w:tcPr>
            <w:tcW w:w="433" w:type="pct"/>
          </w:tcPr>
          <w:p w:rsidR="00E02114" w:rsidRPr="007004D8" w:rsidRDefault="00E02114" w:rsidP="001D7F10">
            <w:pPr>
              <w:bidi w:val="0"/>
              <w:adjustRightInd w:val="0"/>
              <w:snapToGrid w:val="0"/>
              <w:jc w:val="center"/>
              <w:rPr>
                <w:rFonts w:ascii="Times New Roman" w:hAnsi="Times New Roman" w:cs="Times New Roman"/>
                <w:sz w:val="16"/>
                <w:szCs w:val="16"/>
              </w:rPr>
            </w:pPr>
          </w:p>
        </w:tc>
      </w:tr>
    </w:tbl>
    <w:p w:rsidR="00D6543C" w:rsidRPr="00232743" w:rsidRDefault="00D6543C" w:rsidP="001D7F10">
      <w:pPr>
        <w:autoSpaceDE w:val="0"/>
        <w:autoSpaceDN w:val="0"/>
        <w:bidi w:val="0"/>
        <w:adjustRightInd w:val="0"/>
        <w:snapToGrid w:val="0"/>
        <w:rPr>
          <w:rFonts w:cs="Times New Roman"/>
          <w:sz w:val="20"/>
          <w:szCs w:val="20"/>
          <w:lang w:bidi="fa-IR"/>
        </w:rPr>
      </w:pPr>
    </w:p>
    <w:p w:rsidR="00D6543C" w:rsidRPr="00232743" w:rsidRDefault="00ED2BEB" w:rsidP="001D7F10">
      <w:pPr>
        <w:autoSpaceDE w:val="0"/>
        <w:autoSpaceDN w:val="0"/>
        <w:bidi w:val="0"/>
        <w:adjustRightInd w:val="0"/>
        <w:snapToGrid w:val="0"/>
        <w:jc w:val="center"/>
        <w:rPr>
          <w:rFonts w:cs="Times New Roman"/>
          <w:sz w:val="20"/>
          <w:szCs w:val="20"/>
          <w:lang w:bidi="fa-IR"/>
        </w:rPr>
      </w:pPr>
      <w:r w:rsidRPr="00232743">
        <w:rPr>
          <w:rFonts w:cs="Times New Roman"/>
          <w:noProof/>
          <w:sz w:val="20"/>
          <w:szCs w:val="20"/>
          <w:lang w:eastAsia="zh-CN"/>
        </w:rPr>
        <w:drawing>
          <wp:inline distT="0" distB="0" distL="0" distR="0">
            <wp:extent cx="3588588" cy="1613140"/>
            <wp:effectExtent l="19050" t="0" r="11862" b="61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543C" w:rsidRPr="00232743" w:rsidRDefault="00D6543C" w:rsidP="001D7F10">
      <w:pPr>
        <w:autoSpaceDE w:val="0"/>
        <w:autoSpaceDN w:val="0"/>
        <w:bidi w:val="0"/>
        <w:adjustRightInd w:val="0"/>
        <w:snapToGrid w:val="0"/>
        <w:rPr>
          <w:rFonts w:cs="Times New Roman"/>
          <w:sz w:val="20"/>
          <w:szCs w:val="20"/>
          <w:lang w:bidi="fa-IR"/>
        </w:rPr>
      </w:pPr>
    </w:p>
    <w:p w:rsidR="00D6543C" w:rsidRPr="00232743" w:rsidRDefault="00A56201" w:rsidP="001D7F10">
      <w:pPr>
        <w:autoSpaceDE w:val="0"/>
        <w:autoSpaceDN w:val="0"/>
        <w:bidi w:val="0"/>
        <w:adjustRightInd w:val="0"/>
        <w:snapToGrid w:val="0"/>
        <w:rPr>
          <w:rFonts w:cs="Times New Roman"/>
          <w:sz w:val="20"/>
          <w:szCs w:val="20"/>
          <w:lang w:bidi="fa-IR"/>
        </w:rPr>
      </w:pPr>
      <w:r w:rsidRPr="00232743">
        <w:rPr>
          <w:rFonts w:eastAsia="Calibri" w:cs="Times New Roman"/>
          <w:sz w:val="20"/>
          <w:szCs w:val="20"/>
          <w:lang w:bidi="fa-IR"/>
        </w:rPr>
        <w:t xml:space="preserve">Among criteria of </w:t>
      </w:r>
      <w:r w:rsidRPr="00232743">
        <w:rPr>
          <w:rFonts w:eastAsia="Calibri" w:cs="Times New Roman"/>
          <w:sz w:val="20"/>
          <w:szCs w:val="20"/>
        </w:rPr>
        <w:t>Organization Management</w:t>
      </w:r>
      <w:r w:rsidRPr="00232743">
        <w:rPr>
          <w:rFonts w:eastAsia="Calibri" w:cs="Times New Roman"/>
          <w:sz w:val="20"/>
          <w:szCs w:val="20"/>
          <w:lang w:bidi="fa-IR"/>
        </w:rPr>
        <w:t xml:space="preserve"> ‚ </w:t>
      </w:r>
      <w:r w:rsidRPr="00232743">
        <w:rPr>
          <w:rFonts w:eastAsia="Calibri" w:cs="Times New Roman"/>
          <w:sz w:val="20"/>
          <w:szCs w:val="20"/>
        </w:rPr>
        <w:t>Lack of top management support</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p>
    <w:p w:rsidR="00ED2BEB" w:rsidRPr="00232743" w:rsidRDefault="00ED2BEB" w:rsidP="001D7F10">
      <w:pPr>
        <w:autoSpaceDE w:val="0"/>
        <w:autoSpaceDN w:val="0"/>
        <w:bidi w:val="0"/>
        <w:adjustRightInd w:val="0"/>
        <w:snapToGrid w:val="0"/>
        <w:rPr>
          <w:rFonts w:cs="Times New Roman"/>
          <w:sz w:val="20"/>
          <w:szCs w:val="20"/>
          <w:lang w:bidi="fa-IR"/>
        </w:rPr>
      </w:pPr>
    </w:p>
    <w:tbl>
      <w:tblPr>
        <w:tblStyle w:val="TableGrid1"/>
        <w:tblW w:w="5000" w:type="pct"/>
        <w:jc w:val="center"/>
        <w:tblLook w:val="04A0"/>
      </w:tblPr>
      <w:tblGrid>
        <w:gridCol w:w="1753"/>
        <w:gridCol w:w="1358"/>
        <w:gridCol w:w="1239"/>
        <w:gridCol w:w="1395"/>
        <w:gridCol w:w="1239"/>
        <w:gridCol w:w="774"/>
        <w:gridCol w:w="929"/>
        <w:gridCol w:w="891"/>
      </w:tblGrid>
      <w:tr w:rsidR="00C26ECE" w:rsidRPr="007004D8" w:rsidTr="007004D8">
        <w:trPr>
          <w:jc w:val="center"/>
        </w:trPr>
        <w:tc>
          <w:tcPr>
            <w:tcW w:w="5000" w:type="pct"/>
            <w:gridSpan w:val="8"/>
          </w:tcPr>
          <w:p w:rsidR="00C26ECE" w:rsidRPr="007004D8" w:rsidRDefault="00C26ECE" w:rsidP="001D7F10">
            <w:pPr>
              <w:bidi w:val="0"/>
              <w:adjustRightInd w:val="0"/>
              <w:snapToGrid w:val="0"/>
              <w:jc w:val="both"/>
              <w:rPr>
                <w:rFonts w:ascii="Times New Roman" w:hAnsi="Times New Roman" w:cs="Times New Roman"/>
                <w:sz w:val="16"/>
                <w:szCs w:val="16"/>
                <w:lang w:bidi="fa-IR"/>
              </w:rPr>
            </w:pPr>
            <w:r w:rsidRPr="007004D8">
              <w:rPr>
                <w:rFonts w:ascii="Times New Roman" w:hAnsi="Times New Roman" w:cs="Times New Roman"/>
                <w:sz w:val="16"/>
                <w:szCs w:val="16"/>
              </w:rPr>
              <w:lastRenderedPageBreak/>
              <w:t>Table 3.The matrix X (I-X)</w:t>
            </w:r>
            <w:r w:rsidRPr="007004D8">
              <w:rPr>
                <w:rFonts w:ascii="Times New Roman" w:hAnsi="Times New Roman" w:cs="Times New Roman"/>
                <w:sz w:val="16"/>
                <w:szCs w:val="16"/>
                <w:vertAlign w:val="superscript"/>
              </w:rPr>
              <w:t>-1</w:t>
            </w:r>
            <w:r w:rsidRPr="007004D8">
              <w:rPr>
                <w:rFonts w:ascii="Times New Roman" w:hAnsi="Times New Roman" w:cs="Times New Roman"/>
                <w:sz w:val="16"/>
                <w:szCs w:val="16"/>
              </w:rPr>
              <w:t xml:space="preserve"> for factor of Organization Management.</w:t>
            </w:r>
          </w:p>
        </w:tc>
      </w:tr>
      <w:tr w:rsidR="00C26ECE" w:rsidRPr="007004D8" w:rsidTr="007004D8">
        <w:trPr>
          <w:trHeight w:val="62"/>
          <w:jc w:val="center"/>
        </w:trPr>
        <w:tc>
          <w:tcPr>
            <w:tcW w:w="915" w:type="pct"/>
          </w:tcPr>
          <w:p w:rsidR="00C26ECE" w:rsidRPr="007004D8" w:rsidRDefault="00C26ECE" w:rsidP="001D7F10">
            <w:pPr>
              <w:bidi w:val="0"/>
              <w:adjustRightInd w:val="0"/>
              <w:snapToGrid w:val="0"/>
              <w:rPr>
                <w:rFonts w:ascii="Times New Roman" w:hAnsi="Times New Roman" w:cs="Times New Roman"/>
                <w:sz w:val="16"/>
                <w:szCs w:val="16"/>
              </w:rPr>
            </w:pPr>
          </w:p>
        </w:tc>
        <w:tc>
          <w:tcPr>
            <w:tcW w:w="709"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Instability of the senior management</w:t>
            </w:r>
          </w:p>
        </w:tc>
        <w:tc>
          <w:tcPr>
            <w:tcW w:w="647"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Lack of top management support</w:t>
            </w:r>
          </w:p>
        </w:tc>
        <w:tc>
          <w:tcPr>
            <w:tcW w:w="728" w:type="pct"/>
          </w:tcPr>
          <w:p w:rsidR="00C26ECE" w:rsidRPr="007004D8" w:rsidRDefault="00757CC9" w:rsidP="001D7F10">
            <w:pPr>
              <w:autoSpaceDE w:val="0"/>
              <w:autoSpaceDN w:val="0"/>
              <w:bidi w:val="0"/>
              <w:adjustRightInd w:val="0"/>
              <w:snapToGrid w:val="0"/>
              <w:jc w:val="both"/>
              <w:rPr>
                <w:rFonts w:ascii="Times New Roman" w:eastAsia="Times New Roman+FPEF" w:hAnsi="Times New Roman" w:cs="Times New Roman"/>
                <w:sz w:val="16"/>
                <w:szCs w:val="16"/>
              </w:rPr>
            </w:pPr>
            <w:r w:rsidRPr="007004D8">
              <w:rPr>
                <w:rFonts w:ascii="Times New Roman" w:eastAsia="Times New Roman+FPEF" w:hAnsi="Times New Roman" w:cs="Times New Roman"/>
                <w:sz w:val="16"/>
                <w:szCs w:val="16"/>
              </w:rPr>
              <w:t xml:space="preserve">Lack of knowledge </w:t>
            </w:r>
            <w:r w:rsidR="00C26ECE" w:rsidRPr="007004D8">
              <w:rPr>
                <w:rFonts w:ascii="Times New Roman" w:eastAsia="Times New Roman+FPEF" w:hAnsi="Times New Roman" w:cs="Times New Roman"/>
                <w:sz w:val="16"/>
                <w:szCs w:val="16"/>
              </w:rPr>
              <w:t>and</w:t>
            </w:r>
            <w:r w:rsidRPr="007004D8">
              <w:rPr>
                <w:rFonts w:ascii="Times New Roman" w:eastAsia="Times New Roman+FPEF" w:hAnsi="Times New Roman" w:cs="Times New Roman"/>
                <w:sz w:val="16"/>
                <w:szCs w:val="16"/>
              </w:rPr>
              <w:t xml:space="preserve"> </w:t>
            </w:r>
            <w:r w:rsidR="00C26ECE" w:rsidRPr="007004D8">
              <w:rPr>
                <w:rFonts w:ascii="Times New Roman" w:eastAsia="Times New Roman+FPEF" w:hAnsi="Times New Roman" w:cs="Times New Roman"/>
                <w:sz w:val="16"/>
                <w:szCs w:val="16"/>
              </w:rPr>
              <w:t>Experience</w:t>
            </w:r>
          </w:p>
        </w:tc>
        <w:tc>
          <w:tcPr>
            <w:tcW w:w="647"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Employee dissatisfaction</w:t>
            </w:r>
          </w:p>
        </w:tc>
        <w:tc>
          <w:tcPr>
            <w:tcW w:w="404"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D</w:t>
            </w:r>
          </w:p>
        </w:tc>
        <w:tc>
          <w:tcPr>
            <w:tcW w:w="485"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D+R</w:t>
            </w:r>
          </w:p>
        </w:tc>
        <w:tc>
          <w:tcPr>
            <w:tcW w:w="465" w:type="pct"/>
          </w:tcPr>
          <w:p w:rsidR="00C26ECE" w:rsidRPr="007004D8" w:rsidRDefault="00C26ECE"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D-R</w:t>
            </w:r>
          </w:p>
        </w:tc>
      </w:tr>
      <w:tr w:rsidR="00C26ECE" w:rsidRPr="007004D8" w:rsidTr="007004D8">
        <w:trPr>
          <w:jc w:val="center"/>
        </w:trPr>
        <w:tc>
          <w:tcPr>
            <w:tcW w:w="915" w:type="pct"/>
          </w:tcPr>
          <w:p w:rsidR="00C26ECE" w:rsidRPr="007004D8" w:rsidRDefault="00C26ECE"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Instability of the senior management</w:t>
            </w:r>
          </w:p>
        </w:tc>
        <w:tc>
          <w:tcPr>
            <w:tcW w:w="709"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0.568</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0.412</w:t>
            </w:r>
          </w:p>
        </w:tc>
        <w:tc>
          <w:tcPr>
            <w:tcW w:w="728"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0.458</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0.369</w:t>
            </w:r>
          </w:p>
        </w:tc>
        <w:tc>
          <w:tcPr>
            <w:tcW w:w="404"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1.807</w:t>
            </w:r>
          </w:p>
        </w:tc>
        <w:tc>
          <w:tcPr>
            <w:tcW w:w="48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3.73</w:t>
            </w:r>
          </w:p>
        </w:tc>
        <w:tc>
          <w:tcPr>
            <w:tcW w:w="46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Pr>
              <w:t>-0.</w:t>
            </w:r>
            <w:r w:rsidRPr="007004D8">
              <w:rPr>
                <w:rFonts w:ascii="Times New Roman" w:hAnsi="Times New Roman" w:cs="Times New Roman"/>
                <w:sz w:val="16"/>
                <w:szCs w:val="16"/>
                <w:rtl/>
              </w:rPr>
              <w:t>116</w:t>
            </w:r>
          </w:p>
        </w:tc>
      </w:tr>
      <w:tr w:rsidR="00C26ECE" w:rsidRPr="007004D8" w:rsidTr="007004D8">
        <w:trPr>
          <w:jc w:val="center"/>
        </w:trPr>
        <w:tc>
          <w:tcPr>
            <w:tcW w:w="915" w:type="pct"/>
          </w:tcPr>
          <w:p w:rsidR="00C26ECE" w:rsidRPr="007004D8" w:rsidRDefault="00C26ECE"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Lack of top management support</w:t>
            </w:r>
          </w:p>
        </w:tc>
        <w:tc>
          <w:tcPr>
            <w:tcW w:w="709"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0.625</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0.365</w:t>
            </w:r>
          </w:p>
        </w:tc>
        <w:tc>
          <w:tcPr>
            <w:tcW w:w="728"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0.305</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0.445</w:t>
            </w:r>
          </w:p>
        </w:tc>
        <w:tc>
          <w:tcPr>
            <w:tcW w:w="404"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1.74</w:t>
            </w:r>
          </w:p>
        </w:tc>
        <w:tc>
          <w:tcPr>
            <w:tcW w:w="48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3.191</w:t>
            </w:r>
          </w:p>
        </w:tc>
        <w:tc>
          <w:tcPr>
            <w:tcW w:w="46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0.289</w:t>
            </w:r>
          </w:p>
        </w:tc>
      </w:tr>
      <w:tr w:rsidR="00C26ECE" w:rsidRPr="007004D8" w:rsidTr="007004D8">
        <w:trPr>
          <w:jc w:val="center"/>
        </w:trPr>
        <w:tc>
          <w:tcPr>
            <w:tcW w:w="915" w:type="pct"/>
          </w:tcPr>
          <w:p w:rsidR="00C26ECE" w:rsidRPr="007004D8" w:rsidRDefault="00C26ECE" w:rsidP="001D7F10">
            <w:pPr>
              <w:autoSpaceDE w:val="0"/>
              <w:autoSpaceDN w:val="0"/>
              <w:bidi w:val="0"/>
              <w:adjustRightInd w:val="0"/>
              <w:snapToGrid w:val="0"/>
              <w:rPr>
                <w:rFonts w:ascii="Times New Roman" w:eastAsia="Times New Roman+FPEF" w:hAnsi="Times New Roman" w:cs="Times New Roman"/>
                <w:sz w:val="16"/>
                <w:szCs w:val="16"/>
              </w:rPr>
            </w:pPr>
            <w:r w:rsidRPr="007004D8">
              <w:rPr>
                <w:rFonts w:ascii="Times New Roman" w:eastAsia="Times New Roman+FPEF" w:hAnsi="Times New Roman" w:cs="Times New Roman"/>
                <w:sz w:val="16"/>
                <w:szCs w:val="16"/>
              </w:rPr>
              <w:t>Lack of knowledge and</w:t>
            </w:r>
          </w:p>
          <w:p w:rsidR="00C26ECE" w:rsidRPr="007004D8" w:rsidRDefault="00C26ECE" w:rsidP="001D7F10">
            <w:pPr>
              <w:bidi w:val="0"/>
              <w:adjustRightInd w:val="0"/>
              <w:snapToGrid w:val="0"/>
              <w:rPr>
                <w:rFonts w:ascii="Times New Roman" w:hAnsi="Times New Roman" w:cs="Times New Roman"/>
                <w:sz w:val="16"/>
                <w:szCs w:val="16"/>
              </w:rPr>
            </w:pPr>
            <w:r w:rsidRPr="007004D8">
              <w:rPr>
                <w:rFonts w:ascii="Times New Roman" w:eastAsia="Times New Roman+FPEF" w:hAnsi="Times New Roman" w:cs="Times New Roman"/>
                <w:sz w:val="16"/>
                <w:szCs w:val="16"/>
              </w:rPr>
              <w:t>Experience</w:t>
            </w:r>
          </w:p>
        </w:tc>
        <w:tc>
          <w:tcPr>
            <w:tcW w:w="709"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0.369</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0.257</w:t>
            </w:r>
          </w:p>
        </w:tc>
        <w:tc>
          <w:tcPr>
            <w:tcW w:w="728"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0.357</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0.469</w:t>
            </w:r>
          </w:p>
        </w:tc>
        <w:tc>
          <w:tcPr>
            <w:tcW w:w="404"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1.452</w:t>
            </w:r>
          </w:p>
        </w:tc>
        <w:tc>
          <w:tcPr>
            <w:tcW w:w="48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3.057</w:t>
            </w:r>
          </w:p>
        </w:tc>
        <w:tc>
          <w:tcPr>
            <w:tcW w:w="46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Pr>
              <w:t>-0.</w:t>
            </w:r>
            <w:r w:rsidRPr="007004D8">
              <w:rPr>
                <w:rFonts w:ascii="Times New Roman" w:hAnsi="Times New Roman" w:cs="Times New Roman"/>
                <w:sz w:val="16"/>
                <w:szCs w:val="16"/>
                <w:rtl/>
              </w:rPr>
              <w:t>153</w:t>
            </w:r>
          </w:p>
        </w:tc>
      </w:tr>
      <w:tr w:rsidR="00C26ECE" w:rsidRPr="007004D8" w:rsidTr="007004D8">
        <w:trPr>
          <w:jc w:val="center"/>
        </w:trPr>
        <w:tc>
          <w:tcPr>
            <w:tcW w:w="915" w:type="pct"/>
          </w:tcPr>
          <w:p w:rsidR="00C26ECE" w:rsidRPr="007004D8" w:rsidRDefault="00C26ECE"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Employee dissatisfaction</w:t>
            </w:r>
          </w:p>
        </w:tc>
        <w:tc>
          <w:tcPr>
            <w:tcW w:w="709"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0.361</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0.417</w:t>
            </w:r>
          </w:p>
        </w:tc>
        <w:tc>
          <w:tcPr>
            <w:tcW w:w="728"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0.485</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0.256</w:t>
            </w:r>
          </w:p>
        </w:tc>
        <w:tc>
          <w:tcPr>
            <w:tcW w:w="404"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1.519</w:t>
            </w:r>
          </w:p>
        </w:tc>
        <w:tc>
          <w:tcPr>
            <w:tcW w:w="48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3.058</w:t>
            </w:r>
          </w:p>
        </w:tc>
        <w:tc>
          <w:tcPr>
            <w:tcW w:w="465" w:type="pct"/>
          </w:tcPr>
          <w:p w:rsidR="00C26ECE" w:rsidRPr="007004D8" w:rsidRDefault="00C26ECE"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Pr>
              <w:t>-0.</w:t>
            </w:r>
            <w:r w:rsidRPr="007004D8">
              <w:rPr>
                <w:rFonts w:ascii="Times New Roman" w:hAnsi="Times New Roman" w:cs="Times New Roman"/>
                <w:sz w:val="16"/>
                <w:szCs w:val="16"/>
                <w:rtl/>
              </w:rPr>
              <w:t>02</w:t>
            </w:r>
          </w:p>
        </w:tc>
      </w:tr>
      <w:tr w:rsidR="00C26ECE" w:rsidRPr="007004D8" w:rsidTr="007004D8">
        <w:trPr>
          <w:jc w:val="center"/>
        </w:trPr>
        <w:tc>
          <w:tcPr>
            <w:tcW w:w="915" w:type="pct"/>
          </w:tcPr>
          <w:p w:rsidR="00C26ECE" w:rsidRPr="007004D8" w:rsidRDefault="00C26ECE"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R</w:t>
            </w:r>
          </w:p>
        </w:tc>
        <w:tc>
          <w:tcPr>
            <w:tcW w:w="709"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1.923</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1.451</w:t>
            </w:r>
          </w:p>
        </w:tc>
        <w:tc>
          <w:tcPr>
            <w:tcW w:w="728"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1.605</w:t>
            </w:r>
          </w:p>
        </w:tc>
        <w:tc>
          <w:tcPr>
            <w:tcW w:w="647" w:type="pct"/>
          </w:tcPr>
          <w:p w:rsidR="00C26ECE" w:rsidRPr="007004D8" w:rsidRDefault="00C26ECE"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1.539</w:t>
            </w:r>
          </w:p>
        </w:tc>
        <w:tc>
          <w:tcPr>
            <w:tcW w:w="404" w:type="pct"/>
          </w:tcPr>
          <w:p w:rsidR="00C26ECE" w:rsidRPr="007004D8" w:rsidRDefault="00C26ECE" w:rsidP="001D7F10">
            <w:pPr>
              <w:bidi w:val="0"/>
              <w:adjustRightInd w:val="0"/>
              <w:snapToGrid w:val="0"/>
              <w:jc w:val="center"/>
              <w:rPr>
                <w:rFonts w:ascii="Times New Roman" w:hAnsi="Times New Roman" w:cs="Times New Roman"/>
                <w:sz w:val="16"/>
                <w:szCs w:val="16"/>
              </w:rPr>
            </w:pPr>
          </w:p>
        </w:tc>
        <w:tc>
          <w:tcPr>
            <w:tcW w:w="485" w:type="pct"/>
          </w:tcPr>
          <w:p w:rsidR="00C26ECE" w:rsidRPr="007004D8" w:rsidRDefault="00C26ECE" w:rsidP="001D7F10">
            <w:pPr>
              <w:bidi w:val="0"/>
              <w:adjustRightInd w:val="0"/>
              <w:snapToGrid w:val="0"/>
              <w:jc w:val="center"/>
              <w:rPr>
                <w:rFonts w:ascii="Times New Roman" w:hAnsi="Times New Roman" w:cs="Times New Roman"/>
                <w:sz w:val="16"/>
                <w:szCs w:val="16"/>
              </w:rPr>
            </w:pPr>
          </w:p>
        </w:tc>
        <w:tc>
          <w:tcPr>
            <w:tcW w:w="465" w:type="pct"/>
          </w:tcPr>
          <w:p w:rsidR="00C26ECE" w:rsidRPr="007004D8" w:rsidRDefault="00C26ECE" w:rsidP="001D7F10">
            <w:pPr>
              <w:bidi w:val="0"/>
              <w:adjustRightInd w:val="0"/>
              <w:snapToGrid w:val="0"/>
              <w:jc w:val="center"/>
              <w:rPr>
                <w:rFonts w:ascii="Times New Roman" w:hAnsi="Times New Roman" w:cs="Times New Roman"/>
                <w:sz w:val="16"/>
                <w:szCs w:val="16"/>
              </w:rPr>
            </w:pPr>
          </w:p>
        </w:tc>
      </w:tr>
    </w:tbl>
    <w:p w:rsidR="00ED2BEB" w:rsidRPr="00232743" w:rsidRDefault="00ED2BEB" w:rsidP="001D7F10">
      <w:pPr>
        <w:autoSpaceDE w:val="0"/>
        <w:autoSpaceDN w:val="0"/>
        <w:bidi w:val="0"/>
        <w:adjustRightInd w:val="0"/>
        <w:snapToGrid w:val="0"/>
        <w:rPr>
          <w:rFonts w:cs="Times New Roman"/>
          <w:sz w:val="20"/>
          <w:szCs w:val="20"/>
          <w:lang w:bidi="fa-IR"/>
        </w:rPr>
      </w:pPr>
    </w:p>
    <w:p w:rsidR="00ED2BEB" w:rsidRPr="00232743" w:rsidRDefault="00C26ECE" w:rsidP="001D7F10">
      <w:pPr>
        <w:autoSpaceDE w:val="0"/>
        <w:autoSpaceDN w:val="0"/>
        <w:bidi w:val="0"/>
        <w:adjustRightInd w:val="0"/>
        <w:snapToGrid w:val="0"/>
        <w:jc w:val="center"/>
        <w:rPr>
          <w:rFonts w:cs="Times New Roman"/>
          <w:sz w:val="20"/>
          <w:szCs w:val="20"/>
          <w:lang w:bidi="fa-IR"/>
        </w:rPr>
      </w:pPr>
      <w:r w:rsidRPr="00232743">
        <w:rPr>
          <w:rFonts w:cs="Times New Roman"/>
          <w:noProof/>
          <w:sz w:val="20"/>
          <w:szCs w:val="20"/>
          <w:lang w:eastAsia="zh-CN"/>
        </w:rPr>
        <w:drawing>
          <wp:inline distT="0" distB="0" distL="0" distR="0">
            <wp:extent cx="3899139" cy="1811547"/>
            <wp:effectExtent l="19050" t="0" r="25161"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1659" w:rsidRPr="00232743" w:rsidRDefault="00071659" w:rsidP="001D7F10">
      <w:pPr>
        <w:autoSpaceDE w:val="0"/>
        <w:autoSpaceDN w:val="0"/>
        <w:bidi w:val="0"/>
        <w:adjustRightInd w:val="0"/>
        <w:snapToGrid w:val="0"/>
        <w:rPr>
          <w:rFonts w:cs="Times New Roman"/>
          <w:sz w:val="20"/>
          <w:szCs w:val="20"/>
          <w:lang w:bidi="fa-IR"/>
        </w:rPr>
      </w:pPr>
    </w:p>
    <w:p w:rsidR="00A05210" w:rsidRPr="00232743" w:rsidRDefault="00A56201" w:rsidP="001D7F10">
      <w:pPr>
        <w:autoSpaceDE w:val="0"/>
        <w:autoSpaceDN w:val="0"/>
        <w:bidi w:val="0"/>
        <w:adjustRightInd w:val="0"/>
        <w:snapToGrid w:val="0"/>
        <w:rPr>
          <w:rFonts w:cs="Times New Roman"/>
          <w:sz w:val="20"/>
          <w:szCs w:val="20"/>
          <w:lang w:bidi="fa-IR"/>
        </w:rPr>
      </w:pPr>
      <w:r w:rsidRPr="00232743">
        <w:rPr>
          <w:rFonts w:eastAsia="Calibri" w:cs="Times New Roman"/>
          <w:sz w:val="20"/>
          <w:szCs w:val="20"/>
          <w:lang w:bidi="fa-IR"/>
        </w:rPr>
        <w:t xml:space="preserve">Among criteria of </w:t>
      </w:r>
      <w:r w:rsidRPr="00232743">
        <w:rPr>
          <w:rFonts w:eastAsia="Calibri" w:cs="Times New Roman"/>
          <w:sz w:val="20"/>
          <w:szCs w:val="20"/>
        </w:rPr>
        <w:t>Organizational Culture</w:t>
      </w:r>
      <w:r w:rsidRPr="00232743">
        <w:rPr>
          <w:rFonts w:eastAsia="Calibri" w:cs="Times New Roman"/>
          <w:sz w:val="20"/>
          <w:szCs w:val="20"/>
          <w:lang w:bidi="fa-IR"/>
        </w:rPr>
        <w:t xml:space="preserve"> ‚ </w:t>
      </w:r>
      <w:r w:rsidRPr="00232743">
        <w:rPr>
          <w:rFonts w:eastAsia="Calibri" w:cs="Times New Roman"/>
          <w:sz w:val="20"/>
          <w:szCs w:val="20"/>
        </w:rPr>
        <w:t>the lack of incentive legislation for the Green Supply Chain</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r w:rsidR="007004D8">
        <w:rPr>
          <w:rFonts w:eastAsia="AdvGulliv-R" w:cs="Times New Roman"/>
          <w:sz w:val="20"/>
          <w:szCs w:val="20"/>
          <w:lang w:bidi="fa-IR"/>
        </w:rPr>
        <w:t xml:space="preserve"> </w:t>
      </w:r>
    </w:p>
    <w:tbl>
      <w:tblPr>
        <w:tblStyle w:val="TableGrid1"/>
        <w:tblW w:w="5000" w:type="pct"/>
        <w:jc w:val="center"/>
        <w:tblLook w:val="04A0"/>
      </w:tblPr>
      <w:tblGrid>
        <w:gridCol w:w="1719"/>
        <w:gridCol w:w="1334"/>
        <w:gridCol w:w="1214"/>
        <w:gridCol w:w="1366"/>
        <w:gridCol w:w="1214"/>
        <w:gridCol w:w="854"/>
        <w:gridCol w:w="816"/>
        <w:gridCol w:w="1061"/>
      </w:tblGrid>
      <w:tr w:rsidR="00071659" w:rsidRPr="007004D8" w:rsidTr="007004D8">
        <w:trPr>
          <w:jc w:val="center"/>
        </w:trPr>
        <w:tc>
          <w:tcPr>
            <w:tcW w:w="5000" w:type="pct"/>
            <w:gridSpan w:val="8"/>
          </w:tcPr>
          <w:p w:rsidR="00071659" w:rsidRPr="007004D8" w:rsidRDefault="00071659" w:rsidP="001D7F10">
            <w:pPr>
              <w:bidi w:val="0"/>
              <w:adjustRightInd w:val="0"/>
              <w:snapToGrid w:val="0"/>
              <w:jc w:val="both"/>
              <w:rPr>
                <w:rFonts w:ascii="Times New Roman" w:hAnsi="Times New Roman" w:cs="Times New Roman"/>
                <w:sz w:val="16"/>
                <w:szCs w:val="16"/>
                <w:lang w:bidi="fa-IR"/>
              </w:rPr>
            </w:pPr>
            <w:r w:rsidRPr="007004D8">
              <w:rPr>
                <w:rFonts w:ascii="Times New Roman" w:hAnsi="Times New Roman" w:cs="Times New Roman"/>
                <w:sz w:val="16"/>
                <w:szCs w:val="16"/>
              </w:rPr>
              <w:t xml:space="preserve">Table </w:t>
            </w:r>
            <w:r w:rsidR="00940852" w:rsidRPr="007004D8">
              <w:rPr>
                <w:rFonts w:ascii="Times New Roman" w:hAnsi="Times New Roman" w:cs="Times New Roman"/>
                <w:sz w:val="16"/>
                <w:szCs w:val="16"/>
              </w:rPr>
              <w:t>4</w:t>
            </w:r>
            <w:r w:rsidRPr="007004D8">
              <w:rPr>
                <w:rFonts w:ascii="Times New Roman" w:hAnsi="Times New Roman" w:cs="Times New Roman"/>
                <w:sz w:val="16"/>
                <w:szCs w:val="16"/>
              </w:rPr>
              <w:t>.The matrix X (I-X)</w:t>
            </w:r>
            <w:r w:rsidRPr="007004D8">
              <w:rPr>
                <w:rFonts w:ascii="Times New Roman" w:hAnsi="Times New Roman" w:cs="Times New Roman"/>
                <w:sz w:val="16"/>
                <w:szCs w:val="16"/>
                <w:vertAlign w:val="superscript"/>
              </w:rPr>
              <w:t>-1</w:t>
            </w:r>
            <w:r w:rsidRPr="007004D8">
              <w:rPr>
                <w:rFonts w:ascii="Times New Roman" w:hAnsi="Times New Roman" w:cs="Times New Roman"/>
                <w:sz w:val="16"/>
                <w:szCs w:val="16"/>
              </w:rPr>
              <w:t xml:space="preserve"> for factor of Organizational Culture.</w:t>
            </w:r>
          </w:p>
        </w:tc>
      </w:tr>
      <w:tr w:rsidR="00071659" w:rsidRPr="007004D8" w:rsidTr="007004D8">
        <w:trPr>
          <w:trHeight w:val="62"/>
          <w:jc w:val="center"/>
        </w:trPr>
        <w:tc>
          <w:tcPr>
            <w:tcW w:w="897" w:type="pct"/>
          </w:tcPr>
          <w:p w:rsidR="00071659" w:rsidRPr="007004D8" w:rsidRDefault="00071659" w:rsidP="001D7F10">
            <w:pPr>
              <w:bidi w:val="0"/>
              <w:adjustRightInd w:val="0"/>
              <w:snapToGrid w:val="0"/>
              <w:rPr>
                <w:rFonts w:ascii="Times New Roman" w:hAnsi="Times New Roman" w:cs="Times New Roman"/>
                <w:sz w:val="16"/>
                <w:szCs w:val="16"/>
              </w:rPr>
            </w:pPr>
          </w:p>
        </w:tc>
        <w:tc>
          <w:tcPr>
            <w:tcW w:w="696" w:type="pct"/>
          </w:tcPr>
          <w:p w:rsidR="00071659" w:rsidRPr="007004D8" w:rsidRDefault="00940852" w:rsidP="007004D8">
            <w:pPr>
              <w:autoSpaceDE w:val="0"/>
              <w:autoSpaceDN w:val="0"/>
              <w:bidi w:val="0"/>
              <w:adjustRightInd w:val="0"/>
              <w:snapToGrid w:val="0"/>
              <w:jc w:val="both"/>
              <w:rPr>
                <w:rFonts w:ascii="Times New Roman" w:hAnsi="Times New Roman" w:cs="Times New Roman"/>
                <w:sz w:val="16"/>
                <w:szCs w:val="16"/>
              </w:rPr>
            </w:pPr>
            <w:r w:rsidRPr="007004D8">
              <w:rPr>
                <w:rFonts w:ascii="Times New Roman" w:eastAsia="Times New Roman+FPEF" w:hAnsi="Times New Roman" w:cs="Times New Roman"/>
                <w:sz w:val="16"/>
                <w:szCs w:val="16"/>
              </w:rPr>
              <w:t>Poor organizational</w:t>
            </w:r>
            <w:r w:rsidR="007004D8">
              <w:rPr>
                <w:rFonts w:ascii="Times New Roman" w:eastAsiaTheme="minorEastAsia" w:hAnsi="Times New Roman" w:cs="Times New Roman" w:hint="eastAsia"/>
                <w:sz w:val="16"/>
                <w:szCs w:val="16"/>
                <w:lang w:eastAsia="zh-CN"/>
              </w:rPr>
              <w:t xml:space="preserve"> </w:t>
            </w:r>
            <w:r w:rsidRPr="007004D8">
              <w:rPr>
                <w:rFonts w:ascii="Times New Roman" w:eastAsia="Times New Roman+FPEF" w:hAnsi="Times New Roman" w:cs="Times New Roman"/>
                <w:sz w:val="16"/>
                <w:szCs w:val="16"/>
              </w:rPr>
              <w:t>culture</w:t>
            </w:r>
          </w:p>
        </w:tc>
        <w:tc>
          <w:tcPr>
            <w:tcW w:w="634" w:type="pct"/>
          </w:tcPr>
          <w:p w:rsidR="00071659" w:rsidRPr="007004D8" w:rsidRDefault="00940852" w:rsidP="007004D8">
            <w:pPr>
              <w:autoSpaceDE w:val="0"/>
              <w:autoSpaceDN w:val="0"/>
              <w:bidi w:val="0"/>
              <w:adjustRightInd w:val="0"/>
              <w:snapToGrid w:val="0"/>
              <w:jc w:val="both"/>
              <w:rPr>
                <w:rFonts w:ascii="Times New Roman" w:hAnsi="Times New Roman" w:cs="Times New Roman"/>
                <w:sz w:val="16"/>
                <w:szCs w:val="16"/>
              </w:rPr>
            </w:pPr>
            <w:r w:rsidRPr="007004D8">
              <w:rPr>
                <w:rFonts w:ascii="Times New Roman" w:eastAsia="Times New Roman+FPEF" w:hAnsi="Times New Roman" w:cs="Times New Roman"/>
                <w:sz w:val="16"/>
                <w:szCs w:val="16"/>
              </w:rPr>
              <w:t>Lack of green</w:t>
            </w:r>
            <w:r w:rsidR="007004D8">
              <w:rPr>
                <w:rFonts w:ascii="Times New Roman" w:eastAsiaTheme="minorEastAsia" w:hAnsi="Times New Roman" w:cs="Times New Roman" w:hint="eastAsia"/>
                <w:sz w:val="16"/>
                <w:szCs w:val="16"/>
                <w:lang w:eastAsia="zh-CN"/>
              </w:rPr>
              <w:t xml:space="preserve"> </w:t>
            </w:r>
            <w:r w:rsidRPr="007004D8">
              <w:rPr>
                <w:rFonts w:ascii="Times New Roman" w:eastAsia="Times New Roman+FPEF" w:hAnsi="Times New Roman" w:cs="Times New Roman"/>
                <w:sz w:val="16"/>
                <w:szCs w:val="16"/>
              </w:rPr>
              <w:t>initiatives</w:t>
            </w:r>
          </w:p>
        </w:tc>
        <w:tc>
          <w:tcPr>
            <w:tcW w:w="713" w:type="pct"/>
          </w:tcPr>
          <w:p w:rsidR="00071659" w:rsidRPr="007004D8" w:rsidRDefault="00940852"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Lack of resources</w:t>
            </w:r>
          </w:p>
        </w:tc>
        <w:tc>
          <w:tcPr>
            <w:tcW w:w="634" w:type="pct"/>
          </w:tcPr>
          <w:p w:rsidR="00071659" w:rsidRPr="007004D8" w:rsidRDefault="00940852" w:rsidP="001D7F10">
            <w:pPr>
              <w:bidi w:val="0"/>
              <w:adjustRightInd w:val="0"/>
              <w:snapToGrid w:val="0"/>
              <w:jc w:val="both"/>
              <w:rPr>
                <w:rFonts w:ascii="Times New Roman" w:hAnsi="Times New Roman" w:cs="Times New Roman"/>
                <w:sz w:val="16"/>
                <w:szCs w:val="16"/>
              </w:rPr>
            </w:pPr>
            <w:r w:rsidRPr="007004D8">
              <w:rPr>
                <w:rFonts w:ascii="Times New Roman" w:hAnsi="Times New Roman" w:cs="Times New Roman"/>
                <w:sz w:val="16"/>
                <w:szCs w:val="16"/>
              </w:rPr>
              <w:t>The lack of incentive rules</w:t>
            </w:r>
          </w:p>
        </w:tc>
        <w:tc>
          <w:tcPr>
            <w:tcW w:w="446" w:type="pct"/>
          </w:tcPr>
          <w:p w:rsidR="00071659" w:rsidRPr="007004D8" w:rsidRDefault="00071659"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w:t>
            </w:r>
          </w:p>
        </w:tc>
        <w:tc>
          <w:tcPr>
            <w:tcW w:w="426" w:type="pct"/>
          </w:tcPr>
          <w:p w:rsidR="00071659" w:rsidRPr="007004D8" w:rsidRDefault="00071659"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D+R</w:t>
            </w:r>
          </w:p>
        </w:tc>
        <w:tc>
          <w:tcPr>
            <w:tcW w:w="555" w:type="pct"/>
          </w:tcPr>
          <w:p w:rsidR="00071659" w:rsidRPr="007004D8" w:rsidRDefault="00071659" w:rsidP="001D7F10">
            <w:pPr>
              <w:bidi w:val="0"/>
              <w:adjustRightInd w:val="0"/>
              <w:snapToGrid w:val="0"/>
              <w:jc w:val="center"/>
              <w:rPr>
                <w:rFonts w:ascii="Times New Roman" w:hAnsi="Times New Roman" w:cs="Times New Roman"/>
                <w:sz w:val="16"/>
                <w:szCs w:val="16"/>
              </w:rPr>
            </w:pPr>
            <w:r w:rsidRPr="007004D8">
              <w:rPr>
                <w:rFonts w:ascii="Times New Roman" w:hAnsi="Times New Roman" w:cs="Times New Roman"/>
                <w:sz w:val="16"/>
                <w:szCs w:val="16"/>
              </w:rPr>
              <w:t>D-R</w:t>
            </w:r>
          </w:p>
        </w:tc>
      </w:tr>
      <w:tr w:rsidR="001E584A" w:rsidRPr="007004D8" w:rsidTr="007004D8">
        <w:trPr>
          <w:jc w:val="center"/>
        </w:trPr>
        <w:tc>
          <w:tcPr>
            <w:tcW w:w="897" w:type="pct"/>
          </w:tcPr>
          <w:p w:rsidR="001E584A" w:rsidRPr="007004D8" w:rsidRDefault="00757CC9" w:rsidP="007004D8">
            <w:pPr>
              <w:autoSpaceDE w:val="0"/>
              <w:autoSpaceDN w:val="0"/>
              <w:bidi w:val="0"/>
              <w:adjustRightInd w:val="0"/>
              <w:snapToGrid w:val="0"/>
              <w:rPr>
                <w:rFonts w:ascii="Times New Roman" w:hAnsi="Times New Roman" w:cs="Times New Roman"/>
                <w:sz w:val="16"/>
                <w:szCs w:val="16"/>
              </w:rPr>
            </w:pPr>
            <w:r w:rsidRPr="007004D8">
              <w:rPr>
                <w:rFonts w:ascii="Times New Roman" w:eastAsia="Times New Roman+FPEF" w:hAnsi="Times New Roman" w:cs="Times New Roman"/>
                <w:sz w:val="16"/>
                <w:szCs w:val="16"/>
              </w:rPr>
              <w:t xml:space="preserve">Poor </w:t>
            </w:r>
            <w:r w:rsidR="001E584A" w:rsidRPr="007004D8">
              <w:rPr>
                <w:rFonts w:ascii="Times New Roman" w:eastAsia="Times New Roman+FPEF" w:hAnsi="Times New Roman" w:cs="Times New Roman"/>
                <w:sz w:val="16"/>
                <w:szCs w:val="16"/>
              </w:rPr>
              <w:t>organizational</w:t>
            </w:r>
            <w:r w:rsidR="007004D8">
              <w:rPr>
                <w:rFonts w:ascii="Times New Roman" w:eastAsiaTheme="minorEastAsia" w:hAnsi="Times New Roman" w:cs="Times New Roman" w:hint="eastAsia"/>
                <w:sz w:val="16"/>
                <w:szCs w:val="16"/>
                <w:lang w:eastAsia="zh-CN"/>
              </w:rPr>
              <w:t xml:space="preserve"> </w:t>
            </w:r>
            <w:r w:rsidR="001E584A" w:rsidRPr="007004D8">
              <w:rPr>
                <w:rFonts w:ascii="Times New Roman" w:eastAsia="Times New Roman+FPEF" w:hAnsi="Times New Roman" w:cs="Times New Roman"/>
                <w:sz w:val="16"/>
                <w:szCs w:val="16"/>
              </w:rPr>
              <w:t>culture</w:t>
            </w:r>
          </w:p>
        </w:tc>
        <w:tc>
          <w:tcPr>
            <w:tcW w:w="696" w:type="pct"/>
          </w:tcPr>
          <w:p w:rsidR="001E584A" w:rsidRPr="007004D8" w:rsidRDefault="001E584A" w:rsidP="001D7F10">
            <w:pPr>
              <w:adjustRightInd w:val="0"/>
              <w:snapToGrid w:val="0"/>
              <w:jc w:val="right"/>
              <w:rPr>
                <w:rFonts w:ascii="Times New Roman" w:hAnsi="Times New Roman" w:cs="Times New Roman"/>
                <w:sz w:val="16"/>
                <w:szCs w:val="16"/>
                <w:rtl/>
                <w:lang w:bidi="fa-IR"/>
              </w:rPr>
            </w:pPr>
            <w:r w:rsidRPr="007004D8">
              <w:rPr>
                <w:rFonts w:ascii="Times New Roman" w:hAnsi="Times New Roman" w:cs="Times New Roman"/>
                <w:sz w:val="16"/>
                <w:szCs w:val="16"/>
                <w:rtl/>
              </w:rPr>
              <w:t>0.344</w:t>
            </w:r>
            <w:r w:rsidRPr="007004D8">
              <w:rPr>
                <w:rFonts w:ascii="Times New Roman" w:hAnsi="Times New Roman" w:cs="Times New Roman"/>
                <w:sz w:val="16"/>
                <w:szCs w:val="16"/>
              </w:rPr>
              <w:t xml:space="preserve"> </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0.524</w:t>
            </w:r>
          </w:p>
        </w:tc>
        <w:tc>
          <w:tcPr>
            <w:tcW w:w="713"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0.412</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0.257</w:t>
            </w:r>
          </w:p>
        </w:tc>
        <w:tc>
          <w:tcPr>
            <w:tcW w:w="44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1.537</w:t>
            </w:r>
          </w:p>
        </w:tc>
        <w:tc>
          <w:tcPr>
            <w:tcW w:w="426"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2.932</w:t>
            </w:r>
          </w:p>
        </w:tc>
        <w:tc>
          <w:tcPr>
            <w:tcW w:w="555"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0.142</w:t>
            </w:r>
          </w:p>
        </w:tc>
      </w:tr>
      <w:tr w:rsidR="001E584A" w:rsidRPr="007004D8" w:rsidTr="007004D8">
        <w:trPr>
          <w:jc w:val="center"/>
        </w:trPr>
        <w:tc>
          <w:tcPr>
            <w:tcW w:w="897" w:type="pct"/>
          </w:tcPr>
          <w:p w:rsidR="001E584A" w:rsidRPr="007004D8" w:rsidRDefault="001E584A" w:rsidP="007004D8">
            <w:pPr>
              <w:autoSpaceDE w:val="0"/>
              <w:autoSpaceDN w:val="0"/>
              <w:bidi w:val="0"/>
              <w:adjustRightInd w:val="0"/>
              <w:snapToGrid w:val="0"/>
              <w:rPr>
                <w:rFonts w:ascii="Times New Roman" w:hAnsi="Times New Roman" w:cs="Times New Roman"/>
                <w:sz w:val="16"/>
                <w:szCs w:val="16"/>
              </w:rPr>
            </w:pPr>
            <w:r w:rsidRPr="007004D8">
              <w:rPr>
                <w:rFonts w:ascii="Times New Roman" w:eastAsia="Times New Roman+FPEF" w:hAnsi="Times New Roman" w:cs="Times New Roman"/>
                <w:sz w:val="16"/>
                <w:szCs w:val="16"/>
              </w:rPr>
              <w:t>Lack of green</w:t>
            </w:r>
            <w:r w:rsidR="007004D8">
              <w:rPr>
                <w:rFonts w:ascii="Times New Roman" w:eastAsiaTheme="minorEastAsia" w:hAnsi="Times New Roman" w:cs="Times New Roman" w:hint="eastAsia"/>
                <w:sz w:val="16"/>
                <w:szCs w:val="16"/>
                <w:lang w:eastAsia="zh-CN"/>
              </w:rPr>
              <w:t xml:space="preserve"> </w:t>
            </w:r>
            <w:r w:rsidRPr="007004D8">
              <w:rPr>
                <w:rFonts w:ascii="Times New Roman" w:eastAsia="Times New Roman+FPEF" w:hAnsi="Times New Roman" w:cs="Times New Roman"/>
                <w:sz w:val="16"/>
                <w:szCs w:val="16"/>
              </w:rPr>
              <w:t>initiatives</w:t>
            </w:r>
          </w:p>
        </w:tc>
        <w:tc>
          <w:tcPr>
            <w:tcW w:w="69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0.524</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0.257</w:t>
            </w:r>
          </w:p>
        </w:tc>
        <w:tc>
          <w:tcPr>
            <w:tcW w:w="713"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0.452</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0.367</w:t>
            </w:r>
          </w:p>
        </w:tc>
        <w:tc>
          <w:tcPr>
            <w:tcW w:w="44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1.6</w:t>
            </w:r>
          </w:p>
        </w:tc>
        <w:tc>
          <w:tcPr>
            <w:tcW w:w="426"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3.331</w:t>
            </w:r>
          </w:p>
        </w:tc>
        <w:tc>
          <w:tcPr>
            <w:tcW w:w="555"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Pr>
              <w:t>-0.</w:t>
            </w:r>
            <w:r w:rsidRPr="007004D8">
              <w:rPr>
                <w:rFonts w:ascii="Times New Roman" w:hAnsi="Times New Roman" w:cs="Times New Roman"/>
                <w:sz w:val="16"/>
                <w:szCs w:val="16"/>
                <w:rtl/>
              </w:rPr>
              <w:t>131</w:t>
            </w:r>
          </w:p>
        </w:tc>
      </w:tr>
      <w:tr w:rsidR="001E584A" w:rsidRPr="007004D8" w:rsidTr="007004D8">
        <w:trPr>
          <w:jc w:val="center"/>
        </w:trPr>
        <w:tc>
          <w:tcPr>
            <w:tcW w:w="897" w:type="pct"/>
          </w:tcPr>
          <w:p w:rsidR="001E584A" w:rsidRPr="007004D8" w:rsidRDefault="00757CC9"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 xml:space="preserve">Lack of </w:t>
            </w:r>
            <w:r w:rsidR="001E584A" w:rsidRPr="007004D8">
              <w:rPr>
                <w:rFonts w:ascii="Times New Roman" w:hAnsi="Times New Roman" w:cs="Times New Roman"/>
                <w:sz w:val="16"/>
                <w:szCs w:val="16"/>
              </w:rPr>
              <w:t>resources</w:t>
            </w:r>
          </w:p>
        </w:tc>
        <w:tc>
          <w:tcPr>
            <w:tcW w:w="69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0.287</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0.361</w:t>
            </w:r>
          </w:p>
        </w:tc>
        <w:tc>
          <w:tcPr>
            <w:tcW w:w="713"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0.415</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0.247</w:t>
            </w:r>
          </w:p>
        </w:tc>
        <w:tc>
          <w:tcPr>
            <w:tcW w:w="44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1.31</w:t>
            </w:r>
          </w:p>
        </w:tc>
        <w:tc>
          <w:tcPr>
            <w:tcW w:w="426"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2.804</w:t>
            </w:r>
          </w:p>
        </w:tc>
        <w:tc>
          <w:tcPr>
            <w:tcW w:w="555"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Pr>
              <w:t>-0.</w:t>
            </w:r>
            <w:r w:rsidRPr="007004D8">
              <w:rPr>
                <w:rFonts w:ascii="Times New Roman" w:hAnsi="Times New Roman" w:cs="Times New Roman"/>
                <w:sz w:val="16"/>
                <w:szCs w:val="16"/>
                <w:rtl/>
              </w:rPr>
              <w:t>184</w:t>
            </w:r>
          </w:p>
        </w:tc>
      </w:tr>
      <w:tr w:rsidR="001E584A" w:rsidRPr="007004D8" w:rsidTr="007004D8">
        <w:trPr>
          <w:jc w:val="center"/>
        </w:trPr>
        <w:tc>
          <w:tcPr>
            <w:tcW w:w="897" w:type="pct"/>
          </w:tcPr>
          <w:p w:rsidR="001E584A" w:rsidRPr="007004D8" w:rsidRDefault="001E584A"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The lack of incentive rules</w:t>
            </w:r>
          </w:p>
        </w:tc>
        <w:tc>
          <w:tcPr>
            <w:tcW w:w="69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0.258</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0.352</w:t>
            </w:r>
          </w:p>
        </w:tc>
        <w:tc>
          <w:tcPr>
            <w:tcW w:w="713"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0.452</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0.524</w:t>
            </w:r>
          </w:p>
        </w:tc>
        <w:tc>
          <w:tcPr>
            <w:tcW w:w="44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1.586</w:t>
            </w:r>
          </w:p>
        </w:tc>
        <w:tc>
          <w:tcPr>
            <w:tcW w:w="426"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2.999</w:t>
            </w:r>
          </w:p>
        </w:tc>
        <w:tc>
          <w:tcPr>
            <w:tcW w:w="555" w:type="pct"/>
          </w:tcPr>
          <w:p w:rsidR="001E584A" w:rsidRPr="007004D8" w:rsidRDefault="001E584A" w:rsidP="001D7F10">
            <w:pPr>
              <w:bidi w:val="0"/>
              <w:adjustRightInd w:val="0"/>
              <w:snapToGrid w:val="0"/>
              <w:jc w:val="both"/>
              <w:rPr>
                <w:rFonts w:ascii="Times New Roman" w:hAnsi="Times New Roman" w:cs="Times New Roman"/>
                <w:sz w:val="16"/>
                <w:szCs w:val="16"/>
                <w:rtl/>
              </w:rPr>
            </w:pPr>
            <w:r w:rsidRPr="007004D8">
              <w:rPr>
                <w:rFonts w:ascii="Times New Roman" w:hAnsi="Times New Roman" w:cs="Times New Roman"/>
                <w:sz w:val="16"/>
                <w:szCs w:val="16"/>
                <w:rtl/>
              </w:rPr>
              <w:t>0.173</w:t>
            </w:r>
          </w:p>
        </w:tc>
      </w:tr>
      <w:tr w:rsidR="001E584A" w:rsidRPr="007004D8" w:rsidTr="007004D8">
        <w:trPr>
          <w:jc w:val="center"/>
        </w:trPr>
        <w:tc>
          <w:tcPr>
            <w:tcW w:w="897" w:type="pct"/>
          </w:tcPr>
          <w:p w:rsidR="001E584A" w:rsidRPr="007004D8" w:rsidRDefault="001E584A" w:rsidP="001D7F10">
            <w:pPr>
              <w:bidi w:val="0"/>
              <w:adjustRightInd w:val="0"/>
              <w:snapToGrid w:val="0"/>
              <w:rPr>
                <w:rFonts w:ascii="Times New Roman" w:hAnsi="Times New Roman" w:cs="Times New Roman"/>
                <w:sz w:val="16"/>
                <w:szCs w:val="16"/>
              </w:rPr>
            </w:pPr>
            <w:r w:rsidRPr="007004D8">
              <w:rPr>
                <w:rFonts w:ascii="Times New Roman" w:hAnsi="Times New Roman" w:cs="Times New Roman"/>
                <w:sz w:val="16"/>
                <w:szCs w:val="16"/>
              </w:rPr>
              <w:t>R</w:t>
            </w:r>
          </w:p>
        </w:tc>
        <w:tc>
          <w:tcPr>
            <w:tcW w:w="696"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1.395</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1.731</w:t>
            </w:r>
          </w:p>
        </w:tc>
        <w:tc>
          <w:tcPr>
            <w:tcW w:w="713"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1.494</w:t>
            </w:r>
          </w:p>
        </w:tc>
        <w:tc>
          <w:tcPr>
            <w:tcW w:w="634" w:type="pct"/>
          </w:tcPr>
          <w:p w:rsidR="001E584A" w:rsidRPr="007004D8" w:rsidRDefault="001E584A" w:rsidP="001D7F10">
            <w:pPr>
              <w:adjustRightInd w:val="0"/>
              <w:snapToGrid w:val="0"/>
              <w:jc w:val="right"/>
              <w:rPr>
                <w:rFonts w:ascii="Times New Roman" w:hAnsi="Times New Roman" w:cs="Times New Roman"/>
                <w:sz w:val="16"/>
                <w:szCs w:val="16"/>
                <w:rtl/>
              </w:rPr>
            </w:pPr>
            <w:r w:rsidRPr="007004D8">
              <w:rPr>
                <w:rFonts w:ascii="Times New Roman" w:hAnsi="Times New Roman" w:cs="Times New Roman"/>
                <w:sz w:val="16"/>
                <w:szCs w:val="16"/>
                <w:rtl/>
              </w:rPr>
              <w:t>1.413</w:t>
            </w:r>
          </w:p>
        </w:tc>
        <w:tc>
          <w:tcPr>
            <w:tcW w:w="446" w:type="pct"/>
          </w:tcPr>
          <w:p w:rsidR="001E584A" w:rsidRPr="007004D8" w:rsidRDefault="001E584A" w:rsidP="001D7F10">
            <w:pPr>
              <w:bidi w:val="0"/>
              <w:adjustRightInd w:val="0"/>
              <w:snapToGrid w:val="0"/>
              <w:jc w:val="center"/>
              <w:rPr>
                <w:rFonts w:ascii="Times New Roman" w:hAnsi="Times New Roman" w:cs="Times New Roman"/>
                <w:sz w:val="16"/>
                <w:szCs w:val="16"/>
              </w:rPr>
            </w:pPr>
          </w:p>
        </w:tc>
        <w:tc>
          <w:tcPr>
            <w:tcW w:w="426" w:type="pct"/>
          </w:tcPr>
          <w:p w:rsidR="001E584A" w:rsidRPr="007004D8" w:rsidRDefault="001E584A" w:rsidP="001D7F10">
            <w:pPr>
              <w:bidi w:val="0"/>
              <w:adjustRightInd w:val="0"/>
              <w:snapToGrid w:val="0"/>
              <w:jc w:val="center"/>
              <w:rPr>
                <w:rFonts w:ascii="Times New Roman" w:hAnsi="Times New Roman" w:cs="Times New Roman"/>
                <w:sz w:val="16"/>
                <w:szCs w:val="16"/>
              </w:rPr>
            </w:pPr>
          </w:p>
        </w:tc>
        <w:tc>
          <w:tcPr>
            <w:tcW w:w="555" w:type="pct"/>
          </w:tcPr>
          <w:p w:rsidR="001E584A" w:rsidRPr="007004D8" w:rsidRDefault="001E584A" w:rsidP="001D7F10">
            <w:pPr>
              <w:bidi w:val="0"/>
              <w:adjustRightInd w:val="0"/>
              <w:snapToGrid w:val="0"/>
              <w:jc w:val="center"/>
              <w:rPr>
                <w:rFonts w:ascii="Times New Roman" w:hAnsi="Times New Roman" w:cs="Times New Roman"/>
                <w:sz w:val="16"/>
                <w:szCs w:val="16"/>
              </w:rPr>
            </w:pPr>
          </w:p>
        </w:tc>
      </w:tr>
    </w:tbl>
    <w:p w:rsidR="00071659" w:rsidRPr="00232743" w:rsidRDefault="00071659" w:rsidP="001D7F10">
      <w:pPr>
        <w:autoSpaceDE w:val="0"/>
        <w:autoSpaceDN w:val="0"/>
        <w:bidi w:val="0"/>
        <w:adjustRightInd w:val="0"/>
        <w:snapToGrid w:val="0"/>
        <w:rPr>
          <w:rFonts w:cs="Times New Roman"/>
          <w:sz w:val="20"/>
          <w:szCs w:val="20"/>
          <w:lang w:bidi="fa-IR"/>
        </w:rPr>
      </w:pPr>
    </w:p>
    <w:p w:rsidR="00CD2A8D" w:rsidRPr="00232743" w:rsidRDefault="00CD2A8D" w:rsidP="001D7F10">
      <w:pPr>
        <w:autoSpaceDE w:val="0"/>
        <w:autoSpaceDN w:val="0"/>
        <w:bidi w:val="0"/>
        <w:adjustRightInd w:val="0"/>
        <w:snapToGrid w:val="0"/>
        <w:jc w:val="center"/>
        <w:rPr>
          <w:rFonts w:cs="Times New Roman"/>
          <w:sz w:val="20"/>
          <w:szCs w:val="20"/>
          <w:lang w:bidi="fa-IR"/>
        </w:rPr>
      </w:pPr>
      <w:r w:rsidRPr="00232743">
        <w:rPr>
          <w:rFonts w:cs="Times New Roman"/>
          <w:noProof/>
          <w:sz w:val="20"/>
          <w:szCs w:val="20"/>
          <w:lang w:eastAsia="zh-CN"/>
        </w:rPr>
        <w:drawing>
          <wp:inline distT="0" distB="0" distL="0" distR="0">
            <wp:extent cx="3890513" cy="1966822"/>
            <wp:effectExtent l="19050" t="0" r="1473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2A8D" w:rsidRPr="00232743" w:rsidRDefault="00CD2A8D" w:rsidP="001D7F10">
      <w:pPr>
        <w:autoSpaceDE w:val="0"/>
        <w:autoSpaceDN w:val="0"/>
        <w:bidi w:val="0"/>
        <w:adjustRightInd w:val="0"/>
        <w:snapToGrid w:val="0"/>
        <w:rPr>
          <w:rFonts w:cs="Times New Roman"/>
          <w:sz w:val="20"/>
          <w:szCs w:val="20"/>
          <w:lang w:bidi="fa-IR"/>
        </w:rPr>
      </w:pPr>
    </w:p>
    <w:p w:rsidR="00A56201" w:rsidRDefault="00A56201" w:rsidP="001D7F10">
      <w:pPr>
        <w:autoSpaceDE w:val="0"/>
        <w:autoSpaceDN w:val="0"/>
        <w:bidi w:val="0"/>
        <w:adjustRightInd w:val="0"/>
        <w:snapToGrid w:val="0"/>
        <w:ind w:firstLine="720"/>
        <w:rPr>
          <w:rFonts w:eastAsia="AdvGulliv-R" w:cs="Times New Roman"/>
          <w:sz w:val="20"/>
          <w:szCs w:val="20"/>
          <w:lang w:eastAsia="zh-CN" w:bidi="fa-IR"/>
        </w:rPr>
      </w:pPr>
      <w:r w:rsidRPr="00232743">
        <w:rPr>
          <w:rFonts w:eastAsia="Calibri" w:cs="Times New Roman"/>
          <w:sz w:val="20"/>
          <w:szCs w:val="20"/>
          <w:lang w:bidi="fa-IR"/>
        </w:rPr>
        <w:t xml:space="preserve">Among criteria of </w:t>
      </w:r>
      <w:r w:rsidRPr="00232743">
        <w:rPr>
          <w:rFonts w:eastAsia="Calibri" w:cs="Times New Roman"/>
          <w:sz w:val="20"/>
          <w:szCs w:val="20"/>
        </w:rPr>
        <w:t>Organizational Structure</w:t>
      </w:r>
      <w:r w:rsidRPr="00232743">
        <w:rPr>
          <w:rFonts w:eastAsia="Calibri" w:cs="Times New Roman"/>
          <w:sz w:val="20"/>
          <w:szCs w:val="20"/>
          <w:lang w:bidi="fa-IR"/>
        </w:rPr>
        <w:t xml:space="preserve">‚ </w:t>
      </w:r>
      <w:r w:rsidRPr="00232743">
        <w:rPr>
          <w:rFonts w:eastAsia="Calibri" w:cs="Times New Roman"/>
          <w:sz w:val="20"/>
          <w:szCs w:val="20"/>
        </w:rPr>
        <w:t>Lack of information and data required</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p>
    <w:p w:rsidR="003C0421" w:rsidRPr="00232743" w:rsidRDefault="003C0421" w:rsidP="001D7F10">
      <w:pPr>
        <w:autoSpaceDE w:val="0"/>
        <w:autoSpaceDN w:val="0"/>
        <w:bidi w:val="0"/>
        <w:adjustRightInd w:val="0"/>
        <w:snapToGrid w:val="0"/>
        <w:rPr>
          <w:rFonts w:cs="Times New Roman"/>
          <w:sz w:val="20"/>
          <w:szCs w:val="20"/>
          <w:lang w:eastAsia="zh-CN" w:bidi="fa-IR"/>
        </w:rPr>
      </w:pPr>
    </w:p>
    <w:tbl>
      <w:tblPr>
        <w:tblStyle w:val="TableGrid2"/>
        <w:tblW w:w="9571" w:type="dxa"/>
        <w:jc w:val="center"/>
        <w:tblInd w:w="-634" w:type="dxa"/>
        <w:tblLayout w:type="fixed"/>
        <w:tblLook w:val="04A0"/>
      </w:tblPr>
      <w:tblGrid>
        <w:gridCol w:w="1833"/>
        <w:gridCol w:w="1003"/>
        <w:gridCol w:w="992"/>
        <w:gridCol w:w="873"/>
        <w:gridCol w:w="1701"/>
        <w:gridCol w:w="992"/>
        <w:gridCol w:w="709"/>
        <w:gridCol w:w="709"/>
        <w:gridCol w:w="759"/>
      </w:tblGrid>
      <w:tr w:rsidR="00CD2A8D" w:rsidRPr="00232743" w:rsidTr="00A92B3F">
        <w:trPr>
          <w:jc w:val="center"/>
        </w:trPr>
        <w:tc>
          <w:tcPr>
            <w:tcW w:w="8812" w:type="dxa"/>
            <w:gridSpan w:val="8"/>
          </w:tcPr>
          <w:p w:rsidR="00CD2A8D" w:rsidRPr="00232743" w:rsidRDefault="00CD2A8D" w:rsidP="001D7F10">
            <w:pPr>
              <w:bidi w:val="0"/>
              <w:adjustRightInd w:val="0"/>
              <w:snapToGrid w:val="0"/>
              <w:jc w:val="both"/>
              <w:rPr>
                <w:rFonts w:ascii="Times New Roman" w:hAnsi="Times New Roman" w:cs="Times New Roman"/>
                <w:sz w:val="20"/>
                <w:szCs w:val="20"/>
                <w:lang w:bidi="fa-IR"/>
              </w:rPr>
            </w:pPr>
            <w:r w:rsidRPr="00232743">
              <w:rPr>
                <w:rFonts w:ascii="Times New Roman" w:hAnsi="Times New Roman" w:cs="Times New Roman"/>
                <w:sz w:val="20"/>
                <w:szCs w:val="20"/>
              </w:rPr>
              <w:lastRenderedPageBreak/>
              <w:t xml:space="preserve">Table </w:t>
            </w:r>
            <w:r w:rsidR="00794957" w:rsidRPr="00232743">
              <w:rPr>
                <w:rFonts w:ascii="Times New Roman" w:hAnsi="Times New Roman" w:cs="Times New Roman"/>
                <w:sz w:val="20"/>
                <w:szCs w:val="20"/>
              </w:rPr>
              <w:t>5</w:t>
            </w:r>
            <w:r w:rsidRPr="00232743">
              <w:rPr>
                <w:rFonts w:ascii="Times New Roman" w:hAnsi="Times New Roman" w:cs="Times New Roman"/>
                <w:sz w:val="20"/>
                <w:szCs w:val="20"/>
              </w:rPr>
              <w:t>.The matrix X (I-X)</w:t>
            </w:r>
            <w:r w:rsidRPr="00232743">
              <w:rPr>
                <w:rFonts w:ascii="Times New Roman" w:hAnsi="Times New Roman" w:cs="Times New Roman"/>
                <w:sz w:val="20"/>
                <w:szCs w:val="20"/>
                <w:vertAlign w:val="superscript"/>
              </w:rPr>
              <w:t>-1</w:t>
            </w:r>
            <w:r w:rsidRPr="00232743">
              <w:rPr>
                <w:rFonts w:ascii="Times New Roman" w:hAnsi="Times New Roman" w:cs="Times New Roman"/>
                <w:sz w:val="20"/>
                <w:szCs w:val="20"/>
              </w:rPr>
              <w:t xml:space="preserve"> for </w:t>
            </w:r>
            <w:r w:rsidR="00A902E3" w:rsidRPr="00232743">
              <w:rPr>
                <w:rFonts w:ascii="Times New Roman" w:hAnsi="Times New Roman" w:cs="Times New Roman"/>
                <w:sz w:val="20"/>
                <w:szCs w:val="20"/>
              </w:rPr>
              <w:t xml:space="preserve">factor of </w:t>
            </w:r>
            <w:r w:rsidRPr="00232743">
              <w:rPr>
                <w:rFonts w:ascii="Times New Roman" w:hAnsi="Times New Roman" w:cs="Times New Roman"/>
                <w:sz w:val="20"/>
                <w:szCs w:val="20"/>
              </w:rPr>
              <w:t>Organizational Structure.</w:t>
            </w:r>
          </w:p>
        </w:tc>
        <w:tc>
          <w:tcPr>
            <w:tcW w:w="759" w:type="dxa"/>
          </w:tcPr>
          <w:p w:rsidR="00CD2A8D" w:rsidRPr="00232743" w:rsidRDefault="00CD2A8D" w:rsidP="001D7F10">
            <w:pPr>
              <w:bidi w:val="0"/>
              <w:adjustRightInd w:val="0"/>
              <w:snapToGrid w:val="0"/>
              <w:jc w:val="both"/>
              <w:rPr>
                <w:rFonts w:ascii="Times New Roman" w:hAnsi="Times New Roman" w:cs="Times New Roman"/>
                <w:sz w:val="20"/>
                <w:szCs w:val="20"/>
                <w:lang w:bidi="fa-IR"/>
              </w:rPr>
            </w:pPr>
          </w:p>
        </w:tc>
      </w:tr>
      <w:tr w:rsidR="0099520F" w:rsidRPr="00232743" w:rsidTr="00A92B3F">
        <w:trPr>
          <w:trHeight w:val="62"/>
          <w:jc w:val="center"/>
        </w:trPr>
        <w:tc>
          <w:tcPr>
            <w:tcW w:w="1833" w:type="dxa"/>
          </w:tcPr>
          <w:p w:rsidR="00CD2A8D" w:rsidRPr="00232743" w:rsidRDefault="00CD2A8D" w:rsidP="001D7F10">
            <w:pPr>
              <w:bidi w:val="0"/>
              <w:adjustRightInd w:val="0"/>
              <w:snapToGrid w:val="0"/>
              <w:rPr>
                <w:rFonts w:ascii="Times New Roman" w:hAnsi="Times New Roman" w:cs="Times New Roman"/>
                <w:sz w:val="20"/>
                <w:szCs w:val="20"/>
              </w:rPr>
            </w:pPr>
          </w:p>
        </w:tc>
        <w:tc>
          <w:tcPr>
            <w:tcW w:w="1003" w:type="dxa"/>
          </w:tcPr>
          <w:p w:rsidR="00CD2A8D" w:rsidRPr="00232743" w:rsidRDefault="00757CC9"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 xml:space="preserve">Uncertainty in the </w:t>
            </w:r>
            <w:r w:rsidR="00794957" w:rsidRPr="00232743">
              <w:rPr>
                <w:rFonts w:ascii="Times New Roman" w:hAnsi="Times New Roman" w:cs="Times New Roman"/>
                <w:sz w:val="20"/>
                <w:szCs w:val="20"/>
              </w:rPr>
              <w:t>Supply Chain</w:t>
            </w:r>
          </w:p>
        </w:tc>
        <w:tc>
          <w:tcPr>
            <w:tcW w:w="992" w:type="dxa"/>
          </w:tcPr>
          <w:p w:rsidR="00CD2A8D" w:rsidRPr="00232743" w:rsidRDefault="0099520F"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Lack of technical infrastructure</w:t>
            </w:r>
          </w:p>
        </w:tc>
        <w:tc>
          <w:tcPr>
            <w:tcW w:w="873" w:type="dxa"/>
          </w:tcPr>
          <w:p w:rsidR="00CD2A8D" w:rsidRPr="00232743" w:rsidRDefault="0099520F"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Lack of information</w:t>
            </w:r>
          </w:p>
        </w:tc>
        <w:tc>
          <w:tcPr>
            <w:tcW w:w="1701" w:type="dxa"/>
          </w:tcPr>
          <w:p w:rsidR="00CD2A8D" w:rsidRPr="00232743" w:rsidRDefault="00A92B3F" w:rsidP="001D7F10">
            <w:pPr>
              <w:autoSpaceDE w:val="0"/>
              <w:autoSpaceDN w:val="0"/>
              <w:bidi w:val="0"/>
              <w:adjustRightInd w:val="0"/>
              <w:snapToGrid w:val="0"/>
              <w:jc w:val="both"/>
              <w:rPr>
                <w:rFonts w:ascii="Times New Roman" w:eastAsia="Times New Roman+FPEF" w:hAnsi="Times New Roman" w:cs="Times New Roman"/>
                <w:sz w:val="20"/>
                <w:szCs w:val="20"/>
              </w:rPr>
            </w:pPr>
            <w:r w:rsidRPr="00232743">
              <w:rPr>
                <w:rFonts w:ascii="Times New Roman" w:hAnsi="Times New Roman" w:cs="Times New Roman"/>
                <w:sz w:val="20"/>
                <w:szCs w:val="20"/>
              </w:rPr>
              <w:t>Lack of communication between members of the supply chain</w:t>
            </w:r>
          </w:p>
        </w:tc>
        <w:tc>
          <w:tcPr>
            <w:tcW w:w="992" w:type="dxa"/>
          </w:tcPr>
          <w:p w:rsidR="00CD2A8D" w:rsidRPr="00232743" w:rsidRDefault="0099520F"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Attention to short-term profit</w:t>
            </w:r>
          </w:p>
        </w:tc>
        <w:tc>
          <w:tcPr>
            <w:tcW w:w="709" w:type="dxa"/>
          </w:tcPr>
          <w:p w:rsidR="00CD2A8D" w:rsidRPr="00232743" w:rsidRDefault="00CD2A8D"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D</w:t>
            </w:r>
          </w:p>
        </w:tc>
        <w:tc>
          <w:tcPr>
            <w:tcW w:w="709" w:type="dxa"/>
          </w:tcPr>
          <w:p w:rsidR="00CD2A8D" w:rsidRPr="00232743" w:rsidRDefault="00CD2A8D"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D+R</w:t>
            </w:r>
          </w:p>
        </w:tc>
        <w:tc>
          <w:tcPr>
            <w:tcW w:w="759" w:type="dxa"/>
          </w:tcPr>
          <w:p w:rsidR="00CD2A8D" w:rsidRPr="00232743" w:rsidRDefault="00CD2A8D" w:rsidP="001D7F10">
            <w:pPr>
              <w:bidi w:val="0"/>
              <w:adjustRightInd w:val="0"/>
              <w:snapToGrid w:val="0"/>
              <w:jc w:val="both"/>
              <w:rPr>
                <w:rFonts w:ascii="Times New Roman" w:hAnsi="Times New Roman" w:cs="Times New Roman"/>
                <w:sz w:val="20"/>
                <w:szCs w:val="20"/>
              </w:rPr>
            </w:pPr>
            <w:r w:rsidRPr="00232743">
              <w:rPr>
                <w:rFonts w:ascii="Times New Roman" w:hAnsi="Times New Roman" w:cs="Times New Roman"/>
                <w:sz w:val="20"/>
                <w:szCs w:val="20"/>
              </w:rPr>
              <w:t>D-R</w:t>
            </w:r>
          </w:p>
        </w:tc>
      </w:tr>
      <w:tr w:rsidR="008C72EB" w:rsidRPr="00232743" w:rsidTr="00A92B3F">
        <w:trPr>
          <w:jc w:val="center"/>
        </w:trPr>
        <w:tc>
          <w:tcPr>
            <w:tcW w:w="1833" w:type="dxa"/>
          </w:tcPr>
          <w:p w:rsidR="008C72EB" w:rsidRPr="00232743" w:rsidRDefault="008C72EB"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Uncertainty in the Supply Chain</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0.314</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0.521</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0.268</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0.336</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0.415</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1.854</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3.978</w:t>
            </w:r>
          </w:p>
        </w:tc>
        <w:tc>
          <w:tcPr>
            <w:tcW w:w="759" w:type="dxa"/>
          </w:tcPr>
          <w:p w:rsidR="008C72EB" w:rsidRPr="00232743" w:rsidRDefault="008C72EB" w:rsidP="001D7F10">
            <w:pPr>
              <w:bidi w:val="0"/>
              <w:adjustRightInd w:val="0"/>
              <w:snapToGrid w:val="0"/>
              <w:jc w:val="both"/>
              <w:rPr>
                <w:rFonts w:ascii="Times New Roman" w:hAnsi="Times New Roman" w:cs="Times New Roman"/>
                <w:sz w:val="20"/>
                <w:szCs w:val="20"/>
                <w:rtl/>
              </w:rPr>
            </w:pPr>
            <w:r w:rsidRPr="00232743">
              <w:rPr>
                <w:rFonts w:ascii="Times New Roman" w:hAnsi="Times New Roman" w:cs="Times New Roman"/>
                <w:sz w:val="20"/>
                <w:szCs w:val="20"/>
              </w:rPr>
              <w:t>-0.</w:t>
            </w:r>
            <w:r w:rsidRPr="00232743">
              <w:rPr>
                <w:rFonts w:ascii="Times New Roman" w:hAnsi="Times New Roman" w:cs="Times New Roman"/>
                <w:sz w:val="20"/>
                <w:szCs w:val="20"/>
                <w:rtl/>
              </w:rPr>
              <w:t>27</w:t>
            </w:r>
          </w:p>
        </w:tc>
      </w:tr>
      <w:tr w:rsidR="008C72EB" w:rsidRPr="00232743" w:rsidTr="00A92B3F">
        <w:trPr>
          <w:jc w:val="center"/>
        </w:trPr>
        <w:tc>
          <w:tcPr>
            <w:tcW w:w="1833" w:type="dxa"/>
          </w:tcPr>
          <w:p w:rsidR="008C72EB" w:rsidRPr="00232743" w:rsidRDefault="008C72EB"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Lack of technical infrastructure</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0.287</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0.342</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0.269</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0.645</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0.357</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1.9</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4.101</w:t>
            </w:r>
          </w:p>
        </w:tc>
        <w:tc>
          <w:tcPr>
            <w:tcW w:w="759" w:type="dxa"/>
          </w:tcPr>
          <w:p w:rsidR="008C72EB" w:rsidRPr="00232743" w:rsidRDefault="008C72EB" w:rsidP="001D7F10">
            <w:pPr>
              <w:bidi w:val="0"/>
              <w:adjustRightInd w:val="0"/>
              <w:snapToGrid w:val="0"/>
              <w:jc w:val="both"/>
              <w:rPr>
                <w:rFonts w:ascii="Times New Roman" w:hAnsi="Times New Roman" w:cs="Times New Roman"/>
                <w:sz w:val="20"/>
                <w:szCs w:val="20"/>
                <w:rtl/>
              </w:rPr>
            </w:pPr>
            <w:r w:rsidRPr="00232743">
              <w:rPr>
                <w:rFonts w:ascii="Times New Roman" w:hAnsi="Times New Roman" w:cs="Times New Roman"/>
                <w:sz w:val="20"/>
                <w:szCs w:val="20"/>
              </w:rPr>
              <w:t>-0.</w:t>
            </w:r>
            <w:r w:rsidRPr="00232743">
              <w:rPr>
                <w:rFonts w:ascii="Times New Roman" w:hAnsi="Times New Roman" w:cs="Times New Roman"/>
                <w:sz w:val="20"/>
                <w:szCs w:val="20"/>
                <w:rtl/>
              </w:rPr>
              <w:t>301</w:t>
            </w:r>
          </w:p>
        </w:tc>
      </w:tr>
      <w:tr w:rsidR="008C72EB" w:rsidRPr="00232743" w:rsidTr="00A92B3F">
        <w:trPr>
          <w:jc w:val="center"/>
        </w:trPr>
        <w:tc>
          <w:tcPr>
            <w:tcW w:w="1833" w:type="dxa"/>
          </w:tcPr>
          <w:p w:rsidR="008C72EB" w:rsidRPr="00232743" w:rsidRDefault="008C72EB"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Lack of information</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0.447</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0.526</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0.361</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0.452</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0.360</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2.146</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3.855</w:t>
            </w:r>
          </w:p>
        </w:tc>
        <w:tc>
          <w:tcPr>
            <w:tcW w:w="75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0.437</w:t>
            </w:r>
          </w:p>
        </w:tc>
      </w:tr>
      <w:tr w:rsidR="008C72EB" w:rsidRPr="00232743" w:rsidTr="00A92B3F">
        <w:trPr>
          <w:jc w:val="center"/>
        </w:trPr>
        <w:tc>
          <w:tcPr>
            <w:tcW w:w="1833" w:type="dxa"/>
          </w:tcPr>
          <w:p w:rsidR="008C72EB" w:rsidRPr="00232743" w:rsidRDefault="00A92B3F"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Lack of communication between members of the supply chain</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0.392</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0.441</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0.426</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0.306</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0.520</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2.085</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4.208</w:t>
            </w:r>
          </w:p>
        </w:tc>
        <w:tc>
          <w:tcPr>
            <w:tcW w:w="759" w:type="dxa"/>
          </w:tcPr>
          <w:p w:rsidR="008C72EB" w:rsidRPr="00232743" w:rsidRDefault="008C72EB" w:rsidP="001D7F10">
            <w:pPr>
              <w:bidi w:val="0"/>
              <w:adjustRightInd w:val="0"/>
              <w:snapToGrid w:val="0"/>
              <w:jc w:val="both"/>
              <w:rPr>
                <w:rFonts w:ascii="Times New Roman" w:hAnsi="Times New Roman" w:cs="Times New Roman"/>
                <w:sz w:val="20"/>
                <w:szCs w:val="20"/>
                <w:rtl/>
              </w:rPr>
            </w:pPr>
            <w:r w:rsidRPr="00232743">
              <w:rPr>
                <w:rFonts w:ascii="Times New Roman" w:hAnsi="Times New Roman" w:cs="Times New Roman"/>
                <w:sz w:val="20"/>
                <w:szCs w:val="20"/>
              </w:rPr>
              <w:t>-0.</w:t>
            </w:r>
            <w:r w:rsidRPr="00232743">
              <w:rPr>
                <w:rFonts w:ascii="Times New Roman" w:hAnsi="Times New Roman" w:cs="Times New Roman"/>
                <w:sz w:val="20"/>
                <w:szCs w:val="20"/>
                <w:rtl/>
              </w:rPr>
              <w:t>038</w:t>
            </w:r>
          </w:p>
        </w:tc>
      </w:tr>
      <w:tr w:rsidR="008C72EB" w:rsidRPr="00232743" w:rsidTr="00A92B3F">
        <w:trPr>
          <w:jc w:val="center"/>
        </w:trPr>
        <w:tc>
          <w:tcPr>
            <w:tcW w:w="1833" w:type="dxa"/>
          </w:tcPr>
          <w:p w:rsidR="008C72EB" w:rsidRPr="00232743" w:rsidRDefault="008C72EB"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Attention to short-term profit</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0.517</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0.293</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0.385</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0.462</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0.472</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2.129</w:t>
            </w:r>
          </w:p>
        </w:tc>
        <w:tc>
          <w:tcPr>
            <w:tcW w:w="70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4.086</w:t>
            </w:r>
          </w:p>
        </w:tc>
        <w:tc>
          <w:tcPr>
            <w:tcW w:w="759"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0.172</w:t>
            </w:r>
          </w:p>
        </w:tc>
      </w:tr>
      <w:tr w:rsidR="008C72EB" w:rsidRPr="00232743" w:rsidTr="00A92B3F">
        <w:trPr>
          <w:jc w:val="center"/>
        </w:trPr>
        <w:tc>
          <w:tcPr>
            <w:tcW w:w="1833" w:type="dxa"/>
          </w:tcPr>
          <w:p w:rsidR="008C72EB" w:rsidRPr="00232743" w:rsidRDefault="008C72EB" w:rsidP="001D7F10">
            <w:pPr>
              <w:bidi w:val="0"/>
              <w:adjustRightInd w:val="0"/>
              <w:snapToGrid w:val="0"/>
              <w:rPr>
                <w:rFonts w:ascii="Times New Roman" w:hAnsi="Times New Roman" w:cs="Times New Roman"/>
                <w:sz w:val="20"/>
                <w:szCs w:val="20"/>
              </w:rPr>
            </w:pPr>
            <w:r w:rsidRPr="00232743">
              <w:rPr>
                <w:rFonts w:ascii="Times New Roman" w:hAnsi="Times New Roman" w:cs="Times New Roman"/>
                <w:sz w:val="20"/>
                <w:szCs w:val="20"/>
              </w:rPr>
              <w:t>R</w:t>
            </w:r>
          </w:p>
        </w:tc>
        <w:tc>
          <w:tcPr>
            <w:tcW w:w="100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2.124</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2.201</w:t>
            </w:r>
          </w:p>
        </w:tc>
        <w:tc>
          <w:tcPr>
            <w:tcW w:w="873"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1.709</w:t>
            </w:r>
          </w:p>
        </w:tc>
        <w:tc>
          <w:tcPr>
            <w:tcW w:w="1701"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2.123</w:t>
            </w:r>
          </w:p>
        </w:tc>
        <w:tc>
          <w:tcPr>
            <w:tcW w:w="992" w:type="dxa"/>
          </w:tcPr>
          <w:p w:rsidR="008C72EB" w:rsidRPr="00232743" w:rsidRDefault="008C72EB" w:rsidP="001D7F10">
            <w:pPr>
              <w:adjustRightInd w:val="0"/>
              <w:snapToGrid w:val="0"/>
              <w:jc w:val="right"/>
              <w:rPr>
                <w:rFonts w:ascii="Times New Roman" w:hAnsi="Times New Roman" w:cs="Times New Roman"/>
                <w:sz w:val="20"/>
                <w:szCs w:val="20"/>
                <w:rtl/>
              </w:rPr>
            </w:pPr>
            <w:r w:rsidRPr="00232743">
              <w:rPr>
                <w:rFonts w:ascii="Times New Roman" w:hAnsi="Times New Roman" w:cs="Times New Roman"/>
                <w:sz w:val="20"/>
                <w:szCs w:val="20"/>
                <w:rtl/>
              </w:rPr>
              <w:t>1.957</w:t>
            </w:r>
          </w:p>
        </w:tc>
        <w:tc>
          <w:tcPr>
            <w:tcW w:w="709" w:type="dxa"/>
          </w:tcPr>
          <w:p w:rsidR="008C72EB" w:rsidRPr="00232743" w:rsidRDefault="008C72EB" w:rsidP="001D7F10">
            <w:pPr>
              <w:bidi w:val="0"/>
              <w:adjustRightInd w:val="0"/>
              <w:snapToGrid w:val="0"/>
              <w:rPr>
                <w:rFonts w:ascii="Times New Roman" w:hAnsi="Times New Roman" w:cs="Times New Roman"/>
                <w:sz w:val="20"/>
                <w:szCs w:val="20"/>
              </w:rPr>
            </w:pPr>
          </w:p>
        </w:tc>
        <w:tc>
          <w:tcPr>
            <w:tcW w:w="709" w:type="dxa"/>
          </w:tcPr>
          <w:p w:rsidR="008C72EB" w:rsidRPr="00232743" w:rsidRDefault="008C72EB" w:rsidP="001D7F10">
            <w:pPr>
              <w:bidi w:val="0"/>
              <w:adjustRightInd w:val="0"/>
              <w:snapToGrid w:val="0"/>
              <w:rPr>
                <w:rFonts w:ascii="Times New Roman" w:hAnsi="Times New Roman" w:cs="Times New Roman"/>
                <w:sz w:val="20"/>
                <w:szCs w:val="20"/>
              </w:rPr>
            </w:pPr>
          </w:p>
        </w:tc>
        <w:tc>
          <w:tcPr>
            <w:tcW w:w="759" w:type="dxa"/>
          </w:tcPr>
          <w:p w:rsidR="008C72EB" w:rsidRPr="00232743" w:rsidRDefault="008C72EB" w:rsidP="001D7F10">
            <w:pPr>
              <w:bidi w:val="0"/>
              <w:adjustRightInd w:val="0"/>
              <w:snapToGrid w:val="0"/>
              <w:rPr>
                <w:rFonts w:ascii="Times New Roman" w:hAnsi="Times New Roman" w:cs="Times New Roman"/>
                <w:sz w:val="20"/>
                <w:szCs w:val="20"/>
              </w:rPr>
            </w:pPr>
          </w:p>
        </w:tc>
      </w:tr>
    </w:tbl>
    <w:p w:rsidR="00E96AD0" w:rsidRDefault="00E96AD0" w:rsidP="001D7F10">
      <w:pPr>
        <w:autoSpaceDE w:val="0"/>
        <w:autoSpaceDN w:val="0"/>
        <w:bidi w:val="0"/>
        <w:adjustRightInd w:val="0"/>
        <w:snapToGrid w:val="0"/>
        <w:jc w:val="center"/>
        <w:rPr>
          <w:rFonts w:cs="Times New Roman"/>
          <w:sz w:val="20"/>
          <w:szCs w:val="20"/>
          <w:lang w:eastAsia="zh-CN" w:bidi="fa-IR"/>
        </w:rPr>
      </w:pPr>
    </w:p>
    <w:p w:rsidR="00CD2A8D" w:rsidRPr="00232743" w:rsidRDefault="009408F6" w:rsidP="00E96AD0">
      <w:pPr>
        <w:autoSpaceDE w:val="0"/>
        <w:autoSpaceDN w:val="0"/>
        <w:bidi w:val="0"/>
        <w:adjustRightInd w:val="0"/>
        <w:snapToGrid w:val="0"/>
        <w:jc w:val="center"/>
        <w:rPr>
          <w:rFonts w:cs="Times New Roman"/>
          <w:sz w:val="20"/>
          <w:szCs w:val="20"/>
          <w:lang w:bidi="fa-IR"/>
        </w:rPr>
      </w:pPr>
      <w:r w:rsidRPr="00232743">
        <w:rPr>
          <w:rFonts w:cs="Times New Roman"/>
          <w:noProof/>
          <w:sz w:val="20"/>
          <w:szCs w:val="20"/>
          <w:lang w:eastAsia="zh-CN"/>
        </w:rPr>
        <w:drawing>
          <wp:inline distT="0" distB="0" distL="0" distR="0">
            <wp:extent cx="4127157" cy="1993557"/>
            <wp:effectExtent l="0" t="0" r="6985"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2118" w:rsidRPr="00232743" w:rsidRDefault="00282118" w:rsidP="001D7F10">
      <w:pPr>
        <w:shd w:val="clear" w:color="auto" w:fill="FFFFFF" w:themeFill="background1"/>
        <w:bidi w:val="0"/>
        <w:adjustRightInd w:val="0"/>
        <w:snapToGrid w:val="0"/>
        <w:jc w:val="both"/>
        <w:textAlignment w:val="top"/>
        <w:rPr>
          <w:rStyle w:val="hps"/>
          <w:rFonts w:cs="Times New Roman"/>
          <w:b/>
          <w:bCs/>
          <w:sz w:val="20"/>
          <w:szCs w:val="20"/>
        </w:rPr>
      </w:pPr>
    </w:p>
    <w:p w:rsidR="00A56201" w:rsidRPr="00232743" w:rsidRDefault="00A56201" w:rsidP="001D7F10">
      <w:pPr>
        <w:autoSpaceDE w:val="0"/>
        <w:autoSpaceDN w:val="0"/>
        <w:bidi w:val="0"/>
        <w:adjustRightInd w:val="0"/>
        <w:snapToGrid w:val="0"/>
        <w:jc w:val="both"/>
        <w:rPr>
          <w:rFonts w:eastAsia="AdvGulliv-R" w:cs="Times New Roman"/>
          <w:sz w:val="20"/>
          <w:szCs w:val="20"/>
          <w:lang w:bidi="fa-IR"/>
        </w:rPr>
      </w:pPr>
      <w:r w:rsidRPr="00232743">
        <w:rPr>
          <w:rFonts w:eastAsia="Calibri" w:cs="Times New Roman"/>
          <w:sz w:val="20"/>
          <w:szCs w:val="20"/>
          <w:lang w:bidi="fa-IR"/>
        </w:rPr>
        <w:t xml:space="preserve">Among criteria of </w:t>
      </w:r>
      <w:r w:rsidRPr="00232743">
        <w:rPr>
          <w:rFonts w:eastAsia="Calibri" w:cs="Times New Roman"/>
          <w:sz w:val="20"/>
          <w:szCs w:val="20"/>
        </w:rPr>
        <w:t>Rules and guidelines</w:t>
      </w:r>
      <w:r w:rsidRPr="00232743">
        <w:rPr>
          <w:rFonts w:eastAsia="Calibri" w:cs="Times New Roman"/>
          <w:sz w:val="20"/>
          <w:szCs w:val="20"/>
          <w:lang w:bidi="fa-IR"/>
        </w:rPr>
        <w:t xml:space="preserve"> ‚ </w:t>
      </w:r>
      <w:r w:rsidRPr="00232743">
        <w:rPr>
          <w:rFonts w:eastAsia="Calibri" w:cs="Times New Roman"/>
          <w:sz w:val="20"/>
          <w:szCs w:val="20"/>
        </w:rPr>
        <w:t>Lack of supply chain integration</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p>
    <w:p w:rsidR="00A56201" w:rsidRPr="00232743" w:rsidRDefault="00A56201" w:rsidP="001D7F10">
      <w:pPr>
        <w:autoSpaceDE w:val="0"/>
        <w:autoSpaceDN w:val="0"/>
        <w:bidi w:val="0"/>
        <w:adjustRightInd w:val="0"/>
        <w:snapToGrid w:val="0"/>
        <w:jc w:val="both"/>
        <w:rPr>
          <w:rStyle w:val="hps"/>
          <w:rFonts w:eastAsia="AdvGulliv-R" w:cs="Times New Roman"/>
          <w:sz w:val="20"/>
          <w:szCs w:val="20"/>
          <w:lang w:bidi="fa-IR"/>
        </w:rPr>
      </w:pPr>
    </w:p>
    <w:tbl>
      <w:tblPr>
        <w:tblStyle w:val="TableGrid2"/>
        <w:tblW w:w="5000" w:type="pct"/>
        <w:jc w:val="center"/>
        <w:tblLook w:val="04A0"/>
      </w:tblPr>
      <w:tblGrid>
        <w:gridCol w:w="1443"/>
        <w:gridCol w:w="1172"/>
        <w:gridCol w:w="1025"/>
        <w:gridCol w:w="902"/>
        <w:gridCol w:w="1297"/>
        <w:gridCol w:w="1318"/>
        <w:gridCol w:w="879"/>
        <w:gridCol w:w="757"/>
        <w:gridCol w:w="785"/>
      </w:tblGrid>
      <w:tr w:rsidR="00A902E3" w:rsidRPr="00E96AD0" w:rsidTr="00E96AD0">
        <w:trPr>
          <w:jc w:val="center"/>
        </w:trPr>
        <w:tc>
          <w:tcPr>
            <w:tcW w:w="4590" w:type="pct"/>
            <w:gridSpan w:val="8"/>
          </w:tcPr>
          <w:p w:rsidR="00A902E3" w:rsidRPr="00E96AD0" w:rsidRDefault="00A902E3" w:rsidP="001D7F10">
            <w:pPr>
              <w:bidi w:val="0"/>
              <w:adjustRightInd w:val="0"/>
              <w:snapToGrid w:val="0"/>
              <w:jc w:val="both"/>
              <w:rPr>
                <w:rFonts w:ascii="Times New Roman" w:hAnsi="Times New Roman" w:cs="Times New Roman"/>
                <w:sz w:val="16"/>
                <w:szCs w:val="16"/>
                <w:lang w:bidi="fa-IR"/>
              </w:rPr>
            </w:pPr>
            <w:r w:rsidRPr="00E96AD0">
              <w:rPr>
                <w:rFonts w:ascii="Times New Roman" w:hAnsi="Times New Roman" w:cs="Times New Roman"/>
                <w:sz w:val="16"/>
                <w:szCs w:val="16"/>
              </w:rPr>
              <w:t>Table 6.The matrix X (I-X)</w:t>
            </w:r>
            <w:r w:rsidRPr="00E96AD0">
              <w:rPr>
                <w:rFonts w:ascii="Times New Roman" w:hAnsi="Times New Roman" w:cs="Times New Roman"/>
                <w:sz w:val="16"/>
                <w:szCs w:val="16"/>
                <w:vertAlign w:val="superscript"/>
              </w:rPr>
              <w:t>-1</w:t>
            </w:r>
            <w:r w:rsidRPr="00E96AD0">
              <w:rPr>
                <w:rFonts w:ascii="Times New Roman" w:hAnsi="Times New Roman" w:cs="Times New Roman"/>
                <w:sz w:val="16"/>
                <w:szCs w:val="16"/>
              </w:rPr>
              <w:t xml:space="preserve"> for factor of Rules and guidelines.</w:t>
            </w:r>
          </w:p>
        </w:tc>
        <w:tc>
          <w:tcPr>
            <w:tcW w:w="410" w:type="pct"/>
          </w:tcPr>
          <w:p w:rsidR="00A902E3" w:rsidRPr="00E96AD0" w:rsidRDefault="00A902E3" w:rsidP="001D7F10">
            <w:pPr>
              <w:bidi w:val="0"/>
              <w:adjustRightInd w:val="0"/>
              <w:snapToGrid w:val="0"/>
              <w:jc w:val="both"/>
              <w:rPr>
                <w:rFonts w:ascii="Times New Roman" w:hAnsi="Times New Roman" w:cs="Times New Roman"/>
                <w:sz w:val="16"/>
                <w:szCs w:val="16"/>
                <w:lang w:bidi="fa-IR"/>
              </w:rPr>
            </w:pPr>
          </w:p>
        </w:tc>
      </w:tr>
      <w:tr w:rsidR="0036646F" w:rsidRPr="00E96AD0" w:rsidTr="00E96AD0">
        <w:trPr>
          <w:trHeight w:val="62"/>
          <w:jc w:val="center"/>
        </w:trPr>
        <w:tc>
          <w:tcPr>
            <w:tcW w:w="753" w:type="pct"/>
          </w:tcPr>
          <w:p w:rsidR="00A902E3" w:rsidRPr="00E96AD0" w:rsidRDefault="00A902E3" w:rsidP="001D7F10">
            <w:pPr>
              <w:bidi w:val="0"/>
              <w:adjustRightInd w:val="0"/>
              <w:snapToGrid w:val="0"/>
              <w:rPr>
                <w:rFonts w:ascii="Times New Roman" w:hAnsi="Times New Roman" w:cs="Times New Roman"/>
                <w:sz w:val="16"/>
                <w:szCs w:val="16"/>
              </w:rPr>
            </w:pPr>
          </w:p>
        </w:tc>
        <w:tc>
          <w:tcPr>
            <w:tcW w:w="612" w:type="pct"/>
          </w:tcPr>
          <w:p w:rsidR="00A902E3" w:rsidRPr="00E96AD0" w:rsidRDefault="00A902E3" w:rsidP="001D7F10">
            <w:pPr>
              <w:bidi w:val="0"/>
              <w:adjustRightInd w:val="0"/>
              <w:snapToGrid w:val="0"/>
              <w:jc w:val="both"/>
              <w:rPr>
                <w:rFonts w:ascii="Times New Roman" w:hAnsi="Times New Roman" w:cs="Times New Roman"/>
                <w:sz w:val="16"/>
                <w:szCs w:val="16"/>
              </w:rPr>
            </w:pPr>
            <w:r w:rsidRPr="00E96AD0">
              <w:rPr>
                <w:rFonts w:ascii="Times New Roman" w:eastAsia="Times New Roman+FPEF" w:hAnsi="Times New Roman" w:cs="Times New Roman"/>
                <w:sz w:val="16"/>
                <w:szCs w:val="16"/>
              </w:rPr>
              <w:t>Financial implications</w:t>
            </w:r>
          </w:p>
        </w:tc>
        <w:tc>
          <w:tcPr>
            <w:tcW w:w="535" w:type="pct"/>
          </w:tcPr>
          <w:p w:rsidR="00A902E3" w:rsidRPr="00E96AD0" w:rsidRDefault="00A902E3" w:rsidP="00E96AD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lack of</w:t>
            </w:r>
            <w:r w:rsidRPr="00E96AD0">
              <w:rPr>
                <w:rFonts w:ascii="Times New Roman" w:hAnsi="Times New Roman" w:cs="Times New Roman"/>
                <w:sz w:val="16"/>
                <w:szCs w:val="16"/>
                <w:rtl/>
              </w:rPr>
              <w:t xml:space="preserve"> </w:t>
            </w:r>
            <w:r w:rsidRPr="00E96AD0">
              <w:rPr>
                <w:rFonts w:ascii="Times New Roman" w:hAnsi="Times New Roman" w:cs="Times New Roman"/>
                <w:sz w:val="16"/>
                <w:szCs w:val="16"/>
              </w:rPr>
              <w:t>government support</w:t>
            </w:r>
          </w:p>
        </w:tc>
        <w:tc>
          <w:tcPr>
            <w:tcW w:w="471" w:type="pct"/>
          </w:tcPr>
          <w:p w:rsidR="00A902E3" w:rsidRPr="00E96AD0" w:rsidRDefault="00A902E3"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Slow Return of Capital</w:t>
            </w:r>
          </w:p>
        </w:tc>
        <w:tc>
          <w:tcPr>
            <w:tcW w:w="677" w:type="pct"/>
          </w:tcPr>
          <w:p w:rsidR="00A902E3" w:rsidRPr="00E96AD0" w:rsidRDefault="00A902E3" w:rsidP="001D7F10">
            <w:pPr>
              <w:autoSpaceDE w:val="0"/>
              <w:autoSpaceDN w:val="0"/>
              <w:bidi w:val="0"/>
              <w:adjustRightInd w:val="0"/>
              <w:snapToGrid w:val="0"/>
              <w:jc w:val="both"/>
              <w:rPr>
                <w:rFonts w:ascii="Times New Roman" w:eastAsia="Times New Roman+FPEF" w:hAnsi="Times New Roman" w:cs="Times New Roman"/>
                <w:sz w:val="16"/>
                <w:szCs w:val="16"/>
              </w:rPr>
            </w:pPr>
            <w:r w:rsidRPr="00E96AD0">
              <w:rPr>
                <w:rFonts w:ascii="Times New Roman" w:hAnsi="Times New Roman" w:cs="Times New Roman"/>
                <w:sz w:val="16"/>
                <w:szCs w:val="16"/>
              </w:rPr>
              <w:t>Lack of supply chain integration</w:t>
            </w:r>
          </w:p>
        </w:tc>
        <w:tc>
          <w:tcPr>
            <w:tcW w:w="688" w:type="pct"/>
          </w:tcPr>
          <w:p w:rsidR="00A902E3" w:rsidRPr="00E96AD0" w:rsidRDefault="00A902E3" w:rsidP="00E96AD0">
            <w:pPr>
              <w:autoSpaceDE w:val="0"/>
              <w:autoSpaceDN w:val="0"/>
              <w:bidi w:val="0"/>
              <w:adjustRightInd w:val="0"/>
              <w:snapToGrid w:val="0"/>
              <w:jc w:val="both"/>
              <w:rPr>
                <w:rFonts w:ascii="Times New Roman" w:hAnsi="Times New Roman" w:cs="Times New Roman"/>
                <w:sz w:val="16"/>
                <w:szCs w:val="16"/>
              </w:rPr>
            </w:pPr>
            <w:r w:rsidRPr="00E96AD0">
              <w:rPr>
                <w:rFonts w:ascii="Times New Roman" w:eastAsia="Times New Roman+FPEF" w:hAnsi="Times New Roman" w:cs="Times New Roman"/>
                <w:sz w:val="16"/>
                <w:szCs w:val="16"/>
              </w:rPr>
              <w:t>Lack of sustainable</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 xml:space="preserve">GSCM </w:t>
            </w:r>
            <w:r w:rsidRPr="00E96AD0">
              <w:rPr>
                <w:rFonts w:ascii="Times New Roman" w:hAnsi="Times New Roman" w:cs="Times New Roman"/>
                <w:sz w:val="16"/>
                <w:szCs w:val="16"/>
              </w:rPr>
              <w:t>Strategies</w:t>
            </w:r>
            <w:r w:rsidRPr="00E96AD0">
              <w:rPr>
                <w:rFonts w:ascii="Times New Roman" w:eastAsia="Times New Roman+FPEF" w:hAnsi="Times New Roman" w:cs="Times New Roman"/>
                <w:sz w:val="16"/>
                <w:szCs w:val="16"/>
              </w:rPr>
              <w:t xml:space="preserve"> in</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organizations vision and</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mission</w:t>
            </w:r>
          </w:p>
        </w:tc>
        <w:tc>
          <w:tcPr>
            <w:tcW w:w="459" w:type="pct"/>
          </w:tcPr>
          <w:p w:rsidR="00A902E3" w:rsidRPr="00E96AD0" w:rsidRDefault="00A902E3"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D</w:t>
            </w:r>
          </w:p>
        </w:tc>
        <w:tc>
          <w:tcPr>
            <w:tcW w:w="394" w:type="pct"/>
          </w:tcPr>
          <w:p w:rsidR="00A902E3" w:rsidRPr="00E96AD0" w:rsidRDefault="00A902E3"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D+R</w:t>
            </w:r>
          </w:p>
        </w:tc>
        <w:tc>
          <w:tcPr>
            <w:tcW w:w="410" w:type="pct"/>
          </w:tcPr>
          <w:p w:rsidR="00A902E3" w:rsidRPr="00E96AD0" w:rsidRDefault="00A902E3"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D-R</w:t>
            </w:r>
          </w:p>
        </w:tc>
      </w:tr>
      <w:tr w:rsidR="0036646F" w:rsidRPr="00E96AD0" w:rsidTr="00E96AD0">
        <w:trPr>
          <w:jc w:val="center"/>
        </w:trPr>
        <w:tc>
          <w:tcPr>
            <w:tcW w:w="753" w:type="pct"/>
          </w:tcPr>
          <w:p w:rsidR="0036646F" w:rsidRPr="00E96AD0" w:rsidRDefault="0036646F" w:rsidP="001D7F10">
            <w:pPr>
              <w:bidi w:val="0"/>
              <w:adjustRightInd w:val="0"/>
              <w:snapToGrid w:val="0"/>
              <w:jc w:val="both"/>
              <w:rPr>
                <w:rFonts w:ascii="Times New Roman" w:hAnsi="Times New Roman" w:cs="Times New Roman"/>
                <w:sz w:val="16"/>
                <w:szCs w:val="16"/>
              </w:rPr>
            </w:pPr>
            <w:r w:rsidRPr="00E96AD0">
              <w:rPr>
                <w:rFonts w:ascii="Times New Roman" w:eastAsia="Times New Roman+FPEF" w:hAnsi="Times New Roman" w:cs="Times New Roman"/>
                <w:sz w:val="16"/>
                <w:szCs w:val="16"/>
              </w:rPr>
              <w:t>Financial implications</w:t>
            </w:r>
          </w:p>
        </w:tc>
        <w:tc>
          <w:tcPr>
            <w:tcW w:w="612" w:type="pct"/>
          </w:tcPr>
          <w:p w:rsidR="0036646F" w:rsidRPr="00E96AD0" w:rsidRDefault="0036646F" w:rsidP="001D7F10">
            <w:pPr>
              <w:adjustRightInd w:val="0"/>
              <w:snapToGrid w:val="0"/>
              <w:jc w:val="center"/>
              <w:rPr>
                <w:rFonts w:ascii="Times New Roman" w:hAnsi="Times New Roman" w:cs="Times New Roman"/>
                <w:sz w:val="16"/>
                <w:szCs w:val="16"/>
                <w:rtl/>
                <w:lang w:bidi="fa-IR"/>
              </w:rPr>
            </w:pPr>
            <w:r w:rsidRPr="00E96AD0">
              <w:rPr>
                <w:rFonts w:ascii="Times New Roman" w:hAnsi="Times New Roman" w:cs="Times New Roman"/>
                <w:sz w:val="16"/>
                <w:szCs w:val="16"/>
                <w:rtl/>
              </w:rPr>
              <w:t>0.256</w:t>
            </w:r>
          </w:p>
        </w:tc>
        <w:tc>
          <w:tcPr>
            <w:tcW w:w="535"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0.514</w:t>
            </w:r>
          </w:p>
        </w:tc>
        <w:tc>
          <w:tcPr>
            <w:tcW w:w="471"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0.482</w:t>
            </w:r>
          </w:p>
        </w:tc>
        <w:tc>
          <w:tcPr>
            <w:tcW w:w="677"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0.360</w:t>
            </w:r>
          </w:p>
        </w:tc>
        <w:tc>
          <w:tcPr>
            <w:tcW w:w="688"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0.287</w:t>
            </w:r>
          </w:p>
        </w:tc>
        <w:tc>
          <w:tcPr>
            <w:tcW w:w="459"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1.899</w:t>
            </w:r>
          </w:p>
        </w:tc>
        <w:tc>
          <w:tcPr>
            <w:tcW w:w="394"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3.782</w:t>
            </w:r>
          </w:p>
        </w:tc>
        <w:tc>
          <w:tcPr>
            <w:tcW w:w="410" w:type="pct"/>
          </w:tcPr>
          <w:p w:rsidR="0036646F" w:rsidRPr="00E96AD0" w:rsidRDefault="0036646F" w:rsidP="001D7F10">
            <w:pPr>
              <w:bidi w:val="0"/>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0.016</w:t>
            </w:r>
          </w:p>
        </w:tc>
      </w:tr>
      <w:tr w:rsidR="0036646F" w:rsidRPr="00E96AD0" w:rsidTr="00E96AD0">
        <w:trPr>
          <w:jc w:val="center"/>
        </w:trPr>
        <w:tc>
          <w:tcPr>
            <w:tcW w:w="753" w:type="pct"/>
          </w:tcPr>
          <w:p w:rsidR="0036646F" w:rsidRPr="00E96AD0" w:rsidRDefault="0036646F" w:rsidP="00E96AD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lack of</w:t>
            </w:r>
            <w:r w:rsidRPr="00E96AD0">
              <w:rPr>
                <w:rFonts w:ascii="Times New Roman" w:hAnsi="Times New Roman" w:cs="Times New Roman"/>
                <w:sz w:val="16"/>
                <w:szCs w:val="16"/>
                <w:rtl/>
              </w:rPr>
              <w:t xml:space="preserve"> </w:t>
            </w:r>
            <w:r w:rsidRPr="00E96AD0">
              <w:rPr>
                <w:rFonts w:ascii="Times New Roman" w:hAnsi="Times New Roman" w:cs="Times New Roman"/>
                <w:sz w:val="16"/>
                <w:szCs w:val="16"/>
              </w:rPr>
              <w:t>government support</w:t>
            </w:r>
          </w:p>
        </w:tc>
        <w:tc>
          <w:tcPr>
            <w:tcW w:w="612"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0.524</w:t>
            </w:r>
          </w:p>
        </w:tc>
        <w:tc>
          <w:tcPr>
            <w:tcW w:w="535"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0.413</w:t>
            </w:r>
          </w:p>
        </w:tc>
        <w:tc>
          <w:tcPr>
            <w:tcW w:w="471"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0.288</w:t>
            </w:r>
          </w:p>
        </w:tc>
        <w:tc>
          <w:tcPr>
            <w:tcW w:w="677"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0.355</w:t>
            </w:r>
          </w:p>
        </w:tc>
        <w:tc>
          <w:tcPr>
            <w:tcW w:w="688"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0.514</w:t>
            </w:r>
          </w:p>
        </w:tc>
        <w:tc>
          <w:tcPr>
            <w:tcW w:w="459" w:type="pct"/>
            <w:vAlign w:val="bottom"/>
          </w:tcPr>
          <w:p w:rsidR="0036646F" w:rsidRPr="00E96AD0" w:rsidRDefault="0036646F" w:rsidP="001D7F10">
            <w:pPr>
              <w:bidi w:val="0"/>
              <w:adjustRightInd w:val="0"/>
              <w:snapToGrid w:val="0"/>
              <w:rPr>
                <w:rFonts w:ascii="Times New Roman" w:hAnsi="Times New Roman" w:cs="Times New Roman"/>
                <w:sz w:val="16"/>
                <w:szCs w:val="16"/>
              </w:rPr>
            </w:pPr>
            <w:r w:rsidRPr="00E96AD0">
              <w:rPr>
                <w:rFonts w:ascii="Times New Roman" w:hAnsi="Times New Roman" w:cs="Times New Roman"/>
                <w:sz w:val="16"/>
                <w:szCs w:val="16"/>
              </w:rPr>
              <w:t>2.094</w:t>
            </w:r>
          </w:p>
        </w:tc>
        <w:tc>
          <w:tcPr>
            <w:tcW w:w="394"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4.165</w:t>
            </w:r>
          </w:p>
        </w:tc>
        <w:tc>
          <w:tcPr>
            <w:tcW w:w="410" w:type="pct"/>
          </w:tcPr>
          <w:p w:rsidR="0036646F" w:rsidRPr="00E96AD0" w:rsidRDefault="0036646F" w:rsidP="001D7F10">
            <w:pPr>
              <w:bidi w:val="0"/>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0.023</w:t>
            </w:r>
          </w:p>
        </w:tc>
      </w:tr>
      <w:tr w:rsidR="0036646F" w:rsidRPr="00E96AD0" w:rsidTr="00E96AD0">
        <w:trPr>
          <w:jc w:val="center"/>
        </w:trPr>
        <w:tc>
          <w:tcPr>
            <w:tcW w:w="753" w:type="pct"/>
          </w:tcPr>
          <w:p w:rsidR="0036646F" w:rsidRPr="00E96AD0" w:rsidRDefault="0036646F"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Slow Return of Capital</w:t>
            </w:r>
          </w:p>
        </w:tc>
        <w:tc>
          <w:tcPr>
            <w:tcW w:w="612"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0.462</w:t>
            </w:r>
          </w:p>
        </w:tc>
        <w:tc>
          <w:tcPr>
            <w:tcW w:w="535"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0.384</w:t>
            </w:r>
          </w:p>
        </w:tc>
        <w:tc>
          <w:tcPr>
            <w:tcW w:w="471"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0.185</w:t>
            </w:r>
          </w:p>
        </w:tc>
        <w:tc>
          <w:tcPr>
            <w:tcW w:w="677"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0.309</w:t>
            </w:r>
          </w:p>
        </w:tc>
        <w:tc>
          <w:tcPr>
            <w:tcW w:w="688"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0.410</w:t>
            </w:r>
          </w:p>
        </w:tc>
        <w:tc>
          <w:tcPr>
            <w:tcW w:w="459"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1.75</w:t>
            </w:r>
          </w:p>
        </w:tc>
        <w:tc>
          <w:tcPr>
            <w:tcW w:w="394"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3.457</w:t>
            </w:r>
          </w:p>
        </w:tc>
        <w:tc>
          <w:tcPr>
            <w:tcW w:w="410" w:type="pct"/>
          </w:tcPr>
          <w:p w:rsidR="0036646F" w:rsidRPr="00E96AD0" w:rsidRDefault="0036646F" w:rsidP="001D7F10">
            <w:pPr>
              <w:bidi w:val="0"/>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0.043</w:t>
            </w:r>
          </w:p>
        </w:tc>
      </w:tr>
      <w:tr w:rsidR="0036646F" w:rsidRPr="00E96AD0" w:rsidTr="00E96AD0">
        <w:trPr>
          <w:jc w:val="center"/>
        </w:trPr>
        <w:tc>
          <w:tcPr>
            <w:tcW w:w="753" w:type="pct"/>
          </w:tcPr>
          <w:p w:rsidR="0036646F" w:rsidRPr="00E96AD0" w:rsidRDefault="0036646F" w:rsidP="001D7F10">
            <w:pPr>
              <w:bidi w:val="0"/>
              <w:adjustRightInd w:val="0"/>
              <w:snapToGrid w:val="0"/>
              <w:jc w:val="both"/>
              <w:rPr>
                <w:rFonts w:ascii="Times New Roman" w:hAnsi="Times New Roman" w:cs="Times New Roman"/>
                <w:sz w:val="16"/>
                <w:szCs w:val="16"/>
              </w:rPr>
            </w:pPr>
            <w:r w:rsidRPr="00E96AD0">
              <w:rPr>
                <w:rFonts w:ascii="Times New Roman" w:hAnsi="Times New Roman" w:cs="Times New Roman"/>
                <w:sz w:val="16"/>
                <w:szCs w:val="16"/>
              </w:rPr>
              <w:t>Lack of supply chain integration</w:t>
            </w:r>
          </w:p>
        </w:tc>
        <w:tc>
          <w:tcPr>
            <w:tcW w:w="612"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0.373</w:t>
            </w:r>
          </w:p>
        </w:tc>
        <w:tc>
          <w:tcPr>
            <w:tcW w:w="535"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0.446</w:t>
            </w:r>
          </w:p>
        </w:tc>
        <w:tc>
          <w:tcPr>
            <w:tcW w:w="471"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0.390</w:t>
            </w:r>
          </w:p>
        </w:tc>
        <w:tc>
          <w:tcPr>
            <w:tcW w:w="677"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0.350</w:t>
            </w:r>
          </w:p>
        </w:tc>
        <w:tc>
          <w:tcPr>
            <w:tcW w:w="688"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0.419</w:t>
            </w:r>
          </w:p>
        </w:tc>
        <w:tc>
          <w:tcPr>
            <w:tcW w:w="459" w:type="pct"/>
            <w:vAlign w:val="bottom"/>
          </w:tcPr>
          <w:p w:rsidR="0036646F" w:rsidRPr="00E96AD0" w:rsidRDefault="0036646F" w:rsidP="001D7F10">
            <w:pPr>
              <w:bidi w:val="0"/>
              <w:adjustRightInd w:val="0"/>
              <w:snapToGrid w:val="0"/>
              <w:rPr>
                <w:rFonts w:ascii="Times New Roman" w:hAnsi="Times New Roman" w:cs="Times New Roman"/>
                <w:sz w:val="16"/>
                <w:szCs w:val="16"/>
              </w:rPr>
            </w:pPr>
            <w:r w:rsidRPr="00E96AD0">
              <w:rPr>
                <w:rFonts w:ascii="Times New Roman" w:hAnsi="Times New Roman" w:cs="Times New Roman"/>
                <w:sz w:val="16"/>
                <w:szCs w:val="16"/>
              </w:rPr>
              <w:t>1.978</w:t>
            </w:r>
          </w:p>
        </w:tc>
        <w:tc>
          <w:tcPr>
            <w:tcW w:w="394"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3.768</w:t>
            </w:r>
          </w:p>
        </w:tc>
        <w:tc>
          <w:tcPr>
            <w:tcW w:w="410" w:type="pct"/>
          </w:tcPr>
          <w:p w:rsidR="0036646F" w:rsidRPr="00E96AD0" w:rsidRDefault="0036646F" w:rsidP="001D7F10">
            <w:pPr>
              <w:bidi w:val="0"/>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0.188</w:t>
            </w:r>
          </w:p>
        </w:tc>
      </w:tr>
      <w:tr w:rsidR="0036646F" w:rsidRPr="00E96AD0" w:rsidTr="00E96AD0">
        <w:trPr>
          <w:jc w:val="center"/>
        </w:trPr>
        <w:tc>
          <w:tcPr>
            <w:tcW w:w="753" w:type="pct"/>
          </w:tcPr>
          <w:p w:rsidR="0036646F" w:rsidRPr="00E96AD0" w:rsidRDefault="0036646F" w:rsidP="00E96AD0">
            <w:pPr>
              <w:autoSpaceDE w:val="0"/>
              <w:autoSpaceDN w:val="0"/>
              <w:bidi w:val="0"/>
              <w:adjustRightInd w:val="0"/>
              <w:snapToGrid w:val="0"/>
              <w:jc w:val="both"/>
              <w:rPr>
                <w:rFonts w:ascii="Times New Roman" w:hAnsi="Times New Roman" w:cs="Times New Roman"/>
                <w:sz w:val="16"/>
                <w:szCs w:val="16"/>
              </w:rPr>
            </w:pPr>
            <w:r w:rsidRPr="00E96AD0">
              <w:rPr>
                <w:rFonts w:ascii="Times New Roman" w:eastAsia="Times New Roman+FPEF" w:hAnsi="Times New Roman" w:cs="Times New Roman"/>
                <w:sz w:val="16"/>
                <w:szCs w:val="16"/>
              </w:rPr>
              <w:t>Lack of sustainable</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 xml:space="preserve">GSCM </w:t>
            </w:r>
            <w:r w:rsidRPr="00E96AD0">
              <w:rPr>
                <w:rFonts w:ascii="Times New Roman" w:hAnsi="Times New Roman" w:cs="Times New Roman"/>
                <w:sz w:val="16"/>
                <w:szCs w:val="16"/>
              </w:rPr>
              <w:t>Strategies</w:t>
            </w:r>
            <w:r w:rsidRPr="00E96AD0">
              <w:rPr>
                <w:rFonts w:ascii="Times New Roman" w:eastAsia="Times New Roman+FPEF" w:hAnsi="Times New Roman" w:cs="Times New Roman"/>
                <w:sz w:val="16"/>
                <w:szCs w:val="16"/>
              </w:rPr>
              <w:t xml:space="preserve"> in</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organizations vision and</w:t>
            </w:r>
            <w:r w:rsidR="00E96AD0" w:rsidRPr="00E96AD0">
              <w:rPr>
                <w:rFonts w:ascii="Times New Roman" w:eastAsiaTheme="minorEastAsia" w:hAnsi="Times New Roman" w:cs="Times New Roman" w:hint="eastAsia"/>
                <w:sz w:val="16"/>
                <w:szCs w:val="16"/>
                <w:lang w:eastAsia="zh-CN"/>
              </w:rPr>
              <w:t xml:space="preserve"> </w:t>
            </w:r>
            <w:r w:rsidRPr="00E96AD0">
              <w:rPr>
                <w:rFonts w:ascii="Times New Roman" w:eastAsia="Times New Roman+FPEF" w:hAnsi="Times New Roman" w:cs="Times New Roman"/>
                <w:sz w:val="16"/>
                <w:szCs w:val="16"/>
              </w:rPr>
              <w:t>mission</w:t>
            </w:r>
          </w:p>
        </w:tc>
        <w:tc>
          <w:tcPr>
            <w:tcW w:w="612"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0.268</w:t>
            </w:r>
          </w:p>
        </w:tc>
        <w:tc>
          <w:tcPr>
            <w:tcW w:w="535"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0.314</w:t>
            </w:r>
          </w:p>
        </w:tc>
        <w:tc>
          <w:tcPr>
            <w:tcW w:w="471"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0.362</w:t>
            </w:r>
          </w:p>
        </w:tc>
        <w:tc>
          <w:tcPr>
            <w:tcW w:w="677"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0.416</w:t>
            </w:r>
          </w:p>
        </w:tc>
        <w:tc>
          <w:tcPr>
            <w:tcW w:w="688"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0.412</w:t>
            </w:r>
          </w:p>
        </w:tc>
        <w:tc>
          <w:tcPr>
            <w:tcW w:w="459"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1.772</w:t>
            </w:r>
          </w:p>
        </w:tc>
        <w:tc>
          <w:tcPr>
            <w:tcW w:w="394" w:type="pct"/>
          </w:tcPr>
          <w:p w:rsidR="0036646F" w:rsidRPr="00E96AD0" w:rsidRDefault="0036646F" w:rsidP="001D7F10">
            <w:pPr>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tl/>
              </w:rPr>
              <w:t>3.814</w:t>
            </w:r>
          </w:p>
        </w:tc>
        <w:tc>
          <w:tcPr>
            <w:tcW w:w="410" w:type="pct"/>
          </w:tcPr>
          <w:p w:rsidR="0036646F" w:rsidRPr="00E96AD0" w:rsidRDefault="0036646F" w:rsidP="001D7F10">
            <w:pPr>
              <w:bidi w:val="0"/>
              <w:adjustRightInd w:val="0"/>
              <w:snapToGrid w:val="0"/>
              <w:jc w:val="center"/>
              <w:rPr>
                <w:rFonts w:ascii="Times New Roman" w:hAnsi="Times New Roman" w:cs="Times New Roman"/>
                <w:sz w:val="16"/>
                <w:szCs w:val="16"/>
                <w:rtl/>
              </w:rPr>
            </w:pPr>
            <w:r w:rsidRPr="00E96AD0">
              <w:rPr>
                <w:rFonts w:ascii="Times New Roman" w:hAnsi="Times New Roman" w:cs="Times New Roman"/>
                <w:sz w:val="16"/>
                <w:szCs w:val="16"/>
              </w:rPr>
              <w:t>-0.</w:t>
            </w:r>
            <w:r w:rsidRPr="00E96AD0">
              <w:rPr>
                <w:rFonts w:ascii="Times New Roman" w:hAnsi="Times New Roman" w:cs="Times New Roman"/>
                <w:sz w:val="16"/>
                <w:szCs w:val="16"/>
                <w:rtl/>
              </w:rPr>
              <w:t>27</w:t>
            </w:r>
          </w:p>
        </w:tc>
      </w:tr>
      <w:tr w:rsidR="0036646F" w:rsidRPr="00E96AD0" w:rsidTr="00E96AD0">
        <w:trPr>
          <w:jc w:val="center"/>
        </w:trPr>
        <w:tc>
          <w:tcPr>
            <w:tcW w:w="753" w:type="pct"/>
          </w:tcPr>
          <w:p w:rsidR="0036646F" w:rsidRPr="00E96AD0" w:rsidRDefault="0036646F" w:rsidP="001D7F10">
            <w:pPr>
              <w:bidi w:val="0"/>
              <w:adjustRightInd w:val="0"/>
              <w:snapToGrid w:val="0"/>
              <w:rPr>
                <w:rFonts w:ascii="Times New Roman" w:hAnsi="Times New Roman" w:cs="Times New Roman"/>
                <w:sz w:val="16"/>
                <w:szCs w:val="16"/>
              </w:rPr>
            </w:pPr>
            <w:r w:rsidRPr="00E96AD0">
              <w:rPr>
                <w:rFonts w:ascii="Times New Roman" w:hAnsi="Times New Roman" w:cs="Times New Roman"/>
                <w:sz w:val="16"/>
                <w:szCs w:val="16"/>
              </w:rPr>
              <w:t>R</w:t>
            </w:r>
          </w:p>
        </w:tc>
        <w:tc>
          <w:tcPr>
            <w:tcW w:w="612"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1.883</w:t>
            </w:r>
          </w:p>
        </w:tc>
        <w:tc>
          <w:tcPr>
            <w:tcW w:w="535"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2.071</w:t>
            </w:r>
          </w:p>
        </w:tc>
        <w:tc>
          <w:tcPr>
            <w:tcW w:w="471"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1.707</w:t>
            </w:r>
          </w:p>
        </w:tc>
        <w:tc>
          <w:tcPr>
            <w:tcW w:w="677"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1.79</w:t>
            </w:r>
          </w:p>
        </w:tc>
        <w:tc>
          <w:tcPr>
            <w:tcW w:w="688" w:type="pct"/>
            <w:vAlign w:val="bottom"/>
          </w:tcPr>
          <w:p w:rsidR="0036646F" w:rsidRPr="00E96AD0" w:rsidRDefault="0036646F" w:rsidP="001D7F10">
            <w:pPr>
              <w:bidi w:val="0"/>
              <w:adjustRightInd w:val="0"/>
              <w:snapToGrid w:val="0"/>
              <w:jc w:val="center"/>
              <w:rPr>
                <w:rFonts w:ascii="Times New Roman" w:hAnsi="Times New Roman" w:cs="Times New Roman"/>
                <w:sz w:val="16"/>
                <w:szCs w:val="16"/>
              </w:rPr>
            </w:pPr>
            <w:r w:rsidRPr="00E96AD0">
              <w:rPr>
                <w:rFonts w:ascii="Times New Roman" w:hAnsi="Times New Roman" w:cs="Times New Roman"/>
                <w:sz w:val="16"/>
                <w:szCs w:val="16"/>
              </w:rPr>
              <w:t>2.042</w:t>
            </w:r>
          </w:p>
        </w:tc>
        <w:tc>
          <w:tcPr>
            <w:tcW w:w="459" w:type="pct"/>
          </w:tcPr>
          <w:p w:rsidR="0036646F" w:rsidRPr="00E96AD0" w:rsidRDefault="0036646F" w:rsidP="001D7F10">
            <w:pPr>
              <w:bidi w:val="0"/>
              <w:adjustRightInd w:val="0"/>
              <w:snapToGrid w:val="0"/>
              <w:rPr>
                <w:rFonts w:ascii="Times New Roman" w:hAnsi="Times New Roman" w:cs="Times New Roman"/>
                <w:sz w:val="16"/>
                <w:szCs w:val="16"/>
              </w:rPr>
            </w:pPr>
          </w:p>
        </w:tc>
        <w:tc>
          <w:tcPr>
            <w:tcW w:w="394" w:type="pct"/>
          </w:tcPr>
          <w:p w:rsidR="0036646F" w:rsidRPr="00E96AD0" w:rsidRDefault="0036646F" w:rsidP="001D7F10">
            <w:pPr>
              <w:bidi w:val="0"/>
              <w:adjustRightInd w:val="0"/>
              <w:snapToGrid w:val="0"/>
              <w:rPr>
                <w:rFonts w:ascii="Times New Roman" w:hAnsi="Times New Roman" w:cs="Times New Roman"/>
                <w:sz w:val="16"/>
                <w:szCs w:val="16"/>
              </w:rPr>
            </w:pPr>
          </w:p>
        </w:tc>
        <w:tc>
          <w:tcPr>
            <w:tcW w:w="410" w:type="pct"/>
          </w:tcPr>
          <w:p w:rsidR="0036646F" w:rsidRPr="00E96AD0" w:rsidRDefault="0036646F" w:rsidP="001D7F10">
            <w:pPr>
              <w:bidi w:val="0"/>
              <w:adjustRightInd w:val="0"/>
              <w:snapToGrid w:val="0"/>
              <w:rPr>
                <w:rFonts w:ascii="Times New Roman" w:hAnsi="Times New Roman" w:cs="Times New Roman"/>
                <w:sz w:val="16"/>
                <w:szCs w:val="16"/>
              </w:rPr>
            </w:pPr>
          </w:p>
        </w:tc>
      </w:tr>
    </w:tbl>
    <w:p w:rsidR="00282118" w:rsidRPr="00232743" w:rsidRDefault="00282118" w:rsidP="001D7F10">
      <w:pPr>
        <w:shd w:val="clear" w:color="auto" w:fill="FFFFFF" w:themeFill="background1"/>
        <w:bidi w:val="0"/>
        <w:adjustRightInd w:val="0"/>
        <w:snapToGrid w:val="0"/>
        <w:jc w:val="both"/>
        <w:textAlignment w:val="top"/>
        <w:rPr>
          <w:rStyle w:val="hps"/>
          <w:rFonts w:cs="Times New Roman"/>
          <w:b/>
          <w:bCs/>
          <w:sz w:val="20"/>
          <w:szCs w:val="20"/>
        </w:rPr>
      </w:pPr>
    </w:p>
    <w:p w:rsidR="00A902E3" w:rsidRPr="00232743" w:rsidRDefault="00A902E3" w:rsidP="001D7F10">
      <w:pPr>
        <w:shd w:val="clear" w:color="auto" w:fill="FFFFFF" w:themeFill="background1"/>
        <w:bidi w:val="0"/>
        <w:adjustRightInd w:val="0"/>
        <w:snapToGrid w:val="0"/>
        <w:jc w:val="both"/>
        <w:textAlignment w:val="top"/>
        <w:rPr>
          <w:rStyle w:val="hps"/>
          <w:rFonts w:cs="Times New Roman"/>
          <w:b/>
          <w:bCs/>
          <w:sz w:val="20"/>
          <w:szCs w:val="20"/>
        </w:rPr>
      </w:pPr>
    </w:p>
    <w:p w:rsidR="00A902E3" w:rsidRPr="00232743" w:rsidRDefault="00E00783" w:rsidP="001D7F10">
      <w:pPr>
        <w:shd w:val="clear" w:color="auto" w:fill="FFFFFF" w:themeFill="background1"/>
        <w:bidi w:val="0"/>
        <w:adjustRightInd w:val="0"/>
        <w:snapToGrid w:val="0"/>
        <w:jc w:val="center"/>
        <w:textAlignment w:val="top"/>
        <w:rPr>
          <w:rStyle w:val="hps"/>
          <w:rFonts w:cs="Times New Roman"/>
          <w:b/>
          <w:bCs/>
          <w:sz w:val="20"/>
          <w:szCs w:val="20"/>
        </w:rPr>
      </w:pPr>
      <w:r w:rsidRPr="00232743">
        <w:rPr>
          <w:rFonts w:cs="Times New Roman"/>
          <w:noProof/>
          <w:sz w:val="20"/>
          <w:szCs w:val="20"/>
          <w:lang w:eastAsia="zh-CN"/>
        </w:rPr>
        <w:drawing>
          <wp:inline distT="0" distB="0" distL="0" distR="0">
            <wp:extent cx="3962400" cy="229011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0783" w:rsidRDefault="00E00783" w:rsidP="001D7F10">
      <w:pPr>
        <w:shd w:val="clear" w:color="auto" w:fill="FFFFFF" w:themeFill="background1"/>
        <w:bidi w:val="0"/>
        <w:adjustRightInd w:val="0"/>
        <w:snapToGrid w:val="0"/>
        <w:jc w:val="both"/>
        <w:textAlignment w:val="top"/>
        <w:rPr>
          <w:rStyle w:val="hps"/>
          <w:rFonts w:cs="Times New Roman"/>
          <w:b/>
          <w:bCs/>
          <w:sz w:val="20"/>
          <w:szCs w:val="20"/>
          <w:lang w:eastAsia="zh-CN"/>
        </w:rPr>
      </w:pPr>
    </w:p>
    <w:p w:rsidR="00E96AD0" w:rsidRDefault="00E96AD0" w:rsidP="001D7F10">
      <w:pPr>
        <w:shd w:val="clear" w:color="auto" w:fill="FFFFFF" w:themeFill="background1"/>
        <w:bidi w:val="0"/>
        <w:adjustRightInd w:val="0"/>
        <w:snapToGrid w:val="0"/>
        <w:jc w:val="both"/>
        <w:textAlignment w:val="top"/>
        <w:rPr>
          <w:rStyle w:val="hps"/>
          <w:rFonts w:cs="Times New Roman"/>
          <w:b/>
          <w:bCs/>
          <w:sz w:val="20"/>
          <w:szCs w:val="20"/>
        </w:rPr>
        <w:sectPr w:rsidR="00E96AD0" w:rsidSect="001D7F10">
          <w:type w:val="continuous"/>
          <w:pgSz w:w="12242" w:h="15842" w:code="1"/>
          <w:pgMar w:top="1440" w:right="1440" w:bottom="1440" w:left="1440" w:header="720" w:footer="720" w:gutter="0"/>
          <w:cols w:space="708"/>
          <w:bidi/>
          <w:docGrid w:linePitch="408"/>
        </w:sectPr>
      </w:pPr>
    </w:p>
    <w:p w:rsidR="00A56201" w:rsidRPr="00232743" w:rsidRDefault="00A05210" w:rsidP="001D7F10">
      <w:pPr>
        <w:shd w:val="clear" w:color="auto" w:fill="FFFFFF" w:themeFill="background1"/>
        <w:bidi w:val="0"/>
        <w:adjustRightInd w:val="0"/>
        <w:snapToGrid w:val="0"/>
        <w:jc w:val="both"/>
        <w:textAlignment w:val="top"/>
        <w:rPr>
          <w:rStyle w:val="hps"/>
          <w:rFonts w:cs="Times New Roman"/>
          <w:b/>
          <w:bCs/>
          <w:sz w:val="20"/>
          <w:szCs w:val="20"/>
        </w:rPr>
      </w:pPr>
      <w:r w:rsidRPr="00232743">
        <w:rPr>
          <w:rStyle w:val="hps"/>
          <w:rFonts w:cs="Times New Roman"/>
          <w:b/>
          <w:bCs/>
          <w:sz w:val="20"/>
          <w:szCs w:val="20"/>
        </w:rPr>
        <w:lastRenderedPageBreak/>
        <w:t>7</w:t>
      </w:r>
      <w:r w:rsidR="00D63D27" w:rsidRPr="00232743">
        <w:rPr>
          <w:rStyle w:val="hps"/>
          <w:rFonts w:cs="Times New Roman"/>
          <w:b/>
          <w:bCs/>
          <w:sz w:val="20"/>
          <w:szCs w:val="20"/>
        </w:rPr>
        <w:t>. Conclusion</w:t>
      </w:r>
    </w:p>
    <w:p w:rsidR="003F2E86" w:rsidRPr="00232743" w:rsidRDefault="003F2E86" w:rsidP="001D7F10">
      <w:pPr>
        <w:autoSpaceDE w:val="0"/>
        <w:autoSpaceDN w:val="0"/>
        <w:bidi w:val="0"/>
        <w:adjustRightInd w:val="0"/>
        <w:snapToGrid w:val="0"/>
        <w:ind w:firstLine="720"/>
        <w:jc w:val="both"/>
        <w:rPr>
          <w:rFonts w:eastAsia="AdvGulliv-R" w:cs="Times New Roman"/>
          <w:sz w:val="20"/>
          <w:szCs w:val="20"/>
          <w:lang w:bidi="fa-IR"/>
        </w:rPr>
      </w:pPr>
      <w:bookmarkStart w:id="1" w:name="_GoBack"/>
      <w:bookmarkEnd w:id="1"/>
      <w:r w:rsidRPr="00232743">
        <w:rPr>
          <w:rFonts w:eastAsia="AdvGulliv-R" w:cs="Times New Roman"/>
          <w:sz w:val="20"/>
          <w:szCs w:val="20"/>
          <w:lang w:bidi="fa-IR"/>
        </w:rPr>
        <w:t xml:space="preserve">This research uses the </w:t>
      </w:r>
      <w:r w:rsidRPr="00232743">
        <w:rPr>
          <w:rFonts w:eastAsia="Calibri" w:cs="Times New Roman"/>
          <w:sz w:val="20"/>
          <w:szCs w:val="20"/>
        </w:rPr>
        <w:t>DEMATEL method</w:t>
      </w:r>
      <w:r w:rsidRPr="00232743">
        <w:rPr>
          <w:rFonts w:eastAsia="AdvGulliv-R" w:cs="Times New Roman"/>
          <w:sz w:val="20"/>
          <w:szCs w:val="20"/>
          <w:lang w:bidi="fa-IR"/>
        </w:rPr>
        <w:t xml:space="preserve"> as the tool that determines the </w:t>
      </w:r>
      <w:r w:rsidRPr="00232743">
        <w:rPr>
          <w:rFonts w:eastAsia="Calibri" w:cs="Times New Roman"/>
          <w:sz w:val="20"/>
          <w:szCs w:val="20"/>
        </w:rPr>
        <w:t>Prioritization</w:t>
      </w:r>
      <w:r w:rsidRPr="00232743">
        <w:rPr>
          <w:rFonts w:eastAsia="AdvGulliv-R" w:cs="Times New Roman"/>
          <w:sz w:val="20"/>
          <w:szCs w:val="20"/>
          <w:lang w:bidi="fa-IR"/>
        </w:rPr>
        <w:t xml:space="preserve"> and</w:t>
      </w:r>
      <w:r w:rsidRPr="00232743">
        <w:rPr>
          <w:rFonts w:eastAsia="Calibri" w:cs="Times New Roman"/>
          <w:sz w:val="20"/>
          <w:szCs w:val="20"/>
        </w:rPr>
        <w:t xml:space="preserve"> Influence severity</w:t>
      </w:r>
      <w:r w:rsidRPr="00232743">
        <w:rPr>
          <w:rFonts w:eastAsia="AdvGulliv-R" w:cs="Times New Roman"/>
          <w:sz w:val="20"/>
          <w:szCs w:val="20"/>
        </w:rPr>
        <w:t xml:space="preserve"> </w:t>
      </w:r>
      <w:r w:rsidRPr="00232743">
        <w:rPr>
          <w:rFonts w:eastAsia="AdvGulliv-R" w:cs="Times New Roman"/>
          <w:sz w:val="20"/>
          <w:szCs w:val="20"/>
          <w:lang w:bidi="fa-IR"/>
        </w:rPr>
        <w:t>of each factor.</w:t>
      </w:r>
      <w:r w:rsidRPr="00232743">
        <w:rPr>
          <w:rFonts w:eastAsia="Calibri" w:cs="Times New Roman"/>
          <w:sz w:val="20"/>
          <w:szCs w:val="20"/>
          <w:lang w:bidi="fa-IR"/>
        </w:rPr>
        <w:t xml:space="preserve"> The results show </w:t>
      </w:r>
      <w:r w:rsidRPr="00232743">
        <w:rPr>
          <w:rFonts w:eastAsia="Calibri" w:cs="Times New Roman"/>
          <w:sz w:val="20"/>
          <w:szCs w:val="20"/>
        </w:rPr>
        <w:t>Organization Management</w:t>
      </w:r>
      <w:r w:rsidRPr="00232743">
        <w:rPr>
          <w:rFonts w:eastAsia="Calibri" w:cs="Times New Roman"/>
          <w:sz w:val="20"/>
          <w:szCs w:val="20"/>
          <w:lang w:bidi="fa-IR"/>
        </w:rPr>
        <w:t xml:space="preserve"> has great impact on success of </w:t>
      </w:r>
      <w:r w:rsidRPr="00232743">
        <w:rPr>
          <w:rFonts w:cs="Times New Roman"/>
          <w:sz w:val="20"/>
          <w:szCs w:val="20"/>
          <w:lang w:bidi="fa-IR"/>
        </w:rPr>
        <w:t xml:space="preserve">GSCM </w:t>
      </w:r>
      <w:r w:rsidRPr="00232743">
        <w:rPr>
          <w:rFonts w:eastAsia="Calibri" w:cs="Times New Roman"/>
          <w:sz w:val="20"/>
          <w:szCs w:val="20"/>
          <w:lang w:bidi="fa-IR"/>
        </w:rPr>
        <w:t xml:space="preserve">implementation among main aspects. Among criteria of </w:t>
      </w:r>
      <w:r w:rsidRPr="00232743">
        <w:rPr>
          <w:rFonts w:eastAsia="Calibri" w:cs="Times New Roman"/>
          <w:sz w:val="20"/>
          <w:szCs w:val="20"/>
        </w:rPr>
        <w:t>Organization Management</w:t>
      </w:r>
      <w:r w:rsidRPr="00232743">
        <w:rPr>
          <w:rFonts w:eastAsia="Calibri" w:cs="Times New Roman"/>
          <w:sz w:val="20"/>
          <w:szCs w:val="20"/>
          <w:lang w:bidi="fa-IR"/>
        </w:rPr>
        <w:t xml:space="preserve"> ‚ </w:t>
      </w:r>
      <w:r w:rsidRPr="00232743">
        <w:rPr>
          <w:rFonts w:eastAsia="Calibri" w:cs="Times New Roman"/>
          <w:sz w:val="20"/>
          <w:szCs w:val="20"/>
        </w:rPr>
        <w:t>Lack of top management support</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r w:rsidRPr="00232743">
        <w:rPr>
          <w:rFonts w:eastAsia="Calibri" w:cs="Times New Roman"/>
          <w:sz w:val="20"/>
          <w:szCs w:val="20"/>
          <w:lang w:bidi="fa-IR"/>
        </w:rPr>
        <w:t xml:space="preserve"> Also‚</w:t>
      </w:r>
      <w:r w:rsidRPr="00232743">
        <w:rPr>
          <w:rFonts w:eastAsia="AdvGulliv-R" w:cs="Times New Roman"/>
          <w:sz w:val="20"/>
          <w:szCs w:val="20"/>
          <w:lang w:bidi="fa-IR"/>
        </w:rPr>
        <w:t xml:space="preserve"> </w:t>
      </w:r>
      <w:r w:rsidRPr="00232743">
        <w:rPr>
          <w:rFonts w:eastAsia="Calibri" w:cs="Times New Roman"/>
          <w:sz w:val="20"/>
          <w:szCs w:val="20"/>
          <w:lang w:bidi="fa-IR"/>
        </w:rPr>
        <w:t xml:space="preserve">among criteria of </w:t>
      </w:r>
      <w:r w:rsidRPr="00232743">
        <w:rPr>
          <w:rFonts w:eastAsia="Calibri" w:cs="Times New Roman"/>
          <w:sz w:val="20"/>
          <w:szCs w:val="20"/>
        </w:rPr>
        <w:t>Organizational Culture</w:t>
      </w:r>
      <w:r w:rsidRPr="00232743">
        <w:rPr>
          <w:rFonts w:eastAsia="Calibri" w:cs="Times New Roman"/>
          <w:sz w:val="20"/>
          <w:szCs w:val="20"/>
          <w:lang w:bidi="fa-IR"/>
        </w:rPr>
        <w:t xml:space="preserve"> ‚ </w:t>
      </w:r>
      <w:r w:rsidRPr="00232743">
        <w:rPr>
          <w:rFonts w:eastAsia="Calibri" w:cs="Times New Roman"/>
          <w:sz w:val="20"/>
          <w:szCs w:val="20"/>
        </w:rPr>
        <w:t>the lack of incentive legislation for the Green Supply Chain</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r w:rsidR="007004D8">
        <w:rPr>
          <w:rFonts w:eastAsia="AdvGulliv-R" w:cs="Times New Roman"/>
          <w:sz w:val="20"/>
          <w:szCs w:val="20"/>
          <w:lang w:bidi="fa-IR"/>
        </w:rPr>
        <w:t xml:space="preserve"> </w:t>
      </w:r>
      <w:r w:rsidRPr="00232743">
        <w:rPr>
          <w:rFonts w:eastAsia="Calibri" w:cs="Times New Roman"/>
          <w:sz w:val="20"/>
          <w:szCs w:val="20"/>
          <w:lang w:bidi="fa-IR"/>
        </w:rPr>
        <w:t>Also‚</w:t>
      </w:r>
      <w:r w:rsidRPr="00232743">
        <w:rPr>
          <w:rFonts w:eastAsia="AdvGulliv-R" w:cs="Times New Roman"/>
          <w:sz w:val="20"/>
          <w:szCs w:val="20"/>
          <w:lang w:bidi="fa-IR"/>
        </w:rPr>
        <w:t xml:space="preserve"> </w:t>
      </w:r>
      <w:r w:rsidRPr="00232743">
        <w:rPr>
          <w:rFonts w:eastAsia="Calibri" w:cs="Times New Roman"/>
          <w:sz w:val="20"/>
          <w:szCs w:val="20"/>
          <w:lang w:bidi="fa-IR"/>
        </w:rPr>
        <w:t xml:space="preserve">among criteria of </w:t>
      </w:r>
      <w:r w:rsidRPr="00232743">
        <w:rPr>
          <w:rFonts w:eastAsia="Calibri" w:cs="Times New Roman"/>
          <w:sz w:val="20"/>
          <w:szCs w:val="20"/>
        </w:rPr>
        <w:t>Organizational Structure</w:t>
      </w:r>
      <w:r w:rsidRPr="00232743">
        <w:rPr>
          <w:rFonts w:eastAsia="Calibri" w:cs="Times New Roman"/>
          <w:sz w:val="20"/>
          <w:szCs w:val="20"/>
          <w:lang w:bidi="fa-IR"/>
        </w:rPr>
        <w:t xml:space="preserve">‚ </w:t>
      </w:r>
      <w:r w:rsidRPr="00232743">
        <w:rPr>
          <w:rFonts w:eastAsia="Calibri" w:cs="Times New Roman"/>
          <w:sz w:val="20"/>
          <w:szCs w:val="20"/>
        </w:rPr>
        <w:t>Lack of information and data required</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r w:rsidRPr="00232743">
        <w:rPr>
          <w:rFonts w:eastAsia="AdvGulliv-R" w:cs="Times New Roman"/>
          <w:sz w:val="20"/>
          <w:szCs w:val="20"/>
          <w:rtl/>
          <w:lang w:bidi="fa-IR"/>
        </w:rPr>
        <w:t xml:space="preserve"> </w:t>
      </w:r>
      <w:r w:rsidRPr="00232743">
        <w:rPr>
          <w:rFonts w:eastAsia="Calibri" w:cs="Times New Roman"/>
          <w:sz w:val="20"/>
          <w:szCs w:val="20"/>
          <w:lang w:bidi="fa-IR"/>
        </w:rPr>
        <w:t>Also‚</w:t>
      </w:r>
      <w:r w:rsidRPr="00232743">
        <w:rPr>
          <w:rFonts w:eastAsia="AdvGulliv-R" w:cs="Times New Roman"/>
          <w:sz w:val="20"/>
          <w:szCs w:val="20"/>
          <w:lang w:bidi="fa-IR"/>
        </w:rPr>
        <w:t xml:space="preserve"> </w:t>
      </w:r>
      <w:r w:rsidRPr="00232743">
        <w:rPr>
          <w:rFonts w:eastAsia="Calibri" w:cs="Times New Roman"/>
          <w:sz w:val="20"/>
          <w:szCs w:val="20"/>
          <w:lang w:bidi="fa-IR"/>
        </w:rPr>
        <w:t xml:space="preserve">among criteria of </w:t>
      </w:r>
      <w:r w:rsidRPr="00232743">
        <w:rPr>
          <w:rFonts w:eastAsia="Calibri" w:cs="Times New Roman"/>
          <w:sz w:val="20"/>
          <w:szCs w:val="20"/>
        </w:rPr>
        <w:t>Rules and guidelines</w:t>
      </w:r>
      <w:r w:rsidRPr="00232743">
        <w:rPr>
          <w:rFonts w:eastAsia="Calibri" w:cs="Times New Roman"/>
          <w:sz w:val="20"/>
          <w:szCs w:val="20"/>
          <w:lang w:bidi="fa-IR"/>
        </w:rPr>
        <w:t xml:space="preserve"> ‚ </w:t>
      </w:r>
      <w:r w:rsidRPr="00232743">
        <w:rPr>
          <w:rFonts w:eastAsia="Calibri" w:cs="Times New Roman"/>
          <w:sz w:val="20"/>
          <w:szCs w:val="20"/>
        </w:rPr>
        <w:t>Lack of supply chain integration</w:t>
      </w:r>
      <w:r w:rsidRPr="00232743">
        <w:rPr>
          <w:rFonts w:eastAsia="Calibri" w:cs="Times New Roman"/>
          <w:sz w:val="20"/>
          <w:szCs w:val="20"/>
          <w:lang w:bidi="fa-IR"/>
        </w:rPr>
        <w:t xml:space="preserve"> has Great</w:t>
      </w:r>
      <w:r w:rsidRPr="00232743">
        <w:rPr>
          <w:rFonts w:eastAsia="Calibri" w:cs="Times New Roman"/>
          <w:sz w:val="20"/>
          <w:szCs w:val="20"/>
        </w:rPr>
        <w:t xml:space="preserve"> Influence</w:t>
      </w:r>
      <w:r w:rsidRPr="00232743">
        <w:rPr>
          <w:rFonts w:eastAsia="AdvGulliv-R" w:cs="Times New Roman"/>
          <w:sz w:val="20"/>
          <w:szCs w:val="20"/>
          <w:lang w:bidi="fa-IR"/>
        </w:rPr>
        <w:t xml:space="preserve"> on other criteria.</w:t>
      </w:r>
    </w:p>
    <w:p w:rsidR="007C371A" w:rsidRPr="00232743" w:rsidRDefault="007C371A" w:rsidP="00E96AD0">
      <w:pPr>
        <w:autoSpaceDE w:val="0"/>
        <w:autoSpaceDN w:val="0"/>
        <w:bidi w:val="0"/>
        <w:adjustRightInd w:val="0"/>
        <w:snapToGrid w:val="0"/>
        <w:ind w:firstLine="720"/>
        <w:jc w:val="both"/>
        <w:rPr>
          <w:rFonts w:cs="Times New Roman"/>
          <w:sz w:val="20"/>
          <w:szCs w:val="20"/>
        </w:rPr>
      </w:pPr>
      <w:proofErr w:type="spellStart"/>
      <w:r w:rsidRPr="00232743">
        <w:rPr>
          <w:rFonts w:cs="Times New Roman"/>
          <w:sz w:val="20"/>
          <w:szCs w:val="20"/>
        </w:rPr>
        <w:t>Handfield</w:t>
      </w:r>
      <w:proofErr w:type="spellEnd"/>
      <w:r w:rsidRPr="00232743">
        <w:rPr>
          <w:rFonts w:cs="Times New Roman"/>
          <w:sz w:val="20"/>
          <w:szCs w:val="20"/>
        </w:rPr>
        <w:t xml:space="preserve"> et al. (2002) developed a decision model to measure environmental practice of suppliers using a </w:t>
      </w:r>
      <w:proofErr w:type="spellStart"/>
      <w:r w:rsidRPr="00232743">
        <w:rPr>
          <w:rFonts w:cs="Times New Roman"/>
          <w:sz w:val="20"/>
          <w:szCs w:val="20"/>
        </w:rPr>
        <w:t>multiattribute</w:t>
      </w:r>
      <w:proofErr w:type="spellEnd"/>
      <w:r w:rsidRPr="00232743">
        <w:rPr>
          <w:rFonts w:cs="Times New Roman"/>
          <w:sz w:val="20"/>
          <w:szCs w:val="20"/>
        </w:rPr>
        <w:t xml:space="preserve"> utility theory approach. </w:t>
      </w:r>
      <w:proofErr w:type="spellStart"/>
      <w:r w:rsidRPr="00232743">
        <w:rPr>
          <w:rFonts w:cs="Times New Roman"/>
          <w:sz w:val="20"/>
          <w:szCs w:val="20"/>
        </w:rPr>
        <w:t>Kainumaa</w:t>
      </w:r>
      <w:proofErr w:type="spellEnd"/>
      <w:r w:rsidRPr="00232743">
        <w:rPr>
          <w:rFonts w:cs="Times New Roman"/>
          <w:sz w:val="20"/>
          <w:szCs w:val="20"/>
        </w:rPr>
        <w:t xml:space="preserve"> and </w:t>
      </w:r>
      <w:proofErr w:type="spellStart"/>
      <w:r w:rsidRPr="00232743">
        <w:rPr>
          <w:rFonts w:cs="Times New Roman"/>
          <w:sz w:val="20"/>
          <w:szCs w:val="20"/>
        </w:rPr>
        <w:t>Tawarab</w:t>
      </w:r>
      <w:proofErr w:type="spellEnd"/>
      <w:r w:rsidRPr="00232743">
        <w:rPr>
          <w:rFonts w:cs="Times New Roman"/>
          <w:sz w:val="20"/>
          <w:szCs w:val="20"/>
        </w:rPr>
        <w:t xml:space="preserve"> (2006) proposed the multiple attribute utility theory method for assessing a supply chain including re-use and recycling throughout the life cycle of products and services. </w:t>
      </w:r>
      <w:proofErr w:type="spellStart"/>
      <w:r w:rsidR="00EE58AA" w:rsidRPr="00232743">
        <w:rPr>
          <w:rFonts w:cs="Times New Roman"/>
          <w:sz w:val="20"/>
          <w:szCs w:val="20"/>
        </w:rPr>
        <w:t>Handfield</w:t>
      </w:r>
      <w:proofErr w:type="spellEnd"/>
      <w:r w:rsidR="00EE58AA" w:rsidRPr="00232743">
        <w:rPr>
          <w:rFonts w:cs="Times New Roman"/>
          <w:sz w:val="20"/>
          <w:szCs w:val="20"/>
        </w:rPr>
        <w:t xml:space="preserve"> et al. </w:t>
      </w:r>
      <w:r w:rsidR="00847833" w:rsidRPr="00232743">
        <w:rPr>
          <w:rFonts w:cs="Times New Roman"/>
          <w:sz w:val="20"/>
          <w:szCs w:val="20"/>
        </w:rPr>
        <w:t xml:space="preserve">(2005) </w:t>
      </w:r>
      <w:r w:rsidR="00EE58AA" w:rsidRPr="00232743">
        <w:rPr>
          <w:rFonts w:cs="Times New Roman"/>
          <w:sz w:val="20"/>
          <w:szCs w:val="20"/>
        </w:rPr>
        <w:t xml:space="preserve">observed the increasing importance of supply-chain strategy as management increasingly adopts environmental practices. </w:t>
      </w:r>
      <w:proofErr w:type="gramStart"/>
      <w:r w:rsidR="00EE58AA" w:rsidRPr="00232743">
        <w:rPr>
          <w:rFonts w:cs="Times New Roman"/>
          <w:sz w:val="20"/>
          <w:szCs w:val="20"/>
        </w:rPr>
        <w:t>Effectively achieving corporate green goals means linking an environmental corporate strategy with every business functional strategy, thus eliminating obstacles to environmental integration.</w:t>
      </w:r>
      <w:proofErr w:type="gramEnd"/>
      <w:r w:rsidR="00EE58AA" w:rsidRPr="00232743">
        <w:rPr>
          <w:rFonts w:cs="Times New Roman"/>
          <w:sz w:val="20"/>
          <w:szCs w:val="20"/>
        </w:rPr>
        <w:t xml:space="preserve"> Decision-makers should appropriately modify the contents and aims of environmental practices to match changes in business development. Many companies have just begun exploring environmental concerns and implemented environmentally-friendly activities, so they have not yet identified many environmentally-related factors.</w:t>
      </w:r>
    </w:p>
    <w:p w:rsidR="00F634A8" w:rsidRPr="00232743" w:rsidRDefault="00F634A8" w:rsidP="001D7F10">
      <w:pPr>
        <w:autoSpaceDE w:val="0"/>
        <w:autoSpaceDN w:val="0"/>
        <w:bidi w:val="0"/>
        <w:adjustRightInd w:val="0"/>
        <w:snapToGrid w:val="0"/>
        <w:jc w:val="both"/>
        <w:rPr>
          <w:rFonts w:cs="Times New Roman"/>
          <w:sz w:val="20"/>
          <w:szCs w:val="20"/>
        </w:rPr>
      </w:pPr>
    </w:p>
    <w:p w:rsidR="009616ED" w:rsidRPr="00232743" w:rsidRDefault="00C96E6E" w:rsidP="00E96AD0">
      <w:pPr>
        <w:shd w:val="clear" w:color="auto" w:fill="FFFFFF" w:themeFill="background1"/>
        <w:bidi w:val="0"/>
        <w:adjustRightInd w:val="0"/>
        <w:snapToGrid w:val="0"/>
        <w:jc w:val="both"/>
        <w:textAlignment w:val="top"/>
        <w:rPr>
          <w:rFonts w:cs="Times New Roman"/>
          <w:b/>
          <w:bCs/>
          <w:sz w:val="20"/>
          <w:szCs w:val="20"/>
        </w:rPr>
      </w:pPr>
      <w:r w:rsidRPr="00232743">
        <w:rPr>
          <w:rFonts w:cs="Times New Roman"/>
          <w:b/>
          <w:bCs/>
          <w:sz w:val="20"/>
          <w:szCs w:val="20"/>
          <w:lang w:bidi="fa-IR"/>
        </w:rPr>
        <w:lastRenderedPageBreak/>
        <w:t>References</w:t>
      </w:r>
    </w:p>
    <w:p w:rsidR="007E2FB7" w:rsidRPr="003C0421" w:rsidRDefault="007E2FB7" w:rsidP="00E96AD0">
      <w:pPr>
        <w:pStyle w:val="ListParagraph"/>
        <w:numPr>
          <w:ilvl w:val="0"/>
          <w:numId w:val="5"/>
        </w:numPr>
        <w:adjustRightInd w:val="0"/>
        <w:snapToGrid w:val="0"/>
        <w:spacing w:before="0" w:beforeAutospacing="0" w:after="0" w:afterAutospacing="0"/>
        <w:jc w:val="both"/>
        <w:rPr>
          <w:sz w:val="20"/>
          <w:szCs w:val="20"/>
        </w:rPr>
      </w:pPr>
      <w:proofErr w:type="spellStart"/>
      <w:r w:rsidRPr="003C0421">
        <w:rPr>
          <w:sz w:val="20"/>
          <w:szCs w:val="20"/>
        </w:rPr>
        <w:t>Balasubramanian</w:t>
      </w:r>
      <w:proofErr w:type="spellEnd"/>
      <w:r w:rsidRPr="003C0421">
        <w:rPr>
          <w:sz w:val="20"/>
          <w:szCs w:val="20"/>
        </w:rPr>
        <w:t>, S, (2012).</w:t>
      </w:r>
      <w:r w:rsidR="007004D8">
        <w:rPr>
          <w:sz w:val="20"/>
          <w:szCs w:val="20"/>
        </w:rPr>
        <w:t xml:space="preserve"> </w:t>
      </w:r>
      <w:r w:rsidRPr="003C0421">
        <w:rPr>
          <w:sz w:val="20"/>
          <w:szCs w:val="20"/>
        </w:rPr>
        <w:t>A Hierarchical Framework of Barriers to Green Supply Chain Management in the Construction Sector Journal of Sustainable Development; Vol. 5, No. 10.PP15-27.</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 xml:space="preserve">Chen, I.J. and </w:t>
      </w:r>
      <w:proofErr w:type="spellStart"/>
      <w:r w:rsidRPr="003C0421">
        <w:rPr>
          <w:sz w:val="20"/>
          <w:szCs w:val="20"/>
        </w:rPr>
        <w:t>Paulraj</w:t>
      </w:r>
      <w:proofErr w:type="spellEnd"/>
      <w:r w:rsidRPr="003C0421">
        <w:rPr>
          <w:sz w:val="20"/>
          <w:szCs w:val="20"/>
        </w:rPr>
        <w:t>, A. (2004), “Towards a theory of supply chain management: the constructs and measurements”, Journal of Operations Management, Vol. 22 No. 2, pp. 119-21.</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Croxton</w:t>
      </w:r>
      <w:proofErr w:type="spellEnd"/>
      <w:r w:rsidRPr="003C0421">
        <w:rPr>
          <w:sz w:val="20"/>
          <w:szCs w:val="20"/>
        </w:rPr>
        <w:t>, K.L., Garcia-</w:t>
      </w:r>
      <w:proofErr w:type="spellStart"/>
      <w:r w:rsidRPr="003C0421">
        <w:rPr>
          <w:sz w:val="20"/>
          <w:szCs w:val="20"/>
        </w:rPr>
        <w:t>Dastugue</w:t>
      </w:r>
      <w:proofErr w:type="spellEnd"/>
      <w:r w:rsidRPr="003C0421">
        <w:rPr>
          <w:sz w:val="20"/>
          <w:szCs w:val="20"/>
        </w:rPr>
        <w:t>, S.J., Lambert, D.M. and Rogers, D.S. (2001), “The supply chain management processes”, International Journal of Logistics Management, Vol. 12 No. 2, pp. 13-36.</w:t>
      </w:r>
    </w:p>
    <w:p w:rsidR="005D0235" w:rsidRPr="003C0421" w:rsidRDefault="005D0235" w:rsidP="00E96AD0">
      <w:pPr>
        <w:pStyle w:val="ListParagraph"/>
        <w:numPr>
          <w:ilvl w:val="0"/>
          <w:numId w:val="5"/>
        </w:numPr>
        <w:autoSpaceDE w:val="0"/>
        <w:autoSpaceDN w:val="0"/>
        <w:adjustRightInd w:val="0"/>
        <w:snapToGrid w:val="0"/>
        <w:spacing w:before="0" w:beforeAutospacing="0" w:after="0" w:afterAutospacing="0"/>
        <w:jc w:val="both"/>
        <w:rPr>
          <w:rFonts w:eastAsiaTheme="minorHAnsi"/>
          <w:sz w:val="20"/>
          <w:szCs w:val="20"/>
        </w:rPr>
      </w:pPr>
      <w:proofErr w:type="spellStart"/>
      <w:r w:rsidRPr="003C0421">
        <w:rPr>
          <w:rFonts w:eastAsiaTheme="minorHAnsi"/>
          <w:sz w:val="20"/>
          <w:szCs w:val="20"/>
        </w:rPr>
        <w:t>Fontela</w:t>
      </w:r>
      <w:proofErr w:type="spellEnd"/>
      <w:r w:rsidRPr="003C0421">
        <w:rPr>
          <w:rFonts w:eastAsiaTheme="minorHAnsi"/>
          <w:sz w:val="20"/>
          <w:szCs w:val="20"/>
        </w:rPr>
        <w:t xml:space="preserve">, E., &amp; </w:t>
      </w:r>
      <w:proofErr w:type="spellStart"/>
      <w:r w:rsidRPr="003C0421">
        <w:rPr>
          <w:rFonts w:eastAsiaTheme="minorHAnsi"/>
          <w:sz w:val="20"/>
          <w:szCs w:val="20"/>
        </w:rPr>
        <w:t>Gabus</w:t>
      </w:r>
      <w:proofErr w:type="spellEnd"/>
      <w:r w:rsidRPr="003C0421">
        <w:rPr>
          <w:rFonts w:eastAsiaTheme="minorHAnsi"/>
          <w:sz w:val="20"/>
          <w:szCs w:val="20"/>
        </w:rPr>
        <w:t>, A. (1976). The DEMATEL observer. DEMATEL 1976 report. Geneva, Switzerland: Battelle Geneva Research Center.</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Giannakis</w:t>
      </w:r>
      <w:proofErr w:type="spellEnd"/>
      <w:r w:rsidRPr="003C0421">
        <w:rPr>
          <w:sz w:val="20"/>
          <w:szCs w:val="20"/>
        </w:rPr>
        <w:t xml:space="preserve">, M. and </w:t>
      </w:r>
      <w:proofErr w:type="spellStart"/>
      <w:r w:rsidRPr="003C0421">
        <w:rPr>
          <w:sz w:val="20"/>
          <w:szCs w:val="20"/>
        </w:rPr>
        <w:t>Croom</w:t>
      </w:r>
      <w:proofErr w:type="spellEnd"/>
      <w:r w:rsidRPr="003C0421">
        <w:rPr>
          <w:sz w:val="20"/>
          <w:szCs w:val="20"/>
        </w:rPr>
        <w:t>, S.R. (2004), “Toward the development of a supply chain management paradigm: a conceptual framework”, Journal of Supply Chain Management, Vol. 40 No. 2, pp. 27-37.</w:t>
      </w:r>
    </w:p>
    <w:p w:rsidR="007E2FB7" w:rsidRPr="003C0421" w:rsidRDefault="007E2FB7" w:rsidP="00E96AD0">
      <w:pPr>
        <w:pStyle w:val="ListParagraph"/>
        <w:numPr>
          <w:ilvl w:val="0"/>
          <w:numId w:val="5"/>
        </w:numPr>
        <w:adjustRightInd w:val="0"/>
        <w:snapToGrid w:val="0"/>
        <w:spacing w:before="0" w:beforeAutospacing="0" w:after="0" w:afterAutospacing="0"/>
        <w:jc w:val="both"/>
        <w:rPr>
          <w:rFonts w:eastAsia="Calibri"/>
          <w:sz w:val="20"/>
          <w:szCs w:val="20"/>
        </w:rPr>
      </w:pPr>
      <w:r w:rsidRPr="003C0421">
        <w:rPr>
          <w:rFonts w:eastAsia="Calibri"/>
          <w:sz w:val="20"/>
          <w:szCs w:val="20"/>
        </w:rPr>
        <w:t xml:space="preserve">Hall, J. (2006). Environmental supply chain innovation. In J. </w:t>
      </w:r>
      <w:proofErr w:type="spellStart"/>
      <w:r w:rsidRPr="003C0421">
        <w:rPr>
          <w:rFonts w:eastAsia="Calibri"/>
          <w:sz w:val="20"/>
          <w:szCs w:val="20"/>
        </w:rPr>
        <w:t>Sarkis</w:t>
      </w:r>
      <w:proofErr w:type="spellEnd"/>
      <w:r w:rsidRPr="003C0421">
        <w:rPr>
          <w:rFonts w:eastAsia="Calibri"/>
          <w:sz w:val="20"/>
          <w:szCs w:val="20"/>
        </w:rPr>
        <w:t xml:space="preserve"> (Ed.). Greening the Supply Chain, Springer</w:t>
      </w:r>
      <w:r w:rsidRPr="003C0421">
        <w:rPr>
          <w:rFonts w:eastAsia="Calibri"/>
          <w:sz w:val="20"/>
          <w:szCs w:val="20"/>
          <w:rtl/>
        </w:rPr>
        <w:t>,</w:t>
      </w:r>
      <w:r w:rsidRPr="003C0421">
        <w:rPr>
          <w:rFonts w:eastAsia="Calibri"/>
          <w:sz w:val="20"/>
          <w:szCs w:val="20"/>
        </w:rPr>
        <w:t xml:space="preserve"> London. </w:t>
      </w:r>
    </w:p>
    <w:p w:rsidR="007C371A" w:rsidRPr="003C0421" w:rsidRDefault="007C371A"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Handfield</w:t>
      </w:r>
      <w:proofErr w:type="spellEnd"/>
      <w:r w:rsidRPr="003C0421">
        <w:rPr>
          <w:sz w:val="20"/>
          <w:szCs w:val="20"/>
        </w:rPr>
        <w:t xml:space="preserve">, R., Walton, S., </w:t>
      </w:r>
      <w:proofErr w:type="spellStart"/>
      <w:r w:rsidRPr="003C0421">
        <w:rPr>
          <w:sz w:val="20"/>
          <w:szCs w:val="20"/>
        </w:rPr>
        <w:t>Sroufe</w:t>
      </w:r>
      <w:proofErr w:type="spellEnd"/>
      <w:r w:rsidRPr="003C0421">
        <w:rPr>
          <w:sz w:val="20"/>
          <w:szCs w:val="20"/>
        </w:rPr>
        <w:t>, R., 2002. Applying environmental criteria to supplier assessment: A study of the application of the analytical hierarchy process. European Journal of Operational Research 141, 70–87.</w:t>
      </w:r>
    </w:p>
    <w:p w:rsidR="00847833" w:rsidRPr="003C0421" w:rsidRDefault="00847833"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Handfield</w:t>
      </w:r>
      <w:proofErr w:type="spellEnd"/>
      <w:r w:rsidRPr="003C0421">
        <w:rPr>
          <w:sz w:val="20"/>
          <w:szCs w:val="20"/>
        </w:rPr>
        <w:t xml:space="preserve">, R.B. </w:t>
      </w:r>
      <w:proofErr w:type="spellStart"/>
      <w:r w:rsidRPr="003C0421">
        <w:rPr>
          <w:sz w:val="20"/>
          <w:szCs w:val="20"/>
        </w:rPr>
        <w:t>Sroufe</w:t>
      </w:r>
      <w:proofErr w:type="spellEnd"/>
      <w:r w:rsidRPr="003C0421">
        <w:rPr>
          <w:sz w:val="20"/>
          <w:szCs w:val="20"/>
        </w:rPr>
        <w:t>, R. Walton, S.V. (2005). Integrating environmental management and supply chain strategies, Business Strategy and the Environment 14 (1) 1–19.</w:t>
      </w:r>
    </w:p>
    <w:p w:rsidR="007E2FB7" w:rsidRPr="003C0421" w:rsidRDefault="007E2FB7" w:rsidP="00E96AD0">
      <w:pPr>
        <w:pStyle w:val="ListParagraph"/>
        <w:numPr>
          <w:ilvl w:val="0"/>
          <w:numId w:val="5"/>
        </w:numPr>
        <w:autoSpaceDE w:val="0"/>
        <w:autoSpaceDN w:val="0"/>
        <w:adjustRightInd w:val="0"/>
        <w:snapToGrid w:val="0"/>
        <w:spacing w:before="0" w:beforeAutospacing="0" w:after="0" w:afterAutospacing="0"/>
        <w:jc w:val="both"/>
        <w:rPr>
          <w:rFonts w:eastAsia="TimesNewRoman"/>
          <w:sz w:val="20"/>
          <w:szCs w:val="20"/>
        </w:rPr>
      </w:pPr>
      <w:r w:rsidRPr="003C0421">
        <w:rPr>
          <w:rFonts w:eastAsia="TimesNewRoman"/>
          <w:sz w:val="20"/>
          <w:szCs w:val="20"/>
        </w:rPr>
        <w:lastRenderedPageBreak/>
        <w:t xml:space="preserve">Helen, W., &amp; Neil, J. (2012). Sustainable supply chain management across the UK private sector. Supply Chain Management: An International Journal, 17(1), 15-28. </w:t>
      </w:r>
    </w:p>
    <w:p w:rsidR="00E05B84" w:rsidRPr="003C0421" w:rsidRDefault="00E05B84"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Hervani</w:t>
      </w:r>
      <w:proofErr w:type="spellEnd"/>
      <w:r w:rsidRPr="003C0421">
        <w:rPr>
          <w:sz w:val="20"/>
          <w:szCs w:val="20"/>
        </w:rPr>
        <w:t xml:space="preserve">, A.A., Helms, M.M. and </w:t>
      </w:r>
      <w:proofErr w:type="spellStart"/>
      <w:r w:rsidRPr="003C0421">
        <w:rPr>
          <w:sz w:val="20"/>
          <w:szCs w:val="20"/>
        </w:rPr>
        <w:t>Sarkis</w:t>
      </w:r>
      <w:proofErr w:type="spellEnd"/>
      <w:r w:rsidRPr="003C0421">
        <w:rPr>
          <w:sz w:val="20"/>
          <w:szCs w:val="20"/>
        </w:rPr>
        <w:t>, J. 2005, Performance measurement for green supply chain management. Benchmarking: An International Journal, 12(4), 330-353.</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Ho, D.C.K., Au, K.F. and Newton, E. (2002), “Empirical research on supply chain management: a critical review and recommendations”, International Journal of Production Research, Vol. 40 No. 17, pp. 44-53.</w:t>
      </w:r>
    </w:p>
    <w:p w:rsidR="0099781C" w:rsidRPr="003C0421" w:rsidRDefault="0099781C"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Hu</w:t>
      </w:r>
      <w:proofErr w:type="spellEnd"/>
      <w:r w:rsidRPr="003C0421">
        <w:rPr>
          <w:sz w:val="20"/>
          <w:szCs w:val="20"/>
        </w:rPr>
        <w:t xml:space="preserve">, A.H., Hsu, C.W., 2010. Critical factors for implementing green supply chain management practice e </w:t>
      </w:r>
      <w:proofErr w:type="gramStart"/>
      <w:r w:rsidRPr="003C0421">
        <w:rPr>
          <w:sz w:val="20"/>
          <w:szCs w:val="20"/>
        </w:rPr>
        <w:t>An</w:t>
      </w:r>
      <w:proofErr w:type="gramEnd"/>
      <w:r w:rsidRPr="003C0421">
        <w:rPr>
          <w:sz w:val="20"/>
          <w:szCs w:val="20"/>
        </w:rPr>
        <w:t xml:space="preserve"> empirical study of electrical and electronics industries in Taiwan. Manage. Res. Rev. 33 (6), 586e608.</w:t>
      </w:r>
    </w:p>
    <w:p w:rsidR="007C371A" w:rsidRPr="003C0421" w:rsidRDefault="007C371A"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Kainumaa</w:t>
      </w:r>
      <w:proofErr w:type="spellEnd"/>
      <w:r w:rsidRPr="003C0421">
        <w:rPr>
          <w:sz w:val="20"/>
          <w:szCs w:val="20"/>
        </w:rPr>
        <w:t xml:space="preserve">, Y., </w:t>
      </w:r>
      <w:proofErr w:type="spellStart"/>
      <w:r w:rsidRPr="003C0421">
        <w:rPr>
          <w:sz w:val="20"/>
          <w:szCs w:val="20"/>
        </w:rPr>
        <w:t>Tawarab</w:t>
      </w:r>
      <w:proofErr w:type="spellEnd"/>
      <w:r w:rsidRPr="003C0421">
        <w:rPr>
          <w:sz w:val="20"/>
          <w:szCs w:val="20"/>
        </w:rPr>
        <w:t>, N., 2006. A multiple attribute utility theory approach to lean and green supply chain management. International Journal of Production Economics 101 (1), 99–108.</w:t>
      </w:r>
    </w:p>
    <w:p w:rsidR="007C371A" w:rsidRPr="003C0421" w:rsidRDefault="007C371A" w:rsidP="00E96AD0">
      <w:pPr>
        <w:pStyle w:val="ListParagraph"/>
        <w:numPr>
          <w:ilvl w:val="0"/>
          <w:numId w:val="5"/>
        </w:numPr>
        <w:autoSpaceDE w:val="0"/>
        <w:autoSpaceDN w:val="0"/>
        <w:adjustRightInd w:val="0"/>
        <w:snapToGrid w:val="0"/>
        <w:spacing w:before="0" w:beforeAutospacing="0" w:after="0" w:afterAutospacing="0"/>
        <w:jc w:val="both"/>
        <w:rPr>
          <w:rFonts w:eastAsia="GulliverRM"/>
          <w:sz w:val="20"/>
          <w:szCs w:val="20"/>
        </w:rPr>
      </w:pPr>
      <w:proofErr w:type="spellStart"/>
      <w:r w:rsidRPr="003C0421">
        <w:rPr>
          <w:rFonts w:eastAsia="GulliverRM"/>
          <w:sz w:val="20"/>
          <w:szCs w:val="20"/>
        </w:rPr>
        <w:t>Kogg</w:t>
      </w:r>
      <w:proofErr w:type="spellEnd"/>
      <w:r w:rsidRPr="003C0421">
        <w:rPr>
          <w:rFonts w:eastAsia="GulliverRM"/>
          <w:sz w:val="20"/>
          <w:szCs w:val="20"/>
        </w:rPr>
        <w:t xml:space="preserve"> B. Greening a cotton-textile supply chain. Greener Management International 2003(43):53–64</w:t>
      </w:r>
    </w:p>
    <w:p w:rsidR="00B257E7" w:rsidRPr="003C0421" w:rsidRDefault="00B257E7"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Lambert, D. and Cooper, M.C. (2000), “Issues in supply chain management”, Industrial Marketing Management, Vol. 29 No. 1, pp. 65-83.</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 xml:space="preserve">Larson, P. and </w:t>
      </w:r>
      <w:proofErr w:type="spellStart"/>
      <w:r w:rsidRPr="003C0421">
        <w:rPr>
          <w:sz w:val="20"/>
          <w:szCs w:val="20"/>
        </w:rPr>
        <w:t>Halldorsson</w:t>
      </w:r>
      <w:proofErr w:type="spellEnd"/>
      <w:r w:rsidRPr="003C0421">
        <w:rPr>
          <w:sz w:val="20"/>
          <w:szCs w:val="20"/>
        </w:rPr>
        <w:t>, A. (2002), “What is SCM? And, where is it?</w:t>
      </w:r>
      <w:proofErr w:type="gramStart"/>
      <w:r w:rsidRPr="003C0421">
        <w:rPr>
          <w:sz w:val="20"/>
          <w:szCs w:val="20"/>
        </w:rPr>
        <w:t>”,</w:t>
      </w:r>
      <w:proofErr w:type="gramEnd"/>
      <w:r w:rsidRPr="003C0421">
        <w:rPr>
          <w:sz w:val="20"/>
          <w:szCs w:val="20"/>
        </w:rPr>
        <w:t xml:space="preserve"> The Journal of Supply Chain Management, Vol. 5 No. 2, pp. 36-43.</w:t>
      </w:r>
    </w:p>
    <w:p w:rsidR="00296BE8"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New, S.J. (1997), “The scope of supply chain management research”, Supply Chain Management, Vol. 2 No. 2, pp. 15-22.</w:t>
      </w:r>
    </w:p>
    <w:p w:rsidR="00296BE8" w:rsidRPr="003C0421" w:rsidRDefault="00B257E7"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Ogulin</w:t>
      </w:r>
      <w:proofErr w:type="spellEnd"/>
      <w:r w:rsidRPr="003C0421">
        <w:rPr>
          <w:sz w:val="20"/>
          <w:szCs w:val="20"/>
        </w:rPr>
        <w:t xml:space="preserve">, R. (2003), “Emerging requirements for networked supply chains”, in </w:t>
      </w:r>
      <w:proofErr w:type="spellStart"/>
      <w:r w:rsidRPr="003C0421">
        <w:rPr>
          <w:sz w:val="20"/>
          <w:szCs w:val="20"/>
        </w:rPr>
        <w:t>Gattorna</w:t>
      </w:r>
      <w:proofErr w:type="spellEnd"/>
      <w:r w:rsidRPr="003C0421">
        <w:rPr>
          <w:sz w:val="20"/>
          <w:szCs w:val="20"/>
        </w:rPr>
        <w:t xml:space="preserve">, J.L., </w:t>
      </w:r>
      <w:proofErr w:type="spellStart"/>
      <w:r w:rsidRPr="003C0421">
        <w:rPr>
          <w:sz w:val="20"/>
          <w:szCs w:val="20"/>
        </w:rPr>
        <w:t>Ogulin</w:t>
      </w:r>
      <w:proofErr w:type="spellEnd"/>
      <w:r w:rsidRPr="003C0421">
        <w:rPr>
          <w:sz w:val="20"/>
          <w:szCs w:val="20"/>
        </w:rPr>
        <w:t>, R. and Reynolds, M.W. (</w:t>
      </w:r>
      <w:proofErr w:type="spellStart"/>
      <w:r w:rsidRPr="003C0421">
        <w:rPr>
          <w:sz w:val="20"/>
          <w:szCs w:val="20"/>
        </w:rPr>
        <w:t>Eds</w:t>
      </w:r>
      <w:proofErr w:type="spellEnd"/>
      <w:r w:rsidRPr="003C0421">
        <w:rPr>
          <w:sz w:val="20"/>
          <w:szCs w:val="20"/>
        </w:rPr>
        <w:t>), Gower Handbook of Supply Chain Management, Gower Publishing, Burlington, VT, pp. 486-500.</w:t>
      </w:r>
    </w:p>
    <w:p w:rsidR="0099781C" w:rsidRPr="003C0421" w:rsidRDefault="0099781C"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Rao</w:t>
      </w:r>
      <w:proofErr w:type="spellEnd"/>
      <w:r w:rsidRPr="003C0421">
        <w:rPr>
          <w:sz w:val="20"/>
          <w:szCs w:val="20"/>
        </w:rPr>
        <w:t xml:space="preserve">, P., 2002. Greening the supply chain a new initiative in south East Asia. Int. J. </w:t>
      </w:r>
      <w:proofErr w:type="spellStart"/>
      <w:r w:rsidRPr="003C0421">
        <w:rPr>
          <w:sz w:val="20"/>
          <w:szCs w:val="20"/>
        </w:rPr>
        <w:t>Oper</w:t>
      </w:r>
      <w:proofErr w:type="spellEnd"/>
      <w:r w:rsidRPr="003C0421">
        <w:rPr>
          <w:sz w:val="20"/>
          <w:szCs w:val="20"/>
        </w:rPr>
        <w:t>. Prod. Manage. 22 (6), 632</w:t>
      </w:r>
      <w:r w:rsidR="00F12DB1" w:rsidRPr="003C0421">
        <w:rPr>
          <w:sz w:val="20"/>
          <w:szCs w:val="20"/>
        </w:rPr>
        <w:t>-</w:t>
      </w:r>
      <w:r w:rsidRPr="003C0421">
        <w:rPr>
          <w:sz w:val="20"/>
          <w:szCs w:val="20"/>
        </w:rPr>
        <w:t>655.</w:t>
      </w:r>
    </w:p>
    <w:p w:rsidR="007E2FB7" w:rsidRPr="003C0421" w:rsidRDefault="007E2FB7" w:rsidP="00E96AD0">
      <w:pPr>
        <w:pStyle w:val="ListParagraph"/>
        <w:numPr>
          <w:ilvl w:val="0"/>
          <w:numId w:val="5"/>
        </w:numPr>
        <w:adjustRightInd w:val="0"/>
        <w:snapToGrid w:val="0"/>
        <w:spacing w:before="0" w:beforeAutospacing="0" w:after="0" w:afterAutospacing="0"/>
        <w:jc w:val="both"/>
        <w:rPr>
          <w:sz w:val="20"/>
          <w:szCs w:val="20"/>
        </w:rPr>
      </w:pPr>
      <w:r w:rsidRPr="003C0421">
        <w:rPr>
          <w:sz w:val="20"/>
          <w:szCs w:val="20"/>
        </w:rPr>
        <w:lastRenderedPageBreak/>
        <w:t>Ravi, V., &amp; Shankar, R. (2005). Analysis of interactions among the barriers of reverse logistics. International Journal of Technological Forecasting and Social Change, 72(8), 1011-1029</w:t>
      </w:r>
      <w:r w:rsidRPr="003C0421">
        <w:rPr>
          <w:sz w:val="20"/>
          <w:szCs w:val="20"/>
          <w:rtl/>
        </w:rPr>
        <w:t>.</w:t>
      </w:r>
    </w:p>
    <w:p w:rsidR="007E2FB7" w:rsidRPr="003C0421" w:rsidRDefault="007E2FB7" w:rsidP="00E96AD0">
      <w:pPr>
        <w:pStyle w:val="ListParagraph"/>
        <w:numPr>
          <w:ilvl w:val="0"/>
          <w:numId w:val="5"/>
        </w:numPr>
        <w:adjustRightInd w:val="0"/>
        <w:snapToGrid w:val="0"/>
        <w:spacing w:before="0" w:beforeAutospacing="0" w:after="0" w:afterAutospacing="0"/>
        <w:jc w:val="both"/>
        <w:rPr>
          <w:sz w:val="20"/>
          <w:szCs w:val="20"/>
        </w:rPr>
      </w:pPr>
      <w:proofErr w:type="spellStart"/>
      <w:r w:rsidRPr="003C0421">
        <w:rPr>
          <w:sz w:val="20"/>
          <w:szCs w:val="20"/>
        </w:rPr>
        <w:t>Sarkis</w:t>
      </w:r>
      <w:proofErr w:type="spellEnd"/>
      <w:r w:rsidRPr="003C0421">
        <w:rPr>
          <w:sz w:val="20"/>
          <w:szCs w:val="20"/>
        </w:rPr>
        <w:t xml:space="preserve">, J. (2009). A boundaries and flows perspective of green supply chain management. GPMI working Papers. No-7, October. </w:t>
      </w:r>
    </w:p>
    <w:p w:rsidR="00F12DB1" w:rsidRPr="003C0421" w:rsidRDefault="00F12DB1"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Sarmah</w:t>
      </w:r>
      <w:proofErr w:type="spellEnd"/>
      <w:r w:rsidRPr="003C0421">
        <w:rPr>
          <w:sz w:val="20"/>
          <w:szCs w:val="20"/>
        </w:rPr>
        <w:t xml:space="preserve">, S.P., </w:t>
      </w:r>
      <w:proofErr w:type="spellStart"/>
      <w:r w:rsidRPr="003C0421">
        <w:rPr>
          <w:sz w:val="20"/>
          <w:szCs w:val="20"/>
        </w:rPr>
        <w:t>Acharya</w:t>
      </w:r>
      <w:proofErr w:type="spellEnd"/>
      <w:r w:rsidRPr="003C0421">
        <w:rPr>
          <w:sz w:val="20"/>
          <w:szCs w:val="20"/>
        </w:rPr>
        <w:t xml:space="preserve">, D., &amp; </w:t>
      </w:r>
      <w:proofErr w:type="spellStart"/>
      <w:r w:rsidRPr="003C0421">
        <w:rPr>
          <w:sz w:val="20"/>
          <w:szCs w:val="20"/>
        </w:rPr>
        <w:t>Goyal</w:t>
      </w:r>
      <w:proofErr w:type="spellEnd"/>
      <w:r w:rsidR="007004D8">
        <w:rPr>
          <w:sz w:val="20"/>
          <w:szCs w:val="20"/>
        </w:rPr>
        <w:t>,</w:t>
      </w:r>
      <w:r w:rsidRPr="003C0421">
        <w:rPr>
          <w:sz w:val="20"/>
          <w:szCs w:val="20"/>
        </w:rPr>
        <w:t xml:space="preserve"> S. K. (2006). Buyer vendor coordination models in supply chain management. European Journal of Operational Research, 175 (1), 1-15.</w:t>
      </w:r>
    </w:p>
    <w:p w:rsidR="00847833" w:rsidRPr="003C0421" w:rsidRDefault="00296BE8"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Skjoett</w:t>
      </w:r>
      <w:proofErr w:type="spellEnd"/>
      <w:r w:rsidRPr="003C0421">
        <w:rPr>
          <w:sz w:val="20"/>
          <w:szCs w:val="20"/>
        </w:rPr>
        <w:t>-Larsen, T. (1999), “Supply chain management: a new challenge for researchers and managers in logistics”, International Journal of Logistics Management, Vol. 10 No. 2, pp. 41-53.</w:t>
      </w:r>
    </w:p>
    <w:p w:rsidR="00847833" w:rsidRPr="003C0421" w:rsidRDefault="00847833" w:rsidP="00E96AD0">
      <w:pPr>
        <w:pStyle w:val="ListParagraph"/>
        <w:numPr>
          <w:ilvl w:val="0"/>
          <w:numId w:val="5"/>
        </w:numPr>
        <w:autoSpaceDE w:val="0"/>
        <w:autoSpaceDN w:val="0"/>
        <w:adjustRightInd w:val="0"/>
        <w:snapToGrid w:val="0"/>
        <w:spacing w:before="0" w:beforeAutospacing="0" w:after="0" w:afterAutospacing="0"/>
        <w:jc w:val="both"/>
        <w:rPr>
          <w:rFonts w:eastAsia="GulliverRM"/>
          <w:sz w:val="20"/>
          <w:szCs w:val="20"/>
        </w:rPr>
      </w:pPr>
      <w:proofErr w:type="spellStart"/>
      <w:r w:rsidRPr="003C0421">
        <w:rPr>
          <w:rFonts w:eastAsia="GulliverRM"/>
          <w:sz w:val="20"/>
          <w:szCs w:val="20"/>
        </w:rPr>
        <w:t>Srivastava</w:t>
      </w:r>
      <w:proofErr w:type="spellEnd"/>
      <w:r w:rsidRPr="003C0421">
        <w:rPr>
          <w:rFonts w:eastAsia="GulliverRM"/>
          <w:sz w:val="20"/>
          <w:szCs w:val="20"/>
        </w:rPr>
        <w:t xml:space="preserve"> KS. Green supply-chain management: a state-of-the-art literature review. International Journal of Management Reviews 2007</w:t>
      </w:r>
      <w:proofErr w:type="gramStart"/>
      <w:r w:rsidRPr="003C0421">
        <w:rPr>
          <w:rFonts w:eastAsia="GulliverRM"/>
          <w:sz w:val="20"/>
          <w:szCs w:val="20"/>
        </w:rPr>
        <w:t>;9</w:t>
      </w:r>
      <w:proofErr w:type="gramEnd"/>
      <w:r w:rsidRPr="003C0421">
        <w:rPr>
          <w:rFonts w:eastAsia="GulliverRM"/>
          <w:sz w:val="20"/>
          <w:szCs w:val="20"/>
        </w:rPr>
        <w:t>(1):53–80.</w:t>
      </w:r>
    </w:p>
    <w:p w:rsidR="009616ED" w:rsidRPr="003C0421" w:rsidRDefault="009616ED"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proofErr w:type="spellStart"/>
      <w:r w:rsidRPr="003C0421">
        <w:rPr>
          <w:sz w:val="20"/>
          <w:szCs w:val="20"/>
        </w:rPr>
        <w:t>Svensson</w:t>
      </w:r>
      <w:proofErr w:type="spellEnd"/>
      <w:r w:rsidRPr="003C0421">
        <w:rPr>
          <w:sz w:val="20"/>
          <w:szCs w:val="20"/>
        </w:rPr>
        <w:t>, G. (2003), “Holistic and cross-disciplinary deficiencies in the theory generation of supply chain management”, Supply Chain Management: An International Journal, Vol. 8 No. 4, pp. 303-16.</w:t>
      </w:r>
    </w:p>
    <w:p w:rsidR="007E2FB7" w:rsidRPr="003C0421" w:rsidRDefault="007E2FB7" w:rsidP="00E96AD0">
      <w:pPr>
        <w:pStyle w:val="ListParagraph"/>
        <w:numPr>
          <w:ilvl w:val="0"/>
          <w:numId w:val="5"/>
        </w:numPr>
        <w:autoSpaceDE w:val="0"/>
        <w:autoSpaceDN w:val="0"/>
        <w:adjustRightInd w:val="0"/>
        <w:snapToGrid w:val="0"/>
        <w:spacing w:before="0" w:beforeAutospacing="0" w:after="0" w:afterAutospacing="0"/>
        <w:jc w:val="both"/>
        <w:rPr>
          <w:rFonts w:eastAsia="TimesNewRoman"/>
          <w:sz w:val="20"/>
          <w:szCs w:val="20"/>
        </w:rPr>
      </w:pPr>
      <w:r w:rsidRPr="003C0421">
        <w:rPr>
          <w:sz w:val="20"/>
          <w:szCs w:val="20"/>
        </w:rPr>
        <w:t xml:space="preserve">Yu L., C., &amp; </w:t>
      </w:r>
      <w:proofErr w:type="spellStart"/>
      <w:r w:rsidRPr="003C0421">
        <w:rPr>
          <w:sz w:val="20"/>
          <w:szCs w:val="20"/>
        </w:rPr>
        <w:t>Hui</w:t>
      </w:r>
      <w:proofErr w:type="spellEnd"/>
      <w:r w:rsidRPr="003C0421">
        <w:rPr>
          <w:sz w:val="20"/>
          <w:szCs w:val="20"/>
        </w:rPr>
        <w:t xml:space="preserve"> H, Y. (2008). An empirical study on logistics services provider, intention to adopt green innovations. Journal of Technology, Management and Innovation, 3(1), 17-26</w:t>
      </w:r>
      <w:r w:rsidRPr="003C0421">
        <w:rPr>
          <w:sz w:val="20"/>
          <w:szCs w:val="20"/>
          <w:rtl/>
        </w:rPr>
        <w:t>.</w:t>
      </w:r>
    </w:p>
    <w:p w:rsidR="00E05B84" w:rsidRPr="003C0421" w:rsidRDefault="00186225" w:rsidP="00E96AD0">
      <w:pPr>
        <w:pStyle w:val="ListParagraph"/>
        <w:numPr>
          <w:ilvl w:val="0"/>
          <w:numId w:val="5"/>
        </w:numPr>
        <w:autoSpaceDE w:val="0"/>
        <w:autoSpaceDN w:val="0"/>
        <w:adjustRightInd w:val="0"/>
        <w:snapToGrid w:val="0"/>
        <w:spacing w:before="0" w:beforeAutospacing="0" w:after="0" w:afterAutospacing="0"/>
        <w:jc w:val="both"/>
        <w:rPr>
          <w:sz w:val="20"/>
          <w:szCs w:val="20"/>
        </w:rPr>
      </w:pPr>
      <w:r w:rsidRPr="003C0421">
        <w:rPr>
          <w:sz w:val="20"/>
          <w:szCs w:val="20"/>
        </w:rPr>
        <w:t xml:space="preserve">Zhu, Q., &amp; </w:t>
      </w:r>
      <w:proofErr w:type="spellStart"/>
      <w:r w:rsidRPr="003C0421">
        <w:rPr>
          <w:sz w:val="20"/>
          <w:szCs w:val="20"/>
        </w:rPr>
        <w:t>Sarkis</w:t>
      </w:r>
      <w:proofErr w:type="spellEnd"/>
      <w:r w:rsidRPr="003C0421">
        <w:rPr>
          <w:sz w:val="20"/>
          <w:szCs w:val="20"/>
        </w:rPr>
        <w:t>, J. (2004) Relationships between operational practices and performance among early adopters of green supply chain management practices in Chinese manufacturing enterprises. Journal of Operations Management; 22(3): 265-89.</w:t>
      </w:r>
    </w:p>
    <w:p w:rsidR="00847833" w:rsidRPr="003C0421" w:rsidRDefault="00847833" w:rsidP="00E96AD0">
      <w:pPr>
        <w:pStyle w:val="ListParagraph"/>
        <w:numPr>
          <w:ilvl w:val="0"/>
          <w:numId w:val="5"/>
        </w:numPr>
        <w:autoSpaceDE w:val="0"/>
        <w:autoSpaceDN w:val="0"/>
        <w:adjustRightInd w:val="0"/>
        <w:snapToGrid w:val="0"/>
        <w:spacing w:before="0" w:beforeAutospacing="0" w:after="0" w:afterAutospacing="0"/>
        <w:jc w:val="both"/>
        <w:rPr>
          <w:rFonts w:eastAsia="GulliverRM"/>
          <w:sz w:val="20"/>
          <w:szCs w:val="20"/>
        </w:rPr>
      </w:pPr>
      <w:proofErr w:type="spellStart"/>
      <w:r w:rsidRPr="003C0421">
        <w:rPr>
          <w:rFonts w:eastAsia="GulliverRM"/>
          <w:sz w:val="20"/>
          <w:szCs w:val="20"/>
        </w:rPr>
        <w:t>Zsidisin</w:t>
      </w:r>
      <w:proofErr w:type="spellEnd"/>
      <w:r w:rsidRPr="003C0421">
        <w:rPr>
          <w:rFonts w:eastAsia="GulliverRM"/>
          <w:sz w:val="20"/>
          <w:szCs w:val="20"/>
        </w:rPr>
        <w:t xml:space="preserve"> GA, </w:t>
      </w:r>
      <w:proofErr w:type="spellStart"/>
      <w:r w:rsidRPr="003C0421">
        <w:rPr>
          <w:rFonts w:eastAsia="GulliverRM"/>
          <w:sz w:val="20"/>
          <w:szCs w:val="20"/>
        </w:rPr>
        <w:t>Siferd</w:t>
      </w:r>
      <w:proofErr w:type="spellEnd"/>
      <w:r w:rsidRPr="003C0421">
        <w:rPr>
          <w:rFonts w:eastAsia="GulliverRM"/>
          <w:sz w:val="20"/>
          <w:szCs w:val="20"/>
        </w:rPr>
        <w:t xml:space="preserve"> SP. Environmental purchasing: a framework for theory development. European Journal of Purchasing and Supply Management 2001</w:t>
      </w:r>
      <w:proofErr w:type="gramStart"/>
      <w:r w:rsidRPr="003C0421">
        <w:rPr>
          <w:rFonts w:eastAsia="GulliverRM"/>
          <w:sz w:val="20"/>
          <w:szCs w:val="20"/>
        </w:rPr>
        <w:t>;7</w:t>
      </w:r>
      <w:proofErr w:type="gramEnd"/>
      <w:r w:rsidRPr="003C0421">
        <w:rPr>
          <w:rFonts w:eastAsia="GulliverRM"/>
          <w:sz w:val="20"/>
          <w:szCs w:val="20"/>
        </w:rPr>
        <w:t>(1):61–73.</w:t>
      </w:r>
    </w:p>
    <w:p w:rsidR="00E96AD0" w:rsidRDefault="00E96AD0" w:rsidP="001D7F10">
      <w:pPr>
        <w:bidi w:val="0"/>
        <w:adjustRightInd w:val="0"/>
        <w:snapToGrid w:val="0"/>
        <w:rPr>
          <w:rFonts w:cs="Times New Roman"/>
          <w:sz w:val="20"/>
          <w:szCs w:val="20"/>
        </w:rPr>
        <w:sectPr w:rsidR="00E96AD0" w:rsidSect="00E96AD0">
          <w:type w:val="continuous"/>
          <w:pgSz w:w="12242" w:h="15842" w:code="1"/>
          <w:pgMar w:top="1440" w:right="1440" w:bottom="1440" w:left="1440" w:header="720" w:footer="720" w:gutter="0"/>
          <w:cols w:num="2" w:space="576"/>
          <w:docGrid w:linePitch="408"/>
        </w:sectPr>
      </w:pPr>
    </w:p>
    <w:p w:rsidR="00E05B84" w:rsidRPr="00232743" w:rsidRDefault="00E05B84" w:rsidP="001D7F10">
      <w:pPr>
        <w:bidi w:val="0"/>
        <w:adjustRightInd w:val="0"/>
        <w:snapToGrid w:val="0"/>
        <w:rPr>
          <w:rFonts w:cs="Times New Roman"/>
          <w:sz w:val="20"/>
          <w:szCs w:val="20"/>
        </w:rPr>
      </w:pPr>
    </w:p>
    <w:p w:rsidR="00E05B84" w:rsidRPr="00232743" w:rsidRDefault="001D7F10" w:rsidP="001D7F10">
      <w:pPr>
        <w:bidi w:val="0"/>
        <w:adjustRightInd w:val="0"/>
        <w:snapToGrid w:val="0"/>
        <w:jc w:val="both"/>
        <w:rPr>
          <w:rFonts w:cs="Times New Roman"/>
          <w:sz w:val="20"/>
          <w:szCs w:val="20"/>
          <w:lang w:eastAsia="zh-CN"/>
        </w:rPr>
      </w:pPr>
      <w:r>
        <w:rPr>
          <w:rFonts w:cs="Times New Roman" w:hint="eastAsia"/>
          <w:sz w:val="20"/>
          <w:szCs w:val="20"/>
          <w:lang w:eastAsia="zh-CN"/>
        </w:rPr>
        <w:t>10/8/2013</w:t>
      </w:r>
    </w:p>
    <w:sectPr w:rsidR="00E05B84" w:rsidRPr="00232743" w:rsidSect="001D7F10">
      <w:type w:val="continuous"/>
      <w:pgSz w:w="12242" w:h="15842" w:code="1"/>
      <w:pgMar w:top="1440" w:right="1440" w:bottom="1440" w:left="1440" w:header="720" w:footer="720" w:gutter="0"/>
      <w:cols w:space="708"/>
      <w:bidi/>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D8" w:rsidRDefault="007004D8">
      <w:r>
        <w:separator/>
      </w:r>
    </w:p>
  </w:endnote>
  <w:endnote w:type="continuationSeparator" w:id="0">
    <w:p w:rsidR="007004D8" w:rsidRDefault="0070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AdvGulliv-R">
    <w:altName w:val="宋体"/>
    <w:charset w:val="86"/>
    <w:family w:val="auto"/>
    <w:pitch w:val="default"/>
    <w:sig w:usb0="00000001" w:usb1="080E0000" w:usb2="00000010" w:usb3="00000000" w:csb0="00040000" w:csb1="00000000"/>
  </w:font>
  <w:font w:name="GulliverRM">
    <w:altName w:val="MS Mincho"/>
    <w:panose1 w:val="00000000000000000000"/>
    <w:charset w:val="80"/>
    <w:family w:val="auto"/>
    <w:notTrueType/>
    <w:pitch w:val="default"/>
    <w:sig w:usb0="00000001" w:usb1="08070000" w:usb2="00000010" w:usb3="00000000" w:csb0="00020000"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D8" w:rsidRDefault="00477BAF" w:rsidP="001035FE">
    <w:pPr>
      <w:pStyle w:val="Footer"/>
      <w:framePr w:wrap="around" w:vAnchor="text" w:hAnchor="text" w:xAlign="center" w:y="1"/>
      <w:rPr>
        <w:rStyle w:val="PageNumber"/>
      </w:rPr>
    </w:pPr>
    <w:r>
      <w:rPr>
        <w:rStyle w:val="PageNumber"/>
        <w:rtl/>
      </w:rPr>
      <w:fldChar w:fldCharType="begin"/>
    </w:r>
    <w:r w:rsidR="007004D8">
      <w:rPr>
        <w:rStyle w:val="PageNumber"/>
      </w:rPr>
      <w:instrText xml:space="preserve">PAGE  </w:instrText>
    </w:r>
    <w:r>
      <w:rPr>
        <w:rStyle w:val="PageNumber"/>
        <w:rtl/>
      </w:rPr>
      <w:fldChar w:fldCharType="end"/>
    </w:r>
  </w:p>
  <w:p w:rsidR="007004D8" w:rsidRDefault="00700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543"/>
      <w:docPartObj>
        <w:docPartGallery w:val="Page Numbers (Bottom of Page)"/>
        <w:docPartUnique/>
      </w:docPartObj>
    </w:sdtPr>
    <w:sdtEndPr>
      <w:rPr>
        <w:sz w:val="20"/>
        <w:szCs w:val="20"/>
      </w:rPr>
    </w:sdtEndPr>
    <w:sdtContent>
      <w:p w:rsidR="007004D8" w:rsidRDefault="00477BAF" w:rsidP="003C0421">
        <w:pPr>
          <w:pStyle w:val="Footer"/>
          <w:bidi w:val="0"/>
          <w:jc w:val="center"/>
        </w:pPr>
        <w:r w:rsidRPr="003C0421">
          <w:rPr>
            <w:sz w:val="20"/>
            <w:szCs w:val="20"/>
          </w:rPr>
          <w:fldChar w:fldCharType="begin"/>
        </w:r>
        <w:r w:rsidR="007004D8" w:rsidRPr="003C0421">
          <w:rPr>
            <w:sz w:val="20"/>
            <w:szCs w:val="20"/>
          </w:rPr>
          <w:instrText xml:space="preserve"> PAGE   \* MERGEFORMAT </w:instrText>
        </w:r>
        <w:r w:rsidRPr="003C0421">
          <w:rPr>
            <w:sz w:val="20"/>
            <w:szCs w:val="20"/>
          </w:rPr>
          <w:fldChar w:fldCharType="separate"/>
        </w:r>
        <w:r w:rsidR="009C1891" w:rsidRPr="009C1891">
          <w:rPr>
            <w:noProof/>
            <w:sz w:val="20"/>
            <w:szCs w:val="20"/>
            <w:lang w:val="zh-CN"/>
          </w:rPr>
          <w:t>95</w:t>
        </w:r>
        <w:r w:rsidRPr="003C0421">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D8" w:rsidRDefault="007004D8">
      <w:r>
        <w:separator/>
      </w:r>
    </w:p>
  </w:footnote>
  <w:footnote w:type="continuationSeparator" w:id="0">
    <w:p w:rsidR="007004D8" w:rsidRDefault="00700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D8" w:rsidRPr="00BD5850" w:rsidRDefault="007004D8" w:rsidP="00232743">
    <w:pPr>
      <w:pBdr>
        <w:bottom w:val="thinThickMediumGap" w:sz="12" w:space="1" w:color="auto"/>
      </w:pBdr>
      <w:tabs>
        <w:tab w:val="left" w:pos="9360"/>
      </w:tabs>
      <w:bidi w:val="0"/>
      <w:jc w:val="center"/>
      <w:rPr>
        <w:rFonts w:cs="Times New Roman"/>
        <w:sz w:val="22"/>
        <w:szCs w:val="22"/>
        <w:lang w:bidi="ar-EG"/>
      </w:rPr>
    </w:pPr>
    <w:r w:rsidRPr="00BD5850">
      <w:rPr>
        <w:rFonts w:cs="Times New Roman"/>
        <w:sz w:val="22"/>
        <w:szCs w:val="22"/>
      </w:rPr>
      <w:t>Nature and Science 2013</w:t>
    </w:r>
    <w:proofErr w:type="gramStart"/>
    <w:r w:rsidRPr="00BD5850">
      <w:rPr>
        <w:rFonts w:cs="Times New Roman"/>
        <w:sz w:val="22"/>
        <w:szCs w:val="22"/>
      </w:rPr>
      <w:t>;</w:t>
    </w:r>
    <w:r>
      <w:rPr>
        <w:rFonts w:cs="Times New Roman" w:hint="eastAsia"/>
        <w:sz w:val="22"/>
        <w:szCs w:val="22"/>
        <w:lang w:eastAsia="zh-CN"/>
      </w:rPr>
      <w:t>11</w:t>
    </w:r>
    <w:proofErr w:type="gramEnd"/>
    <w:r w:rsidRPr="00BD5850">
      <w:rPr>
        <w:rFonts w:cs="Times New Roman"/>
        <w:sz w:val="22"/>
        <w:szCs w:val="22"/>
      </w:rPr>
      <w:t>(</w:t>
    </w:r>
    <w:r>
      <w:rPr>
        <w:rFonts w:cs="Times New Roman" w:hint="eastAsia"/>
        <w:sz w:val="22"/>
        <w:szCs w:val="22"/>
        <w:lang w:eastAsia="zh-CN"/>
      </w:rPr>
      <w:t>11</w:t>
    </w:r>
    <w:r w:rsidRPr="00BD5850">
      <w:rPr>
        <w:rFonts w:cs="Times New Roman"/>
        <w:sz w:val="22"/>
        <w:szCs w:val="22"/>
      </w:rPr>
      <w:t xml:space="preserve">) </w:t>
    </w:r>
    <w:r w:rsidRPr="00BD5850">
      <w:rPr>
        <w:rFonts w:cs="Times New Roman"/>
        <w:color w:val="000000"/>
        <w:sz w:val="22"/>
        <w:szCs w:val="22"/>
      </w:rPr>
      <w:t xml:space="preserve">        </w:t>
    </w:r>
    <w:r w:rsidRPr="00BD5850">
      <w:rPr>
        <w:rFonts w:cs="Times New Roman" w:hint="cs"/>
        <w:color w:val="000000"/>
        <w:sz w:val="22"/>
        <w:szCs w:val="22"/>
        <w:rtl/>
      </w:rPr>
      <w:t xml:space="preserve">             </w:t>
    </w:r>
    <w:r w:rsidRPr="00BD5850">
      <w:rPr>
        <w:rFonts w:cs="Times New Roman"/>
        <w:color w:val="000000"/>
        <w:sz w:val="22"/>
        <w:szCs w:val="22"/>
      </w:rPr>
      <w:t xml:space="preserve">                  </w:t>
    </w:r>
    <w:hyperlink r:id="rId1" w:history="1">
      <w:r w:rsidRPr="00BD5850">
        <w:rPr>
          <w:rStyle w:val="Hyperlink"/>
          <w:sz w:val="22"/>
          <w:szCs w:val="22"/>
        </w:rPr>
        <w:t>http://www.sciencepub.net/nature</w:t>
      </w:r>
    </w:hyperlink>
    <w:r w:rsidRPr="00BD5850">
      <w:rPr>
        <w:rFonts w:cs="Times New Roman"/>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A02"/>
    <w:multiLevelType w:val="hybridMultilevel"/>
    <w:tmpl w:val="ABB83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E53ADF"/>
    <w:multiLevelType w:val="hybridMultilevel"/>
    <w:tmpl w:val="7F5EDA6A"/>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28C4"/>
    <w:multiLevelType w:val="hybridMultilevel"/>
    <w:tmpl w:val="79D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1310F"/>
    <w:multiLevelType w:val="hybridMultilevel"/>
    <w:tmpl w:val="7A54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45271"/>
    <w:multiLevelType w:val="hybridMultilevel"/>
    <w:tmpl w:val="F9D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stylePaneFormatFilter w:val="3F01"/>
  <w:defaultTabStop w:val="720"/>
  <w:drawingGridHorizontalSpacing w:val="15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8F4B04"/>
    <w:rsid w:val="00022D54"/>
    <w:rsid w:val="00042639"/>
    <w:rsid w:val="00044710"/>
    <w:rsid w:val="00044FEE"/>
    <w:rsid w:val="000452B8"/>
    <w:rsid w:val="00050CFE"/>
    <w:rsid w:val="00051847"/>
    <w:rsid w:val="000619F6"/>
    <w:rsid w:val="00066406"/>
    <w:rsid w:val="00071659"/>
    <w:rsid w:val="00083543"/>
    <w:rsid w:val="00095196"/>
    <w:rsid w:val="00095A5C"/>
    <w:rsid w:val="000C10F0"/>
    <w:rsid w:val="000C1FC3"/>
    <w:rsid w:val="000E034A"/>
    <w:rsid w:val="001015A7"/>
    <w:rsid w:val="001035FE"/>
    <w:rsid w:val="0013500C"/>
    <w:rsid w:val="001644FD"/>
    <w:rsid w:val="00186225"/>
    <w:rsid w:val="001A7E8B"/>
    <w:rsid w:val="001B4A3E"/>
    <w:rsid w:val="001D35CE"/>
    <w:rsid w:val="001D7F10"/>
    <w:rsid w:val="001E584A"/>
    <w:rsid w:val="001E7DF0"/>
    <w:rsid w:val="001E7E6A"/>
    <w:rsid w:val="002066DF"/>
    <w:rsid w:val="002124AC"/>
    <w:rsid w:val="002173AA"/>
    <w:rsid w:val="00232743"/>
    <w:rsid w:val="00237301"/>
    <w:rsid w:val="00247EFD"/>
    <w:rsid w:val="00270CB2"/>
    <w:rsid w:val="00276D03"/>
    <w:rsid w:val="00282118"/>
    <w:rsid w:val="002829B2"/>
    <w:rsid w:val="00286F82"/>
    <w:rsid w:val="00296BE8"/>
    <w:rsid w:val="002A45E9"/>
    <w:rsid w:val="002B2653"/>
    <w:rsid w:val="002C2104"/>
    <w:rsid w:val="002C26F5"/>
    <w:rsid w:val="002D6E0C"/>
    <w:rsid w:val="002F03E5"/>
    <w:rsid w:val="002F6576"/>
    <w:rsid w:val="002F7680"/>
    <w:rsid w:val="00323315"/>
    <w:rsid w:val="003332E9"/>
    <w:rsid w:val="0034059B"/>
    <w:rsid w:val="00341455"/>
    <w:rsid w:val="00353935"/>
    <w:rsid w:val="00353CD1"/>
    <w:rsid w:val="003561D4"/>
    <w:rsid w:val="0036646F"/>
    <w:rsid w:val="0037538F"/>
    <w:rsid w:val="0038099C"/>
    <w:rsid w:val="003824A1"/>
    <w:rsid w:val="00385785"/>
    <w:rsid w:val="003A49D4"/>
    <w:rsid w:val="003B67F2"/>
    <w:rsid w:val="003C0421"/>
    <w:rsid w:val="003C0EEE"/>
    <w:rsid w:val="003C4F4A"/>
    <w:rsid w:val="003E3402"/>
    <w:rsid w:val="003F2E86"/>
    <w:rsid w:val="003F6285"/>
    <w:rsid w:val="00417ED6"/>
    <w:rsid w:val="00417FF5"/>
    <w:rsid w:val="00453354"/>
    <w:rsid w:val="004535D4"/>
    <w:rsid w:val="0045522C"/>
    <w:rsid w:val="00477BAF"/>
    <w:rsid w:val="004955BB"/>
    <w:rsid w:val="004B184C"/>
    <w:rsid w:val="004B57C7"/>
    <w:rsid w:val="004E1E90"/>
    <w:rsid w:val="0050266B"/>
    <w:rsid w:val="00535059"/>
    <w:rsid w:val="00536044"/>
    <w:rsid w:val="00541724"/>
    <w:rsid w:val="0055238C"/>
    <w:rsid w:val="005761C2"/>
    <w:rsid w:val="00576810"/>
    <w:rsid w:val="005871E6"/>
    <w:rsid w:val="005873E4"/>
    <w:rsid w:val="00597878"/>
    <w:rsid w:val="005B67A6"/>
    <w:rsid w:val="005C2E0D"/>
    <w:rsid w:val="005D0235"/>
    <w:rsid w:val="005F34E9"/>
    <w:rsid w:val="006070CF"/>
    <w:rsid w:val="006147A5"/>
    <w:rsid w:val="006307E0"/>
    <w:rsid w:val="00634104"/>
    <w:rsid w:val="00644424"/>
    <w:rsid w:val="00646490"/>
    <w:rsid w:val="0064710D"/>
    <w:rsid w:val="006722DA"/>
    <w:rsid w:val="00674BB6"/>
    <w:rsid w:val="006823B3"/>
    <w:rsid w:val="006857CB"/>
    <w:rsid w:val="00687B7E"/>
    <w:rsid w:val="00696A3B"/>
    <w:rsid w:val="006B17DF"/>
    <w:rsid w:val="006B5000"/>
    <w:rsid w:val="006C2825"/>
    <w:rsid w:val="006D1C6D"/>
    <w:rsid w:val="006E22EA"/>
    <w:rsid w:val="007004D8"/>
    <w:rsid w:val="007036AC"/>
    <w:rsid w:val="0070700A"/>
    <w:rsid w:val="0071133D"/>
    <w:rsid w:val="0071268E"/>
    <w:rsid w:val="00712A9A"/>
    <w:rsid w:val="007178A4"/>
    <w:rsid w:val="00717A83"/>
    <w:rsid w:val="007223F5"/>
    <w:rsid w:val="00727B13"/>
    <w:rsid w:val="00730A50"/>
    <w:rsid w:val="0073392F"/>
    <w:rsid w:val="0075281B"/>
    <w:rsid w:val="00757186"/>
    <w:rsid w:val="007571AF"/>
    <w:rsid w:val="00757CC9"/>
    <w:rsid w:val="00760220"/>
    <w:rsid w:val="00763352"/>
    <w:rsid w:val="00785051"/>
    <w:rsid w:val="00794957"/>
    <w:rsid w:val="00796DF1"/>
    <w:rsid w:val="007C371A"/>
    <w:rsid w:val="007C6739"/>
    <w:rsid w:val="007D3DAF"/>
    <w:rsid w:val="007D4A9B"/>
    <w:rsid w:val="007D7685"/>
    <w:rsid w:val="007E2FB7"/>
    <w:rsid w:val="007E6E6D"/>
    <w:rsid w:val="00805AF4"/>
    <w:rsid w:val="0081172A"/>
    <w:rsid w:val="00811A87"/>
    <w:rsid w:val="00820C7E"/>
    <w:rsid w:val="00832896"/>
    <w:rsid w:val="00844E27"/>
    <w:rsid w:val="00847833"/>
    <w:rsid w:val="008641FE"/>
    <w:rsid w:val="008779CC"/>
    <w:rsid w:val="008842A0"/>
    <w:rsid w:val="00886338"/>
    <w:rsid w:val="008A0C42"/>
    <w:rsid w:val="008A328B"/>
    <w:rsid w:val="008A515F"/>
    <w:rsid w:val="008A76CA"/>
    <w:rsid w:val="008B7A09"/>
    <w:rsid w:val="008C68EC"/>
    <w:rsid w:val="008C72EB"/>
    <w:rsid w:val="008D239B"/>
    <w:rsid w:val="008E1D6C"/>
    <w:rsid w:val="008F4B04"/>
    <w:rsid w:val="009055FC"/>
    <w:rsid w:val="00910439"/>
    <w:rsid w:val="009105EC"/>
    <w:rsid w:val="00913085"/>
    <w:rsid w:val="0093191E"/>
    <w:rsid w:val="00935B17"/>
    <w:rsid w:val="00940852"/>
    <w:rsid w:val="009408F6"/>
    <w:rsid w:val="009616ED"/>
    <w:rsid w:val="00965C93"/>
    <w:rsid w:val="009725D4"/>
    <w:rsid w:val="00985733"/>
    <w:rsid w:val="0099520F"/>
    <w:rsid w:val="00995347"/>
    <w:rsid w:val="0099781C"/>
    <w:rsid w:val="00997B92"/>
    <w:rsid w:val="009A56B0"/>
    <w:rsid w:val="009B050B"/>
    <w:rsid w:val="009B52C7"/>
    <w:rsid w:val="009B6C3F"/>
    <w:rsid w:val="009C1891"/>
    <w:rsid w:val="009C6AD7"/>
    <w:rsid w:val="009D21FE"/>
    <w:rsid w:val="009F0C09"/>
    <w:rsid w:val="009F63F7"/>
    <w:rsid w:val="00A05210"/>
    <w:rsid w:val="00A1020F"/>
    <w:rsid w:val="00A22223"/>
    <w:rsid w:val="00A343F2"/>
    <w:rsid w:val="00A450B3"/>
    <w:rsid w:val="00A56201"/>
    <w:rsid w:val="00A65378"/>
    <w:rsid w:val="00A7466B"/>
    <w:rsid w:val="00A76798"/>
    <w:rsid w:val="00A8505A"/>
    <w:rsid w:val="00A902E3"/>
    <w:rsid w:val="00A92B3F"/>
    <w:rsid w:val="00AB2738"/>
    <w:rsid w:val="00AB64D5"/>
    <w:rsid w:val="00AD2621"/>
    <w:rsid w:val="00AD5EE8"/>
    <w:rsid w:val="00AD71F2"/>
    <w:rsid w:val="00AE21CC"/>
    <w:rsid w:val="00AE5AFA"/>
    <w:rsid w:val="00AF0CD4"/>
    <w:rsid w:val="00B2118A"/>
    <w:rsid w:val="00B257E7"/>
    <w:rsid w:val="00B27ED6"/>
    <w:rsid w:val="00B32C0C"/>
    <w:rsid w:val="00B36659"/>
    <w:rsid w:val="00B56BC5"/>
    <w:rsid w:val="00B61326"/>
    <w:rsid w:val="00B64FB9"/>
    <w:rsid w:val="00B678A1"/>
    <w:rsid w:val="00B75631"/>
    <w:rsid w:val="00B93E6F"/>
    <w:rsid w:val="00BB38A2"/>
    <w:rsid w:val="00BC6C2E"/>
    <w:rsid w:val="00BE507C"/>
    <w:rsid w:val="00C21BEA"/>
    <w:rsid w:val="00C26ECE"/>
    <w:rsid w:val="00C40F09"/>
    <w:rsid w:val="00C45785"/>
    <w:rsid w:val="00C55275"/>
    <w:rsid w:val="00C76EBE"/>
    <w:rsid w:val="00C76F70"/>
    <w:rsid w:val="00C8710E"/>
    <w:rsid w:val="00C93A62"/>
    <w:rsid w:val="00C96E6E"/>
    <w:rsid w:val="00CA3705"/>
    <w:rsid w:val="00CB1955"/>
    <w:rsid w:val="00CB717C"/>
    <w:rsid w:val="00CC575A"/>
    <w:rsid w:val="00CC7661"/>
    <w:rsid w:val="00CD1980"/>
    <w:rsid w:val="00CD2A8D"/>
    <w:rsid w:val="00CD2F28"/>
    <w:rsid w:val="00CD45DE"/>
    <w:rsid w:val="00CE0E18"/>
    <w:rsid w:val="00D2722C"/>
    <w:rsid w:val="00D316B9"/>
    <w:rsid w:val="00D32676"/>
    <w:rsid w:val="00D33993"/>
    <w:rsid w:val="00D33DAB"/>
    <w:rsid w:val="00D35555"/>
    <w:rsid w:val="00D439A9"/>
    <w:rsid w:val="00D47471"/>
    <w:rsid w:val="00D63D27"/>
    <w:rsid w:val="00D6543C"/>
    <w:rsid w:val="00D659DE"/>
    <w:rsid w:val="00D72D83"/>
    <w:rsid w:val="00D73A33"/>
    <w:rsid w:val="00D76857"/>
    <w:rsid w:val="00D91A97"/>
    <w:rsid w:val="00D9474C"/>
    <w:rsid w:val="00DA73FF"/>
    <w:rsid w:val="00DC0A99"/>
    <w:rsid w:val="00DF1AD9"/>
    <w:rsid w:val="00DF5890"/>
    <w:rsid w:val="00E00783"/>
    <w:rsid w:val="00E02114"/>
    <w:rsid w:val="00E0453A"/>
    <w:rsid w:val="00E05B84"/>
    <w:rsid w:val="00E13A80"/>
    <w:rsid w:val="00E15A94"/>
    <w:rsid w:val="00E24D4B"/>
    <w:rsid w:val="00E257F0"/>
    <w:rsid w:val="00E3523E"/>
    <w:rsid w:val="00E35733"/>
    <w:rsid w:val="00E36416"/>
    <w:rsid w:val="00E509D9"/>
    <w:rsid w:val="00E51BD1"/>
    <w:rsid w:val="00E7354B"/>
    <w:rsid w:val="00E87062"/>
    <w:rsid w:val="00E96AD0"/>
    <w:rsid w:val="00EA74B1"/>
    <w:rsid w:val="00EB1916"/>
    <w:rsid w:val="00EB3558"/>
    <w:rsid w:val="00EC1293"/>
    <w:rsid w:val="00ED2BEB"/>
    <w:rsid w:val="00ED7358"/>
    <w:rsid w:val="00EE1465"/>
    <w:rsid w:val="00EE58AA"/>
    <w:rsid w:val="00EF0E9F"/>
    <w:rsid w:val="00F12DB1"/>
    <w:rsid w:val="00F15F5A"/>
    <w:rsid w:val="00F26D1F"/>
    <w:rsid w:val="00F546BD"/>
    <w:rsid w:val="00F54B92"/>
    <w:rsid w:val="00F55B16"/>
    <w:rsid w:val="00F634A8"/>
    <w:rsid w:val="00F76893"/>
    <w:rsid w:val="00F855B8"/>
    <w:rsid w:val="00F86B3B"/>
    <w:rsid w:val="00F92FA7"/>
    <w:rsid w:val="00FA7230"/>
    <w:rsid w:val="00FB677C"/>
    <w:rsid w:val="00FE5924"/>
    <w:rsid w:val="00FF5D91"/>
    <w:rsid w:val="00FF7C4C"/>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B04"/>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rsid w:val="00730A50"/>
    <w:rPr>
      <w:rFonts w:ascii="Tahoma" w:hAnsi="Tahoma" w:cs="Tahoma"/>
      <w:sz w:val="16"/>
      <w:szCs w:val="16"/>
    </w:rPr>
  </w:style>
  <w:style w:type="character" w:customStyle="1" w:styleId="BalloonTextChar">
    <w:name w:val="Balloon Text Char"/>
    <w:basedOn w:val="DefaultParagraphFont"/>
    <w:link w:val="BalloonText"/>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rsid w:val="00D35555"/>
    <w:pPr>
      <w:tabs>
        <w:tab w:val="center" w:pos="4513"/>
        <w:tab w:val="right" w:pos="9026"/>
      </w:tabs>
    </w:pPr>
  </w:style>
  <w:style w:type="character" w:customStyle="1" w:styleId="HeaderChar">
    <w:name w:val="Header Char"/>
    <w:basedOn w:val="DefaultParagraphFont"/>
    <w:link w:val="Header"/>
    <w:rsid w:val="00D35555"/>
    <w:rPr>
      <w:rFonts w:cs="2  Yagut"/>
      <w:sz w:val="30"/>
      <w:szCs w:val="28"/>
      <w:lang w:bidi="ar-SA"/>
    </w:rPr>
  </w:style>
  <w:style w:type="table" w:styleId="TableGrid">
    <w:name w:val="Table Grid"/>
    <w:basedOn w:val="TableNormal"/>
    <w:uiPriority w:val="59"/>
    <w:rsid w:val="00D654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2BEB"/>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A8D"/>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C0421"/>
    <w:rPr>
      <w:rFonts w:cs="2  Yagut"/>
      <w:sz w:val="3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773241">
      <w:bodyDiv w:val="1"/>
      <w:marLeft w:val="0"/>
      <w:marRight w:val="0"/>
      <w:marTop w:val="0"/>
      <w:marBottom w:val="0"/>
      <w:divBdr>
        <w:top w:val="none" w:sz="0" w:space="0" w:color="auto"/>
        <w:left w:val="none" w:sz="0" w:space="0" w:color="auto"/>
        <w:bottom w:val="none" w:sz="0" w:space="0" w:color="auto"/>
        <w:right w:val="none" w:sz="0" w:space="0" w:color="auto"/>
      </w:divBdr>
    </w:div>
    <w:div w:id="356201783">
      <w:bodyDiv w:val="1"/>
      <w:marLeft w:val="0"/>
      <w:marRight w:val="0"/>
      <w:marTop w:val="0"/>
      <w:marBottom w:val="0"/>
      <w:divBdr>
        <w:top w:val="none" w:sz="0" w:space="0" w:color="auto"/>
        <w:left w:val="none" w:sz="0" w:space="0" w:color="auto"/>
        <w:bottom w:val="none" w:sz="0" w:space="0" w:color="auto"/>
        <w:right w:val="none" w:sz="0" w:space="0" w:color="auto"/>
      </w:divBdr>
    </w:div>
    <w:div w:id="386609872">
      <w:bodyDiv w:val="1"/>
      <w:marLeft w:val="0"/>
      <w:marRight w:val="0"/>
      <w:marTop w:val="0"/>
      <w:marBottom w:val="0"/>
      <w:divBdr>
        <w:top w:val="none" w:sz="0" w:space="0" w:color="auto"/>
        <w:left w:val="none" w:sz="0" w:space="0" w:color="auto"/>
        <w:bottom w:val="none" w:sz="0" w:space="0" w:color="auto"/>
        <w:right w:val="none" w:sz="0" w:space="0" w:color="auto"/>
      </w:divBdr>
      <w:divsChild>
        <w:div w:id="1469588803">
          <w:marLeft w:val="0"/>
          <w:marRight w:val="0"/>
          <w:marTop w:val="0"/>
          <w:marBottom w:val="0"/>
          <w:divBdr>
            <w:top w:val="none" w:sz="0" w:space="0" w:color="auto"/>
            <w:left w:val="none" w:sz="0" w:space="0" w:color="auto"/>
            <w:bottom w:val="none" w:sz="0" w:space="0" w:color="auto"/>
            <w:right w:val="none" w:sz="0" w:space="0" w:color="auto"/>
          </w:divBdr>
        </w:div>
      </w:divsChild>
    </w:div>
    <w:div w:id="501090228">
      <w:bodyDiv w:val="1"/>
      <w:marLeft w:val="0"/>
      <w:marRight w:val="0"/>
      <w:marTop w:val="0"/>
      <w:marBottom w:val="0"/>
      <w:divBdr>
        <w:top w:val="none" w:sz="0" w:space="0" w:color="auto"/>
        <w:left w:val="none" w:sz="0" w:space="0" w:color="auto"/>
        <w:bottom w:val="none" w:sz="0" w:space="0" w:color="auto"/>
        <w:right w:val="none" w:sz="0" w:space="0" w:color="auto"/>
      </w:divBdr>
    </w:div>
    <w:div w:id="913047751">
      <w:bodyDiv w:val="1"/>
      <w:marLeft w:val="0"/>
      <w:marRight w:val="0"/>
      <w:marTop w:val="0"/>
      <w:marBottom w:val="0"/>
      <w:divBdr>
        <w:top w:val="none" w:sz="0" w:space="0" w:color="auto"/>
        <w:left w:val="none" w:sz="0" w:space="0" w:color="auto"/>
        <w:bottom w:val="none" w:sz="0" w:space="0" w:color="auto"/>
        <w:right w:val="none" w:sz="0" w:space="0" w:color="auto"/>
      </w:divBdr>
    </w:div>
    <w:div w:id="929777606">
      <w:bodyDiv w:val="1"/>
      <w:marLeft w:val="0"/>
      <w:marRight w:val="0"/>
      <w:marTop w:val="0"/>
      <w:marBottom w:val="0"/>
      <w:divBdr>
        <w:top w:val="none" w:sz="0" w:space="0" w:color="auto"/>
        <w:left w:val="none" w:sz="0" w:space="0" w:color="auto"/>
        <w:bottom w:val="none" w:sz="0" w:space="0" w:color="auto"/>
        <w:right w:val="none" w:sz="0" w:space="0" w:color="auto"/>
      </w:divBdr>
    </w:div>
    <w:div w:id="1155805987">
      <w:bodyDiv w:val="1"/>
      <w:marLeft w:val="0"/>
      <w:marRight w:val="0"/>
      <w:marTop w:val="0"/>
      <w:marBottom w:val="0"/>
      <w:divBdr>
        <w:top w:val="none" w:sz="0" w:space="0" w:color="auto"/>
        <w:left w:val="none" w:sz="0" w:space="0" w:color="auto"/>
        <w:bottom w:val="none" w:sz="0" w:space="0" w:color="auto"/>
        <w:right w:val="none" w:sz="0" w:space="0" w:color="auto"/>
      </w:divBdr>
    </w:div>
    <w:div w:id="1212114954">
      <w:bodyDiv w:val="1"/>
      <w:marLeft w:val="0"/>
      <w:marRight w:val="0"/>
      <w:marTop w:val="0"/>
      <w:marBottom w:val="0"/>
      <w:divBdr>
        <w:top w:val="none" w:sz="0" w:space="0" w:color="auto"/>
        <w:left w:val="none" w:sz="0" w:space="0" w:color="auto"/>
        <w:bottom w:val="none" w:sz="0" w:space="0" w:color="auto"/>
        <w:right w:val="none" w:sz="0" w:space="0" w:color="auto"/>
      </w:divBdr>
    </w:div>
    <w:div w:id="1298410813">
      <w:bodyDiv w:val="1"/>
      <w:marLeft w:val="0"/>
      <w:marRight w:val="0"/>
      <w:marTop w:val="0"/>
      <w:marBottom w:val="0"/>
      <w:divBdr>
        <w:top w:val="none" w:sz="0" w:space="0" w:color="auto"/>
        <w:left w:val="none" w:sz="0" w:space="0" w:color="auto"/>
        <w:bottom w:val="none" w:sz="0" w:space="0" w:color="auto"/>
        <w:right w:val="none" w:sz="0" w:space="0" w:color="auto"/>
      </w:divBdr>
    </w:div>
    <w:div w:id="1338464233">
      <w:bodyDiv w:val="1"/>
      <w:marLeft w:val="0"/>
      <w:marRight w:val="0"/>
      <w:marTop w:val="0"/>
      <w:marBottom w:val="0"/>
      <w:divBdr>
        <w:top w:val="none" w:sz="0" w:space="0" w:color="auto"/>
        <w:left w:val="none" w:sz="0" w:space="0" w:color="auto"/>
        <w:bottom w:val="none" w:sz="0" w:space="0" w:color="auto"/>
        <w:right w:val="none" w:sz="0" w:space="0" w:color="auto"/>
      </w:divBdr>
    </w:div>
    <w:div w:id="1435395006">
      <w:bodyDiv w:val="1"/>
      <w:marLeft w:val="0"/>
      <w:marRight w:val="0"/>
      <w:marTop w:val="0"/>
      <w:marBottom w:val="0"/>
      <w:divBdr>
        <w:top w:val="none" w:sz="0" w:space="0" w:color="auto"/>
        <w:left w:val="none" w:sz="0" w:space="0" w:color="auto"/>
        <w:bottom w:val="none" w:sz="0" w:space="0" w:color="auto"/>
        <w:right w:val="none" w:sz="0" w:space="0" w:color="auto"/>
      </w:divBdr>
    </w:div>
    <w:div w:id="1471242911">
      <w:bodyDiv w:val="1"/>
      <w:marLeft w:val="0"/>
      <w:marRight w:val="0"/>
      <w:marTop w:val="0"/>
      <w:marBottom w:val="0"/>
      <w:divBdr>
        <w:top w:val="none" w:sz="0" w:space="0" w:color="auto"/>
        <w:left w:val="none" w:sz="0" w:space="0" w:color="auto"/>
        <w:bottom w:val="none" w:sz="0" w:space="0" w:color="auto"/>
        <w:right w:val="none" w:sz="0" w:space="0" w:color="auto"/>
      </w:divBdr>
    </w:div>
    <w:div w:id="1538158550">
      <w:bodyDiv w:val="1"/>
      <w:marLeft w:val="0"/>
      <w:marRight w:val="0"/>
      <w:marTop w:val="0"/>
      <w:marBottom w:val="0"/>
      <w:divBdr>
        <w:top w:val="none" w:sz="0" w:space="0" w:color="auto"/>
        <w:left w:val="none" w:sz="0" w:space="0" w:color="auto"/>
        <w:bottom w:val="none" w:sz="0" w:space="0" w:color="auto"/>
        <w:right w:val="none" w:sz="0" w:space="0" w:color="auto"/>
      </w:divBdr>
      <w:divsChild>
        <w:div w:id="1504663510">
          <w:marLeft w:val="0"/>
          <w:marRight w:val="0"/>
          <w:marTop w:val="0"/>
          <w:marBottom w:val="0"/>
          <w:divBdr>
            <w:top w:val="none" w:sz="0" w:space="0" w:color="auto"/>
            <w:left w:val="none" w:sz="0" w:space="0" w:color="auto"/>
            <w:bottom w:val="none" w:sz="0" w:space="0" w:color="auto"/>
            <w:right w:val="none" w:sz="0" w:space="0" w:color="auto"/>
          </w:divBdr>
        </w:div>
      </w:divsChild>
    </w:div>
    <w:div w:id="1580168379">
      <w:bodyDiv w:val="1"/>
      <w:marLeft w:val="0"/>
      <w:marRight w:val="0"/>
      <w:marTop w:val="0"/>
      <w:marBottom w:val="0"/>
      <w:divBdr>
        <w:top w:val="none" w:sz="0" w:space="0" w:color="auto"/>
        <w:left w:val="none" w:sz="0" w:space="0" w:color="auto"/>
        <w:bottom w:val="none" w:sz="0" w:space="0" w:color="auto"/>
        <w:right w:val="none" w:sz="0" w:space="0" w:color="auto"/>
      </w:divBdr>
    </w:div>
    <w:div w:id="1620647645">
      <w:bodyDiv w:val="1"/>
      <w:marLeft w:val="0"/>
      <w:marRight w:val="0"/>
      <w:marTop w:val="0"/>
      <w:marBottom w:val="0"/>
      <w:divBdr>
        <w:top w:val="none" w:sz="0" w:space="0" w:color="auto"/>
        <w:left w:val="none" w:sz="0" w:space="0" w:color="auto"/>
        <w:bottom w:val="none" w:sz="0" w:space="0" w:color="auto"/>
        <w:right w:val="none" w:sz="0" w:space="0" w:color="auto"/>
      </w:divBdr>
    </w:div>
    <w:div w:id="1999914254">
      <w:bodyDiv w:val="1"/>
      <w:marLeft w:val="0"/>
      <w:marRight w:val="0"/>
      <w:marTop w:val="0"/>
      <w:marBottom w:val="0"/>
      <w:divBdr>
        <w:top w:val="none" w:sz="0" w:space="0" w:color="auto"/>
        <w:left w:val="none" w:sz="0" w:space="0" w:color="auto"/>
        <w:bottom w:val="none" w:sz="0" w:space="0" w:color="auto"/>
        <w:right w:val="none" w:sz="0" w:space="0" w:color="auto"/>
      </w:divBdr>
    </w:div>
    <w:div w:id="20021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Sheet1!$H$4:$H$7</c:f>
              <c:numCache>
                <c:formatCode>General</c:formatCode>
                <c:ptCount val="4"/>
                <c:pt idx="0">
                  <c:v>0.24600000000000014</c:v>
                </c:pt>
                <c:pt idx="1">
                  <c:v>-3.3000000000000002E-2</c:v>
                </c:pt>
                <c:pt idx="2">
                  <c:v>-0.10400000000000002</c:v>
                </c:pt>
                <c:pt idx="3">
                  <c:v>-0.10900000000000007</c:v>
                </c:pt>
              </c:numCache>
            </c:numRef>
          </c:yVal>
        </c:ser>
        <c:axId val="99971456"/>
        <c:axId val="99972992"/>
      </c:scatterChart>
      <c:valAx>
        <c:axId val="99971456"/>
        <c:scaling>
          <c:orientation val="minMax"/>
        </c:scaling>
        <c:axPos val="b"/>
        <c:tickLblPos val="nextTo"/>
        <c:txPr>
          <a:bodyPr/>
          <a:lstStyle/>
          <a:p>
            <a:pPr>
              <a:defRPr lang="en-US"/>
            </a:pPr>
            <a:endParaRPr lang="en-US"/>
          </a:p>
        </c:txPr>
        <c:crossAx val="99972992"/>
        <c:crosses val="autoZero"/>
        <c:crossBetween val="midCat"/>
      </c:valAx>
      <c:valAx>
        <c:axId val="99972992"/>
        <c:scaling>
          <c:orientation val="minMax"/>
        </c:scaling>
        <c:axPos val="l"/>
        <c:majorGridlines/>
        <c:numFmt formatCode="General" sourceLinked="1"/>
        <c:tickLblPos val="nextTo"/>
        <c:txPr>
          <a:bodyPr/>
          <a:lstStyle/>
          <a:p>
            <a:pPr>
              <a:defRPr lang="en-US"/>
            </a:pPr>
            <a:endParaRPr lang="en-US"/>
          </a:p>
        </c:txPr>
        <c:crossAx val="99971456"/>
        <c:crosses val="autoZero"/>
        <c:crossBetween val="midCat"/>
      </c:valAx>
    </c:plotArea>
    <c:legend>
      <c:legendPos val="r"/>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4"/>
  <c:clrMapOvr bg1="lt1" tx1="dk1" bg2="lt2" tx2="dk2" accent1="accent1" accent2="accent2" accent3="accent3" accent4="accent4" accent5="accent5" accent6="accent6" hlink="hlink" folHlink="folHlink"/>
  <c:chart>
    <c:plotArea>
      <c:layout/>
      <c:scatterChart>
        <c:scatterStyle val="lineMarker"/>
        <c:ser>
          <c:idx val="0"/>
          <c:order val="0"/>
          <c:spPr>
            <a:ln w="47625">
              <a:noFill/>
            </a:ln>
          </c:spPr>
          <c:yVal>
            <c:numRef>
              <c:f>Sheet1!$H$22:$H$25</c:f>
              <c:numCache>
                <c:formatCode>General</c:formatCode>
                <c:ptCount val="4"/>
                <c:pt idx="0">
                  <c:v>-0.11600000000000002</c:v>
                </c:pt>
                <c:pt idx="1">
                  <c:v>0.28900000000000026</c:v>
                </c:pt>
                <c:pt idx="2">
                  <c:v>-0.15300000000000014</c:v>
                </c:pt>
                <c:pt idx="3">
                  <c:v>-2.0000000000000011E-2</c:v>
                </c:pt>
              </c:numCache>
            </c:numRef>
          </c:yVal>
        </c:ser>
        <c:axId val="99981568"/>
        <c:axId val="101445632"/>
      </c:scatterChart>
      <c:valAx>
        <c:axId val="99981568"/>
        <c:scaling>
          <c:orientation val="minMax"/>
        </c:scaling>
        <c:axPos val="b"/>
        <c:tickLblPos val="nextTo"/>
        <c:txPr>
          <a:bodyPr/>
          <a:lstStyle/>
          <a:p>
            <a:pPr>
              <a:defRPr lang="en-US"/>
            </a:pPr>
            <a:endParaRPr lang="en-US"/>
          </a:p>
        </c:txPr>
        <c:crossAx val="101445632"/>
        <c:crosses val="autoZero"/>
        <c:crossBetween val="midCat"/>
      </c:valAx>
      <c:valAx>
        <c:axId val="101445632"/>
        <c:scaling>
          <c:orientation val="minMax"/>
        </c:scaling>
        <c:axPos val="l"/>
        <c:majorGridlines/>
        <c:numFmt formatCode="General" sourceLinked="1"/>
        <c:tickLblPos val="nextTo"/>
        <c:txPr>
          <a:bodyPr/>
          <a:lstStyle/>
          <a:p>
            <a:pPr>
              <a:defRPr lang="en-US"/>
            </a:pPr>
            <a:endParaRPr lang="en-US"/>
          </a:p>
        </c:txPr>
        <c:crossAx val="99981568"/>
        <c:crosses val="autoZero"/>
        <c:crossBetween val="midCat"/>
      </c:valAx>
    </c:plotArea>
    <c:legend>
      <c:legendPos val="r"/>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0"/>
  <c:clrMapOvr bg1="lt1" tx1="dk1" bg2="lt2" tx2="dk2" accent1="accent1" accent2="accent2" accent3="accent3" accent4="accent4" accent5="accent5" accent6="accent6" hlink="hlink" folHlink="folHlink"/>
  <c:chart>
    <c:plotArea>
      <c:layout/>
      <c:scatterChart>
        <c:scatterStyle val="lineMarker"/>
        <c:ser>
          <c:idx val="0"/>
          <c:order val="0"/>
          <c:spPr>
            <a:ln w="47625">
              <a:noFill/>
            </a:ln>
          </c:spPr>
          <c:yVal>
            <c:numRef>
              <c:f>Sheet1!$I$37:$I$40</c:f>
              <c:numCache>
                <c:formatCode>General</c:formatCode>
                <c:ptCount val="4"/>
                <c:pt idx="0">
                  <c:v>0.14200000000000004</c:v>
                </c:pt>
                <c:pt idx="1">
                  <c:v>-0.13100000000000001</c:v>
                </c:pt>
                <c:pt idx="2">
                  <c:v>-0.18400000000000014</c:v>
                </c:pt>
                <c:pt idx="3">
                  <c:v>0.17300000000000001</c:v>
                </c:pt>
              </c:numCache>
            </c:numRef>
          </c:yVal>
        </c:ser>
        <c:axId val="101453184"/>
        <c:axId val="101475456"/>
      </c:scatterChart>
      <c:valAx>
        <c:axId val="101453184"/>
        <c:scaling>
          <c:orientation val="minMax"/>
        </c:scaling>
        <c:axPos val="b"/>
        <c:tickLblPos val="nextTo"/>
        <c:txPr>
          <a:bodyPr/>
          <a:lstStyle/>
          <a:p>
            <a:pPr>
              <a:defRPr lang="en-US"/>
            </a:pPr>
            <a:endParaRPr lang="en-US"/>
          </a:p>
        </c:txPr>
        <c:crossAx val="101475456"/>
        <c:crosses val="autoZero"/>
        <c:crossBetween val="midCat"/>
      </c:valAx>
      <c:valAx>
        <c:axId val="101475456"/>
        <c:scaling>
          <c:orientation val="minMax"/>
        </c:scaling>
        <c:axPos val="l"/>
        <c:majorGridlines/>
        <c:numFmt formatCode="General" sourceLinked="1"/>
        <c:tickLblPos val="nextTo"/>
        <c:txPr>
          <a:bodyPr/>
          <a:lstStyle/>
          <a:p>
            <a:pPr>
              <a:defRPr lang="en-US"/>
            </a:pPr>
            <a:endParaRPr lang="en-US"/>
          </a:p>
        </c:txPr>
        <c:crossAx val="101453184"/>
        <c:crosses val="autoZero"/>
        <c:crossBetween val="midCat"/>
      </c:valAx>
    </c:plotArea>
    <c:legend>
      <c:legendPos val="r"/>
      <c:txPr>
        <a:bodyPr/>
        <a:lstStyle/>
        <a:p>
          <a:pPr>
            <a:defRPr lang="en-US"/>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0"/>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Sheet1!$I$50:$I$54</c:f>
              <c:numCache>
                <c:formatCode>General</c:formatCode>
                <c:ptCount val="5"/>
                <c:pt idx="0">
                  <c:v>-0.27</c:v>
                </c:pt>
                <c:pt idx="1">
                  <c:v>-0.30100000000000032</c:v>
                </c:pt>
                <c:pt idx="2">
                  <c:v>0.43700000000000028</c:v>
                </c:pt>
                <c:pt idx="3">
                  <c:v>-3.7999999999999999E-2</c:v>
                </c:pt>
                <c:pt idx="4">
                  <c:v>0.17200000000000001</c:v>
                </c:pt>
              </c:numCache>
            </c:numRef>
          </c:yVal>
        </c:ser>
        <c:axId val="101507072"/>
        <c:axId val="101508608"/>
      </c:scatterChart>
      <c:valAx>
        <c:axId val="101507072"/>
        <c:scaling>
          <c:orientation val="minMax"/>
        </c:scaling>
        <c:axPos val="b"/>
        <c:tickLblPos val="nextTo"/>
        <c:txPr>
          <a:bodyPr/>
          <a:lstStyle/>
          <a:p>
            <a:pPr>
              <a:defRPr lang="en-US"/>
            </a:pPr>
            <a:endParaRPr lang="en-US"/>
          </a:p>
        </c:txPr>
        <c:crossAx val="101508608"/>
        <c:crosses val="autoZero"/>
        <c:crossBetween val="midCat"/>
      </c:valAx>
      <c:valAx>
        <c:axId val="101508608"/>
        <c:scaling>
          <c:orientation val="minMax"/>
        </c:scaling>
        <c:axPos val="l"/>
        <c:majorGridlines/>
        <c:numFmt formatCode="General" sourceLinked="1"/>
        <c:tickLblPos val="nextTo"/>
        <c:txPr>
          <a:bodyPr/>
          <a:lstStyle/>
          <a:p>
            <a:pPr>
              <a:defRPr lang="en-US"/>
            </a:pPr>
            <a:endParaRPr lang="en-US"/>
          </a:p>
        </c:txPr>
        <c:crossAx val="101507072"/>
        <c:crosses val="autoZero"/>
        <c:crossBetween val="midCat"/>
      </c:valAx>
    </c:plotArea>
    <c:legend>
      <c:legendPos val="r"/>
      <c:txPr>
        <a:bodyPr/>
        <a:lstStyle/>
        <a:p>
          <a:pPr>
            <a:defRPr lang="en-US"/>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plotArea>
      <c:layout/>
      <c:scatterChart>
        <c:scatterStyle val="lineMarker"/>
        <c:ser>
          <c:idx val="0"/>
          <c:order val="0"/>
          <c:spPr>
            <a:ln w="66675">
              <a:noFill/>
            </a:ln>
          </c:spPr>
          <c:yVal>
            <c:numRef>
              <c:f>Sheet1!$I$66:$I$70</c:f>
              <c:numCache>
                <c:formatCode>General</c:formatCode>
                <c:ptCount val="5"/>
                <c:pt idx="0">
                  <c:v>1.6000000000000018E-2</c:v>
                </c:pt>
                <c:pt idx="1">
                  <c:v>2.3E-2</c:v>
                </c:pt>
                <c:pt idx="2">
                  <c:v>4.3000000000000003E-2</c:v>
                </c:pt>
                <c:pt idx="3">
                  <c:v>0.18800000000000014</c:v>
                </c:pt>
                <c:pt idx="4">
                  <c:v>-0.27</c:v>
                </c:pt>
              </c:numCache>
            </c:numRef>
          </c:yVal>
        </c:ser>
        <c:axId val="102810752"/>
        <c:axId val="102812288"/>
      </c:scatterChart>
      <c:valAx>
        <c:axId val="102810752"/>
        <c:scaling>
          <c:orientation val="minMax"/>
        </c:scaling>
        <c:axPos val="b"/>
        <c:tickLblPos val="nextTo"/>
        <c:txPr>
          <a:bodyPr/>
          <a:lstStyle/>
          <a:p>
            <a:pPr>
              <a:defRPr lang="en-US"/>
            </a:pPr>
            <a:endParaRPr lang="en-US"/>
          </a:p>
        </c:txPr>
        <c:crossAx val="102812288"/>
        <c:crosses val="autoZero"/>
        <c:crossBetween val="midCat"/>
      </c:valAx>
      <c:valAx>
        <c:axId val="102812288"/>
        <c:scaling>
          <c:orientation val="minMax"/>
        </c:scaling>
        <c:axPos val="l"/>
        <c:majorGridlines/>
        <c:numFmt formatCode="General" sourceLinked="1"/>
        <c:tickLblPos val="nextTo"/>
        <c:txPr>
          <a:bodyPr/>
          <a:lstStyle/>
          <a:p>
            <a:pPr>
              <a:defRPr lang="en-US"/>
            </a:pPr>
            <a:endParaRPr lang="en-US"/>
          </a:p>
        </c:txPr>
        <c:crossAx val="102810752"/>
        <c:crosses val="autoZero"/>
        <c:crossBetween val="midCat"/>
      </c:valAx>
    </c:plotArea>
    <c:legend>
      <c:legendPos val="r"/>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4CF1-E700-4F27-9B69-540C6BD3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3569</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فصل ششم</vt:lpstr>
    </vt:vector>
  </TitlesOfParts>
  <Company>- ETH0 -</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ششم</dc:title>
  <dc:creator>Dear User!</dc:creator>
  <cp:lastModifiedBy>Administrator</cp:lastModifiedBy>
  <cp:revision>7</cp:revision>
  <cp:lastPrinted>2005-03-29T13:41:00Z</cp:lastPrinted>
  <dcterms:created xsi:type="dcterms:W3CDTF">2013-10-12T04:13:00Z</dcterms:created>
  <dcterms:modified xsi:type="dcterms:W3CDTF">2013-10-16T08:13:00Z</dcterms:modified>
</cp:coreProperties>
</file>