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9F" w:rsidRDefault="00EA2E9F" w:rsidP="003D09C7">
      <w:pPr>
        <w:pStyle w:val="Default"/>
        <w:snapToGrid w:val="0"/>
        <w:jc w:val="center"/>
        <w:rPr>
          <w:rFonts w:eastAsia="宋体"/>
          <w:b/>
          <w:bCs/>
          <w:color w:val="auto"/>
          <w:sz w:val="20"/>
          <w:szCs w:val="32"/>
          <w:lang w:eastAsia="zh-CN"/>
        </w:rPr>
      </w:pPr>
      <w:r w:rsidRPr="003D09C7">
        <w:rPr>
          <w:b/>
          <w:bCs/>
          <w:color w:val="auto"/>
          <w:sz w:val="20"/>
          <w:szCs w:val="32"/>
        </w:rPr>
        <w:t>Immunostimulant Effect of Egyptian Propolis Extract against Parapox virus in experimental</w:t>
      </w:r>
      <w:r w:rsidR="008F70BF">
        <w:rPr>
          <w:b/>
          <w:bCs/>
          <w:color w:val="auto"/>
          <w:sz w:val="20"/>
          <w:szCs w:val="32"/>
        </w:rPr>
        <w:t xml:space="preserve"> </w:t>
      </w:r>
      <w:r w:rsidRPr="003D09C7">
        <w:rPr>
          <w:b/>
          <w:bCs/>
          <w:color w:val="auto"/>
          <w:sz w:val="20"/>
          <w:szCs w:val="32"/>
        </w:rPr>
        <w:t>Rats</w:t>
      </w:r>
    </w:p>
    <w:p w:rsidR="003D09C7" w:rsidRPr="003D09C7" w:rsidRDefault="003D09C7" w:rsidP="003D09C7">
      <w:pPr>
        <w:pStyle w:val="Default"/>
        <w:snapToGrid w:val="0"/>
        <w:jc w:val="center"/>
        <w:rPr>
          <w:rFonts w:eastAsia="宋体"/>
          <w:b/>
          <w:bCs/>
          <w:color w:val="auto"/>
          <w:sz w:val="20"/>
          <w:szCs w:val="32"/>
          <w:lang w:eastAsia="zh-CN"/>
        </w:rPr>
      </w:pPr>
    </w:p>
    <w:p w:rsidR="00471E57" w:rsidRPr="008F70BF" w:rsidRDefault="00EA2E9F" w:rsidP="00B16336">
      <w:pPr>
        <w:pStyle w:val="Title"/>
        <w:tabs>
          <w:tab w:val="left" w:pos="-709"/>
        </w:tabs>
        <w:snapToGrid w:val="0"/>
        <w:spacing w:before="0" w:after="0" w:line="240" w:lineRule="auto"/>
        <w:rPr>
          <w:b w:val="0"/>
          <w:sz w:val="20"/>
          <w:szCs w:val="20"/>
        </w:rPr>
      </w:pPr>
      <w:r w:rsidRPr="003D09C7">
        <w:rPr>
          <w:rFonts w:ascii="Times New Roman" w:hAnsi="Times New Roman"/>
          <w:b w:val="0"/>
          <w:kern w:val="0"/>
          <w:sz w:val="20"/>
          <w:szCs w:val="28"/>
        </w:rPr>
        <w:t>Shaapan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 </w:t>
      </w:r>
      <w:r w:rsidR="00B16336">
        <w:rPr>
          <w:rFonts w:ascii="Times New Roman" w:hAnsi="Times New Roman"/>
          <w:b w:val="0"/>
          <w:kern w:val="0"/>
          <w:sz w:val="20"/>
          <w:szCs w:val="28"/>
        </w:rPr>
        <w:t>R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. </w:t>
      </w:r>
      <w:r w:rsidR="00B16336">
        <w:rPr>
          <w:rFonts w:ascii="Times New Roman" w:hAnsi="Times New Roman"/>
          <w:b w:val="0"/>
          <w:kern w:val="0"/>
          <w:sz w:val="20"/>
          <w:szCs w:val="28"/>
        </w:rPr>
        <w:t>M</w:t>
      </w:r>
      <w:r w:rsidRPr="003D09C7">
        <w:rPr>
          <w:rFonts w:ascii="Times New Roman" w:hAnsi="Times New Roman"/>
          <w:b w:val="0"/>
          <w:kern w:val="0"/>
          <w:sz w:val="20"/>
          <w:szCs w:val="24"/>
          <w:vertAlign w:val="superscript"/>
        </w:rPr>
        <w:t>1</w:t>
      </w:r>
      <w:r w:rsidR="008F70BF">
        <w:rPr>
          <w:rFonts w:ascii="Times New Roman" w:hAnsi="Times New Roman"/>
          <w:b w:val="0"/>
          <w:kern w:val="0"/>
          <w:sz w:val="20"/>
          <w:szCs w:val="24"/>
        </w:rPr>
        <w:t xml:space="preserve">.,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Zeedan</w:t>
      </w:r>
      <w:r w:rsidRPr="003D09C7">
        <w:rPr>
          <w:rFonts w:ascii="Times New Roman" w:eastAsia="Calibri" w:hAnsi="Times New Roman"/>
          <w:b w:val="0"/>
          <w:bCs w:val="0"/>
          <w:kern w:val="0"/>
          <w:sz w:val="20"/>
          <w:szCs w:val="20"/>
        </w:rPr>
        <w:t xml:space="preserve">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G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.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S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.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G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. </w:t>
      </w:r>
      <w:r w:rsidRPr="003D09C7">
        <w:rPr>
          <w:rFonts w:ascii="Times New Roman" w:hAnsi="Times New Roman"/>
          <w:b w:val="0"/>
          <w:kern w:val="0"/>
          <w:sz w:val="20"/>
          <w:szCs w:val="24"/>
          <w:vertAlign w:val="superscript"/>
        </w:rPr>
        <w:t>2</w:t>
      </w:r>
      <w:r w:rsidR="008F70BF">
        <w:rPr>
          <w:rFonts w:ascii="Times New Roman" w:hAnsi="Times New Roman"/>
          <w:b w:val="0"/>
          <w:kern w:val="0"/>
          <w:sz w:val="20"/>
          <w:szCs w:val="24"/>
        </w:rPr>
        <w:t>,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Soad M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.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Nasr</w:t>
      </w:r>
      <w:r w:rsidRPr="003D09C7">
        <w:rPr>
          <w:rFonts w:ascii="Times New Roman" w:hAnsi="Times New Roman"/>
          <w:b w:val="0"/>
          <w:kern w:val="0"/>
          <w:sz w:val="20"/>
          <w:szCs w:val="24"/>
          <w:vertAlign w:val="superscript"/>
        </w:rPr>
        <w:t>2</w:t>
      </w:r>
      <w:r w:rsidR="008F70BF">
        <w:rPr>
          <w:rFonts w:ascii="Times New Roman" w:hAnsi="Times New Roman"/>
          <w:b w:val="0"/>
          <w:kern w:val="0"/>
          <w:sz w:val="20"/>
          <w:szCs w:val="28"/>
          <w:vertAlign w:val="superscript"/>
        </w:rPr>
        <w:t xml:space="preserve">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and Abeer M</w:t>
      </w:r>
      <w:r w:rsidR="008F70BF">
        <w:rPr>
          <w:rFonts w:ascii="Times New Roman" w:hAnsi="Times New Roman"/>
          <w:b w:val="0"/>
          <w:kern w:val="0"/>
          <w:sz w:val="20"/>
          <w:szCs w:val="28"/>
        </w:rPr>
        <w:t xml:space="preserve">. </w:t>
      </w:r>
      <w:r w:rsidRPr="003D09C7">
        <w:rPr>
          <w:rFonts w:ascii="Times New Roman" w:hAnsi="Times New Roman"/>
          <w:b w:val="0"/>
          <w:kern w:val="0"/>
          <w:sz w:val="20"/>
          <w:szCs w:val="28"/>
        </w:rPr>
        <w:t>Abdal hamed</w:t>
      </w:r>
      <w:r w:rsidRPr="003D09C7">
        <w:rPr>
          <w:rFonts w:ascii="Times New Roman" w:hAnsi="Times New Roman"/>
          <w:b w:val="0"/>
          <w:kern w:val="0"/>
          <w:sz w:val="20"/>
          <w:szCs w:val="24"/>
          <w:vertAlign w:val="superscript"/>
        </w:rPr>
        <w:t>2</w:t>
      </w:r>
    </w:p>
    <w:p w:rsidR="00471E57" w:rsidRPr="003D09C7" w:rsidRDefault="00471E57" w:rsidP="003D09C7">
      <w:pPr>
        <w:snapToGrid w:val="0"/>
        <w:jc w:val="center"/>
        <w:rPr>
          <w:sz w:val="20"/>
          <w:szCs w:val="20"/>
        </w:rPr>
      </w:pPr>
    </w:p>
    <w:p w:rsidR="00EA2E9F" w:rsidRPr="003D09C7" w:rsidRDefault="00593132" w:rsidP="003D09C7">
      <w:pPr>
        <w:pStyle w:val="Default"/>
        <w:snapToGrid w:val="0"/>
        <w:jc w:val="center"/>
        <w:rPr>
          <w:color w:val="auto"/>
          <w:sz w:val="20"/>
          <w:szCs w:val="23"/>
        </w:rPr>
      </w:pPr>
      <w:r w:rsidRPr="003D09C7">
        <w:rPr>
          <w:color w:val="auto"/>
          <w:sz w:val="20"/>
          <w:szCs w:val="20"/>
          <w:vertAlign w:val="superscript"/>
        </w:rPr>
        <w:t>1</w:t>
      </w:r>
      <w:r w:rsidR="00EA2E9F" w:rsidRPr="003D09C7">
        <w:rPr>
          <w:color w:val="auto"/>
          <w:sz w:val="20"/>
          <w:szCs w:val="23"/>
        </w:rPr>
        <w:t xml:space="preserve"> A</w:t>
      </w:r>
      <w:r w:rsidR="008F70BF">
        <w:rPr>
          <w:color w:val="auto"/>
          <w:sz w:val="20"/>
          <w:szCs w:val="23"/>
        </w:rPr>
        <w:t>:</w:t>
      </w:r>
      <w:r w:rsidR="00EA2E9F" w:rsidRPr="003D09C7">
        <w:rPr>
          <w:color w:val="auto"/>
          <w:sz w:val="20"/>
          <w:szCs w:val="23"/>
        </w:rPr>
        <w:t xml:space="preserve"> Department of Zoonoses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Veterinary Research Division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National Research Center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P</w:t>
      </w:r>
      <w:r w:rsidR="008F70BF">
        <w:rPr>
          <w:color w:val="auto"/>
          <w:sz w:val="20"/>
          <w:szCs w:val="23"/>
        </w:rPr>
        <w:t xml:space="preserve">. </w:t>
      </w:r>
      <w:r w:rsidR="00EA2E9F" w:rsidRPr="003D09C7">
        <w:rPr>
          <w:color w:val="auto"/>
          <w:sz w:val="20"/>
          <w:szCs w:val="23"/>
        </w:rPr>
        <w:t>O</w:t>
      </w:r>
      <w:r w:rsidR="008F70BF">
        <w:rPr>
          <w:color w:val="auto"/>
          <w:sz w:val="20"/>
          <w:szCs w:val="23"/>
        </w:rPr>
        <w:t xml:space="preserve">. </w:t>
      </w:r>
      <w:r w:rsidR="00EA2E9F" w:rsidRPr="003D09C7">
        <w:rPr>
          <w:color w:val="auto"/>
          <w:sz w:val="20"/>
          <w:szCs w:val="23"/>
        </w:rPr>
        <w:t>Box 12622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33 El-Tahrir Street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Dokki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Giza</w:t>
      </w:r>
      <w:r w:rsidR="008F70BF">
        <w:rPr>
          <w:color w:val="auto"/>
          <w:sz w:val="20"/>
          <w:szCs w:val="23"/>
        </w:rPr>
        <w:t xml:space="preserve">, </w:t>
      </w:r>
      <w:r w:rsidR="00EA2E9F" w:rsidRPr="003D09C7">
        <w:rPr>
          <w:color w:val="auto"/>
          <w:sz w:val="20"/>
          <w:szCs w:val="23"/>
        </w:rPr>
        <w:t>Egypt</w:t>
      </w:r>
    </w:p>
    <w:p w:rsidR="00EA2E9F" w:rsidRPr="003D09C7" w:rsidRDefault="00EA2E9F" w:rsidP="00884C29">
      <w:pPr>
        <w:pStyle w:val="Default"/>
        <w:snapToGrid w:val="0"/>
        <w:jc w:val="center"/>
        <w:rPr>
          <w:color w:val="auto"/>
          <w:sz w:val="20"/>
          <w:szCs w:val="23"/>
        </w:rPr>
      </w:pPr>
      <w:r w:rsidRPr="003D09C7">
        <w:rPr>
          <w:color w:val="auto"/>
          <w:sz w:val="20"/>
          <w:szCs w:val="23"/>
          <w:vertAlign w:val="superscript"/>
        </w:rPr>
        <w:t>2</w:t>
      </w:r>
      <w:r w:rsidRPr="003D09C7">
        <w:rPr>
          <w:color w:val="auto"/>
          <w:sz w:val="20"/>
          <w:szCs w:val="23"/>
        </w:rPr>
        <w:t xml:space="preserve"> Department of Parasitology and Animal Diseases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Veterinary Research Division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National Research Centre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P</w:t>
      </w:r>
      <w:r w:rsidR="008F70BF">
        <w:rPr>
          <w:color w:val="auto"/>
          <w:sz w:val="20"/>
          <w:szCs w:val="23"/>
        </w:rPr>
        <w:t xml:space="preserve">. </w:t>
      </w:r>
      <w:r w:rsidRPr="003D09C7">
        <w:rPr>
          <w:color w:val="auto"/>
          <w:sz w:val="20"/>
          <w:szCs w:val="23"/>
        </w:rPr>
        <w:t>O</w:t>
      </w:r>
      <w:r w:rsidR="008F70BF">
        <w:rPr>
          <w:color w:val="auto"/>
          <w:sz w:val="20"/>
          <w:szCs w:val="23"/>
        </w:rPr>
        <w:t xml:space="preserve">. </w:t>
      </w:r>
      <w:r w:rsidRPr="003D09C7">
        <w:rPr>
          <w:color w:val="auto"/>
          <w:sz w:val="20"/>
          <w:szCs w:val="23"/>
        </w:rPr>
        <w:t>Box 12622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El-Tahrir Street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Dokki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Giza</w:t>
      </w:r>
      <w:r w:rsidR="008F70BF">
        <w:rPr>
          <w:color w:val="auto"/>
          <w:sz w:val="20"/>
          <w:szCs w:val="23"/>
        </w:rPr>
        <w:t xml:space="preserve">, </w:t>
      </w:r>
      <w:r w:rsidRPr="003D09C7">
        <w:rPr>
          <w:color w:val="auto"/>
          <w:sz w:val="20"/>
          <w:szCs w:val="23"/>
        </w:rPr>
        <w:t>Egypt</w:t>
      </w:r>
    </w:p>
    <w:p w:rsidR="00471E57" w:rsidRPr="003D09C7" w:rsidRDefault="00CC710C" w:rsidP="003D09C7">
      <w:pPr>
        <w:snapToGrid w:val="0"/>
        <w:jc w:val="center"/>
        <w:rPr>
          <w:color w:val="9933FF"/>
          <w:sz w:val="20"/>
          <w:szCs w:val="20"/>
          <w:u w:val="single"/>
        </w:rPr>
      </w:pPr>
      <w:hyperlink r:id="rId7" w:history="1">
        <w:r w:rsidR="000A0DDE" w:rsidRPr="003D09C7">
          <w:rPr>
            <w:rStyle w:val="Hyperlink"/>
            <w:color w:val="9933FF"/>
            <w:sz w:val="20"/>
            <w:szCs w:val="20"/>
          </w:rPr>
          <w:t>gamilzee@yahoo</w:t>
        </w:r>
        <w:r w:rsidR="008F70BF">
          <w:rPr>
            <w:rStyle w:val="Hyperlink"/>
            <w:color w:val="9933FF"/>
            <w:sz w:val="20"/>
            <w:szCs w:val="20"/>
          </w:rPr>
          <w:t xml:space="preserve">. </w:t>
        </w:r>
        <w:r w:rsidR="000A0DDE" w:rsidRPr="003D09C7">
          <w:rPr>
            <w:rStyle w:val="Hyperlink"/>
            <w:color w:val="9933FF"/>
            <w:sz w:val="20"/>
            <w:szCs w:val="20"/>
          </w:rPr>
          <w:t>com</w:t>
        </w:r>
      </w:hyperlink>
    </w:p>
    <w:p w:rsidR="00D9258E" w:rsidRPr="003D09C7" w:rsidRDefault="00D9258E" w:rsidP="003D09C7">
      <w:pPr>
        <w:snapToGrid w:val="0"/>
        <w:jc w:val="center"/>
        <w:rPr>
          <w:sz w:val="20"/>
          <w:szCs w:val="20"/>
        </w:rPr>
      </w:pPr>
    </w:p>
    <w:p w:rsidR="00734A5D" w:rsidRPr="003D09C7" w:rsidRDefault="00471E57" w:rsidP="003D09C7">
      <w:pPr>
        <w:snapToGrid w:val="0"/>
        <w:jc w:val="both"/>
        <w:rPr>
          <w:sz w:val="20"/>
          <w:szCs w:val="20"/>
        </w:rPr>
      </w:pPr>
      <w:r w:rsidRPr="003D09C7">
        <w:rPr>
          <w:b/>
          <w:sz w:val="20"/>
          <w:szCs w:val="20"/>
        </w:rPr>
        <w:t>Abstract:</w:t>
      </w:r>
      <w:r w:rsidR="00B83C1E" w:rsidRPr="003D09C7">
        <w:rPr>
          <w:b/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Vaccination has been important in controlling a wide variety of viral infections of man and animals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The most vaccines depend on the association with adjuvant substances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The novel approaches which are presently being implemented to develop more effective vaccines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Evaluation of adjuvant capacity of ethanol and water extract propolis associated to inactive Parapoxvirus vaccine (IPPV) were tested by ELISA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Inoculation was done intradermal and subcutaneous with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 xml:space="preserve">inactive PPV vaccine </w:t>
      </w:r>
      <w:r w:rsidR="003C752E" w:rsidRPr="003D09C7">
        <w:rPr>
          <w:sz w:val="20"/>
          <w:szCs w:val="20"/>
        </w:rPr>
        <w:t>adjuvant</w:t>
      </w:r>
      <w:r w:rsidR="00B83C1E" w:rsidRPr="003D09C7">
        <w:rPr>
          <w:sz w:val="20"/>
          <w:szCs w:val="20"/>
        </w:rPr>
        <w:t xml:space="preserve"> with ethanol and water extract propolis with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two dose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two week interval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Serum samples were collected for 4weeks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after the last vaccination till the 7</w:t>
      </w:r>
      <w:r w:rsidR="00B83C1E" w:rsidRPr="003D09C7">
        <w:rPr>
          <w:sz w:val="20"/>
          <w:szCs w:val="20"/>
          <w:vertAlign w:val="superscript"/>
        </w:rPr>
        <w:t xml:space="preserve">th </w:t>
      </w:r>
      <w:r w:rsidR="00B83C1E" w:rsidRPr="003D09C7">
        <w:rPr>
          <w:sz w:val="20"/>
          <w:szCs w:val="20"/>
        </w:rPr>
        <w:t>week and the antibody were detected using ELISA assays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parapox virus vaccine adjuvant with propolis extract higher PPV antibodies levels comparing with antibody titer in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rats sera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that received commercial PPV vaccine and control negative groups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The ODs ELISA titers increased from 0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255 to 0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755 and This difference remained at the end of experiment at 42 days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The used of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propolis extract alone without PPV did not induce significant levels of antibodies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However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it established that it was able to increase immune response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evidenced by the increased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in the percentage of antibody titer against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PPV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The effect of propolis extract on the humoral</w:t>
      </w:r>
      <w:r w:rsidR="008F70BF">
        <w:rPr>
          <w:sz w:val="20"/>
          <w:szCs w:val="20"/>
        </w:rPr>
        <w:t xml:space="preserve"> </w:t>
      </w:r>
      <w:r w:rsidR="00B83C1E" w:rsidRPr="003D09C7">
        <w:rPr>
          <w:sz w:val="20"/>
          <w:szCs w:val="20"/>
        </w:rPr>
        <w:t>immune responses may be exploited for the development of effective vaccines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Both these novel vaccine approaches appear to be more efficacious than live PPV vaccines</w:t>
      </w:r>
      <w:r w:rsidR="008F70BF">
        <w:rPr>
          <w:sz w:val="20"/>
          <w:szCs w:val="20"/>
        </w:rPr>
        <w:t xml:space="preserve">. </w:t>
      </w:r>
      <w:r w:rsidR="00B83C1E" w:rsidRPr="003D09C7">
        <w:rPr>
          <w:sz w:val="20"/>
          <w:szCs w:val="20"/>
        </w:rPr>
        <w:t>The present finding encourage us for using propolis as an immunostimulant with human and animal vaccines</w:t>
      </w:r>
      <w:r w:rsidR="008F70BF">
        <w:rPr>
          <w:sz w:val="20"/>
          <w:szCs w:val="20"/>
        </w:rPr>
        <w:t xml:space="preserve">. </w:t>
      </w:r>
    </w:p>
    <w:p w:rsidR="00DB4D45" w:rsidRPr="003D09C7" w:rsidRDefault="00966860" w:rsidP="0092090E">
      <w:pPr>
        <w:snapToGrid w:val="0"/>
        <w:jc w:val="both"/>
        <w:rPr>
          <w:sz w:val="20"/>
          <w:szCs w:val="20"/>
          <w:lang w:eastAsia="zh-CN"/>
        </w:rPr>
      </w:pPr>
      <w:r w:rsidRPr="003D09C7">
        <w:rPr>
          <w:sz w:val="20"/>
          <w:szCs w:val="20"/>
        </w:rPr>
        <w:t>[</w:t>
      </w:r>
      <w:r w:rsidR="00B83C1E" w:rsidRPr="003D09C7">
        <w:rPr>
          <w:bCs/>
          <w:sz w:val="20"/>
          <w:szCs w:val="20"/>
        </w:rPr>
        <w:t>Shaapan</w:t>
      </w:r>
      <w:r w:rsidR="008F70BF">
        <w:rPr>
          <w:bCs/>
          <w:sz w:val="20"/>
          <w:szCs w:val="20"/>
        </w:rPr>
        <w:t xml:space="preserve"> </w:t>
      </w:r>
      <w:r w:rsidR="0092090E">
        <w:rPr>
          <w:bCs/>
          <w:sz w:val="20"/>
          <w:szCs w:val="20"/>
        </w:rPr>
        <w:t>RM</w:t>
      </w:r>
      <w:r w:rsidR="008F70BF">
        <w:rPr>
          <w:bCs/>
          <w:sz w:val="20"/>
          <w:szCs w:val="20"/>
        </w:rPr>
        <w:t xml:space="preserve">, </w:t>
      </w:r>
      <w:r w:rsidR="00B83C1E" w:rsidRPr="003D09C7">
        <w:rPr>
          <w:bCs/>
          <w:sz w:val="20"/>
          <w:szCs w:val="20"/>
        </w:rPr>
        <w:t>Zeedan</w:t>
      </w:r>
      <w:r w:rsidR="00B83C1E" w:rsidRPr="003D09C7">
        <w:rPr>
          <w:sz w:val="20"/>
          <w:szCs w:val="20"/>
        </w:rPr>
        <w:t xml:space="preserve"> </w:t>
      </w:r>
      <w:r w:rsidR="00B83C1E" w:rsidRPr="003D09C7">
        <w:rPr>
          <w:bCs/>
          <w:sz w:val="20"/>
          <w:szCs w:val="20"/>
        </w:rPr>
        <w:t>G S G</w:t>
      </w:r>
      <w:r w:rsidR="008F70BF">
        <w:rPr>
          <w:bCs/>
          <w:sz w:val="20"/>
          <w:szCs w:val="20"/>
        </w:rPr>
        <w:t xml:space="preserve">, </w:t>
      </w:r>
      <w:r w:rsidR="00B83C1E" w:rsidRPr="003D09C7">
        <w:rPr>
          <w:bCs/>
          <w:sz w:val="20"/>
          <w:szCs w:val="20"/>
        </w:rPr>
        <w:t>Soad M N</w:t>
      </w:r>
      <w:r w:rsidR="00B83C1E" w:rsidRPr="003D09C7">
        <w:rPr>
          <w:bCs/>
          <w:sz w:val="20"/>
          <w:szCs w:val="20"/>
          <w:vertAlign w:val="superscript"/>
        </w:rPr>
        <w:t xml:space="preserve"> </w:t>
      </w:r>
      <w:r w:rsidR="00B83C1E" w:rsidRPr="003D09C7">
        <w:rPr>
          <w:bCs/>
          <w:sz w:val="20"/>
          <w:szCs w:val="20"/>
        </w:rPr>
        <w:t>and Abeer M A</w:t>
      </w:r>
      <w:r w:rsidR="008F70BF">
        <w:rPr>
          <w:rFonts w:hint="eastAsia"/>
          <w:b/>
          <w:bCs/>
          <w:sz w:val="20"/>
          <w:szCs w:val="20"/>
          <w:lang w:eastAsia="zh-CN"/>
        </w:rPr>
        <w:t xml:space="preserve">. </w:t>
      </w:r>
      <w:r w:rsidR="00B83C1E" w:rsidRPr="003D09C7">
        <w:rPr>
          <w:b/>
          <w:bCs/>
          <w:sz w:val="20"/>
          <w:szCs w:val="20"/>
        </w:rPr>
        <w:t>Immunostimulant Effect of Egyptian Propolis Extract against Parapox virus in experimental</w:t>
      </w:r>
      <w:r w:rsidR="008F70BF">
        <w:rPr>
          <w:b/>
          <w:bCs/>
          <w:sz w:val="20"/>
          <w:szCs w:val="20"/>
        </w:rPr>
        <w:t xml:space="preserve"> </w:t>
      </w:r>
      <w:r w:rsidR="00B83C1E" w:rsidRPr="003D09C7">
        <w:rPr>
          <w:b/>
          <w:bCs/>
          <w:sz w:val="20"/>
          <w:szCs w:val="20"/>
        </w:rPr>
        <w:t>Rats</w:t>
      </w:r>
      <w:r w:rsidR="00B83C1E" w:rsidRPr="003D09C7">
        <w:rPr>
          <w:b/>
          <w:sz w:val="20"/>
          <w:szCs w:val="20"/>
        </w:rPr>
        <w:t xml:space="preserve"> </w:t>
      </w:r>
      <w:r w:rsidR="00734A5D" w:rsidRPr="003D09C7">
        <w:rPr>
          <w:b/>
          <w:sz w:val="20"/>
          <w:szCs w:val="20"/>
        </w:rPr>
        <w:t>Forests</w:t>
      </w:r>
      <w:r w:rsidR="008F70BF">
        <w:rPr>
          <w:rFonts w:eastAsia="Times New Roman"/>
          <w:b/>
          <w:bCs/>
          <w:sz w:val="20"/>
          <w:szCs w:val="20"/>
          <w:lang w:bidi="fa-IR"/>
        </w:rPr>
        <w:t xml:space="preserve">. </w:t>
      </w:r>
      <w:r w:rsidR="00DB4D45" w:rsidRPr="003D09C7">
        <w:rPr>
          <w:rFonts w:eastAsia="Times New Roman"/>
          <w:bCs/>
          <w:i/>
          <w:sz w:val="20"/>
          <w:szCs w:val="20"/>
        </w:rPr>
        <w:t>Nat Sci</w:t>
      </w:r>
      <w:r w:rsidR="00DB4D45" w:rsidRPr="003D09C7">
        <w:rPr>
          <w:rFonts w:hint="eastAsia"/>
          <w:bCs/>
          <w:i/>
          <w:sz w:val="20"/>
          <w:szCs w:val="20"/>
        </w:rPr>
        <w:t xml:space="preserve"> </w:t>
      </w:r>
      <w:r w:rsidR="00DB4D45" w:rsidRPr="003D09C7">
        <w:rPr>
          <w:sz w:val="20"/>
          <w:szCs w:val="20"/>
        </w:rPr>
        <w:t>201</w:t>
      </w:r>
      <w:r w:rsidR="00DB4D45" w:rsidRPr="003D09C7">
        <w:rPr>
          <w:rFonts w:hint="eastAsia"/>
          <w:sz w:val="20"/>
          <w:szCs w:val="20"/>
        </w:rPr>
        <w:t>4</w:t>
      </w:r>
      <w:r w:rsidR="00DB4D45" w:rsidRPr="003D09C7">
        <w:rPr>
          <w:sz w:val="20"/>
          <w:szCs w:val="20"/>
        </w:rPr>
        <w:t>;1</w:t>
      </w:r>
      <w:r w:rsidR="00DB4D45" w:rsidRPr="003D09C7">
        <w:rPr>
          <w:rFonts w:hint="eastAsia"/>
          <w:sz w:val="20"/>
          <w:szCs w:val="20"/>
        </w:rPr>
        <w:t>2</w:t>
      </w:r>
      <w:r w:rsidR="00DB4D45" w:rsidRPr="003D09C7">
        <w:rPr>
          <w:sz w:val="20"/>
          <w:szCs w:val="20"/>
        </w:rPr>
        <w:t>(</w:t>
      </w:r>
      <w:r w:rsidR="00DB4D45" w:rsidRPr="003D09C7">
        <w:rPr>
          <w:rFonts w:hint="eastAsia"/>
          <w:sz w:val="20"/>
          <w:szCs w:val="20"/>
        </w:rPr>
        <w:t>2</w:t>
      </w:r>
      <w:r w:rsidR="00DB4D45" w:rsidRPr="003D09C7">
        <w:rPr>
          <w:sz w:val="20"/>
          <w:szCs w:val="20"/>
        </w:rPr>
        <w:t>):</w:t>
      </w:r>
      <w:r w:rsidR="0071538E">
        <w:rPr>
          <w:noProof/>
          <w:color w:val="000000"/>
          <w:sz w:val="20"/>
          <w:szCs w:val="20"/>
        </w:rPr>
        <w:t>20</w:t>
      </w:r>
      <w:r w:rsidR="00DB4D45" w:rsidRPr="003D09C7">
        <w:rPr>
          <w:color w:val="000000"/>
          <w:sz w:val="20"/>
          <w:szCs w:val="20"/>
        </w:rPr>
        <w:t>-</w:t>
      </w:r>
      <w:r w:rsidR="0071538E">
        <w:rPr>
          <w:noProof/>
          <w:color w:val="000000"/>
          <w:sz w:val="20"/>
          <w:szCs w:val="20"/>
        </w:rPr>
        <w:t>25</w:t>
      </w:r>
      <w:r w:rsidR="00DB4D45" w:rsidRPr="003D09C7">
        <w:rPr>
          <w:sz w:val="20"/>
          <w:szCs w:val="20"/>
        </w:rPr>
        <w:t>]</w:t>
      </w:r>
      <w:r w:rsidR="008F70BF">
        <w:rPr>
          <w:rFonts w:hint="eastAsia"/>
          <w:sz w:val="20"/>
          <w:szCs w:val="20"/>
        </w:rPr>
        <w:t xml:space="preserve">. </w:t>
      </w:r>
      <w:r w:rsidR="00DB4D45" w:rsidRPr="003D09C7">
        <w:rPr>
          <w:sz w:val="20"/>
          <w:szCs w:val="20"/>
        </w:rPr>
        <w:t>(ISSN: 1545-0740)</w:t>
      </w:r>
      <w:r w:rsidR="008F70BF">
        <w:rPr>
          <w:sz w:val="20"/>
          <w:szCs w:val="20"/>
        </w:rPr>
        <w:t xml:space="preserve">. </w:t>
      </w:r>
      <w:hyperlink r:id="rId8" w:history="1">
        <w:r w:rsidR="00DB4D45" w:rsidRPr="003D09C7">
          <w:rPr>
            <w:rStyle w:val="Hyperlink"/>
            <w:sz w:val="20"/>
            <w:szCs w:val="20"/>
          </w:rPr>
          <w:t>http://www</w:t>
        </w:r>
        <w:r w:rsidR="008F70BF">
          <w:rPr>
            <w:rStyle w:val="Hyperlink"/>
            <w:sz w:val="20"/>
            <w:szCs w:val="20"/>
          </w:rPr>
          <w:t xml:space="preserve">. </w:t>
        </w:r>
        <w:r w:rsidR="00DB4D45" w:rsidRPr="003D09C7">
          <w:rPr>
            <w:rStyle w:val="Hyperlink"/>
            <w:sz w:val="20"/>
            <w:szCs w:val="20"/>
          </w:rPr>
          <w:t>sciencepub</w:t>
        </w:r>
        <w:r w:rsidR="008F70BF">
          <w:rPr>
            <w:rStyle w:val="Hyperlink"/>
            <w:sz w:val="20"/>
            <w:szCs w:val="20"/>
          </w:rPr>
          <w:t xml:space="preserve">. </w:t>
        </w:r>
        <w:r w:rsidR="00DB4D45" w:rsidRPr="003D09C7">
          <w:rPr>
            <w:rStyle w:val="Hyperlink"/>
            <w:sz w:val="20"/>
            <w:szCs w:val="20"/>
          </w:rPr>
          <w:t>net/nature</w:t>
        </w:r>
      </w:hyperlink>
      <w:r w:rsidR="008F70BF">
        <w:rPr>
          <w:sz w:val="20"/>
          <w:szCs w:val="20"/>
        </w:rPr>
        <w:t xml:space="preserve">. </w:t>
      </w:r>
      <w:r w:rsidR="003D09C7">
        <w:rPr>
          <w:rFonts w:hint="eastAsia"/>
          <w:sz w:val="20"/>
          <w:szCs w:val="20"/>
          <w:lang w:eastAsia="zh-CN"/>
        </w:rPr>
        <w:t>3</w:t>
      </w:r>
    </w:p>
    <w:p w:rsidR="001817C7" w:rsidRPr="003D09C7" w:rsidRDefault="001817C7" w:rsidP="003D09C7">
      <w:pPr>
        <w:snapToGrid w:val="0"/>
        <w:jc w:val="both"/>
        <w:rPr>
          <w:sz w:val="20"/>
          <w:szCs w:val="20"/>
        </w:rPr>
      </w:pPr>
    </w:p>
    <w:p w:rsidR="00B83C1E" w:rsidRPr="003D09C7" w:rsidRDefault="001817C7" w:rsidP="003D09C7">
      <w:pPr>
        <w:snapToGrid w:val="0"/>
        <w:jc w:val="both"/>
        <w:rPr>
          <w:sz w:val="20"/>
          <w:szCs w:val="20"/>
        </w:rPr>
      </w:pPr>
      <w:r w:rsidRPr="003D09C7">
        <w:rPr>
          <w:b/>
          <w:sz w:val="20"/>
          <w:szCs w:val="20"/>
        </w:rPr>
        <w:t xml:space="preserve">Keywords: </w:t>
      </w:r>
      <w:r w:rsidR="00B83C1E" w:rsidRPr="003D09C7">
        <w:rPr>
          <w:sz w:val="20"/>
          <w:szCs w:val="20"/>
        </w:rPr>
        <w:t>Propolis Isolation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Vaccine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ELISA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Water extract</w:t>
      </w:r>
      <w:r w:rsidR="008F70BF">
        <w:rPr>
          <w:sz w:val="20"/>
          <w:szCs w:val="20"/>
        </w:rPr>
        <w:t xml:space="preserve">, </w:t>
      </w:r>
      <w:r w:rsidR="00B83C1E" w:rsidRPr="003D09C7">
        <w:rPr>
          <w:sz w:val="20"/>
          <w:szCs w:val="20"/>
        </w:rPr>
        <w:t>Ethanol extract</w:t>
      </w:r>
    </w:p>
    <w:p w:rsidR="002F20CD" w:rsidRDefault="002F20CD" w:rsidP="003D09C7">
      <w:pPr>
        <w:snapToGrid w:val="0"/>
        <w:jc w:val="both"/>
        <w:rPr>
          <w:b/>
          <w:sz w:val="20"/>
          <w:szCs w:val="20"/>
          <w:lang w:eastAsia="zh-CN"/>
        </w:rPr>
      </w:pPr>
    </w:p>
    <w:p w:rsidR="003D09C7" w:rsidRPr="003D09C7" w:rsidRDefault="003D09C7" w:rsidP="003D09C7">
      <w:pPr>
        <w:snapToGrid w:val="0"/>
        <w:jc w:val="both"/>
        <w:rPr>
          <w:b/>
          <w:sz w:val="20"/>
          <w:szCs w:val="20"/>
          <w:lang w:eastAsia="zh-CN"/>
        </w:rPr>
        <w:sectPr w:rsidR="003D09C7" w:rsidRPr="003D09C7" w:rsidSect="0071538E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20"/>
          <w:cols w:space="720"/>
          <w:docGrid w:linePitch="360"/>
        </w:sectPr>
      </w:pPr>
    </w:p>
    <w:p w:rsidR="004C11EB" w:rsidRPr="003D09C7" w:rsidRDefault="00471E57" w:rsidP="003D09C7">
      <w:pPr>
        <w:snapToGrid w:val="0"/>
        <w:jc w:val="both"/>
        <w:rPr>
          <w:b/>
          <w:sz w:val="20"/>
          <w:szCs w:val="20"/>
        </w:rPr>
      </w:pPr>
      <w:r w:rsidRPr="003D09C7">
        <w:rPr>
          <w:b/>
          <w:sz w:val="20"/>
          <w:szCs w:val="20"/>
        </w:rPr>
        <w:lastRenderedPageBreak/>
        <w:t>1</w:t>
      </w:r>
      <w:r w:rsidR="008F70BF">
        <w:rPr>
          <w:b/>
          <w:sz w:val="20"/>
          <w:szCs w:val="20"/>
        </w:rPr>
        <w:t xml:space="preserve">. </w:t>
      </w:r>
      <w:r w:rsidRPr="003D09C7">
        <w:rPr>
          <w:b/>
          <w:sz w:val="20"/>
          <w:szCs w:val="20"/>
        </w:rPr>
        <w:t>Introduction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Parapoxvirus is a highly contagious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zoonotic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viral skin disease that affects sheep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goats and some other domesticated and wild ruminants</w:t>
      </w:r>
      <w:r w:rsidR="008F70BF">
        <w:rPr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(Bhanuprakash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2006)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most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PPV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infections in humans are localized and heal spontaneously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However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large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poorly healing lesions can occur in people who are immunosuppressed </w:t>
      </w:r>
      <w:r w:rsidR="008F70BF">
        <w:rPr>
          <w:b/>
          <w:bCs/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Mondal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2006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Several studies have pointed out that vaccination is a effective method for controlling the disease (</w:t>
      </w:r>
      <w:r w:rsidRPr="003D09C7">
        <w:rPr>
          <w:b/>
          <w:bCs/>
          <w:sz w:val="20"/>
          <w:szCs w:val="20"/>
        </w:rPr>
        <w:t>Inoshima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2001</w:t>
      </w:r>
      <w:r w:rsidR="008F70BF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3D09C7">
        <w:rPr>
          <w:b/>
          <w:bCs/>
          <w:sz w:val="20"/>
          <w:szCs w:val="20"/>
        </w:rPr>
        <w:t>and 2002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3D09C7">
        <w:rPr>
          <w:sz w:val="20"/>
          <w:szCs w:val="20"/>
        </w:rPr>
        <w:t>The successful vaccination depends on their association with potent adjuvant which can increase the immunogenicity of vaccine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A better adjuvant can activate specific effectors of the immune system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such as cytotoxic or auxiliary T cells (Th1/Th2) </w:t>
      </w:r>
      <w:r w:rsidRPr="003D09C7">
        <w:rPr>
          <w:b/>
          <w:bCs/>
          <w:sz w:val="20"/>
          <w:szCs w:val="20"/>
        </w:rPr>
        <w:t>(Leclerc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2003)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and strengthen the humoral and /or cellular immune responses against that antigen </w:t>
      </w:r>
      <w:r w:rsidRPr="003D09C7">
        <w:rPr>
          <w:b/>
          <w:bCs/>
          <w:sz w:val="20"/>
          <w:szCs w:val="20"/>
        </w:rPr>
        <w:t>(Barr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2006)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On the other hand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suitable adjuvant should have lower toxicity and side effects </w:t>
      </w:r>
      <w:r w:rsidRPr="003D09C7">
        <w:rPr>
          <w:b/>
          <w:bCs/>
          <w:sz w:val="20"/>
          <w:szCs w:val="20"/>
        </w:rPr>
        <w:t>(Aguilar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2007)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sz w:val="20"/>
          <w:szCs w:val="20"/>
        </w:rPr>
        <w:t>Therefore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it is urgent to develop a new adjuvant with high efficacy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safety and low cost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Although alum (aluminum hydroxide or aluminum phosphate) is widely used as a vaccine adjuvant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its </w:t>
      </w:r>
      <w:r w:rsidRPr="003D09C7">
        <w:rPr>
          <w:sz w:val="20"/>
          <w:szCs w:val="20"/>
        </w:rPr>
        <w:lastRenderedPageBreak/>
        <w:t>role in nephrotoxicity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Alzheimer's disease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subcutaneous local reaction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epitope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modifications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its inability to induce T-lymphocyte 1 (Th1) antibody isotypes or cellular immune responses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and its limited adjuvant effect on polysaccharide antigens underscore the need to find new potent safe adjuvants </w:t>
      </w:r>
      <w:r w:rsidRPr="003D09C7">
        <w:rPr>
          <w:b/>
          <w:bCs/>
          <w:sz w:val="20"/>
          <w:szCs w:val="20"/>
        </w:rPr>
        <w:t xml:space="preserve">(Aguilar and Rodriguez 2007) and </w:t>
      </w:r>
      <w:r w:rsidR="008F70BF">
        <w:rPr>
          <w:b/>
          <w:bCs/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Heinrich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2008</w:t>
      </w:r>
      <w:r w:rsidR="008F70BF">
        <w:rPr>
          <w:b/>
          <w:bCs/>
          <w:sz w:val="20"/>
          <w:szCs w:val="20"/>
        </w:rPr>
        <w:t xml:space="preserve">). </w:t>
      </w:r>
      <w:r w:rsidRPr="003D09C7">
        <w:rPr>
          <w:sz w:val="20"/>
          <w:szCs w:val="20"/>
        </w:rPr>
        <w:t>Propolis is a compound formed by honeybees with their mandible gland secretion and various plant resinous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It contains many constituents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such as flavonoid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organic acid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aromatic alcohol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esters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amino acids and enzymes so that it has various biological activities including immune enhancement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antibiosis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antivirus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antioxidation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anticancer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anti-fatigue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hepatoprotection </w:t>
      </w:r>
      <w:r w:rsidRPr="003D09C7">
        <w:rPr>
          <w:b/>
          <w:bCs/>
          <w:sz w:val="20"/>
          <w:szCs w:val="20"/>
        </w:rPr>
        <w:t>(Sforcin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2007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 xml:space="preserve">Propolis also shows antiviral </w:t>
      </w:r>
      <w:r w:rsidRPr="003D09C7">
        <w:rPr>
          <w:b/>
          <w:bCs/>
          <w:sz w:val="20"/>
          <w:szCs w:val="20"/>
        </w:rPr>
        <w:t>(Vynograd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2000)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antifungal </w:t>
      </w:r>
      <w:r w:rsidRPr="003D09C7">
        <w:rPr>
          <w:b/>
          <w:bCs/>
          <w:sz w:val="20"/>
          <w:szCs w:val="20"/>
        </w:rPr>
        <w:t>(Sforcin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2001)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sz w:val="20"/>
          <w:szCs w:val="20"/>
        </w:rPr>
        <w:t>Propolis extraction methods may influence its activity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since different solvents solubilize and extract different compounds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most common extracts used in biological assays are ethanol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in different concentrations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ethanol and water </w:t>
      </w:r>
      <w:r w:rsidRPr="003D09C7">
        <w:rPr>
          <w:b/>
          <w:bCs/>
          <w:sz w:val="20"/>
          <w:szCs w:val="20"/>
        </w:rPr>
        <w:t>(Salom˜et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2004)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Its chemical composition is very complex: more than 300 components have already been identified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and its composition is dependent upon the source plant and localflora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lastRenderedPageBreak/>
        <w:t>Moreover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propolis composition is completely variable creating a problem for the medical use and standardization </w:t>
      </w:r>
      <w:r w:rsidRPr="003D09C7">
        <w:rPr>
          <w:b/>
          <w:bCs/>
          <w:sz w:val="20"/>
          <w:szCs w:val="20"/>
        </w:rPr>
        <w:t>(De Castro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2001)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 xml:space="preserve">After its administration to mice or to humans propolis does not seem to have side effects </w:t>
      </w:r>
      <w:r w:rsidRPr="003D09C7">
        <w:rPr>
          <w:b/>
          <w:bCs/>
          <w:sz w:val="20"/>
          <w:szCs w:val="20"/>
        </w:rPr>
        <w:t>(Sforcin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2002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Burdock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1998)</w:t>
      </w:r>
      <w:r w:rsidR="008F70BF">
        <w:rPr>
          <w:b/>
          <w:bCs/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Propolis is non-toxic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and its LD50 ranges from 2 to 7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3 g / kg in mice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No significant alterations in total lipids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triglycerides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cholesterol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HDL-cholesterol concentrations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nor in AST and LDH specific activities were observed (</w:t>
      </w:r>
      <w:r w:rsidRPr="003D09C7">
        <w:rPr>
          <w:b/>
          <w:bCs/>
          <w:sz w:val="20"/>
          <w:szCs w:val="20"/>
        </w:rPr>
        <w:t>Mani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2006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  <w:r w:rsidRPr="003D09C7">
        <w:rPr>
          <w:rFonts w:hint="eastAsia"/>
          <w:sz w:val="20"/>
          <w:szCs w:val="20"/>
        </w:rPr>
        <w:t>A number of studies have also addressed the use of propolis as an adjuvant for viral vaccines</w:t>
      </w:r>
      <w:r w:rsidR="008F70BF">
        <w:rPr>
          <w:rFonts w:hint="eastAsia"/>
          <w:sz w:val="20"/>
          <w:szCs w:val="20"/>
        </w:rPr>
        <w:t xml:space="preserve">. </w:t>
      </w:r>
      <w:r w:rsidRPr="003D09C7">
        <w:rPr>
          <w:rFonts w:hint="eastAsia"/>
          <w:sz w:val="20"/>
          <w:szCs w:val="20"/>
        </w:rPr>
        <w:t>These studies have demonstrated propolis superiority as a potent adjuvant over oil-emulsion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and lower toxicity than Freund's adjuvant in inactivated Newcastle disease virus in chickens</w:t>
      </w:r>
      <w:r w:rsidR="008F70BF">
        <w:rPr>
          <w:rFonts w:hint="eastAsia"/>
          <w:sz w:val="20"/>
          <w:szCs w:val="20"/>
          <w:lang w:eastAsia="zh-CN"/>
        </w:rPr>
        <w:t xml:space="preserve"> </w:t>
      </w:r>
      <w:hyperlink r:id="rId12" w:anchor="bib0385" w:history="1"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Mu et al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.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2007)</w:t>
        </w:r>
      </w:hyperlink>
      <w:r w:rsidR="008F70BF">
        <w:rPr>
          <w:rFonts w:hint="eastAsia"/>
          <w:b/>
          <w:bCs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its role in increasing the protection index in pigeons immunized by the avian paramyxovirus inactivated vaccine </w:t>
      </w:r>
      <w:hyperlink r:id="rId13" w:anchor="bib0390" w:history="1"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(Zou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et al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.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2002)</w:t>
        </w:r>
      </w:hyperlink>
      <w:r w:rsidR="008F70BF">
        <w:rPr>
          <w:rFonts w:hint="eastAsia"/>
          <w:b/>
          <w:bCs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its effect in inducing a safe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more efficient vaccine when formulated with the canine distemper virus of mink</w:t>
      </w:r>
      <w:r w:rsidR="008F70BF">
        <w:rPr>
          <w:rFonts w:hint="eastAsia"/>
          <w:sz w:val="20"/>
          <w:szCs w:val="20"/>
          <w:lang w:eastAsia="zh-CN"/>
        </w:rPr>
        <w:t xml:space="preserve"> </w:t>
      </w:r>
      <w:hyperlink r:id="rId14" w:anchor="bib0395" w:history="1"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(Wang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,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2008)</w:t>
        </w:r>
      </w:hyperlink>
      <w:r w:rsidR="008F70BF">
        <w:rPr>
          <w:rFonts w:hint="eastAsia"/>
          <w:b/>
          <w:bCs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its role in increasing the protection index of the inactivated hepatitis virus of ducks</w:t>
      </w:r>
      <w:r w:rsidR="008F70BF">
        <w:rPr>
          <w:rFonts w:hint="eastAsia"/>
          <w:sz w:val="20"/>
          <w:szCs w:val="20"/>
          <w:lang w:eastAsia="zh-CN"/>
        </w:rPr>
        <w:t xml:space="preserve"> </w:t>
      </w:r>
      <w:hyperlink r:id="rId15" w:anchor="bib0400" w:history="1"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Chen et al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.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2000)</w:t>
        </w:r>
      </w:hyperlink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its ability to act as potent adjuvant for the DNA vaccine against the infectious bursal disease virus </w:t>
      </w:r>
      <w:hyperlink r:id="rId16" w:anchor="bib0405" w:history="1">
        <w:r w:rsidR="008F70BF">
          <w:rPr>
            <w:rStyle w:val="Hyperlink"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Yu et al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.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2004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>)</w:t>
        </w:r>
      </w:hyperlink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and its use as adjuvant for the inactivated hemagglutinating encephalomyelitis virus vaccine of pigs </w:t>
      </w:r>
      <w:hyperlink r:id="rId17" w:anchor="bib0410" w:history="1">
        <w:r w:rsidR="008F70BF">
          <w:rPr>
            <w:rStyle w:val="Hyperlink"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Chen et al 2009)</w:t>
        </w:r>
      </w:hyperlink>
      <w:r w:rsidR="008F70BF">
        <w:rPr>
          <w:rFonts w:hint="eastAsia"/>
          <w:lang w:eastAsia="zh-CN"/>
        </w:rPr>
        <w:t xml:space="preserve"> </w:t>
      </w:r>
      <w:r w:rsidRPr="003D09C7">
        <w:rPr>
          <w:rFonts w:hint="eastAsia"/>
          <w:sz w:val="20"/>
          <w:szCs w:val="20"/>
        </w:rPr>
        <w:t>and </w:t>
      </w:r>
      <w:hyperlink r:id="rId18" w:anchor="bib0415" w:history="1">
        <w:r w:rsidRPr="003D09C7">
          <w:rPr>
            <w:rStyle w:val="Hyperlink"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Qiao et al 2011</w:t>
        </w:r>
        <w:r w:rsidRPr="003D09C7">
          <w:rPr>
            <w:rStyle w:val="Hyperlink"/>
            <w:color w:val="auto"/>
            <w:sz w:val="20"/>
            <w:szCs w:val="20"/>
            <w:u w:val="none"/>
          </w:rPr>
          <w:t>)</w:t>
        </w:r>
      </w:hyperlink>
      <w:r w:rsidR="008F70BF">
        <w:rPr>
          <w:rFonts w:hint="eastAsia"/>
          <w:sz w:val="20"/>
          <w:szCs w:val="20"/>
        </w:rPr>
        <w:t xml:space="preserve">. </w:t>
      </w:r>
    </w:p>
    <w:p w:rsidR="004C11EB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rFonts w:hint="eastAsia"/>
          <w:sz w:val="20"/>
          <w:szCs w:val="20"/>
        </w:rPr>
        <w:t>In 2012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an Egyptian vaccine against </w:t>
      </w:r>
      <w:r w:rsidRPr="003D09C7">
        <w:rPr>
          <w:rFonts w:hint="eastAsia"/>
          <w:i/>
          <w:iCs/>
          <w:sz w:val="20"/>
          <w:szCs w:val="20"/>
        </w:rPr>
        <w:t>K</w:t>
      </w:r>
      <w:r w:rsidR="008F70BF">
        <w:rPr>
          <w:rFonts w:hint="eastAsia"/>
          <w:i/>
          <w:iCs/>
          <w:sz w:val="20"/>
          <w:szCs w:val="20"/>
        </w:rPr>
        <w:t xml:space="preserve">. </w:t>
      </w:r>
      <w:r w:rsidR="008F70BF">
        <w:rPr>
          <w:i/>
          <w:iCs/>
          <w:sz w:val="20"/>
          <w:szCs w:val="20"/>
        </w:rPr>
        <w:t>pneumonia</w:t>
      </w:r>
      <w:r w:rsidR="008F70BF">
        <w:rPr>
          <w:rFonts w:hint="eastAsia"/>
          <w:i/>
          <w:iCs/>
          <w:sz w:val="20"/>
          <w:szCs w:val="20"/>
          <w:lang w:eastAsia="zh-CN"/>
        </w:rPr>
        <w:t xml:space="preserve"> </w:t>
      </w:r>
      <w:r w:rsidRPr="003D09C7">
        <w:rPr>
          <w:rFonts w:hint="eastAsia"/>
          <w:sz w:val="20"/>
          <w:szCs w:val="20"/>
        </w:rPr>
        <w:t>was formulated with the alcoholic extract of the Egyptian brown propolis </w:t>
      </w:r>
      <w:r w:rsidR="008F70BF">
        <w:rPr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Ahmad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2012</w:t>
      </w:r>
      <w:r w:rsidRPr="003D09C7">
        <w:rPr>
          <w:sz w:val="20"/>
          <w:szCs w:val="20"/>
        </w:rPr>
        <w:t>)</w:t>
      </w:r>
      <w:r w:rsidR="008F70BF">
        <w:rPr>
          <w:rFonts w:hint="eastAsia"/>
          <w:sz w:val="20"/>
          <w:szCs w:val="20"/>
        </w:rPr>
        <w:t xml:space="preserve">. </w:t>
      </w:r>
      <w:r w:rsidRPr="003D09C7">
        <w:rPr>
          <w:rFonts w:hint="eastAsia"/>
          <w:sz w:val="20"/>
          <w:szCs w:val="20"/>
        </w:rPr>
        <w:t>White New Zealand rabbits were injected with the propolis formulated vaccine which required a lower dose of the antigen to produce similar levels of antibodies</w:t>
      </w:r>
      <w:r w:rsidR="008F70BF">
        <w:rPr>
          <w:rFonts w:hint="eastAsia"/>
          <w:sz w:val="20"/>
          <w:szCs w:val="20"/>
        </w:rPr>
        <w:t xml:space="preserve">. </w:t>
      </w:r>
      <w:r w:rsidRPr="003D09C7">
        <w:rPr>
          <w:rFonts w:hint="eastAsia"/>
          <w:sz w:val="20"/>
          <w:szCs w:val="20"/>
        </w:rPr>
        <w:t>Moreover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the antibody titer responded earlier and persisted for a longer period </w:t>
      </w:r>
      <w:hyperlink r:id="rId19" w:anchor="bib0600" w:history="1"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Ahmad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,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2012)</w:t>
        </w:r>
      </w:hyperlink>
      <w:r w:rsidR="008F70BF">
        <w:rPr>
          <w:rFonts w:hint="eastAsia"/>
          <w:sz w:val="20"/>
          <w:szCs w:val="20"/>
        </w:rPr>
        <w:t xml:space="preserve">. </w:t>
      </w:r>
      <w:r w:rsidRPr="003D09C7">
        <w:rPr>
          <w:rFonts w:hint="eastAsia"/>
          <w:sz w:val="20"/>
          <w:szCs w:val="20"/>
        </w:rPr>
        <w:t>The immunostimulant effect of the ethanolic extract of the Egyptian propolis was assessed with the inactivated </w:t>
      </w:r>
      <w:r w:rsidRPr="003D09C7">
        <w:rPr>
          <w:rFonts w:hint="eastAsia"/>
          <w:i/>
          <w:iCs/>
          <w:sz w:val="20"/>
          <w:szCs w:val="20"/>
        </w:rPr>
        <w:t>Pasteurella multocida</w:t>
      </w:r>
      <w:r w:rsidRPr="003D09C7">
        <w:rPr>
          <w:rFonts w:hint="eastAsia"/>
          <w:sz w:val="20"/>
          <w:szCs w:val="20"/>
        </w:rPr>
        <w:t> vaccine for rabbits</w:t>
      </w:r>
      <w:r w:rsidR="008F70BF">
        <w:rPr>
          <w:rFonts w:hint="eastAsia"/>
          <w:sz w:val="20"/>
          <w:szCs w:val="20"/>
        </w:rPr>
        <w:t xml:space="preserve">. </w:t>
      </w:r>
      <w:r w:rsidRPr="003D09C7">
        <w:rPr>
          <w:rFonts w:hint="eastAsia"/>
          <w:sz w:val="20"/>
          <w:szCs w:val="20"/>
        </w:rPr>
        <w:t>The oral or subcutaneous administration of the formulated vaccine proved to be safe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had no adverse reactions on the rabbit's health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enhanced specific and non-specific immune response of the vaccine</w:t>
      </w:r>
      <w:r w:rsidR="008F70BF">
        <w:rPr>
          <w:rFonts w:hint="eastAsia"/>
          <w:sz w:val="20"/>
          <w:szCs w:val="20"/>
        </w:rPr>
        <w:t xml:space="preserve">, </w:t>
      </w:r>
      <w:r w:rsidRPr="003D09C7">
        <w:rPr>
          <w:rFonts w:hint="eastAsia"/>
          <w:sz w:val="20"/>
          <w:szCs w:val="20"/>
        </w:rPr>
        <w:t>and reduced the severity of adverse clinical symptoms and mortality rate among the tested rabbits </w:t>
      </w:r>
      <w:hyperlink r:id="rId20" w:anchor="bib0605" w:history="1"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>(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Nassar et al</w:t>
        </w:r>
        <w:r w:rsidR="008F70BF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. </w:t>
        </w:r>
        <w:r w:rsidRPr="003D09C7">
          <w:rPr>
            <w:rStyle w:val="Hyperlink"/>
            <w:b/>
            <w:bCs/>
            <w:color w:val="auto"/>
            <w:sz w:val="20"/>
            <w:szCs w:val="20"/>
            <w:u w:val="none"/>
          </w:rPr>
          <w:t>2012)</w:t>
        </w:r>
      </w:hyperlink>
      <w:r w:rsidR="008F70BF">
        <w:rPr>
          <w:rFonts w:hint="eastAsia"/>
          <w:sz w:val="20"/>
          <w:szCs w:val="20"/>
        </w:rPr>
        <w:t xml:space="preserve">. </w:t>
      </w:r>
      <w:r w:rsidRPr="003D09C7">
        <w:rPr>
          <w:sz w:val="20"/>
          <w:szCs w:val="20"/>
        </w:rPr>
        <w:t>The present study aimed to evaluate immune enhancement of propolis adjuvant with inactive PPV compared with commercial PPV vaccine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as controls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offer theoretical evidence for exploit propolis into the adjuvant vaccine</w:t>
      </w:r>
    </w:p>
    <w:p w:rsidR="00961845" w:rsidRPr="003D09C7" w:rsidRDefault="00961845" w:rsidP="003D09C7">
      <w:pPr>
        <w:snapToGrid w:val="0"/>
        <w:ind w:firstLine="425"/>
        <w:jc w:val="both"/>
        <w:rPr>
          <w:sz w:val="20"/>
          <w:szCs w:val="20"/>
        </w:rPr>
      </w:pP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Material and methods</w:t>
      </w:r>
    </w:p>
    <w:p w:rsidR="004C11EB" w:rsidRPr="003D09C7" w:rsidRDefault="004C11EB" w:rsidP="003D09C7">
      <w:pPr>
        <w:numPr>
          <w:ilvl w:val="0"/>
          <w:numId w:val="5"/>
        </w:numPr>
        <w:snapToGrid w:val="0"/>
        <w:ind w:left="0" w:firstLine="0"/>
        <w:jc w:val="both"/>
        <w:rPr>
          <w:b/>
          <w:bCs/>
          <w:i/>
          <w:iCs/>
          <w:sz w:val="20"/>
          <w:szCs w:val="20"/>
        </w:rPr>
      </w:pPr>
      <w:r w:rsidRPr="003D09C7">
        <w:rPr>
          <w:b/>
          <w:bCs/>
          <w:i/>
          <w:iCs/>
          <w:sz w:val="20"/>
          <w:szCs w:val="20"/>
        </w:rPr>
        <w:t>Preparation of Propolis extract</w:t>
      </w:r>
      <w:r w:rsidR="008F70BF">
        <w:rPr>
          <w:b/>
          <w:bCs/>
          <w:i/>
          <w:iCs/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Egyptian propolis was commercial purchased Beeswax honeycomb processing</w:t>
      </w:r>
      <w:r w:rsidR="008F70BF">
        <w:rPr>
          <w:sz w:val="20"/>
          <w:szCs w:val="20"/>
        </w:rPr>
        <w:t xml:space="preserve">,. </w:t>
      </w:r>
      <w:r w:rsidRPr="003D09C7">
        <w:rPr>
          <w:sz w:val="20"/>
          <w:szCs w:val="20"/>
        </w:rPr>
        <w:t xml:space="preserve">The propolis </w:t>
      </w:r>
      <w:r w:rsidRPr="003D09C7">
        <w:rPr>
          <w:sz w:val="20"/>
          <w:szCs w:val="20"/>
        </w:rPr>
        <w:lastRenderedPageBreak/>
        <w:t>adjuvant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was prepared as previously described</w:t>
      </w:r>
      <w:r w:rsidR="008F70BF">
        <w:rPr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(Paulino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2002)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Briefly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propolis was ground and macerated with absolute ethanol for 10 days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agitation 10 min daily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Then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solvent was evaporated and the resulting dried matter was dissolved in phosphate buffer solution (PBS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pH 6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2)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in a final concentration of 40 mg /ml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Water extract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propolis was extracted with water at 50 °C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and its main constituents were previously reported by </w:t>
      </w:r>
      <w:r w:rsidR="008F70BF">
        <w:rPr>
          <w:b/>
          <w:bCs/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Schnitzler et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2009)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jc w:val="both"/>
        <w:rPr>
          <w:sz w:val="20"/>
          <w:szCs w:val="20"/>
        </w:rPr>
      </w:pPr>
      <w:r w:rsidRPr="003D09C7">
        <w:rPr>
          <w:b/>
          <w:bCs/>
          <w:i/>
          <w:iCs/>
          <w:sz w:val="20"/>
          <w:szCs w:val="20"/>
        </w:rPr>
        <w:t>Control virus</w:t>
      </w:r>
      <w:r w:rsidR="008F70BF">
        <w:rPr>
          <w:b/>
          <w:bCs/>
          <w:sz w:val="20"/>
          <w:szCs w:val="20"/>
        </w:rPr>
        <w:t>:</w:t>
      </w:r>
      <w:r w:rsidRPr="003D09C7">
        <w:rPr>
          <w:sz w:val="20"/>
          <w:szCs w:val="20"/>
        </w:rPr>
        <w:t xml:space="preserve"> Reference strain (orf vaccine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Scabivax UK) strain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were used as controls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3D09C7">
        <w:rPr>
          <w:b/>
          <w:bCs/>
          <w:i/>
          <w:iCs/>
          <w:sz w:val="20"/>
          <w:szCs w:val="20"/>
        </w:rPr>
        <w:t>Preparation of Inactive Parapox virus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PPV was supplied from Veterinary Division of National Research Center Cairo Egypt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After it was propagated and titrated in SPF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 xml:space="preserve">Inactivated PPV according to the method described by </w:t>
      </w:r>
      <w:r w:rsidRPr="003D09C7">
        <w:rPr>
          <w:b/>
          <w:bCs/>
          <w:sz w:val="20"/>
          <w:szCs w:val="20"/>
        </w:rPr>
        <w:t>Madbouly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(2006)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with bromoethylamine BEI (C2H7Br2N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Merck)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in a final concentration of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02 M and pH 7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5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viral suspension with titer of 10</w:t>
      </w:r>
      <w:r w:rsidRPr="003D09C7">
        <w:rPr>
          <w:sz w:val="20"/>
          <w:szCs w:val="20"/>
          <w:vertAlign w:val="superscript"/>
        </w:rPr>
        <w:t>6</w:t>
      </w:r>
      <w:r w:rsidRPr="003D09C7">
        <w:rPr>
          <w:sz w:val="20"/>
          <w:szCs w:val="20"/>
        </w:rPr>
        <w:t xml:space="preserve"> EID50/ml (Embryo infections dose 50% / ml</w:t>
      </w:r>
      <w:r w:rsidR="008F70BF">
        <w:rPr>
          <w:sz w:val="20"/>
          <w:szCs w:val="20"/>
        </w:rPr>
        <w:t xml:space="preserve">). </w:t>
      </w:r>
      <w:r w:rsidRPr="003D09C7">
        <w:rPr>
          <w:sz w:val="20"/>
          <w:szCs w:val="20"/>
        </w:rPr>
        <w:t>The inactivated virus contained 10</w:t>
      </w:r>
      <w:r w:rsidRPr="003D09C7">
        <w:rPr>
          <w:sz w:val="20"/>
          <w:szCs w:val="20"/>
          <w:vertAlign w:val="superscript"/>
        </w:rPr>
        <w:t>6</w:t>
      </w:r>
      <w:r w:rsidRPr="003D09C7">
        <w:rPr>
          <w:sz w:val="20"/>
          <w:szCs w:val="20"/>
        </w:rPr>
        <w:t>EID50/ml as the vaccine antigen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After inactivation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PPV was adjuvanted with E199&amp;FCS or propolis extract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respectively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Their 10</w:t>
      </w:r>
      <w:r w:rsidRPr="003D09C7">
        <w:rPr>
          <w:sz w:val="20"/>
          <w:szCs w:val="20"/>
          <w:vertAlign w:val="superscript"/>
        </w:rPr>
        <w:t>6</w:t>
      </w:r>
      <w:r w:rsidRPr="003D09C7">
        <w:rPr>
          <w:sz w:val="20"/>
          <w:szCs w:val="20"/>
        </w:rPr>
        <w:t xml:space="preserve"> EID50/ml virus contents were the same in two vaccine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3D09C7">
        <w:rPr>
          <w:b/>
          <w:bCs/>
          <w:i/>
          <w:iCs/>
          <w:sz w:val="20"/>
          <w:szCs w:val="20"/>
        </w:rPr>
        <w:t>Experimental animals</w:t>
      </w:r>
    </w:p>
    <w:p w:rsidR="004C11EB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This study was carried out according to guidelines for animal experimentation and approved by the institutional animal care and use committee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National Research Center animal care unit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Dokki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Giza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Egypt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25 Albino rats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about 250-300 g body weight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purchased from Animal house of National Research Center Cairo Egypt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were randomly divided into 5 groups then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housed in wire cages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lighted for 24 h receiving feeding and water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used in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experimental vaccine efficacy</w:t>
      </w:r>
      <w:r w:rsidR="008F70BF">
        <w:rPr>
          <w:sz w:val="20"/>
          <w:szCs w:val="20"/>
        </w:rPr>
        <w:t xml:space="preserve">. </w:t>
      </w:r>
    </w:p>
    <w:p w:rsidR="00961845" w:rsidRPr="003D09C7" w:rsidRDefault="00961845" w:rsidP="003D09C7">
      <w:pPr>
        <w:snapToGrid w:val="0"/>
        <w:ind w:firstLine="425"/>
        <w:jc w:val="both"/>
        <w:rPr>
          <w:sz w:val="20"/>
          <w:szCs w:val="20"/>
        </w:rPr>
      </w:pPr>
    </w:p>
    <w:p w:rsidR="004C11EB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Experimental Design</w:t>
      </w:r>
    </w:p>
    <w:p w:rsidR="00961845" w:rsidRPr="003D09C7" w:rsidRDefault="00961845" w:rsidP="003D09C7">
      <w:pPr>
        <w:snapToGrid w:val="0"/>
        <w:jc w:val="both"/>
        <w:rPr>
          <w:b/>
          <w:bCs/>
          <w:sz w:val="20"/>
          <w:szCs w:val="20"/>
        </w:rPr>
      </w:pP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A total of 25 Albino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rat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were assigned into 5 groups (each containing 5 animals)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Each group was injected by interadermal</w:t>
      </w:r>
      <w:r w:rsidR="008F70BF">
        <w:rPr>
          <w:sz w:val="20"/>
          <w:szCs w:val="20"/>
        </w:rPr>
        <w:t>(</w:t>
      </w:r>
      <w:r w:rsidRPr="003D09C7">
        <w:rPr>
          <w:sz w:val="20"/>
          <w:szCs w:val="20"/>
        </w:rPr>
        <w:t>I/D)/subcutaneous(S/C)</w:t>
      </w:r>
      <w:r w:rsidR="00E5397B" w:rsidRPr="003D09C7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route(dose of 50 mg/kg B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W)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by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5 ml / rat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all rats received two doses interval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between first and second dose 2 weeks apart as follows:Group1 (G1): injected ID/SC with saline as control negative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Group2(G 2): injected ID/SC with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5 ml from PPV antigen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Group3 (G 3): injected ID/SC with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5 ml from PPV adjuvant with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ethanol propolis extract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Group4 (G 4): injected ID/SC with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5 ml from PPV adjuvant with a water propolis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extract ID/SC and Group5 (G 5)</w:t>
      </w:r>
      <w:r w:rsidR="008F70BF">
        <w:rPr>
          <w:sz w:val="20"/>
          <w:szCs w:val="20"/>
        </w:rPr>
        <w:t>:</w:t>
      </w:r>
      <w:r w:rsidRPr="003D09C7">
        <w:rPr>
          <w:sz w:val="20"/>
          <w:szCs w:val="20"/>
        </w:rPr>
        <w:t xml:space="preserve"> injected ID/SC with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5 ml from PPV vaccine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Blood samples were collected every 0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3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7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9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14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21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28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35 and 42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experiment continue for 2 months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collected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(0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 xml:space="preserve">5 ml / rat) from eye drawn into </w:t>
      </w:r>
      <w:r w:rsidRPr="003D09C7">
        <w:rPr>
          <w:sz w:val="20"/>
          <w:szCs w:val="20"/>
        </w:rPr>
        <w:lastRenderedPageBreak/>
        <w:t xml:space="preserve">Eppendorf tubes and allowed to clot at 37 </w:t>
      </w:r>
      <w:r w:rsidRPr="003D09C7">
        <w:rPr>
          <w:sz w:val="20"/>
          <w:szCs w:val="20"/>
          <w:vertAlign w:val="superscript"/>
        </w:rPr>
        <w:t>o</w:t>
      </w:r>
      <w:r w:rsidRPr="003D09C7">
        <w:rPr>
          <w:sz w:val="20"/>
          <w:szCs w:val="20"/>
        </w:rPr>
        <w:t>C for 1 h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Serum was separated by centrifugation then stored at -20</w:t>
      </w:r>
      <w:r w:rsidRPr="003D09C7">
        <w:rPr>
          <w:sz w:val="20"/>
          <w:szCs w:val="20"/>
          <w:vertAlign w:val="superscript"/>
        </w:rPr>
        <w:t>o</w:t>
      </w:r>
      <w:r w:rsidRPr="003D09C7">
        <w:rPr>
          <w:sz w:val="20"/>
          <w:szCs w:val="20"/>
        </w:rPr>
        <w:t>C until used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i/>
          <w:iCs/>
          <w:sz w:val="20"/>
          <w:szCs w:val="20"/>
        </w:rPr>
        <w:t>ELISA</w:t>
      </w:r>
      <w:r w:rsidRPr="003D09C7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i/>
          <w:iCs/>
          <w:sz w:val="20"/>
          <w:szCs w:val="20"/>
        </w:rPr>
        <w:t>Technique</w:t>
      </w:r>
    </w:p>
    <w:p w:rsidR="004C11EB" w:rsidRPr="003D09C7" w:rsidRDefault="004C11EB" w:rsidP="003D09C7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3D09C7">
        <w:rPr>
          <w:sz w:val="20"/>
          <w:szCs w:val="20"/>
        </w:rPr>
        <w:t xml:space="preserve">The indirect enzyme-linked immunosorbentassay (ELISA) technique was used for quantitative of antibodies according to the method described by </w:t>
      </w:r>
      <w:r w:rsidRPr="003D09C7">
        <w:rPr>
          <w:b/>
          <w:bCs/>
          <w:sz w:val="20"/>
          <w:szCs w:val="20"/>
        </w:rPr>
        <w:t>Hubschle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1981)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sz w:val="20"/>
          <w:szCs w:val="20"/>
        </w:rPr>
        <w:t>The 96-well plates coated with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inactivated purified PPV antigen were incubated with diluted antisera (1:100) followed by incubation with an enzyme labeled preparation of anti-immunoglobulin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color change in each well was estimated spectrophotometrically at 450 nm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Statistical analysis</w:t>
      </w:r>
    </w:p>
    <w:p w:rsidR="004C11EB" w:rsidRPr="003D09C7" w:rsidRDefault="004C11EB" w:rsidP="003D09C7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3D09C7">
        <w:rPr>
          <w:sz w:val="20"/>
          <w:szCs w:val="20"/>
        </w:rPr>
        <w:t>Antibody titers were compared using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Statistical analysis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We used SPSS software version 16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Data were analyzed significant between groups' small at t &lt;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05 and highly significant at t &lt;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01 by using T test</w:t>
      </w:r>
      <w:r w:rsidR="008F70BF">
        <w:rPr>
          <w:sz w:val="20"/>
          <w:szCs w:val="20"/>
        </w:rPr>
        <w:t xml:space="preserve">. </w:t>
      </w:r>
    </w:p>
    <w:p w:rsidR="00235905" w:rsidRDefault="00235905" w:rsidP="003D09C7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Results</w:t>
      </w: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Immune response test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Our results revealed that novel adjuvant to enhance antibody titer is an attractive option to improve the PPV vaccine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results of the indirect ELISA for the measurement of antibodies titers of every group are shown in Table (1)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As compared with the control negative G1 and control positive G 5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antibody titers in all vaccination groups increased significantly from day 7–42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On days 7 and 14 after vaccination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antibody titers in vaccinated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group were higher than those of G 5 and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groups (t &gt;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05)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On day 21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35 and 42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antibody titers in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gp3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gp4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were highest than those of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gp5 but there were not significant differences (t &gt;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05)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On day 28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the antibody titer in gp5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  <w:sectPr w:rsidR="004C11EB" w:rsidRPr="003D09C7" w:rsidSect="008F70BF"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</w:p>
    <w:p w:rsidR="004C11EB" w:rsidRPr="003D09C7" w:rsidRDefault="004C11EB" w:rsidP="003D09C7">
      <w:pPr>
        <w:snapToGrid w:val="0"/>
        <w:jc w:val="center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Table (1)</w:t>
      </w:r>
      <w:r w:rsidR="008F70BF">
        <w:rPr>
          <w:b/>
          <w:bCs/>
          <w:sz w:val="20"/>
          <w:szCs w:val="20"/>
        </w:rPr>
        <w:t>:</w:t>
      </w:r>
      <w:r w:rsidRPr="003D09C7">
        <w:rPr>
          <w:b/>
          <w:bCs/>
          <w:sz w:val="20"/>
          <w:szCs w:val="20"/>
        </w:rPr>
        <w:t xml:space="preserve"> Examined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of different collected inoculated rats sera groups by ELISA at wave length of 450 nm</w:t>
      </w:r>
      <w:r w:rsidR="008F70BF">
        <w:rPr>
          <w:b/>
          <w:bCs/>
          <w:sz w:val="20"/>
          <w:szCs w:val="20"/>
        </w:rPr>
        <w:t xml:space="preserve">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"/>
        <w:gridCol w:w="1526"/>
        <w:gridCol w:w="1426"/>
        <w:gridCol w:w="1426"/>
        <w:gridCol w:w="1326"/>
        <w:gridCol w:w="1426"/>
        <w:gridCol w:w="861"/>
      </w:tblGrid>
      <w:tr w:rsidR="004C11EB" w:rsidRPr="003D09C7" w:rsidTr="003D09C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D42 Means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ODs ± SD</w:t>
            </w: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D35 Means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ODs ± SD</w:t>
            </w:r>
          </w:p>
        </w:tc>
        <w:tc>
          <w:tcPr>
            <w:tcW w:w="0" w:type="auto"/>
            <w:vAlign w:val="center"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D28 Means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ODs ± SD</w:t>
            </w: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D14 Means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ODs ± SD</w:t>
            </w: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D7 Means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ODs ± SD</w:t>
            </w: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D3 Means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ODs ± SD</w:t>
            </w: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Groups</w:t>
            </w:r>
          </w:p>
        </w:tc>
      </w:tr>
      <w:tr w:rsidR="004C11EB" w:rsidRPr="003D09C7" w:rsidTr="003D09C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175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0047*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245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0195*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189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0050*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185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0050*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195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003*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202±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0087*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G1</w:t>
            </w:r>
          </w:p>
        </w:tc>
      </w:tr>
      <w:tr w:rsidR="004C11EB" w:rsidRPr="003D09C7" w:rsidTr="003D09C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195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0105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222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0254**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255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0266*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304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0102*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285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008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252±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0180*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G2</w:t>
            </w:r>
          </w:p>
        </w:tc>
      </w:tr>
      <w:tr w:rsidR="004C11EB" w:rsidRPr="003D09C7" w:rsidTr="003D09C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1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22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0658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1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325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0694**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999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0227*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856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0152*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724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010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501±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0270*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G3</w:t>
            </w:r>
          </w:p>
        </w:tc>
      </w:tr>
      <w:tr w:rsidR="004C11EB" w:rsidRPr="003D09C7" w:rsidTr="003D09C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832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0435*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925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0088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845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0088*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752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0208*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654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025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296±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0076*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G4</w:t>
            </w:r>
          </w:p>
        </w:tc>
      </w:tr>
      <w:tr w:rsidR="004C11EB" w:rsidRPr="003D09C7" w:rsidTr="003D09C7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625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0435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722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0386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680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0235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700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0498*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560</w:t>
            </w:r>
            <w:r w:rsidRPr="003D09C7">
              <w:rPr>
                <w:b/>
                <w:bCs/>
                <w:color w:val="000000"/>
                <w:sz w:val="20"/>
                <w:szCs w:val="20"/>
              </w:rPr>
              <w:t>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075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09C7">
              <w:rPr>
                <w:color w:val="000000"/>
                <w:sz w:val="20"/>
                <w:szCs w:val="20"/>
              </w:rPr>
              <w:t>0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255±</w:t>
            </w:r>
            <w:r w:rsidR="008F70BF">
              <w:rPr>
                <w:color w:val="000000"/>
                <w:sz w:val="20"/>
                <w:szCs w:val="20"/>
              </w:rPr>
              <w:t xml:space="preserve">. </w:t>
            </w:r>
            <w:r w:rsidRPr="003D09C7">
              <w:rPr>
                <w:color w:val="000000"/>
                <w:sz w:val="20"/>
                <w:szCs w:val="20"/>
              </w:rPr>
              <w:t>0110*</w:t>
            </w:r>
          </w:p>
          <w:p w:rsidR="004C11EB" w:rsidRPr="003D09C7" w:rsidRDefault="004C11EB" w:rsidP="003D09C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11EB" w:rsidRPr="003D09C7" w:rsidRDefault="004C11EB" w:rsidP="003D09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9C7">
              <w:rPr>
                <w:b/>
                <w:bCs/>
                <w:color w:val="000000"/>
                <w:sz w:val="20"/>
                <w:szCs w:val="20"/>
              </w:rPr>
              <w:t>G5</w:t>
            </w:r>
          </w:p>
        </w:tc>
      </w:tr>
    </w:tbl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</w:p>
    <w:p w:rsidR="003D09C7" w:rsidRDefault="003D09C7" w:rsidP="003D09C7">
      <w:pPr>
        <w:snapToGrid w:val="0"/>
        <w:ind w:firstLine="425"/>
        <w:jc w:val="both"/>
        <w:rPr>
          <w:sz w:val="20"/>
          <w:szCs w:val="20"/>
        </w:rPr>
        <w:sectPr w:rsidR="003D09C7" w:rsidSect="003D09C7">
          <w:type w:val="continuous"/>
          <w:pgSz w:w="12240" w:h="15840" w:code="1"/>
          <w:pgMar w:top="1440" w:right="1440" w:bottom="1440" w:left="1440" w:header="720" w:footer="720" w:gutter="0"/>
          <w:cols w:space="708"/>
          <w:docGrid w:linePitch="360"/>
        </w:sectPr>
      </w:pPr>
    </w:p>
    <w:p w:rsidR="004C11EB" w:rsidRDefault="009A6993" w:rsidP="003D09C7">
      <w:pPr>
        <w:snapToGrid w:val="0"/>
        <w:jc w:val="center"/>
        <w:rPr>
          <w:b/>
          <w:bCs/>
          <w:sz w:val="20"/>
          <w:szCs w:val="20"/>
          <w:lang w:eastAsia="zh-CN"/>
        </w:rPr>
      </w:pPr>
      <w:r>
        <w:rPr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677131" cy="2155496"/>
            <wp:effectExtent l="5946" t="5343" r="2973" b="1336"/>
            <wp:docPr id="1" name="مخطط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5905" w:rsidRPr="003D09C7" w:rsidRDefault="00235905" w:rsidP="00235905">
      <w:pPr>
        <w:numPr>
          <w:ilvl w:val="0"/>
          <w:numId w:val="6"/>
        </w:numPr>
        <w:snapToGrid w:val="0"/>
        <w:ind w:left="0" w:firstLine="0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D</w:t>
      </w:r>
      <w:r w:rsidR="008F70BF">
        <w:rPr>
          <w:sz w:val="20"/>
          <w:szCs w:val="20"/>
        </w:rPr>
        <w:t xml:space="preserve">: </w:t>
      </w:r>
      <w:r w:rsidRPr="003D09C7">
        <w:rPr>
          <w:sz w:val="20"/>
          <w:szCs w:val="20"/>
        </w:rPr>
        <w:t>means day</w:t>
      </w:r>
    </w:p>
    <w:p w:rsidR="00235905" w:rsidRDefault="00235905" w:rsidP="00235905">
      <w:pPr>
        <w:snapToGrid w:val="0"/>
        <w:jc w:val="both"/>
        <w:rPr>
          <w:b/>
          <w:bCs/>
          <w:sz w:val="20"/>
          <w:szCs w:val="20"/>
          <w:lang w:eastAsia="zh-CN"/>
        </w:rPr>
      </w:pPr>
      <w:r w:rsidRPr="003D09C7">
        <w:rPr>
          <w:b/>
          <w:bCs/>
          <w:sz w:val="20"/>
          <w:szCs w:val="20"/>
        </w:rPr>
        <w:t>Figure (1) Means of immune response for different groups against PPV vaccine detected by ELISA at wave length 450 nm</w:t>
      </w:r>
      <w:r w:rsidR="008F70BF">
        <w:rPr>
          <w:b/>
          <w:bCs/>
          <w:sz w:val="20"/>
          <w:szCs w:val="20"/>
        </w:rPr>
        <w:t xml:space="preserve">. </w:t>
      </w:r>
    </w:p>
    <w:p w:rsidR="00235905" w:rsidRDefault="00235905" w:rsidP="00235905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235905" w:rsidRPr="003D09C7" w:rsidRDefault="00235905" w:rsidP="00235905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Group 1</w:t>
      </w:r>
      <w:r w:rsidR="008F70BF">
        <w:rPr>
          <w:sz w:val="20"/>
          <w:szCs w:val="20"/>
        </w:rPr>
        <w:t>:</w:t>
      </w:r>
      <w:r w:rsidRPr="003D09C7">
        <w:rPr>
          <w:sz w:val="20"/>
          <w:szCs w:val="20"/>
        </w:rPr>
        <w:t xml:space="preserve"> blank control with saline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2</w:t>
      </w:r>
      <w:r w:rsidR="008F70BF">
        <w:rPr>
          <w:sz w:val="20"/>
          <w:szCs w:val="20"/>
        </w:rPr>
        <w:t>:</w:t>
      </w:r>
      <w:r w:rsidRPr="003D09C7">
        <w:rPr>
          <w:sz w:val="20"/>
          <w:szCs w:val="20"/>
        </w:rPr>
        <w:t xml:space="preserve"> PPV antigen with MEM and FCS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3: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PPV adjuvant a mixture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propolis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ethanol extract ID/SC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group 4: PPV </w:t>
      </w:r>
      <w:r w:rsidRPr="003D09C7">
        <w:rPr>
          <w:sz w:val="20"/>
          <w:szCs w:val="20"/>
        </w:rPr>
        <w:lastRenderedPageBreak/>
        <w:t>adjuvant with a mixture propolis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water extract ID/SC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5</w:t>
      </w:r>
      <w:r w:rsidR="008F70BF">
        <w:rPr>
          <w:sz w:val="20"/>
          <w:szCs w:val="20"/>
        </w:rPr>
        <w:t>:</w:t>
      </w:r>
      <w:r w:rsidRPr="003D09C7">
        <w:rPr>
          <w:sz w:val="20"/>
          <w:szCs w:val="20"/>
        </w:rPr>
        <w:t xml:space="preserve"> control positive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PPV vaccine ID/SC</w:t>
      </w:r>
    </w:p>
    <w:p w:rsidR="00235905" w:rsidRPr="003D09C7" w:rsidRDefault="00235905" w:rsidP="00235905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T</w:t>
      </w:r>
      <w:r w:rsidR="008F70BF">
        <w:rPr>
          <w:sz w:val="20"/>
          <w:szCs w:val="20"/>
        </w:rPr>
        <w:t>:</w:t>
      </w:r>
      <w:r w:rsidRPr="003D09C7">
        <w:rPr>
          <w:sz w:val="20"/>
          <w:szCs w:val="20"/>
        </w:rPr>
        <w:t xml:space="preserve"> Significant between groups at t &lt;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05 using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CI = 95 % and highly significant at t&lt;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01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by using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CI = 99 %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by using analysis of one simple t test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*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High significant at t&lt;0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05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Similar litters in the same row means non-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significant changes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Different letters in the same row means significant changes at t&lt; 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05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** Highly significant at t&lt;0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01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by using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CI = 99 %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Group 1(gp1)</w:t>
      </w:r>
      <w:r w:rsidR="008F70BF">
        <w:rPr>
          <w:sz w:val="20"/>
          <w:szCs w:val="20"/>
        </w:rPr>
        <w:t>:</w:t>
      </w:r>
      <w:r w:rsidRPr="003D09C7">
        <w:rPr>
          <w:sz w:val="20"/>
          <w:szCs w:val="20"/>
        </w:rPr>
        <w:t xml:space="preserve"> blank control injected with saline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2 (gp2): PPV antigen injected with MEM and FCS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3 (gp3): injected with PPV adjuvant with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ethanol propolis extract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4(gp4): injected with PPV adjuvant with water propolis extract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group 5 (gp5): control positive injected with PPV vaccine</w:t>
      </w:r>
    </w:p>
    <w:p w:rsidR="004C11EB" w:rsidRPr="00235905" w:rsidRDefault="004C11EB" w:rsidP="003D09C7">
      <w:pPr>
        <w:snapToGrid w:val="0"/>
        <w:ind w:firstLine="425"/>
        <w:jc w:val="both"/>
        <w:rPr>
          <w:sz w:val="20"/>
          <w:szCs w:val="20"/>
        </w:rPr>
      </w:pPr>
    </w:p>
    <w:p w:rsidR="004C11EB" w:rsidRPr="003D09C7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Discussion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Vaccines require optimal adjuvants including immuno-stimulants and delivery systems to offer long term protection from infectious diseases in animals and man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current study was aimed to investigate the immunostimulant effect of propolis extract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Due to the high chemical complexity of propolis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it is </w:t>
      </w:r>
      <w:r w:rsidRPr="003D09C7">
        <w:rPr>
          <w:sz w:val="20"/>
          <w:szCs w:val="20"/>
        </w:rPr>
        <w:lastRenderedPageBreak/>
        <w:t>extremely difficult to identify which substances are responsible for its biological activities (</w:t>
      </w:r>
      <w:r w:rsidRPr="003D09C7">
        <w:rPr>
          <w:b/>
          <w:bCs/>
          <w:sz w:val="20"/>
          <w:szCs w:val="20"/>
        </w:rPr>
        <w:t>Ozkul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2005)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Sforcin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et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2005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majority of vaccines requires association with adjuvant capable of increasing the potency or stimulating the appropriate immune response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Propolis is a resinous hive product collected by honey bees from various plant sources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It contains more than 160 constituents that have several biological and pharmacological properties such as antimicrobial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antiinflammatory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immunomodularity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and antioxidant effects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Bankova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2005</w:t>
      </w:r>
      <w:r w:rsidR="008F70BF">
        <w:rPr>
          <w:sz w:val="20"/>
          <w:szCs w:val="20"/>
        </w:rPr>
        <w:t>,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Storni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2005 and</w:t>
      </w:r>
      <w:r w:rsidRPr="003D09C7">
        <w:rPr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Orsi</w:t>
      </w:r>
      <w:r w:rsidR="008F70BF">
        <w:rPr>
          <w:b/>
          <w:bCs/>
          <w:sz w:val="20"/>
          <w:szCs w:val="20"/>
        </w:rPr>
        <w:t xml:space="preserve"> </w:t>
      </w:r>
      <w:r w:rsidRPr="003D09C7">
        <w:rPr>
          <w:b/>
          <w:bCs/>
          <w:sz w:val="20"/>
          <w:szCs w:val="20"/>
        </w:rPr>
        <w:t>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2006</w:t>
      </w:r>
      <w:r w:rsidRPr="003D09C7">
        <w:rPr>
          <w:sz w:val="20"/>
          <w:szCs w:val="20"/>
        </w:rPr>
        <w:t>) have many of the mechanisms of action are still unknown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Propolis is a natural product and safe for human and animal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In many countries it has been approved as health food or medicine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development of new vaccines will be highly benefited with the identification of new substances capable of promoting and directing to a proper immune response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Singh and Hagan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2002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Oil adjuvants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which are no longer in use for humans due to their adverse effects (</w:t>
      </w:r>
      <w:r w:rsidRPr="003D09C7">
        <w:rPr>
          <w:b/>
          <w:bCs/>
          <w:sz w:val="20"/>
          <w:szCs w:val="20"/>
        </w:rPr>
        <w:t>Lindblad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2000</w:t>
      </w:r>
      <w:r w:rsidRPr="003D09C7">
        <w:rPr>
          <w:sz w:val="20"/>
          <w:szCs w:val="20"/>
        </w:rPr>
        <w:t>) are still largely used in vaccines for veterinary use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These oil emulsions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used specially in association with inactivated antigens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potentiate the immune system through the formation of a deposit at the inoculation site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with slow and long release of the antigen </w:t>
      </w:r>
      <w:r w:rsidR="008F70BF">
        <w:rPr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Cox and Coulter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1997</w:t>
      </w:r>
      <w:r w:rsidRPr="003D09C7">
        <w:rPr>
          <w:sz w:val="20"/>
          <w:szCs w:val="20"/>
        </w:rPr>
        <w:t>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However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these inactivated vaccines need periodic revaccinations to produce an efficient immunological response </w:t>
      </w:r>
      <w:r w:rsidRPr="003D09C7">
        <w:rPr>
          <w:b/>
          <w:bCs/>
          <w:sz w:val="20"/>
          <w:szCs w:val="20"/>
        </w:rPr>
        <w:t>(Fenner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1993)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In the present study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conducted in rats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no adverse effect was observed due to the association of propolis with vaccine against PPV</w:t>
      </w:r>
      <w:r w:rsidR="008F70BF">
        <w:rPr>
          <w:sz w:val="20"/>
          <w:szCs w:val="20"/>
        </w:rPr>
        <w:t xml:space="preserve">. </w:t>
      </w: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Our results revealed that the ethanol and water extract propolis associated with an inactivated PPV were evaluated comparing with control positive reference PPV vaccine by neuterzing antibody titer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ELISA positive titer of PPV antibodies in group 3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4 and 5(vaccinated with PPV vaccine</w:t>
      </w:r>
      <w:r w:rsidR="008F70BF">
        <w:rPr>
          <w:sz w:val="20"/>
          <w:szCs w:val="20"/>
        </w:rPr>
        <w:t xml:space="preserve">). </w:t>
      </w:r>
      <w:r w:rsidRPr="003D09C7">
        <w:rPr>
          <w:sz w:val="20"/>
          <w:szCs w:val="20"/>
        </w:rPr>
        <w:t>Antibody titers in groups 3 and 4 treated with the IPPV adjuvanted with ethanol and water propolis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extract by SC/ID routes were higher than that of the control positive reference vaccine group5 and may be attributed to the ability of propolis for modulating the synthesis of antibodies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as in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Table (1) and Fig (1)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This finding agreement with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(</w:t>
      </w:r>
      <w:r w:rsidRPr="003D09C7">
        <w:rPr>
          <w:b/>
          <w:bCs/>
          <w:sz w:val="20"/>
          <w:szCs w:val="20"/>
        </w:rPr>
        <w:t>Orsolic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2005)</w:t>
      </w:r>
      <w:r w:rsidRPr="003D09C7">
        <w:rPr>
          <w:sz w:val="20"/>
          <w:szCs w:val="20"/>
        </w:rPr>
        <w:t xml:space="preserve"> found that the vaccine with propolis increased the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 xml:space="preserve">potency of the humoral immune response when compared to the vaccine without propolis as suggested by </w:t>
      </w:r>
      <w:r w:rsidRPr="003D09C7">
        <w:rPr>
          <w:b/>
          <w:bCs/>
          <w:sz w:val="20"/>
          <w:szCs w:val="20"/>
        </w:rPr>
        <w:t>(Cox and Coulter</w:t>
      </w:r>
      <w:r w:rsidR="008F70BF">
        <w:rPr>
          <w:b/>
          <w:bCs/>
          <w:sz w:val="20"/>
          <w:szCs w:val="20"/>
        </w:rPr>
        <w:t xml:space="preserve">, </w:t>
      </w:r>
      <w:r w:rsidRPr="003D09C7">
        <w:rPr>
          <w:b/>
          <w:bCs/>
          <w:sz w:val="20"/>
          <w:szCs w:val="20"/>
        </w:rPr>
        <w:t>1997)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evaluation of humoral and/or cellular responses induced by a vaccine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Comparing the vaccines with or without propolis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increase percentage of immunized group with the antigen and the propolis extract was also surprising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 xml:space="preserve">these results are similar to the ones obtained by </w:t>
      </w:r>
      <w:r w:rsidRPr="003D09C7">
        <w:rPr>
          <w:b/>
          <w:bCs/>
          <w:sz w:val="20"/>
          <w:szCs w:val="20"/>
        </w:rPr>
        <w:t>(Banskota et al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b/>
          <w:bCs/>
          <w:sz w:val="20"/>
          <w:szCs w:val="20"/>
        </w:rPr>
        <w:t>2001)</w:t>
      </w:r>
      <w:r w:rsidR="008F70BF">
        <w:rPr>
          <w:b/>
          <w:bCs/>
          <w:sz w:val="20"/>
          <w:szCs w:val="20"/>
        </w:rPr>
        <w:t xml:space="preserve">. </w:t>
      </w:r>
      <w:r w:rsidRPr="003D09C7">
        <w:rPr>
          <w:sz w:val="20"/>
          <w:szCs w:val="20"/>
        </w:rPr>
        <w:t>increase in the humoral as well as the cellular immune response for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lastRenderedPageBreak/>
        <w:t>PPV adjuvant with water and ethanol extract proplis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Finally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>the association of propolis increased the potency of the humoral and cellular responses</w:t>
      </w:r>
      <w:r w:rsidR="008F70BF">
        <w:rPr>
          <w:sz w:val="20"/>
          <w:szCs w:val="20"/>
        </w:rPr>
        <w:t xml:space="preserve">.. </w:t>
      </w:r>
      <w:r w:rsidRPr="003D09C7">
        <w:rPr>
          <w:sz w:val="20"/>
          <w:szCs w:val="20"/>
        </w:rPr>
        <w:t>Our results revealed that both water and ethanol propolis extract can improve the immune response against PPV vaccine</w:t>
      </w:r>
    </w:p>
    <w:p w:rsidR="00235905" w:rsidRDefault="00235905" w:rsidP="003D09C7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4C11EB" w:rsidRDefault="004C11EB" w:rsidP="003D09C7">
      <w:pPr>
        <w:snapToGrid w:val="0"/>
        <w:jc w:val="both"/>
        <w:rPr>
          <w:b/>
          <w:bCs/>
          <w:sz w:val="20"/>
          <w:szCs w:val="20"/>
        </w:rPr>
      </w:pPr>
      <w:r w:rsidRPr="003D09C7">
        <w:rPr>
          <w:b/>
          <w:bCs/>
          <w:sz w:val="20"/>
          <w:szCs w:val="20"/>
        </w:rPr>
        <w:t>Conclusion</w:t>
      </w:r>
    </w:p>
    <w:p w:rsidR="0092090E" w:rsidRPr="003D09C7" w:rsidRDefault="0092090E" w:rsidP="003D09C7">
      <w:pPr>
        <w:snapToGrid w:val="0"/>
        <w:jc w:val="both"/>
        <w:rPr>
          <w:b/>
          <w:bCs/>
          <w:sz w:val="20"/>
          <w:szCs w:val="20"/>
        </w:rPr>
      </w:pPr>
    </w:p>
    <w:p w:rsidR="004C11EB" w:rsidRPr="003D09C7" w:rsidRDefault="004C11EB" w:rsidP="003D09C7">
      <w:pPr>
        <w:snapToGrid w:val="0"/>
        <w:ind w:firstLine="425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The use of an adjuvant to enhance antibody production is an attractive option to increase the vaccine efficacy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A potent immunostimulant effect of mainly water and ethanol propolis extrat allow them to be used as new adjuvants for PPV vaccine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The use of propolis extract as an adjuvant might contribute for the efficacy of vaccines</w:t>
      </w:r>
      <w:r w:rsidR="008F70BF">
        <w:rPr>
          <w:sz w:val="20"/>
          <w:szCs w:val="20"/>
        </w:rPr>
        <w:t xml:space="preserve">. </w:t>
      </w:r>
      <w:r w:rsidRPr="003D09C7">
        <w:rPr>
          <w:sz w:val="20"/>
          <w:szCs w:val="20"/>
        </w:rPr>
        <w:t>It can also increase the potency of vaccines</w:t>
      </w:r>
    </w:p>
    <w:p w:rsidR="004C11EB" w:rsidRDefault="004C11EB" w:rsidP="003D09C7">
      <w:pPr>
        <w:snapToGrid w:val="0"/>
        <w:jc w:val="both"/>
        <w:rPr>
          <w:sz w:val="20"/>
          <w:szCs w:val="20"/>
          <w:lang w:eastAsia="zh-CN"/>
        </w:rPr>
      </w:pPr>
    </w:p>
    <w:p w:rsidR="00235905" w:rsidRDefault="00235905" w:rsidP="00235905">
      <w:pPr>
        <w:snapToGrid w:val="0"/>
        <w:jc w:val="both"/>
        <w:rPr>
          <w:b/>
          <w:sz w:val="20"/>
          <w:szCs w:val="20"/>
        </w:rPr>
      </w:pPr>
      <w:r w:rsidRPr="003D09C7">
        <w:rPr>
          <w:b/>
          <w:sz w:val="20"/>
          <w:szCs w:val="20"/>
        </w:rPr>
        <w:t>Acknowledgements:</w:t>
      </w:r>
    </w:p>
    <w:p w:rsidR="0092090E" w:rsidRPr="003D09C7" w:rsidRDefault="0092090E" w:rsidP="00235905">
      <w:pPr>
        <w:snapToGrid w:val="0"/>
        <w:jc w:val="both"/>
        <w:rPr>
          <w:b/>
          <w:sz w:val="20"/>
          <w:szCs w:val="20"/>
        </w:rPr>
      </w:pPr>
    </w:p>
    <w:p w:rsidR="00235905" w:rsidRPr="003D09C7" w:rsidRDefault="00235905" w:rsidP="00884C29">
      <w:pPr>
        <w:snapToGrid w:val="0"/>
        <w:jc w:val="both"/>
        <w:rPr>
          <w:rFonts w:eastAsia="黑体"/>
          <w:sz w:val="20"/>
          <w:szCs w:val="20"/>
        </w:rPr>
      </w:pPr>
      <w:r w:rsidRPr="003D09C7">
        <w:rPr>
          <w:sz w:val="20"/>
          <w:szCs w:val="20"/>
        </w:rPr>
        <w:t xml:space="preserve">Foundation item: </w:t>
      </w:r>
      <w:r w:rsidR="00884C29" w:rsidRPr="00884C29">
        <w:rPr>
          <w:sz w:val="20"/>
          <w:szCs w:val="20"/>
        </w:rPr>
        <w:t>Faculty of Science</w:t>
      </w:r>
      <w:r w:rsidR="00884C29">
        <w:rPr>
          <w:sz w:val="20"/>
          <w:szCs w:val="20"/>
        </w:rPr>
        <w:t xml:space="preserve">, </w:t>
      </w:r>
      <w:r w:rsidR="00884C29" w:rsidRPr="00884C29">
        <w:rPr>
          <w:sz w:val="20"/>
          <w:szCs w:val="20"/>
        </w:rPr>
        <w:t>Saudi Arabia</w:t>
      </w:r>
      <w:r w:rsidR="00884C29">
        <w:rPr>
          <w:sz w:val="20"/>
          <w:szCs w:val="20"/>
        </w:rPr>
        <w:t>.</w:t>
      </w:r>
      <w:r w:rsidR="008F70BF">
        <w:rPr>
          <w:sz w:val="20"/>
          <w:szCs w:val="20"/>
        </w:rPr>
        <w:t xml:space="preserve"> </w:t>
      </w:r>
      <w:r w:rsidRPr="003D09C7">
        <w:rPr>
          <w:sz w:val="20"/>
          <w:szCs w:val="20"/>
        </w:rPr>
        <w:t xml:space="preserve">Authors are grateful to the </w:t>
      </w:r>
      <w:r w:rsidR="00884C29" w:rsidRPr="00884C29">
        <w:rPr>
          <w:sz w:val="20"/>
          <w:szCs w:val="20"/>
        </w:rPr>
        <w:t>Department of Chemistry</w:t>
      </w:r>
      <w:r w:rsidR="008F70BF">
        <w:rPr>
          <w:sz w:val="20"/>
          <w:szCs w:val="20"/>
        </w:rPr>
        <w:t xml:space="preserve">, </w:t>
      </w:r>
      <w:r w:rsidRPr="003D09C7">
        <w:rPr>
          <w:sz w:val="20"/>
          <w:szCs w:val="20"/>
        </w:rPr>
        <w:t>for financial support to carry out this work</w:t>
      </w:r>
      <w:r w:rsidR="008F70BF">
        <w:rPr>
          <w:sz w:val="20"/>
          <w:szCs w:val="20"/>
        </w:rPr>
        <w:t xml:space="preserve">. </w:t>
      </w:r>
    </w:p>
    <w:p w:rsidR="00235905" w:rsidRPr="003D09C7" w:rsidRDefault="00235905" w:rsidP="00235905">
      <w:pPr>
        <w:snapToGrid w:val="0"/>
        <w:jc w:val="both"/>
        <w:rPr>
          <w:sz w:val="20"/>
          <w:szCs w:val="20"/>
        </w:rPr>
      </w:pPr>
    </w:p>
    <w:p w:rsidR="00235905" w:rsidRPr="003D09C7" w:rsidRDefault="00235905" w:rsidP="00235905">
      <w:pPr>
        <w:snapToGrid w:val="0"/>
        <w:jc w:val="both"/>
        <w:rPr>
          <w:b/>
          <w:sz w:val="20"/>
          <w:szCs w:val="20"/>
        </w:rPr>
      </w:pPr>
      <w:r w:rsidRPr="003D09C7">
        <w:rPr>
          <w:b/>
          <w:sz w:val="20"/>
          <w:szCs w:val="20"/>
        </w:rPr>
        <w:t>Corresponding Author:</w:t>
      </w:r>
    </w:p>
    <w:p w:rsidR="00235905" w:rsidRPr="003D09C7" w:rsidRDefault="00235905" w:rsidP="00884C29">
      <w:pPr>
        <w:snapToGrid w:val="0"/>
        <w:jc w:val="both"/>
        <w:rPr>
          <w:sz w:val="20"/>
          <w:szCs w:val="20"/>
        </w:rPr>
      </w:pPr>
      <w:r w:rsidRPr="003D09C7">
        <w:rPr>
          <w:sz w:val="20"/>
          <w:szCs w:val="20"/>
        </w:rPr>
        <w:t>Dr</w:t>
      </w:r>
      <w:r w:rsidR="008F70BF">
        <w:rPr>
          <w:sz w:val="20"/>
          <w:szCs w:val="20"/>
        </w:rPr>
        <w:t xml:space="preserve">. </w:t>
      </w:r>
      <w:r w:rsidR="00884C29">
        <w:rPr>
          <w:sz w:val="20"/>
          <w:szCs w:val="20"/>
        </w:rPr>
        <w:t>Gamil S.G.Zeedan</w:t>
      </w:r>
    </w:p>
    <w:p w:rsidR="00235905" w:rsidRPr="003D09C7" w:rsidRDefault="00235905" w:rsidP="00884C29">
      <w:pPr>
        <w:snapToGrid w:val="0"/>
        <w:jc w:val="both"/>
        <w:rPr>
          <w:sz w:val="20"/>
          <w:szCs w:val="20"/>
        </w:rPr>
      </w:pPr>
      <w:r w:rsidRPr="003D09C7">
        <w:rPr>
          <w:sz w:val="20"/>
          <w:szCs w:val="20"/>
        </w:rPr>
        <w:t xml:space="preserve">Department of </w:t>
      </w:r>
      <w:r w:rsidR="00884C29">
        <w:rPr>
          <w:sz w:val="20"/>
          <w:szCs w:val="20"/>
        </w:rPr>
        <w:t>Parasitology and Animals diseases</w:t>
      </w:r>
    </w:p>
    <w:p w:rsidR="00235905" w:rsidRPr="003D09C7" w:rsidRDefault="00884C29" w:rsidP="00235905">
      <w:pPr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National Research Center</w:t>
      </w:r>
    </w:p>
    <w:p w:rsidR="00235905" w:rsidRPr="003D09C7" w:rsidRDefault="00235905" w:rsidP="00884C29">
      <w:pPr>
        <w:snapToGrid w:val="0"/>
        <w:jc w:val="both"/>
        <w:rPr>
          <w:sz w:val="20"/>
          <w:szCs w:val="20"/>
        </w:rPr>
      </w:pPr>
      <w:r w:rsidRPr="003D09C7">
        <w:rPr>
          <w:sz w:val="20"/>
          <w:szCs w:val="20"/>
        </w:rPr>
        <w:t xml:space="preserve">E-mail: </w:t>
      </w:r>
      <w:hyperlink r:id="rId23" w:history="1">
        <w:r w:rsidR="00884C29" w:rsidRPr="00504AE2">
          <w:rPr>
            <w:rStyle w:val="Hyperlink"/>
            <w:sz w:val="20"/>
            <w:szCs w:val="20"/>
          </w:rPr>
          <w:t>gamilzee@yahoo.com</w:t>
        </w:r>
      </w:hyperlink>
    </w:p>
    <w:p w:rsidR="00235905" w:rsidRPr="003D09C7" w:rsidRDefault="00235905" w:rsidP="003D09C7">
      <w:pPr>
        <w:snapToGrid w:val="0"/>
        <w:jc w:val="both"/>
        <w:rPr>
          <w:sz w:val="20"/>
          <w:szCs w:val="20"/>
          <w:lang w:eastAsia="zh-CN"/>
        </w:rPr>
      </w:pPr>
    </w:p>
    <w:p w:rsidR="004C11EB" w:rsidRDefault="004C11EB" w:rsidP="003D09C7">
      <w:pPr>
        <w:snapToGrid w:val="0"/>
        <w:jc w:val="both"/>
        <w:rPr>
          <w:b/>
          <w:bCs/>
          <w:sz w:val="20"/>
          <w:szCs w:val="20"/>
          <w:lang w:eastAsia="zh-CN"/>
        </w:rPr>
      </w:pPr>
      <w:r w:rsidRPr="003D09C7">
        <w:rPr>
          <w:b/>
          <w:bCs/>
          <w:sz w:val="20"/>
          <w:szCs w:val="20"/>
        </w:rPr>
        <w:t>References</w:t>
      </w:r>
      <w:r w:rsidR="00235905">
        <w:rPr>
          <w:rFonts w:hint="eastAsia"/>
          <w:b/>
          <w:bCs/>
          <w:sz w:val="20"/>
          <w:szCs w:val="20"/>
          <w:lang w:eastAsia="zh-CN"/>
        </w:rPr>
        <w:t xml:space="preserve"> </w:t>
      </w:r>
    </w:p>
    <w:p w:rsidR="0092090E" w:rsidRPr="00235905" w:rsidRDefault="0092090E" w:rsidP="003D09C7">
      <w:pPr>
        <w:snapToGrid w:val="0"/>
        <w:jc w:val="both"/>
        <w:rPr>
          <w:b/>
          <w:bCs/>
          <w:sz w:val="19"/>
          <w:szCs w:val="19"/>
          <w:lang w:eastAsia="zh-CN"/>
        </w:rPr>
      </w:pP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Aguilar JC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Rodriguez EG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Vaccine adjuvants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revisited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Vaccine 2007;25:3752–62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Ahmad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TA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Construction and evaluation of a conjugate vaccine for the prevention of septicemia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PhD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Alexandria: Alexandria University; 2012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Ahmad TA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El-Sayed LH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Haroun M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Hussein AA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El Ashry SH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Development of immunization trials against Klebsiella pneumoniae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Vaccine 2012;30:2411–20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Bankova V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Chemical diversity of propolis and the problem of standardization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Journal of Ethnopharmacology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2005; 100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114–117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Banskota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AH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Tezuka Y 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Kadota S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Recent progress in pharmacological research of propolis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Phytotherapy Research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2001;15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561–571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Barr TA and Carlring J AW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Heath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Co-stimulatory agonists as immunologicaladjuvants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Vaccine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2006; 24 3399–3407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Bhanuprakash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V Indrani B K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Hosamani M and Singh RK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 xml:space="preserve">The current status of sheep pox </w:t>
      </w:r>
      <w:r w:rsidRPr="0092090E">
        <w:rPr>
          <w:sz w:val="20"/>
          <w:szCs w:val="20"/>
        </w:rPr>
        <w:lastRenderedPageBreak/>
        <w:t>disease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Comp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Immunol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Microbiol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Infect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Dis</w:t>
      </w:r>
      <w:r w:rsidR="008F70BF" w:rsidRPr="0092090E">
        <w:rPr>
          <w:sz w:val="20"/>
          <w:szCs w:val="20"/>
        </w:rPr>
        <w:t>;</w:t>
      </w:r>
      <w:r w:rsidRPr="0092090E">
        <w:rPr>
          <w:sz w:val="20"/>
          <w:szCs w:val="20"/>
        </w:rPr>
        <w:t xml:space="preserve"> 006</w:t>
      </w:r>
      <w:r w:rsidR="008F70BF" w:rsidRPr="0092090E">
        <w:rPr>
          <w:sz w:val="20"/>
          <w:szCs w:val="20"/>
        </w:rPr>
        <w:t xml:space="preserve">.. </w:t>
      </w:r>
      <w:r w:rsidRPr="0092090E">
        <w:rPr>
          <w:sz w:val="20"/>
          <w:szCs w:val="20"/>
        </w:rPr>
        <w:t>29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27–60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Burdock GA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Review of the biological properties and toxicity of bee propolis (propolis)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Food and Chemical Toxicology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1998</w:t>
      </w:r>
      <w:r w:rsidR="008F70BF" w:rsidRPr="0092090E">
        <w:rPr>
          <w:sz w:val="20"/>
          <w:szCs w:val="20"/>
        </w:rPr>
        <w:t>;</w:t>
      </w:r>
      <w:r w:rsidRPr="0092090E">
        <w:rPr>
          <w:sz w:val="20"/>
          <w:szCs w:val="20"/>
        </w:rPr>
        <w:t>36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347–363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Chen K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Chao S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Liu P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Preliminary report on propolis inactivated vaccine of ducklings’ virus hepatitis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J Anim Sci Vet Med 2000:2000–3 [Chinese]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Chen K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He W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Lu H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Zhao K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Zhao C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Zeng F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Comparison of different adjuvant inactive vaccines for hemagglutinating encephalomyelitis virus immunizing BALB/c mice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Zhongguo Xumu Shouyi 2009;36: 34–7 [Chinese]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Cox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JC 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Coulter AR</w:t>
      </w:r>
      <w:r w:rsidR="008F70BF" w:rsidRPr="0092090E">
        <w:rPr>
          <w:bCs/>
          <w:sz w:val="20"/>
          <w:szCs w:val="20"/>
        </w:rPr>
        <w:t xml:space="preserve">.. </w:t>
      </w:r>
      <w:r w:rsidRPr="0092090E">
        <w:rPr>
          <w:sz w:val="20"/>
          <w:szCs w:val="20"/>
        </w:rPr>
        <w:t>Adjuvant—a classification and review of their modes of action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Vaccine 1997; 15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246–256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De Castro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SL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Propolis: biological and pharmacological activities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Therapeutic uses of this bee-product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Annu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Rev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Biomed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Sci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2001; 3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49–83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Estrada A Katselis G S Laarveld B and Barl B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Isolation and evaluation of immunological adjuvant activities of saponins from Polygala senega 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Comp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Immunol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Microbiol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Infect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Dis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2000; 23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27–43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Fenner FJ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Gibbs E PMurphy FA Rott R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Studert MJ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 White D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Veterinary Virology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Academic Press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San Diego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1993;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p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666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Heinrich M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Modarai M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Kortenkamp A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Herbal extracts used for upper respiratory tract infections: are there clinically relevant interactions with the cytochrome P450 enzyme system? Planta Med 2008;74:657–60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Hubschle OJ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Lorenz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RJ and Mathek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HD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Enzyme Linked Immuno-Sorbent Assay for detection of blue tongue virus antigen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American Journal of Veterinary Research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1981</w:t>
      </w:r>
      <w:r w:rsidR="008F70BF" w:rsidRPr="0092090E">
        <w:rPr>
          <w:sz w:val="20"/>
          <w:szCs w:val="20"/>
        </w:rPr>
        <w:t>.;</w:t>
      </w:r>
      <w:r w:rsidRPr="0092090E">
        <w:rPr>
          <w:sz w:val="20"/>
          <w:szCs w:val="20"/>
        </w:rPr>
        <w:t xml:space="preserve"> 42: 61-65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Inoshima Y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Morooka A and Sentsui H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Genetic heterogeneity among parapoxviruses isolated from sheep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cattle and Japanese serows (</w:t>
      </w:r>
      <w:r w:rsidRPr="0092090E">
        <w:rPr>
          <w:i/>
          <w:iCs/>
          <w:sz w:val="20"/>
          <w:szCs w:val="20"/>
        </w:rPr>
        <w:t>Capricornis crispus</w:t>
      </w:r>
      <w:r w:rsidRPr="0092090E">
        <w:rPr>
          <w:sz w:val="20"/>
          <w:szCs w:val="20"/>
        </w:rPr>
        <w:t>)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i/>
          <w:iCs/>
          <w:sz w:val="20"/>
          <w:szCs w:val="20"/>
        </w:rPr>
        <w:t>J</w:t>
      </w:r>
      <w:r w:rsidR="008F70BF" w:rsidRPr="0092090E">
        <w:rPr>
          <w:i/>
          <w:iCs/>
          <w:sz w:val="20"/>
          <w:szCs w:val="20"/>
        </w:rPr>
        <w:t xml:space="preserve">. </w:t>
      </w:r>
      <w:r w:rsidRPr="0092090E">
        <w:rPr>
          <w:i/>
          <w:iCs/>
          <w:sz w:val="20"/>
          <w:szCs w:val="20"/>
        </w:rPr>
        <w:t>Gen</w:t>
      </w:r>
      <w:r w:rsidR="008F70BF" w:rsidRPr="0092090E">
        <w:rPr>
          <w:i/>
          <w:iCs/>
          <w:sz w:val="20"/>
          <w:szCs w:val="20"/>
        </w:rPr>
        <w:t xml:space="preserve">. </w:t>
      </w:r>
      <w:r w:rsidRPr="0092090E">
        <w:rPr>
          <w:i/>
          <w:iCs/>
          <w:sz w:val="20"/>
          <w:szCs w:val="20"/>
        </w:rPr>
        <w:t>Virol</w:t>
      </w:r>
      <w:r w:rsidR="008F70BF" w:rsidRPr="0092090E">
        <w:rPr>
          <w:i/>
          <w:iCs/>
          <w:sz w:val="20"/>
          <w:szCs w:val="20"/>
        </w:rPr>
        <w:t xml:space="preserve">., </w:t>
      </w:r>
      <w:r w:rsidRPr="0092090E">
        <w:rPr>
          <w:i/>
          <w:iCs/>
          <w:sz w:val="20"/>
          <w:szCs w:val="20"/>
        </w:rPr>
        <w:t xml:space="preserve">2001; </w:t>
      </w:r>
      <w:r w:rsidRPr="0092090E">
        <w:rPr>
          <w:sz w:val="20"/>
          <w:szCs w:val="20"/>
        </w:rPr>
        <w:t>82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1215–1220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Inoshima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Y Morooka A and Sentsui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H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Characterization of parapoxviruses circulating among wild Japanese serows (</w:t>
      </w:r>
      <w:r w:rsidRPr="0092090E">
        <w:rPr>
          <w:i/>
          <w:iCs/>
          <w:sz w:val="20"/>
          <w:szCs w:val="20"/>
        </w:rPr>
        <w:t>Capricornis crispus</w:t>
      </w:r>
      <w:r w:rsidRPr="0092090E">
        <w:rPr>
          <w:sz w:val="20"/>
          <w:szCs w:val="20"/>
        </w:rPr>
        <w:t>)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i/>
          <w:iCs/>
          <w:sz w:val="20"/>
          <w:szCs w:val="20"/>
        </w:rPr>
        <w:t>Microbiol</w:t>
      </w:r>
      <w:r w:rsidR="008F70BF" w:rsidRPr="0092090E">
        <w:rPr>
          <w:i/>
          <w:iCs/>
          <w:sz w:val="20"/>
          <w:szCs w:val="20"/>
        </w:rPr>
        <w:t xml:space="preserve">. </w:t>
      </w:r>
      <w:r w:rsidRPr="0092090E">
        <w:rPr>
          <w:i/>
          <w:iCs/>
          <w:sz w:val="20"/>
          <w:szCs w:val="20"/>
        </w:rPr>
        <w:t>Immunol</w:t>
      </w:r>
      <w:r w:rsidR="008F70BF" w:rsidRPr="0092090E">
        <w:rPr>
          <w:i/>
          <w:iCs/>
          <w:sz w:val="20"/>
          <w:szCs w:val="20"/>
        </w:rPr>
        <w:t xml:space="preserve">., </w:t>
      </w:r>
      <w:r w:rsidRPr="0092090E">
        <w:rPr>
          <w:i/>
          <w:iCs/>
          <w:sz w:val="20"/>
          <w:szCs w:val="20"/>
        </w:rPr>
        <w:t xml:space="preserve">2002; </w:t>
      </w:r>
      <w:r w:rsidRPr="0092090E">
        <w:rPr>
          <w:sz w:val="20"/>
          <w:szCs w:val="20"/>
        </w:rPr>
        <w:t>46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586–587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lastRenderedPageBreak/>
        <w:t>Jansen T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Hofmans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MPM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Theelen MJG Manders F 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Schijns VEJC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Structure and oil type-based efficacy of emulsion adjuvants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Vaccine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2006; 24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5400–5405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Leclerc C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New approaches in vaccine development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Comp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Immunol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Microbiol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Infect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2003; Dis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26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329–341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Lindblad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EB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Freund’s adjuvants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In: O’Hagan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DT (Ed</w:t>
      </w:r>
      <w:r w:rsidR="008F70BF" w:rsidRPr="0092090E">
        <w:rPr>
          <w:sz w:val="20"/>
          <w:szCs w:val="20"/>
        </w:rPr>
        <w:t xml:space="preserve">.), </w:t>
      </w:r>
      <w:r w:rsidRPr="0092090E">
        <w:rPr>
          <w:sz w:val="20"/>
          <w:szCs w:val="20"/>
        </w:rPr>
        <w:t>Vaccine Adjuvants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Humana Press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Totowa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NJ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pp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2000; 49–63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Madbouly HM Hegazy AG Mona El-Shabrawy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Tamam SM and Gamil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SG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Preparation of inactivated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bovine ephemeral fever virus vaccine (BEFV) from locally isolated strain using different adjuvant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Vet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Med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J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Giza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2006</w:t>
      </w:r>
      <w:r w:rsidR="008F70BF" w:rsidRPr="0092090E">
        <w:rPr>
          <w:sz w:val="20"/>
          <w:szCs w:val="20"/>
        </w:rPr>
        <w:t>;</w:t>
      </w:r>
      <w:r w:rsidRPr="0092090E">
        <w:rPr>
          <w:sz w:val="20"/>
          <w:szCs w:val="20"/>
        </w:rPr>
        <w:t xml:space="preserve"> 54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4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955-970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Mani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F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Damasceno HCR Novelli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ELB Martins EAM and Sforcin JM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Propolis: effect of different concentrations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extracts and intake period on seric biochemical variables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Journal of Ethnopharmacology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2006;105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95–98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Mondal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B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Bera AK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Hosamani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M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Tembhurne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P A and Bandyopadhyay SK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Detection of orf virus from an outbreak in goats and its genetic relation with other parapoxviruses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Vet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Res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Commun</w:t>
      </w:r>
      <w:r w:rsidR="008F70BF" w:rsidRPr="0092090E">
        <w:rPr>
          <w:sz w:val="20"/>
          <w:szCs w:val="20"/>
        </w:rPr>
        <w:t xml:space="preserve">., </w:t>
      </w:r>
      <w:r w:rsidRPr="0092090E">
        <w:rPr>
          <w:sz w:val="20"/>
          <w:szCs w:val="20"/>
        </w:rPr>
        <w:t>2006; 30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531–539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Mu Y Zhou L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Lu J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Li N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 Y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Huang Q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Effect of different adjuvant for Newcastle Disease vaccine on humoral immunity in chicken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Chin Poult 2007:2007–19 [Chinese]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Nassar SA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Mohamed AH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Soufy H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Nasr SM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Mahran KM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Immunostimulant effect of Egyptian propolis in rabbits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Sci World J 2012:901516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Orsi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RO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Funari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SRC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Barbattini R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Giovani C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Frilli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F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Sforcin JM and Bankova V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Radionuclides in honeybee propolis (</w:t>
      </w:r>
      <w:r w:rsidRPr="0092090E">
        <w:rPr>
          <w:i/>
          <w:iCs/>
          <w:sz w:val="20"/>
          <w:szCs w:val="20"/>
        </w:rPr>
        <w:t xml:space="preserve">Apis mellifera </w:t>
      </w:r>
      <w:r w:rsidRPr="0092090E">
        <w:rPr>
          <w:sz w:val="20"/>
          <w:szCs w:val="20"/>
        </w:rPr>
        <w:t>L</w:t>
      </w:r>
      <w:r w:rsidR="008F70BF" w:rsidRPr="0092090E">
        <w:rPr>
          <w:sz w:val="20"/>
          <w:szCs w:val="20"/>
        </w:rPr>
        <w:t xml:space="preserve">.). </w:t>
      </w:r>
      <w:r w:rsidRPr="0092090E">
        <w:rPr>
          <w:sz w:val="20"/>
          <w:szCs w:val="20"/>
        </w:rPr>
        <w:t>Bulletin of Environmental Contamination and Toxicology 2006; 76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637–640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Ozkul Y Silici S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Eroglu E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The anticarcinogenic effect of propolis in human lymphocytes culture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Phytomedicine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2005; 12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742–747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Paulino N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Scremin FM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Raichaski LB Marcucci MC Scremin A and Calixto JB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Mechanisms involved in the relaxant action of the ethanolic extract of propolis in the guinea-pig trachea in-vitro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J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Pharm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Pharmacol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2002; 54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1–9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lastRenderedPageBreak/>
        <w:t>Qiao J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Zhao M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Zhang X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 Y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Li S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Liu W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Preparation and comparison of three different adjuvant inactivated vaccines of Japanese encephalitis virus from swine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Huanan Nongye Daxue Xuebao 2011;32: 85–8 [Chinese]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Salom˜a oK Dantas AP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Borba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CM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bCs/>
          <w:sz w:val="20"/>
          <w:szCs w:val="20"/>
        </w:rPr>
        <w:t>Campos LC Machado DG Aquino Neto FR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De Castro SL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Chemical composition and microbicidal activity of extracts from Brazilian and Bulgarian propolis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Letters in Applied Microbiology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2004; 38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87–92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Schnitzler P Neuner A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Nolkemper S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Zundel C Nowack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H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Sensch KH 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Reichling J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Antiviral activity and mode of action of propolis extracts and selected compounds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Phytother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Res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Sforcin JM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Propolis and the immune system: a review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J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Ethnopharmacol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2007; 113 1–14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Sforcin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JM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Orsi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RO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Bankova V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Effects of propolis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some isolated compounds and its source plant on antibody production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Journal of Ethnopharmacology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2005; 98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301–305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Sforcin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JM Fernandes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JRA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Lopes CAM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bCs/>
          <w:sz w:val="20"/>
          <w:szCs w:val="20"/>
        </w:rPr>
        <w:t>Funari SRC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 Bankova V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 xml:space="preserve">Seasonal effect of Brazilian propolis on </w:t>
      </w:r>
      <w:r w:rsidRPr="0092090E">
        <w:rPr>
          <w:i/>
          <w:iCs/>
          <w:sz w:val="20"/>
          <w:szCs w:val="20"/>
        </w:rPr>
        <w:t xml:space="preserve">Candida albicans </w:t>
      </w:r>
      <w:r w:rsidRPr="0092090E">
        <w:rPr>
          <w:sz w:val="20"/>
          <w:szCs w:val="20"/>
        </w:rPr>
        <w:t xml:space="preserve">and </w:t>
      </w:r>
      <w:r w:rsidRPr="0092090E">
        <w:rPr>
          <w:i/>
          <w:iCs/>
          <w:sz w:val="20"/>
          <w:szCs w:val="20"/>
        </w:rPr>
        <w:t>Candida tropicalis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The Journal of Venomous Animals and Toxins 2001; 7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139–144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Sforcin JM Kaneno R 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Funari SRC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Absence of seasonal effect on the immunomodulatory action of Brazilian propolis on natural killer activity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The Journal of Venomous Animals and Toxins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2002</w:t>
      </w:r>
      <w:r w:rsidR="008F70BF" w:rsidRPr="0092090E">
        <w:rPr>
          <w:sz w:val="20"/>
          <w:szCs w:val="20"/>
        </w:rPr>
        <w:t>;</w:t>
      </w:r>
      <w:r w:rsidRPr="0092090E">
        <w:rPr>
          <w:sz w:val="20"/>
          <w:szCs w:val="20"/>
        </w:rPr>
        <w:t xml:space="preserve"> 8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19–29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Singh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M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 O’Hagan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DT</w:t>
      </w:r>
      <w:r w:rsidR="008F70BF" w:rsidRPr="0092090E">
        <w:rPr>
          <w:bCs/>
          <w:sz w:val="20"/>
          <w:szCs w:val="20"/>
        </w:rPr>
        <w:t>.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Recent advances in vaccine adjuvants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Pharm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Res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2002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19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715–728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bCs/>
          <w:sz w:val="20"/>
          <w:szCs w:val="20"/>
        </w:rPr>
      </w:pPr>
      <w:r w:rsidRPr="0092090E">
        <w:rPr>
          <w:bCs/>
          <w:sz w:val="20"/>
          <w:szCs w:val="20"/>
        </w:rPr>
        <w:t>Storni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T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Ku¨ndig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RO Senti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G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 Johansen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P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Immunity in response to particulate antigen-delivery systems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Adv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Drug Deliv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Rev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2005; 57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333–355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Terzic N S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Sver L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bCs/>
          <w:sz w:val="20"/>
          <w:szCs w:val="20"/>
        </w:rPr>
        <w:t>and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Basic I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Polyphenolic compounds from propolis modulate immune responses and increase host resistance to tumor cells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Food Agric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Immunol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2005; 16 165–179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Vynograd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N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Vynograd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and Sosnowski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Z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A comparative multi-centre study of the efficacy of propolis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acyclovir and placebo in the treatment of genital herpes (HSV)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Phytomedicine 2000; 7 6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lastRenderedPageBreak/>
        <w:t>Wang Z K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Study on canine distemper virus of mink and propolis vaccine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Xumu Yu Shouyi 2008;40:79–81 [Chinese]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Yu L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 J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Huang Y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 L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Polyprotein (VP2/VP4/VP3) gene of infectious bursal disease virus</w:t>
      </w:r>
      <w:r w:rsidR="008F70BF" w:rsidRPr="0092090E">
        <w:rPr>
          <w:sz w:val="20"/>
          <w:szCs w:val="20"/>
        </w:rPr>
        <w:t xml:space="preserve">, </w:t>
      </w:r>
      <w:r w:rsidRPr="0092090E">
        <w:rPr>
          <w:sz w:val="20"/>
          <w:szCs w:val="20"/>
        </w:rPr>
        <w:t>its eukaryotic expression plasmid and use thereof as DNA vaccine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Faming Zhuanli Shenqing Gongkai Shuomingshu 2004; CN 1467293 A 20040114 [Chinese]</w:t>
      </w:r>
      <w:r w:rsidR="008F70BF" w:rsidRPr="0092090E">
        <w:rPr>
          <w:sz w:val="20"/>
          <w:szCs w:val="20"/>
        </w:rPr>
        <w:t xml:space="preserve">. </w:t>
      </w:r>
    </w:p>
    <w:p w:rsidR="004C11EB" w:rsidRPr="0092090E" w:rsidRDefault="004C11EB" w:rsidP="0092090E">
      <w:pPr>
        <w:numPr>
          <w:ilvl w:val="0"/>
          <w:numId w:val="8"/>
        </w:numPr>
        <w:snapToGrid w:val="0"/>
        <w:spacing w:line="276" w:lineRule="auto"/>
        <w:jc w:val="both"/>
        <w:rPr>
          <w:sz w:val="20"/>
          <w:szCs w:val="20"/>
        </w:rPr>
      </w:pPr>
      <w:r w:rsidRPr="0092090E">
        <w:rPr>
          <w:bCs/>
          <w:sz w:val="20"/>
          <w:szCs w:val="20"/>
        </w:rPr>
        <w:t>Zou</w:t>
      </w:r>
      <w:r w:rsidR="008F70BF" w:rsidRPr="0092090E">
        <w:rPr>
          <w:bCs/>
          <w:sz w:val="20"/>
          <w:szCs w:val="20"/>
        </w:rPr>
        <w:t xml:space="preserve"> </w:t>
      </w:r>
      <w:r w:rsidRPr="0092090E">
        <w:rPr>
          <w:bCs/>
          <w:sz w:val="20"/>
          <w:szCs w:val="20"/>
        </w:rPr>
        <w:t>Y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Yu S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Luo Y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Liu S</w:t>
      </w:r>
      <w:r w:rsidR="008F70BF" w:rsidRPr="0092090E">
        <w:rPr>
          <w:bCs/>
          <w:sz w:val="20"/>
          <w:szCs w:val="20"/>
        </w:rPr>
        <w:t xml:space="preserve">, </w:t>
      </w:r>
      <w:r w:rsidRPr="0092090E">
        <w:rPr>
          <w:bCs/>
          <w:sz w:val="20"/>
          <w:szCs w:val="20"/>
        </w:rPr>
        <w:t>Li S</w:t>
      </w:r>
      <w:r w:rsidR="008F70BF" w:rsidRPr="0092090E">
        <w:rPr>
          <w:bCs/>
          <w:sz w:val="20"/>
          <w:szCs w:val="20"/>
        </w:rPr>
        <w:t xml:space="preserve">. </w:t>
      </w:r>
      <w:r w:rsidRPr="0092090E">
        <w:rPr>
          <w:sz w:val="20"/>
          <w:szCs w:val="20"/>
        </w:rPr>
        <w:t>Development of the proplis-adjuvant pigeon inactivated avian paramyxovirus I (A/PMV-l) vaccine</w:t>
      </w:r>
      <w:r w:rsidR="008F70BF" w:rsidRPr="0092090E">
        <w:rPr>
          <w:sz w:val="20"/>
          <w:szCs w:val="20"/>
        </w:rPr>
        <w:t xml:space="preserve">. </w:t>
      </w:r>
      <w:r w:rsidRPr="0092090E">
        <w:rPr>
          <w:sz w:val="20"/>
          <w:szCs w:val="20"/>
        </w:rPr>
        <w:t>Chin J Prevent Vet Med</w:t>
      </w:r>
      <w:r w:rsidR="008F70BF" w:rsidRPr="0092090E">
        <w:rPr>
          <w:sz w:val="20"/>
          <w:szCs w:val="20"/>
        </w:rPr>
        <w:t xml:space="preserve"> </w:t>
      </w:r>
      <w:r w:rsidRPr="0092090E">
        <w:rPr>
          <w:sz w:val="20"/>
          <w:szCs w:val="20"/>
        </w:rPr>
        <w:t>2002:2002-01 [Chinese]</w:t>
      </w:r>
      <w:r w:rsidR="008F70BF" w:rsidRPr="0092090E">
        <w:rPr>
          <w:sz w:val="20"/>
          <w:szCs w:val="20"/>
        </w:rPr>
        <w:t xml:space="preserve">. </w:t>
      </w:r>
    </w:p>
    <w:p w:rsidR="00235905" w:rsidRPr="0092090E" w:rsidRDefault="00235905" w:rsidP="0092090E">
      <w:pPr>
        <w:snapToGrid w:val="0"/>
        <w:spacing w:line="276" w:lineRule="auto"/>
        <w:jc w:val="both"/>
        <w:rPr>
          <w:b/>
          <w:sz w:val="20"/>
          <w:szCs w:val="20"/>
          <w:lang w:eastAsia="zh-CN"/>
        </w:rPr>
      </w:pPr>
    </w:p>
    <w:sectPr w:rsidR="00235905" w:rsidRPr="0092090E" w:rsidSect="0092090E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95" w:rsidRDefault="00B12995">
      <w:r>
        <w:separator/>
      </w:r>
    </w:p>
  </w:endnote>
  <w:endnote w:type="continuationSeparator" w:id="0">
    <w:p w:rsidR="00B12995" w:rsidRDefault="00B1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45" w:rsidRDefault="00961845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1845" w:rsidRDefault="009618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45" w:rsidRPr="00100FD2" w:rsidRDefault="00961845" w:rsidP="00100FD2">
    <w:pPr>
      <w:jc w:val="center"/>
      <w:rPr>
        <w:sz w:val="20"/>
      </w:rPr>
    </w:pPr>
    <w:r w:rsidRPr="00100FD2">
      <w:rPr>
        <w:sz w:val="20"/>
      </w:rPr>
      <w:fldChar w:fldCharType="begin"/>
    </w:r>
    <w:r w:rsidRPr="00100FD2">
      <w:rPr>
        <w:sz w:val="20"/>
      </w:rPr>
      <w:instrText xml:space="preserve"> page </w:instrText>
    </w:r>
    <w:r w:rsidRPr="00100FD2">
      <w:rPr>
        <w:sz w:val="20"/>
      </w:rPr>
      <w:fldChar w:fldCharType="separate"/>
    </w:r>
    <w:r w:rsidR="009A6993">
      <w:rPr>
        <w:noProof/>
        <w:sz w:val="20"/>
      </w:rPr>
      <w:t>20</w:t>
    </w:r>
    <w:r w:rsidRPr="00100FD2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45" w:rsidRPr="00C571A7" w:rsidRDefault="00961845" w:rsidP="00C571A7">
    <w:pPr>
      <w:jc w:val="center"/>
      <w:rPr>
        <w:sz w:val="20"/>
      </w:rPr>
    </w:pPr>
    <w:r w:rsidRPr="00C571A7">
      <w:rPr>
        <w:sz w:val="20"/>
      </w:rPr>
      <w:fldChar w:fldCharType="begin"/>
    </w:r>
    <w:r w:rsidRPr="00C571A7">
      <w:rPr>
        <w:sz w:val="20"/>
      </w:rPr>
      <w:instrText xml:space="preserve"> page </w:instrText>
    </w:r>
    <w:r w:rsidRPr="00C571A7">
      <w:rPr>
        <w:sz w:val="20"/>
      </w:rPr>
      <w:fldChar w:fldCharType="separate"/>
    </w:r>
    <w:r w:rsidR="009A6993">
      <w:rPr>
        <w:noProof/>
        <w:sz w:val="20"/>
      </w:rPr>
      <w:t>21</w:t>
    </w:r>
    <w:r w:rsidRPr="00C571A7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95" w:rsidRDefault="00B12995">
      <w:r>
        <w:separator/>
      </w:r>
    </w:p>
  </w:footnote>
  <w:footnote w:type="continuationSeparator" w:id="0">
    <w:p w:rsidR="00B12995" w:rsidRDefault="00B1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45" w:rsidRPr="00C571A7" w:rsidRDefault="00961845" w:rsidP="00C571A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C571A7">
      <w:rPr>
        <w:rFonts w:hint="eastAsia"/>
        <w:iCs/>
        <w:color w:val="000000"/>
        <w:sz w:val="20"/>
        <w:szCs w:val="20"/>
      </w:rPr>
      <w:tab/>
    </w:r>
    <w:r w:rsidRPr="00C571A7">
      <w:rPr>
        <w:sz w:val="20"/>
        <w:szCs w:val="20"/>
      </w:rPr>
      <w:t>Nature and Science 201</w:t>
    </w:r>
    <w:r w:rsidRPr="00C571A7">
      <w:rPr>
        <w:rFonts w:hint="eastAsia"/>
        <w:sz w:val="20"/>
        <w:szCs w:val="20"/>
      </w:rPr>
      <w:t>4</w:t>
    </w:r>
    <w:r w:rsidRPr="00C571A7">
      <w:rPr>
        <w:sz w:val="20"/>
        <w:szCs w:val="20"/>
      </w:rPr>
      <w:t>;1</w:t>
    </w:r>
    <w:r w:rsidRPr="00C571A7">
      <w:rPr>
        <w:rFonts w:hint="eastAsia"/>
        <w:sz w:val="20"/>
        <w:szCs w:val="20"/>
      </w:rPr>
      <w:t>2</w:t>
    </w:r>
    <w:r w:rsidRPr="00C571A7">
      <w:rPr>
        <w:sz w:val="20"/>
        <w:szCs w:val="20"/>
      </w:rPr>
      <w:t>(</w:t>
    </w:r>
    <w:r w:rsidRPr="00C571A7">
      <w:rPr>
        <w:rFonts w:hint="eastAsia"/>
        <w:sz w:val="20"/>
        <w:szCs w:val="20"/>
      </w:rPr>
      <w:t>2</w:t>
    </w:r>
    <w:r w:rsidRPr="00C571A7">
      <w:rPr>
        <w:sz w:val="20"/>
        <w:szCs w:val="20"/>
      </w:rPr>
      <w:t>)</w:t>
    </w:r>
    <w:r>
      <w:rPr>
        <w:sz w:val="20"/>
        <w:szCs w:val="20"/>
      </w:rPr>
      <w:t xml:space="preserve"> </w:t>
    </w:r>
    <w:r w:rsidRPr="00C571A7">
      <w:rPr>
        <w:rFonts w:hint="eastAsia"/>
        <w:color w:val="000000"/>
        <w:sz w:val="20"/>
        <w:szCs w:val="20"/>
      </w:rPr>
      <w:tab/>
    </w:r>
    <w:r w:rsidRPr="00C571A7">
      <w:rPr>
        <w:color w:val="000000"/>
        <w:sz w:val="20"/>
        <w:szCs w:val="20"/>
      </w:rPr>
      <w:t xml:space="preserve"> </w:t>
    </w:r>
    <w:hyperlink r:id="rId1" w:history="1">
      <w:r w:rsidRPr="00C571A7">
        <w:rPr>
          <w:rStyle w:val="Hyperlink"/>
          <w:sz w:val="20"/>
          <w:szCs w:val="20"/>
        </w:rPr>
        <w:t>http://www</w:t>
      </w:r>
      <w:r>
        <w:rPr>
          <w:rStyle w:val="Hyperlink"/>
          <w:sz w:val="20"/>
          <w:szCs w:val="20"/>
        </w:rPr>
        <w:t xml:space="preserve">. </w:t>
      </w:r>
      <w:r w:rsidRPr="00C571A7">
        <w:rPr>
          <w:rStyle w:val="Hyperlink"/>
          <w:sz w:val="20"/>
          <w:szCs w:val="20"/>
        </w:rPr>
        <w:t>sciencepub</w:t>
      </w:r>
      <w:r>
        <w:rPr>
          <w:rStyle w:val="Hyperlink"/>
          <w:sz w:val="20"/>
          <w:szCs w:val="20"/>
        </w:rPr>
        <w:t xml:space="preserve">. </w:t>
      </w:r>
      <w:r w:rsidRPr="00C571A7">
        <w:rPr>
          <w:rStyle w:val="Hyperlink"/>
          <w:sz w:val="20"/>
          <w:szCs w:val="20"/>
        </w:rPr>
        <w:t>net/nature</w:t>
      </w:r>
    </w:hyperlink>
  </w:p>
  <w:p w:rsidR="00961845" w:rsidRPr="00C571A7" w:rsidRDefault="00961845" w:rsidP="00C571A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26877FE"/>
    <w:multiLevelType w:val="hybridMultilevel"/>
    <w:tmpl w:val="57220BBA"/>
    <w:lvl w:ilvl="0" w:tplc="55D078D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C3BFA"/>
    <w:multiLevelType w:val="hybridMultilevel"/>
    <w:tmpl w:val="5B5AF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114E8"/>
    <w:multiLevelType w:val="hybridMultilevel"/>
    <w:tmpl w:val="03F88078"/>
    <w:lvl w:ilvl="0" w:tplc="0A00FC2E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7D463462"/>
    <w:multiLevelType w:val="hybridMultilevel"/>
    <w:tmpl w:val="8C4251C8"/>
    <w:lvl w:ilvl="0" w:tplc="F2F6909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358"/>
    <w:rsid w:val="00067FB1"/>
    <w:rsid w:val="00080CE9"/>
    <w:rsid w:val="000827B7"/>
    <w:rsid w:val="00090A06"/>
    <w:rsid w:val="000A0DDE"/>
    <w:rsid w:val="000B1296"/>
    <w:rsid w:val="000C5F1C"/>
    <w:rsid w:val="000D4463"/>
    <w:rsid w:val="000E1B44"/>
    <w:rsid w:val="00100FD2"/>
    <w:rsid w:val="0010794D"/>
    <w:rsid w:val="001278EF"/>
    <w:rsid w:val="001817C7"/>
    <w:rsid w:val="001901BB"/>
    <w:rsid w:val="001A678A"/>
    <w:rsid w:val="001B41B8"/>
    <w:rsid w:val="001B6C5F"/>
    <w:rsid w:val="001C034F"/>
    <w:rsid w:val="001C1853"/>
    <w:rsid w:val="00235905"/>
    <w:rsid w:val="002A3F39"/>
    <w:rsid w:val="002B231F"/>
    <w:rsid w:val="002F17FB"/>
    <w:rsid w:val="002F20CD"/>
    <w:rsid w:val="002F682C"/>
    <w:rsid w:val="00314F95"/>
    <w:rsid w:val="00322FAB"/>
    <w:rsid w:val="00342698"/>
    <w:rsid w:val="00345581"/>
    <w:rsid w:val="003506F8"/>
    <w:rsid w:val="003C752E"/>
    <w:rsid w:val="003C7F3D"/>
    <w:rsid w:val="003D09C7"/>
    <w:rsid w:val="003D3BEC"/>
    <w:rsid w:val="003E6D9C"/>
    <w:rsid w:val="003F3C1E"/>
    <w:rsid w:val="0042390D"/>
    <w:rsid w:val="00456753"/>
    <w:rsid w:val="00471E57"/>
    <w:rsid w:val="0049143E"/>
    <w:rsid w:val="004B04C5"/>
    <w:rsid w:val="004C11EB"/>
    <w:rsid w:val="004D0467"/>
    <w:rsid w:val="004E0462"/>
    <w:rsid w:val="00505C15"/>
    <w:rsid w:val="00593132"/>
    <w:rsid w:val="005C2F35"/>
    <w:rsid w:val="005F5E04"/>
    <w:rsid w:val="0060739A"/>
    <w:rsid w:val="00615DC8"/>
    <w:rsid w:val="00622F58"/>
    <w:rsid w:val="0065209A"/>
    <w:rsid w:val="006D2418"/>
    <w:rsid w:val="006D5C2E"/>
    <w:rsid w:val="006E183B"/>
    <w:rsid w:val="006E6ACB"/>
    <w:rsid w:val="006E74AA"/>
    <w:rsid w:val="006F1706"/>
    <w:rsid w:val="0071538E"/>
    <w:rsid w:val="00716D39"/>
    <w:rsid w:val="00734A5D"/>
    <w:rsid w:val="00736333"/>
    <w:rsid w:val="0078507E"/>
    <w:rsid w:val="0079482A"/>
    <w:rsid w:val="007D746F"/>
    <w:rsid w:val="007E2AC7"/>
    <w:rsid w:val="00814FA7"/>
    <w:rsid w:val="00817F9F"/>
    <w:rsid w:val="0082169D"/>
    <w:rsid w:val="00884C29"/>
    <w:rsid w:val="008A20AC"/>
    <w:rsid w:val="008A37E9"/>
    <w:rsid w:val="008B4831"/>
    <w:rsid w:val="008C20E4"/>
    <w:rsid w:val="008F70BF"/>
    <w:rsid w:val="0091208A"/>
    <w:rsid w:val="00914558"/>
    <w:rsid w:val="00914B34"/>
    <w:rsid w:val="0092090E"/>
    <w:rsid w:val="0093397E"/>
    <w:rsid w:val="0094140D"/>
    <w:rsid w:val="009458E4"/>
    <w:rsid w:val="009459B3"/>
    <w:rsid w:val="00952EB8"/>
    <w:rsid w:val="00961845"/>
    <w:rsid w:val="00966860"/>
    <w:rsid w:val="00973C1F"/>
    <w:rsid w:val="009A6993"/>
    <w:rsid w:val="00A2654E"/>
    <w:rsid w:val="00A3476D"/>
    <w:rsid w:val="00A75A23"/>
    <w:rsid w:val="00AA311A"/>
    <w:rsid w:val="00AD04E4"/>
    <w:rsid w:val="00B12995"/>
    <w:rsid w:val="00B16336"/>
    <w:rsid w:val="00B3167C"/>
    <w:rsid w:val="00B35579"/>
    <w:rsid w:val="00B47F73"/>
    <w:rsid w:val="00B60E8D"/>
    <w:rsid w:val="00B80C0E"/>
    <w:rsid w:val="00B83C1E"/>
    <w:rsid w:val="00BB1BF7"/>
    <w:rsid w:val="00BB263B"/>
    <w:rsid w:val="00BD2A8D"/>
    <w:rsid w:val="00BD7432"/>
    <w:rsid w:val="00BF6579"/>
    <w:rsid w:val="00C412DE"/>
    <w:rsid w:val="00C43A46"/>
    <w:rsid w:val="00C55FBD"/>
    <w:rsid w:val="00C571A7"/>
    <w:rsid w:val="00C8147E"/>
    <w:rsid w:val="00CC710C"/>
    <w:rsid w:val="00CD54D0"/>
    <w:rsid w:val="00CE7B2F"/>
    <w:rsid w:val="00D202D2"/>
    <w:rsid w:val="00D26F2E"/>
    <w:rsid w:val="00D3777A"/>
    <w:rsid w:val="00D833B3"/>
    <w:rsid w:val="00D9258E"/>
    <w:rsid w:val="00DB4D45"/>
    <w:rsid w:val="00DF7353"/>
    <w:rsid w:val="00E2794F"/>
    <w:rsid w:val="00E52D5E"/>
    <w:rsid w:val="00E5397B"/>
    <w:rsid w:val="00E667CD"/>
    <w:rsid w:val="00EA2E9F"/>
    <w:rsid w:val="00EA6444"/>
    <w:rsid w:val="00EC5C53"/>
    <w:rsid w:val="00ED4441"/>
    <w:rsid w:val="00EF3BA2"/>
    <w:rsid w:val="00EF4701"/>
    <w:rsid w:val="00F4399A"/>
    <w:rsid w:val="00F45062"/>
    <w:rsid w:val="00F46A5E"/>
    <w:rsid w:val="00F74119"/>
    <w:rsid w:val="00FB5B6A"/>
    <w:rsid w:val="00FC2367"/>
    <w:rsid w:val="00FC4906"/>
    <w:rsid w:val="00FE76E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B263B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B263B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B263B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BB263B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B263B"/>
  </w:style>
  <w:style w:type="character" w:customStyle="1" w:styleId="WW-Absatz-Standardschriftart">
    <w:name w:val="WW-Absatz-Standardschriftart"/>
    <w:rsid w:val="00BB263B"/>
  </w:style>
  <w:style w:type="character" w:customStyle="1" w:styleId="WW-Absatz-Standardschriftart1">
    <w:name w:val="WW-Absatz-Standardschriftart1"/>
    <w:rsid w:val="00BB263B"/>
  </w:style>
  <w:style w:type="character" w:customStyle="1" w:styleId="WW-Absatz-Standardschriftart11">
    <w:name w:val="WW-Absatz-Standardschriftart11"/>
    <w:rsid w:val="00BB263B"/>
  </w:style>
  <w:style w:type="character" w:customStyle="1" w:styleId="WW-Absatz-Standardschriftart111">
    <w:name w:val="WW-Absatz-Standardschriftart111"/>
    <w:rsid w:val="00BB263B"/>
  </w:style>
  <w:style w:type="character" w:customStyle="1" w:styleId="WW-Absatz-Standardschriftart1111">
    <w:name w:val="WW-Absatz-Standardschriftart1111"/>
    <w:rsid w:val="00BB263B"/>
  </w:style>
  <w:style w:type="character" w:customStyle="1" w:styleId="WW-Absatz-Standardschriftart11111">
    <w:name w:val="WW-Absatz-Standardschriftart11111"/>
    <w:rsid w:val="00BB263B"/>
  </w:style>
  <w:style w:type="character" w:customStyle="1" w:styleId="WW-Absatz-Standardschriftart111111">
    <w:name w:val="WW-Absatz-Standardschriftart111111"/>
    <w:rsid w:val="00BB263B"/>
  </w:style>
  <w:style w:type="character" w:customStyle="1" w:styleId="WW-Absatz-Standardschriftart1111111">
    <w:name w:val="WW-Absatz-Standardschriftart1111111"/>
    <w:rsid w:val="00BB263B"/>
  </w:style>
  <w:style w:type="character" w:customStyle="1" w:styleId="WW-Absatz-Standardschriftart11111111">
    <w:name w:val="WW-Absatz-Standardschriftart11111111"/>
    <w:rsid w:val="00BB263B"/>
  </w:style>
  <w:style w:type="character" w:customStyle="1" w:styleId="WW-Absatz-Standardschriftart111111111">
    <w:name w:val="WW-Absatz-Standardschriftart111111111"/>
    <w:rsid w:val="00BB263B"/>
  </w:style>
  <w:style w:type="character" w:customStyle="1" w:styleId="WW-Absatz-Standardschriftart1111111111">
    <w:name w:val="WW-Absatz-Standardschriftart1111111111"/>
    <w:rsid w:val="00BB263B"/>
  </w:style>
  <w:style w:type="character" w:customStyle="1" w:styleId="WW-Absatz-Standardschriftart11111111111">
    <w:name w:val="WW-Absatz-Standardschriftart11111111111"/>
    <w:rsid w:val="00BB263B"/>
  </w:style>
  <w:style w:type="character" w:customStyle="1" w:styleId="WW-Absatz-Standardschriftart111111111111">
    <w:name w:val="WW-Absatz-Standardschriftart111111111111"/>
    <w:rsid w:val="00BB263B"/>
  </w:style>
  <w:style w:type="character" w:customStyle="1" w:styleId="WW-Absatz-Standardschriftart1111111111111">
    <w:name w:val="WW-Absatz-Standardschriftart1111111111111"/>
    <w:rsid w:val="00BB263B"/>
  </w:style>
  <w:style w:type="character" w:customStyle="1" w:styleId="WW-Absatz-Standardschriftart11111111111111">
    <w:name w:val="WW-Absatz-Standardschriftart11111111111111"/>
    <w:rsid w:val="00BB263B"/>
  </w:style>
  <w:style w:type="character" w:customStyle="1" w:styleId="WW-Absatz-Standardschriftart111111111111111">
    <w:name w:val="WW-Absatz-Standardschriftart111111111111111"/>
    <w:rsid w:val="00BB263B"/>
  </w:style>
  <w:style w:type="character" w:customStyle="1" w:styleId="WW-Absatz-Standardschriftart1111111111111111">
    <w:name w:val="WW-Absatz-Standardschriftart1111111111111111"/>
    <w:rsid w:val="00BB263B"/>
  </w:style>
  <w:style w:type="character" w:customStyle="1" w:styleId="WW8Num1z0">
    <w:name w:val="WW8Num1z0"/>
    <w:rsid w:val="00BB263B"/>
    <w:rPr>
      <w:rFonts w:ascii="Symbol" w:eastAsia="Times New Roman" w:hAnsi="Symbol" w:cs="Times New Roman"/>
    </w:rPr>
  </w:style>
  <w:style w:type="character" w:customStyle="1" w:styleId="WW8Num1z1">
    <w:name w:val="WW8Num1z1"/>
    <w:rsid w:val="00BB263B"/>
    <w:rPr>
      <w:rFonts w:ascii="Courier New" w:hAnsi="Courier New" w:cs="Courier New"/>
    </w:rPr>
  </w:style>
  <w:style w:type="character" w:customStyle="1" w:styleId="WW8Num1z2">
    <w:name w:val="WW8Num1z2"/>
    <w:rsid w:val="00BB263B"/>
    <w:rPr>
      <w:rFonts w:ascii="Wingdings" w:hAnsi="Wingdings"/>
    </w:rPr>
  </w:style>
  <w:style w:type="character" w:customStyle="1" w:styleId="WW8Num1z3">
    <w:name w:val="WW8Num1z3"/>
    <w:rsid w:val="00BB263B"/>
    <w:rPr>
      <w:rFonts w:ascii="Symbol" w:hAnsi="Symbol"/>
    </w:rPr>
  </w:style>
  <w:style w:type="character" w:styleId="PageNumber">
    <w:name w:val="page number"/>
    <w:basedOn w:val="DefaultParagraphFont"/>
    <w:rsid w:val="00BB263B"/>
  </w:style>
  <w:style w:type="character" w:styleId="Hyperlink">
    <w:name w:val="Hyperlink"/>
    <w:basedOn w:val="DefaultParagraphFont"/>
    <w:rsid w:val="00BB263B"/>
    <w:rPr>
      <w:color w:val="0000FF"/>
      <w:u w:val="single"/>
    </w:rPr>
  </w:style>
  <w:style w:type="character" w:styleId="FollowedHyperlink">
    <w:name w:val="FollowedHyperlink"/>
    <w:basedOn w:val="DefaultParagraphFont"/>
    <w:rsid w:val="00BB263B"/>
    <w:rPr>
      <w:color w:val="800080"/>
      <w:u w:val="single"/>
    </w:rPr>
  </w:style>
  <w:style w:type="character" w:customStyle="1" w:styleId="NumberingSymbols">
    <w:name w:val="Numbering Symbols"/>
    <w:rsid w:val="00BB263B"/>
  </w:style>
  <w:style w:type="paragraph" w:customStyle="1" w:styleId="Heading">
    <w:name w:val="Heading"/>
    <w:basedOn w:val="Normal"/>
    <w:next w:val="BodyText"/>
    <w:rsid w:val="00BB263B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BB263B"/>
    <w:pPr>
      <w:spacing w:line="360" w:lineRule="auto"/>
    </w:pPr>
  </w:style>
  <w:style w:type="paragraph" w:styleId="List">
    <w:name w:val="List"/>
    <w:basedOn w:val="BodyText"/>
    <w:rsid w:val="00BB263B"/>
  </w:style>
  <w:style w:type="paragraph" w:styleId="Caption">
    <w:name w:val="caption"/>
    <w:basedOn w:val="Normal"/>
    <w:qFormat/>
    <w:rsid w:val="00BB26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B263B"/>
    <w:pPr>
      <w:suppressLineNumbers/>
    </w:pPr>
  </w:style>
  <w:style w:type="paragraph" w:styleId="Header">
    <w:name w:val="header"/>
    <w:basedOn w:val="Normal"/>
    <w:next w:val="Heading1"/>
    <w:link w:val="HeaderChar"/>
    <w:rsid w:val="00BB263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B263B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BB263B"/>
    <w:pPr>
      <w:ind w:left="540" w:hanging="720"/>
      <w:jc w:val="both"/>
    </w:pPr>
  </w:style>
  <w:style w:type="paragraph" w:styleId="BodyTextIndent2">
    <w:name w:val="Body Text Indent 2"/>
    <w:basedOn w:val="Normal"/>
    <w:rsid w:val="00BB263B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BB263B"/>
    <w:pPr>
      <w:spacing w:line="360" w:lineRule="auto"/>
      <w:jc w:val="both"/>
    </w:pPr>
  </w:style>
  <w:style w:type="paragraph" w:styleId="Footer">
    <w:name w:val="footer"/>
    <w:basedOn w:val="Normal"/>
    <w:rsid w:val="00BB263B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BB263B"/>
    <w:pPr>
      <w:suppressLineNumbers/>
    </w:pPr>
  </w:style>
  <w:style w:type="paragraph" w:customStyle="1" w:styleId="TableHeading">
    <w:name w:val="Table Heading"/>
    <w:basedOn w:val="TableContents"/>
    <w:rsid w:val="00BB263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BB263B"/>
  </w:style>
  <w:style w:type="paragraph" w:customStyle="1" w:styleId="Text">
    <w:name w:val="Text"/>
    <w:basedOn w:val="Normal"/>
    <w:rsid w:val="00BB263B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6A5E"/>
    <w:rPr>
      <w:rFonts w:eastAsia="宋体"/>
      <w:sz w:val="24"/>
      <w:szCs w:val="24"/>
      <w:lang w:val="en-US" w:eastAsia="ar-SA" w:bidi="ar-SA"/>
    </w:rPr>
  </w:style>
  <w:style w:type="paragraph" w:customStyle="1" w:styleId="Default">
    <w:name w:val="Default"/>
    <w:rsid w:val="00EA2E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A2E9F"/>
    <w:pPr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A2E9F"/>
    <w:rPr>
      <w:rFonts w:ascii="Cambria" w:eastAsia="Times New Roman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13" Type="http://schemas.openxmlformats.org/officeDocument/2006/relationships/hyperlink" Target="http://www.sciencedirect.com/science/article/pii/S0264410X1201568X" TargetMode="External"/><Relationship Id="rId18" Type="http://schemas.openxmlformats.org/officeDocument/2006/relationships/hyperlink" Target="http://www.sciencedirect.com/science/article/pii/S0264410X1201568X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gamilzee@yahoo.com" TargetMode="External"/><Relationship Id="rId12" Type="http://schemas.openxmlformats.org/officeDocument/2006/relationships/hyperlink" Target="http://www.sciencedirect.com/science/article/pii/S0264410X1201568X" TargetMode="External"/><Relationship Id="rId17" Type="http://schemas.openxmlformats.org/officeDocument/2006/relationships/hyperlink" Target="http://www.sciencedirect.com/science/article/pii/S0264410X1201568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264410X1201568X" TargetMode="External"/><Relationship Id="rId20" Type="http://schemas.openxmlformats.org/officeDocument/2006/relationships/hyperlink" Target="http://www.sciencedirect.com/science/article/pii/S0264410X1201568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article/pii/S0264410X1201568X" TargetMode="External"/><Relationship Id="rId23" Type="http://schemas.openxmlformats.org/officeDocument/2006/relationships/hyperlink" Target="mailto:gamilzee@yahoo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ciencedirect.com/science/article/pii/S0264410X1201568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ciencedirect.com/science/article/pii/S0264410X1201568X" TargetMode="External"/><Relationship Id="rId22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cc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ورقة1!$B$52</c:f>
              <c:strCache>
                <c:ptCount val="1"/>
                <c:pt idx="0">
                  <c:v>gp1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Pos val="t"/>
            <c:showVal val="1"/>
          </c:dLbls>
          <c:cat>
            <c:strRef>
              <c:f>ورقة1!$C$51:$H$51</c:f>
              <c:strCache>
                <c:ptCount val="6"/>
                <c:pt idx="0">
                  <c:v>42D</c:v>
                </c:pt>
                <c:pt idx="1">
                  <c:v>35D</c:v>
                </c:pt>
                <c:pt idx="2">
                  <c:v>28D</c:v>
                </c:pt>
                <c:pt idx="3">
                  <c:v>14D</c:v>
                </c:pt>
                <c:pt idx="4">
                  <c:v>7D</c:v>
                </c:pt>
                <c:pt idx="5">
                  <c:v>3D</c:v>
                </c:pt>
              </c:strCache>
            </c:strRef>
          </c:cat>
          <c:val>
            <c:numRef>
              <c:f>ورقة1!$C$52:$H$52</c:f>
              <c:numCache>
                <c:formatCode>General</c:formatCode>
                <c:ptCount val="6"/>
                <c:pt idx="0">
                  <c:v>0.17500000000000002</c:v>
                </c:pt>
                <c:pt idx="1">
                  <c:v>0.26400000000000001</c:v>
                </c:pt>
                <c:pt idx="2">
                  <c:v>0.18900000000000003</c:v>
                </c:pt>
                <c:pt idx="3">
                  <c:v>0.18500000000000003</c:v>
                </c:pt>
                <c:pt idx="4">
                  <c:v>0.19500000000000001</c:v>
                </c:pt>
                <c:pt idx="5">
                  <c:v>0.20200000000000001</c:v>
                </c:pt>
              </c:numCache>
            </c:numRef>
          </c:val>
        </c:ser>
        <c:ser>
          <c:idx val="1"/>
          <c:order val="1"/>
          <c:tx>
            <c:strRef>
              <c:f>ورقة1!$B$53</c:f>
              <c:strCache>
                <c:ptCount val="1"/>
                <c:pt idx="0">
                  <c:v>gp2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dLbls>
            <c:dLblPos val="t"/>
            <c:showVal val="1"/>
          </c:dLbls>
          <c:cat>
            <c:strRef>
              <c:f>ورقة1!$C$51:$H$51</c:f>
              <c:strCache>
                <c:ptCount val="6"/>
                <c:pt idx="0">
                  <c:v>42D</c:v>
                </c:pt>
                <c:pt idx="1">
                  <c:v>35D</c:v>
                </c:pt>
                <c:pt idx="2">
                  <c:v>28D</c:v>
                </c:pt>
                <c:pt idx="3">
                  <c:v>14D</c:v>
                </c:pt>
                <c:pt idx="4">
                  <c:v>7D</c:v>
                </c:pt>
                <c:pt idx="5">
                  <c:v>3D</c:v>
                </c:pt>
              </c:strCache>
            </c:strRef>
          </c:cat>
          <c:val>
            <c:numRef>
              <c:f>ورقة1!$C$53:$H$53</c:f>
              <c:numCache>
                <c:formatCode>General</c:formatCode>
                <c:ptCount val="6"/>
                <c:pt idx="0">
                  <c:v>0.19500000000000001</c:v>
                </c:pt>
                <c:pt idx="1">
                  <c:v>0.222</c:v>
                </c:pt>
                <c:pt idx="2">
                  <c:v>0.255</c:v>
                </c:pt>
                <c:pt idx="3">
                  <c:v>0.3040000000000001</c:v>
                </c:pt>
                <c:pt idx="4">
                  <c:v>0.28500000000000003</c:v>
                </c:pt>
                <c:pt idx="5">
                  <c:v>0.252</c:v>
                </c:pt>
              </c:numCache>
            </c:numRef>
          </c:val>
        </c:ser>
        <c:ser>
          <c:idx val="2"/>
          <c:order val="2"/>
          <c:tx>
            <c:strRef>
              <c:f>ورقة1!$B$54</c:f>
              <c:strCache>
                <c:ptCount val="1"/>
                <c:pt idx="0">
                  <c:v>gp3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dLblPos val="t"/>
            <c:showVal val="1"/>
          </c:dLbls>
          <c:cat>
            <c:strRef>
              <c:f>ورقة1!$C$51:$H$51</c:f>
              <c:strCache>
                <c:ptCount val="6"/>
                <c:pt idx="0">
                  <c:v>42D</c:v>
                </c:pt>
                <c:pt idx="1">
                  <c:v>35D</c:v>
                </c:pt>
                <c:pt idx="2">
                  <c:v>28D</c:v>
                </c:pt>
                <c:pt idx="3">
                  <c:v>14D</c:v>
                </c:pt>
                <c:pt idx="4">
                  <c:v>7D</c:v>
                </c:pt>
                <c:pt idx="5">
                  <c:v>3D</c:v>
                </c:pt>
              </c:strCache>
            </c:strRef>
          </c:cat>
          <c:val>
            <c:numRef>
              <c:f>ورقة1!$C$54:$H$54</c:f>
              <c:numCache>
                <c:formatCode>General</c:formatCode>
                <c:ptCount val="6"/>
                <c:pt idx="0">
                  <c:v>1.22</c:v>
                </c:pt>
                <c:pt idx="1">
                  <c:v>1.325</c:v>
                </c:pt>
                <c:pt idx="2">
                  <c:v>0.999</c:v>
                </c:pt>
                <c:pt idx="3">
                  <c:v>0.85600000000000009</c:v>
                </c:pt>
                <c:pt idx="4">
                  <c:v>0.72400000000000009</c:v>
                </c:pt>
                <c:pt idx="5">
                  <c:v>0.501</c:v>
                </c:pt>
              </c:numCache>
            </c:numRef>
          </c:val>
        </c:ser>
        <c:ser>
          <c:idx val="3"/>
          <c:order val="3"/>
          <c:tx>
            <c:strRef>
              <c:f>ورقة1!$B$55</c:f>
              <c:strCache>
                <c:ptCount val="1"/>
                <c:pt idx="0">
                  <c:v>gp4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dLbls>
            <c:dLblPos val="t"/>
            <c:showVal val="1"/>
          </c:dLbls>
          <c:cat>
            <c:strRef>
              <c:f>ورقة1!$C$51:$H$51</c:f>
              <c:strCache>
                <c:ptCount val="6"/>
                <c:pt idx="0">
                  <c:v>42D</c:v>
                </c:pt>
                <c:pt idx="1">
                  <c:v>35D</c:v>
                </c:pt>
                <c:pt idx="2">
                  <c:v>28D</c:v>
                </c:pt>
                <c:pt idx="3">
                  <c:v>14D</c:v>
                </c:pt>
                <c:pt idx="4">
                  <c:v>7D</c:v>
                </c:pt>
                <c:pt idx="5">
                  <c:v>3D</c:v>
                </c:pt>
              </c:strCache>
            </c:strRef>
          </c:cat>
          <c:val>
            <c:numRef>
              <c:f>ورقة1!$C$55:$H$55</c:f>
              <c:numCache>
                <c:formatCode>General</c:formatCode>
                <c:ptCount val="6"/>
                <c:pt idx="0">
                  <c:v>0.83500000000000008</c:v>
                </c:pt>
                <c:pt idx="1">
                  <c:v>0.92500000000000004</c:v>
                </c:pt>
                <c:pt idx="2">
                  <c:v>0.84500000000000008</c:v>
                </c:pt>
                <c:pt idx="3">
                  <c:v>0.75200000000000011</c:v>
                </c:pt>
                <c:pt idx="4">
                  <c:v>0.65400000000000014</c:v>
                </c:pt>
                <c:pt idx="5">
                  <c:v>0.2960000000000001</c:v>
                </c:pt>
              </c:numCache>
            </c:numRef>
          </c:val>
        </c:ser>
        <c:ser>
          <c:idx val="4"/>
          <c:order val="4"/>
          <c:tx>
            <c:strRef>
              <c:f>ورقة1!$B$56</c:f>
              <c:strCache>
                <c:ptCount val="1"/>
                <c:pt idx="0">
                  <c:v>gp5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B050"/>
              </a:solidFill>
            </c:spPr>
          </c:marker>
          <c:dLbls>
            <c:dLblPos val="t"/>
            <c:showVal val="1"/>
          </c:dLbls>
          <c:cat>
            <c:strRef>
              <c:f>ورقة1!$C$51:$H$51</c:f>
              <c:strCache>
                <c:ptCount val="6"/>
                <c:pt idx="0">
                  <c:v>42D</c:v>
                </c:pt>
                <c:pt idx="1">
                  <c:v>35D</c:v>
                </c:pt>
                <c:pt idx="2">
                  <c:v>28D</c:v>
                </c:pt>
                <c:pt idx="3">
                  <c:v>14D</c:v>
                </c:pt>
                <c:pt idx="4">
                  <c:v>7D</c:v>
                </c:pt>
                <c:pt idx="5">
                  <c:v>3D</c:v>
                </c:pt>
              </c:strCache>
            </c:strRef>
          </c:cat>
          <c:val>
            <c:numRef>
              <c:f>ورقة1!$C$56:$H$56</c:f>
              <c:numCache>
                <c:formatCode>General</c:formatCode>
                <c:ptCount val="6"/>
                <c:pt idx="0">
                  <c:v>0.62500000000000011</c:v>
                </c:pt>
                <c:pt idx="1">
                  <c:v>0.72200000000000009</c:v>
                </c:pt>
                <c:pt idx="2">
                  <c:v>0.68</c:v>
                </c:pt>
                <c:pt idx="3">
                  <c:v>0.72500000000000009</c:v>
                </c:pt>
                <c:pt idx="4">
                  <c:v>0.56000000000000005</c:v>
                </c:pt>
                <c:pt idx="5">
                  <c:v>0.255</c:v>
                </c:pt>
              </c:numCache>
            </c:numRef>
          </c:val>
        </c:ser>
        <c:dLbls>
          <c:showVal val="1"/>
        </c:dLbls>
        <c:marker val="1"/>
        <c:axId val="143980800"/>
        <c:axId val="147271680"/>
      </c:lineChart>
      <c:catAx>
        <c:axId val="143980800"/>
        <c:scaling>
          <c:orientation val="maxMin"/>
        </c:scaling>
        <c:axPos val="b"/>
        <c:tickLblPos val="nextTo"/>
        <c:crossAx val="147271680"/>
        <c:crosses val="autoZero"/>
        <c:auto val="1"/>
        <c:lblAlgn val="ctr"/>
        <c:lblOffset val="100"/>
      </c:catAx>
      <c:valAx>
        <c:axId val="147271680"/>
        <c:scaling>
          <c:orientation val="minMax"/>
        </c:scaling>
        <c:axPos val="r"/>
        <c:majorGridlines/>
        <c:numFmt formatCode="General" sourceLinked="1"/>
        <c:tickLblPos val="nextTo"/>
        <c:crossAx val="143980800"/>
        <c:crosses val="autoZero"/>
        <c:crossBetween val="between"/>
      </c:valAx>
    </c:plotArea>
    <c:legend>
      <c:legendPos val="l"/>
      <c:spPr>
        <a:ln>
          <a:solidFill>
            <a:prstClr val="black"/>
          </a:solidFill>
        </a:ln>
      </c:spPr>
    </c:legend>
    <c:plotVisOnly val="1"/>
  </c:chart>
  <c:spPr>
    <a:ln>
      <a:solidFill>
        <a:prstClr val="black">
          <a:alpha val="96000"/>
        </a:prstClr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3809</Words>
  <Characters>21717</Characters>
  <Application>Microsoft Office Word</Application>
  <DocSecurity>0</DocSecurity>
  <Lines>180</Lines>
  <Paragraphs>50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Manager>Marsland</Manager>
  <Company>Marsland Press</Company>
  <LinksUpToDate>false</LinksUpToDate>
  <CharactersWithSpaces>25476</CharactersWithSpaces>
  <SharedDoc>false</SharedDoc>
  <HLinks>
    <vt:vector size="78" baseType="variant">
      <vt:variant>
        <vt:i4>7209024</vt:i4>
      </vt:variant>
      <vt:variant>
        <vt:i4>33</vt:i4>
      </vt:variant>
      <vt:variant>
        <vt:i4>0</vt:i4>
      </vt:variant>
      <vt:variant>
        <vt:i4>5</vt:i4>
      </vt:variant>
      <vt:variant>
        <vt:lpwstr>mailto:gamilzee@yahoo.com</vt:lpwstr>
      </vt:variant>
      <vt:variant>
        <vt:lpwstr/>
      </vt:variant>
      <vt:variant>
        <vt:i4>5177410</vt:i4>
      </vt:variant>
      <vt:variant>
        <vt:i4>30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bib0605</vt:lpwstr>
      </vt:variant>
      <vt:variant>
        <vt:i4>5177410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bib0600</vt:lpwstr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bib0415</vt:lpwstr>
      </vt:variant>
      <vt:variant>
        <vt:i4>5111872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bib0410</vt:lpwstr>
      </vt:variant>
      <vt:variant>
        <vt:i4>5177408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bib0405</vt:lpwstr>
      </vt:variant>
      <vt:variant>
        <vt:i4>5177408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bib0400</vt:lpwstr>
      </vt:variant>
      <vt:variant>
        <vt:i4>4587591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bib0395</vt:lpwstr>
      </vt:variant>
      <vt:variant>
        <vt:i4>4587591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bib0390</vt:lpwstr>
      </vt:variant>
      <vt:variant>
        <vt:i4>4653127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http://www.sciencedirect.com/science/article/pii/S0264410X1201568X</vt:lpwstr>
      </vt:variant>
      <vt:variant>
        <vt:lpwstr>bib0385</vt:lpwstr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mailto:gamilzee@yahoo.com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2</cp:revision>
  <cp:lastPrinted>2014-03-10T23:53:00Z</cp:lastPrinted>
  <dcterms:created xsi:type="dcterms:W3CDTF">2014-03-12T03:26:00Z</dcterms:created>
  <dcterms:modified xsi:type="dcterms:W3CDTF">2014-03-12T03:26:00Z</dcterms:modified>
</cp:coreProperties>
</file>