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17" w:rsidRPr="00B17D02" w:rsidRDefault="00EF7B17" w:rsidP="00EF7B17">
      <w:pPr>
        <w:tabs>
          <w:tab w:val="left" w:pos="6330"/>
        </w:tabs>
        <w:jc w:val="center"/>
        <w:rPr>
          <w:b/>
          <w:bCs/>
          <w:sz w:val="20"/>
          <w:szCs w:val="20"/>
        </w:rPr>
      </w:pPr>
      <w:r w:rsidRPr="00B17D02">
        <w:rPr>
          <w:b/>
          <w:bCs/>
          <w:sz w:val="20"/>
          <w:szCs w:val="20"/>
        </w:rPr>
        <w:t>Effect of supplementation with organic selenium on selenium content in broilers meat</w:t>
      </w:r>
    </w:p>
    <w:p w:rsidR="00EF7B17" w:rsidRDefault="00EF7B17" w:rsidP="00EF7B17">
      <w:pPr>
        <w:widowControl w:val="0"/>
        <w:autoSpaceDE w:val="0"/>
        <w:autoSpaceDN w:val="0"/>
        <w:adjustRightInd w:val="0"/>
        <w:ind w:left="360"/>
        <w:jc w:val="center"/>
        <w:outlineLvl w:val="0"/>
        <w:rPr>
          <w:color w:val="231F20"/>
          <w:sz w:val="20"/>
          <w:szCs w:val="20"/>
        </w:rPr>
      </w:pPr>
    </w:p>
    <w:p w:rsidR="00EF7B17" w:rsidRDefault="00EF7B17" w:rsidP="00EF7B17">
      <w:pPr>
        <w:widowControl w:val="0"/>
        <w:autoSpaceDE w:val="0"/>
        <w:autoSpaceDN w:val="0"/>
        <w:adjustRightInd w:val="0"/>
        <w:ind w:left="360"/>
        <w:jc w:val="center"/>
        <w:outlineLvl w:val="0"/>
        <w:rPr>
          <w:color w:val="231F20"/>
          <w:sz w:val="20"/>
          <w:szCs w:val="20"/>
        </w:rPr>
      </w:pPr>
      <w:proofErr w:type="spellStart"/>
      <w:r w:rsidRPr="00EF7B17">
        <w:rPr>
          <w:color w:val="231F20"/>
          <w:sz w:val="20"/>
          <w:szCs w:val="20"/>
        </w:rPr>
        <w:t>Hala</w:t>
      </w:r>
      <w:proofErr w:type="spellEnd"/>
      <w:r w:rsidRPr="00EF7B17">
        <w:rPr>
          <w:color w:val="231F20"/>
          <w:sz w:val="20"/>
          <w:szCs w:val="20"/>
        </w:rPr>
        <w:t>, A. Thabet</w:t>
      </w:r>
      <w:r w:rsidRPr="00EF7B17">
        <w:rPr>
          <w:color w:val="231F20"/>
          <w:sz w:val="20"/>
          <w:szCs w:val="20"/>
          <w:vertAlign w:val="superscript"/>
        </w:rPr>
        <w:t>1</w:t>
      </w:r>
      <w:r w:rsidRPr="00EF7B17">
        <w:rPr>
          <w:color w:val="231F20"/>
          <w:sz w:val="20"/>
          <w:szCs w:val="20"/>
        </w:rPr>
        <w:t xml:space="preserve"> and </w:t>
      </w:r>
      <w:proofErr w:type="spellStart"/>
      <w:r w:rsidRPr="00EF7B17">
        <w:rPr>
          <w:color w:val="231F20"/>
          <w:sz w:val="20"/>
          <w:szCs w:val="20"/>
        </w:rPr>
        <w:t>Fathy</w:t>
      </w:r>
      <w:proofErr w:type="spellEnd"/>
      <w:r w:rsidRPr="00EF7B17">
        <w:rPr>
          <w:color w:val="231F20"/>
          <w:sz w:val="20"/>
          <w:szCs w:val="20"/>
        </w:rPr>
        <w:t>, A. Mohamed</w:t>
      </w:r>
      <w:r w:rsidRPr="00EF7B17">
        <w:rPr>
          <w:color w:val="231F20"/>
          <w:sz w:val="20"/>
          <w:szCs w:val="20"/>
          <w:vertAlign w:val="superscript"/>
        </w:rPr>
        <w:t>2</w:t>
      </w:r>
      <w:r w:rsidRPr="00EF7B17">
        <w:rPr>
          <w:color w:val="231F20"/>
          <w:sz w:val="20"/>
          <w:szCs w:val="20"/>
        </w:rPr>
        <w:t xml:space="preserve"> </w:t>
      </w:r>
    </w:p>
    <w:p w:rsidR="00EF7B17" w:rsidRDefault="00EF7B17" w:rsidP="00EF7B17">
      <w:pPr>
        <w:widowControl w:val="0"/>
        <w:autoSpaceDE w:val="0"/>
        <w:autoSpaceDN w:val="0"/>
        <w:adjustRightInd w:val="0"/>
        <w:jc w:val="center"/>
        <w:outlineLvl w:val="0"/>
        <w:rPr>
          <w:color w:val="231F20"/>
          <w:sz w:val="20"/>
          <w:szCs w:val="20"/>
        </w:rPr>
      </w:pPr>
    </w:p>
    <w:p w:rsidR="00EF7B17" w:rsidRPr="00EF7B17" w:rsidRDefault="00EF7B17" w:rsidP="00EF7B17">
      <w:pPr>
        <w:widowControl w:val="0"/>
        <w:autoSpaceDE w:val="0"/>
        <w:autoSpaceDN w:val="0"/>
        <w:adjustRightInd w:val="0"/>
        <w:ind w:right="-567"/>
        <w:jc w:val="center"/>
        <w:outlineLvl w:val="0"/>
        <w:rPr>
          <w:color w:val="231F20"/>
          <w:sz w:val="20"/>
          <w:szCs w:val="20"/>
          <w:rtl/>
        </w:rPr>
      </w:pPr>
      <w:r w:rsidRPr="00EF7B17">
        <w:rPr>
          <w:color w:val="231F20"/>
          <w:sz w:val="20"/>
          <w:szCs w:val="20"/>
          <w:vertAlign w:val="superscript"/>
        </w:rPr>
        <w:t>1</w:t>
      </w:r>
      <w:r w:rsidRPr="00EF7B17">
        <w:rPr>
          <w:color w:val="231F20"/>
          <w:sz w:val="20"/>
          <w:szCs w:val="20"/>
        </w:rPr>
        <w:t>Special Foods and Nutrition Dept., Food Technology Research Institute, Agric. Res. Center, Egypt</w:t>
      </w:r>
    </w:p>
    <w:p w:rsidR="00EF7B17" w:rsidRPr="00EF7B17" w:rsidRDefault="00EF7B17" w:rsidP="00EF7B17">
      <w:pPr>
        <w:tabs>
          <w:tab w:val="left" w:pos="6330"/>
        </w:tabs>
        <w:jc w:val="center"/>
        <w:rPr>
          <w:sz w:val="20"/>
          <w:szCs w:val="20"/>
        </w:rPr>
      </w:pPr>
      <w:r w:rsidRPr="00EF7B17">
        <w:rPr>
          <w:sz w:val="20"/>
          <w:szCs w:val="20"/>
          <w:vertAlign w:val="superscript"/>
        </w:rPr>
        <w:t>2</w:t>
      </w:r>
      <w:r w:rsidRPr="00EF7B17">
        <w:rPr>
          <w:sz w:val="20"/>
          <w:szCs w:val="20"/>
        </w:rPr>
        <w:t xml:space="preserve">Poultry Production Department, Faculty </w:t>
      </w:r>
      <w:proofErr w:type="gramStart"/>
      <w:r w:rsidRPr="00EF7B17">
        <w:rPr>
          <w:sz w:val="20"/>
          <w:szCs w:val="20"/>
        </w:rPr>
        <w:t>Of</w:t>
      </w:r>
      <w:proofErr w:type="gramEnd"/>
      <w:r w:rsidRPr="00EF7B17">
        <w:rPr>
          <w:sz w:val="20"/>
          <w:szCs w:val="20"/>
        </w:rPr>
        <w:t xml:space="preserve"> Agriculture, </w:t>
      </w:r>
      <w:proofErr w:type="spellStart"/>
      <w:r w:rsidRPr="00EF7B17">
        <w:rPr>
          <w:sz w:val="20"/>
          <w:szCs w:val="20"/>
        </w:rPr>
        <w:t>Ain</w:t>
      </w:r>
      <w:proofErr w:type="spellEnd"/>
      <w:r w:rsidRPr="00EF7B17">
        <w:rPr>
          <w:sz w:val="20"/>
          <w:szCs w:val="20"/>
        </w:rPr>
        <w:t xml:space="preserve"> Shams University, Egypt.</w:t>
      </w:r>
    </w:p>
    <w:p w:rsidR="001817C7" w:rsidRPr="00EF7B17" w:rsidRDefault="00CC6217" w:rsidP="00EF7B17">
      <w:pPr>
        <w:jc w:val="center"/>
        <w:rPr>
          <w:sz w:val="20"/>
          <w:szCs w:val="20"/>
        </w:rPr>
      </w:pPr>
      <w:hyperlink r:id="rId7" w:history="1">
        <w:r w:rsidR="00EF7B17" w:rsidRPr="00EF7B17">
          <w:rPr>
            <w:rStyle w:val="Hyperlink"/>
            <w:sz w:val="20"/>
            <w:szCs w:val="20"/>
          </w:rPr>
          <w:t>Omarshaheen2010@yahoo.com</w:t>
        </w:r>
      </w:hyperlink>
    </w:p>
    <w:p w:rsidR="00EF7B17" w:rsidRPr="00C43A46" w:rsidRDefault="00EF7B17" w:rsidP="00EF7B17">
      <w:pPr>
        <w:jc w:val="center"/>
        <w:rPr>
          <w:sz w:val="20"/>
          <w:szCs w:val="20"/>
        </w:rPr>
      </w:pPr>
    </w:p>
    <w:p w:rsidR="00EF7B17" w:rsidRPr="00B17D02" w:rsidRDefault="00471E57" w:rsidP="002D420C">
      <w:pPr>
        <w:jc w:val="lowKashida"/>
        <w:rPr>
          <w:sz w:val="20"/>
          <w:szCs w:val="20"/>
        </w:rPr>
      </w:pPr>
      <w:r w:rsidRPr="00C43A46">
        <w:rPr>
          <w:b/>
          <w:sz w:val="20"/>
          <w:szCs w:val="20"/>
        </w:rPr>
        <w:t xml:space="preserve">Abstract: </w:t>
      </w:r>
      <w:r w:rsidR="00EF7B17" w:rsidRPr="00B17D02">
        <w:rPr>
          <w:sz w:val="20"/>
          <w:szCs w:val="20"/>
        </w:rPr>
        <w:t>Consumption of poultry products in the world has increased over past years. Broilers meat is popular to eat, because of its high nutritional value and reasonable prices. This study was intended to explore the effect of s</w:t>
      </w:r>
      <w:r w:rsidR="00EF7B17" w:rsidRPr="00B17D02">
        <w:rPr>
          <w:sz w:val="20"/>
          <w:szCs w:val="20"/>
          <w:shd w:val="clear" w:color="auto" w:fill="FFFFFF"/>
          <w:lang w:bidi="ar-EG"/>
        </w:rPr>
        <w:t xml:space="preserve">elenium-enriched yeast </w:t>
      </w:r>
      <w:r w:rsidR="00EF7B17" w:rsidRPr="00B17D02">
        <w:rPr>
          <w:sz w:val="20"/>
          <w:szCs w:val="20"/>
        </w:rPr>
        <w:t xml:space="preserve">supplemented diet on broilers and selenium (Se) content in its meat. One hundred fifty unsexed one day old of Hubbard broiler chicks were reared up to 5 weeks. Broilers diet </w:t>
      </w:r>
      <w:r w:rsidR="0098716A">
        <w:rPr>
          <w:sz w:val="20"/>
          <w:szCs w:val="20"/>
        </w:rPr>
        <w:t xml:space="preserve">was </w:t>
      </w:r>
      <w:r w:rsidR="00EF7B17" w:rsidRPr="00B17D02">
        <w:rPr>
          <w:sz w:val="20"/>
          <w:szCs w:val="20"/>
        </w:rPr>
        <w:t>supplemented</w:t>
      </w:r>
      <w:r w:rsidR="00EF7B17" w:rsidRPr="00B17D02">
        <w:rPr>
          <w:sz w:val="20"/>
          <w:szCs w:val="20"/>
          <w:shd w:val="clear" w:color="auto" w:fill="FFFFFF"/>
          <w:lang w:bidi="ar-EG"/>
        </w:rPr>
        <w:t xml:space="preserve"> with selenium-enriched yeast</w:t>
      </w:r>
      <w:r w:rsidR="00EF7B17" w:rsidRPr="00B17D02">
        <w:rPr>
          <w:sz w:val="20"/>
          <w:szCs w:val="20"/>
        </w:rPr>
        <w:t xml:space="preserve"> to get different levels of organic Se (0.2, 0.3, 0.4, 0.5 and </w:t>
      </w:r>
      <w:r w:rsidR="002D420C">
        <w:rPr>
          <w:sz w:val="20"/>
          <w:szCs w:val="20"/>
        </w:rPr>
        <w:t xml:space="preserve">0.6 </w:t>
      </w:r>
      <w:r w:rsidR="00EF7B17" w:rsidRPr="00B17D02">
        <w:rPr>
          <w:sz w:val="20"/>
          <w:szCs w:val="20"/>
        </w:rPr>
        <w:t>mg/kg diet). Supplementation with 0.2 organic Se was used as control treatment (T1).</w:t>
      </w:r>
      <w:r w:rsidR="00EF7B17">
        <w:rPr>
          <w:sz w:val="20"/>
          <w:szCs w:val="20"/>
        </w:rPr>
        <w:t xml:space="preserve"> </w:t>
      </w:r>
      <w:r w:rsidR="00EF7B17" w:rsidRPr="00B17D02">
        <w:rPr>
          <w:sz w:val="20"/>
          <w:szCs w:val="20"/>
        </w:rPr>
        <w:t xml:space="preserve">The results showed that the concentration of selenium (Se) in raw breast muscles was increased along with increasing the supplementation levels of organic Se in </w:t>
      </w:r>
      <w:r w:rsidR="005B0787" w:rsidRPr="00B17D02">
        <w:rPr>
          <w:sz w:val="20"/>
          <w:szCs w:val="20"/>
        </w:rPr>
        <w:t>chicken’s</w:t>
      </w:r>
      <w:r w:rsidR="00EF7B17" w:rsidRPr="00B17D02">
        <w:rPr>
          <w:sz w:val="20"/>
          <w:szCs w:val="20"/>
        </w:rPr>
        <w:t xml:space="preserve"> diet. The highest value of Se content was in treatment 5 (0.48 mg/kg). The amount of Se in cooked breast muscles was increased due to cooking processes comparing with raw samples except in case of boiling process the amount of it was decreased as a result of cooking. The highest values of Se after the different cooking processes were observed in grill process. There were no significant differences in CL% accompanied by increasing organic Se in </w:t>
      </w:r>
      <w:proofErr w:type="gramStart"/>
      <w:r w:rsidR="00EF7B17" w:rsidRPr="00B17D02">
        <w:rPr>
          <w:sz w:val="20"/>
          <w:szCs w:val="20"/>
        </w:rPr>
        <w:t>chickens</w:t>
      </w:r>
      <w:proofErr w:type="gramEnd"/>
      <w:r w:rsidR="00EF7B17" w:rsidRPr="00B17D02">
        <w:rPr>
          <w:sz w:val="20"/>
          <w:szCs w:val="20"/>
        </w:rPr>
        <w:t xml:space="preserve"> diet between T1 and other treatments in boiled and fried after boiling samples. Supplementation broilers diet with organic Se resulted in increasing the activities of glutathione </w:t>
      </w:r>
      <w:proofErr w:type="spellStart"/>
      <w:r w:rsidR="00EF7B17" w:rsidRPr="00B17D02">
        <w:rPr>
          <w:sz w:val="20"/>
          <w:szCs w:val="20"/>
        </w:rPr>
        <w:t>peroxidase</w:t>
      </w:r>
      <w:proofErr w:type="spellEnd"/>
      <w:r w:rsidR="00EF7B17" w:rsidRPr="00B17D02">
        <w:rPr>
          <w:sz w:val="20"/>
          <w:szCs w:val="20"/>
        </w:rPr>
        <w:t xml:space="preserve"> (</w:t>
      </w:r>
      <w:proofErr w:type="spellStart"/>
      <w:r w:rsidR="00EF7B17" w:rsidRPr="00B17D02">
        <w:rPr>
          <w:sz w:val="20"/>
          <w:szCs w:val="20"/>
        </w:rPr>
        <w:t>GPx</w:t>
      </w:r>
      <w:proofErr w:type="spellEnd"/>
      <w:r w:rsidR="00EF7B17" w:rsidRPr="00B17D02">
        <w:rPr>
          <w:sz w:val="20"/>
          <w:szCs w:val="20"/>
        </w:rPr>
        <w:t xml:space="preserve">), superoxide dismutase (SOD) and </w:t>
      </w:r>
      <w:proofErr w:type="spellStart"/>
      <w:r w:rsidR="00EF7B17" w:rsidRPr="00B17D02">
        <w:rPr>
          <w:sz w:val="20"/>
          <w:szCs w:val="20"/>
        </w:rPr>
        <w:t>catalase</w:t>
      </w:r>
      <w:proofErr w:type="spellEnd"/>
      <w:r w:rsidR="00EF7B17" w:rsidRPr="00B17D02">
        <w:rPr>
          <w:sz w:val="20"/>
          <w:szCs w:val="20"/>
        </w:rPr>
        <w:t xml:space="preserve"> (CAT) comparing with control treatment (T1). There were significant differences for serum </w:t>
      </w:r>
      <w:proofErr w:type="spellStart"/>
      <w:r w:rsidR="00EF7B17" w:rsidRPr="00B17D02">
        <w:rPr>
          <w:sz w:val="20"/>
          <w:szCs w:val="20"/>
        </w:rPr>
        <w:t>malondialdehyde</w:t>
      </w:r>
      <w:proofErr w:type="spellEnd"/>
      <w:r w:rsidR="00EF7B17" w:rsidRPr="00B17D02">
        <w:rPr>
          <w:sz w:val="20"/>
          <w:szCs w:val="20"/>
        </w:rPr>
        <w:t xml:space="preserve"> (MDA) levels among T1 and other treatments. Concerning to total antioxidant capacity (TAC) levels, there were no significant differences between control treatment and both T2 and T3. Meanwhile, T4 and T5 achieved significant differences between T1. Total cholesterol (TC), triglyceride (TG) as well as low-density lipoprotein (LDL-C) levels in serum </w:t>
      </w:r>
      <w:proofErr w:type="gramStart"/>
      <w:r w:rsidR="00EF7B17" w:rsidRPr="00B17D02">
        <w:rPr>
          <w:sz w:val="20"/>
          <w:szCs w:val="20"/>
        </w:rPr>
        <w:t>were</w:t>
      </w:r>
      <w:proofErr w:type="gramEnd"/>
      <w:r w:rsidR="00EF7B17" w:rsidRPr="00B17D02">
        <w:rPr>
          <w:sz w:val="20"/>
          <w:szCs w:val="20"/>
        </w:rPr>
        <w:t xml:space="preserve"> decreased in all treatments compared to T1. Meanwhile, there were significant increases in sera HDL-C levels in T4 and T5 compared to T1. The broiler meat in both raw and cooked samples was not affected by increasing Se levels in diet regarding in all sensory attributes except in case of T5 in raw and boiled samples and T4 in boiled samples when odor was </w:t>
      </w:r>
      <w:proofErr w:type="gramStart"/>
      <w:r w:rsidR="00EF7B17" w:rsidRPr="00B17D02">
        <w:rPr>
          <w:sz w:val="20"/>
          <w:szCs w:val="20"/>
        </w:rPr>
        <w:t>tested .</w:t>
      </w:r>
      <w:proofErr w:type="gramEnd"/>
      <w:r w:rsidR="00EF7B17" w:rsidRPr="00B17D02">
        <w:rPr>
          <w:sz w:val="20"/>
          <w:szCs w:val="20"/>
        </w:rPr>
        <w:t xml:space="preserve"> Also, in case of flavor, T5 differ significantly from T1</w:t>
      </w:r>
      <w:r w:rsidR="00EF7B17" w:rsidRPr="00B17D02">
        <w:rPr>
          <w:sz w:val="20"/>
          <w:szCs w:val="20"/>
          <w:rtl/>
        </w:rPr>
        <w:t xml:space="preserve"> </w:t>
      </w:r>
      <w:r w:rsidR="00EF7B17" w:rsidRPr="00B17D02">
        <w:rPr>
          <w:sz w:val="20"/>
          <w:szCs w:val="20"/>
        </w:rPr>
        <w:t>in boiled samples.</w:t>
      </w:r>
      <w:r w:rsidR="00EF7B17">
        <w:rPr>
          <w:sz w:val="20"/>
          <w:szCs w:val="20"/>
        </w:rPr>
        <w:t xml:space="preserve"> </w:t>
      </w:r>
      <w:r w:rsidR="00EF7B17" w:rsidRPr="00B17D02">
        <w:rPr>
          <w:sz w:val="20"/>
          <w:szCs w:val="20"/>
        </w:rPr>
        <w:t xml:space="preserve">By modifying broiler feeding mixtures, broiler meat is enriched with functional ingredients such as selenium. Interestingly, supplementation with 0.2, 0.3, 0.4, 0.5 and 0.6 mg organic Se/kg diet from Se-enriched yeast increased Se deposition in chicken meat muscles and improved the antioxidant status of broilers. Getting such enriched chicken meat could be considered a useful source of </w:t>
      </w:r>
      <w:proofErr w:type="gramStart"/>
      <w:r w:rsidR="00EF7B17" w:rsidRPr="00B17D02">
        <w:rPr>
          <w:sz w:val="20"/>
          <w:szCs w:val="20"/>
        </w:rPr>
        <w:t>this</w:t>
      </w:r>
      <w:proofErr w:type="gramEnd"/>
      <w:r w:rsidR="00EF7B17" w:rsidRPr="00B17D02">
        <w:rPr>
          <w:sz w:val="20"/>
          <w:szCs w:val="20"/>
        </w:rPr>
        <w:t xml:space="preserve"> vital antioxidants in the human diet. Therefore, without changing eating habits and traditions of the various populations, it is possible to solve problems related to deficiency of various nutrients, in particular selenium. </w:t>
      </w:r>
    </w:p>
    <w:p w:rsidR="00CB32C1" w:rsidRPr="00076467" w:rsidRDefault="00966860" w:rsidP="00CB32C1">
      <w:pPr>
        <w:rPr>
          <w:sz w:val="20"/>
          <w:szCs w:val="20"/>
          <w:lang w:eastAsia="zh-CN"/>
        </w:rPr>
      </w:pPr>
      <w:r w:rsidRPr="00C43A46">
        <w:rPr>
          <w:color w:val="000000"/>
          <w:sz w:val="20"/>
          <w:szCs w:val="20"/>
        </w:rPr>
        <w:t>[</w:t>
      </w:r>
      <w:proofErr w:type="spellStart"/>
      <w:r w:rsidR="00EF7B17" w:rsidRPr="00EF7B17">
        <w:rPr>
          <w:color w:val="231F20"/>
          <w:sz w:val="20"/>
          <w:szCs w:val="20"/>
        </w:rPr>
        <w:t>Hala</w:t>
      </w:r>
      <w:proofErr w:type="spellEnd"/>
      <w:r w:rsidR="00EF7B17" w:rsidRPr="00EF7B17">
        <w:rPr>
          <w:color w:val="231F20"/>
          <w:sz w:val="20"/>
          <w:szCs w:val="20"/>
        </w:rPr>
        <w:t xml:space="preserve">, A. </w:t>
      </w:r>
      <w:proofErr w:type="spellStart"/>
      <w:r w:rsidR="00EF7B17" w:rsidRPr="00EF7B17">
        <w:rPr>
          <w:color w:val="231F20"/>
          <w:sz w:val="20"/>
          <w:szCs w:val="20"/>
        </w:rPr>
        <w:t>Thabet</w:t>
      </w:r>
      <w:proofErr w:type="spellEnd"/>
      <w:r w:rsidR="00EF7B17" w:rsidRPr="00EF7B17">
        <w:rPr>
          <w:color w:val="231F20"/>
          <w:sz w:val="20"/>
          <w:szCs w:val="20"/>
        </w:rPr>
        <w:t xml:space="preserve"> and </w:t>
      </w:r>
      <w:proofErr w:type="spellStart"/>
      <w:r w:rsidR="00EF7B17" w:rsidRPr="00EF7B17">
        <w:rPr>
          <w:color w:val="231F20"/>
          <w:sz w:val="20"/>
          <w:szCs w:val="20"/>
        </w:rPr>
        <w:t>Fathy</w:t>
      </w:r>
      <w:proofErr w:type="spellEnd"/>
      <w:r w:rsidR="00EF7B17" w:rsidRPr="00EF7B17">
        <w:rPr>
          <w:color w:val="231F20"/>
          <w:sz w:val="20"/>
          <w:szCs w:val="20"/>
        </w:rPr>
        <w:t>, A. Mohamed</w:t>
      </w:r>
      <w:r w:rsidR="00734A5D" w:rsidRPr="008A37E9">
        <w:rPr>
          <w:sz w:val="20"/>
          <w:szCs w:val="20"/>
        </w:rPr>
        <w:t xml:space="preserve">. </w:t>
      </w:r>
      <w:proofErr w:type="gramStart"/>
      <w:r w:rsidR="00EF7B17" w:rsidRPr="00B17D02">
        <w:rPr>
          <w:b/>
          <w:bCs/>
          <w:sz w:val="20"/>
          <w:szCs w:val="20"/>
        </w:rPr>
        <w:t>Effect of supplementation with organic selenium on selenium content in broilers meat</w:t>
      </w:r>
      <w:r w:rsidR="00CB32C1" w:rsidRPr="00076467">
        <w:rPr>
          <w:rFonts w:eastAsia="Times New Roman"/>
          <w:b/>
          <w:bCs/>
          <w:sz w:val="20"/>
          <w:szCs w:val="20"/>
          <w:lang w:bidi="fa-IR"/>
        </w:rPr>
        <w:t>.</w:t>
      </w:r>
      <w:proofErr w:type="gramEnd"/>
      <w:r w:rsidR="00CB32C1" w:rsidRPr="00076467">
        <w:rPr>
          <w:rFonts w:hint="eastAsia"/>
          <w:b/>
          <w:bCs/>
          <w:sz w:val="20"/>
          <w:szCs w:val="20"/>
        </w:rPr>
        <w:t xml:space="preserve"> </w:t>
      </w:r>
      <w:r w:rsidR="00CB32C1" w:rsidRPr="00076467">
        <w:rPr>
          <w:rFonts w:eastAsia="Times New Roman"/>
          <w:bCs/>
          <w:i/>
          <w:sz w:val="20"/>
          <w:szCs w:val="20"/>
        </w:rPr>
        <w:t xml:space="preserve">Nat </w:t>
      </w:r>
      <w:proofErr w:type="spellStart"/>
      <w:r w:rsidR="00CB32C1" w:rsidRPr="00076467">
        <w:rPr>
          <w:rFonts w:eastAsia="Times New Roman"/>
          <w:bCs/>
          <w:i/>
          <w:sz w:val="20"/>
          <w:szCs w:val="20"/>
        </w:rPr>
        <w:t>Sci</w:t>
      </w:r>
      <w:proofErr w:type="spellEnd"/>
      <w:r w:rsidR="00CB32C1" w:rsidRPr="00076467">
        <w:rPr>
          <w:rFonts w:eastAsiaTheme="minorEastAsia" w:hint="eastAsia"/>
          <w:bCs/>
          <w:i/>
          <w:sz w:val="20"/>
          <w:szCs w:val="20"/>
        </w:rPr>
        <w:t xml:space="preserve"> </w:t>
      </w:r>
      <w:r w:rsidR="00CB32C1" w:rsidRPr="00076467">
        <w:rPr>
          <w:sz w:val="20"/>
          <w:szCs w:val="20"/>
        </w:rPr>
        <w:t>201</w:t>
      </w:r>
      <w:r w:rsidR="00CB32C1">
        <w:rPr>
          <w:rFonts w:hint="eastAsia"/>
          <w:sz w:val="20"/>
          <w:szCs w:val="20"/>
        </w:rPr>
        <w:t>4</w:t>
      </w:r>
      <w:r w:rsidR="00CB32C1" w:rsidRPr="00076467">
        <w:rPr>
          <w:sz w:val="20"/>
          <w:szCs w:val="20"/>
        </w:rPr>
        <w:t>;1</w:t>
      </w:r>
      <w:r w:rsidR="00CB32C1">
        <w:rPr>
          <w:rFonts w:hint="eastAsia"/>
          <w:sz w:val="20"/>
          <w:szCs w:val="20"/>
        </w:rPr>
        <w:t>2</w:t>
      </w:r>
      <w:r w:rsidR="00CB32C1" w:rsidRPr="00076467">
        <w:rPr>
          <w:sz w:val="20"/>
          <w:szCs w:val="20"/>
        </w:rPr>
        <w:t>(</w:t>
      </w:r>
      <w:r w:rsidR="00CB32C1">
        <w:rPr>
          <w:rFonts w:hint="eastAsia"/>
          <w:sz w:val="20"/>
          <w:szCs w:val="20"/>
        </w:rPr>
        <w:t>4</w:t>
      </w:r>
      <w:r w:rsidR="00CB32C1" w:rsidRPr="00076467">
        <w:rPr>
          <w:sz w:val="20"/>
          <w:szCs w:val="20"/>
        </w:rPr>
        <w:t>):</w:t>
      </w:r>
      <w:r w:rsidR="00D037D4">
        <w:rPr>
          <w:noProof/>
          <w:color w:val="000000"/>
          <w:sz w:val="20"/>
          <w:szCs w:val="20"/>
        </w:rPr>
        <w:t>58</w:t>
      </w:r>
      <w:r w:rsidR="00CB32C1" w:rsidRPr="0050224F">
        <w:rPr>
          <w:color w:val="000000"/>
          <w:sz w:val="20"/>
          <w:szCs w:val="20"/>
        </w:rPr>
        <w:t>-</w:t>
      </w:r>
      <w:r w:rsidR="00D037D4">
        <w:rPr>
          <w:noProof/>
          <w:color w:val="000000"/>
          <w:sz w:val="20"/>
          <w:szCs w:val="20"/>
        </w:rPr>
        <w:t>66</w:t>
      </w:r>
      <w:r w:rsidR="00CB32C1" w:rsidRPr="00076467">
        <w:rPr>
          <w:sz w:val="20"/>
          <w:szCs w:val="20"/>
        </w:rPr>
        <w:t>]</w:t>
      </w:r>
      <w:r w:rsidR="00CB32C1" w:rsidRPr="00076467">
        <w:rPr>
          <w:rFonts w:hint="eastAsia"/>
          <w:sz w:val="20"/>
          <w:szCs w:val="20"/>
        </w:rPr>
        <w:t>.</w:t>
      </w:r>
      <w:r w:rsidR="00CB32C1" w:rsidRPr="00076467">
        <w:rPr>
          <w:sz w:val="20"/>
          <w:szCs w:val="20"/>
        </w:rPr>
        <w:t xml:space="preserve"> (ISSN: 1545-0740).</w:t>
      </w:r>
      <w:r w:rsidR="00CB32C1" w:rsidRPr="00853AD6">
        <w:rPr>
          <w:color w:val="0000FF"/>
          <w:sz w:val="20"/>
          <w:szCs w:val="20"/>
        </w:rPr>
        <w:t xml:space="preserve"> </w:t>
      </w:r>
      <w:hyperlink r:id="rId8" w:history="1">
        <w:r w:rsidR="00CB32C1" w:rsidRPr="00853AD6">
          <w:rPr>
            <w:rStyle w:val="Hyperlink"/>
            <w:sz w:val="20"/>
            <w:szCs w:val="20"/>
          </w:rPr>
          <w:t>http://www.sciencepub.net/nature</w:t>
        </w:r>
      </w:hyperlink>
      <w:r w:rsidR="00CB32C1" w:rsidRPr="00076467">
        <w:rPr>
          <w:sz w:val="20"/>
          <w:szCs w:val="20"/>
        </w:rPr>
        <w:t>.</w:t>
      </w:r>
      <w:r w:rsidR="00CB32C1" w:rsidRPr="00076467">
        <w:rPr>
          <w:rFonts w:hint="eastAsia"/>
          <w:sz w:val="20"/>
          <w:szCs w:val="20"/>
        </w:rPr>
        <w:t xml:space="preserve"> </w:t>
      </w:r>
      <w:r w:rsidR="00545042">
        <w:rPr>
          <w:rFonts w:hint="eastAsia"/>
          <w:sz w:val="20"/>
          <w:szCs w:val="20"/>
          <w:lang w:eastAsia="zh-CN"/>
        </w:rPr>
        <w:t>6</w:t>
      </w:r>
    </w:p>
    <w:p w:rsidR="001817C7" w:rsidRPr="00C43A46" w:rsidRDefault="001817C7" w:rsidP="00CB32C1">
      <w:pPr>
        <w:widowControl w:val="0"/>
        <w:autoSpaceDE w:val="0"/>
        <w:autoSpaceDN w:val="0"/>
        <w:adjustRightInd w:val="0"/>
        <w:outlineLvl w:val="0"/>
        <w:rPr>
          <w:sz w:val="20"/>
          <w:szCs w:val="20"/>
        </w:rPr>
      </w:pPr>
    </w:p>
    <w:p w:rsidR="001817C7" w:rsidRPr="00C43A46" w:rsidRDefault="001817C7" w:rsidP="00EF7B17">
      <w:pPr>
        <w:jc w:val="both"/>
        <w:rPr>
          <w:sz w:val="20"/>
          <w:szCs w:val="20"/>
        </w:rPr>
      </w:pPr>
      <w:r w:rsidRPr="00C43A46">
        <w:rPr>
          <w:b/>
          <w:sz w:val="20"/>
          <w:szCs w:val="20"/>
        </w:rPr>
        <w:t xml:space="preserve">Keywords: </w:t>
      </w:r>
      <w:r w:rsidR="00EF7B17" w:rsidRPr="00B17D02">
        <w:rPr>
          <w:sz w:val="20"/>
          <w:szCs w:val="20"/>
        </w:rPr>
        <w:t>Organic selenium, Broiler, Cooking processes, Antioxidant enzyme activities,</w:t>
      </w:r>
      <w:r w:rsidR="00EF7B17" w:rsidRPr="00B17D02">
        <w:rPr>
          <w:color w:val="131413"/>
          <w:sz w:val="20"/>
          <w:szCs w:val="20"/>
        </w:rPr>
        <w:t xml:space="preserve"> Sensory evaluation</w:t>
      </w:r>
      <w:r w:rsidR="00EF7B17">
        <w:rPr>
          <w:sz w:val="20"/>
          <w:szCs w:val="20"/>
        </w:rPr>
        <w:t>.</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D037D4">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8"/>
          <w:cols w:space="720"/>
          <w:docGrid w:linePitch="360"/>
        </w:sectPr>
      </w:pPr>
    </w:p>
    <w:p w:rsidR="00471E57" w:rsidRPr="00800B54" w:rsidRDefault="00471E57" w:rsidP="008A37E9">
      <w:pPr>
        <w:jc w:val="both"/>
        <w:rPr>
          <w:b/>
          <w:sz w:val="20"/>
          <w:szCs w:val="20"/>
        </w:rPr>
      </w:pPr>
      <w:r w:rsidRPr="00800B54">
        <w:rPr>
          <w:b/>
          <w:sz w:val="20"/>
          <w:szCs w:val="20"/>
        </w:rPr>
        <w:lastRenderedPageBreak/>
        <w:t>1. Introduction</w:t>
      </w:r>
    </w:p>
    <w:p w:rsidR="00EF7B17" w:rsidRPr="00800B54" w:rsidRDefault="00EF7B17" w:rsidP="00545042">
      <w:pPr>
        <w:tabs>
          <w:tab w:val="left" w:pos="567"/>
        </w:tabs>
        <w:ind w:firstLine="425"/>
        <w:jc w:val="both"/>
        <w:rPr>
          <w:sz w:val="20"/>
          <w:szCs w:val="20"/>
        </w:rPr>
      </w:pPr>
      <w:r w:rsidRPr="00800B54">
        <w:rPr>
          <w:sz w:val="20"/>
          <w:szCs w:val="20"/>
        </w:rPr>
        <w:t xml:space="preserve">Human health may be improved with increasing intake of biologically valuable ingredients. Broiler meat is popular to eat, and the consumption is increasing. Since 1979 the consumption of poultry has increased about five hundred percent </w:t>
      </w:r>
      <w:r w:rsidRPr="00800B54">
        <w:rPr>
          <w:b/>
          <w:bCs/>
          <w:sz w:val="20"/>
          <w:szCs w:val="20"/>
        </w:rPr>
        <w:t>(</w:t>
      </w:r>
      <w:proofErr w:type="spellStart"/>
      <w:r w:rsidRPr="00800B54">
        <w:rPr>
          <w:b/>
          <w:bCs/>
          <w:sz w:val="20"/>
          <w:szCs w:val="20"/>
        </w:rPr>
        <w:t>Haug</w:t>
      </w:r>
      <w:proofErr w:type="spellEnd"/>
      <w:r w:rsidRPr="00800B54">
        <w:rPr>
          <w:b/>
          <w:bCs/>
          <w:sz w:val="20"/>
          <w:szCs w:val="20"/>
        </w:rPr>
        <w:t xml:space="preserve"> </w:t>
      </w:r>
      <w:r w:rsidRPr="00800B54">
        <w:rPr>
          <w:b/>
          <w:bCs/>
          <w:i/>
          <w:iCs/>
          <w:sz w:val="20"/>
          <w:szCs w:val="20"/>
        </w:rPr>
        <w:t>et al</w:t>
      </w:r>
      <w:r w:rsidRPr="00800B54">
        <w:rPr>
          <w:b/>
          <w:bCs/>
          <w:sz w:val="20"/>
          <w:szCs w:val="20"/>
        </w:rPr>
        <w:t>., 2007)</w:t>
      </w:r>
      <w:r w:rsidRPr="00800B54">
        <w:rPr>
          <w:sz w:val="20"/>
          <w:szCs w:val="20"/>
        </w:rPr>
        <w:t>. The meat is lean and rich in protein and nutrients. The meat nutrition quality depends largely on the composition of poultry feed. The basic broilers diet consists of cereals (wheat, corn, etc.) in general, but biological active additives are widely used in commercial broiler feed compounds for enrichment of their nutritional value.</w:t>
      </w:r>
    </w:p>
    <w:p w:rsidR="00EF7B17" w:rsidRPr="00800B54" w:rsidRDefault="00EF7B17" w:rsidP="00545042">
      <w:pPr>
        <w:tabs>
          <w:tab w:val="left" w:pos="0"/>
          <w:tab w:val="left" w:pos="567"/>
        </w:tabs>
        <w:ind w:firstLine="425"/>
        <w:jc w:val="both"/>
        <w:rPr>
          <w:sz w:val="20"/>
          <w:szCs w:val="20"/>
        </w:rPr>
      </w:pPr>
      <w:r w:rsidRPr="00800B54">
        <w:rPr>
          <w:sz w:val="20"/>
          <w:szCs w:val="20"/>
        </w:rPr>
        <w:t xml:space="preserve">Minerals are vital nutrients for maintenance of the homeostatic condition that exists in all living organisms. Many of the minerals are involved in </w:t>
      </w:r>
      <w:r w:rsidRPr="00800B54">
        <w:rPr>
          <w:sz w:val="20"/>
          <w:szCs w:val="20"/>
        </w:rPr>
        <w:lastRenderedPageBreak/>
        <w:t xml:space="preserve">essential metabolic and physiological processes, which are critical for human and animal health and animal. </w:t>
      </w:r>
      <w:proofErr w:type="gramStart"/>
      <w:r w:rsidRPr="00800B54">
        <w:rPr>
          <w:b/>
          <w:bCs/>
          <w:sz w:val="20"/>
          <w:szCs w:val="20"/>
        </w:rPr>
        <w:t>(</w:t>
      </w:r>
      <w:proofErr w:type="spellStart"/>
      <w:r w:rsidRPr="00800B54">
        <w:rPr>
          <w:b/>
          <w:bCs/>
          <w:sz w:val="20"/>
          <w:szCs w:val="20"/>
        </w:rPr>
        <w:t>Soetan</w:t>
      </w:r>
      <w:proofErr w:type="spellEnd"/>
      <w:r w:rsidRPr="00800B54">
        <w:rPr>
          <w:b/>
          <w:bCs/>
          <w:sz w:val="20"/>
          <w:szCs w:val="20"/>
        </w:rPr>
        <w:t xml:space="preserve"> </w:t>
      </w:r>
      <w:r w:rsidRPr="00800B54">
        <w:rPr>
          <w:b/>
          <w:bCs/>
          <w:i/>
          <w:iCs/>
          <w:sz w:val="20"/>
          <w:szCs w:val="20"/>
        </w:rPr>
        <w:t>et al</w:t>
      </w:r>
      <w:r w:rsidRPr="00800B54">
        <w:rPr>
          <w:b/>
          <w:bCs/>
          <w:sz w:val="20"/>
          <w:szCs w:val="20"/>
        </w:rPr>
        <w:t>., 2010).</w:t>
      </w:r>
      <w:proofErr w:type="gramEnd"/>
      <w:r w:rsidRPr="00800B54">
        <w:rPr>
          <w:b/>
          <w:bCs/>
          <w:sz w:val="20"/>
          <w:szCs w:val="20"/>
        </w:rPr>
        <w:t xml:space="preserve"> </w:t>
      </w:r>
      <w:r w:rsidRPr="00800B54">
        <w:rPr>
          <w:sz w:val="20"/>
          <w:szCs w:val="20"/>
        </w:rPr>
        <w:t xml:space="preserve">Advances in mineral nutrition have proven the importance of consuming adequate amounts of macro- (Ca, P, Na, </w:t>
      </w:r>
      <w:proofErr w:type="spellStart"/>
      <w:r w:rsidRPr="00800B54">
        <w:rPr>
          <w:sz w:val="20"/>
          <w:szCs w:val="20"/>
        </w:rPr>
        <w:t>Cl</w:t>
      </w:r>
      <w:proofErr w:type="spellEnd"/>
      <w:r w:rsidRPr="00800B54">
        <w:rPr>
          <w:sz w:val="20"/>
          <w:szCs w:val="20"/>
        </w:rPr>
        <w:t xml:space="preserve">, Mg, K, and S) and </w:t>
      </w:r>
      <w:proofErr w:type="spellStart"/>
      <w:r w:rsidRPr="00800B54">
        <w:rPr>
          <w:sz w:val="20"/>
          <w:szCs w:val="20"/>
        </w:rPr>
        <w:t>microminerals</w:t>
      </w:r>
      <w:proofErr w:type="spellEnd"/>
      <w:r w:rsidRPr="00800B54">
        <w:rPr>
          <w:sz w:val="20"/>
          <w:szCs w:val="20"/>
        </w:rPr>
        <w:t xml:space="preserve"> (Co, Cu, F, I, Fe, </w:t>
      </w:r>
      <w:proofErr w:type="spellStart"/>
      <w:r w:rsidRPr="00800B54">
        <w:rPr>
          <w:sz w:val="20"/>
          <w:szCs w:val="20"/>
        </w:rPr>
        <w:t>Mn</w:t>
      </w:r>
      <w:proofErr w:type="spellEnd"/>
      <w:r w:rsidRPr="00800B54">
        <w:rPr>
          <w:sz w:val="20"/>
          <w:szCs w:val="20"/>
        </w:rPr>
        <w:t xml:space="preserve">, Mo, Se, and Zn). The </w:t>
      </w:r>
      <w:proofErr w:type="spellStart"/>
      <w:r w:rsidRPr="00800B54">
        <w:rPr>
          <w:sz w:val="20"/>
          <w:szCs w:val="20"/>
        </w:rPr>
        <w:t>microminerals</w:t>
      </w:r>
      <w:proofErr w:type="spellEnd"/>
      <w:r w:rsidRPr="00800B54">
        <w:rPr>
          <w:sz w:val="20"/>
          <w:szCs w:val="20"/>
        </w:rPr>
        <w:t xml:space="preserve"> or trace elements function as parts of proteins, hormones, enzymes, or as cofactors that activate specific enzymes </w:t>
      </w:r>
      <w:r w:rsidRPr="00800B54">
        <w:rPr>
          <w:b/>
          <w:bCs/>
          <w:sz w:val="20"/>
          <w:szCs w:val="20"/>
        </w:rPr>
        <w:t>(</w:t>
      </w:r>
      <w:proofErr w:type="spellStart"/>
      <w:r w:rsidRPr="00800B54">
        <w:rPr>
          <w:b/>
          <w:bCs/>
          <w:sz w:val="20"/>
          <w:szCs w:val="20"/>
        </w:rPr>
        <w:t>Surai</w:t>
      </w:r>
      <w:proofErr w:type="spellEnd"/>
      <w:r w:rsidRPr="00800B54">
        <w:rPr>
          <w:b/>
          <w:bCs/>
          <w:sz w:val="20"/>
          <w:szCs w:val="20"/>
        </w:rPr>
        <w:t>, 2002)</w:t>
      </w:r>
      <w:r w:rsidRPr="00800B54">
        <w:rPr>
          <w:sz w:val="20"/>
          <w:szCs w:val="20"/>
        </w:rPr>
        <w:t>.</w:t>
      </w:r>
    </w:p>
    <w:p w:rsidR="00EF7B17" w:rsidRPr="00800B54" w:rsidRDefault="00EF7B17" w:rsidP="00545042">
      <w:pPr>
        <w:tabs>
          <w:tab w:val="left" w:pos="567"/>
        </w:tabs>
        <w:ind w:firstLine="425"/>
        <w:jc w:val="both"/>
        <w:rPr>
          <w:sz w:val="20"/>
          <w:szCs w:val="20"/>
        </w:rPr>
      </w:pPr>
      <w:r w:rsidRPr="00800B54">
        <w:rPr>
          <w:sz w:val="20"/>
          <w:szCs w:val="20"/>
        </w:rPr>
        <w:t xml:space="preserve">Micronutrient deficiencies are a major public health problem in many developing countries, with infants and pregnant women especially at risk </w:t>
      </w:r>
      <w:r w:rsidRPr="00800B54">
        <w:rPr>
          <w:b/>
          <w:bCs/>
          <w:sz w:val="20"/>
          <w:szCs w:val="20"/>
        </w:rPr>
        <w:t>(</w:t>
      </w:r>
      <w:proofErr w:type="spellStart"/>
      <w:r w:rsidRPr="00800B54">
        <w:rPr>
          <w:b/>
          <w:bCs/>
          <w:sz w:val="20"/>
          <w:szCs w:val="20"/>
        </w:rPr>
        <w:t>Batra</w:t>
      </w:r>
      <w:proofErr w:type="spellEnd"/>
      <w:r w:rsidRPr="00800B54">
        <w:rPr>
          <w:b/>
          <w:bCs/>
          <w:sz w:val="20"/>
          <w:szCs w:val="20"/>
        </w:rPr>
        <w:t xml:space="preserve"> and Seth, 2002)</w:t>
      </w:r>
      <w:r w:rsidRPr="00800B54">
        <w:rPr>
          <w:sz w:val="20"/>
          <w:szCs w:val="20"/>
        </w:rPr>
        <w:t xml:space="preserve">. Infants deserve extra concern because they need adequate micronutrients to maintain normal growth and development </w:t>
      </w:r>
      <w:r w:rsidRPr="00800B54">
        <w:rPr>
          <w:b/>
          <w:bCs/>
          <w:sz w:val="20"/>
          <w:szCs w:val="20"/>
        </w:rPr>
        <w:t>(Rush, 2000)</w:t>
      </w:r>
      <w:r w:rsidRPr="00800B54">
        <w:rPr>
          <w:sz w:val="20"/>
          <w:szCs w:val="20"/>
        </w:rPr>
        <w:t>.</w:t>
      </w:r>
    </w:p>
    <w:p w:rsidR="00EF7B17" w:rsidRPr="00800B54" w:rsidRDefault="00EF7B17" w:rsidP="00545042">
      <w:pPr>
        <w:autoSpaceDE w:val="0"/>
        <w:autoSpaceDN w:val="0"/>
        <w:adjustRightInd w:val="0"/>
        <w:ind w:firstLine="425"/>
        <w:jc w:val="both"/>
        <w:rPr>
          <w:sz w:val="20"/>
          <w:szCs w:val="20"/>
        </w:rPr>
      </w:pPr>
      <w:r w:rsidRPr="00800B54">
        <w:rPr>
          <w:sz w:val="20"/>
          <w:szCs w:val="20"/>
        </w:rPr>
        <w:lastRenderedPageBreak/>
        <w:t>selenium (Se) has been defined as an essential dietary supplement which is important for improving health and performance of the birds and improving meat quality for human consumption (</w:t>
      </w:r>
      <w:proofErr w:type="spellStart"/>
      <w:r w:rsidRPr="00800B54">
        <w:rPr>
          <w:b/>
          <w:bCs/>
          <w:sz w:val="20"/>
          <w:szCs w:val="20"/>
        </w:rPr>
        <w:t>Haug</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2007)</w:t>
      </w:r>
      <w:r w:rsidRPr="00800B54">
        <w:rPr>
          <w:sz w:val="20"/>
          <w:szCs w:val="20"/>
        </w:rPr>
        <w:t xml:space="preserve">. Selenium has important health promoting effect as it is one of the most active natural antioxidants. In recent years, Se research has attracted tremendous interest because of its important role in antioxidant </w:t>
      </w:r>
      <w:proofErr w:type="spellStart"/>
      <w:r w:rsidRPr="00800B54">
        <w:rPr>
          <w:sz w:val="20"/>
          <w:szCs w:val="20"/>
        </w:rPr>
        <w:t>selenoproteins</w:t>
      </w:r>
      <w:proofErr w:type="spellEnd"/>
      <w:r w:rsidRPr="00800B54">
        <w:rPr>
          <w:sz w:val="20"/>
          <w:szCs w:val="20"/>
        </w:rPr>
        <w:t xml:space="preserve"> for protection against oxidative stress initiated by excess reactive oxygen species (ROS) and reactive nitrogen species (NOS) </w:t>
      </w:r>
      <w:proofErr w:type="spellStart"/>
      <w:r w:rsidRPr="00800B54">
        <w:rPr>
          <w:b/>
          <w:bCs/>
          <w:sz w:val="20"/>
          <w:szCs w:val="20"/>
        </w:rPr>
        <w:t>Tinggi</w:t>
      </w:r>
      <w:proofErr w:type="spellEnd"/>
      <w:r w:rsidRPr="00800B54">
        <w:rPr>
          <w:b/>
          <w:bCs/>
          <w:sz w:val="20"/>
          <w:szCs w:val="20"/>
        </w:rPr>
        <w:t xml:space="preserve"> (2008)</w:t>
      </w:r>
      <w:r w:rsidRPr="00800B54">
        <w:rPr>
          <w:sz w:val="20"/>
          <w:szCs w:val="20"/>
        </w:rPr>
        <w:t xml:space="preserve">. Selenium has important physiologic effects that include functioning at the catalytic centre of proteins </w:t>
      </w:r>
      <w:r w:rsidRPr="00800B54">
        <w:rPr>
          <w:b/>
          <w:bCs/>
          <w:sz w:val="20"/>
          <w:szCs w:val="20"/>
        </w:rPr>
        <w:t>(</w:t>
      </w:r>
      <w:proofErr w:type="spellStart"/>
      <w:r w:rsidRPr="00800B54">
        <w:rPr>
          <w:b/>
          <w:bCs/>
          <w:sz w:val="20"/>
          <w:szCs w:val="20"/>
        </w:rPr>
        <w:t>Behne</w:t>
      </w:r>
      <w:proofErr w:type="spellEnd"/>
      <w:r w:rsidRPr="00800B54">
        <w:rPr>
          <w:b/>
          <w:bCs/>
          <w:sz w:val="20"/>
          <w:szCs w:val="20"/>
        </w:rPr>
        <w:t xml:space="preserve"> and </w:t>
      </w:r>
      <w:proofErr w:type="spellStart"/>
      <w:r w:rsidRPr="00800B54">
        <w:rPr>
          <w:b/>
          <w:bCs/>
          <w:sz w:val="20"/>
          <w:szCs w:val="20"/>
        </w:rPr>
        <w:t>Kyriakopoulos</w:t>
      </w:r>
      <w:proofErr w:type="spellEnd"/>
      <w:r w:rsidRPr="00800B54">
        <w:rPr>
          <w:b/>
          <w:bCs/>
          <w:sz w:val="20"/>
          <w:szCs w:val="20"/>
        </w:rPr>
        <w:t>, 2001)</w:t>
      </w:r>
      <w:r w:rsidRPr="00800B54">
        <w:rPr>
          <w:sz w:val="20"/>
          <w:szCs w:val="20"/>
        </w:rPr>
        <w:t xml:space="preserve"> enhancement of immune function and reduction of cancer risk</w:t>
      </w:r>
      <w:r w:rsidR="002B247A" w:rsidRPr="00800B54">
        <w:rPr>
          <w:sz w:val="20"/>
          <w:szCs w:val="20"/>
        </w:rPr>
        <w:t xml:space="preserve"> </w:t>
      </w:r>
      <w:r w:rsidR="0098716A" w:rsidRPr="00800B54">
        <w:rPr>
          <w:sz w:val="20"/>
          <w:szCs w:val="20"/>
        </w:rPr>
        <w:t>(</w:t>
      </w:r>
      <w:r w:rsidR="002B247A" w:rsidRPr="00800B54">
        <w:rPr>
          <w:b/>
          <w:bCs/>
          <w:sz w:val="20"/>
          <w:szCs w:val="20"/>
        </w:rPr>
        <w:t xml:space="preserve">Beck, 2001 and </w:t>
      </w:r>
      <w:r w:rsidR="0098716A" w:rsidRPr="00800B54">
        <w:rPr>
          <w:b/>
          <w:bCs/>
          <w:sz w:val="20"/>
          <w:szCs w:val="20"/>
        </w:rPr>
        <w:t>Klein, 2005</w:t>
      </w:r>
      <w:r w:rsidRPr="00800B54">
        <w:rPr>
          <w:b/>
          <w:bCs/>
          <w:sz w:val="20"/>
          <w:szCs w:val="20"/>
        </w:rPr>
        <w:t>)</w:t>
      </w:r>
      <w:r w:rsidRPr="00800B54">
        <w:rPr>
          <w:sz w:val="20"/>
          <w:szCs w:val="20"/>
        </w:rPr>
        <w:t>.</w:t>
      </w:r>
    </w:p>
    <w:p w:rsidR="00EF7B17" w:rsidRPr="00800B54" w:rsidRDefault="00EF7B17" w:rsidP="00545042">
      <w:pPr>
        <w:ind w:firstLine="425"/>
        <w:jc w:val="both"/>
        <w:rPr>
          <w:sz w:val="20"/>
          <w:szCs w:val="20"/>
        </w:rPr>
      </w:pPr>
      <w:r w:rsidRPr="00800B54">
        <w:rPr>
          <w:sz w:val="20"/>
          <w:szCs w:val="20"/>
        </w:rPr>
        <w:t xml:space="preserve">Selenium in animal diets is supplemented primarily as inorganic sodium </w:t>
      </w:r>
      <w:proofErr w:type="spellStart"/>
      <w:r w:rsidRPr="00800B54">
        <w:rPr>
          <w:sz w:val="20"/>
          <w:szCs w:val="20"/>
        </w:rPr>
        <w:t>selenite</w:t>
      </w:r>
      <w:proofErr w:type="spellEnd"/>
      <w:r w:rsidRPr="00800B54">
        <w:rPr>
          <w:sz w:val="20"/>
          <w:szCs w:val="20"/>
        </w:rPr>
        <w:t xml:space="preserve"> or sodium </w:t>
      </w:r>
      <w:proofErr w:type="spellStart"/>
      <w:r w:rsidRPr="00800B54">
        <w:rPr>
          <w:sz w:val="20"/>
          <w:szCs w:val="20"/>
        </w:rPr>
        <w:t>selenate</w:t>
      </w:r>
      <w:proofErr w:type="spellEnd"/>
      <w:r w:rsidRPr="00800B54">
        <w:rPr>
          <w:sz w:val="20"/>
          <w:szCs w:val="20"/>
        </w:rPr>
        <w:t xml:space="preserve">. </w:t>
      </w:r>
      <w:r w:rsidR="0098716A" w:rsidRPr="00800B54">
        <w:rPr>
          <w:sz w:val="20"/>
          <w:szCs w:val="20"/>
        </w:rPr>
        <w:t>H</w:t>
      </w:r>
      <w:r w:rsidRPr="00800B54">
        <w:rPr>
          <w:sz w:val="20"/>
          <w:szCs w:val="20"/>
        </w:rPr>
        <w:t xml:space="preserve">owever, there has been interest in the use of organic forms, such as </w:t>
      </w:r>
      <w:proofErr w:type="spellStart"/>
      <w:r w:rsidRPr="00800B54">
        <w:rPr>
          <w:sz w:val="20"/>
          <w:szCs w:val="20"/>
        </w:rPr>
        <w:t>selenomethionine</w:t>
      </w:r>
      <w:proofErr w:type="spellEnd"/>
      <w:r w:rsidRPr="00800B54">
        <w:rPr>
          <w:sz w:val="20"/>
          <w:szCs w:val="20"/>
        </w:rPr>
        <w:t xml:space="preserve"> (</w:t>
      </w:r>
      <w:proofErr w:type="spellStart"/>
      <w:proofErr w:type="gramStart"/>
      <w:r w:rsidRPr="00800B54">
        <w:rPr>
          <w:sz w:val="20"/>
          <w:szCs w:val="20"/>
        </w:rPr>
        <w:t>SeM</w:t>
      </w:r>
      <w:proofErr w:type="spellEnd"/>
      <w:proofErr w:type="gramEnd"/>
      <w:r w:rsidRPr="00800B54">
        <w:rPr>
          <w:sz w:val="20"/>
          <w:szCs w:val="20"/>
        </w:rPr>
        <w:t>) or Se-enriched yeast (</w:t>
      </w:r>
      <w:proofErr w:type="spellStart"/>
      <w:r w:rsidRPr="00800B54">
        <w:rPr>
          <w:sz w:val="20"/>
          <w:szCs w:val="20"/>
        </w:rPr>
        <w:t>SeY</w:t>
      </w:r>
      <w:proofErr w:type="spellEnd"/>
      <w:r w:rsidRPr="00800B54">
        <w:rPr>
          <w:sz w:val="20"/>
          <w:szCs w:val="20"/>
        </w:rPr>
        <w:t>), as supplemental sources of Se (</w:t>
      </w:r>
      <w:proofErr w:type="spellStart"/>
      <w:r w:rsidRPr="00800B54">
        <w:rPr>
          <w:b/>
          <w:bCs/>
          <w:sz w:val="20"/>
          <w:szCs w:val="20"/>
        </w:rPr>
        <w:t>Rayman</w:t>
      </w:r>
      <w:proofErr w:type="spellEnd"/>
      <w:r w:rsidRPr="00800B54">
        <w:rPr>
          <w:b/>
          <w:bCs/>
          <w:sz w:val="20"/>
          <w:szCs w:val="20"/>
        </w:rPr>
        <w:t>, 2004)</w:t>
      </w:r>
      <w:r w:rsidRPr="00800B54">
        <w:rPr>
          <w:sz w:val="20"/>
          <w:szCs w:val="20"/>
        </w:rPr>
        <w:t xml:space="preserve">. Diets supplemented with either sodium </w:t>
      </w:r>
      <w:proofErr w:type="spellStart"/>
      <w:r w:rsidRPr="00800B54">
        <w:rPr>
          <w:sz w:val="20"/>
          <w:szCs w:val="20"/>
        </w:rPr>
        <w:t>selenite</w:t>
      </w:r>
      <w:proofErr w:type="spellEnd"/>
      <w:r w:rsidRPr="00800B54">
        <w:rPr>
          <w:sz w:val="20"/>
          <w:szCs w:val="20"/>
        </w:rPr>
        <w:t xml:space="preserve"> or Se-enriched yeast have shown that organic selenium is deposited more effectively in broiler breast muscles than inorganic selenium </w:t>
      </w:r>
      <w:r w:rsidRPr="00800B54">
        <w:rPr>
          <w:b/>
          <w:bCs/>
          <w:sz w:val="20"/>
          <w:szCs w:val="20"/>
        </w:rPr>
        <w:t>(Payne and Southern, 2005)</w:t>
      </w:r>
      <w:r w:rsidRPr="00800B54">
        <w:rPr>
          <w:sz w:val="20"/>
          <w:szCs w:val="20"/>
        </w:rPr>
        <w:t xml:space="preserve">. Many studies showed that dietary supplementation with organic selenium, in the form of yeast grown on a media enriched with this trace element, </w:t>
      </w:r>
      <w:proofErr w:type="gramStart"/>
      <w:r w:rsidRPr="00800B54">
        <w:rPr>
          <w:sz w:val="20"/>
          <w:szCs w:val="20"/>
        </w:rPr>
        <w:t>decreased</w:t>
      </w:r>
      <w:proofErr w:type="gramEnd"/>
      <w:r w:rsidRPr="00800B54">
        <w:rPr>
          <w:sz w:val="20"/>
          <w:szCs w:val="20"/>
        </w:rPr>
        <w:t xml:space="preserve"> cancer mortality two-fold </w:t>
      </w:r>
      <w:r w:rsidRPr="00800B54">
        <w:rPr>
          <w:b/>
          <w:bCs/>
          <w:sz w:val="20"/>
          <w:szCs w:val="20"/>
        </w:rPr>
        <w:t xml:space="preserve">(Clark </w:t>
      </w:r>
      <w:r w:rsidRPr="00800B54">
        <w:rPr>
          <w:b/>
          <w:bCs/>
          <w:i/>
          <w:iCs/>
          <w:sz w:val="20"/>
          <w:szCs w:val="20"/>
        </w:rPr>
        <w:t>et al.,</w:t>
      </w:r>
      <w:r w:rsidRPr="00800B54">
        <w:rPr>
          <w:b/>
          <w:bCs/>
          <w:sz w:val="20"/>
          <w:szCs w:val="20"/>
        </w:rPr>
        <w:t xml:space="preserve"> 1996)</w:t>
      </w:r>
      <w:r w:rsidRPr="00800B54">
        <w:rPr>
          <w:sz w:val="20"/>
          <w:szCs w:val="20"/>
        </w:rPr>
        <w:t>.</w:t>
      </w:r>
    </w:p>
    <w:p w:rsidR="00EF7B17" w:rsidRPr="00800B54" w:rsidRDefault="00EF7B17" w:rsidP="00545042">
      <w:pPr>
        <w:autoSpaceDE w:val="0"/>
        <w:autoSpaceDN w:val="0"/>
        <w:adjustRightInd w:val="0"/>
        <w:ind w:firstLine="425"/>
        <w:jc w:val="both"/>
        <w:rPr>
          <w:sz w:val="20"/>
          <w:szCs w:val="20"/>
        </w:rPr>
      </w:pPr>
      <w:r w:rsidRPr="00800B54">
        <w:rPr>
          <w:sz w:val="20"/>
          <w:szCs w:val="20"/>
        </w:rPr>
        <w:t>In addition, increasing consumer demand for healthier food products has led to the development of governmental policies regarding health claims in many developed countries. Food is the most important source of human Se intake. Results derived from various research studies conducted over the last few years have indicated that the enrichment of animal-derived foods (mainly meat, milk and eggs) with selenium via supplementation of animal feeds can be an effective way of increasing human selenium status in countries where selenium consumption falls below the Recommended Daily Allowances (RDA). The objective of this research was to investigate the effect of supplementation boiler diets with different levels of organic selenium from Se-enriched yeast on boilers and selenium contents in its raw breast muscles and cooked ones with different processes.</w:t>
      </w:r>
    </w:p>
    <w:p w:rsidR="00EF7B17" w:rsidRPr="00800B54" w:rsidRDefault="00EF7B17" w:rsidP="00545042">
      <w:pPr>
        <w:tabs>
          <w:tab w:val="left" w:pos="567"/>
        </w:tabs>
        <w:autoSpaceDE w:val="0"/>
        <w:autoSpaceDN w:val="0"/>
        <w:adjustRightInd w:val="0"/>
        <w:ind w:firstLine="425"/>
        <w:jc w:val="both"/>
        <w:rPr>
          <w:sz w:val="20"/>
          <w:szCs w:val="20"/>
          <w:rtl/>
        </w:rPr>
      </w:pPr>
    </w:p>
    <w:p w:rsidR="00EF7B17" w:rsidRPr="00800B54" w:rsidRDefault="00EF7B17" w:rsidP="00545042">
      <w:pPr>
        <w:jc w:val="both"/>
        <w:rPr>
          <w:b/>
          <w:bCs/>
          <w:sz w:val="20"/>
          <w:szCs w:val="20"/>
        </w:rPr>
      </w:pPr>
      <w:proofErr w:type="gramStart"/>
      <w:r w:rsidRPr="00800B54">
        <w:rPr>
          <w:b/>
          <w:bCs/>
          <w:sz w:val="20"/>
          <w:szCs w:val="20"/>
        </w:rPr>
        <w:t>2.Material</w:t>
      </w:r>
      <w:proofErr w:type="gramEnd"/>
      <w:r w:rsidRPr="00800B54">
        <w:rPr>
          <w:b/>
          <w:bCs/>
          <w:sz w:val="20"/>
          <w:szCs w:val="20"/>
        </w:rPr>
        <w:t xml:space="preserve"> and Methods</w:t>
      </w:r>
    </w:p>
    <w:p w:rsidR="00EF7B17" w:rsidRPr="00800B54" w:rsidRDefault="00EF7B17" w:rsidP="00545042">
      <w:pPr>
        <w:jc w:val="both"/>
        <w:rPr>
          <w:b/>
          <w:bCs/>
          <w:sz w:val="20"/>
          <w:szCs w:val="20"/>
        </w:rPr>
      </w:pPr>
      <w:r w:rsidRPr="00800B54">
        <w:rPr>
          <w:b/>
          <w:bCs/>
          <w:sz w:val="20"/>
          <w:szCs w:val="20"/>
        </w:rPr>
        <w:t>Material</w:t>
      </w:r>
    </w:p>
    <w:p w:rsidR="00EF7B17" w:rsidRPr="00800B54" w:rsidRDefault="00EF7B17" w:rsidP="00545042">
      <w:pPr>
        <w:ind w:firstLine="425"/>
        <w:jc w:val="both"/>
        <w:rPr>
          <w:sz w:val="20"/>
          <w:szCs w:val="20"/>
        </w:rPr>
      </w:pPr>
      <w:r w:rsidRPr="00800B54">
        <w:rPr>
          <w:sz w:val="20"/>
          <w:szCs w:val="20"/>
        </w:rPr>
        <w:t>Organic Se in the form of a yeast source (</w:t>
      </w:r>
      <w:proofErr w:type="spellStart"/>
      <w:r w:rsidRPr="00800B54">
        <w:rPr>
          <w:sz w:val="20"/>
          <w:szCs w:val="20"/>
        </w:rPr>
        <w:t>Sel-Plexs</w:t>
      </w:r>
      <w:proofErr w:type="spellEnd"/>
      <w:r w:rsidRPr="00800B54">
        <w:rPr>
          <w:sz w:val="20"/>
          <w:szCs w:val="20"/>
        </w:rPr>
        <w:t xml:space="preserve">, containing </w:t>
      </w:r>
      <w:proofErr w:type="spellStart"/>
      <w:r w:rsidRPr="00800B54">
        <w:rPr>
          <w:sz w:val="20"/>
          <w:szCs w:val="20"/>
        </w:rPr>
        <w:t>selenomethionine</w:t>
      </w:r>
      <w:proofErr w:type="spellEnd"/>
      <w:r w:rsidRPr="00800B54">
        <w:rPr>
          <w:sz w:val="20"/>
          <w:szCs w:val="20"/>
        </w:rPr>
        <w:t xml:space="preserve"> as the main </w:t>
      </w:r>
      <w:proofErr w:type="spellStart"/>
      <w:r w:rsidRPr="00800B54">
        <w:rPr>
          <w:sz w:val="20"/>
          <w:szCs w:val="20"/>
        </w:rPr>
        <w:t>selenocompound</w:t>
      </w:r>
      <w:proofErr w:type="spellEnd"/>
      <w:r w:rsidRPr="00800B54">
        <w:rPr>
          <w:sz w:val="20"/>
          <w:szCs w:val="20"/>
        </w:rPr>
        <w:t xml:space="preserve"> was obtained from </w:t>
      </w:r>
      <w:proofErr w:type="spellStart"/>
      <w:r w:rsidRPr="00800B54">
        <w:rPr>
          <w:sz w:val="20"/>
          <w:szCs w:val="20"/>
        </w:rPr>
        <w:t>Alltech</w:t>
      </w:r>
      <w:proofErr w:type="spellEnd"/>
      <w:r w:rsidRPr="00800B54">
        <w:rPr>
          <w:sz w:val="20"/>
          <w:szCs w:val="20"/>
        </w:rPr>
        <w:t xml:space="preserve"> Inc, Nicholasville, KY</w:t>
      </w:r>
      <w:proofErr w:type="gramStart"/>
      <w:r w:rsidRPr="00800B54">
        <w:rPr>
          <w:sz w:val="20"/>
          <w:szCs w:val="20"/>
        </w:rPr>
        <w:t>,USA</w:t>
      </w:r>
      <w:proofErr w:type="gramEnd"/>
      <w:r w:rsidRPr="00800B54">
        <w:rPr>
          <w:sz w:val="20"/>
          <w:szCs w:val="20"/>
        </w:rPr>
        <w:t>).</w:t>
      </w:r>
      <w:r w:rsidRPr="00800B54">
        <w:rPr>
          <w:sz w:val="20"/>
          <w:szCs w:val="20"/>
          <w:lang w:val="en-GB"/>
        </w:rPr>
        <w:t xml:space="preserve"> The analytical kits were obtained from </w:t>
      </w:r>
      <w:proofErr w:type="spellStart"/>
      <w:r w:rsidRPr="00800B54">
        <w:rPr>
          <w:sz w:val="20"/>
          <w:szCs w:val="20"/>
          <w:lang w:val="en-GB"/>
        </w:rPr>
        <w:t>Randox</w:t>
      </w:r>
      <w:proofErr w:type="spellEnd"/>
      <w:r w:rsidRPr="00800B54">
        <w:rPr>
          <w:sz w:val="20"/>
          <w:szCs w:val="20"/>
          <w:lang w:val="en-GB"/>
        </w:rPr>
        <w:t xml:space="preserve"> Laboratories Ltd., Diamond </w:t>
      </w:r>
      <w:r w:rsidRPr="00800B54">
        <w:rPr>
          <w:sz w:val="20"/>
          <w:szCs w:val="20"/>
          <w:lang w:val="en-GB"/>
        </w:rPr>
        <w:lastRenderedPageBreak/>
        <w:t xml:space="preserve">Road, </w:t>
      </w:r>
      <w:proofErr w:type="spellStart"/>
      <w:r w:rsidRPr="00800B54">
        <w:rPr>
          <w:sz w:val="20"/>
          <w:szCs w:val="20"/>
          <w:lang w:val="en-GB"/>
        </w:rPr>
        <w:t>Crumlin</w:t>
      </w:r>
      <w:proofErr w:type="spellEnd"/>
      <w:r w:rsidRPr="00800B54">
        <w:rPr>
          <w:sz w:val="20"/>
          <w:szCs w:val="20"/>
          <w:lang w:val="en-GB"/>
        </w:rPr>
        <w:t xml:space="preserve">, Co., </w:t>
      </w:r>
      <w:proofErr w:type="gramStart"/>
      <w:r w:rsidRPr="00800B54">
        <w:rPr>
          <w:sz w:val="20"/>
          <w:szCs w:val="20"/>
          <w:lang w:val="en-GB"/>
        </w:rPr>
        <w:t>Antrim</w:t>
      </w:r>
      <w:proofErr w:type="gramEnd"/>
      <w:r w:rsidRPr="00800B54">
        <w:rPr>
          <w:sz w:val="20"/>
          <w:szCs w:val="20"/>
          <w:lang w:val="en-GB"/>
        </w:rPr>
        <w:t xml:space="preserve"> BT29 4QY, United Kingdom.</w:t>
      </w:r>
    </w:p>
    <w:p w:rsidR="00EF7B17" w:rsidRPr="00800B54" w:rsidRDefault="00EF7B17" w:rsidP="00545042">
      <w:pPr>
        <w:jc w:val="both"/>
        <w:rPr>
          <w:b/>
          <w:bCs/>
          <w:sz w:val="20"/>
          <w:szCs w:val="20"/>
        </w:rPr>
      </w:pPr>
      <w:r w:rsidRPr="00800B54">
        <w:rPr>
          <w:b/>
          <w:bCs/>
          <w:sz w:val="20"/>
          <w:szCs w:val="20"/>
        </w:rPr>
        <w:t>Methods</w:t>
      </w:r>
    </w:p>
    <w:p w:rsidR="00EF7B17" w:rsidRPr="00800B54" w:rsidRDefault="00EF7B17" w:rsidP="00545042">
      <w:pPr>
        <w:jc w:val="both"/>
        <w:rPr>
          <w:b/>
          <w:bCs/>
          <w:sz w:val="20"/>
          <w:szCs w:val="20"/>
          <w:rtl/>
        </w:rPr>
      </w:pPr>
      <w:r w:rsidRPr="00800B54">
        <w:rPr>
          <w:b/>
          <w:bCs/>
          <w:sz w:val="20"/>
          <w:szCs w:val="20"/>
        </w:rPr>
        <w:t>Experimental diets</w:t>
      </w:r>
    </w:p>
    <w:p w:rsidR="00EF7B17" w:rsidRPr="00800B54" w:rsidRDefault="00EF7B17" w:rsidP="00545042">
      <w:pPr>
        <w:ind w:firstLine="425"/>
        <w:jc w:val="both"/>
        <w:rPr>
          <w:sz w:val="20"/>
          <w:szCs w:val="20"/>
        </w:rPr>
      </w:pPr>
      <w:r w:rsidRPr="00800B54">
        <w:rPr>
          <w:sz w:val="20"/>
          <w:szCs w:val="20"/>
        </w:rPr>
        <w:t xml:space="preserve">The present study was carried out at the Poultry Nutrition Farm, Poultry Production Department, Faculty of Agriculture, </w:t>
      </w:r>
      <w:proofErr w:type="spellStart"/>
      <w:proofErr w:type="gramStart"/>
      <w:r w:rsidRPr="00800B54">
        <w:rPr>
          <w:sz w:val="20"/>
          <w:szCs w:val="20"/>
        </w:rPr>
        <w:t>Ain</w:t>
      </w:r>
      <w:proofErr w:type="spellEnd"/>
      <w:proofErr w:type="gramEnd"/>
      <w:r w:rsidRPr="00800B54">
        <w:rPr>
          <w:sz w:val="20"/>
          <w:szCs w:val="20"/>
        </w:rPr>
        <w:t xml:space="preserve"> Shams University. One hundred fifty unsexed one day old of Hubbard broiler chicks were randomly distributed into 5 treatments. Each treatment comprised of 30 chicks which divided into 5 replicates of 6 chicks each. The chicks were reared up to 5 weeks of age in wire-floored batteries. Broilers </w:t>
      </w:r>
      <w:proofErr w:type="gramStart"/>
      <w:r w:rsidRPr="00800B54">
        <w:rPr>
          <w:sz w:val="20"/>
          <w:szCs w:val="20"/>
        </w:rPr>
        <w:t>diet were</w:t>
      </w:r>
      <w:proofErr w:type="gramEnd"/>
      <w:r w:rsidRPr="00800B54">
        <w:rPr>
          <w:sz w:val="20"/>
          <w:szCs w:val="20"/>
        </w:rPr>
        <w:t xml:space="preserve"> supplemented</w:t>
      </w:r>
      <w:r w:rsidRPr="00800B54">
        <w:rPr>
          <w:sz w:val="20"/>
          <w:szCs w:val="20"/>
          <w:shd w:val="clear" w:color="auto" w:fill="FFFFFF"/>
          <w:lang w:bidi="ar-EG"/>
        </w:rPr>
        <w:t xml:space="preserve"> with selenium-enriched yeast</w:t>
      </w:r>
      <w:r w:rsidRPr="00800B54">
        <w:rPr>
          <w:sz w:val="20"/>
          <w:szCs w:val="20"/>
        </w:rPr>
        <w:t xml:space="preserve"> to get different levels of organic Se (0.2, 0.3, 0.4, 0.5 and</w:t>
      </w:r>
      <w:r w:rsidR="0098716A" w:rsidRPr="00800B54">
        <w:rPr>
          <w:sz w:val="20"/>
          <w:szCs w:val="20"/>
        </w:rPr>
        <w:t xml:space="preserve"> 0.6</w:t>
      </w:r>
      <w:r w:rsidRPr="00800B54">
        <w:rPr>
          <w:sz w:val="20"/>
          <w:szCs w:val="20"/>
        </w:rPr>
        <w:t xml:space="preserve"> mg Se/kg diet).</w:t>
      </w:r>
      <w:r w:rsidR="00F24CCE" w:rsidRPr="00800B54">
        <w:rPr>
          <w:sz w:val="20"/>
          <w:szCs w:val="20"/>
        </w:rPr>
        <w:t xml:space="preserve"> </w:t>
      </w:r>
      <w:r w:rsidRPr="00800B54">
        <w:rPr>
          <w:sz w:val="20"/>
          <w:szCs w:val="20"/>
        </w:rPr>
        <w:t xml:space="preserve">Table (1) was used to formulate five experimental diets that meet recommended nutrient requirements of growing of broiler chickens </w:t>
      </w:r>
      <w:r w:rsidRPr="00800B54">
        <w:rPr>
          <w:b/>
          <w:bCs/>
          <w:sz w:val="20"/>
          <w:szCs w:val="20"/>
        </w:rPr>
        <w:t>(NRC, 1994)</w:t>
      </w:r>
      <w:r w:rsidRPr="00800B54">
        <w:rPr>
          <w:sz w:val="20"/>
          <w:szCs w:val="20"/>
        </w:rPr>
        <w:t xml:space="preserve"> as the following:-</w:t>
      </w:r>
    </w:p>
    <w:p w:rsidR="00EF7B17" w:rsidRPr="00800B54" w:rsidRDefault="00EF7B17" w:rsidP="00545042">
      <w:pPr>
        <w:ind w:firstLine="425"/>
        <w:jc w:val="both"/>
        <w:rPr>
          <w:sz w:val="20"/>
          <w:szCs w:val="20"/>
        </w:rPr>
      </w:pPr>
      <w:r w:rsidRPr="00800B54">
        <w:rPr>
          <w:sz w:val="20"/>
          <w:szCs w:val="20"/>
        </w:rPr>
        <w:t>Treatment 1(T1): Basal Diet (BD) supplemented with 0.2 mg organic Se/kg diet (control treatment).</w:t>
      </w:r>
    </w:p>
    <w:p w:rsidR="00EF7B17" w:rsidRPr="00800B54" w:rsidRDefault="00EF7B17" w:rsidP="00545042">
      <w:pPr>
        <w:ind w:firstLine="425"/>
        <w:jc w:val="both"/>
        <w:rPr>
          <w:sz w:val="20"/>
          <w:szCs w:val="20"/>
          <w:rtl/>
        </w:rPr>
      </w:pPr>
      <w:r w:rsidRPr="00800B54">
        <w:rPr>
          <w:sz w:val="20"/>
          <w:szCs w:val="20"/>
        </w:rPr>
        <w:t>Treatment 2 (T2): BD supplemented with 0.3 mg organic Se/kg diet.</w:t>
      </w:r>
    </w:p>
    <w:p w:rsidR="00EF7B17" w:rsidRPr="00800B54" w:rsidRDefault="00EF7B17" w:rsidP="00545042">
      <w:pPr>
        <w:ind w:firstLine="425"/>
        <w:jc w:val="both"/>
        <w:rPr>
          <w:sz w:val="20"/>
          <w:szCs w:val="20"/>
        </w:rPr>
      </w:pPr>
      <w:r w:rsidRPr="00800B54">
        <w:rPr>
          <w:sz w:val="20"/>
          <w:szCs w:val="20"/>
        </w:rPr>
        <w:t>Treatment 3 (T3): BD supplemented with 0.4mg organic Se/kg diet.</w:t>
      </w:r>
    </w:p>
    <w:p w:rsidR="00EF7B17" w:rsidRPr="00800B54" w:rsidRDefault="00EF7B17" w:rsidP="00545042">
      <w:pPr>
        <w:ind w:firstLine="425"/>
        <w:jc w:val="both"/>
        <w:rPr>
          <w:sz w:val="20"/>
          <w:szCs w:val="20"/>
        </w:rPr>
      </w:pPr>
      <w:r w:rsidRPr="00800B54">
        <w:rPr>
          <w:sz w:val="20"/>
          <w:szCs w:val="20"/>
        </w:rPr>
        <w:t>Treatment 4 (T4): BD supplemented with 0.5 mg organic Se/kg diet.</w:t>
      </w:r>
    </w:p>
    <w:p w:rsidR="00EF7B17" w:rsidRPr="00800B54" w:rsidRDefault="00EF7B17" w:rsidP="00545042">
      <w:pPr>
        <w:ind w:firstLine="425"/>
        <w:jc w:val="both"/>
        <w:rPr>
          <w:sz w:val="20"/>
          <w:szCs w:val="20"/>
        </w:rPr>
      </w:pPr>
      <w:r w:rsidRPr="00800B54">
        <w:rPr>
          <w:sz w:val="20"/>
          <w:szCs w:val="20"/>
        </w:rPr>
        <w:t>Treatment 5 (T5): BD supplemented with 0.6 mg organic Se/kg diet.</w:t>
      </w:r>
    </w:p>
    <w:p w:rsidR="00EF7B17" w:rsidRPr="00800B54" w:rsidRDefault="00EF7B17" w:rsidP="00545042">
      <w:pPr>
        <w:autoSpaceDE w:val="0"/>
        <w:autoSpaceDN w:val="0"/>
        <w:adjustRightInd w:val="0"/>
        <w:ind w:firstLine="425"/>
        <w:jc w:val="both"/>
        <w:rPr>
          <w:sz w:val="20"/>
          <w:szCs w:val="20"/>
        </w:rPr>
      </w:pPr>
      <w:r w:rsidRPr="00800B54">
        <w:rPr>
          <w:sz w:val="20"/>
          <w:szCs w:val="20"/>
        </w:rPr>
        <w:t>At 35 days of age, five birds from each treatment having body weight around the average of treatment were selected and sacrificed by severing the carotid artery and the jugular vein and blood samples were collected. Breast muscles</w:t>
      </w:r>
      <w:r w:rsidRPr="00800B54">
        <w:rPr>
          <w:rStyle w:val="A7"/>
          <w:color w:val="auto"/>
          <w:sz w:val="20"/>
          <w:szCs w:val="20"/>
        </w:rPr>
        <w:t xml:space="preserve"> from each treatment</w:t>
      </w:r>
      <w:r w:rsidRPr="00800B54">
        <w:rPr>
          <w:sz w:val="20"/>
          <w:szCs w:val="20"/>
        </w:rPr>
        <w:t xml:space="preserve"> were obtained. </w:t>
      </w:r>
      <w:proofErr w:type="spellStart"/>
      <w:r w:rsidRPr="00800B54">
        <w:rPr>
          <w:sz w:val="20"/>
          <w:szCs w:val="20"/>
        </w:rPr>
        <w:t>Malondialdehyde</w:t>
      </w:r>
      <w:proofErr w:type="spellEnd"/>
      <w:r w:rsidRPr="00800B54">
        <w:rPr>
          <w:sz w:val="20"/>
          <w:szCs w:val="20"/>
        </w:rPr>
        <w:t xml:space="preserve"> (MDA) and total antioxidant capacity (TAC) were determined in serum according to the method showed by </w:t>
      </w:r>
      <w:r w:rsidRPr="00800B54">
        <w:rPr>
          <w:b/>
          <w:bCs/>
          <w:sz w:val="20"/>
          <w:szCs w:val="20"/>
        </w:rPr>
        <w:t xml:space="preserve">Meltzer </w:t>
      </w:r>
      <w:r w:rsidRPr="00800B54">
        <w:rPr>
          <w:b/>
          <w:bCs/>
          <w:i/>
          <w:iCs/>
          <w:sz w:val="20"/>
          <w:szCs w:val="20"/>
        </w:rPr>
        <w:t>et al.</w:t>
      </w:r>
      <w:r w:rsidRPr="00800B54">
        <w:rPr>
          <w:b/>
          <w:bCs/>
          <w:sz w:val="20"/>
          <w:szCs w:val="20"/>
        </w:rPr>
        <w:t xml:space="preserve"> (1997)</w:t>
      </w:r>
      <w:r w:rsidRPr="00800B54">
        <w:rPr>
          <w:sz w:val="20"/>
          <w:szCs w:val="20"/>
        </w:rPr>
        <w:t xml:space="preserve"> and </w:t>
      </w:r>
      <w:proofErr w:type="spellStart"/>
      <w:r w:rsidRPr="00800B54">
        <w:rPr>
          <w:b/>
          <w:bCs/>
          <w:sz w:val="20"/>
          <w:szCs w:val="20"/>
        </w:rPr>
        <w:t>Koracevic</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(2001)</w:t>
      </w:r>
      <w:r w:rsidRPr="00800B54">
        <w:rPr>
          <w:sz w:val="20"/>
          <w:szCs w:val="20"/>
        </w:rPr>
        <w:t xml:space="preserve">, respectively. Glutathione </w:t>
      </w:r>
      <w:proofErr w:type="spellStart"/>
      <w:r w:rsidRPr="00800B54">
        <w:rPr>
          <w:sz w:val="20"/>
          <w:szCs w:val="20"/>
        </w:rPr>
        <w:t>peroxidase</w:t>
      </w:r>
      <w:proofErr w:type="spellEnd"/>
      <w:r w:rsidRPr="00800B54">
        <w:rPr>
          <w:sz w:val="20"/>
          <w:szCs w:val="20"/>
        </w:rPr>
        <w:t xml:space="preserve"> (</w:t>
      </w:r>
      <w:proofErr w:type="spellStart"/>
      <w:r w:rsidRPr="00800B54">
        <w:rPr>
          <w:sz w:val="20"/>
          <w:szCs w:val="20"/>
        </w:rPr>
        <w:t>GPx</w:t>
      </w:r>
      <w:proofErr w:type="spellEnd"/>
      <w:r w:rsidRPr="00800B54">
        <w:rPr>
          <w:sz w:val="20"/>
          <w:szCs w:val="20"/>
        </w:rPr>
        <w:t xml:space="preserve">), Superoxide dismutase (SOD) and </w:t>
      </w:r>
      <w:proofErr w:type="spellStart"/>
      <w:r w:rsidRPr="00800B54">
        <w:rPr>
          <w:sz w:val="20"/>
          <w:szCs w:val="20"/>
        </w:rPr>
        <w:t>catalase</w:t>
      </w:r>
      <w:proofErr w:type="spellEnd"/>
      <w:r w:rsidRPr="00800B54">
        <w:rPr>
          <w:sz w:val="20"/>
          <w:szCs w:val="20"/>
        </w:rPr>
        <w:t xml:space="preserve"> (CAT) were measured in erythrocytes calorimetrically according to methods of </w:t>
      </w:r>
      <w:proofErr w:type="spellStart"/>
      <w:r w:rsidRPr="00800B54">
        <w:rPr>
          <w:b/>
          <w:bCs/>
          <w:sz w:val="20"/>
          <w:szCs w:val="20"/>
        </w:rPr>
        <w:t>Rotruck</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(1973)</w:t>
      </w:r>
      <w:r w:rsidRPr="00800B54">
        <w:rPr>
          <w:sz w:val="20"/>
          <w:szCs w:val="20"/>
        </w:rPr>
        <w:t xml:space="preserve">; </w:t>
      </w:r>
      <w:proofErr w:type="spellStart"/>
      <w:r w:rsidRPr="00800B54">
        <w:rPr>
          <w:b/>
          <w:bCs/>
          <w:sz w:val="20"/>
          <w:szCs w:val="20"/>
        </w:rPr>
        <w:t>Nishikimi</w:t>
      </w:r>
      <w:proofErr w:type="spellEnd"/>
      <w:r w:rsidRPr="00800B54">
        <w:rPr>
          <w:b/>
          <w:bCs/>
          <w:sz w:val="20"/>
          <w:szCs w:val="20"/>
        </w:rPr>
        <w:t xml:space="preserve"> </w:t>
      </w:r>
      <w:r w:rsidRPr="00800B54">
        <w:rPr>
          <w:b/>
          <w:bCs/>
          <w:i/>
          <w:iCs/>
          <w:sz w:val="20"/>
          <w:szCs w:val="20"/>
        </w:rPr>
        <w:t>et al</w:t>
      </w:r>
      <w:r w:rsidRPr="00800B54">
        <w:rPr>
          <w:b/>
          <w:bCs/>
          <w:sz w:val="20"/>
          <w:szCs w:val="20"/>
        </w:rPr>
        <w:t>. (1972)</w:t>
      </w:r>
      <w:r w:rsidRPr="00800B54">
        <w:rPr>
          <w:sz w:val="20"/>
          <w:szCs w:val="20"/>
        </w:rPr>
        <w:t xml:space="preserve"> and </w:t>
      </w:r>
      <w:proofErr w:type="spellStart"/>
      <w:r w:rsidRPr="00800B54">
        <w:rPr>
          <w:b/>
          <w:bCs/>
          <w:sz w:val="20"/>
          <w:szCs w:val="20"/>
        </w:rPr>
        <w:t>Aebi</w:t>
      </w:r>
      <w:proofErr w:type="spellEnd"/>
      <w:r w:rsidRPr="00800B54">
        <w:rPr>
          <w:b/>
          <w:bCs/>
          <w:sz w:val="20"/>
          <w:szCs w:val="20"/>
        </w:rPr>
        <w:t>,</w:t>
      </w:r>
      <w:r w:rsidRPr="00800B54">
        <w:rPr>
          <w:sz w:val="20"/>
          <w:szCs w:val="20"/>
        </w:rPr>
        <w:t xml:space="preserve"> </w:t>
      </w:r>
      <w:r w:rsidRPr="00800B54">
        <w:rPr>
          <w:b/>
          <w:bCs/>
          <w:sz w:val="20"/>
          <w:szCs w:val="20"/>
        </w:rPr>
        <w:t>(1984)</w:t>
      </w:r>
      <w:r w:rsidRPr="00800B54">
        <w:rPr>
          <w:sz w:val="20"/>
          <w:szCs w:val="20"/>
        </w:rPr>
        <w:t xml:space="preserve">, respectively. Serum total cholesterol (TC), high-density lipoprotein cholesterol (HDL-C), low-density lipoprotein cholesterol (LDL-C), Triglyceride (TG) contents were determined according to the methods of </w:t>
      </w:r>
      <w:proofErr w:type="spellStart"/>
      <w:r w:rsidRPr="00800B54">
        <w:rPr>
          <w:b/>
          <w:bCs/>
          <w:sz w:val="20"/>
          <w:szCs w:val="20"/>
        </w:rPr>
        <w:t>Röschlau</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(1974)</w:t>
      </w:r>
      <w:r w:rsidRPr="00800B54">
        <w:rPr>
          <w:sz w:val="20"/>
          <w:szCs w:val="20"/>
        </w:rPr>
        <w:t xml:space="preserve">, </w:t>
      </w:r>
      <w:proofErr w:type="spellStart"/>
      <w:r w:rsidRPr="00800B54">
        <w:rPr>
          <w:b/>
          <w:bCs/>
          <w:sz w:val="20"/>
          <w:szCs w:val="20"/>
        </w:rPr>
        <w:t>Assmann</w:t>
      </w:r>
      <w:proofErr w:type="spellEnd"/>
      <w:r w:rsidRPr="00800B54">
        <w:rPr>
          <w:b/>
          <w:bCs/>
          <w:sz w:val="20"/>
          <w:szCs w:val="20"/>
        </w:rPr>
        <w:t xml:space="preserve"> (1979)</w:t>
      </w:r>
      <w:r w:rsidRPr="00800B54">
        <w:rPr>
          <w:sz w:val="20"/>
          <w:szCs w:val="20"/>
        </w:rPr>
        <w:t xml:space="preserve"> and </w:t>
      </w:r>
      <w:proofErr w:type="spellStart"/>
      <w:r w:rsidRPr="00800B54">
        <w:rPr>
          <w:b/>
          <w:bCs/>
          <w:sz w:val="20"/>
          <w:szCs w:val="20"/>
        </w:rPr>
        <w:t>Uwajima</w:t>
      </w:r>
      <w:proofErr w:type="spellEnd"/>
      <w:r w:rsidRPr="00800B54">
        <w:rPr>
          <w:b/>
          <w:bCs/>
          <w:sz w:val="20"/>
          <w:szCs w:val="20"/>
        </w:rPr>
        <w:t xml:space="preserve"> </w:t>
      </w:r>
      <w:r w:rsidRPr="00800B54">
        <w:rPr>
          <w:b/>
          <w:bCs/>
          <w:i/>
          <w:iCs/>
          <w:sz w:val="20"/>
          <w:szCs w:val="20"/>
        </w:rPr>
        <w:t>et al</w:t>
      </w:r>
      <w:r w:rsidRPr="00800B54">
        <w:rPr>
          <w:b/>
          <w:bCs/>
          <w:sz w:val="20"/>
          <w:szCs w:val="20"/>
        </w:rPr>
        <w:t>. (1984)</w:t>
      </w:r>
      <w:r w:rsidRPr="00800B54">
        <w:rPr>
          <w:sz w:val="20"/>
          <w:szCs w:val="20"/>
        </w:rPr>
        <w:t>, respectively.</w:t>
      </w:r>
    </w:p>
    <w:p w:rsidR="00EF7B17" w:rsidRPr="00800B54" w:rsidRDefault="00EF7B17" w:rsidP="00545042">
      <w:pPr>
        <w:jc w:val="both"/>
        <w:rPr>
          <w:b/>
          <w:bCs/>
          <w:sz w:val="20"/>
          <w:szCs w:val="20"/>
        </w:rPr>
      </w:pPr>
      <w:r w:rsidRPr="00800B54">
        <w:rPr>
          <w:b/>
          <w:bCs/>
          <w:sz w:val="20"/>
          <w:szCs w:val="20"/>
        </w:rPr>
        <w:t>Cooking processes</w:t>
      </w:r>
    </w:p>
    <w:p w:rsidR="00EF7B17" w:rsidRPr="00800B54" w:rsidRDefault="00EF7B17" w:rsidP="00545042">
      <w:pPr>
        <w:ind w:firstLine="425"/>
        <w:jc w:val="both"/>
        <w:rPr>
          <w:sz w:val="20"/>
          <w:szCs w:val="20"/>
        </w:rPr>
      </w:pPr>
      <w:r w:rsidRPr="00800B54">
        <w:rPr>
          <w:sz w:val="20"/>
          <w:szCs w:val="20"/>
        </w:rPr>
        <w:t xml:space="preserve">Breast samples were cooked using three different methods, </w:t>
      </w:r>
      <w:proofErr w:type="gramStart"/>
      <w:r w:rsidRPr="00800B54">
        <w:rPr>
          <w:sz w:val="20"/>
          <w:szCs w:val="20"/>
        </w:rPr>
        <w:t>( boiling</w:t>
      </w:r>
      <w:proofErr w:type="gramEnd"/>
      <w:r w:rsidRPr="00800B54">
        <w:rPr>
          <w:sz w:val="20"/>
          <w:szCs w:val="20"/>
        </w:rPr>
        <w:t xml:space="preserve"> only, frying after boiling and grill)</w:t>
      </w:r>
    </w:p>
    <w:p w:rsidR="00EF7B17" w:rsidRPr="00800B54" w:rsidRDefault="00EF7B17" w:rsidP="00545042">
      <w:pPr>
        <w:jc w:val="both"/>
        <w:rPr>
          <w:sz w:val="20"/>
          <w:szCs w:val="20"/>
        </w:rPr>
      </w:pPr>
      <w:r w:rsidRPr="00800B54">
        <w:rPr>
          <w:b/>
          <w:bCs/>
          <w:sz w:val="20"/>
          <w:szCs w:val="20"/>
        </w:rPr>
        <w:t xml:space="preserve">Boiling: </w:t>
      </w:r>
      <w:r w:rsidRPr="00800B54">
        <w:rPr>
          <w:sz w:val="20"/>
          <w:szCs w:val="20"/>
        </w:rPr>
        <w:t xml:space="preserve">Place samples in a pan with </w:t>
      </w:r>
      <w:proofErr w:type="gramStart"/>
      <w:r w:rsidRPr="00800B54">
        <w:rPr>
          <w:sz w:val="20"/>
          <w:szCs w:val="20"/>
        </w:rPr>
        <w:t>a</w:t>
      </w:r>
      <w:proofErr w:type="gramEnd"/>
      <w:r w:rsidRPr="00800B54">
        <w:rPr>
          <w:sz w:val="20"/>
          <w:szCs w:val="20"/>
        </w:rPr>
        <w:t xml:space="preserve"> enough water to cover the meat. Bring the water to boil and then reduce the heat to a gentle simmer. Cover with a lid and cook under tender for 30 min.</w:t>
      </w:r>
    </w:p>
    <w:p w:rsidR="00EF7B17" w:rsidRPr="00800B54" w:rsidRDefault="00EF7B17" w:rsidP="00545042">
      <w:pPr>
        <w:jc w:val="both"/>
        <w:rPr>
          <w:sz w:val="20"/>
          <w:szCs w:val="20"/>
        </w:rPr>
      </w:pPr>
      <w:proofErr w:type="gramStart"/>
      <w:r w:rsidRPr="00800B54">
        <w:rPr>
          <w:b/>
          <w:bCs/>
          <w:sz w:val="20"/>
          <w:szCs w:val="20"/>
        </w:rPr>
        <w:t>Frying after boiling:</w:t>
      </w:r>
      <w:r w:rsidRPr="00800B54">
        <w:rPr>
          <w:sz w:val="20"/>
          <w:szCs w:val="20"/>
        </w:rPr>
        <w:t xml:space="preserve"> Samples were boiled with the previous method then were deep-fried in vegetable oil </w:t>
      </w:r>
      <w:r w:rsidRPr="00800B54">
        <w:rPr>
          <w:sz w:val="20"/>
          <w:szCs w:val="20"/>
        </w:rPr>
        <w:lastRenderedPageBreak/>
        <w:t>at a temperature of 190°C for 5-7 min., until the meat is tender and crisp on the outside.</w:t>
      </w:r>
      <w:proofErr w:type="gramEnd"/>
    </w:p>
    <w:p w:rsidR="00EF7B17" w:rsidRPr="00800B54" w:rsidRDefault="00EF7B17" w:rsidP="00545042">
      <w:pPr>
        <w:jc w:val="both"/>
        <w:rPr>
          <w:sz w:val="20"/>
          <w:szCs w:val="20"/>
        </w:rPr>
      </w:pPr>
      <w:r w:rsidRPr="00800B54">
        <w:rPr>
          <w:b/>
          <w:bCs/>
          <w:sz w:val="20"/>
          <w:szCs w:val="20"/>
        </w:rPr>
        <w:t>Grill:</w:t>
      </w:r>
      <w:r w:rsidRPr="00800B54">
        <w:rPr>
          <w:sz w:val="20"/>
          <w:szCs w:val="20"/>
        </w:rPr>
        <w:t xml:space="preserve"> Samples were grilled in conventional electric oven at 200 °C for 25 min.</w:t>
      </w:r>
    </w:p>
    <w:p w:rsidR="00EF7B17" w:rsidRPr="00800B54" w:rsidRDefault="00EF7B17" w:rsidP="00545042">
      <w:pPr>
        <w:ind w:firstLine="425"/>
        <w:jc w:val="both"/>
        <w:rPr>
          <w:sz w:val="20"/>
          <w:szCs w:val="20"/>
        </w:rPr>
      </w:pPr>
      <w:r w:rsidRPr="00800B54">
        <w:rPr>
          <w:sz w:val="20"/>
          <w:szCs w:val="20"/>
        </w:rPr>
        <w:t xml:space="preserve">The percentage of cooking losses (CL %) of cooked chicken samples </w:t>
      </w:r>
      <w:proofErr w:type="gramStart"/>
      <w:r w:rsidRPr="00800B54">
        <w:rPr>
          <w:sz w:val="20"/>
          <w:szCs w:val="20"/>
        </w:rPr>
        <w:t>were</w:t>
      </w:r>
      <w:proofErr w:type="gramEnd"/>
      <w:r w:rsidRPr="00800B54">
        <w:rPr>
          <w:sz w:val="20"/>
          <w:szCs w:val="20"/>
        </w:rPr>
        <w:t xml:space="preserve"> determined according to </w:t>
      </w:r>
      <w:r w:rsidRPr="00800B54">
        <w:rPr>
          <w:b/>
          <w:bCs/>
          <w:sz w:val="20"/>
          <w:szCs w:val="20"/>
        </w:rPr>
        <w:t>(</w:t>
      </w:r>
      <w:proofErr w:type="spellStart"/>
      <w:r w:rsidRPr="00800B54">
        <w:rPr>
          <w:b/>
          <w:bCs/>
          <w:sz w:val="20"/>
          <w:szCs w:val="20"/>
        </w:rPr>
        <w:t>Kouba</w:t>
      </w:r>
      <w:proofErr w:type="spellEnd"/>
      <w:r w:rsidRPr="00800B54">
        <w:rPr>
          <w:b/>
          <w:bCs/>
          <w:sz w:val="20"/>
          <w:szCs w:val="20"/>
        </w:rPr>
        <w:t>, 2003)</w:t>
      </w:r>
      <w:r w:rsidRPr="00800B54">
        <w:rPr>
          <w:sz w:val="20"/>
          <w:szCs w:val="20"/>
        </w:rPr>
        <w:t>. The raw samples were weighed before different cooking methods. After these procedures samples were cooled at room temperature and weighed again. The percentage of cooking losses (CL %</w:t>
      </w:r>
      <w:proofErr w:type="gramStart"/>
      <w:r w:rsidRPr="00800B54">
        <w:rPr>
          <w:sz w:val="20"/>
          <w:szCs w:val="20"/>
        </w:rPr>
        <w:t>)  were</w:t>
      </w:r>
      <w:proofErr w:type="gramEnd"/>
      <w:r w:rsidRPr="00800B54">
        <w:rPr>
          <w:sz w:val="20"/>
          <w:szCs w:val="20"/>
        </w:rPr>
        <w:t xml:space="preserve"> calculated as the following:-</w:t>
      </w:r>
    </w:p>
    <w:p w:rsidR="00EF7B17" w:rsidRPr="00800B54" w:rsidRDefault="00EF7B17" w:rsidP="00545042">
      <w:pPr>
        <w:ind w:firstLine="425"/>
        <w:jc w:val="both"/>
        <w:rPr>
          <w:sz w:val="20"/>
          <w:szCs w:val="20"/>
        </w:rPr>
      </w:pPr>
      <w:r w:rsidRPr="00800B54">
        <w:rPr>
          <w:sz w:val="20"/>
          <w:szCs w:val="20"/>
        </w:rPr>
        <w:t>Cooking loss % = [(raw weight - cooked weight) / raw weight</w:t>
      </w:r>
      <w:proofErr w:type="gramStart"/>
      <w:r w:rsidRPr="00800B54">
        <w:rPr>
          <w:sz w:val="20"/>
          <w:szCs w:val="20"/>
        </w:rPr>
        <w:t>]  x</w:t>
      </w:r>
      <w:proofErr w:type="gramEnd"/>
      <w:r w:rsidRPr="00800B54">
        <w:rPr>
          <w:sz w:val="20"/>
          <w:szCs w:val="20"/>
        </w:rPr>
        <w:t xml:space="preserve"> 100</w:t>
      </w:r>
    </w:p>
    <w:p w:rsidR="00EF7B17" w:rsidRPr="00800B54" w:rsidRDefault="00EF7B17" w:rsidP="00545042">
      <w:pPr>
        <w:ind w:firstLine="425"/>
        <w:jc w:val="both"/>
        <w:rPr>
          <w:b/>
          <w:bCs/>
          <w:sz w:val="20"/>
          <w:szCs w:val="20"/>
        </w:rPr>
      </w:pPr>
      <w:r w:rsidRPr="00800B54">
        <w:rPr>
          <w:sz w:val="20"/>
          <w:szCs w:val="20"/>
        </w:rPr>
        <w:t xml:space="preserve">The selenium </w:t>
      </w:r>
      <w:proofErr w:type="gramStart"/>
      <w:r w:rsidRPr="00800B54">
        <w:rPr>
          <w:sz w:val="20"/>
          <w:szCs w:val="20"/>
        </w:rPr>
        <w:t>content  in</w:t>
      </w:r>
      <w:proofErr w:type="gramEnd"/>
      <w:r w:rsidRPr="00800B54">
        <w:rPr>
          <w:sz w:val="20"/>
          <w:szCs w:val="20"/>
        </w:rPr>
        <w:t xml:space="preserve"> raw and cooked samples was analyzed by Inductive coupled plasma (ICP) atomic absorption spectrometry. Model ICP optima 2000 DV (</w:t>
      </w:r>
      <w:proofErr w:type="spellStart"/>
      <w:proofErr w:type="gramStart"/>
      <w:r w:rsidRPr="00800B54">
        <w:rPr>
          <w:sz w:val="20"/>
          <w:szCs w:val="20"/>
        </w:rPr>
        <w:t>perkin</w:t>
      </w:r>
      <w:proofErr w:type="spellEnd"/>
      <w:proofErr w:type="gramEnd"/>
      <w:r w:rsidRPr="00800B54">
        <w:rPr>
          <w:sz w:val="20"/>
          <w:szCs w:val="20"/>
        </w:rPr>
        <w:t xml:space="preserve"> Elmer) according to the method described by</w:t>
      </w:r>
      <w:r w:rsidRPr="00800B54">
        <w:rPr>
          <w:b/>
          <w:bCs/>
          <w:sz w:val="20"/>
          <w:szCs w:val="20"/>
        </w:rPr>
        <w:t xml:space="preserve"> Cantor and </w:t>
      </w:r>
      <w:proofErr w:type="spellStart"/>
      <w:r w:rsidRPr="00800B54">
        <w:rPr>
          <w:b/>
          <w:bCs/>
          <w:sz w:val="20"/>
          <w:szCs w:val="20"/>
        </w:rPr>
        <w:t>Tarino</w:t>
      </w:r>
      <w:proofErr w:type="spellEnd"/>
      <w:r w:rsidRPr="00800B54">
        <w:rPr>
          <w:b/>
          <w:bCs/>
          <w:sz w:val="20"/>
          <w:szCs w:val="20"/>
        </w:rPr>
        <w:t xml:space="preserve"> (1982).</w:t>
      </w:r>
    </w:p>
    <w:p w:rsidR="00EF7B17" w:rsidRPr="00800B54" w:rsidRDefault="00EF7B17" w:rsidP="00545042">
      <w:pPr>
        <w:autoSpaceDE w:val="0"/>
        <w:autoSpaceDN w:val="0"/>
        <w:adjustRightInd w:val="0"/>
        <w:jc w:val="both"/>
        <w:rPr>
          <w:b/>
          <w:bCs/>
          <w:sz w:val="20"/>
          <w:szCs w:val="20"/>
        </w:rPr>
      </w:pPr>
      <w:r w:rsidRPr="00800B54">
        <w:rPr>
          <w:b/>
          <w:bCs/>
          <w:sz w:val="20"/>
          <w:szCs w:val="20"/>
        </w:rPr>
        <w:t>Sensory evaluation</w:t>
      </w:r>
    </w:p>
    <w:p w:rsidR="00EF7B17" w:rsidRPr="00800B54" w:rsidRDefault="00EF7B17" w:rsidP="00545042">
      <w:pPr>
        <w:autoSpaceDE w:val="0"/>
        <w:autoSpaceDN w:val="0"/>
        <w:adjustRightInd w:val="0"/>
        <w:ind w:firstLine="425"/>
        <w:jc w:val="both"/>
        <w:rPr>
          <w:b/>
          <w:bCs/>
          <w:sz w:val="20"/>
          <w:szCs w:val="20"/>
        </w:rPr>
      </w:pPr>
      <w:r w:rsidRPr="00800B54">
        <w:rPr>
          <w:sz w:val="20"/>
          <w:szCs w:val="20"/>
        </w:rPr>
        <w:t>The sensory evaluation for both raw and cooked with different processes breast samples was carried out for different attributes like color, odor, flavor, tenderness and overall acceptability using 5-</w:t>
      </w:r>
      <w:r w:rsidRPr="00800B54">
        <w:rPr>
          <w:spacing w:val="-5"/>
          <w:sz w:val="20"/>
          <w:szCs w:val="20"/>
        </w:rPr>
        <w:t>p</w:t>
      </w:r>
      <w:r w:rsidRPr="00800B54">
        <w:rPr>
          <w:spacing w:val="1"/>
          <w:sz w:val="20"/>
          <w:szCs w:val="20"/>
        </w:rPr>
        <w:t>o</w:t>
      </w:r>
      <w:r w:rsidRPr="00800B54">
        <w:rPr>
          <w:sz w:val="20"/>
          <w:szCs w:val="20"/>
        </w:rPr>
        <w:t>int</w:t>
      </w:r>
      <w:r w:rsidRPr="00800B54">
        <w:rPr>
          <w:spacing w:val="8"/>
          <w:sz w:val="20"/>
          <w:szCs w:val="20"/>
        </w:rPr>
        <w:t xml:space="preserve"> </w:t>
      </w:r>
      <w:r w:rsidRPr="00800B54">
        <w:rPr>
          <w:sz w:val="20"/>
          <w:szCs w:val="20"/>
        </w:rPr>
        <w:t>s</w:t>
      </w:r>
      <w:r w:rsidRPr="00800B54">
        <w:rPr>
          <w:spacing w:val="-6"/>
          <w:sz w:val="20"/>
          <w:szCs w:val="20"/>
        </w:rPr>
        <w:t>c</w:t>
      </w:r>
      <w:r w:rsidRPr="00800B54">
        <w:rPr>
          <w:spacing w:val="-7"/>
          <w:sz w:val="20"/>
          <w:szCs w:val="20"/>
        </w:rPr>
        <w:t>a</w:t>
      </w:r>
      <w:r w:rsidRPr="00800B54">
        <w:rPr>
          <w:spacing w:val="-3"/>
          <w:sz w:val="20"/>
          <w:szCs w:val="20"/>
        </w:rPr>
        <w:t>l</w:t>
      </w:r>
      <w:r w:rsidRPr="00800B54">
        <w:rPr>
          <w:sz w:val="20"/>
          <w:szCs w:val="20"/>
        </w:rPr>
        <w:t>e</w:t>
      </w:r>
      <w:r w:rsidRPr="00800B54">
        <w:rPr>
          <w:w w:val="97"/>
          <w:sz w:val="20"/>
          <w:szCs w:val="20"/>
        </w:rPr>
        <w:t xml:space="preserve"> </w:t>
      </w:r>
      <w:r w:rsidRPr="00800B54">
        <w:rPr>
          <w:sz w:val="20"/>
          <w:szCs w:val="20"/>
        </w:rPr>
        <w:t xml:space="preserve">according to </w:t>
      </w:r>
      <w:proofErr w:type="spellStart"/>
      <w:r w:rsidRPr="00800B54">
        <w:rPr>
          <w:b/>
          <w:bCs/>
          <w:sz w:val="20"/>
          <w:szCs w:val="20"/>
        </w:rPr>
        <w:t>Meilgaard</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(2007).</w:t>
      </w:r>
    </w:p>
    <w:p w:rsidR="00EF7B17" w:rsidRPr="00800B54" w:rsidRDefault="00EF7B17" w:rsidP="00545042">
      <w:pPr>
        <w:jc w:val="both"/>
        <w:rPr>
          <w:b/>
          <w:bCs/>
          <w:sz w:val="20"/>
          <w:szCs w:val="20"/>
        </w:rPr>
      </w:pPr>
      <w:r w:rsidRPr="00800B54">
        <w:rPr>
          <w:b/>
          <w:bCs/>
          <w:sz w:val="20"/>
          <w:szCs w:val="20"/>
        </w:rPr>
        <w:t>Statistical analysis</w:t>
      </w:r>
    </w:p>
    <w:p w:rsidR="00EF7B17" w:rsidRPr="00800B54" w:rsidRDefault="00EF7B17" w:rsidP="00545042">
      <w:pPr>
        <w:ind w:firstLine="425"/>
        <w:jc w:val="both"/>
        <w:rPr>
          <w:sz w:val="20"/>
          <w:szCs w:val="20"/>
        </w:rPr>
      </w:pPr>
      <w:r w:rsidRPr="00800B54">
        <w:rPr>
          <w:sz w:val="20"/>
          <w:szCs w:val="20"/>
        </w:rPr>
        <w:t xml:space="preserve">Data was statistically analyzed by using one-way analysis of variance (ANOVA). For determining differences between treatments, the Duncan test was used. All </w:t>
      </w:r>
      <w:r w:rsidRPr="00800B54">
        <w:rPr>
          <w:i/>
          <w:iCs/>
          <w:sz w:val="20"/>
          <w:szCs w:val="20"/>
        </w:rPr>
        <w:t>p</w:t>
      </w:r>
      <w:r w:rsidRPr="00800B54">
        <w:rPr>
          <w:sz w:val="20"/>
          <w:szCs w:val="20"/>
        </w:rPr>
        <w:t xml:space="preserve"> values of ≤ 0.05 were considered to be significant </w:t>
      </w:r>
      <w:r w:rsidRPr="00800B54">
        <w:rPr>
          <w:b/>
          <w:bCs/>
          <w:sz w:val="20"/>
          <w:szCs w:val="20"/>
        </w:rPr>
        <w:t>(</w:t>
      </w:r>
      <w:proofErr w:type="spellStart"/>
      <w:r w:rsidRPr="00800B54">
        <w:rPr>
          <w:b/>
          <w:bCs/>
          <w:sz w:val="20"/>
          <w:szCs w:val="20"/>
        </w:rPr>
        <w:t>Bouveresse</w:t>
      </w:r>
      <w:proofErr w:type="spellEnd"/>
      <w:r w:rsidRPr="00800B54">
        <w:rPr>
          <w:b/>
          <w:bCs/>
          <w:sz w:val="20"/>
          <w:szCs w:val="20"/>
        </w:rPr>
        <w:t xml:space="preserve"> </w:t>
      </w:r>
      <w:r w:rsidRPr="00800B54">
        <w:rPr>
          <w:b/>
          <w:bCs/>
          <w:i/>
          <w:iCs/>
          <w:sz w:val="20"/>
          <w:szCs w:val="20"/>
        </w:rPr>
        <w:t>et al</w:t>
      </w:r>
      <w:r w:rsidRPr="00800B54">
        <w:rPr>
          <w:b/>
          <w:bCs/>
          <w:sz w:val="20"/>
          <w:szCs w:val="20"/>
        </w:rPr>
        <w:t>., 2011)</w:t>
      </w:r>
      <w:r w:rsidRPr="00800B54">
        <w:rPr>
          <w:sz w:val="20"/>
          <w:szCs w:val="20"/>
        </w:rPr>
        <w:t>.</w:t>
      </w:r>
    </w:p>
    <w:p w:rsidR="00EF7B17" w:rsidRPr="00800B54" w:rsidRDefault="00EF7B17" w:rsidP="00545042">
      <w:pPr>
        <w:ind w:firstLine="425"/>
        <w:jc w:val="both"/>
        <w:rPr>
          <w:b/>
          <w:bCs/>
          <w:sz w:val="20"/>
          <w:szCs w:val="20"/>
        </w:rPr>
      </w:pPr>
    </w:p>
    <w:p w:rsidR="00EF7B17" w:rsidRPr="00800B54" w:rsidRDefault="00EF7B17" w:rsidP="00545042">
      <w:pPr>
        <w:jc w:val="both"/>
        <w:rPr>
          <w:b/>
          <w:bCs/>
          <w:sz w:val="20"/>
          <w:szCs w:val="20"/>
        </w:rPr>
      </w:pPr>
      <w:r w:rsidRPr="00800B54">
        <w:rPr>
          <w:b/>
          <w:bCs/>
          <w:sz w:val="20"/>
          <w:szCs w:val="20"/>
        </w:rPr>
        <w:t>3. Results</w:t>
      </w:r>
    </w:p>
    <w:p w:rsidR="00EF7B17" w:rsidRPr="00800B54" w:rsidRDefault="00EF7B17" w:rsidP="00545042">
      <w:pPr>
        <w:ind w:firstLine="425"/>
        <w:jc w:val="both"/>
        <w:rPr>
          <w:sz w:val="20"/>
          <w:szCs w:val="20"/>
        </w:rPr>
      </w:pPr>
      <w:r w:rsidRPr="00800B54">
        <w:rPr>
          <w:sz w:val="20"/>
          <w:szCs w:val="20"/>
        </w:rPr>
        <w:t>As can be seen from Table (2) the concentration of selenium (Se) in raw breast muscles was increased along with increasing the supplementation levels of organic Se in chickens diet. It could be noticed that there were significant differences between all treatments. Selenium content in raw breast muscles of control treatment (T1) which was 0.2 mg organic Se /Kg diet was significantly lower than other treatments. The highest value of Se content was in treatment 5 (0.48 mg/kg). This value was nearly fourfold higher than control treatment.</w:t>
      </w:r>
    </w:p>
    <w:p w:rsidR="00EF7B17" w:rsidRPr="00800B54" w:rsidRDefault="00EF7B17" w:rsidP="00545042">
      <w:pPr>
        <w:ind w:firstLine="425"/>
        <w:jc w:val="both"/>
        <w:rPr>
          <w:sz w:val="20"/>
          <w:szCs w:val="20"/>
        </w:rPr>
      </w:pPr>
      <w:r w:rsidRPr="00800B54">
        <w:rPr>
          <w:sz w:val="20"/>
          <w:szCs w:val="20"/>
        </w:rPr>
        <w:t xml:space="preserve">Data in Table (2) also show the content of Se in breast muscles after some cooking processes (boiling, frying after boiling and grill). It was clear that the amount of Se in cooked breast muscles was increased due to cooking processes comparing with raw samples except in case of boiling process the amount of it was decreased as a result of cooking. Based on analysis of data given in Table (2), it was established that there were significant differences between raw and boiled samples in all treatments except T1 (0.11 mg/kg) and T4 (0.35 mg/kg). Concerning to samples cooked by frying after boiling, there were no significant differences between raw and cooked samples in all </w:t>
      </w:r>
      <w:r w:rsidRPr="00800B54">
        <w:rPr>
          <w:sz w:val="20"/>
          <w:szCs w:val="20"/>
        </w:rPr>
        <w:lastRenderedPageBreak/>
        <w:t>treatments. On the other hand, in grill process there were significant changes due to cooking between raw and grilled samples except T4 (0.43 mg/kg) and T5 (0.52 mg/kg). In general, the highest values of Se after the different cooking processes were observed in grill process.</w:t>
      </w:r>
    </w:p>
    <w:p w:rsidR="00EF7B17" w:rsidRPr="00800B54" w:rsidRDefault="00EF7B17" w:rsidP="00545042">
      <w:pPr>
        <w:ind w:firstLine="425"/>
        <w:jc w:val="both"/>
        <w:rPr>
          <w:sz w:val="20"/>
          <w:szCs w:val="20"/>
        </w:rPr>
      </w:pPr>
      <w:r w:rsidRPr="00800B54">
        <w:rPr>
          <w:sz w:val="20"/>
          <w:szCs w:val="20"/>
        </w:rPr>
        <w:t xml:space="preserve">Effect of different supplementation levels of organic selenium in </w:t>
      </w:r>
      <w:proofErr w:type="gramStart"/>
      <w:r w:rsidRPr="00800B54">
        <w:rPr>
          <w:sz w:val="20"/>
          <w:szCs w:val="20"/>
        </w:rPr>
        <w:t>chickens</w:t>
      </w:r>
      <w:proofErr w:type="gramEnd"/>
      <w:r w:rsidRPr="00800B54">
        <w:rPr>
          <w:sz w:val="20"/>
          <w:szCs w:val="20"/>
        </w:rPr>
        <w:t xml:space="preserve"> diet on cooking losses percentage (CL %) in cooked samples is presented in Table (3). It was observed that there were no significant differences in CL% accompanied by increasing organic Se in </w:t>
      </w:r>
      <w:proofErr w:type="gramStart"/>
      <w:r w:rsidRPr="00800B54">
        <w:rPr>
          <w:sz w:val="20"/>
          <w:szCs w:val="20"/>
        </w:rPr>
        <w:t>chickens</w:t>
      </w:r>
      <w:proofErr w:type="gramEnd"/>
      <w:r w:rsidRPr="00800B54">
        <w:rPr>
          <w:sz w:val="20"/>
          <w:szCs w:val="20"/>
        </w:rPr>
        <w:t xml:space="preserve"> diet between T1 and other treatments in boiled and fried after boiling samples. In contrast, in case of grilled ones slightly significant differences were </w:t>
      </w:r>
      <w:proofErr w:type="gramStart"/>
      <w:r w:rsidRPr="00800B54">
        <w:rPr>
          <w:sz w:val="20"/>
          <w:szCs w:val="20"/>
        </w:rPr>
        <w:t>occurred  in</w:t>
      </w:r>
      <w:proofErr w:type="gramEnd"/>
      <w:r w:rsidRPr="00800B54">
        <w:rPr>
          <w:sz w:val="20"/>
          <w:szCs w:val="20"/>
        </w:rPr>
        <w:t xml:space="preserve"> (T4) and (T5) comparing with (T1).</w:t>
      </w:r>
    </w:p>
    <w:p w:rsidR="00EF7B17" w:rsidRPr="00800B54" w:rsidRDefault="00EF7B17" w:rsidP="00545042">
      <w:pPr>
        <w:ind w:firstLine="425"/>
        <w:jc w:val="both"/>
        <w:rPr>
          <w:sz w:val="20"/>
          <w:szCs w:val="20"/>
        </w:rPr>
      </w:pPr>
      <w:r w:rsidRPr="00800B54">
        <w:rPr>
          <w:sz w:val="20"/>
          <w:szCs w:val="20"/>
        </w:rPr>
        <w:t xml:space="preserve">The data tabulated in Table (4) illustrated the effect of different levels of organic selenium on </w:t>
      </w:r>
      <w:proofErr w:type="spellStart"/>
      <w:r w:rsidRPr="00800B54">
        <w:rPr>
          <w:sz w:val="20"/>
          <w:szCs w:val="20"/>
        </w:rPr>
        <w:t>antioxidative</w:t>
      </w:r>
      <w:proofErr w:type="spellEnd"/>
      <w:r w:rsidRPr="00800B54">
        <w:rPr>
          <w:sz w:val="20"/>
          <w:szCs w:val="20"/>
        </w:rPr>
        <w:t xml:space="preserve"> property in broilers. It could be noticed that supplementation broilers diet with organic Se resulted in increasing the activities of glutathione </w:t>
      </w:r>
      <w:proofErr w:type="spellStart"/>
      <w:r w:rsidRPr="00800B54">
        <w:rPr>
          <w:sz w:val="20"/>
          <w:szCs w:val="20"/>
        </w:rPr>
        <w:t>peroxidase</w:t>
      </w:r>
      <w:proofErr w:type="spellEnd"/>
      <w:r w:rsidRPr="00800B54">
        <w:rPr>
          <w:sz w:val="20"/>
          <w:szCs w:val="20"/>
        </w:rPr>
        <w:t xml:space="preserve"> (</w:t>
      </w:r>
      <w:proofErr w:type="spellStart"/>
      <w:r w:rsidRPr="00800B54">
        <w:rPr>
          <w:sz w:val="20"/>
          <w:szCs w:val="20"/>
        </w:rPr>
        <w:t>GPx</w:t>
      </w:r>
      <w:proofErr w:type="spellEnd"/>
      <w:r w:rsidRPr="00800B54">
        <w:rPr>
          <w:sz w:val="20"/>
          <w:szCs w:val="20"/>
        </w:rPr>
        <w:t xml:space="preserve">), superoxide dismutase (SOD) and </w:t>
      </w:r>
      <w:proofErr w:type="spellStart"/>
      <w:r w:rsidRPr="00800B54">
        <w:rPr>
          <w:sz w:val="20"/>
          <w:szCs w:val="20"/>
        </w:rPr>
        <w:t>catalase</w:t>
      </w:r>
      <w:proofErr w:type="spellEnd"/>
      <w:r w:rsidRPr="00800B54">
        <w:rPr>
          <w:sz w:val="20"/>
          <w:szCs w:val="20"/>
        </w:rPr>
        <w:t xml:space="preserve"> (CAT) comparing with control treatment (T1). Referring to </w:t>
      </w:r>
      <w:proofErr w:type="spellStart"/>
      <w:r w:rsidRPr="00800B54">
        <w:rPr>
          <w:sz w:val="20"/>
          <w:szCs w:val="20"/>
        </w:rPr>
        <w:t>GPx</w:t>
      </w:r>
      <w:proofErr w:type="spellEnd"/>
      <w:r w:rsidRPr="00800B54">
        <w:rPr>
          <w:sz w:val="20"/>
          <w:szCs w:val="20"/>
        </w:rPr>
        <w:t xml:space="preserve"> activities, there were significant differences between all treatments and T1 except in case of T2. The highest value was observed in (T5). It was represented 118 % relative to T1. On the other hand, there were no significant differences in SOD activities among all treatments. The values are 150.66, 151.33, 153.53, 155.26 and 157.35 U/ml, respectively.</w:t>
      </w:r>
    </w:p>
    <w:p w:rsidR="00EF7B17" w:rsidRPr="00800B54" w:rsidRDefault="00EF7B17" w:rsidP="00545042">
      <w:pPr>
        <w:ind w:firstLine="425"/>
        <w:jc w:val="both"/>
        <w:rPr>
          <w:sz w:val="20"/>
          <w:szCs w:val="20"/>
        </w:rPr>
      </w:pPr>
      <w:r w:rsidRPr="00800B54">
        <w:rPr>
          <w:sz w:val="20"/>
          <w:szCs w:val="20"/>
        </w:rPr>
        <w:t xml:space="preserve">As shown in Table (4), there were significant increase in CAT activities in T3, T4 and T5 comparing with T1. It could also be seen that there were significant differences for serum </w:t>
      </w:r>
      <w:proofErr w:type="spellStart"/>
      <w:r w:rsidRPr="00800B54">
        <w:rPr>
          <w:sz w:val="20"/>
          <w:szCs w:val="20"/>
        </w:rPr>
        <w:t>malondialdehyde</w:t>
      </w:r>
      <w:proofErr w:type="spellEnd"/>
      <w:r w:rsidRPr="00800B54">
        <w:rPr>
          <w:sz w:val="20"/>
          <w:szCs w:val="20"/>
        </w:rPr>
        <w:t xml:space="preserve"> (MDA) levels among T1 and other treatments. The lowest value of MDA level was found in T5 and the highest one was for control treatment. Concerning to total antioxidant capacity (TAC) levels, there were no significant differences between control treatment and both T2 and T3. Meanwhile, T4 and T5 achieved significant differences between T1 being 135.2% and 139%, respectively relative to T1</w:t>
      </w:r>
    </w:p>
    <w:p w:rsidR="00EF7B17" w:rsidRPr="00800B54" w:rsidRDefault="00EF7B17" w:rsidP="00545042">
      <w:pPr>
        <w:ind w:firstLine="425"/>
        <w:jc w:val="both"/>
        <w:rPr>
          <w:sz w:val="20"/>
          <w:szCs w:val="20"/>
        </w:rPr>
      </w:pPr>
      <w:r w:rsidRPr="00800B54">
        <w:rPr>
          <w:sz w:val="20"/>
          <w:szCs w:val="20"/>
        </w:rPr>
        <w:t xml:space="preserve">The lipid </w:t>
      </w:r>
      <w:proofErr w:type="gramStart"/>
      <w:r w:rsidRPr="00800B54">
        <w:rPr>
          <w:sz w:val="20"/>
          <w:szCs w:val="20"/>
        </w:rPr>
        <w:t>profile of broilers fed on different levels of organic Se were</w:t>
      </w:r>
      <w:proofErr w:type="gramEnd"/>
      <w:r w:rsidRPr="00800B54">
        <w:rPr>
          <w:sz w:val="20"/>
          <w:szCs w:val="20"/>
        </w:rPr>
        <w:t xml:space="preserve"> shown in Table (5). It was observed that total cholesterol (TC), triglyceride (TG) as well as </w:t>
      </w:r>
      <w:proofErr w:type="gramStart"/>
      <w:r w:rsidRPr="00800B54">
        <w:rPr>
          <w:sz w:val="20"/>
          <w:szCs w:val="20"/>
        </w:rPr>
        <w:t>low-density lipoprotein (LDL-C) levels in serum w</w:t>
      </w:r>
      <w:r w:rsidR="00A432E9" w:rsidRPr="00800B54">
        <w:rPr>
          <w:sz w:val="20"/>
          <w:szCs w:val="20"/>
        </w:rPr>
        <w:t>as</w:t>
      </w:r>
      <w:proofErr w:type="gramEnd"/>
      <w:r w:rsidRPr="00800B54">
        <w:rPr>
          <w:sz w:val="20"/>
          <w:szCs w:val="20"/>
        </w:rPr>
        <w:t xml:space="preserve"> decreased in all study treatments compared to T1. The lowest values of previous parameters were taken place in T5. These values were 135.28, 89.44 and 87.83 mg/dl, respectively. On the other hand, supplementation with organic Se resulted in significant increases in sera HDL-C levels in T4 and T5 compared to T1. The values were 88.12 and 87.83 mg/dl, respectively.</w:t>
      </w:r>
    </w:p>
    <w:p w:rsidR="00EF7B17" w:rsidRDefault="00EF7B17" w:rsidP="00545042">
      <w:pPr>
        <w:ind w:firstLine="425"/>
        <w:jc w:val="both"/>
        <w:rPr>
          <w:sz w:val="20"/>
          <w:szCs w:val="20"/>
          <w:lang w:eastAsia="zh-CN"/>
        </w:rPr>
      </w:pPr>
      <w:r w:rsidRPr="00800B54">
        <w:rPr>
          <w:sz w:val="20"/>
          <w:szCs w:val="20"/>
        </w:rPr>
        <w:lastRenderedPageBreak/>
        <w:t xml:space="preserve">As shown in Table (6), the sensory evaluation indicated no significant differences </w:t>
      </w:r>
      <w:r w:rsidR="00F24CCE" w:rsidRPr="00800B54">
        <w:rPr>
          <w:sz w:val="20"/>
          <w:szCs w:val="20"/>
        </w:rPr>
        <w:t>among treatments</w:t>
      </w:r>
      <w:r w:rsidRPr="00800B54">
        <w:rPr>
          <w:sz w:val="20"/>
          <w:szCs w:val="20"/>
        </w:rPr>
        <w:t xml:space="preserve"> in both raw and cooked with different processes breast samples, when samples were tested for color, tenderness and overall acceptability. In terms of odor there were significant differences between T1and T5 in raw samples moreover, there were significant differences between T1 and T4 in boiled samples. On the other hand, in case of flavor, T5 differ significantly from T1</w:t>
      </w:r>
      <w:r w:rsidRPr="00800B54">
        <w:rPr>
          <w:sz w:val="20"/>
          <w:szCs w:val="20"/>
          <w:rtl/>
        </w:rPr>
        <w:t xml:space="preserve"> </w:t>
      </w:r>
      <w:r w:rsidRPr="00800B54">
        <w:rPr>
          <w:sz w:val="20"/>
          <w:szCs w:val="20"/>
        </w:rPr>
        <w:t>in boiled samples.</w:t>
      </w:r>
    </w:p>
    <w:p w:rsidR="00545042" w:rsidRPr="00800B54" w:rsidRDefault="00545042" w:rsidP="00545042">
      <w:pPr>
        <w:ind w:firstLine="425"/>
        <w:jc w:val="both"/>
        <w:rPr>
          <w:sz w:val="20"/>
          <w:szCs w:val="20"/>
          <w:lang w:eastAsia="zh-CN"/>
        </w:rPr>
      </w:pPr>
    </w:p>
    <w:p w:rsidR="00EF7B17" w:rsidRPr="00800B54" w:rsidRDefault="002A4633" w:rsidP="00545042">
      <w:pPr>
        <w:jc w:val="both"/>
        <w:rPr>
          <w:b/>
          <w:bCs/>
          <w:sz w:val="20"/>
          <w:szCs w:val="20"/>
        </w:rPr>
      </w:pPr>
      <w:proofErr w:type="gramStart"/>
      <w:r w:rsidRPr="00800B54">
        <w:rPr>
          <w:b/>
          <w:bCs/>
          <w:sz w:val="20"/>
          <w:szCs w:val="20"/>
        </w:rPr>
        <w:t>4.</w:t>
      </w:r>
      <w:r w:rsidR="00EF7B17" w:rsidRPr="00800B54">
        <w:rPr>
          <w:b/>
          <w:bCs/>
          <w:sz w:val="20"/>
          <w:szCs w:val="20"/>
        </w:rPr>
        <w:t>Discussion</w:t>
      </w:r>
      <w:proofErr w:type="gramEnd"/>
    </w:p>
    <w:p w:rsidR="00EF7B17" w:rsidRPr="00800B54" w:rsidRDefault="00EF7B17" w:rsidP="00545042">
      <w:pPr>
        <w:ind w:firstLine="425"/>
        <w:jc w:val="both"/>
        <w:rPr>
          <w:sz w:val="20"/>
          <w:szCs w:val="20"/>
        </w:rPr>
      </w:pPr>
      <w:r w:rsidRPr="00800B54">
        <w:rPr>
          <w:sz w:val="20"/>
          <w:szCs w:val="20"/>
        </w:rPr>
        <w:t xml:space="preserve">Selenium is one of the trace elements most studied because of its particular properties. Like some other trace elements, Se is bimodal in nature whereby its beneficial properties occur in a limited range of daily intake below which it cannot perform its essential functions. </w:t>
      </w:r>
      <w:proofErr w:type="gramStart"/>
      <w:r w:rsidRPr="00800B54">
        <w:rPr>
          <w:sz w:val="20"/>
          <w:szCs w:val="20"/>
        </w:rPr>
        <w:t>selenium</w:t>
      </w:r>
      <w:proofErr w:type="gramEnd"/>
      <w:r w:rsidRPr="00800B54">
        <w:rPr>
          <w:sz w:val="20"/>
          <w:szCs w:val="20"/>
        </w:rPr>
        <w:t xml:space="preserve"> deficiency is recognized as a global problem which urgently needs resolution (</w:t>
      </w:r>
      <w:proofErr w:type="spellStart"/>
      <w:r w:rsidRPr="00800B54">
        <w:rPr>
          <w:b/>
          <w:bCs/>
          <w:sz w:val="20"/>
          <w:szCs w:val="20"/>
        </w:rPr>
        <w:t>Valdiglesias</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2010). </w:t>
      </w:r>
      <w:r w:rsidRPr="00800B54">
        <w:rPr>
          <w:sz w:val="20"/>
          <w:szCs w:val="20"/>
        </w:rPr>
        <w:t xml:space="preserve">Because soils are becoming depleted and the foods grown on them are therefore lower in selenium. A deficiency of selenium can cause </w:t>
      </w:r>
      <w:proofErr w:type="spellStart"/>
      <w:r w:rsidRPr="00800B54">
        <w:rPr>
          <w:sz w:val="20"/>
          <w:szCs w:val="20"/>
        </w:rPr>
        <w:t>Keshan’s</w:t>
      </w:r>
      <w:proofErr w:type="spellEnd"/>
      <w:r w:rsidRPr="00800B54">
        <w:rPr>
          <w:sz w:val="20"/>
          <w:szCs w:val="20"/>
        </w:rPr>
        <w:t xml:space="preserve"> disease, a heart ailment in the young and cognitive decline in adults. Enriched poultry meat could help alleviate this condition.</w:t>
      </w:r>
    </w:p>
    <w:p w:rsidR="00EF7B17" w:rsidRPr="00800B54" w:rsidRDefault="00EF7B17" w:rsidP="00545042">
      <w:pPr>
        <w:ind w:firstLine="425"/>
        <w:jc w:val="both"/>
        <w:rPr>
          <w:sz w:val="20"/>
          <w:szCs w:val="20"/>
        </w:rPr>
      </w:pPr>
      <w:r w:rsidRPr="00800B54">
        <w:rPr>
          <w:sz w:val="20"/>
          <w:szCs w:val="20"/>
        </w:rPr>
        <w:t xml:space="preserve">Broiler meat, in particular breasts have long been carrying a label of dietetic food because of high portion of protein and low amount of fat, and as such it is recommended in the diet of children and elderly people, as well as of all who are concerned about their health. Selenium content in raw breast muscles was increased by increasing the supplementation levels of organic Se in </w:t>
      </w:r>
      <w:proofErr w:type="gramStart"/>
      <w:r w:rsidRPr="00800B54">
        <w:rPr>
          <w:sz w:val="20"/>
          <w:szCs w:val="20"/>
        </w:rPr>
        <w:t>chickens</w:t>
      </w:r>
      <w:proofErr w:type="gramEnd"/>
      <w:r w:rsidRPr="00800B54">
        <w:rPr>
          <w:sz w:val="20"/>
          <w:szCs w:val="20"/>
        </w:rPr>
        <w:t xml:space="preserve"> diet. These results are in good agreement with the findings of </w:t>
      </w:r>
      <w:r w:rsidRPr="00800B54">
        <w:rPr>
          <w:b/>
          <w:bCs/>
          <w:sz w:val="20"/>
          <w:szCs w:val="20"/>
        </w:rPr>
        <w:t xml:space="preserve">Mikulski </w:t>
      </w:r>
      <w:r w:rsidRPr="00800B54">
        <w:rPr>
          <w:b/>
          <w:bCs/>
          <w:i/>
          <w:iCs/>
          <w:sz w:val="20"/>
          <w:szCs w:val="20"/>
        </w:rPr>
        <w:t>et al.</w:t>
      </w:r>
      <w:r w:rsidRPr="00800B54">
        <w:rPr>
          <w:b/>
          <w:bCs/>
          <w:sz w:val="20"/>
          <w:szCs w:val="20"/>
        </w:rPr>
        <w:t xml:space="preserve"> (2009) </w:t>
      </w:r>
      <w:r w:rsidRPr="00800B54">
        <w:rPr>
          <w:sz w:val="20"/>
          <w:szCs w:val="20"/>
        </w:rPr>
        <w:t>who reported that supplementation turkey diet with 0.3 mg organic Se /kg feed resulted in a significant increase in selenium concentrations in turkey meat and the most striking response to Se was noted in the selenium content of breast muscles.</w:t>
      </w:r>
    </w:p>
    <w:p w:rsidR="00EF7B17" w:rsidRPr="00800B54" w:rsidRDefault="00EF7B17" w:rsidP="00545042">
      <w:pPr>
        <w:ind w:firstLine="425"/>
        <w:jc w:val="both"/>
        <w:rPr>
          <w:sz w:val="20"/>
          <w:szCs w:val="20"/>
        </w:rPr>
      </w:pPr>
      <w:r w:rsidRPr="00800B54">
        <w:rPr>
          <w:sz w:val="20"/>
          <w:szCs w:val="20"/>
        </w:rPr>
        <w:t xml:space="preserve">Moreover, </w:t>
      </w:r>
      <w:r w:rsidRPr="00800B54">
        <w:rPr>
          <w:b/>
          <w:bCs/>
          <w:sz w:val="20"/>
          <w:szCs w:val="20"/>
        </w:rPr>
        <w:t xml:space="preserve">Yu </w:t>
      </w:r>
      <w:r w:rsidRPr="00800B54">
        <w:rPr>
          <w:b/>
          <w:bCs/>
          <w:i/>
          <w:iCs/>
          <w:sz w:val="20"/>
          <w:szCs w:val="20"/>
        </w:rPr>
        <w:t>et al.</w:t>
      </w:r>
      <w:r w:rsidRPr="00800B54">
        <w:rPr>
          <w:b/>
          <w:bCs/>
          <w:sz w:val="20"/>
          <w:szCs w:val="20"/>
        </w:rPr>
        <w:t xml:space="preserve"> (2008) </w:t>
      </w:r>
      <w:r w:rsidRPr="00800B54">
        <w:rPr>
          <w:sz w:val="20"/>
          <w:szCs w:val="20"/>
        </w:rPr>
        <w:t xml:space="preserve">showed that by adding 0.24 mg of selenium (as organic selenium) per kilogram of feed, the selenium content of breast meat was increased from 8.6 </w:t>
      </w:r>
      <w:proofErr w:type="spellStart"/>
      <w:r w:rsidRPr="00800B54">
        <w:rPr>
          <w:sz w:val="20"/>
          <w:szCs w:val="20"/>
        </w:rPr>
        <w:t>μg</w:t>
      </w:r>
      <w:proofErr w:type="spellEnd"/>
      <w:r w:rsidRPr="00800B54">
        <w:rPr>
          <w:sz w:val="20"/>
          <w:szCs w:val="20"/>
        </w:rPr>
        <w:t xml:space="preserve"> to 41 </w:t>
      </w:r>
      <w:proofErr w:type="spellStart"/>
      <w:r w:rsidRPr="00800B54">
        <w:rPr>
          <w:sz w:val="20"/>
          <w:szCs w:val="20"/>
        </w:rPr>
        <w:t>μg</w:t>
      </w:r>
      <w:proofErr w:type="spellEnd"/>
      <w:r w:rsidRPr="00800B54">
        <w:rPr>
          <w:sz w:val="20"/>
          <w:szCs w:val="20"/>
        </w:rPr>
        <w:t xml:space="preserve">/100g, which is more than 65 % of Recommended Daily Allowances (RDA) of selenium. The RDA of selenium is 55 </w:t>
      </w:r>
      <w:proofErr w:type="spellStart"/>
      <w:r w:rsidRPr="00800B54">
        <w:rPr>
          <w:sz w:val="20"/>
          <w:szCs w:val="20"/>
        </w:rPr>
        <w:t>μg</w:t>
      </w:r>
      <w:proofErr w:type="spellEnd"/>
      <w:r w:rsidRPr="00800B54">
        <w:rPr>
          <w:sz w:val="20"/>
          <w:szCs w:val="20"/>
        </w:rPr>
        <w:t xml:space="preserve"> per day. The same amount of selenium in the form of inorganic sodium </w:t>
      </w:r>
      <w:proofErr w:type="spellStart"/>
      <w:r w:rsidRPr="00800B54">
        <w:rPr>
          <w:sz w:val="20"/>
          <w:szCs w:val="20"/>
        </w:rPr>
        <w:t>selenite</w:t>
      </w:r>
      <w:proofErr w:type="spellEnd"/>
      <w:r w:rsidRPr="00800B54">
        <w:rPr>
          <w:sz w:val="20"/>
          <w:szCs w:val="20"/>
        </w:rPr>
        <w:t xml:space="preserve"> also increased selenium in the breast meat, but only to 16 </w:t>
      </w:r>
      <w:proofErr w:type="spellStart"/>
      <w:r w:rsidRPr="00800B54">
        <w:rPr>
          <w:sz w:val="20"/>
          <w:szCs w:val="20"/>
        </w:rPr>
        <w:t>μg</w:t>
      </w:r>
      <w:proofErr w:type="spellEnd"/>
      <w:r w:rsidRPr="00800B54">
        <w:rPr>
          <w:sz w:val="20"/>
          <w:szCs w:val="20"/>
        </w:rPr>
        <w:t xml:space="preserve">/100g. It may due to that the bioavailability of organic Se is more than inorganic one. Bioavailability is the amount or percentage of a substance that passes from the gastrointestinal tract to the plasma under normal physiologic conditions </w:t>
      </w:r>
      <w:r w:rsidRPr="00800B54">
        <w:rPr>
          <w:b/>
          <w:bCs/>
          <w:sz w:val="20"/>
          <w:szCs w:val="20"/>
        </w:rPr>
        <w:t>(</w:t>
      </w:r>
      <w:proofErr w:type="spellStart"/>
      <w:r w:rsidRPr="00800B54">
        <w:rPr>
          <w:b/>
          <w:bCs/>
          <w:sz w:val="20"/>
          <w:szCs w:val="20"/>
        </w:rPr>
        <w:t>Wolffram</w:t>
      </w:r>
      <w:proofErr w:type="spellEnd"/>
      <w:r w:rsidRPr="00800B54">
        <w:rPr>
          <w:b/>
          <w:bCs/>
          <w:sz w:val="20"/>
          <w:szCs w:val="20"/>
        </w:rPr>
        <w:t>, 1999)</w:t>
      </w:r>
      <w:r w:rsidRPr="00800B54">
        <w:rPr>
          <w:sz w:val="20"/>
          <w:szCs w:val="20"/>
        </w:rPr>
        <w:t xml:space="preserve">. From previous it </w:t>
      </w:r>
      <w:proofErr w:type="gramStart"/>
      <w:r w:rsidRPr="00800B54">
        <w:rPr>
          <w:sz w:val="20"/>
          <w:szCs w:val="20"/>
        </w:rPr>
        <w:t>be</w:t>
      </w:r>
      <w:proofErr w:type="gramEnd"/>
      <w:r w:rsidRPr="00800B54">
        <w:rPr>
          <w:sz w:val="20"/>
          <w:szCs w:val="20"/>
        </w:rPr>
        <w:t xml:space="preserve"> observed that breast meat of broiler chickens is a good source of organic Se. It could be </w:t>
      </w:r>
      <w:r w:rsidRPr="00800B54">
        <w:rPr>
          <w:sz w:val="20"/>
          <w:szCs w:val="20"/>
        </w:rPr>
        <w:lastRenderedPageBreak/>
        <w:t>used to improve human Se status especially in Se-deficient areas of the world.</w:t>
      </w:r>
    </w:p>
    <w:p w:rsidR="00EF7B17" w:rsidRPr="00800B54" w:rsidRDefault="00EF7B17" w:rsidP="00545042">
      <w:pPr>
        <w:ind w:firstLine="425"/>
        <w:jc w:val="both"/>
        <w:rPr>
          <w:sz w:val="20"/>
          <w:szCs w:val="20"/>
        </w:rPr>
      </w:pPr>
      <w:r w:rsidRPr="00800B54">
        <w:rPr>
          <w:sz w:val="20"/>
          <w:szCs w:val="20"/>
        </w:rPr>
        <w:t xml:space="preserve">Cooked samples should be examined, because consumers eat them cooked. In the present study, when different cooking processes were studied, it could be thought that the amount of Se in cooked breast muscles by boiling was decreased comparing with raw samples. On the other hand, it was increased in both fried after boiling and grilled samples. These findings are consistent with those </w:t>
      </w:r>
      <w:proofErr w:type="gramStart"/>
      <w:r w:rsidRPr="00800B54">
        <w:rPr>
          <w:sz w:val="20"/>
          <w:szCs w:val="20"/>
        </w:rPr>
        <w:t xml:space="preserve">of  </w:t>
      </w:r>
      <w:r w:rsidRPr="00800B54">
        <w:rPr>
          <w:b/>
          <w:bCs/>
          <w:sz w:val="20"/>
          <w:szCs w:val="20"/>
        </w:rPr>
        <w:t>Martins</w:t>
      </w:r>
      <w:proofErr w:type="gramEnd"/>
      <w:r w:rsidRPr="00800B54">
        <w:rPr>
          <w:sz w:val="20"/>
          <w:szCs w:val="20"/>
        </w:rPr>
        <w:t xml:space="preserve"> </w:t>
      </w:r>
      <w:r w:rsidRPr="00800B54">
        <w:rPr>
          <w:b/>
          <w:bCs/>
          <w:i/>
          <w:iCs/>
          <w:sz w:val="20"/>
          <w:szCs w:val="20"/>
        </w:rPr>
        <w:t>et al.</w:t>
      </w:r>
      <w:r w:rsidRPr="00800B54">
        <w:rPr>
          <w:b/>
          <w:bCs/>
          <w:sz w:val="20"/>
          <w:szCs w:val="20"/>
        </w:rPr>
        <w:t xml:space="preserve"> (2011)</w:t>
      </w:r>
      <w:r w:rsidRPr="00800B54">
        <w:rPr>
          <w:sz w:val="20"/>
          <w:szCs w:val="20"/>
        </w:rPr>
        <w:t xml:space="preserve"> who cited that the major exception of Se occurred when boiling was the method of cooking meanwhile, fried and grilled cooked samples showed higher selenium contents than uncooked ones. Also, </w:t>
      </w:r>
      <w:proofErr w:type="spellStart"/>
      <w:r w:rsidRPr="00800B54">
        <w:rPr>
          <w:b/>
          <w:bCs/>
          <w:sz w:val="20"/>
          <w:szCs w:val="20"/>
        </w:rPr>
        <w:t>Bognár</w:t>
      </w:r>
      <w:proofErr w:type="spellEnd"/>
      <w:r w:rsidRPr="00800B54">
        <w:rPr>
          <w:b/>
          <w:bCs/>
          <w:sz w:val="20"/>
          <w:szCs w:val="20"/>
        </w:rPr>
        <w:t xml:space="preserve"> (1998) </w:t>
      </w:r>
      <w:r w:rsidRPr="00800B54">
        <w:rPr>
          <w:sz w:val="20"/>
          <w:szCs w:val="20"/>
        </w:rPr>
        <w:t xml:space="preserve">found that minerals are easily lost in cooking water when plant and animal foods are boiled and dropping when meat was roasted and the losses of minerals in deep fried meat were significantly lower than in boiled ones. </w:t>
      </w:r>
      <w:r w:rsidRPr="00800B54">
        <w:rPr>
          <w:b/>
          <w:bCs/>
          <w:sz w:val="20"/>
          <w:szCs w:val="20"/>
        </w:rPr>
        <w:t xml:space="preserve">Martins </w:t>
      </w:r>
      <w:r w:rsidRPr="00800B54">
        <w:rPr>
          <w:b/>
          <w:bCs/>
          <w:i/>
          <w:iCs/>
          <w:sz w:val="20"/>
          <w:szCs w:val="20"/>
        </w:rPr>
        <w:t>et al.</w:t>
      </w:r>
      <w:r w:rsidRPr="00800B54">
        <w:rPr>
          <w:b/>
          <w:bCs/>
          <w:sz w:val="20"/>
          <w:szCs w:val="20"/>
        </w:rPr>
        <w:t xml:space="preserve"> (2011)</w:t>
      </w:r>
      <w:r w:rsidRPr="00800B54">
        <w:rPr>
          <w:sz w:val="20"/>
          <w:szCs w:val="20"/>
        </w:rPr>
        <w:t xml:space="preserve"> illustrated that the higher Se contents in cooked samples than the raw ones could be attributed to the losses of water content and concentration of selenium in cooked samples. The results from our study showed </w:t>
      </w:r>
      <w:proofErr w:type="gramStart"/>
      <w:r w:rsidRPr="00800B54">
        <w:rPr>
          <w:sz w:val="20"/>
          <w:szCs w:val="20"/>
        </w:rPr>
        <w:t>that  grill</w:t>
      </w:r>
      <w:proofErr w:type="gramEnd"/>
      <w:r w:rsidRPr="00800B54">
        <w:rPr>
          <w:sz w:val="20"/>
          <w:szCs w:val="20"/>
        </w:rPr>
        <w:t xml:space="preserve"> process seems to be more appropriate as concerning selenium content. The same pattern was reported by </w:t>
      </w:r>
      <w:proofErr w:type="spellStart"/>
      <w:r w:rsidRPr="00800B54">
        <w:rPr>
          <w:b/>
          <w:bCs/>
          <w:sz w:val="20"/>
          <w:szCs w:val="20"/>
        </w:rPr>
        <w:t>Gokoglu</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(2004) </w:t>
      </w:r>
      <w:r w:rsidRPr="00800B54">
        <w:rPr>
          <w:sz w:val="20"/>
          <w:szCs w:val="20"/>
        </w:rPr>
        <w:t>who found that baking and grilling were considered appropriate concerning minerals and proximate composition.</w:t>
      </w:r>
    </w:p>
    <w:p w:rsidR="00EF7B17" w:rsidRPr="00800B54" w:rsidRDefault="00EF7B17" w:rsidP="00545042">
      <w:pPr>
        <w:ind w:firstLine="425"/>
        <w:jc w:val="both"/>
        <w:rPr>
          <w:sz w:val="20"/>
          <w:szCs w:val="20"/>
        </w:rPr>
      </w:pPr>
      <w:r w:rsidRPr="00800B54">
        <w:rPr>
          <w:sz w:val="20"/>
          <w:szCs w:val="20"/>
        </w:rPr>
        <w:t xml:space="preserve">There were no significant differences in cooking losses (CL%)  when the levels of organic Se in chickens diet were increased boiled and fried after boiling samples while, slightly significant differences were carried out in some grilled treatments. The present data are in accordance with those stated by </w:t>
      </w:r>
      <w:proofErr w:type="spellStart"/>
      <w:r w:rsidRPr="00800B54">
        <w:rPr>
          <w:b/>
          <w:bCs/>
          <w:sz w:val="20"/>
          <w:szCs w:val="20"/>
        </w:rPr>
        <w:t>Miezeliene</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(2011) </w:t>
      </w:r>
      <w:r w:rsidRPr="00800B54">
        <w:rPr>
          <w:sz w:val="20"/>
          <w:szCs w:val="20"/>
        </w:rPr>
        <w:t xml:space="preserve">who reported that cooking losses for the breast or thigh samples were not significantly affected by increasing the content of organic Se in the chicken diet. On the other side, </w:t>
      </w:r>
      <w:r w:rsidRPr="00800B54">
        <w:rPr>
          <w:b/>
          <w:bCs/>
          <w:sz w:val="20"/>
          <w:szCs w:val="20"/>
        </w:rPr>
        <w:t xml:space="preserve">Bradley (2002) </w:t>
      </w:r>
      <w:r w:rsidRPr="00800B54">
        <w:rPr>
          <w:sz w:val="20"/>
          <w:szCs w:val="20"/>
        </w:rPr>
        <w:t xml:space="preserve">found that supplementation </w:t>
      </w:r>
      <w:proofErr w:type="gramStart"/>
      <w:r w:rsidRPr="00800B54">
        <w:rPr>
          <w:sz w:val="20"/>
          <w:szCs w:val="20"/>
        </w:rPr>
        <w:t>cows</w:t>
      </w:r>
      <w:proofErr w:type="gramEnd"/>
      <w:r w:rsidRPr="00800B54">
        <w:rPr>
          <w:sz w:val="20"/>
          <w:szCs w:val="20"/>
        </w:rPr>
        <w:t xml:space="preserve"> diet with Se-enriched yeast resulted in significant decrease in cooking loss of their carcasses.</w:t>
      </w:r>
    </w:p>
    <w:p w:rsidR="00EF7B17" w:rsidRPr="00800B54" w:rsidRDefault="00EF7B17" w:rsidP="00545042">
      <w:pPr>
        <w:ind w:firstLine="425"/>
        <w:jc w:val="both"/>
        <w:rPr>
          <w:sz w:val="20"/>
          <w:szCs w:val="20"/>
        </w:rPr>
      </w:pPr>
      <w:r w:rsidRPr="00800B54">
        <w:rPr>
          <w:sz w:val="20"/>
          <w:szCs w:val="20"/>
        </w:rPr>
        <w:t xml:space="preserve">The economic and nutritional demands of food from poultry necessitate the raising of large number of birds in relatively small areas with high rates of productivity. During this intensive system of production birds are exposed to considerable stress which leads to overproduction of free radicals. The free radical generation and lipid </w:t>
      </w:r>
      <w:proofErr w:type="spellStart"/>
      <w:r w:rsidRPr="00800B54">
        <w:rPr>
          <w:sz w:val="20"/>
          <w:szCs w:val="20"/>
        </w:rPr>
        <w:t>peroxidation</w:t>
      </w:r>
      <w:proofErr w:type="spellEnd"/>
      <w:r w:rsidRPr="00800B54">
        <w:rPr>
          <w:sz w:val="20"/>
          <w:szCs w:val="20"/>
        </w:rPr>
        <w:t xml:space="preserve"> are responsible for the development of disease conditions leading to poor performance and product quality </w:t>
      </w:r>
      <w:r w:rsidRPr="00800B54">
        <w:rPr>
          <w:b/>
          <w:bCs/>
          <w:sz w:val="20"/>
          <w:szCs w:val="20"/>
        </w:rPr>
        <w:t xml:space="preserve">(Panda and </w:t>
      </w:r>
      <w:proofErr w:type="spellStart"/>
      <w:proofErr w:type="gramStart"/>
      <w:r w:rsidRPr="00800B54">
        <w:rPr>
          <w:b/>
          <w:bCs/>
          <w:sz w:val="20"/>
          <w:szCs w:val="20"/>
        </w:rPr>
        <w:t>Cherian</w:t>
      </w:r>
      <w:proofErr w:type="spellEnd"/>
      <w:r w:rsidRPr="00800B54">
        <w:rPr>
          <w:b/>
          <w:bCs/>
          <w:sz w:val="20"/>
          <w:szCs w:val="20"/>
        </w:rPr>
        <w:t>.,</w:t>
      </w:r>
      <w:proofErr w:type="gramEnd"/>
      <w:r w:rsidRPr="00800B54">
        <w:rPr>
          <w:b/>
          <w:bCs/>
          <w:sz w:val="20"/>
          <w:szCs w:val="20"/>
        </w:rPr>
        <w:t xml:space="preserve"> 2013)</w:t>
      </w:r>
      <w:r w:rsidRPr="00800B54">
        <w:rPr>
          <w:sz w:val="20"/>
          <w:szCs w:val="20"/>
        </w:rPr>
        <w:t>.</w:t>
      </w:r>
    </w:p>
    <w:p w:rsidR="00EF7B17" w:rsidRPr="00800B54" w:rsidRDefault="00EF7B17" w:rsidP="00545042">
      <w:pPr>
        <w:autoSpaceDE w:val="0"/>
        <w:autoSpaceDN w:val="0"/>
        <w:adjustRightInd w:val="0"/>
        <w:ind w:firstLine="425"/>
        <w:jc w:val="both"/>
        <w:rPr>
          <w:sz w:val="20"/>
          <w:szCs w:val="20"/>
        </w:rPr>
      </w:pPr>
      <w:r w:rsidRPr="00800B54">
        <w:rPr>
          <w:sz w:val="20"/>
          <w:szCs w:val="20"/>
        </w:rPr>
        <w:t>In Addition, poultry meat is relatively more susceptible to oxidative deterioration due to its high polyunsaturated fatty acid</w:t>
      </w:r>
      <w:r w:rsidR="00A432E9" w:rsidRPr="00800B54">
        <w:rPr>
          <w:sz w:val="20"/>
          <w:szCs w:val="20"/>
        </w:rPr>
        <w:t>s</w:t>
      </w:r>
      <w:r w:rsidRPr="00800B54">
        <w:rPr>
          <w:sz w:val="20"/>
          <w:szCs w:val="20"/>
        </w:rPr>
        <w:t xml:space="preserve"> content. One approach to enhance the oxidative stability of meat is to add antioxidants either into the diet of the animal or </w:t>
      </w:r>
      <w:r w:rsidRPr="00800B54">
        <w:rPr>
          <w:sz w:val="20"/>
          <w:szCs w:val="20"/>
        </w:rPr>
        <w:lastRenderedPageBreak/>
        <w:t xml:space="preserve">directly during meat processing.  Selenium is an essential trace element for humans, animals, and some bacteria. It is important for many cellular processes, because it is a component of several </w:t>
      </w:r>
      <w:proofErr w:type="spellStart"/>
      <w:r w:rsidRPr="00800B54">
        <w:rPr>
          <w:sz w:val="20"/>
          <w:szCs w:val="20"/>
        </w:rPr>
        <w:t>selenoproteins</w:t>
      </w:r>
      <w:proofErr w:type="spellEnd"/>
      <w:r w:rsidRPr="00800B54">
        <w:rPr>
          <w:sz w:val="20"/>
          <w:szCs w:val="20"/>
        </w:rPr>
        <w:t xml:space="preserve"> with essential biological functions </w:t>
      </w:r>
      <w:r w:rsidRPr="00800B54">
        <w:rPr>
          <w:b/>
          <w:bCs/>
          <w:sz w:val="20"/>
          <w:szCs w:val="20"/>
        </w:rPr>
        <w:t>(</w:t>
      </w:r>
      <w:proofErr w:type="spellStart"/>
      <w:r w:rsidRPr="00800B54">
        <w:rPr>
          <w:b/>
          <w:bCs/>
          <w:sz w:val="20"/>
          <w:szCs w:val="20"/>
        </w:rPr>
        <w:t>Letavayová</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2008)</w:t>
      </w:r>
      <w:r w:rsidRPr="00800B54">
        <w:rPr>
          <w:sz w:val="20"/>
          <w:szCs w:val="20"/>
        </w:rPr>
        <w:t>.</w:t>
      </w:r>
    </w:p>
    <w:p w:rsidR="00EF7B17" w:rsidRPr="00800B54" w:rsidRDefault="00EF7B17" w:rsidP="00545042">
      <w:pPr>
        <w:ind w:firstLine="425"/>
        <w:jc w:val="both"/>
        <w:rPr>
          <w:sz w:val="20"/>
          <w:szCs w:val="20"/>
        </w:rPr>
      </w:pPr>
      <w:r w:rsidRPr="00800B54">
        <w:rPr>
          <w:sz w:val="20"/>
          <w:szCs w:val="20"/>
        </w:rPr>
        <w:t xml:space="preserve">In the current investigation, supplementation with different levels of organic Se resulted in improvement of antioxidant enzyme status in broilers. The antioxidant system includes both enzymatic and non enzymatic defenses </w:t>
      </w:r>
      <w:r w:rsidRPr="00800B54">
        <w:rPr>
          <w:b/>
          <w:bCs/>
          <w:sz w:val="20"/>
          <w:szCs w:val="20"/>
        </w:rPr>
        <w:t>(</w:t>
      </w:r>
      <w:proofErr w:type="spellStart"/>
      <w:r w:rsidRPr="00800B54">
        <w:rPr>
          <w:b/>
          <w:bCs/>
          <w:sz w:val="20"/>
          <w:szCs w:val="20"/>
        </w:rPr>
        <w:t>Surai</w:t>
      </w:r>
      <w:proofErr w:type="spellEnd"/>
      <w:r w:rsidRPr="00800B54">
        <w:rPr>
          <w:b/>
          <w:bCs/>
          <w:sz w:val="20"/>
          <w:szCs w:val="20"/>
        </w:rPr>
        <w:t>, 2000)</w:t>
      </w:r>
      <w:r w:rsidRPr="00800B54">
        <w:rPr>
          <w:sz w:val="20"/>
          <w:szCs w:val="20"/>
        </w:rPr>
        <w:t xml:space="preserve">. The principal enzymatic systems include superoxide dismutase, glutathione </w:t>
      </w:r>
      <w:proofErr w:type="spellStart"/>
      <w:r w:rsidRPr="00800B54">
        <w:rPr>
          <w:sz w:val="20"/>
          <w:szCs w:val="20"/>
        </w:rPr>
        <w:t>peroxidase</w:t>
      </w:r>
      <w:proofErr w:type="spellEnd"/>
      <w:r w:rsidRPr="00800B54">
        <w:rPr>
          <w:sz w:val="20"/>
          <w:szCs w:val="20"/>
        </w:rPr>
        <w:t xml:space="preserve">, glutathione </w:t>
      </w:r>
      <w:proofErr w:type="spellStart"/>
      <w:r w:rsidRPr="00800B54">
        <w:rPr>
          <w:sz w:val="20"/>
          <w:szCs w:val="20"/>
        </w:rPr>
        <w:t>reductase</w:t>
      </w:r>
      <w:proofErr w:type="spellEnd"/>
      <w:r w:rsidRPr="00800B54">
        <w:rPr>
          <w:sz w:val="20"/>
          <w:szCs w:val="20"/>
        </w:rPr>
        <w:t xml:space="preserve">, and </w:t>
      </w:r>
      <w:proofErr w:type="spellStart"/>
      <w:r w:rsidRPr="00800B54">
        <w:rPr>
          <w:sz w:val="20"/>
          <w:szCs w:val="20"/>
        </w:rPr>
        <w:t>catalase</w:t>
      </w:r>
      <w:proofErr w:type="spellEnd"/>
      <w:r w:rsidRPr="00800B54">
        <w:rPr>
          <w:sz w:val="20"/>
          <w:szCs w:val="20"/>
        </w:rPr>
        <w:t xml:space="preserve"> </w:t>
      </w:r>
      <w:r w:rsidRPr="00800B54">
        <w:rPr>
          <w:b/>
          <w:bCs/>
          <w:sz w:val="20"/>
          <w:szCs w:val="20"/>
        </w:rPr>
        <w:t xml:space="preserve">(Fang </w:t>
      </w:r>
      <w:r w:rsidRPr="00800B54">
        <w:rPr>
          <w:b/>
          <w:bCs/>
          <w:i/>
          <w:iCs/>
          <w:sz w:val="20"/>
          <w:szCs w:val="20"/>
        </w:rPr>
        <w:t>et al.,</w:t>
      </w:r>
      <w:r w:rsidRPr="00800B54">
        <w:rPr>
          <w:b/>
          <w:bCs/>
          <w:sz w:val="20"/>
          <w:szCs w:val="20"/>
        </w:rPr>
        <w:t xml:space="preserve"> 2002)</w:t>
      </w:r>
      <w:r w:rsidRPr="00800B54">
        <w:rPr>
          <w:sz w:val="20"/>
          <w:szCs w:val="20"/>
        </w:rPr>
        <w:t xml:space="preserve">. Non enzymatic antioxidants defense systems include molecules (e.g., glutathione, vitamin A and E, and </w:t>
      </w:r>
      <w:proofErr w:type="spellStart"/>
      <w:r w:rsidRPr="00800B54">
        <w:rPr>
          <w:sz w:val="20"/>
          <w:szCs w:val="20"/>
        </w:rPr>
        <w:t>carotenoids</w:t>
      </w:r>
      <w:proofErr w:type="spellEnd"/>
      <w:r w:rsidRPr="00800B54">
        <w:rPr>
          <w:sz w:val="20"/>
          <w:szCs w:val="20"/>
        </w:rPr>
        <w:t>) and other elements such as selenium.</w:t>
      </w:r>
    </w:p>
    <w:p w:rsidR="00EF7B17" w:rsidRPr="00800B54" w:rsidRDefault="00EF7B17" w:rsidP="00545042">
      <w:pPr>
        <w:ind w:firstLine="425"/>
        <w:jc w:val="both"/>
        <w:rPr>
          <w:sz w:val="20"/>
          <w:szCs w:val="20"/>
        </w:rPr>
      </w:pPr>
      <w:r w:rsidRPr="00800B54">
        <w:rPr>
          <w:sz w:val="20"/>
          <w:szCs w:val="20"/>
        </w:rPr>
        <w:t xml:space="preserve">The observation that the activity of </w:t>
      </w:r>
      <w:proofErr w:type="spellStart"/>
      <w:r w:rsidRPr="00800B54">
        <w:rPr>
          <w:sz w:val="20"/>
          <w:szCs w:val="20"/>
        </w:rPr>
        <w:t>GPx</w:t>
      </w:r>
      <w:proofErr w:type="spellEnd"/>
      <w:r w:rsidRPr="00800B54">
        <w:rPr>
          <w:sz w:val="20"/>
          <w:szCs w:val="20"/>
        </w:rPr>
        <w:t xml:space="preserve"> increased by increasing organic Se levels in broilers diet is in agreement with that reported by </w:t>
      </w:r>
      <w:proofErr w:type="spellStart"/>
      <w:r w:rsidRPr="00800B54">
        <w:rPr>
          <w:b/>
          <w:bCs/>
          <w:sz w:val="20"/>
          <w:szCs w:val="20"/>
        </w:rPr>
        <w:t>Pilarczyk</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(2012)</w:t>
      </w:r>
      <w:r w:rsidRPr="00800B54">
        <w:rPr>
          <w:sz w:val="20"/>
          <w:szCs w:val="20"/>
        </w:rPr>
        <w:t xml:space="preserve"> who found that </w:t>
      </w:r>
      <w:proofErr w:type="spellStart"/>
      <w:r w:rsidRPr="00800B54">
        <w:rPr>
          <w:sz w:val="20"/>
          <w:szCs w:val="20"/>
        </w:rPr>
        <w:t>GPx</w:t>
      </w:r>
      <w:proofErr w:type="spellEnd"/>
      <w:r w:rsidRPr="00800B54">
        <w:rPr>
          <w:sz w:val="20"/>
          <w:szCs w:val="20"/>
        </w:rPr>
        <w:t xml:space="preserve"> activity depends on the selenium content and lot of animal diseases and dysfunction are caused by </w:t>
      </w:r>
      <w:proofErr w:type="spellStart"/>
      <w:r w:rsidRPr="00800B54">
        <w:rPr>
          <w:sz w:val="20"/>
          <w:szCs w:val="20"/>
        </w:rPr>
        <w:t>GPx</w:t>
      </w:r>
      <w:proofErr w:type="spellEnd"/>
      <w:r w:rsidRPr="00800B54">
        <w:rPr>
          <w:sz w:val="20"/>
          <w:szCs w:val="20"/>
        </w:rPr>
        <w:t xml:space="preserve">  activity change aroused by selenium deficiency. Our results are in the same line with </w:t>
      </w:r>
      <w:proofErr w:type="spellStart"/>
      <w:r w:rsidRPr="00800B54">
        <w:rPr>
          <w:b/>
          <w:bCs/>
          <w:sz w:val="20"/>
          <w:szCs w:val="20"/>
        </w:rPr>
        <w:t>Sirichakwa</w:t>
      </w:r>
      <w:r w:rsidRPr="00800B54">
        <w:rPr>
          <w:sz w:val="20"/>
          <w:szCs w:val="20"/>
        </w:rPr>
        <w:t>l</w:t>
      </w:r>
      <w:proofErr w:type="spellEnd"/>
      <w:r w:rsidRPr="00800B54">
        <w:rPr>
          <w:sz w:val="20"/>
          <w:szCs w:val="20"/>
        </w:rPr>
        <w:t xml:space="preserve"> </w:t>
      </w:r>
      <w:r w:rsidRPr="00800B54">
        <w:rPr>
          <w:b/>
          <w:bCs/>
          <w:i/>
          <w:iCs/>
          <w:sz w:val="20"/>
          <w:szCs w:val="20"/>
        </w:rPr>
        <w:t xml:space="preserve">et al., </w:t>
      </w:r>
      <w:r w:rsidRPr="00800B54">
        <w:rPr>
          <w:b/>
          <w:bCs/>
          <w:sz w:val="20"/>
          <w:szCs w:val="20"/>
        </w:rPr>
        <w:t xml:space="preserve">2005 </w:t>
      </w:r>
      <w:r w:rsidRPr="00800B54">
        <w:rPr>
          <w:sz w:val="20"/>
          <w:szCs w:val="20"/>
        </w:rPr>
        <w:t xml:space="preserve">who reported that the best known biochemical role of selenium is its function as part of the enzyme glutathione </w:t>
      </w:r>
      <w:proofErr w:type="spellStart"/>
      <w:r w:rsidRPr="00800B54">
        <w:rPr>
          <w:sz w:val="20"/>
          <w:szCs w:val="20"/>
        </w:rPr>
        <w:t>peroxidase</w:t>
      </w:r>
      <w:proofErr w:type="spellEnd"/>
      <w:r w:rsidRPr="00800B54">
        <w:rPr>
          <w:sz w:val="20"/>
          <w:szCs w:val="20"/>
        </w:rPr>
        <w:t xml:space="preserve"> which protects vital components of cells against oxidative damage.</w:t>
      </w:r>
    </w:p>
    <w:p w:rsidR="00EF7B17" w:rsidRPr="00800B54" w:rsidRDefault="00EF7B17" w:rsidP="00545042">
      <w:pPr>
        <w:ind w:firstLine="425"/>
        <w:jc w:val="both"/>
        <w:rPr>
          <w:sz w:val="20"/>
          <w:szCs w:val="20"/>
        </w:rPr>
      </w:pPr>
      <w:r w:rsidRPr="00800B54">
        <w:rPr>
          <w:sz w:val="20"/>
          <w:szCs w:val="20"/>
        </w:rPr>
        <w:t xml:space="preserve">In addition, </w:t>
      </w:r>
      <w:r w:rsidRPr="00800B54">
        <w:rPr>
          <w:b/>
          <w:bCs/>
          <w:sz w:val="20"/>
          <w:szCs w:val="20"/>
        </w:rPr>
        <w:t>Devore and Greene (1982)</w:t>
      </w:r>
      <w:r w:rsidRPr="00800B54">
        <w:rPr>
          <w:sz w:val="20"/>
          <w:szCs w:val="20"/>
        </w:rPr>
        <w:t xml:space="preserve"> reported that the antioxidant functions of Se, via GSH-</w:t>
      </w:r>
      <w:proofErr w:type="spellStart"/>
      <w:r w:rsidRPr="00800B54">
        <w:rPr>
          <w:sz w:val="20"/>
          <w:szCs w:val="20"/>
        </w:rPr>
        <w:t>Px</w:t>
      </w:r>
      <w:proofErr w:type="spellEnd"/>
      <w:r w:rsidRPr="00800B54">
        <w:rPr>
          <w:sz w:val="20"/>
          <w:szCs w:val="20"/>
        </w:rPr>
        <w:t xml:space="preserve"> activity, have been shown to persist post mortem in poultry muscle tissue, delaying the onset of oxidation reactions. Also, </w:t>
      </w:r>
      <w:r w:rsidRPr="00800B54">
        <w:rPr>
          <w:b/>
          <w:bCs/>
          <w:sz w:val="20"/>
          <w:szCs w:val="20"/>
        </w:rPr>
        <w:t xml:space="preserve">Morrissey </w:t>
      </w:r>
      <w:r w:rsidRPr="00800B54">
        <w:rPr>
          <w:b/>
          <w:bCs/>
          <w:i/>
          <w:iCs/>
          <w:sz w:val="20"/>
          <w:szCs w:val="20"/>
        </w:rPr>
        <w:t>et al.</w:t>
      </w:r>
      <w:r w:rsidRPr="00800B54">
        <w:rPr>
          <w:b/>
          <w:bCs/>
          <w:sz w:val="20"/>
          <w:szCs w:val="20"/>
        </w:rPr>
        <w:t xml:space="preserve"> (1998)</w:t>
      </w:r>
      <w:r w:rsidRPr="00800B54">
        <w:rPr>
          <w:sz w:val="20"/>
          <w:szCs w:val="20"/>
        </w:rPr>
        <w:t xml:space="preserve"> cited that oxidation will reduce the nutritive value and flavor of meat products </w:t>
      </w:r>
      <w:proofErr w:type="gramStart"/>
      <w:r w:rsidRPr="00800B54">
        <w:rPr>
          <w:sz w:val="20"/>
          <w:szCs w:val="20"/>
        </w:rPr>
        <w:t>so,</w:t>
      </w:r>
      <w:proofErr w:type="gramEnd"/>
      <w:r w:rsidRPr="00800B54">
        <w:rPr>
          <w:sz w:val="20"/>
          <w:szCs w:val="20"/>
        </w:rPr>
        <w:t xml:space="preserve"> supplementation with organic Se can maintain the good quality of broilers meat through the improved antioxidant capacity.</w:t>
      </w:r>
    </w:p>
    <w:p w:rsidR="00EF7B17" w:rsidRPr="00800B54" w:rsidRDefault="00EF7B17" w:rsidP="00545042">
      <w:pPr>
        <w:ind w:firstLine="425"/>
        <w:jc w:val="both"/>
        <w:rPr>
          <w:sz w:val="20"/>
          <w:szCs w:val="20"/>
        </w:rPr>
      </w:pPr>
      <w:r w:rsidRPr="00800B54">
        <w:rPr>
          <w:sz w:val="20"/>
          <w:szCs w:val="20"/>
        </w:rPr>
        <w:t xml:space="preserve">The present study investigated the effect of different levels of organic Se on MDA levels which one of the oxidative stress indicators in broilers. The MDA is formed as an end product of lipid </w:t>
      </w:r>
      <w:proofErr w:type="spellStart"/>
      <w:r w:rsidRPr="00800B54">
        <w:rPr>
          <w:sz w:val="20"/>
          <w:szCs w:val="20"/>
        </w:rPr>
        <w:t>peroxidation</w:t>
      </w:r>
      <w:proofErr w:type="spellEnd"/>
      <w:r w:rsidRPr="00800B54">
        <w:rPr>
          <w:sz w:val="20"/>
          <w:szCs w:val="20"/>
        </w:rPr>
        <w:t xml:space="preserve">. By increasing Se concentration in </w:t>
      </w:r>
      <w:proofErr w:type="gramStart"/>
      <w:r w:rsidRPr="00800B54">
        <w:rPr>
          <w:sz w:val="20"/>
          <w:szCs w:val="20"/>
        </w:rPr>
        <w:t>chickens</w:t>
      </w:r>
      <w:proofErr w:type="gramEnd"/>
      <w:r w:rsidRPr="00800B54">
        <w:rPr>
          <w:sz w:val="20"/>
          <w:szCs w:val="20"/>
        </w:rPr>
        <w:t xml:space="preserve"> diet the levels of MDA were decreased. This finding indicate that lipid </w:t>
      </w:r>
      <w:proofErr w:type="spellStart"/>
      <w:r w:rsidRPr="00800B54">
        <w:rPr>
          <w:sz w:val="20"/>
          <w:szCs w:val="20"/>
        </w:rPr>
        <w:t>peroxidation</w:t>
      </w:r>
      <w:proofErr w:type="spellEnd"/>
      <w:r w:rsidRPr="00800B54">
        <w:rPr>
          <w:sz w:val="20"/>
          <w:szCs w:val="20"/>
        </w:rPr>
        <w:t xml:space="preserve"> was reduced by increasing organic Se levels via enhancing </w:t>
      </w:r>
      <w:proofErr w:type="spellStart"/>
      <w:r w:rsidRPr="00800B54">
        <w:rPr>
          <w:sz w:val="20"/>
          <w:szCs w:val="20"/>
        </w:rPr>
        <w:t>antioxidative</w:t>
      </w:r>
      <w:proofErr w:type="spellEnd"/>
      <w:r w:rsidRPr="00800B54">
        <w:rPr>
          <w:sz w:val="20"/>
          <w:szCs w:val="20"/>
        </w:rPr>
        <w:t xml:space="preserve"> action, which is in agreement with the results of </w:t>
      </w:r>
      <w:r w:rsidRPr="00800B54">
        <w:rPr>
          <w:b/>
          <w:bCs/>
          <w:sz w:val="20"/>
          <w:szCs w:val="20"/>
        </w:rPr>
        <w:t xml:space="preserve">Kim </w:t>
      </w:r>
      <w:r w:rsidRPr="00800B54">
        <w:rPr>
          <w:b/>
          <w:bCs/>
          <w:i/>
          <w:iCs/>
          <w:sz w:val="20"/>
          <w:szCs w:val="20"/>
        </w:rPr>
        <w:t>et al</w:t>
      </w:r>
      <w:r w:rsidRPr="00800B54">
        <w:rPr>
          <w:b/>
          <w:bCs/>
          <w:sz w:val="20"/>
          <w:szCs w:val="20"/>
        </w:rPr>
        <w:t>.</w:t>
      </w:r>
      <w:r w:rsidR="00F6676A" w:rsidRPr="00800B54">
        <w:rPr>
          <w:b/>
          <w:bCs/>
          <w:sz w:val="20"/>
          <w:szCs w:val="20"/>
        </w:rPr>
        <w:t xml:space="preserve"> (</w:t>
      </w:r>
      <w:r w:rsidRPr="00800B54">
        <w:rPr>
          <w:b/>
          <w:bCs/>
          <w:sz w:val="20"/>
          <w:szCs w:val="20"/>
        </w:rPr>
        <w:t>2010</w:t>
      </w:r>
      <w:r w:rsidR="00F6676A" w:rsidRPr="00800B54">
        <w:rPr>
          <w:b/>
          <w:bCs/>
          <w:sz w:val="20"/>
          <w:szCs w:val="20"/>
        </w:rPr>
        <w:t>)</w:t>
      </w:r>
      <w:r w:rsidRPr="00800B54">
        <w:rPr>
          <w:sz w:val="20"/>
          <w:szCs w:val="20"/>
        </w:rPr>
        <w:t xml:space="preserve"> who indicated that selenium plays an important role in </w:t>
      </w:r>
      <w:proofErr w:type="spellStart"/>
      <w:r w:rsidRPr="00800B54">
        <w:rPr>
          <w:sz w:val="20"/>
          <w:szCs w:val="20"/>
        </w:rPr>
        <w:t>antioxidative</w:t>
      </w:r>
      <w:proofErr w:type="spellEnd"/>
      <w:r w:rsidRPr="00800B54">
        <w:rPr>
          <w:sz w:val="20"/>
          <w:szCs w:val="20"/>
        </w:rPr>
        <w:t xml:space="preserve"> system efficiency. Whereas in poultry the fortification of diets with 0.3 </w:t>
      </w:r>
      <w:proofErr w:type="spellStart"/>
      <w:r w:rsidRPr="00800B54">
        <w:rPr>
          <w:sz w:val="20"/>
          <w:szCs w:val="20"/>
        </w:rPr>
        <w:t>ppm</w:t>
      </w:r>
      <w:proofErr w:type="spellEnd"/>
      <w:r w:rsidRPr="00800B54">
        <w:rPr>
          <w:sz w:val="20"/>
          <w:szCs w:val="20"/>
        </w:rPr>
        <w:t xml:space="preserve"> of Se increased lipid oxidative stability and delayed microbial growth in the thigh muscle.</w:t>
      </w:r>
    </w:p>
    <w:p w:rsidR="00EF7B17" w:rsidRPr="00800B54" w:rsidRDefault="00EF7B17" w:rsidP="00545042">
      <w:pPr>
        <w:ind w:firstLine="425"/>
        <w:jc w:val="both"/>
        <w:rPr>
          <w:sz w:val="20"/>
          <w:szCs w:val="20"/>
        </w:rPr>
      </w:pPr>
      <w:r w:rsidRPr="00800B54">
        <w:rPr>
          <w:sz w:val="20"/>
          <w:szCs w:val="20"/>
        </w:rPr>
        <w:t xml:space="preserve">In this study, the activities of superoxide dismutase (SOD), </w:t>
      </w:r>
      <w:proofErr w:type="spellStart"/>
      <w:r w:rsidR="00F6676A" w:rsidRPr="00800B54">
        <w:rPr>
          <w:sz w:val="20"/>
          <w:szCs w:val="20"/>
        </w:rPr>
        <w:t>c</w:t>
      </w:r>
      <w:r w:rsidRPr="00800B54">
        <w:rPr>
          <w:sz w:val="20"/>
          <w:szCs w:val="20"/>
        </w:rPr>
        <w:t>atalase</w:t>
      </w:r>
      <w:proofErr w:type="spellEnd"/>
      <w:r w:rsidRPr="00800B54">
        <w:rPr>
          <w:sz w:val="20"/>
          <w:szCs w:val="20"/>
        </w:rPr>
        <w:t xml:space="preserve"> (CAT) </w:t>
      </w:r>
      <w:r w:rsidR="00F6676A" w:rsidRPr="00800B54">
        <w:rPr>
          <w:sz w:val="20"/>
          <w:szCs w:val="20"/>
        </w:rPr>
        <w:t xml:space="preserve">as well as </w:t>
      </w:r>
      <w:r w:rsidRPr="00800B54">
        <w:rPr>
          <w:sz w:val="20"/>
          <w:szCs w:val="20"/>
        </w:rPr>
        <w:t xml:space="preserve">total antioxidant capacity (TAC) levels were increased with </w:t>
      </w:r>
      <w:r w:rsidRPr="00800B54">
        <w:rPr>
          <w:sz w:val="20"/>
          <w:szCs w:val="20"/>
        </w:rPr>
        <w:lastRenderedPageBreak/>
        <w:t xml:space="preserve">increasing Se levels. These findings coincided with </w:t>
      </w:r>
      <w:r w:rsidRPr="00800B54">
        <w:rPr>
          <w:b/>
          <w:bCs/>
          <w:sz w:val="20"/>
          <w:szCs w:val="20"/>
        </w:rPr>
        <w:t xml:space="preserve">Chen </w:t>
      </w:r>
      <w:r w:rsidRPr="00800B54">
        <w:rPr>
          <w:b/>
          <w:bCs/>
          <w:i/>
          <w:iCs/>
          <w:sz w:val="20"/>
          <w:szCs w:val="20"/>
        </w:rPr>
        <w:t>et al</w:t>
      </w:r>
      <w:r w:rsidRPr="00800B54">
        <w:rPr>
          <w:b/>
          <w:bCs/>
          <w:sz w:val="20"/>
          <w:szCs w:val="20"/>
        </w:rPr>
        <w:t xml:space="preserve">. </w:t>
      </w:r>
      <w:r w:rsidR="00F6676A" w:rsidRPr="00800B54">
        <w:rPr>
          <w:b/>
          <w:bCs/>
          <w:sz w:val="20"/>
          <w:szCs w:val="20"/>
        </w:rPr>
        <w:t>(</w:t>
      </w:r>
      <w:r w:rsidRPr="00800B54">
        <w:rPr>
          <w:b/>
          <w:bCs/>
          <w:sz w:val="20"/>
          <w:szCs w:val="20"/>
        </w:rPr>
        <w:t>2013</w:t>
      </w:r>
      <w:r w:rsidR="00F6676A" w:rsidRPr="00800B54">
        <w:rPr>
          <w:b/>
          <w:bCs/>
          <w:sz w:val="20"/>
          <w:szCs w:val="20"/>
        </w:rPr>
        <w:t>)</w:t>
      </w:r>
      <w:r w:rsidRPr="00800B54">
        <w:rPr>
          <w:b/>
          <w:bCs/>
          <w:sz w:val="20"/>
          <w:szCs w:val="20"/>
        </w:rPr>
        <w:t xml:space="preserve"> </w:t>
      </w:r>
      <w:r w:rsidRPr="00800B54">
        <w:rPr>
          <w:sz w:val="20"/>
          <w:szCs w:val="20"/>
        </w:rPr>
        <w:t xml:space="preserve">who provided </w:t>
      </w:r>
      <w:proofErr w:type="gramStart"/>
      <w:r w:rsidRPr="00800B54">
        <w:rPr>
          <w:sz w:val="20"/>
          <w:szCs w:val="20"/>
        </w:rPr>
        <w:t>a strong</w:t>
      </w:r>
      <w:proofErr w:type="gramEnd"/>
      <w:r w:rsidRPr="00800B54">
        <w:rPr>
          <w:sz w:val="20"/>
          <w:szCs w:val="20"/>
        </w:rPr>
        <w:t xml:space="preserve"> evidence that broiler oxidation resistance was significantly increased with selenium additive level.</w:t>
      </w:r>
    </w:p>
    <w:p w:rsidR="00EF7B17" w:rsidRPr="00800B54" w:rsidRDefault="00EF7B17" w:rsidP="00545042">
      <w:pPr>
        <w:ind w:firstLine="425"/>
        <w:jc w:val="both"/>
        <w:rPr>
          <w:sz w:val="20"/>
          <w:szCs w:val="20"/>
        </w:rPr>
      </w:pPr>
      <w:r w:rsidRPr="00800B54">
        <w:rPr>
          <w:sz w:val="20"/>
          <w:szCs w:val="20"/>
        </w:rPr>
        <w:t>The chicken is an important model organism that bridges the evolutionary gap between mammals and other vertebrates and provides a major protein source from meat and eggs throughout the world.</w:t>
      </w:r>
      <w:r w:rsidRPr="00800B54">
        <w:rPr>
          <w:b/>
          <w:bCs/>
          <w:sz w:val="20"/>
          <w:szCs w:val="20"/>
        </w:rPr>
        <w:t xml:space="preserve"> </w:t>
      </w:r>
      <w:proofErr w:type="gramStart"/>
      <w:r w:rsidRPr="00800B54">
        <w:rPr>
          <w:b/>
          <w:bCs/>
          <w:sz w:val="20"/>
          <w:szCs w:val="20"/>
        </w:rPr>
        <w:t xml:space="preserve">Ayala  </w:t>
      </w:r>
      <w:r w:rsidRPr="00800B54">
        <w:rPr>
          <w:b/>
          <w:bCs/>
          <w:i/>
          <w:iCs/>
          <w:sz w:val="20"/>
          <w:szCs w:val="20"/>
        </w:rPr>
        <w:t>et</w:t>
      </w:r>
      <w:proofErr w:type="gramEnd"/>
      <w:r w:rsidRPr="00800B54">
        <w:rPr>
          <w:b/>
          <w:bCs/>
          <w:i/>
          <w:iCs/>
          <w:sz w:val="20"/>
          <w:szCs w:val="20"/>
        </w:rPr>
        <w:t xml:space="preserve"> al.</w:t>
      </w:r>
      <w:r w:rsidRPr="00800B54">
        <w:rPr>
          <w:b/>
          <w:bCs/>
          <w:sz w:val="20"/>
          <w:szCs w:val="20"/>
        </w:rPr>
        <w:t xml:space="preserve"> (2005)</w:t>
      </w:r>
      <w:r w:rsidRPr="00800B54">
        <w:rPr>
          <w:sz w:val="20"/>
          <w:szCs w:val="20"/>
        </w:rPr>
        <w:t xml:space="preserve"> indicated that chicken is a good animal model for the study of atherosclerosis research, since it presents lipoprotein levels similar to those in humans.     As regard to lipid profile in Table (5), the current study showed that supplementation with organic Se resulted in improvement in lipid profile in broilers serum. In comparison to the T1 and other treatments, TC, TG and LDL levels were decreased. Meanwhile, in case of HDL, increase organic Se concentrations in broilers diet led to increase serum HDL levels. These findings coincided with </w:t>
      </w:r>
      <w:proofErr w:type="spellStart"/>
      <w:proofErr w:type="gramStart"/>
      <w:r w:rsidRPr="00800B54">
        <w:rPr>
          <w:b/>
          <w:bCs/>
          <w:sz w:val="20"/>
          <w:szCs w:val="20"/>
        </w:rPr>
        <w:t>Kanchana</w:t>
      </w:r>
      <w:proofErr w:type="spellEnd"/>
      <w:r w:rsidRPr="00800B54">
        <w:rPr>
          <w:b/>
          <w:bCs/>
          <w:sz w:val="20"/>
          <w:szCs w:val="20"/>
        </w:rPr>
        <w:t xml:space="preserve">  and</w:t>
      </w:r>
      <w:proofErr w:type="gramEnd"/>
      <w:r w:rsidRPr="00800B54">
        <w:rPr>
          <w:b/>
          <w:bCs/>
          <w:sz w:val="20"/>
          <w:szCs w:val="20"/>
        </w:rPr>
        <w:t xml:space="preserve"> </w:t>
      </w:r>
      <w:proofErr w:type="spellStart"/>
      <w:r w:rsidRPr="00800B54">
        <w:rPr>
          <w:b/>
          <w:bCs/>
          <w:sz w:val="20"/>
          <w:szCs w:val="20"/>
        </w:rPr>
        <w:t>Jeyanthi</w:t>
      </w:r>
      <w:proofErr w:type="spellEnd"/>
      <w:r w:rsidRPr="00800B54">
        <w:rPr>
          <w:b/>
          <w:bCs/>
          <w:sz w:val="20"/>
          <w:szCs w:val="20"/>
        </w:rPr>
        <w:t xml:space="preserve">., 2010 </w:t>
      </w:r>
      <w:r w:rsidRPr="00800B54">
        <w:rPr>
          <w:sz w:val="20"/>
          <w:szCs w:val="20"/>
        </w:rPr>
        <w:t xml:space="preserve">who reported that combination of vitamin E at a level of 200mg and  Se at 0.4 of mg/kg diet are good for improving growth rate of layer chickens. Moreover, </w:t>
      </w:r>
      <w:r w:rsidRPr="00800B54">
        <w:rPr>
          <w:b/>
          <w:bCs/>
          <w:sz w:val="20"/>
          <w:szCs w:val="20"/>
        </w:rPr>
        <w:t xml:space="preserve">Kang </w:t>
      </w:r>
      <w:r w:rsidRPr="00800B54">
        <w:rPr>
          <w:b/>
          <w:bCs/>
          <w:i/>
          <w:iCs/>
          <w:sz w:val="20"/>
          <w:szCs w:val="20"/>
        </w:rPr>
        <w:t xml:space="preserve">et al. </w:t>
      </w:r>
      <w:r w:rsidRPr="00800B54">
        <w:rPr>
          <w:b/>
          <w:bCs/>
          <w:sz w:val="20"/>
          <w:szCs w:val="20"/>
        </w:rPr>
        <w:t>(200</w:t>
      </w:r>
      <w:r w:rsidR="00C97F4A" w:rsidRPr="00800B54">
        <w:rPr>
          <w:b/>
          <w:bCs/>
          <w:sz w:val="20"/>
          <w:szCs w:val="20"/>
        </w:rPr>
        <w:t>0</w:t>
      </w:r>
      <w:r w:rsidRPr="00800B54">
        <w:rPr>
          <w:b/>
          <w:bCs/>
          <w:sz w:val="20"/>
          <w:szCs w:val="20"/>
        </w:rPr>
        <w:t>)</w:t>
      </w:r>
      <w:r w:rsidRPr="00800B54">
        <w:rPr>
          <w:sz w:val="20"/>
          <w:szCs w:val="20"/>
        </w:rPr>
        <w:t xml:space="preserve"> cited that selenium seems to have a </w:t>
      </w:r>
      <w:proofErr w:type="spellStart"/>
      <w:r w:rsidRPr="00800B54">
        <w:rPr>
          <w:sz w:val="20"/>
          <w:szCs w:val="20"/>
        </w:rPr>
        <w:t>hypocholesterolemic</w:t>
      </w:r>
      <w:proofErr w:type="spellEnd"/>
      <w:r w:rsidRPr="00800B54">
        <w:rPr>
          <w:sz w:val="20"/>
          <w:szCs w:val="20"/>
        </w:rPr>
        <w:t xml:space="preserve"> effect where supplementation with Se decreased total cholesterol and triglyceride levels in rabbits. Also, </w:t>
      </w:r>
      <w:proofErr w:type="spellStart"/>
      <w:r w:rsidRPr="00800B54">
        <w:rPr>
          <w:b/>
          <w:bCs/>
          <w:sz w:val="20"/>
          <w:szCs w:val="20"/>
        </w:rPr>
        <w:t>Dhingra</w:t>
      </w:r>
      <w:proofErr w:type="spellEnd"/>
      <w:r w:rsidRPr="00800B54">
        <w:rPr>
          <w:b/>
          <w:bCs/>
          <w:sz w:val="20"/>
          <w:szCs w:val="20"/>
        </w:rPr>
        <w:t xml:space="preserve"> and </w:t>
      </w:r>
      <w:proofErr w:type="spellStart"/>
      <w:r w:rsidRPr="00800B54">
        <w:rPr>
          <w:b/>
          <w:bCs/>
          <w:sz w:val="20"/>
          <w:szCs w:val="20"/>
        </w:rPr>
        <w:t>Bansal</w:t>
      </w:r>
      <w:proofErr w:type="spellEnd"/>
      <w:r w:rsidRPr="00800B54">
        <w:rPr>
          <w:b/>
          <w:bCs/>
          <w:sz w:val="20"/>
          <w:szCs w:val="20"/>
        </w:rPr>
        <w:t xml:space="preserve"> (2006)</w:t>
      </w:r>
      <w:r w:rsidRPr="00800B54">
        <w:rPr>
          <w:sz w:val="20"/>
          <w:szCs w:val="20"/>
        </w:rPr>
        <w:t xml:space="preserve"> reported that Se deficiency has been shown to down regulate the LDL-receptor which is important in regulating the cholesterol level in plasma.</w:t>
      </w:r>
    </w:p>
    <w:p w:rsidR="00EF7B17" w:rsidRPr="00800B54" w:rsidRDefault="00EF7B17" w:rsidP="00545042">
      <w:pPr>
        <w:autoSpaceDE w:val="0"/>
        <w:autoSpaceDN w:val="0"/>
        <w:adjustRightInd w:val="0"/>
        <w:ind w:firstLine="425"/>
        <w:jc w:val="both"/>
        <w:rPr>
          <w:b/>
          <w:bCs/>
          <w:sz w:val="20"/>
          <w:szCs w:val="20"/>
        </w:rPr>
      </w:pPr>
      <w:r w:rsidRPr="00800B54">
        <w:rPr>
          <w:sz w:val="20"/>
          <w:szCs w:val="20"/>
        </w:rPr>
        <w:t xml:space="preserve">The development of new food products by modification of ingredients or processing conditions, cost reduction and quality control, often employs sensory evaluation techniques to determine the acceptability of food. </w:t>
      </w:r>
      <w:proofErr w:type="gramStart"/>
      <w:r w:rsidR="008D5CFB" w:rsidRPr="00800B54">
        <w:rPr>
          <w:b/>
          <w:bCs/>
          <w:sz w:val="20"/>
          <w:szCs w:val="20"/>
        </w:rPr>
        <w:t>(</w:t>
      </w:r>
      <w:proofErr w:type="spellStart"/>
      <w:r w:rsidRPr="00800B54">
        <w:rPr>
          <w:b/>
          <w:bCs/>
          <w:sz w:val="20"/>
          <w:szCs w:val="20"/>
        </w:rPr>
        <w:t>Anjum</w:t>
      </w:r>
      <w:proofErr w:type="spellEnd"/>
      <w:r w:rsidRPr="00800B54">
        <w:rPr>
          <w:b/>
          <w:bCs/>
          <w:sz w:val="20"/>
          <w:szCs w:val="20"/>
        </w:rPr>
        <w:t xml:space="preserve"> </w:t>
      </w:r>
      <w:r w:rsidRPr="00800B54">
        <w:rPr>
          <w:b/>
          <w:bCs/>
          <w:i/>
          <w:iCs/>
          <w:sz w:val="20"/>
          <w:szCs w:val="20"/>
        </w:rPr>
        <w:t>et al.</w:t>
      </w:r>
      <w:r w:rsidR="008D5CFB" w:rsidRPr="00800B54">
        <w:rPr>
          <w:b/>
          <w:bCs/>
          <w:i/>
          <w:iCs/>
          <w:sz w:val="20"/>
          <w:szCs w:val="20"/>
        </w:rPr>
        <w:t>,</w:t>
      </w:r>
      <w:r w:rsidRPr="00800B54">
        <w:rPr>
          <w:b/>
          <w:bCs/>
          <w:sz w:val="20"/>
          <w:szCs w:val="20"/>
        </w:rPr>
        <w:t xml:space="preserve"> 2013).</w:t>
      </w:r>
      <w:proofErr w:type="gramEnd"/>
    </w:p>
    <w:p w:rsidR="00EF7B17" w:rsidRPr="00800B54" w:rsidRDefault="00EF7B17" w:rsidP="00545042">
      <w:pPr>
        <w:autoSpaceDE w:val="0"/>
        <w:autoSpaceDN w:val="0"/>
        <w:adjustRightInd w:val="0"/>
        <w:ind w:firstLine="425"/>
        <w:jc w:val="both"/>
        <w:rPr>
          <w:sz w:val="20"/>
          <w:szCs w:val="20"/>
        </w:rPr>
      </w:pPr>
      <w:r w:rsidRPr="00800B54">
        <w:rPr>
          <w:sz w:val="20"/>
          <w:szCs w:val="20"/>
        </w:rPr>
        <w:t>In this experiment, the broiler meat in both raw and cooked samples was not affected by increasing Se levels in diet regarding color, tenderness and overall acceptability. Conversely, in case of odor there were significant differences between T1and T5</w:t>
      </w:r>
      <w:r w:rsidRPr="00800B54">
        <w:rPr>
          <w:sz w:val="20"/>
          <w:szCs w:val="20"/>
          <w:rtl/>
        </w:rPr>
        <w:t xml:space="preserve"> </w:t>
      </w:r>
      <w:r w:rsidRPr="00800B54">
        <w:rPr>
          <w:sz w:val="20"/>
          <w:szCs w:val="20"/>
        </w:rPr>
        <w:t>in raw samples and between T1 and T4 in boiled samples. Also, T5 differ significantly from T1</w:t>
      </w:r>
      <w:r w:rsidRPr="00800B54">
        <w:rPr>
          <w:sz w:val="20"/>
          <w:szCs w:val="20"/>
          <w:rtl/>
        </w:rPr>
        <w:t xml:space="preserve"> </w:t>
      </w:r>
      <w:r w:rsidRPr="00800B54">
        <w:rPr>
          <w:sz w:val="20"/>
          <w:szCs w:val="20"/>
        </w:rPr>
        <w:t>in boiled samples when flavor was tested. These differences may due to the odor and the flavor of the yeast that may be more pronounced in the highest level of Se in T5 but in other cooking samples there were no significant differences between this highest level and control treatment (T1) when odor and flavor were tested. Our results are in the same line with</w:t>
      </w:r>
      <w:r w:rsidRPr="00800B54">
        <w:rPr>
          <w:rFonts w:eastAsia="Times-Roman"/>
          <w:sz w:val="20"/>
          <w:szCs w:val="20"/>
        </w:rPr>
        <w:t xml:space="preserve"> </w:t>
      </w:r>
      <w:proofErr w:type="spellStart"/>
      <w:r w:rsidRPr="00800B54">
        <w:rPr>
          <w:rFonts w:eastAsia="Times-Roman"/>
          <w:b/>
          <w:bCs/>
          <w:sz w:val="20"/>
          <w:szCs w:val="20"/>
        </w:rPr>
        <w:t>Miezeliene</w:t>
      </w:r>
      <w:proofErr w:type="spellEnd"/>
      <w:r w:rsidRPr="00800B54">
        <w:rPr>
          <w:rFonts w:eastAsia="Times-Roman"/>
          <w:b/>
          <w:bCs/>
          <w:sz w:val="20"/>
          <w:szCs w:val="20"/>
        </w:rPr>
        <w:t xml:space="preserve"> </w:t>
      </w:r>
      <w:r w:rsidRPr="00800B54">
        <w:rPr>
          <w:rFonts w:eastAsia="Times-Roman"/>
          <w:b/>
          <w:bCs/>
          <w:i/>
          <w:iCs/>
          <w:sz w:val="20"/>
          <w:szCs w:val="20"/>
        </w:rPr>
        <w:t>et al.</w:t>
      </w:r>
      <w:r w:rsidRPr="00800B54">
        <w:rPr>
          <w:rFonts w:eastAsia="Times-Roman"/>
          <w:b/>
          <w:bCs/>
          <w:sz w:val="20"/>
          <w:szCs w:val="20"/>
        </w:rPr>
        <w:t xml:space="preserve"> (2011) </w:t>
      </w:r>
      <w:r w:rsidRPr="00800B54">
        <w:rPr>
          <w:rFonts w:eastAsia="Times-Roman"/>
          <w:sz w:val="20"/>
          <w:szCs w:val="20"/>
        </w:rPr>
        <w:t xml:space="preserve">who reported that addition of Se and vitamin E or their combination on chicken feed had no significant impact on perceived intensities of sensory and texture profiles of the chicken breasts or thigh muscle in general. On the other hand, </w:t>
      </w:r>
      <w:proofErr w:type="spellStart"/>
      <w:r w:rsidRPr="00800B54">
        <w:rPr>
          <w:b/>
          <w:bCs/>
          <w:sz w:val="20"/>
          <w:szCs w:val="20"/>
        </w:rPr>
        <w:t>Hussain</w:t>
      </w:r>
      <w:proofErr w:type="spellEnd"/>
      <w:r w:rsidRPr="00800B54">
        <w:rPr>
          <w:b/>
          <w:bCs/>
          <w:sz w:val="20"/>
          <w:szCs w:val="20"/>
        </w:rPr>
        <w:t xml:space="preserve"> </w:t>
      </w:r>
      <w:r w:rsidRPr="00800B54">
        <w:rPr>
          <w:b/>
          <w:bCs/>
          <w:i/>
          <w:iCs/>
          <w:sz w:val="20"/>
          <w:szCs w:val="20"/>
        </w:rPr>
        <w:t>et al.</w:t>
      </w:r>
      <w:r w:rsidRPr="00800B54">
        <w:rPr>
          <w:b/>
          <w:bCs/>
          <w:sz w:val="20"/>
          <w:szCs w:val="20"/>
        </w:rPr>
        <w:t xml:space="preserve"> (2012)</w:t>
      </w:r>
      <w:r w:rsidRPr="00800B54">
        <w:rPr>
          <w:sz w:val="20"/>
          <w:szCs w:val="20"/>
        </w:rPr>
        <w:t xml:space="preserve"> </w:t>
      </w:r>
      <w:r w:rsidRPr="00800B54">
        <w:rPr>
          <w:rFonts w:eastAsia="Times-Roman"/>
          <w:sz w:val="20"/>
          <w:szCs w:val="20"/>
        </w:rPr>
        <w:t xml:space="preserve">cited that </w:t>
      </w:r>
      <w:r w:rsidRPr="00800B54">
        <w:rPr>
          <w:sz w:val="20"/>
          <w:szCs w:val="20"/>
        </w:rPr>
        <w:t xml:space="preserve">the odor, flavor and overall acceptability were not changed due to different Se </w:t>
      </w:r>
      <w:r w:rsidRPr="00800B54">
        <w:rPr>
          <w:sz w:val="20"/>
          <w:szCs w:val="20"/>
        </w:rPr>
        <w:lastRenderedPageBreak/>
        <w:t xml:space="preserve">sources, levels, and storage days in chicken breast meat but showed significant influence on color and </w:t>
      </w:r>
      <w:r w:rsidRPr="00800B54">
        <w:rPr>
          <w:sz w:val="20"/>
          <w:szCs w:val="20"/>
        </w:rPr>
        <w:lastRenderedPageBreak/>
        <w:t>juiciness during the 12 days of storage.</w:t>
      </w:r>
    </w:p>
    <w:p w:rsidR="00EF7B17" w:rsidRDefault="00EF7B17" w:rsidP="00EF7B17">
      <w:pPr>
        <w:autoSpaceDE w:val="0"/>
        <w:autoSpaceDN w:val="0"/>
        <w:adjustRightInd w:val="0"/>
        <w:jc w:val="lowKashida"/>
        <w:rPr>
          <w:b/>
          <w:bCs/>
          <w:color w:val="000000"/>
          <w:sz w:val="20"/>
          <w:szCs w:val="20"/>
        </w:rPr>
        <w:sectPr w:rsidR="00EF7B17" w:rsidSect="005F559E">
          <w:footnotePr>
            <w:pos w:val="beneathText"/>
          </w:footnotePr>
          <w:type w:val="continuous"/>
          <w:pgSz w:w="12240" w:h="15840" w:code="1"/>
          <w:pgMar w:top="1440" w:right="1440" w:bottom="1440" w:left="1440" w:header="720" w:footer="720" w:gutter="0"/>
          <w:cols w:num="2" w:space="576"/>
          <w:docGrid w:linePitch="360"/>
        </w:sectPr>
      </w:pPr>
    </w:p>
    <w:p w:rsidR="00EF7B17" w:rsidRDefault="00EF7B17" w:rsidP="00EF7B17">
      <w:pPr>
        <w:autoSpaceDE w:val="0"/>
        <w:autoSpaceDN w:val="0"/>
        <w:adjustRightInd w:val="0"/>
        <w:jc w:val="lowKashida"/>
        <w:rPr>
          <w:b/>
          <w:bCs/>
          <w:color w:val="000000"/>
          <w:sz w:val="20"/>
          <w:szCs w:val="20"/>
          <w:lang w:eastAsia="zh-CN"/>
        </w:rPr>
      </w:pPr>
    </w:p>
    <w:p w:rsidR="005F559E" w:rsidRDefault="005F559E" w:rsidP="00EF7B17">
      <w:pPr>
        <w:autoSpaceDE w:val="0"/>
        <w:autoSpaceDN w:val="0"/>
        <w:adjustRightInd w:val="0"/>
        <w:jc w:val="lowKashida"/>
        <w:rPr>
          <w:b/>
          <w:bCs/>
          <w:color w:val="000000"/>
          <w:sz w:val="20"/>
          <w:szCs w:val="20"/>
          <w:lang w:eastAsia="zh-CN"/>
        </w:rPr>
      </w:pPr>
    </w:p>
    <w:p w:rsidR="00EF7B17" w:rsidRPr="00B17D02" w:rsidRDefault="00EF7B17" w:rsidP="00545042">
      <w:pPr>
        <w:jc w:val="center"/>
        <w:rPr>
          <w:b/>
          <w:bCs/>
          <w:sz w:val="18"/>
          <w:szCs w:val="18"/>
        </w:rPr>
      </w:pPr>
      <w:proofErr w:type="gramStart"/>
      <w:r w:rsidRPr="00B17D02">
        <w:rPr>
          <w:b/>
          <w:bCs/>
          <w:sz w:val="18"/>
          <w:szCs w:val="18"/>
        </w:rPr>
        <w:t>Table (1).</w:t>
      </w:r>
      <w:proofErr w:type="gramEnd"/>
      <w:r w:rsidRPr="00B17D02">
        <w:rPr>
          <w:b/>
          <w:bCs/>
          <w:sz w:val="18"/>
          <w:szCs w:val="18"/>
        </w:rPr>
        <w:t xml:space="preserve"> Feed ingredients and chemical composition of basal diets.</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3"/>
        <w:gridCol w:w="2791"/>
        <w:gridCol w:w="2655"/>
      </w:tblGrid>
      <w:tr w:rsidR="00EF7B17" w:rsidRPr="00B17D02" w:rsidTr="00BB4BDD">
        <w:trPr>
          <w:trHeight w:val="283"/>
          <w:jc w:val="center"/>
        </w:trPr>
        <w:tc>
          <w:tcPr>
            <w:tcW w:w="2653" w:type="dxa"/>
            <w:tcBorders>
              <w:left w:val="single" w:sz="4" w:space="0" w:color="auto"/>
              <w:right w:val="single" w:sz="4" w:space="0" w:color="auto"/>
            </w:tcBorders>
            <w:vAlign w:val="center"/>
          </w:tcPr>
          <w:p w:rsidR="00EF7B17" w:rsidRPr="00B17D02" w:rsidRDefault="00EF7B17" w:rsidP="00BB4BDD">
            <w:pPr>
              <w:widowControl w:val="0"/>
              <w:autoSpaceDE w:val="0"/>
              <w:autoSpaceDN w:val="0"/>
              <w:adjustRightInd w:val="0"/>
              <w:ind w:left="-108" w:firstLine="108"/>
              <w:rPr>
                <w:b/>
                <w:bCs/>
                <w:sz w:val="18"/>
                <w:szCs w:val="18"/>
              </w:rPr>
            </w:pPr>
            <w:r w:rsidRPr="00B17D02">
              <w:rPr>
                <w:b/>
                <w:bCs/>
                <w:sz w:val="18"/>
                <w:szCs w:val="18"/>
              </w:rPr>
              <w:t>Ingredients</w:t>
            </w:r>
          </w:p>
        </w:tc>
        <w:tc>
          <w:tcPr>
            <w:tcW w:w="2791" w:type="dxa"/>
            <w:tcBorders>
              <w:left w:val="single" w:sz="4" w:space="0" w:color="auto"/>
              <w:right w:val="single" w:sz="4" w:space="0" w:color="auto"/>
            </w:tcBorders>
            <w:vAlign w:val="center"/>
          </w:tcPr>
          <w:p w:rsidR="00EF7B17" w:rsidRPr="00B17D02" w:rsidRDefault="00EF7B17" w:rsidP="00BB4BDD">
            <w:pPr>
              <w:jc w:val="center"/>
              <w:rPr>
                <w:b/>
                <w:bCs/>
                <w:sz w:val="18"/>
                <w:szCs w:val="18"/>
              </w:rPr>
            </w:pPr>
            <w:r w:rsidRPr="00B17D02">
              <w:rPr>
                <w:b/>
                <w:bCs/>
                <w:sz w:val="18"/>
                <w:szCs w:val="18"/>
              </w:rPr>
              <w:t>Starter</w:t>
            </w:r>
          </w:p>
          <w:p w:rsidR="00EF7B17" w:rsidRPr="00B17D02" w:rsidRDefault="00EF7B17" w:rsidP="00BB4BDD">
            <w:pPr>
              <w:jc w:val="center"/>
              <w:rPr>
                <w:b/>
                <w:bCs/>
                <w:sz w:val="18"/>
                <w:szCs w:val="18"/>
              </w:rPr>
            </w:pPr>
            <w:r w:rsidRPr="00B17D02">
              <w:rPr>
                <w:b/>
                <w:bCs/>
                <w:sz w:val="18"/>
                <w:szCs w:val="18"/>
              </w:rPr>
              <w:t xml:space="preserve"> (0-2 weeks of age)</w:t>
            </w:r>
          </w:p>
        </w:tc>
        <w:tc>
          <w:tcPr>
            <w:tcW w:w="2655" w:type="dxa"/>
            <w:tcBorders>
              <w:left w:val="single" w:sz="4" w:space="0" w:color="auto"/>
              <w:right w:val="single" w:sz="4" w:space="0" w:color="auto"/>
            </w:tcBorders>
            <w:vAlign w:val="center"/>
          </w:tcPr>
          <w:p w:rsidR="00EF7B17" w:rsidRPr="00B17D02" w:rsidRDefault="00EF7B17" w:rsidP="00BB4BDD">
            <w:pPr>
              <w:jc w:val="center"/>
              <w:rPr>
                <w:b/>
                <w:bCs/>
                <w:sz w:val="18"/>
                <w:szCs w:val="18"/>
              </w:rPr>
            </w:pPr>
            <w:r w:rsidRPr="00B17D02">
              <w:rPr>
                <w:b/>
                <w:bCs/>
                <w:sz w:val="18"/>
                <w:szCs w:val="18"/>
              </w:rPr>
              <w:t xml:space="preserve">Grower </w:t>
            </w:r>
          </w:p>
          <w:p w:rsidR="00EF7B17" w:rsidRPr="00B17D02" w:rsidRDefault="00EF7B17" w:rsidP="00BB4BDD">
            <w:pPr>
              <w:jc w:val="center"/>
              <w:rPr>
                <w:b/>
                <w:bCs/>
                <w:sz w:val="18"/>
                <w:szCs w:val="18"/>
              </w:rPr>
            </w:pPr>
            <w:r w:rsidRPr="00B17D02">
              <w:rPr>
                <w:b/>
                <w:bCs/>
                <w:sz w:val="18"/>
                <w:szCs w:val="18"/>
              </w:rPr>
              <w:t>(3-5 weeks of age)</w:t>
            </w:r>
          </w:p>
        </w:tc>
      </w:tr>
      <w:tr w:rsidR="00EF7B17" w:rsidRPr="00B17D02" w:rsidTr="00EF7B17">
        <w:trPr>
          <w:trHeight w:val="70"/>
          <w:jc w:val="center"/>
        </w:trPr>
        <w:tc>
          <w:tcPr>
            <w:tcW w:w="2653" w:type="dxa"/>
            <w:tcBorders>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Yellow corn</w:t>
            </w:r>
          </w:p>
        </w:tc>
        <w:tc>
          <w:tcPr>
            <w:tcW w:w="2791" w:type="dxa"/>
            <w:tcBorders>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56.00</w:t>
            </w:r>
          </w:p>
        </w:tc>
        <w:tc>
          <w:tcPr>
            <w:tcW w:w="2655" w:type="dxa"/>
            <w:tcBorders>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59.93</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SBM 44 %</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28.85</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26.42</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Corn gluten 60 %</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8.95</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6.90</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Soybean oil</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1.50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2.50</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Ca carbonate</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1.60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1.45</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MCP</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1.85</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1.60</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L-Lysine</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0.40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0.35</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MHA</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0.25</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0.25</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Salt (</w:t>
            </w:r>
            <w:proofErr w:type="spellStart"/>
            <w:r w:rsidRPr="00B17D02">
              <w:rPr>
                <w:b/>
                <w:bCs/>
                <w:sz w:val="18"/>
                <w:szCs w:val="18"/>
              </w:rPr>
              <w:t>NaCl</w:t>
            </w:r>
            <w:proofErr w:type="spellEnd"/>
            <w:r w:rsidRPr="00B17D02">
              <w:rPr>
                <w:b/>
                <w:bCs/>
                <w:sz w:val="18"/>
                <w:szCs w:val="18"/>
              </w:rPr>
              <w:t>)</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0.30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0.30</w:t>
            </w:r>
          </w:p>
        </w:tc>
      </w:tr>
      <w:tr w:rsidR="00EF7B17" w:rsidRPr="00B17D02" w:rsidTr="00EF7B17">
        <w:trPr>
          <w:trHeight w:val="80"/>
          <w:jc w:val="center"/>
        </w:trPr>
        <w:tc>
          <w:tcPr>
            <w:tcW w:w="2653" w:type="dxa"/>
            <w:tcBorders>
              <w:top w:val="nil"/>
              <w:left w:val="single" w:sz="4" w:space="0" w:color="auto"/>
              <w:bottom w:val="single" w:sz="4" w:space="0" w:color="auto"/>
            </w:tcBorders>
            <w:vAlign w:val="center"/>
          </w:tcPr>
          <w:p w:rsidR="00EF7B17" w:rsidRPr="00B17D02" w:rsidRDefault="00EF7B17" w:rsidP="00BB4BDD">
            <w:pPr>
              <w:ind w:left="-108" w:firstLine="108"/>
              <w:rPr>
                <w:b/>
                <w:bCs/>
                <w:sz w:val="18"/>
                <w:szCs w:val="18"/>
              </w:rPr>
            </w:pPr>
            <w:r w:rsidRPr="00B17D02">
              <w:rPr>
                <w:b/>
                <w:bCs/>
                <w:sz w:val="18"/>
                <w:szCs w:val="18"/>
              </w:rPr>
              <w:t>Premix</w:t>
            </w:r>
          </w:p>
        </w:tc>
        <w:tc>
          <w:tcPr>
            <w:tcW w:w="2791" w:type="dxa"/>
            <w:tcBorders>
              <w:top w:val="nil"/>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0.30</w:t>
            </w:r>
          </w:p>
        </w:tc>
        <w:tc>
          <w:tcPr>
            <w:tcW w:w="2655" w:type="dxa"/>
            <w:tcBorders>
              <w:top w:val="nil"/>
              <w:left w:val="single" w:sz="4" w:space="0" w:color="auto"/>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0.30</w:t>
            </w:r>
          </w:p>
        </w:tc>
      </w:tr>
      <w:tr w:rsidR="00EF7B17" w:rsidRPr="00B17D02" w:rsidTr="00EF7B17">
        <w:trPr>
          <w:trHeight w:val="70"/>
          <w:jc w:val="center"/>
        </w:trPr>
        <w:tc>
          <w:tcPr>
            <w:tcW w:w="2653" w:type="dxa"/>
            <w:tcBorders>
              <w:left w:val="single" w:sz="4" w:space="0" w:color="auto"/>
              <w:bottom w:val="single" w:sz="4" w:space="0" w:color="auto"/>
              <w:right w:val="single" w:sz="4" w:space="0" w:color="auto"/>
            </w:tcBorders>
            <w:vAlign w:val="center"/>
          </w:tcPr>
          <w:p w:rsidR="00EF7B17" w:rsidRPr="00B17D02" w:rsidRDefault="00EF7B17" w:rsidP="00BB4BDD">
            <w:pPr>
              <w:ind w:left="-98" w:firstLine="108"/>
              <w:rPr>
                <w:b/>
                <w:bCs/>
                <w:sz w:val="18"/>
                <w:szCs w:val="18"/>
              </w:rPr>
            </w:pPr>
            <w:r w:rsidRPr="00B17D02">
              <w:rPr>
                <w:b/>
                <w:bCs/>
                <w:sz w:val="18"/>
                <w:szCs w:val="18"/>
              </w:rPr>
              <w:t>Total</w:t>
            </w:r>
          </w:p>
        </w:tc>
        <w:tc>
          <w:tcPr>
            <w:tcW w:w="2791" w:type="dxa"/>
            <w:tcBorders>
              <w:left w:val="single" w:sz="4" w:space="0" w:color="auto"/>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100.00</w:t>
            </w:r>
          </w:p>
        </w:tc>
        <w:tc>
          <w:tcPr>
            <w:tcW w:w="2655" w:type="dxa"/>
            <w:tcBorders>
              <w:left w:val="single" w:sz="4" w:space="0" w:color="auto"/>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100.00</w:t>
            </w:r>
          </w:p>
        </w:tc>
      </w:tr>
      <w:tr w:rsidR="00EF7B17" w:rsidRPr="00B17D02" w:rsidTr="00EF7B17">
        <w:trPr>
          <w:trHeight w:val="70"/>
          <w:jc w:val="center"/>
        </w:trPr>
        <w:tc>
          <w:tcPr>
            <w:tcW w:w="2653" w:type="dxa"/>
            <w:tcBorders>
              <w:top w:val="single" w:sz="4" w:space="0" w:color="auto"/>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CP%</w:t>
            </w:r>
          </w:p>
        </w:tc>
        <w:tc>
          <w:tcPr>
            <w:tcW w:w="2791" w:type="dxa"/>
            <w:tcBorders>
              <w:top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23.00</w:t>
            </w:r>
          </w:p>
        </w:tc>
        <w:tc>
          <w:tcPr>
            <w:tcW w:w="2655" w:type="dxa"/>
            <w:tcBorders>
              <w:top w:val="single" w:sz="4" w:space="0" w:color="auto"/>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21.00</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ME Kcal/Kg diet</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3000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3100</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Lysine</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1.41</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1.29</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proofErr w:type="spellStart"/>
            <w:r w:rsidRPr="00B17D02">
              <w:rPr>
                <w:b/>
                <w:bCs/>
                <w:sz w:val="18"/>
                <w:szCs w:val="18"/>
              </w:rPr>
              <w:t>Methionine</w:t>
            </w:r>
            <w:proofErr w:type="spellEnd"/>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0.66</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0.62</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proofErr w:type="spellStart"/>
            <w:r w:rsidRPr="00B17D02">
              <w:rPr>
                <w:b/>
                <w:bCs/>
                <w:sz w:val="18"/>
                <w:szCs w:val="18"/>
              </w:rPr>
              <w:t>Methionine</w:t>
            </w:r>
            <w:proofErr w:type="spellEnd"/>
            <w:r w:rsidRPr="00B17D02">
              <w:rPr>
                <w:b/>
                <w:bCs/>
                <w:sz w:val="18"/>
                <w:szCs w:val="18"/>
              </w:rPr>
              <w:t xml:space="preserve"> + </w:t>
            </w:r>
            <w:proofErr w:type="spellStart"/>
            <w:r w:rsidRPr="00B17D02">
              <w:rPr>
                <w:b/>
                <w:bCs/>
                <w:sz w:val="18"/>
                <w:szCs w:val="18"/>
              </w:rPr>
              <w:t>Cysteine</w:t>
            </w:r>
            <w:proofErr w:type="spellEnd"/>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1.05</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0.98</w:t>
            </w:r>
          </w:p>
        </w:tc>
      </w:tr>
      <w:tr w:rsidR="00EF7B17" w:rsidRPr="00B17D02" w:rsidTr="00EF7B17">
        <w:trPr>
          <w:trHeight w:val="80"/>
          <w:jc w:val="center"/>
        </w:trPr>
        <w:tc>
          <w:tcPr>
            <w:tcW w:w="2653" w:type="dxa"/>
            <w:tcBorders>
              <w:top w:val="nil"/>
              <w:left w:val="single" w:sz="4" w:space="0" w:color="auto"/>
              <w:bottom w:val="nil"/>
            </w:tcBorders>
            <w:vAlign w:val="center"/>
          </w:tcPr>
          <w:p w:rsidR="00EF7B17" w:rsidRPr="00B17D02" w:rsidRDefault="00EF7B17" w:rsidP="00BB4BDD">
            <w:pPr>
              <w:ind w:left="-108" w:firstLine="108"/>
              <w:rPr>
                <w:b/>
                <w:bCs/>
                <w:sz w:val="18"/>
                <w:szCs w:val="18"/>
              </w:rPr>
            </w:pPr>
            <w:r w:rsidRPr="00B17D02">
              <w:rPr>
                <w:b/>
                <w:bCs/>
                <w:sz w:val="18"/>
                <w:szCs w:val="18"/>
              </w:rPr>
              <w:t>Ca%</w:t>
            </w:r>
          </w:p>
        </w:tc>
        <w:tc>
          <w:tcPr>
            <w:tcW w:w="2791" w:type="dxa"/>
            <w:tcBorders>
              <w:top w:val="nil"/>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1.00</w:t>
            </w:r>
          </w:p>
        </w:tc>
        <w:tc>
          <w:tcPr>
            <w:tcW w:w="2655" w:type="dxa"/>
            <w:tcBorders>
              <w:top w:val="nil"/>
              <w:left w:val="single" w:sz="4" w:space="0" w:color="auto"/>
              <w:bottom w:val="nil"/>
              <w:right w:val="single" w:sz="4" w:space="0" w:color="auto"/>
            </w:tcBorders>
            <w:vAlign w:val="center"/>
          </w:tcPr>
          <w:p w:rsidR="00EF7B17" w:rsidRPr="00B17D02" w:rsidRDefault="00EF7B17" w:rsidP="00BB4BDD">
            <w:pPr>
              <w:jc w:val="center"/>
              <w:rPr>
                <w:sz w:val="18"/>
                <w:szCs w:val="18"/>
              </w:rPr>
            </w:pPr>
            <w:r w:rsidRPr="00B17D02">
              <w:rPr>
                <w:sz w:val="18"/>
                <w:szCs w:val="18"/>
              </w:rPr>
              <w:t>0.90</w:t>
            </w:r>
          </w:p>
        </w:tc>
      </w:tr>
      <w:tr w:rsidR="00EF7B17" w:rsidRPr="00B17D02" w:rsidTr="00EF7B17">
        <w:trPr>
          <w:trHeight w:val="80"/>
          <w:jc w:val="center"/>
        </w:trPr>
        <w:tc>
          <w:tcPr>
            <w:tcW w:w="2653" w:type="dxa"/>
            <w:tcBorders>
              <w:top w:val="nil"/>
              <w:left w:val="single" w:sz="4" w:space="0" w:color="auto"/>
              <w:bottom w:val="single" w:sz="4" w:space="0" w:color="auto"/>
            </w:tcBorders>
            <w:vAlign w:val="center"/>
          </w:tcPr>
          <w:p w:rsidR="00EF7B17" w:rsidRPr="00B17D02" w:rsidRDefault="00EF7B17" w:rsidP="00BB4BDD">
            <w:pPr>
              <w:ind w:left="-108" w:firstLine="108"/>
              <w:rPr>
                <w:b/>
                <w:bCs/>
                <w:sz w:val="18"/>
                <w:szCs w:val="18"/>
              </w:rPr>
            </w:pPr>
            <w:r w:rsidRPr="00B17D02">
              <w:rPr>
                <w:b/>
                <w:bCs/>
                <w:sz w:val="18"/>
                <w:szCs w:val="18"/>
              </w:rPr>
              <w:t>NPP%</w:t>
            </w:r>
          </w:p>
        </w:tc>
        <w:tc>
          <w:tcPr>
            <w:tcW w:w="2791" w:type="dxa"/>
            <w:tcBorders>
              <w:top w:val="nil"/>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0.51</w:t>
            </w:r>
          </w:p>
        </w:tc>
        <w:tc>
          <w:tcPr>
            <w:tcW w:w="2655" w:type="dxa"/>
            <w:tcBorders>
              <w:top w:val="nil"/>
              <w:left w:val="single" w:sz="4" w:space="0" w:color="auto"/>
              <w:bottom w:val="single" w:sz="4" w:space="0" w:color="auto"/>
              <w:right w:val="single" w:sz="4" w:space="0" w:color="auto"/>
            </w:tcBorders>
            <w:vAlign w:val="center"/>
          </w:tcPr>
          <w:p w:rsidR="00EF7B17" w:rsidRPr="00B17D02" w:rsidRDefault="00EF7B17" w:rsidP="00BB4BDD">
            <w:pPr>
              <w:jc w:val="center"/>
              <w:rPr>
                <w:sz w:val="18"/>
                <w:szCs w:val="18"/>
              </w:rPr>
            </w:pPr>
            <w:r w:rsidRPr="00B17D02">
              <w:rPr>
                <w:sz w:val="18"/>
                <w:szCs w:val="18"/>
              </w:rPr>
              <w:t>0.45</w:t>
            </w:r>
          </w:p>
        </w:tc>
      </w:tr>
    </w:tbl>
    <w:p w:rsidR="00EF7B17" w:rsidRPr="00B17D02" w:rsidRDefault="00A432E9" w:rsidP="00A432E9">
      <w:pPr>
        <w:widowControl w:val="0"/>
        <w:autoSpaceDE w:val="0"/>
        <w:autoSpaceDN w:val="0"/>
        <w:adjustRightInd w:val="0"/>
        <w:ind w:left="142" w:right="90" w:hanging="142"/>
        <w:jc w:val="both"/>
        <w:rPr>
          <w:sz w:val="18"/>
          <w:szCs w:val="18"/>
          <w:lang w:eastAsia="zh-CN"/>
        </w:rPr>
      </w:pPr>
      <w:r>
        <w:rPr>
          <w:sz w:val="18"/>
          <w:szCs w:val="18"/>
        </w:rPr>
        <w:t xml:space="preserve">                </w:t>
      </w:r>
      <w:r w:rsidR="00EF7B17" w:rsidRPr="00B17D02">
        <w:rPr>
          <w:sz w:val="18"/>
          <w:szCs w:val="18"/>
        </w:rPr>
        <w:t>SBM: soybean meal,          MCP: mono-calcium phosphate               MHA</w:t>
      </w:r>
      <w:r w:rsidR="005F559E">
        <w:rPr>
          <w:sz w:val="18"/>
          <w:szCs w:val="18"/>
        </w:rPr>
        <w:t xml:space="preserve">: </w:t>
      </w:r>
      <w:proofErr w:type="spellStart"/>
      <w:r w:rsidR="005F559E">
        <w:rPr>
          <w:sz w:val="18"/>
          <w:szCs w:val="18"/>
        </w:rPr>
        <w:t>methionine</w:t>
      </w:r>
      <w:proofErr w:type="spellEnd"/>
      <w:r w:rsidR="005F559E">
        <w:rPr>
          <w:sz w:val="18"/>
          <w:szCs w:val="18"/>
        </w:rPr>
        <w:t xml:space="preserve"> </w:t>
      </w:r>
      <w:proofErr w:type="spellStart"/>
      <w:r w:rsidR="005F559E">
        <w:rPr>
          <w:sz w:val="18"/>
          <w:szCs w:val="18"/>
        </w:rPr>
        <w:t>hydroxy</w:t>
      </w:r>
      <w:proofErr w:type="spellEnd"/>
      <w:r w:rsidR="005F559E">
        <w:rPr>
          <w:sz w:val="18"/>
          <w:szCs w:val="18"/>
        </w:rPr>
        <w:t xml:space="preserve">-analogue  </w:t>
      </w:r>
    </w:p>
    <w:p w:rsidR="00EF7B17" w:rsidRPr="00B17D02" w:rsidRDefault="00A432E9" w:rsidP="00EF7B17">
      <w:pPr>
        <w:widowControl w:val="0"/>
        <w:autoSpaceDE w:val="0"/>
        <w:autoSpaceDN w:val="0"/>
        <w:adjustRightInd w:val="0"/>
        <w:ind w:left="142" w:right="90" w:hanging="142"/>
        <w:jc w:val="both"/>
        <w:rPr>
          <w:sz w:val="18"/>
          <w:szCs w:val="18"/>
        </w:rPr>
      </w:pPr>
      <w:r>
        <w:rPr>
          <w:sz w:val="18"/>
          <w:szCs w:val="18"/>
        </w:rPr>
        <w:t xml:space="preserve">                </w:t>
      </w:r>
      <w:r w:rsidR="00EF7B17" w:rsidRPr="00B17D02">
        <w:rPr>
          <w:sz w:val="18"/>
          <w:szCs w:val="18"/>
        </w:rPr>
        <w:t>NPP: non-</w:t>
      </w:r>
      <w:proofErr w:type="spellStart"/>
      <w:r w:rsidR="00EF7B17" w:rsidRPr="00B17D02">
        <w:rPr>
          <w:sz w:val="18"/>
          <w:szCs w:val="18"/>
        </w:rPr>
        <w:t>phytate</w:t>
      </w:r>
      <w:proofErr w:type="spellEnd"/>
      <w:r w:rsidR="00EF7B17" w:rsidRPr="00B17D02">
        <w:rPr>
          <w:sz w:val="18"/>
          <w:szCs w:val="18"/>
        </w:rPr>
        <w:t xml:space="preserve"> phosphorus.</w:t>
      </w:r>
    </w:p>
    <w:p w:rsidR="00EF7B17" w:rsidRPr="00B17D02" w:rsidRDefault="00A432E9" w:rsidP="00A432E9">
      <w:pPr>
        <w:widowControl w:val="0"/>
        <w:autoSpaceDE w:val="0"/>
        <w:autoSpaceDN w:val="0"/>
        <w:adjustRightInd w:val="0"/>
        <w:ind w:left="142" w:right="90" w:hanging="142"/>
        <w:jc w:val="both"/>
        <w:rPr>
          <w:sz w:val="18"/>
          <w:szCs w:val="18"/>
        </w:rPr>
      </w:pPr>
      <w:r>
        <w:rPr>
          <w:sz w:val="18"/>
          <w:szCs w:val="18"/>
        </w:rPr>
        <w:t xml:space="preserve">               </w:t>
      </w:r>
      <w:r w:rsidR="00EF7B17" w:rsidRPr="00B17D02">
        <w:rPr>
          <w:sz w:val="18"/>
          <w:szCs w:val="18"/>
        </w:rPr>
        <w:t xml:space="preserve">The premix contains: Vitamins: A (12000000 IU); </w:t>
      </w:r>
      <w:proofErr w:type="spellStart"/>
      <w:r w:rsidR="00EF7B17" w:rsidRPr="00B17D02">
        <w:rPr>
          <w:sz w:val="18"/>
          <w:szCs w:val="18"/>
        </w:rPr>
        <w:t>Vit</w:t>
      </w:r>
      <w:proofErr w:type="spellEnd"/>
      <w:r w:rsidR="00EF7B17" w:rsidRPr="00B17D02">
        <w:rPr>
          <w:sz w:val="18"/>
          <w:szCs w:val="18"/>
        </w:rPr>
        <w:t xml:space="preserve">. </w:t>
      </w:r>
      <w:proofErr w:type="gramStart"/>
      <w:r w:rsidR="00EF7B17" w:rsidRPr="00B17D02">
        <w:rPr>
          <w:sz w:val="18"/>
          <w:szCs w:val="18"/>
        </w:rPr>
        <w:t xml:space="preserve">D3 (2000000 IU); </w:t>
      </w:r>
      <w:proofErr w:type="spellStart"/>
      <w:r w:rsidR="00EF7B17" w:rsidRPr="00B17D02">
        <w:rPr>
          <w:sz w:val="18"/>
          <w:szCs w:val="18"/>
        </w:rPr>
        <w:t>Vit</w:t>
      </w:r>
      <w:proofErr w:type="spellEnd"/>
      <w:r w:rsidR="00EF7B17" w:rsidRPr="00B17D02">
        <w:rPr>
          <w:sz w:val="18"/>
          <w:szCs w:val="18"/>
        </w:rPr>
        <w:t>.</w:t>
      </w:r>
      <w:proofErr w:type="gramEnd"/>
      <w:r w:rsidR="00EF7B17" w:rsidRPr="00B17D02">
        <w:rPr>
          <w:sz w:val="18"/>
          <w:szCs w:val="18"/>
        </w:rPr>
        <w:t xml:space="preserve"> E (10000 mg)</w:t>
      </w:r>
      <w:proofErr w:type="gramStart"/>
      <w:r w:rsidR="00EF7B17" w:rsidRPr="00B17D02">
        <w:rPr>
          <w:sz w:val="18"/>
          <w:szCs w:val="18"/>
        </w:rPr>
        <w:t xml:space="preserve">;  </w:t>
      </w:r>
      <w:proofErr w:type="spellStart"/>
      <w:r w:rsidR="00EF7B17" w:rsidRPr="00B17D02">
        <w:rPr>
          <w:sz w:val="18"/>
          <w:szCs w:val="18"/>
        </w:rPr>
        <w:t>Vit</w:t>
      </w:r>
      <w:proofErr w:type="spellEnd"/>
      <w:proofErr w:type="gramEnd"/>
      <w:r w:rsidR="00EF7B17" w:rsidRPr="00B17D02">
        <w:rPr>
          <w:sz w:val="18"/>
          <w:szCs w:val="18"/>
        </w:rPr>
        <w:t>. K</w:t>
      </w:r>
      <w:r w:rsidR="00EF7B17" w:rsidRPr="00B17D02">
        <w:rPr>
          <w:sz w:val="18"/>
          <w:szCs w:val="18"/>
          <w:vertAlign w:val="subscript"/>
        </w:rPr>
        <w:t>3</w:t>
      </w:r>
      <w:r w:rsidR="00EF7B17" w:rsidRPr="00B17D02">
        <w:rPr>
          <w:sz w:val="18"/>
          <w:szCs w:val="18"/>
        </w:rPr>
        <w:t xml:space="preserve"> (2000 mg);</w:t>
      </w:r>
    </w:p>
    <w:p w:rsidR="00A432E9" w:rsidRDefault="00A432E9" w:rsidP="00A432E9">
      <w:pPr>
        <w:widowControl w:val="0"/>
        <w:autoSpaceDE w:val="0"/>
        <w:autoSpaceDN w:val="0"/>
        <w:adjustRightInd w:val="0"/>
        <w:ind w:right="90"/>
        <w:jc w:val="both"/>
        <w:rPr>
          <w:sz w:val="18"/>
          <w:szCs w:val="18"/>
        </w:rPr>
      </w:pPr>
      <w:r>
        <w:rPr>
          <w:sz w:val="18"/>
          <w:szCs w:val="18"/>
        </w:rPr>
        <w:t xml:space="preserve">                </w:t>
      </w:r>
      <w:r w:rsidR="00EF7B17" w:rsidRPr="00B17D02">
        <w:rPr>
          <w:sz w:val="18"/>
          <w:szCs w:val="18"/>
        </w:rPr>
        <w:t>B</w:t>
      </w:r>
      <w:r w:rsidR="00EF7B17" w:rsidRPr="00B17D02">
        <w:rPr>
          <w:sz w:val="18"/>
          <w:szCs w:val="18"/>
          <w:vertAlign w:val="subscript"/>
        </w:rPr>
        <w:t>1</w:t>
      </w:r>
      <w:r w:rsidR="00EF7B17" w:rsidRPr="00B17D02">
        <w:rPr>
          <w:sz w:val="18"/>
          <w:szCs w:val="18"/>
        </w:rPr>
        <w:t xml:space="preserve"> (1000 mg); B</w:t>
      </w:r>
      <w:r w:rsidR="00EF7B17" w:rsidRPr="00B17D02">
        <w:rPr>
          <w:sz w:val="18"/>
          <w:szCs w:val="18"/>
          <w:vertAlign w:val="subscript"/>
        </w:rPr>
        <w:t>2</w:t>
      </w:r>
      <w:r w:rsidR="00EF7B17" w:rsidRPr="00B17D02">
        <w:rPr>
          <w:sz w:val="18"/>
          <w:szCs w:val="18"/>
        </w:rPr>
        <w:t xml:space="preserve"> (5000 mg); B</w:t>
      </w:r>
      <w:r w:rsidR="00EF7B17" w:rsidRPr="00B17D02">
        <w:rPr>
          <w:sz w:val="18"/>
          <w:szCs w:val="18"/>
          <w:vertAlign w:val="subscript"/>
        </w:rPr>
        <w:t>6</w:t>
      </w:r>
      <w:r w:rsidR="00EF7B17" w:rsidRPr="00B17D02">
        <w:rPr>
          <w:sz w:val="18"/>
          <w:szCs w:val="18"/>
        </w:rPr>
        <w:t xml:space="preserve"> (1500 mg); B</w:t>
      </w:r>
      <w:r w:rsidR="00EF7B17" w:rsidRPr="00B17D02">
        <w:rPr>
          <w:sz w:val="18"/>
          <w:szCs w:val="18"/>
          <w:vertAlign w:val="subscript"/>
        </w:rPr>
        <w:t>12</w:t>
      </w:r>
      <w:r w:rsidR="00EF7B17" w:rsidRPr="00B17D02">
        <w:rPr>
          <w:sz w:val="18"/>
          <w:szCs w:val="18"/>
        </w:rPr>
        <w:t xml:space="preserve"> (10 mg); </w:t>
      </w:r>
      <w:proofErr w:type="gramStart"/>
      <w:r w:rsidR="00EF7B17" w:rsidRPr="00B17D02">
        <w:rPr>
          <w:sz w:val="18"/>
          <w:szCs w:val="18"/>
        </w:rPr>
        <w:t>Biotin(</w:t>
      </w:r>
      <w:proofErr w:type="gramEnd"/>
      <w:r w:rsidR="00EF7B17" w:rsidRPr="00B17D02">
        <w:rPr>
          <w:sz w:val="18"/>
          <w:szCs w:val="18"/>
        </w:rPr>
        <w:t xml:space="preserve"> 50 mg); </w:t>
      </w:r>
      <w:proofErr w:type="spellStart"/>
      <w:r w:rsidR="00EF7B17" w:rsidRPr="00B17D02">
        <w:rPr>
          <w:sz w:val="18"/>
          <w:szCs w:val="18"/>
        </w:rPr>
        <w:t>Coline</w:t>
      </w:r>
      <w:proofErr w:type="spellEnd"/>
      <w:r w:rsidR="00EF7B17" w:rsidRPr="00B17D02">
        <w:rPr>
          <w:sz w:val="18"/>
          <w:szCs w:val="18"/>
        </w:rPr>
        <w:t xml:space="preserve"> chloride ( 250000 mg);</w:t>
      </w:r>
    </w:p>
    <w:p w:rsidR="00A432E9" w:rsidRDefault="00A432E9" w:rsidP="00A432E9">
      <w:pPr>
        <w:widowControl w:val="0"/>
        <w:autoSpaceDE w:val="0"/>
        <w:autoSpaceDN w:val="0"/>
        <w:adjustRightInd w:val="0"/>
        <w:ind w:right="90"/>
        <w:jc w:val="both"/>
        <w:rPr>
          <w:sz w:val="18"/>
          <w:szCs w:val="18"/>
        </w:rPr>
      </w:pPr>
      <w:r>
        <w:rPr>
          <w:sz w:val="18"/>
          <w:szCs w:val="18"/>
        </w:rPr>
        <w:t xml:space="preserve">               </w:t>
      </w:r>
      <w:r w:rsidR="00EF7B17">
        <w:rPr>
          <w:sz w:val="18"/>
          <w:szCs w:val="18"/>
        </w:rPr>
        <w:t xml:space="preserve"> </w:t>
      </w:r>
      <w:proofErr w:type="spellStart"/>
      <w:r w:rsidR="00EF7B17" w:rsidRPr="00B17D02">
        <w:rPr>
          <w:sz w:val="18"/>
          <w:szCs w:val="18"/>
        </w:rPr>
        <w:t>Pantothenic</w:t>
      </w:r>
      <w:proofErr w:type="spellEnd"/>
      <w:r w:rsidR="00EF7B17" w:rsidRPr="00B17D02">
        <w:rPr>
          <w:sz w:val="18"/>
          <w:szCs w:val="18"/>
        </w:rPr>
        <w:t xml:space="preserve"> acid (10000 mg); Nicotinic acid (30000 mg); Folic acid (1000 mg); Minerals: </w:t>
      </w:r>
      <w:proofErr w:type="spellStart"/>
      <w:r w:rsidR="00EF7B17" w:rsidRPr="00B17D02">
        <w:rPr>
          <w:sz w:val="18"/>
          <w:szCs w:val="18"/>
        </w:rPr>
        <w:t>Mn</w:t>
      </w:r>
      <w:proofErr w:type="spellEnd"/>
      <w:r w:rsidR="00EF7B17" w:rsidRPr="00B17D02">
        <w:rPr>
          <w:sz w:val="18"/>
          <w:szCs w:val="18"/>
        </w:rPr>
        <w:t>: (60000 mg);</w:t>
      </w:r>
    </w:p>
    <w:p w:rsidR="00EF7B17" w:rsidRPr="00B17D02" w:rsidRDefault="00A432E9" w:rsidP="00A432E9">
      <w:pPr>
        <w:widowControl w:val="0"/>
        <w:autoSpaceDE w:val="0"/>
        <w:autoSpaceDN w:val="0"/>
        <w:adjustRightInd w:val="0"/>
        <w:ind w:right="90"/>
        <w:jc w:val="both"/>
        <w:rPr>
          <w:sz w:val="18"/>
          <w:szCs w:val="18"/>
        </w:rPr>
      </w:pPr>
      <w:r>
        <w:rPr>
          <w:sz w:val="18"/>
          <w:szCs w:val="18"/>
        </w:rPr>
        <w:t xml:space="preserve">               </w:t>
      </w:r>
      <w:r w:rsidR="00EF7B17">
        <w:rPr>
          <w:sz w:val="18"/>
          <w:szCs w:val="18"/>
        </w:rPr>
        <w:t xml:space="preserve"> </w:t>
      </w:r>
      <w:r w:rsidR="00EF7B17" w:rsidRPr="00B17D02">
        <w:rPr>
          <w:sz w:val="18"/>
          <w:szCs w:val="18"/>
        </w:rPr>
        <w:t>Zn: (50000 mg); Fe (30000 mg); Cu 10000 mg; I (1000 mg); and Co: (100 mg).</w:t>
      </w:r>
    </w:p>
    <w:p w:rsidR="00EF7B17" w:rsidRDefault="00EF7B17" w:rsidP="00EF7B17">
      <w:pPr>
        <w:jc w:val="lowKashida"/>
        <w:rPr>
          <w:b/>
          <w:bCs/>
          <w:sz w:val="18"/>
          <w:szCs w:val="18"/>
        </w:rPr>
      </w:pPr>
    </w:p>
    <w:p w:rsidR="00EF7B17" w:rsidRPr="00B17D02" w:rsidRDefault="00EF7B17" w:rsidP="00545042">
      <w:pPr>
        <w:ind w:left="425" w:right="425"/>
        <w:jc w:val="center"/>
        <w:rPr>
          <w:b/>
          <w:bCs/>
          <w:sz w:val="18"/>
          <w:szCs w:val="18"/>
        </w:rPr>
      </w:pPr>
      <w:proofErr w:type="gramStart"/>
      <w:r w:rsidRPr="00B17D02">
        <w:rPr>
          <w:b/>
          <w:bCs/>
          <w:sz w:val="18"/>
          <w:szCs w:val="18"/>
        </w:rPr>
        <w:t>Table (2).</w:t>
      </w:r>
      <w:proofErr w:type="gramEnd"/>
      <w:r w:rsidRPr="00B17D02">
        <w:rPr>
          <w:b/>
          <w:bCs/>
          <w:sz w:val="18"/>
          <w:szCs w:val="18"/>
        </w:rPr>
        <w:t xml:space="preserve"> </w:t>
      </w:r>
      <w:proofErr w:type="gramStart"/>
      <w:r w:rsidRPr="00B17D02">
        <w:rPr>
          <w:b/>
          <w:bCs/>
          <w:sz w:val="18"/>
          <w:szCs w:val="18"/>
        </w:rPr>
        <w:t>Effect of supplementation broilers diet with different levels of organic</w:t>
      </w:r>
      <w:r>
        <w:rPr>
          <w:b/>
          <w:bCs/>
          <w:sz w:val="18"/>
          <w:szCs w:val="18"/>
        </w:rPr>
        <w:t xml:space="preserve"> </w:t>
      </w:r>
      <w:r w:rsidRPr="00B17D02">
        <w:rPr>
          <w:b/>
          <w:bCs/>
          <w:sz w:val="18"/>
          <w:szCs w:val="18"/>
        </w:rPr>
        <w:t>selenium on Se content (mg/kg)</w:t>
      </w:r>
      <w:r w:rsidR="00545042">
        <w:rPr>
          <w:rFonts w:hint="eastAsia"/>
          <w:b/>
          <w:bCs/>
          <w:sz w:val="18"/>
          <w:szCs w:val="18"/>
          <w:lang w:eastAsia="zh-CN"/>
        </w:rPr>
        <w:t xml:space="preserve"> </w:t>
      </w:r>
      <w:r w:rsidRPr="00B17D02">
        <w:rPr>
          <w:b/>
          <w:bCs/>
          <w:sz w:val="18"/>
          <w:szCs w:val="18"/>
        </w:rPr>
        <w:t>in raw and cooked breast samples.</w:t>
      </w:r>
      <w:proofErr w:type="gramEnd"/>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7"/>
        <w:gridCol w:w="1402"/>
        <w:gridCol w:w="1417"/>
        <w:gridCol w:w="1418"/>
        <w:gridCol w:w="1417"/>
        <w:gridCol w:w="1560"/>
      </w:tblGrid>
      <w:tr w:rsidR="00EF7B17" w:rsidRPr="00B17D02" w:rsidTr="007E07D6">
        <w:trPr>
          <w:trHeight w:hRule="exact" w:val="271"/>
          <w:jc w:val="center"/>
        </w:trPr>
        <w:tc>
          <w:tcPr>
            <w:tcW w:w="1497" w:type="dxa"/>
            <w:vMerge w:val="restart"/>
            <w:vAlign w:val="center"/>
          </w:tcPr>
          <w:p w:rsidR="00EF7B17" w:rsidRPr="00B17D02" w:rsidRDefault="00EF7B17" w:rsidP="00BB4BDD">
            <w:pPr>
              <w:jc w:val="center"/>
              <w:rPr>
                <w:b/>
                <w:bCs/>
                <w:sz w:val="18"/>
                <w:szCs w:val="18"/>
              </w:rPr>
            </w:pPr>
            <w:r w:rsidRPr="00B17D02">
              <w:rPr>
                <w:b/>
                <w:bCs/>
                <w:sz w:val="18"/>
                <w:szCs w:val="18"/>
              </w:rPr>
              <w:t>Samples</w:t>
            </w:r>
          </w:p>
        </w:tc>
        <w:tc>
          <w:tcPr>
            <w:tcW w:w="7214" w:type="dxa"/>
            <w:gridSpan w:val="5"/>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Organic selenium levels in diet (mg/kg diet)</w:t>
            </w:r>
          </w:p>
        </w:tc>
      </w:tr>
      <w:tr w:rsidR="00EF7B17" w:rsidRPr="00B17D02" w:rsidTr="007E07D6">
        <w:trPr>
          <w:trHeight w:hRule="exact" w:val="508"/>
          <w:jc w:val="center"/>
        </w:trPr>
        <w:tc>
          <w:tcPr>
            <w:tcW w:w="1497" w:type="dxa"/>
            <w:vMerge/>
            <w:tcBorders>
              <w:bottom w:val="single" w:sz="4" w:space="0" w:color="000000"/>
            </w:tcBorders>
            <w:vAlign w:val="center"/>
          </w:tcPr>
          <w:p w:rsidR="00EF7B17" w:rsidRPr="00B17D02" w:rsidRDefault="00EF7B17" w:rsidP="00BB4BDD">
            <w:pPr>
              <w:rPr>
                <w:sz w:val="18"/>
                <w:szCs w:val="18"/>
              </w:rPr>
            </w:pPr>
          </w:p>
        </w:tc>
        <w:tc>
          <w:tcPr>
            <w:tcW w:w="1402"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0.2</w:t>
            </w:r>
          </w:p>
          <w:p w:rsidR="00EF7B17" w:rsidRPr="00B17D02" w:rsidRDefault="00EF7B17" w:rsidP="00BB4BDD">
            <w:pPr>
              <w:jc w:val="center"/>
              <w:rPr>
                <w:b/>
                <w:bCs/>
                <w:sz w:val="18"/>
                <w:szCs w:val="18"/>
              </w:rPr>
            </w:pPr>
            <w:r w:rsidRPr="00B17D02">
              <w:rPr>
                <w:b/>
                <w:bCs/>
                <w:sz w:val="18"/>
                <w:szCs w:val="18"/>
              </w:rPr>
              <w:t>(T1)</w:t>
            </w:r>
          </w:p>
          <w:p w:rsidR="00EF7B17" w:rsidRPr="00B17D02" w:rsidRDefault="00EF7B17" w:rsidP="00BB4BDD">
            <w:pPr>
              <w:jc w:val="center"/>
              <w:rPr>
                <w:b/>
                <w:bCs/>
                <w:sz w:val="18"/>
                <w:szCs w:val="18"/>
              </w:rPr>
            </w:pPr>
          </w:p>
        </w:tc>
        <w:tc>
          <w:tcPr>
            <w:tcW w:w="1417"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0.3</w:t>
            </w:r>
          </w:p>
          <w:p w:rsidR="00EF7B17" w:rsidRPr="00B17D02" w:rsidRDefault="00EF7B17" w:rsidP="00BB4BDD">
            <w:pPr>
              <w:jc w:val="center"/>
              <w:rPr>
                <w:b/>
                <w:bCs/>
                <w:sz w:val="18"/>
                <w:szCs w:val="18"/>
              </w:rPr>
            </w:pPr>
            <w:r w:rsidRPr="00B17D02">
              <w:rPr>
                <w:b/>
                <w:bCs/>
                <w:sz w:val="18"/>
                <w:szCs w:val="18"/>
              </w:rPr>
              <w:t>(T2)</w:t>
            </w:r>
          </w:p>
          <w:p w:rsidR="00EF7B17" w:rsidRPr="00B17D02" w:rsidRDefault="00EF7B17" w:rsidP="00BB4BDD">
            <w:pPr>
              <w:jc w:val="center"/>
              <w:rPr>
                <w:b/>
                <w:bCs/>
                <w:sz w:val="18"/>
                <w:szCs w:val="18"/>
              </w:rPr>
            </w:pPr>
          </w:p>
        </w:tc>
        <w:tc>
          <w:tcPr>
            <w:tcW w:w="1418"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0.4</w:t>
            </w:r>
          </w:p>
          <w:p w:rsidR="00EF7B17" w:rsidRPr="00B17D02" w:rsidRDefault="00EF7B17" w:rsidP="00BB4BDD">
            <w:pPr>
              <w:jc w:val="center"/>
              <w:rPr>
                <w:b/>
                <w:bCs/>
                <w:sz w:val="18"/>
                <w:szCs w:val="18"/>
              </w:rPr>
            </w:pPr>
            <w:r w:rsidRPr="00B17D02">
              <w:rPr>
                <w:b/>
                <w:bCs/>
                <w:sz w:val="18"/>
                <w:szCs w:val="18"/>
              </w:rPr>
              <w:t>(T3)</w:t>
            </w:r>
          </w:p>
          <w:p w:rsidR="00EF7B17" w:rsidRPr="00B17D02" w:rsidRDefault="00EF7B17" w:rsidP="00BB4BDD">
            <w:pPr>
              <w:jc w:val="center"/>
              <w:rPr>
                <w:b/>
                <w:bCs/>
                <w:sz w:val="18"/>
                <w:szCs w:val="18"/>
              </w:rPr>
            </w:pPr>
          </w:p>
        </w:tc>
        <w:tc>
          <w:tcPr>
            <w:tcW w:w="1417"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0.5</w:t>
            </w:r>
          </w:p>
          <w:p w:rsidR="00EF7B17" w:rsidRPr="00B17D02" w:rsidRDefault="00EF7B17" w:rsidP="00BB4BDD">
            <w:pPr>
              <w:jc w:val="center"/>
              <w:rPr>
                <w:b/>
                <w:bCs/>
                <w:sz w:val="18"/>
                <w:szCs w:val="18"/>
              </w:rPr>
            </w:pPr>
            <w:r w:rsidRPr="00B17D02">
              <w:rPr>
                <w:b/>
                <w:bCs/>
                <w:sz w:val="18"/>
                <w:szCs w:val="18"/>
              </w:rPr>
              <w:t>(T4)</w:t>
            </w:r>
          </w:p>
          <w:p w:rsidR="00EF7B17" w:rsidRPr="00B17D02" w:rsidRDefault="00EF7B17" w:rsidP="00BB4BDD">
            <w:pPr>
              <w:jc w:val="center"/>
              <w:rPr>
                <w:b/>
                <w:bCs/>
                <w:sz w:val="18"/>
                <w:szCs w:val="18"/>
              </w:rPr>
            </w:pPr>
          </w:p>
        </w:tc>
        <w:tc>
          <w:tcPr>
            <w:tcW w:w="1560"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0.6</w:t>
            </w:r>
          </w:p>
          <w:p w:rsidR="00EF7B17" w:rsidRPr="00B17D02" w:rsidRDefault="00EF7B17" w:rsidP="00BB4BDD">
            <w:pPr>
              <w:jc w:val="center"/>
              <w:rPr>
                <w:b/>
                <w:bCs/>
                <w:sz w:val="18"/>
                <w:szCs w:val="18"/>
              </w:rPr>
            </w:pPr>
            <w:r w:rsidRPr="00B17D02">
              <w:rPr>
                <w:b/>
                <w:bCs/>
                <w:sz w:val="18"/>
                <w:szCs w:val="18"/>
              </w:rPr>
              <w:t>(T5)</w:t>
            </w:r>
          </w:p>
          <w:p w:rsidR="00EF7B17" w:rsidRPr="00B17D02" w:rsidRDefault="00EF7B17" w:rsidP="00BB4BDD">
            <w:pPr>
              <w:jc w:val="center"/>
              <w:rPr>
                <w:b/>
                <w:bCs/>
                <w:sz w:val="18"/>
                <w:szCs w:val="18"/>
              </w:rPr>
            </w:pPr>
          </w:p>
        </w:tc>
      </w:tr>
      <w:tr w:rsidR="00EF7B17" w:rsidRPr="00B17D02" w:rsidTr="007E07D6">
        <w:trPr>
          <w:trHeight w:hRule="exact" w:val="271"/>
          <w:jc w:val="center"/>
        </w:trPr>
        <w:tc>
          <w:tcPr>
            <w:tcW w:w="1497" w:type="dxa"/>
            <w:tcBorders>
              <w:bottom w:val="nil"/>
            </w:tcBorders>
            <w:vAlign w:val="center"/>
          </w:tcPr>
          <w:p w:rsidR="00EF7B17" w:rsidRPr="00B17D02" w:rsidRDefault="00EF7B17" w:rsidP="00BB4BDD">
            <w:pPr>
              <w:rPr>
                <w:b/>
                <w:bCs/>
                <w:sz w:val="18"/>
                <w:szCs w:val="18"/>
              </w:rPr>
            </w:pPr>
            <w:r w:rsidRPr="00B17D02">
              <w:rPr>
                <w:b/>
                <w:bCs/>
                <w:sz w:val="18"/>
                <w:szCs w:val="18"/>
              </w:rPr>
              <w:t>Raw</w:t>
            </w:r>
          </w:p>
        </w:tc>
        <w:tc>
          <w:tcPr>
            <w:tcW w:w="1402" w:type="dxa"/>
            <w:tcBorders>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0.13 ± 0.009</w:t>
            </w:r>
            <w:r w:rsidRPr="00B17D02">
              <w:rPr>
                <w:sz w:val="18"/>
                <w:szCs w:val="18"/>
                <w:vertAlign w:val="superscript"/>
              </w:rPr>
              <w:t>BCe</w:t>
            </w:r>
          </w:p>
        </w:tc>
        <w:tc>
          <w:tcPr>
            <w:tcW w:w="1417" w:type="dxa"/>
            <w:tcBorders>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0.20 ± 0.015</w:t>
            </w:r>
            <w:r w:rsidRPr="00B17D02">
              <w:rPr>
                <w:sz w:val="18"/>
                <w:szCs w:val="18"/>
                <w:vertAlign w:val="superscript"/>
              </w:rPr>
              <w:t>Bd</w:t>
            </w:r>
          </w:p>
        </w:tc>
        <w:tc>
          <w:tcPr>
            <w:tcW w:w="1418" w:type="dxa"/>
            <w:tcBorders>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0.28 ± 0.015</w:t>
            </w:r>
            <w:r w:rsidRPr="00B17D02">
              <w:rPr>
                <w:sz w:val="18"/>
                <w:szCs w:val="18"/>
                <w:vertAlign w:val="superscript"/>
              </w:rPr>
              <w:t>Bc</w:t>
            </w:r>
          </w:p>
        </w:tc>
        <w:tc>
          <w:tcPr>
            <w:tcW w:w="1417" w:type="dxa"/>
            <w:tcBorders>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0.38 ± 0.020</w:t>
            </w:r>
            <w:r w:rsidRPr="00B17D02">
              <w:rPr>
                <w:sz w:val="18"/>
                <w:szCs w:val="18"/>
                <w:vertAlign w:val="superscript"/>
              </w:rPr>
              <w:t>ABb</w:t>
            </w:r>
          </w:p>
        </w:tc>
        <w:tc>
          <w:tcPr>
            <w:tcW w:w="1560" w:type="dxa"/>
            <w:tcBorders>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0.48 ± 0.020</w:t>
            </w:r>
            <w:r w:rsidRPr="00B17D02">
              <w:rPr>
                <w:sz w:val="18"/>
                <w:szCs w:val="18"/>
                <w:vertAlign w:val="superscript"/>
              </w:rPr>
              <w:t>ABa</w:t>
            </w:r>
          </w:p>
        </w:tc>
      </w:tr>
      <w:tr w:rsidR="00EF7B17" w:rsidRPr="00B17D02" w:rsidTr="007E07D6">
        <w:trPr>
          <w:trHeight w:hRule="exact" w:val="271"/>
          <w:jc w:val="center"/>
        </w:trPr>
        <w:tc>
          <w:tcPr>
            <w:tcW w:w="1497" w:type="dxa"/>
            <w:tcBorders>
              <w:top w:val="nil"/>
              <w:bottom w:val="nil"/>
            </w:tcBorders>
            <w:vAlign w:val="center"/>
          </w:tcPr>
          <w:p w:rsidR="00EF7B17" w:rsidRPr="00B17D02" w:rsidRDefault="00EF7B17" w:rsidP="00BB4BDD">
            <w:pPr>
              <w:rPr>
                <w:b/>
                <w:bCs/>
                <w:sz w:val="18"/>
                <w:szCs w:val="18"/>
              </w:rPr>
            </w:pPr>
            <w:r w:rsidRPr="00B17D02">
              <w:rPr>
                <w:b/>
                <w:bCs/>
                <w:sz w:val="18"/>
                <w:szCs w:val="18"/>
              </w:rPr>
              <w:t>Boiling</w:t>
            </w:r>
          </w:p>
        </w:tc>
        <w:tc>
          <w:tcPr>
            <w:tcW w:w="1402" w:type="dxa"/>
            <w:tcBorders>
              <w:top w:val="nil"/>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0.11 ± 0.006</w:t>
            </w:r>
            <w:r w:rsidRPr="00B17D02">
              <w:rPr>
                <w:sz w:val="18"/>
                <w:szCs w:val="18"/>
                <w:vertAlign w:val="superscript"/>
              </w:rPr>
              <w:t>C</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0.17 ± 0.009</w:t>
            </w:r>
            <w:r w:rsidRPr="00B17D02">
              <w:rPr>
                <w:sz w:val="18"/>
                <w:szCs w:val="18"/>
                <w:vertAlign w:val="superscript"/>
              </w:rPr>
              <w:t>C</w:t>
            </w:r>
          </w:p>
        </w:tc>
        <w:tc>
          <w:tcPr>
            <w:tcW w:w="1418"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0.23 ± 0.012</w:t>
            </w:r>
            <w:r w:rsidRPr="00B17D02">
              <w:rPr>
                <w:sz w:val="18"/>
                <w:szCs w:val="18"/>
                <w:vertAlign w:val="superscript"/>
              </w:rPr>
              <w:t>C</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0.35 ± 0.012</w:t>
            </w:r>
            <w:r w:rsidRPr="00B17D02">
              <w:rPr>
                <w:sz w:val="18"/>
                <w:szCs w:val="18"/>
                <w:vertAlign w:val="superscript"/>
              </w:rPr>
              <w:t>B</w:t>
            </w:r>
          </w:p>
        </w:tc>
        <w:tc>
          <w:tcPr>
            <w:tcW w:w="1560"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0.42 ± 0.015</w:t>
            </w:r>
            <w:r w:rsidRPr="00B17D02">
              <w:rPr>
                <w:sz w:val="18"/>
                <w:szCs w:val="18"/>
                <w:vertAlign w:val="superscript"/>
              </w:rPr>
              <w:t>C</w:t>
            </w:r>
          </w:p>
        </w:tc>
      </w:tr>
      <w:tr w:rsidR="00EF7B17" w:rsidRPr="00B17D02" w:rsidTr="008B3FE5">
        <w:trPr>
          <w:trHeight w:hRule="exact" w:val="456"/>
          <w:jc w:val="center"/>
        </w:trPr>
        <w:tc>
          <w:tcPr>
            <w:tcW w:w="1497" w:type="dxa"/>
            <w:tcBorders>
              <w:top w:val="nil"/>
              <w:bottom w:val="nil"/>
            </w:tcBorders>
            <w:vAlign w:val="center"/>
          </w:tcPr>
          <w:p w:rsidR="00EF7B17" w:rsidRPr="00B17D02" w:rsidRDefault="00EF7B17" w:rsidP="00BB4BDD">
            <w:pPr>
              <w:rPr>
                <w:b/>
                <w:bCs/>
                <w:sz w:val="18"/>
                <w:szCs w:val="18"/>
              </w:rPr>
            </w:pPr>
            <w:r w:rsidRPr="00B17D02">
              <w:rPr>
                <w:b/>
                <w:bCs/>
                <w:sz w:val="18"/>
                <w:szCs w:val="18"/>
              </w:rPr>
              <w:t>Frying after Boiling</w:t>
            </w:r>
          </w:p>
        </w:tc>
        <w:tc>
          <w:tcPr>
            <w:tcW w:w="1402" w:type="dxa"/>
            <w:tcBorders>
              <w:top w:val="nil"/>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0.15 ± 0.015</w:t>
            </w:r>
            <w:r w:rsidRPr="00B17D02">
              <w:rPr>
                <w:sz w:val="18"/>
                <w:szCs w:val="18"/>
                <w:vertAlign w:val="superscript"/>
              </w:rPr>
              <w:t>B</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0.21 ± 0.009</w:t>
            </w:r>
            <w:r w:rsidRPr="00B17D02">
              <w:rPr>
                <w:sz w:val="18"/>
                <w:szCs w:val="18"/>
                <w:vertAlign w:val="superscript"/>
              </w:rPr>
              <w:t>B</w:t>
            </w:r>
          </w:p>
        </w:tc>
        <w:tc>
          <w:tcPr>
            <w:tcW w:w="1418"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0.25 ± 0.009</w:t>
            </w:r>
            <w:r w:rsidRPr="00B17D02">
              <w:rPr>
                <w:sz w:val="18"/>
                <w:szCs w:val="18"/>
                <w:vertAlign w:val="superscript"/>
              </w:rPr>
              <w:t>BC</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0.40 ± 0.009</w:t>
            </w:r>
            <w:r w:rsidRPr="00B17D02">
              <w:rPr>
                <w:sz w:val="18"/>
                <w:szCs w:val="18"/>
                <w:vertAlign w:val="superscript"/>
              </w:rPr>
              <w:t>A</w:t>
            </w:r>
          </w:p>
        </w:tc>
        <w:tc>
          <w:tcPr>
            <w:tcW w:w="1560"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0.45 ± 0.009</w:t>
            </w:r>
            <w:r w:rsidRPr="00B17D02">
              <w:rPr>
                <w:sz w:val="18"/>
                <w:szCs w:val="18"/>
                <w:vertAlign w:val="superscript"/>
              </w:rPr>
              <w:t>BC</w:t>
            </w:r>
          </w:p>
        </w:tc>
      </w:tr>
      <w:tr w:rsidR="00EF7B17" w:rsidRPr="00B17D02" w:rsidTr="007E07D6">
        <w:trPr>
          <w:trHeight w:hRule="exact" w:val="271"/>
          <w:jc w:val="center"/>
        </w:trPr>
        <w:tc>
          <w:tcPr>
            <w:tcW w:w="1497" w:type="dxa"/>
            <w:tcBorders>
              <w:top w:val="nil"/>
              <w:bottom w:val="single" w:sz="4" w:space="0" w:color="000000"/>
            </w:tcBorders>
            <w:vAlign w:val="center"/>
          </w:tcPr>
          <w:p w:rsidR="00EF7B17" w:rsidRPr="00B17D02" w:rsidRDefault="00EF7B17" w:rsidP="00BB4BDD">
            <w:pPr>
              <w:rPr>
                <w:b/>
                <w:bCs/>
                <w:sz w:val="18"/>
                <w:szCs w:val="18"/>
              </w:rPr>
            </w:pPr>
            <w:r w:rsidRPr="00B17D02">
              <w:rPr>
                <w:b/>
                <w:bCs/>
                <w:sz w:val="18"/>
                <w:szCs w:val="18"/>
              </w:rPr>
              <w:t>Grill</w:t>
            </w:r>
          </w:p>
        </w:tc>
        <w:tc>
          <w:tcPr>
            <w:tcW w:w="1402" w:type="dxa"/>
            <w:tcBorders>
              <w:top w:val="nil"/>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0.18 ± 0.009</w:t>
            </w:r>
            <w:r w:rsidRPr="00B17D02">
              <w:rPr>
                <w:sz w:val="18"/>
                <w:szCs w:val="18"/>
                <w:vertAlign w:val="superscript"/>
              </w:rPr>
              <w:t>A</w:t>
            </w:r>
          </w:p>
        </w:tc>
        <w:tc>
          <w:tcPr>
            <w:tcW w:w="1417"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0.27 ± 0.012</w:t>
            </w:r>
            <w:r w:rsidRPr="00B17D02">
              <w:rPr>
                <w:sz w:val="18"/>
                <w:szCs w:val="18"/>
                <w:vertAlign w:val="superscript"/>
              </w:rPr>
              <w:t>A</w:t>
            </w:r>
          </w:p>
        </w:tc>
        <w:tc>
          <w:tcPr>
            <w:tcW w:w="1418"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0.32 ± 0.009</w:t>
            </w:r>
            <w:r w:rsidRPr="00B17D02">
              <w:rPr>
                <w:sz w:val="18"/>
                <w:szCs w:val="18"/>
                <w:vertAlign w:val="superscript"/>
              </w:rPr>
              <w:t>A</w:t>
            </w:r>
          </w:p>
        </w:tc>
        <w:tc>
          <w:tcPr>
            <w:tcW w:w="1417"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0.43 ± 0.009</w:t>
            </w:r>
            <w:r w:rsidRPr="00B17D02">
              <w:rPr>
                <w:sz w:val="18"/>
                <w:szCs w:val="18"/>
                <w:vertAlign w:val="superscript"/>
              </w:rPr>
              <w:t>A</w:t>
            </w:r>
          </w:p>
        </w:tc>
        <w:tc>
          <w:tcPr>
            <w:tcW w:w="1560" w:type="dxa"/>
            <w:tcBorders>
              <w:top w:val="nil"/>
              <w:left w:val="single" w:sz="4" w:space="0" w:color="000000"/>
              <w:bottom w:val="single" w:sz="4" w:space="0" w:color="000000"/>
            </w:tcBorders>
            <w:vAlign w:val="center"/>
          </w:tcPr>
          <w:p w:rsidR="00EF7B17" w:rsidRPr="00B17D02" w:rsidRDefault="00EF7B17" w:rsidP="00BB4BDD">
            <w:pPr>
              <w:jc w:val="center"/>
              <w:rPr>
                <w:sz w:val="18"/>
                <w:szCs w:val="18"/>
              </w:rPr>
            </w:pPr>
            <w:r w:rsidRPr="00B17D02">
              <w:rPr>
                <w:sz w:val="18"/>
                <w:szCs w:val="18"/>
              </w:rPr>
              <w:t>0.52 ± 0.006</w:t>
            </w:r>
            <w:r w:rsidRPr="00B17D02">
              <w:rPr>
                <w:sz w:val="18"/>
                <w:szCs w:val="18"/>
                <w:vertAlign w:val="superscript"/>
              </w:rPr>
              <w:t>A</w:t>
            </w:r>
          </w:p>
        </w:tc>
      </w:tr>
    </w:tbl>
    <w:p w:rsidR="007E07D6" w:rsidRDefault="00EF7B17" w:rsidP="00EF7B17">
      <w:pPr>
        <w:ind w:left="-142" w:right="-377"/>
        <w:rPr>
          <w:sz w:val="18"/>
          <w:szCs w:val="18"/>
        </w:rPr>
      </w:pPr>
      <w:r w:rsidRPr="00B17D02">
        <w:rPr>
          <w:sz w:val="18"/>
          <w:szCs w:val="18"/>
        </w:rPr>
        <w:t xml:space="preserve">        </w:t>
      </w:r>
      <w:r w:rsidR="007E07D6">
        <w:rPr>
          <w:sz w:val="18"/>
          <w:szCs w:val="18"/>
        </w:rPr>
        <w:t xml:space="preserve">   </w:t>
      </w:r>
      <w:r w:rsidRPr="00B17D02">
        <w:rPr>
          <w:sz w:val="18"/>
          <w:szCs w:val="18"/>
        </w:rPr>
        <w:t>Each value represents the mean ± SE. Different capital letters indicate significant difference at (</w:t>
      </w:r>
      <w:r w:rsidRPr="00B17D02">
        <w:rPr>
          <w:i/>
          <w:iCs/>
          <w:sz w:val="18"/>
          <w:szCs w:val="18"/>
        </w:rPr>
        <w:t>P</w:t>
      </w:r>
      <w:r w:rsidRPr="00B17D02">
        <w:rPr>
          <w:sz w:val="18"/>
          <w:szCs w:val="18"/>
        </w:rPr>
        <w:t xml:space="preserve"> ≤ 0.05) among means </w:t>
      </w:r>
    </w:p>
    <w:p w:rsidR="00EF7B17" w:rsidRPr="00B17D02" w:rsidRDefault="007E07D6" w:rsidP="007E07D6">
      <w:pPr>
        <w:ind w:left="-142" w:right="-377"/>
        <w:rPr>
          <w:b/>
          <w:bCs/>
          <w:sz w:val="18"/>
          <w:szCs w:val="18"/>
        </w:rPr>
      </w:pPr>
      <w:r>
        <w:rPr>
          <w:sz w:val="18"/>
          <w:szCs w:val="18"/>
        </w:rPr>
        <w:t xml:space="preserve">           </w:t>
      </w:r>
      <w:proofErr w:type="gramStart"/>
      <w:r w:rsidR="00EF7B17" w:rsidRPr="00B17D02">
        <w:rPr>
          <w:sz w:val="18"/>
          <w:szCs w:val="18"/>
        </w:rPr>
        <w:t>in</w:t>
      </w:r>
      <w:proofErr w:type="gramEnd"/>
      <w:r>
        <w:rPr>
          <w:sz w:val="18"/>
          <w:szCs w:val="18"/>
        </w:rPr>
        <w:t xml:space="preserve"> </w:t>
      </w:r>
      <w:r w:rsidR="00EF7B17" w:rsidRPr="00B17D02">
        <w:rPr>
          <w:sz w:val="18"/>
          <w:szCs w:val="18"/>
        </w:rPr>
        <w:t>the same column. Different small letters indicate significant difference at (</w:t>
      </w:r>
      <w:r w:rsidR="00EF7B17" w:rsidRPr="00B17D02">
        <w:rPr>
          <w:i/>
          <w:iCs/>
          <w:sz w:val="18"/>
          <w:szCs w:val="18"/>
        </w:rPr>
        <w:t>P</w:t>
      </w:r>
      <w:r w:rsidR="00EF7B17" w:rsidRPr="00B17D02">
        <w:rPr>
          <w:sz w:val="18"/>
          <w:szCs w:val="18"/>
        </w:rPr>
        <w:t xml:space="preserve"> ≤ 0.05) among means in the same row.</w:t>
      </w:r>
      <w:r w:rsidR="00EF7B17" w:rsidRPr="00B17D02">
        <w:rPr>
          <w:sz w:val="18"/>
          <w:szCs w:val="18"/>
        </w:rPr>
        <w:tab/>
      </w:r>
      <w:r w:rsidR="00EF7B17" w:rsidRPr="00B17D02">
        <w:rPr>
          <w:sz w:val="18"/>
          <w:szCs w:val="18"/>
        </w:rPr>
        <w:tab/>
      </w:r>
      <w:r w:rsidR="00EF7B17" w:rsidRPr="00B17D02">
        <w:rPr>
          <w:b/>
          <w:bCs/>
          <w:sz w:val="18"/>
          <w:szCs w:val="18"/>
        </w:rPr>
        <w:t xml:space="preserve"> </w:t>
      </w:r>
    </w:p>
    <w:p w:rsidR="00EF7B17" w:rsidRPr="00B17D02" w:rsidRDefault="00EF7B17" w:rsidP="00EF7B17">
      <w:pPr>
        <w:jc w:val="both"/>
        <w:rPr>
          <w:b/>
          <w:bCs/>
          <w:sz w:val="18"/>
          <w:szCs w:val="18"/>
        </w:rPr>
      </w:pPr>
      <w:r w:rsidRPr="00B17D02">
        <w:rPr>
          <w:b/>
          <w:bCs/>
          <w:sz w:val="18"/>
          <w:szCs w:val="18"/>
        </w:rPr>
        <w:t xml:space="preserve">  </w:t>
      </w:r>
      <w:r w:rsidR="008B3FE5">
        <w:rPr>
          <w:b/>
          <w:bCs/>
          <w:sz w:val="18"/>
          <w:szCs w:val="18"/>
        </w:rPr>
        <w:t xml:space="preserve">      </w:t>
      </w:r>
      <w:proofErr w:type="gramStart"/>
      <w:r w:rsidRPr="00B17D02">
        <w:rPr>
          <w:b/>
          <w:bCs/>
          <w:sz w:val="18"/>
          <w:szCs w:val="18"/>
        </w:rPr>
        <w:t>Table (3).</w:t>
      </w:r>
      <w:proofErr w:type="gramEnd"/>
      <w:r w:rsidRPr="00B17D02">
        <w:rPr>
          <w:b/>
          <w:bCs/>
          <w:sz w:val="18"/>
          <w:szCs w:val="18"/>
        </w:rPr>
        <w:t xml:space="preserve"> Effect of supplementation broilers diet with different levels of </w:t>
      </w:r>
      <w:proofErr w:type="gramStart"/>
      <w:r w:rsidRPr="00B17D02">
        <w:rPr>
          <w:b/>
          <w:bCs/>
          <w:sz w:val="18"/>
          <w:szCs w:val="18"/>
        </w:rPr>
        <w:t>o</w:t>
      </w:r>
      <w:r>
        <w:rPr>
          <w:b/>
          <w:bCs/>
          <w:sz w:val="18"/>
          <w:szCs w:val="18"/>
        </w:rPr>
        <w:t xml:space="preserve">rganic  </w:t>
      </w:r>
      <w:r w:rsidRPr="00B17D02">
        <w:rPr>
          <w:b/>
          <w:bCs/>
          <w:sz w:val="18"/>
          <w:szCs w:val="18"/>
        </w:rPr>
        <w:t>s</w:t>
      </w:r>
      <w:r>
        <w:rPr>
          <w:b/>
          <w:bCs/>
          <w:sz w:val="18"/>
          <w:szCs w:val="18"/>
        </w:rPr>
        <w:t>elenium</w:t>
      </w:r>
      <w:proofErr w:type="gramEnd"/>
      <w:r>
        <w:rPr>
          <w:b/>
          <w:bCs/>
          <w:sz w:val="18"/>
          <w:szCs w:val="18"/>
        </w:rPr>
        <w:t xml:space="preserve"> on cooking losses (%).</w:t>
      </w:r>
      <w:r>
        <w:rPr>
          <w:b/>
          <w:bCs/>
          <w:sz w:val="18"/>
          <w:szCs w:val="18"/>
        </w:rPr>
        <w:tab/>
      </w:r>
    </w:p>
    <w:tbl>
      <w:tblPr>
        <w:tblW w:w="8622" w:type="dxa"/>
        <w:jc w:val="center"/>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6"/>
        <w:gridCol w:w="1298"/>
        <w:gridCol w:w="1275"/>
        <w:gridCol w:w="1418"/>
        <w:gridCol w:w="1417"/>
        <w:gridCol w:w="1418"/>
      </w:tblGrid>
      <w:tr w:rsidR="00EF7B17" w:rsidRPr="00B17D02" w:rsidTr="008B3FE5">
        <w:trPr>
          <w:trHeight w:hRule="exact" w:val="381"/>
          <w:jc w:val="center"/>
        </w:trPr>
        <w:tc>
          <w:tcPr>
            <w:tcW w:w="1796" w:type="dxa"/>
            <w:vMerge w:val="restart"/>
            <w:vAlign w:val="center"/>
          </w:tcPr>
          <w:p w:rsidR="00EF7B17" w:rsidRPr="00B17D02" w:rsidRDefault="00EF7B17" w:rsidP="00BB4BDD">
            <w:pPr>
              <w:jc w:val="center"/>
              <w:rPr>
                <w:b/>
                <w:bCs/>
                <w:sz w:val="18"/>
                <w:szCs w:val="18"/>
              </w:rPr>
            </w:pPr>
            <w:r w:rsidRPr="00B17D02">
              <w:rPr>
                <w:b/>
                <w:bCs/>
                <w:sz w:val="18"/>
                <w:szCs w:val="18"/>
              </w:rPr>
              <w:t>Samples</w:t>
            </w:r>
          </w:p>
        </w:tc>
        <w:tc>
          <w:tcPr>
            <w:tcW w:w="6826" w:type="dxa"/>
            <w:gridSpan w:val="5"/>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Organic selenium levels in diet (mg/kg diet)</w:t>
            </w:r>
          </w:p>
        </w:tc>
      </w:tr>
      <w:tr w:rsidR="00EF7B17" w:rsidRPr="00B17D02" w:rsidTr="008B3FE5">
        <w:trPr>
          <w:trHeight w:hRule="exact" w:val="409"/>
          <w:jc w:val="center"/>
        </w:trPr>
        <w:tc>
          <w:tcPr>
            <w:tcW w:w="1796" w:type="dxa"/>
            <w:vMerge/>
            <w:tcBorders>
              <w:bottom w:val="single" w:sz="4" w:space="0" w:color="000000"/>
            </w:tcBorders>
            <w:vAlign w:val="center"/>
          </w:tcPr>
          <w:p w:rsidR="00EF7B17" w:rsidRPr="00B17D02" w:rsidRDefault="00EF7B17" w:rsidP="00BB4BDD">
            <w:pPr>
              <w:rPr>
                <w:sz w:val="18"/>
                <w:szCs w:val="18"/>
              </w:rPr>
            </w:pPr>
          </w:p>
        </w:tc>
        <w:tc>
          <w:tcPr>
            <w:tcW w:w="1298" w:type="dxa"/>
            <w:tcBorders>
              <w:bottom w:val="single" w:sz="4" w:space="0" w:color="000000"/>
            </w:tcBorders>
            <w:vAlign w:val="center"/>
          </w:tcPr>
          <w:p w:rsidR="007E07D6" w:rsidRDefault="00EF7B17" w:rsidP="00EF7B17">
            <w:pPr>
              <w:jc w:val="center"/>
              <w:rPr>
                <w:b/>
                <w:bCs/>
                <w:sz w:val="18"/>
                <w:szCs w:val="18"/>
              </w:rPr>
            </w:pPr>
            <w:r w:rsidRPr="00B17D02">
              <w:rPr>
                <w:b/>
                <w:bCs/>
                <w:sz w:val="18"/>
                <w:szCs w:val="18"/>
              </w:rPr>
              <w:t>0.2</w:t>
            </w:r>
          </w:p>
          <w:p w:rsidR="00EF7B17" w:rsidRPr="00B17D02" w:rsidRDefault="00EF7B17" w:rsidP="00EF7B17">
            <w:pPr>
              <w:jc w:val="center"/>
              <w:rPr>
                <w:b/>
                <w:bCs/>
                <w:sz w:val="18"/>
                <w:szCs w:val="18"/>
              </w:rPr>
            </w:pPr>
            <w:r>
              <w:rPr>
                <w:b/>
                <w:bCs/>
                <w:sz w:val="18"/>
                <w:szCs w:val="18"/>
              </w:rPr>
              <w:t xml:space="preserve"> </w:t>
            </w:r>
            <w:r w:rsidRPr="00B17D02">
              <w:rPr>
                <w:b/>
                <w:bCs/>
                <w:sz w:val="18"/>
                <w:szCs w:val="18"/>
              </w:rPr>
              <w:t>(T1)</w:t>
            </w:r>
          </w:p>
          <w:p w:rsidR="00EF7B17" w:rsidRPr="00B17D02" w:rsidRDefault="00EF7B17" w:rsidP="00BB4BDD">
            <w:pPr>
              <w:jc w:val="center"/>
              <w:rPr>
                <w:b/>
                <w:bCs/>
                <w:sz w:val="18"/>
                <w:szCs w:val="18"/>
              </w:rPr>
            </w:pPr>
          </w:p>
        </w:tc>
        <w:tc>
          <w:tcPr>
            <w:tcW w:w="1275" w:type="dxa"/>
            <w:tcBorders>
              <w:bottom w:val="single" w:sz="4" w:space="0" w:color="000000"/>
            </w:tcBorders>
            <w:vAlign w:val="center"/>
          </w:tcPr>
          <w:p w:rsidR="007E07D6" w:rsidRDefault="00EF7B17" w:rsidP="00EF7B17">
            <w:pPr>
              <w:jc w:val="center"/>
              <w:rPr>
                <w:b/>
                <w:bCs/>
                <w:sz w:val="18"/>
                <w:szCs w:val="18"/>
              </w:rPr>
            </w:pPr>
            <w:r w:rsidRPr="00B17D02">
              <w:rPr>
                <w:b/>
                <w:bCs/>
                <w:sz w:val="18"/>
                <w:szCs w:val="18"/>
              </w:rPr>
              <w:t>0.3</w:t>
            </w:r>
            <w:r>
              <w:rPr>
                <w:b/>
                <w:bCs/>
                <w:sz w:val="18"/>
                <w:szCs w:val="18"/>
              </w:rPr>
              <w:t xml:space="preserve"> </w:t>
            </w:r>
          </w:p>
          <w:p w:rsidR="00EF7B17" w:rsidRPr="00B17D02" w:rsidRDefault="00EF7B17" w:rsidP="00EF7B17">
            <w:pPr>
              <w:jc w:val="center"/>
              <w:rPr>
                <w:b/>
                <w:bCs/>
                <w:sz w:val="18"/>
                <w:szCs w:val="18"/>
              </w:rPr>
            </w:pPr>
            <w:r w:rsidRPr="00B17D02">
              <w:rPr>
                <w:b/>
                <w:bCs/>
                <w:sz w:val="18"/>
                <w:szCs w:val="18"/>
              </w:rPr>
              <w:t>(T2)</w:t>
            </w:r>
          </w:p>
          <w:p w:rsidR="00EF7B17" w:rsidRPr="00B17D02" w:rsidRDefault="00EF7B17" w:rsidP="00BB4BDD">
            <w:pPr>
              <w:jc w:val="center"/>
              <w:rPr>
                <w:b/>
                <w:bCs/>
                <w:sz w:val="18"/>
                <w:szCs w:val="18"/>
              </w:rPr>
            </w:pPr>
          </w:p>
        </w:tc>
        <w:tc>
          <w:tcPr>
            <w:tcW w:w="1418" w:type="dxa"/>
            <w:tcBorders>
              <w:bottom w:val="single" w:sz="4" w:space="0" w:color="000000"/>
            </w:tcBorders>
            <w:vAlign w:val="center"/>
          </w:tcPr>
          <w:p w:rsidR="007E07D6" w:rsidRDefault="00EF7B17" w:rsidP="00EF7B17">
            <w:pPr>
              <w:jc w:val="center"/>
              <w:rPr>
                <w:b/>
                <w:bCs/>
                <w:sz w:val="18"/>
                <w:szCs w:val="18"/>
              </w:rPr>
            </w:pPr>
            <w:r w:rsidRPr="00B17D02">
              <w:rPr>
                <w:b/>
                <w:bCs/>
                <w:sz w:val="18"/>
                <w:szCs w:val="18"/>
              </w:rPr>
              <w:t>0.4</w:t>
            </w:r>
            <w:r>
              <w:rPr>
                <w:b/>
                <w:bCs/>
                <w:sz w:val="18"/>
                <w:szCs w:val="18"/>
              </w:rPr>
              <w:t xml:space="preserve"> </w:t>
            </w:r>
          </w:p>
          <w:p w:rsidR="00EF7B17" w:rsidRPr="00B17D02" w:rsidRDefault="00EF7B17" w:rsidP="00EF7B17">
            <w:pPr>
              <w:jc w:val="center"/>
              <w:rPr>
                <w:b/>
                <w:bCs/>
                <w:sz w:val="18"/>
                <w:szCs w:val="18"/>
              </w:rPr>
            </w:pPr>
            <w:r w:rsidRPr="00B17D02">
              <w:rPr>
                <w:b/>
                <w:bCs/>
                <w:sz w:val="18"/>
                <w:szCs w:val="18"/>
              </w:rPr>
              <w:t>(T3)</w:t>
            </w:r>
          </w:p>
          <w:p w:rsidR="00EF7B17" w:rsidRPr="00B17D02" w:rsidRDefault="00EF7B17" w:rsidP="00BB4BDD">
            <w:pPr>
              <w:jc w:val="center"/>
              <w:rPr>
                <w:b/>
                <w:bCs/>
                <w:sz w:val="18"/>
                <w:szCs w:val="18"/>
              </w:rPr>
            </w:pPr>
          </w:p>
        </w:tc>
        <w:tc>
          <w:tcPr>
            <w:tcW w:w="1417" w:type="dxa"/>
            <w:tcBorders>
              <w:bottom w:val="single" w:sz="4" w:space="0" w:color="000000"/>
            </w:tcBorders>
            <w:vAlign w:val="center"/>
          </w:tcPr>
          <w:p w:rsidR="007E07D6" w:rsidRDefault="00EF7B17" w:rsidP="00EF7B17">
            <w:pPr>
              <w:jc w:val="center"/>
              <w:rPr>
                <w:b/>
                <w:bCs/>
                <w:sz w:val="18"/>
                <w:szCs w:val="18"/>
              </w:rPr>
            </w:pPr>
            <w:r w:rsidRPr="00B17D02">
              <w:rPr>
                <w:b/>
                <w:bCs/>
                <w:sz w:val="18"/>
                <w:szCs w:val="18"/>
              </w:rPr>
              <w:t>0.5</w:t>
            </w:r>
            <w:r>
              <w:rPr>
                <w:b/>
                <w:bCs/>
                <w:sz w:val="18"/>
                <w:szCs w:val="18"/>
              </w:rPr>
              <w:t xml:space="preserve"> </w:t>
            </w:r>
          </w:p>
          <w:p w:rsidR="00EF7B17" w:rsidRPr="00B17D02" w:rsidRDefault="00EF7B17" w:rsidP="00EF7B17">
            <w:pPr>
              <w:jc w:val="center"/>
              <w:rPr>
                <w:b/>
                <w:bCs/>
                <w:sz w:val="18"/>
                <w:szCs w:val="18"/>
              </w:rPr>
            </w:pPr>
            <w:r w:rsidRPr="00B17D02">
              <w:rPr>
                <w:b/>
                <w:bCs/>
                <w:sz w:val="18"/>
                <w:szCs w:val="18"/>
              </w:rPr>
              <w:t>(T4)</w:t>
            </w:r>
          </w:p>
          <w:p w:rsidR="00EF7B17" w:rsidRPr="00B17D02" w:rsidRDefault="00EF7B17" w:rsidP="00BB4BDD">
            <w:pPr>
              <w:jc w:val="center"/>
              <w:rPr>
                <w:b/>
                <w:bCs/>
                <w:sz w:val="18"/>
                <w:szCs w:val="18"/>
              </w:rPr>
            </w:pPr>
          </w:p>
        </w:tc>
        <w:tc>
          <w:tcPr>
            <w:tcW w:w="1418" w:type="dxa"/>
            <w:tcBorders>
              <w:bottom w:val="single" w:sz="4" w:space="0" w:color="000000"/>
            </w:tcBorders>
            <w:vAlign w:val="center"/>
          </w:tcPr>
          <w:p w:rsidR="007E07D6" w:rsidRDefault="00EF7B17" w:rsidP="00EF7B17">
            <w:pPr>
              <w:jc w:val="center"/>
              <w:rPr>
                <w:b/>
                <w:bCs/>
                <w:sz w:val="18"/>
                <w:szCs w:val="18"/>
              </w:rPr>
            </w:pPr>
            <w:r w:rsidRPr="00B17D02">
              <w:rPr>
                <w:b/>
                <w:bCs/>
                <w:sz w:val="18"/>
                <w:szCs w:val="18"/>
              </w:rPr>
              <w:t>0.6</w:t>
            </w:r>
          </w:p>
          <w:p w:rsidR="00EF7B17" w:rsidRPr="00B17D02" w:rsidRDefault="00EF7B17" w:rsidP="00EF7B17">
            <w:pPr>
              <w:jc w:val="center"/>
              <w:rPr>
                <w:b/>
                <w:bCs/>
                <w:sz w:val="18"/>
                <w:szCs w:val="18"/>
              </w:rPr>
            </w:pPr>
            <w:r>
              <w:rPr>
                <w:b/>
                <w:bCs/>
                <w:sz w:val="18"/>
                <w:szCs w:val="18"/>
              </w:rPr>
              <w:t xml:space="preserve"> </w:t>
            </w:r>
            <w:r w:rsidRPr="00B17D02">
              <w:rPr>
                <w:b/>
                <w:bCs/>
                <w:sz w:val="18"/>
                <w:szCs w:val="18"/>
              </w:rPr>
              <w:t>(T5)</w:t>
            </w:r>
          </w:p>
          <w:p w:rsidR="00EF7B17" w:rsidRPr="00B17D02" w:rsidRDefault="00EF7B17" w:rsidP="00BB4BDD">
            <w:pPr>
              <w:jc w:val="center"/>
              <w:rPr>
                <w:b/>
                <w:bCs/>
                <w:sz w:val="18"/>
                <w:szCs w:val="18"/>
              </w:rPr>
            </w:pPr>
          </w:p>
        </w:tc>
      </w:tr>
      <w:tr w:rsidR="00EF7B17" w:rsidRPr="00B17D02" w:rsidTr="008B3FE5">
        <w:trPr>
          <w:trHeight w:hRule="exact" w:val="287"/>
          <w:jc w:val="center"/>
        </w:trPr>
        <w:tc>
          <w:tcPr>
            <w:tcW w:w="1796" w:type="dxa"/>
            <w:tcBorders>
              <w:top w:val="nil"/>
              <w:bottom w:val="nil"/>
            </w:tcBorders>
            <w:vAlign w:val="center"/>
          </w:tcPr>
          <w:p w:rsidR="00EF7B17" w:rsidRPr="00B17D02" w:rsidRDefault="00EF7B17" w:rsidP="00BB4BDD">
            <w:pPr>
              <w:rPr>
                <w:b/>
                <w:bCs/>
                <w:sz w:val="18"/>
                <w:szCs w:val="18"/>
              </w:rPr>
            </w:pPr>
            <w:r w:rsidRPr="00B17D02">
              <w:rPr>
                <w:b/>
                <w:bCs/>
                <w:sz w:val="18"/>
                <w:szCs w:val="18"/>
              </w:rPr>
              <w:t>Boiling</w:t>
            </w:r>
          </w:p>
        </w:tc>
        <w:tc>
          <w:tcPr>
            <w:tcW w:w="1298" w:type="dxa"/>
            <w:tcBorders>
              <w:top w:val="nil"/>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22.42 ± 0.12</w:t>
            </w:r>
            <w:r w:rsidRPr="00B17D02">
              <w:rPr>
                <w:sz w:val="18"/>
                <w:szCs w:val="18"/>
                <w:vertAlign w:val="superscript"/>
              </w:rPr>
              <w:t>a</w:t>
            </w:r>
          </w:p>
        </w:tc>
        <w:tc>
          <w:tcPr>
            <w:tcW w:w="1275"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22.22 ± 0.09</w:t>
            </w:r>
            <w:r w:rsidRPr="00B17D02">
              <w:rPr>
                <w:sz w:val="18"/>
                <w:szCs w:val="18"/>
                <w:vertAlign w:val="superscript"/>
              </w:rPr>
              <w:t>a</w:t>
            </w:r>
          </w:p>
        </w:tc>
        <w:tc>
          <w:tcPr>
            <w:tcW w:w="1418"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22.00 ± 0.06</w:t>
            </w:r>
            <w:r w:rsidRPr="00B17D02">
              <w:rPr>
                <w:sz w:val="18"/>
                <w:szCs w:val="18"/>
                <w:vertAlign w:val="superscript"/>
              </w:rPr>
              <w:t>a</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21.58 ± 0.12</w:t>
            </w:r>
            <w:r w:rsidRPr="00B17D02">
              <w:rPr>
                <w:sz w:val="18"/>
                <w:szCs w:val="18"/>
                <w:vertAlign w:val="superscript"/>
              </w:rPr>
              <w:t>a</w:t>
            </w:r>
          </w:p>
        </w:tc>
        <w:tc>
          <w:tcPr>
            <w:tcW w:w="1418"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21.58 ± 0.11</w:t>
            </w:r>
            <w:r w:rsidRPr="00B17D02">
              <w:rPr>
                <w:sz w:val="18"/>
                <w:szCs w:val="18"/>
                <w:vertAlign w:val="superscript"/>
              </w:rPr>
              <w:t>a</w:t>
            </w:r>
          </w:p>
        </w:tc>
      </w:tr>
      <w:tr w:rsidR="00EF7B17" w:rsidRPr="00B17D02" w:rsidTr="008B3FE5">
        <w:trPr>
          <w:trHeight w:hRule="exact" w:val="267"/>
          <w:jc w:val="center"/>
        </w:trPr>
        <w:tc>
          <w:tcPr>
            <w:tcW w:w="1796" w:type="dxa"/>
            <w:tcBorders>
              <w:top w:val="nil"/>
              <w:bottom w:val="nil"/>
            </w:tcBorders>
            <w:vAlign w:val="center"/>
          </w:tcPr>
          <w:p w:rsidR="00EF7B17" w:rsidRPr="00B17D02" w:rsidRDefault="00EF7B17" w:rsidP="00BB4BDD">
            <w:pPr>
              <w:rPr>
                <w:b/>
                <w:bCs/>
                <w:sz w:val="18"/>
                <w:szCs w:val="18"/>
              </w:rPr>
            </w:pPr>
            <w:r w:rsidRPr="00B17D02">
              <w:rPr>
                <w:b/>
                <w:bCs/>
                <w:sz w:val="18"/>
                <w:szCs w:val="18"/>
              </w:rPr>
              <w:t>Frying after Boiling</w:t>
            </w:r>
          </w:p>
        </w:tc>
        <w:tc>
          <w:tcPr>
            <w:tcW w:w="1298" w:type="dxa"/>
            <w:tcBorders>
              <w:top w:val="nil"/>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25.27 ± 0.06</w:t>
            </w:r>
            <w:r w:rsidRPr="00B17D02">
              <w:rPr>
                <w:sz w:val="18"/>
                <w:szCs w:val="18"/>
                <w:vertAlign w:val="superscript"/>
              </w:rPr>
              <w:t>a</w:t>
            </w:r>
          </w:p>
        </w:tc>
        <w:tc>
          <w:tcPr>
            <w:tcW w:w="1275"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25.24 ± 0.09</w:t>
            </w:r>
            <w:r w:rsidRPr="00B17D02">
              <w:rPr>
                <w:sz w:val="18"/>
                <w:szCs w:val="18"/>
                <w:vertAlign w:val="superscript"/>
              </w:rPr>
              <w:t>a</w:t>
            </w:r>
          </w:p>
        </w:tc>
        <w:tc>
          <w:tcPr>
            <w:tcW w:w="1418"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25.20 ± 0.15</w:t>
            </w:r>
            <w:r w:rsidRPr="00B17D02">
              <w:rPr>
                <w:sz w:val="18"/>
                <w:szCs w:val="18"/>
                <w:vertAlign w:val="superscript"/>
              </w:rPr>
              <w:t>a</w:t>
            </w:r>
          </w:p>
        </w:tc>
        <w:tc>
          <w:tcPr>
            <w:tcW w:w="1417"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25.20 ± 0.15</w:t>
            </w:r>
            <w:r w:rsidRPr="00B17D02">
              <w:rPr>
                <w:sz w:val="18"/>
                <w:szCs w:val="18"/>
                <w:vertAlign w:val="superscript"/>
              </w:rPr>
              <w:t>a</w:t>
            </w:r>
          </w:p>
        </w:tc>
        <w:tc>
          <w:tcPr>
            <w:tcW w:w="1418"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25.18 ± 0.09</w:t>
            </w:r>
            <w:r w:rsidRPr="00B17D02">
              <w:rPr>
                <w:sz w:val="18"/>
                <w:szCs w:val="18"/>
                <w:vertAlign w:val="superscript"/>
              </w:rPr>
              <w:t>a</w:t>
            </w:r>
          </w:p>
        </w:tc>
      </w:tr>
      <w:tr w:rsidR="00EF7B17" w:rsidRPr="00B17D02" w:rsidTr="008B3FE5">
        <w:trPr>
          <w:trHeight w:hRule="exact" w:val="285"/>
          <w:jc w:val="center"/>
        </w:trPr>
        <w:tc>
          <w:tcPr>
            <w:tcW w:w="1796" w:type="dxa"/>
            <w:tcBorders>
              <w:top w:val="nil"/>
              <w:bottom w:val="single" w:sz="4" w:space="0" w:color="000000"/>
            </w:tcBorders>
            <w:vAlign w:val="center"/>
          </w:tcPr>
          <w:p w:rsidR="00EF7B17" w:rsidRPr="00B17D02" w:rsidRDefault="00EF7B17" w:rsidP="00BB4BDD">
            <w:pPr>
              <w:rPr>
                <w:b/>
                <w:bCs/>
                <w:sz w:val="18"/>
                <w:szCs w:val="18"/>
              </w:rPr>
            </w:pPr>
            <w:r w:rsidRPr="00B17D02">
              <w:rPr>
                <w:b/>
                <w:bCs/>
                <w:sz w:val="18"/>
                <w:szCs w:val="18"/>
              </w:rPr>
              <w:t>Grill</w:t>
            </w:r>
          </w:p>
        </w:tc>
        <w:tc>
          <w:tcPr>
            <w:tcW w:w="1298" w:type="dxa"/>
            <w:tcBorders>
              <w:top w:val="nil"/>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32.47 ± 0.06</w:t>
            </w:r>
            <w:r w:rsidRPr="00B17D02">
              <w:rPr>
                <w:sz w:val="18"/>
                <w:szCs w:val="18"/>
                <w:vertAlign w:val="superscript"/>
              </w:rPr>
              <w:t>a</w:t>
            </w:r>
          </w:p>
        </w:tc>
        <w:tc>
          <w:tcPr>
            <w:tcW w:w="1275"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32.47 ± 0.06</w:t>
            </w:r>
            <w:r w:rsidRPr="00B17D02">
              <w:rPr>
                <w:sz w:val="18"/>
                <w:szCs w:val="18"/>
                <w:vertAlign w:val="superscript"/>
              </w:rPr>
              <w:t>a</w:t>
            </w:r>
          </w:p>
        </w:tc>
        <w:tc>
          <w:tcPr>
            <w:tcW w:w="1418"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32.44 ± 0.09</w:t>
            </w:r>
            <w:r w:rsidRPr="00B17D02">
              <w:rPr>
                <w:sz w:val="18"/>
                <w:szCs w:val="18"/>
                <w:vertAlign w:val="superscript"/>
              </w:rPr>
              <w:t>ab</w:t>
            </w:r>
          </w:p>
        </w:tc>
        <w:tc>
          <w:tcPr>
            <w:tcW w:w="1417" w:type="dxa"/>
            <w:tcBorders>
              <w:top w:val="nil"/>
              <w:left w:val="single" w:sz="4" w:space="0" w:color="000000"/>
              <w:bottom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32.42 ± 0.09</w:t>
            </w:r>
            <w:r w:rsidRPr="00B17D02">
              <w:rPr>
                <w:sz w:val="18"/>
                <w:szCs w:val="18"/>
                <w:vertAlign w:val="superscript"/>
              </w:rPr>
              <w:t>b</w:t>
            </w:r>
          </w:p>
        </w:tc>
        <w:tc>
          <w:tcPr>
            <w:tcW w:w="1418" w:type="dxa"/>
            <w:tcBorders>
              <w:top w:val="nil"/>
              <w:left w:val="single" w:sz="4" w:space="0" w:color="000000"/>
              <w:bottom w:val="single" w:sz="4" w:space="0" w:color="000000"/>
            </w:tcBorders>
            <w:vAlign w:val="center"/>
          </w:tcPr>
          <w:p w:rsidR="00EF7B17" w:rsidRPr="00B17D02" w:rsidRDefault="00EF7B17" w:rsidP="00BB4BDD">
            <w:pPr>
              <w:jc w:val="center"/>
              <w:rPr>
                <w:sz w:val="18"/>
                <w:szCs w:val="18"/>
              </w:rPr>
            </w:pPr>
            <w:r w:rsidRPr="00B17D02">
              <w:rPr>
                <w:sz w:val="18"/>
                <w:szCs w:val="18"/>
              </w:rPr>
              <w:t>32.39 ± 0.10</w:t>
            </w:r>
            <w:r w:rsidRPr="00B17D02">
              <w:rPr>
                <w:sz w:val="18"/>
                <w:szCs w:val="18"/>
                <w:vertAlign w:val="superscript"/>
              </w:rPr>
              <w:t>b</w:t>
            </w:r>
          </w:p>
        </w:tc>
      </w:tr>
    </w:tbl>
    <w:p w:rsidR="00EF7B17" w:rsidRPr="00B17D02" w:rsidRDefault="00EF7B17" w:rsidP="00EF7B17">
      <w:pPr>
        <w:ind w:left="-142" w:hanging="142"/>
        <w:rPr>
          <w:sz w:val="18"/>
          <w:szCs w:val="18"/>
        </w:rPr>
      </w:pPr>
      <w:r w:rsidRPr="00B17D02">
        <w:rPr>
          <w:sz w:val="18"/>
          <w:szCs w:val="18"/>
        </w:rPr>
        <w:t xml:space="preserve">         </w:t>
      </w:r>
      <w:r w:rsidR="008B3FE5">
        <w:rPr>
          <w:sz w:val="18"/>
          <w:szCs w:val="18"/>
        </w:rPr>
        <w:t xml:space="preserve">   </w:t>
      </w:r>
      <w:r w:rsidRPr="00B17D02">
        <w:rPr>
          <w:sz w:val="18"/>
          <w:szCs w:val="18"/>
        </w:rPr>
        <w:t xml:space="preserve">   Each value represents the mean ± SE. Different superscript letters indicate significant difference at (</w:t>
      </w:r>
      <w:r w:rsidRPr="00B17D02">
        <w:rPr>
          <w:i/>
          <w:iCs/>
          <w:sz w:val="18"/>
          <w:szCs w:val="18"/>
        </w:rPr>
        <w:t>P</w:t>
      </w:r>
      <w:r w:rsidRPr="00B17D02">
        <w:rPr>
          <w:sz w:val="18"/>
          <w:szCs w:val="18"/>
        </w:rPr>
        <w:t xml:space="preserve"> ≤ 0.05) among</w:t>
      </w:r>
    </w:p>
    <w:p w:rsidR="00EF7B17" w:rsidRDefault="00EF7B17" w:rsidP="00EF7B17">
      <w:pPr>
        <w:ind w:left="-142" w:hanging="142"/>
        <w:rPr>
          <w:sz w:val="18"/>
          <w:szCs w:val="18"/>
          <w:lang w:eastAsia="zh-CN"/>
        </w:rPr>
      </w:pPr>
      <w:r w:rsidRPr="00B17D02">
        <w:rPr>
          <w:sz w:val="18"/>
          <w:szCs w:val="18"/>
        </w:rPr>
        <w:t xml:space="preserve">        </w:t>
      </w:r>
      <w:r w:rsidR="008B3FE5">
        <w:rPr>
          <w:sz w:val="18"/>
          <w:szCs w:val="18"/>
        </w:rPr>
        <w:t xml:space="preserve">   </w:t>
      </w:r>
      <w:r w:rsidRPr="00B17D02">
        <w:rPr>
          <w:sz w:val="18"/>
          <w:szCs w:val="18"/>
        </w:rPr>
        <w:t xml:space="preserve">    </w:t>
      </w:r>
      <w:proofErr w:type="gramStart"/>
      <w:r w:rsidRPr="00B17D02">
        <w:rPr>
          <w:sz w:val="18"/>
          <w:szCs w:val="18"/>
        </w:rPr>
        <w:t>means</w:t>
      </w:r>
      <w:proofErr w:type="gramEnd"/>
      <w:r w:rsidRPr="00B17D02">
        <w:rPr>
          <w:sz w:val="18"/>
          <w:szCs w:val="18"/>
        </w:rPr>
        <w:t xml:space="preserve"> in the same row.</w:t>
      </w:r>
    </w:p>
    <w:p w:rsidR="00545042" w:rsidRDefault="00545042" w:rsidP="00EF7B17">
      <w:pPr>
        <w:ind w:left="-142" w:hanging="142"/>
        <w:rPr>
          <w:sz w:val="18"/>
          <w:szCs w:val="18"/>
          <w:lang w:eastAsia="zh-CN"/>
        </w:rPr>
      </w:pPr>
    </w:p>
    <w:p w:rsidR="005F559E" w:rsidRDefault="005F559E" w:rsidP="00EF7B17">
      <w:pPr>
        <w:ind w:left="-142" w:hanging="142"/>
        <w:rPr>
          <w:sz w:val="18"/>
          <w:szCs w:val="18"/>
          <w:lang w:eastAsia="zh-CN"/>
        </w:rPr>
      </w:pPr>
    </w:p>
    <w:p w:rsidR="005F559E" w:rsidRDefault="005F559E" w:rsidP="00EF7B17">
      <w:pPr>
        <w:ind w:left="-142" w:hanging="142"/>
        <w:rPr>
          <w:sz w:val="18"/>
          <w:szCs w:val="18"/>
          <w:lang w:eastAsia="zh-CN"/>
        </w:rPr>
      </w:pPr>
    </w:p>
    <w:p w:rsidR="005F559E" w:rsidRDefault="005F559E" w:rsidP="00EF7B17">
      <w:pPr>
        <w:ind w:left="-142" w:hanging="142"/>
        <w:rPr>
          <w:sz w:val="18"/>
          <w:szCs w:val="18"/>
          <w:lang w:eastAsia="zh-CN"/>
        </w:rPr>
      </w:pPr>
    </w:p>
    <w:p w:rsidR="00545042" w:rsidRPr="00B17D02" w:rsidRDefault="00545042" w:rsidP="00EF7B17">
      <w:pPr>
        <w:ind w:left="-142" w:hanging="142"/>
        <w:rPr>
          <w:sz w:val="18"/>
          <w:szCs w:val="18"/>
          <w:lang w:eastAsia="zh-CN"/>
        </w:rPr>
      </w:pPr>
    </w:p>
    <w:p w:rsidR="00EF7B17" w:rsidRPr="00B17D02" w:rsidRDefault="00EF7B17" w:rsidP="00545042">
      <w:pPr>
        <w:jc w:val="center"/>
        <w:rPr>
          <w:sz w:val="18"/>
          <w:szCs w:val="18"/>
        </w:rPr>
      </w:pPr>
      <w:proofErr w:type="gramStart"/>
      <w:r w:rsidRPr="00B17D02">
        <w:rPr>
          <w:b/>
          <w:bCs/>
          <w:sz w:val="18"/>
          <w:szCs w:val="18"/>
        </w:rPr>
        <w:t>Table (4).</w:t>
      </w:r>
      <w:proofErr w:type="gramEnd"/>
      <w:r w:rsidRPr="00B17D02">
        <w:rPr>
          <w:b/>
          <w:bCs/>
          <w:sz w:val="18"/>
          <w:szCs w:val="18"/>
        </w:rPr>
        <w:t xml:space="preserve"> </w:t>
      </w:r>
      <w:proofErr w:type="spellStart"/>
      <w:r w:rsidRPr="00B17D02">
        <w:rPr>
          <w:b/>
          <w:bCs/>
          <w:sz w:val="18"/>
          <w:szCs w:val="18"/>
        </w:rPr>
        <w:t>Antioxidative</w:t>
      </w:r>
      <w:proofErr w:type="spellEnd"/>
      <w:r w:rsidRPr="00B17D02">
        <w:rPr>
          <w:b/>
          <w:bCs/>
          <w:sz w:val="18"/>
          <w:szCs w:val="18"/>
        </w:rPr>
        <w:t xml:space="preserve"> property of broilers fed on different levels of organic selenium.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7"/>
        <w:gridCol w:w="1498"/>
        <w:gridCol w:w="1380"/>
        <w:gridCol w:w="1380"/>
        <w:gridCol w:w="1463"/>
        <w:gridCol w:w="1498"/>
      </w:tblGrid>
      <w:tr w:rsidR="00EF7B17" w:rsidRPr="00B17D02" w:rsidTr="00EF7B17">
        <w:trPr>
          <w:trHeight w:hRule="exact" w:val="270"/>
          <w:jc w:val="center"/>
        </w:trPr>
        <w:tc>
          <w:tcPr>
            <w:tcW w:w="1907" w:type="dxa"/>
            <w:vMerge w:val="restart"/>
            <w:vAlign w:val="center"/>
          </w:tcPr>
          <w:p w:rsidR="00EF7B17" w:rsidRPr="00B17D02" w:rsidRDefault="00EF7B17" w:rsidP="00BB4BDD">
            <w:pPr>
              <w:tabs>
                <w:tab w:val="left" w:pos="1050"/>
              </w:tabs>
              <w:rPr>
                <w:b/>
                <w:bCs/>
                <w:sz w:val="18"/>
                <w:szCs w:val="18"/>
              </w:rPr>
            </w:pPr>
            <w:r w:rsidRPr="00B17D02">
              <w:rPr>
                <w:b/>
                <w:bCs/>
                <w:sz w:val="18"/>
                <w:szCs w:val="18"/>
              </w:rPr>
              <w:t>Treatments</w:t>
            </w:r>
          </w:p>
        </w:tc>
        <w:tc>
          <w:tcPr>
            <w:tcW w:w="7218" w:type="dxa"/>
            <w:gridSpan w:val="5"/>
            <w:vAlign w:val="center"/>
          </w:tcPr>
          <w:p w:rsidR="00EF7B17" w:rsidRPr="00B17D02" w:rsidRDefault="00EF7B17" w:rsidP="00BB4BDD">
            <w:pPr>
              <w:tabs>
                <w:tab w:val="left" w:pos="1050"/>
              </w:tabs>
              <w:jc w:val="center"/>
              <w:rPr>
                <w:b/>
                <w:bCs/>
                <w:sz w:val="18"/>
                <w:szCs w:val="18"/>
              </w:rPr>
            </w:pPr>
            <w:r w:rsidRPr="00B17D02">
              <w:rPr>
                <w:b/>
                <w:bCs/>
                <w:sz w:val="18"/>
                <w:szCs w:val="18"/>
              </w:rPr>
              <w:t>Organic selenium levels in diet (mg/kg diet)</w:t>
            </w:r>
          </w:p>
        </w:tc>
      </w:tr>
      <w:tr w:rsidR="00EF7B17" w:rsidRPr="00B17D02" w:rsidTr="008C77B7">
        <w:trPr>
          <w:trHeight w:hRule="exact" w:val="534"/>
          <w:jc w:val="center"/>
        </w:trPr>
        <w:tc>
          <w:tcPr>
            <w:tcW w:w="1907" w:type="dxa"/>
            <w:vMerge/>
            <w:tcBorders>
              <w:bottom w:val="single" w:sz="4" w:space="0" w:color="000000"/>
            </w:tcBorders>
          </w:tcPr>
          <w:p w:rsidR="00EF7B17" w:rsidRPr="00B17D02" w:rsidRDefault="00EF7B17" w:rsidP="00BB4BDD">
            <w:pPr>
              <w:tabs>
                <w:tab w:val="left" w:pos="1050"/>
              </w:tabs>
              <w:rPr>
                <w:b/>
                <w:bCs/>
                <w:sz w:val="18"/>
                <w:szCs w:val="18"/>
              </w:rPr>
            </w:pPr>
          </w:p>
        </w:tc>
        <w:tc>
          <w:tcPr>
            <w:tcW w:w="1498" w:type="dxa"/>
            <w:tcBorders>
              <w:bottom w:val="single" w:sz="4" w:space="0" w:color="000000"/>
            </w:tcBorders>
            <w:vAlign w:val="center"/>
          </w:tcPr>
          <w:p w:rsidR="00EF7B17" w:rsidRPr="00B17D02" w:rsidRDefault="00EF7B17" w:rsidP="00BB4BDD">
            <w:pPr>
              <w:tabs>
                <w:tab w:val="left" w:pos="1050"/>
              </w:tabs>
              <w:jc w:val="center"/>
              <w:rPr>
                <w:b/>
                <w:bCs/>
                <w:sz w:val="18"/>
                <w:szCs w:val="18"/>
              </w:rPr>
            </w:pPr>
            <w:r w:rsidRPr="00B17D02">
              <w:rPr>
                <w:b/>
                <w:bCs/>
                <w:sz w:val="18"/>
                <w:szCs w:val="18"/>
              </w:rPr>
              <w:t>0.2</w:t>
            </w:r>
          </w:p>
          <w:p w:rsidR="00EF7B17" w:rsidRPr="00B17D02" w:rsidRDefault="00EF7B17" w:rsidP="00BB4BDD">
            <w:pPr>
              <w:tabs>
                <w:tab w:val="left" w:pos="1050"/>
              </w:tabs>
              <w:jc w:val="center"/>
              <w:rPr>
                <w:b/>
                <w:bCs/>
                <w:sz w:val="18"/>
                <w:szCs w:val="18"/>
              </w:rPr>
            </w:pPr>
            <w:r w:rsidRPr="00B17D02">
              <w:rPr>
                <w:b/>
                <w:bCs/>
                <w:sz w:val="18"/>
                <w:szCs w:val="18"/>
              </w:rPr>
              <w:t>(T1)</w:t>
            </w:r>
          </w:p>
        </w:tc>
        <w:tc>
          <w:tcPr>
            <w:tcW w:w="1380" w:type="dxa"/>
            <w:tcBorders>
              <w:bottom w:val="single" w:sz="4" w:space="0" w:color="000000"/>
            </w:tcBorders>
            <w:vAlign w:val="center"/>
          </w:tcPr>
          <w:p w:rsidR="00EF7B17" w:rsidRPr="00B17D02" w:rsidRDefault="00EF7B17" w:rsidP="00BB4BDD">
            <w:pPr>
              <w:tabs>
                <w:tab w:val="left" w:pos="1050"/>
              </w:tabs>
              <w:jc w:val="center"/>
              <w:rPr>
                <w:b/>
                <w:bCs/>
                <w:sz w:val="18"/>
                <w:szCs w:val="18"/>
              </w:rPr>
            </w:pPr>
            <w:r w:rsidRPr="00B17D02">
              <w:rPr>
                <w:b/>
                <w:bCs/>
                <w:sz w:val="18"/>
                <w:szCs w:val="18"/>
              </w:rPr>
              <w:t>0.3</w:t>
            </w:r>
          </w:p>
          <w:p w:rsidR="00EF7B17" w:rsidRPr="00B17D02" w:rsidRDefault="00EF7B17" w:rsidP="00BB4BDD">
            <w:pPr>
              <w:tabs>
                <w:tab w:val="left" w:pos="1050"/>
              </w:tabs>
              <w:jc w:val="center"/>
              <w:rPr>
                <w:b/>
                <w:bCs/>
                <w:sz w:val="18"/>
                <w:szCs w:val="18"/>
              </w:rPr>
            </w:pPr>
            <w:r w:rsidRPr="00B17D02">
              <w:rPr>
                <w:b/>
                <w:bCs/>
                <w:sz w:val="18"/>
                <w:szCs w:val="18"/>
              </w:rPr>
              <w:t>(T2)</w:t>
            </w:r>
          </w:p>
        </w:tc>
        <w:tc>
          <w:tcPr>
            <w:tcW w:w="1380" w:type="dxa"/>
            <w:tcBorders>
              <w:bottom w:val="single" w:sz="4" w:space="0" w:color="000000"/>
            </w:tcBorders>
            <w:vAlign w:val="center"/>
          </w:tcPr>
          <w:p w:rsidR="00EF7B17" w:rsidRPr="00B17D02" w:rsidRDefault="00EF7B17" w:rsidP="00BB4BDD">
            <w:pPr>
              <w:tabs>
                <w:tab w:val="left" w:pos="1050"/>
              </w:tabs>
              <w:jc w:val="center"/>
              <w:rPr>
                <w:b/>
                <w:bCs/>
                <w:sz w:val="18"/>
                <w:szCs w:val="18"/>
              </w:rPr>
            </w:pPr>
            <w:r w:rsidRPr="00B17D02">
              <w:rPr>
                <w:b/>
                <w:bCs/>
                <w:sz w:val="18"/>
                <w:szCs w:val="18"/>
              </w:rPr>
              <w:t>0.4</w:t>
            </w:r>
          </w:p>
          <w:p w:rsidR="00EF7B17" w:rsidRPr="00B17D02" w:rsidRDefault="00EF7B17" w:rsidP="00BB4BDD">
            <w:pPr>
              <w:tabs>
                <w:tab w:val="left" w:pos="1050"/>
              </w:tabs>
              <w:jc w:val="center"/>
              <w:rPr>
                <w:b/>
                <w:bCs/>
                <w:sz w:val="18"/>
                <w:szCs w:val="18"/>
              </w:rPr>
            </w:pPr>
            <w:r w:rsidRPr="00B17D02">
              <w:rPr>
                <w:b/>
                <w:bCs/>
                <w:sz w:val="18"/>
                <w:szCs w:val="18"/>
              </w:rPr>
              <w:t>(T3)</w:t>
            </w:r>
          </w:p>
        </w:tc>
        <w:tc>
          <w:tcPr>
            <w:tcW w:w="1463" w:type="dxa"/>
            <w:tcBorders>
              <w:bottom w:val="single" w:sz="4" w:space="0" w:color="000000"/>
            </w:tcBorders>
            <w:vAlign w:val="center"/>
          </w:tcPr>
          <w:p w:rsidR="00EF7B17" w:rsidRPr="00B17D02" w:rsidRDefault="00EF7B17" w:rsidP="00BB4BDD">
            <w:pPr>
              <w:tabs>
                <w:tab w:val="left" w:pos="1050"/>
              </w:tabs>
              <w:jc w:val="center"/>
              <w:rPr>
                <w:b/>
                <w:bCs/>
                <w:sz w:val="18"/>
                <w:szCs w:val="18"/>
              </w:rPr>
            </w:pPr>
            <w:r w:rsidRPr="00B17D02">
              <w:rPr>
                <w:b/>
                <w:bCs/>
                <w:sz w:val="18"/>
                <w:szCs w:val="18"/>
              </w:rPr>
              <w:t>0.5</w:t>
            </w:r>
          </w:p>
          <w:p w:rsidR="00EF7B17" w:rsidRPr="00B17D02" w:rsidRDefault="00EF7B17" w:rsidP="00BB4BDD">
            <w:pPr>
              <w:tabs>
                <w:tab w:val="left" w:pos="1050"/>
              </w:tabs>
              <w:jc w:val="center"/>
              <w:rPr>
                <w:b/>
                <w:bCs/>
                <w:sz w:val="18"/>
                <w:szCs w:val="18"/>
              </w:rPr>
            </w:pPr>
            <w:r w:rsidRPr="00B17D02">
              <w:rPr>
                <w:b/>
                <w:bCs/>
                <w:sz w:val="18"/>
                <w:szCs w:val="18"/>
              </w:rPr>
              <w:t>(T4)</w:t>
            </w:r>
          </w:p>
        </w:tc>
        <w:tc>
          <w:tcPr>
            <w:tcW w:w="1498" w:type="dxa"/>
            <w:tcBorders>
              <w:bottom w:val="single" w:sz="4" w:space="0" w:color="000000"/>
            </w:tcBorders>
            <w:vAlign w:val="center"/>
          </w:tcPr>
          <w:p w:rsidR="00EF7B17" w:rsidRPr="00B17D02" w:rsidRDefault="00EF7B17" w:rsidP="00BB4BDD">
            <w:pPr>
              <w:tabs>
                <w:tab w:val="left" w:pos="1050"/>
              </w:tabs>
              <w:jc w:val="center"/>
              <w:rPr>
                <w:b/>
                <w:bCs/>
                <w:sz w:val="18"/>
                <w:szCs w:val="18"/>
              </w:rPr>
            </w:pPr>
            <w:r w:rsidRPr="00B17D02">
              <w:rPr>
                <w:b/>
                <w:bCs/>
                <w:sz w:val="18"/>
                <w:szCs w:val="18"/>
              </w:rPr>
              <w:t>0.6</w:t>
            </w:r>
          </w:p>
          <w:p w:rsidR="00EF7B17" w:rsidRPr="00B17D02" w:rsidRDefault="00EF7B17" w:rsidP="00BB4BDD">
            <w:pPr>
              <w:tabs>
                <w:tab w:val="left" w:pos="1050"/>
              </w:tabs>
              <w:jc w:val="center"/>
              <w:rPr>
                <w:b/>
                <w:bCs/>
                <w:sz w:val="18"/>
                <w:szCs w:val="18"/>
              </w:rPr>
            </w:pPr>
            <w:r w:rsidRPr="00B17D02">
              <w:rPr>
                <w:b/>
                <w:bCs/>
                <w:sz w:val="18"/>
                <w:szCs w:val="18"/>
              </w:rPr>
              <w:t>(T5)</w:t>
            </w:r>
          </w:p>
        </w:tc>
      </w:tr>
      <w:tr w:rsidR="00EF7B17" w:rsidRPr="00B17D02" w:rsidTr="00EF7B17">
        <w:trPr>
          <w:trHeight w:hRule="exact" w:val="270"/>
          <w:jc w:val="center"/>
        </w:trPr>
        <w:tc>
          <w:tcPr>
            <w:tcW w:w="1907" w:type="dxa"/>
            <w:tcBorders>
              <w:bottom w:val="nil"/>
            </w:tcBorders>
            <w:vAlign w:val="center"/>
          </w:tcPr>
          <w:p w:rsidR="00EF7B17" w:rsidRPr="00B17D02" w:rsidRDefault="00EF7B17" w:rsidP="00BB4BDD">
            <w:pPr>
              <w:rPr>
                <w:b/>
                <w:bCs/>
                <w:sz w:val="18"/>
                <w:szCs w:val="18"/>
              </w:rPr>
            </w:pPr>
            <w:proofErr w:type="spellStart"/>
            <w:r w:rsidRPr="00B17D02">
              <w:rPr>
                <w:b/>
                <w:bCs/>
                <w:sz w:val="18"/>
                <w:szCs w:val="18"/>
              </w:rPr>
              <w:t>GPx</w:t>
            </w:r>
            <w:proofErr w:type="spellEnd"/>
            <w:r w:rsidRPr="00B17D02">
              <w:rPr>
                <w:b/>
                <w:bCs/>
                <w:sz w:val="18"/>
                <w:szCs w:val="18"/>
              </w:rPr>
              <w:t xml:space="preserve"> (U/g </w:t>
            </w:r>
            <w:proofErr w:type="spellStart"/>
            <w:r w:rsidRPr="00B17D02">
              <w:rPr>
                <w:b/>
                <w:bCs/>
                <w:sz w:val="18"/>
                <w:szCs w:val="18"/>
              </w:rPr>
              <w:t>Hb</w:t>
            </w:r>
            <w:proofErr w:type="spellEnd"/>
            <w:r w:rsidRPr="00B17D02">
              <w:rPr>
                <w:b/>
                <w:bCs/>
                <w:sz w:val="18"/>
                <w:szCs w:val="18"/>
              </w:rPr>
              <w:t>)</w:t>
            </w:r>
          </w:p>
        </w:tc>
        <w:tc>
          <w:tcPr>
            <w:tcW w:w="1498" w:type="dxa"/>
            <w:tcBorders>
              <w:bottom w:val="nil"/>
            </w:tcBorders>
            <w:vAlign w:val="center"/>
          </w:tcPr>
          <w:p w:rsidR="00EF7B17" w:rsidRPr="00B17D02" w:rsidRDefault="00EF7B17" w:rsidP="00BB4BDD">
            <w:pPr>
              <w:tabs>
                <w:tab w:val="left" w:pos="1050"/>
              </w:tabs>
              <w:jc w:val="center"/>
              <w:rPr>
                <w:sz w:val="18"/>
                <w:szCs w:val="18"/>
              </w:rPr>
            </w:pPr>
            <w:r w:rsidRPr="00B17D02">
              <w:rPr>
                <w:sz w:val="18"/>
                <w:szCs w:val="18"/>
              </w:rPr>
              <w:t>274.33 ± 4.63</w:t>
            </w:r>
            <w:r w:rsidRPr="00B17D02">
              <w:rPr>
                <w:sz w:val="18"/>
                <w:szCs w:val="18"/>
                <w:vertAlign w:val="superscript"/>
              </w:rPr>
              <w:t>c</w:t>
            </w:r>
            <w:r w:rsidRPr="00B17D02">
              <w:rPr>
                <w:sz w:val="18"/>
                <w:szCs w:val="18"/>
              </w:rPr>
              <w:t xml:space="preserve">      </w:t>
            </w:r>
          </w:p>
        </w:tc>
        <w:tc>
          <w:tcPr>
            <w:tcW w:w="1380" w:type="dxa"/>
            <w:tcBorders>
              <w:bottom w:val="nil"/>
            </w:tcBorders>
            <w:vAlign w:val="center"/>
          </w:tcPr>
          <w:p w:rsidR="00EF7B17" w:rsidRPr="00B17D02" w:rsidRDefault="00EF7B17" w:rsidP="00BB4BDD">
            <w:pPr>
              <w:tabs>
                <w:tab w:val="left" w:pos="1050"/>
              </w:tabs>
              <w:jc w:val="center"/>
              <w:rPr>
                <w:sz w:val="18"/>
                <w:szCs w:val="18"/>
              </w:rPr>
            </w:pPr>
            <w:r w:rsidRPr="00B17D02">
              <w:rPr>
                <w:sz w:val="18"/>
                <w:szCs w:val="18"/>
              </w:rPr>
              <w:t>280.83 ± 4.05</w:t>
            </w:r>
            <w:r w:rsidRPr="00B17D02">
              <w:rPr>
                <w:sz w:val="18"/>
                <w:szCs w:val="18"/>
                <w:vertAlign w:val="superscript"/>
              </w:rPr>
              <w:t>c</w:t>
            </w:r>
          </w:p>
        </w:tc>
        <w:tc>
          <w:tcPr>
            <w:tcW w:w="1380" w:type="dxa"/>
            <w:tcBorders>
              <w:bottom w:val="nil"/>
            </w:tcBorders>
            <w:vAlign w:val="center"/>
          </w:tcPr>
          <w:p w:rsidR="00EF7B17" w:rsidRPr="00B17D02" w:rsidRDefault="00EF7B17" w:rsidP="00BB4BDD">
            <w:pPr>
              <w:tabs>
                <w:tab w:val="left" w:pos="1050"/>
              </w:tabs>
              <w:jc w:val="center"/>
              <w:rPr>
                <w:sz w:val="18"/>
                <w:szCs w:val="18"/>
              </w:rPr>
            </w:pPr>
            <w:r w:rsidRPr="00B17D02">
              <w:rPr>
                <w:sz w:val="18"/>
                <w:szCs w:val="18"/>
              </w:rPr>
              <w:t>303.10 ± 4.24</w:t>
            </w:r>
            <w:r w:rsidRPr="00B17D02">
              <w:rPr>
                <w:sz w:val="18"/>
                <w:szCs w:val="18"/>
                <w:vertAlign w:val="superscript"/>
              </w:rPr>
              <w:t>b</w:t>
            </w:r>
          </w:p>
        </w:tc>
        <w:tc>
          <w:tcPr>
            <w:tcW w:w="1463" w:type="dxa"/>
            <w:tcBorders>
              <w:bottom w:val="nil"/>
            </w:tcBorders>
            <w:vAlign w:val="center"/>
          </w:tcPr>
          <w:p w:rsidR="00EF7B17" w:rsidRPr="00B17D02" w:rsidRDefault="00EF7B17" w:rsidP="00BB4BDD">
            <w:pPr>
              <w:tabs>
                <w:tab w:val="left" w:pos="1050"/>
              </w:tabs>
              <w:jc w:val="center"/>
              <w:rPr>
                <w:sz w:val="18"/>
                <w:szCs w:val="18"/>
              </w:rPr>
            </w:pPr>
            <w:r w:rsidRPr="00B17D02">
              <w:rPr>
                <w:sz w:val="18"/>
                <w:szCs w:val="18"/>
              </w:rPr>
              <w:t>315.60 ± 3.04</w:t>
            </w:r>
            <w:r w:rsidRPr="00B17D02">
              <w:rPr>
                <w:sz w:val="18"/>
                <w:szCs w:val="18"/>
                <w:vertAlign w:val="superscript"/>
              </w:rPr>
              <w:t>a</w:t>
            </w:r>
            <w:r w:rsidRPr="00B17D02">
              <w:rPr>
                <w:sz w:val="18"/>
                <w:szCs w:val="18"/>
              </w:rPr>
              <w:t xml:space="preserve">     </w:t>
            </w:r>
          </w:p>
        </w:tc>
        <w:tc>
          <w:tcPr>
            <w:tcW w:w="1498" w:type="dxa"/>
            <w:tcBorders>
              <w:bottom w:val="nil"/>
            </w:tcBorders>
            <w:vAlign w:val="center"/>
          </w:tcPr>
          <w:p w:rsidR="00EF7B17" w:rsidRPr="00B17D02" w:rsidRDefault="00EF7B17" w:rsidP="00BB4BDD">
            <w:pPr>
              <w:tabs>
                <w:tab w:val="left" w:pos="1050"/>
              </w:tabs>
              <w:jc w:val="center"/>
              <w:rPr>
                <w:sz w:val="18"/>
                <w:szCs w:val="18"/>
              </w:rPr>
            </w:pPr>
            <w:r w:rsidRPr="00B17D02">
              <w:rPr>
                <w:sz w:val="18"/>
                <w:szCs w:val="18"/>
              </w:rPr>
              <w:t>323.77 ± 2.71</w:t>
            </w:r>
            <w:r w:rsidRPr="00B17D02">
              <w:rPr>
                <w:sz w:val="18"/>
                <w:szCs w:val="18"/>
                <w:vertAlign w:val="superscript"/>
              </w:rPr>
              <w:t>a</w:t>
            </w:r>
          </w:p>
        </w:tc>
      </w:tr>
      <w:tr w:rsidR="00EF7B17" w:rsidRPr="00B17D02" w:rsidTr="00EF7B17">
        <w:trPr>
          <w:trHeight w:hRule="exact" w:val="270"/>
          <w:jc w:val="center"/>
        </w:trPr>
        <w:tc>
          <w:tcPr>
            <w:tcW w:w="1907" w:type="dxa"/>
            <w:tcBorders>
              <w:top w:val="nil"/>
              <w:bottom w:val="nil"/>
            </w:tcBorders>
            <w:vAlign w:val="center"/>
          </w:tcPr>
          <w:p w:rsidR="00EF7B17" w:rsidRPr="00B17D02" w:rsidRDefault="00EF7B17" w:rsidP="00BB4BDD">
            <w:pPr>
              <w:rPr>
                <w:b/>
                <w:bCs/>
                <w:sz w:val="18"/>
                <w:szCs w:val="18"/>
              </w:rPr>
            </w:pPr>
            <w:r w:rsidRPr="00B17D02">
              <w:rPr>
                <w:b/>
                <w:bCs/>
                <w:sz w:val="18"/>
                <w:szCs w:val="18"/>
              </w:rPr>
              <w:t>SOD (U/ml)</w:t>
            </w:r>
          </w:p>
        </w:tc>
        <w:tc>
          <w:tcPr>
            <w:tcW w:w="1498" w:type="dxa"/>
            <w:tcBorders>
              <w:top w:val="nil"/>
              <w:bottom w:val="nil"/>
            </w:tcBorders>
            <w:vAlign w:val="center"/>
          </w:tcPr>
          <w:p w:rsidR="00EF7B17" w:rsidRPr="00B17D02" w:rsidRDefault="00EF7B17" w:rsidP="00BB4BDD">
            <w:pPr>
              <w:jc w:val="center"/>
              <w:rPr>
                <w:sz w:val="18"/>
                <w:szCs w:val="18"/>
              </w:rPr>
            </w:pPr>
            <w:r w:rsidRPr="00B17D02">
              <w:rPr>
                <w:sz w:val="18"/>
                <w:szCs w:val="18"/>
              </w:rPr>
              <w:t>150.66 ±1.45</w:t>
            </w:r>
            <w:r w:rsidRPr="00B17D02">
              <w:rPr>
                <w:sz w:val="18"/>
                <w:szCs w:val="18"/>
                <w:vertAlign w:val="superscript"/>
              </w:rPr>
              <w:t>a</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151.33 ± 2.60</w:t>
            </w:r>
            <w:r w:rsidRPr="00B17D02">
              <w:rPr>
                <w:sz w:val="18"/>
                <w:szCs w:val="18"/>
                <w:vertAlign w:val="superscript"/>
              </w:rPr>
              <w:t>a</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153.53 ± 2.03</w:t>
            </w:r>
            <w:r w:rsidRPr="00B17D02">
              <w:rPr>
                <w:sz w:val="18"/>
                <w:szCs w:val="18"/>
                <w:vertAlign w:val="superscript"/>
              </w:rPr>
              <w:t>a</w:t>
            </w:r>
          </w:p>
        </w:tc>
        <w:tc>
          <w:tcPr>
            <w:tcW w:w="1463" w:type="dxa"/>
            <w:tcBorders>
              <w:top w:val="nil"/>
              <w:bottom w:val="nil"/>
            </w:tcBorders>
            <w:vAlign w:val="center"/>
          </w:tcPr>
          <w:p w:rsidR="00EF7B17" w:rsidRPr="00B17D02" w:rsidRDefault="00EF7B17" w:rsidP="00BB4BDD">
            <w:pPr>
              <w:jc w:val="center"/>
              <w:rPr>
                <w:sz w:val="18"/>
                <w:szCs w:val="18"/>
              </w:rPr>
            </w:pPr>
            <w:r w:rsidRPr="00B17D02">
              <w:rPr>
                <w:sz w:val="18"/>
                <w:szCs w:val="18"/>
              </w:rPr>
              <w:t>155.26 ± 2.83</w:t>
            </w:r>
            <w:r w:rsidRPr="00B17D02">
              <w:rPr>
                <w:sz w:val="18"/>
                <w:szCs w:val="18"/>
                <w:vertAlign w:val="superscript"/>
              </w:rPr>
              <w:t>a</w:t>
            </w:r>
          </w:p>
        </w:tc>
        <w:tc>
          <w:tcPr>
            <w:tcW w:w="1498" w:type="dxa"/>
            <w:tcBorders>
              <w:top w:val="nil"/>
              <w:bottom w:val="nil"/>
            </w:tcBorders>
            <w:vAlign w:val="center"/>
          </w:tcPr>
          <w:p w:rsidR="00EF7B17" w:rsidRPr="00B17D02" w:rsidRDefault="00EF7B17" w:rsidP="00BB4BDD">
            <w:pPr>
              <w:jc w:val="center"/>
              <w:rPr>
                <w:sz w:val="18"/>
                <w:szCs w:val="18"/>
              </w:rPr>
            </w:pPr>
            <w:r w:rsidRPr="00B17D02">
              <w:rPr>
                <w:sz w:val="18"/>
                <w:szCs w:val="18"/>
              </w:rPr>
              <w:t>157.35 ± 2.82</w:t>
            </w:r>
            <w:r w:rsidRPr="00B17D02">
              <w:rPr>
                <w:sz w:val="18"/>
                <w:szCs w:val="18"/>
                <w:vertAlign w:val="superscript"/>
              </w:rPr>
              <w:t>a</w:t>
            </w:r>
          </w:p>
        </w:tc>
      </w:tr>
      <w:tr w:rsidR="00EF7B17" w:rsidRPr="00B17D02" w:rsidTr="00EF7B17">
        <w:trPr>
          <w:trHeight w:hRule="exact" w:val="270"/>
          <w:jc w:val="center"/>
        </w:trPr>
        <w:tc>
          <w:tcPr>
            <w:tcW w:w="1907" w:type="dxa"/>
            <w:tcBorders>
              <w:top w:val="nil"/>
              <w:bottom w:val="nil"/>
            </w:tcBorders>
            <w:vAlign w:val="center"/>
          </w:tcPr>
          <w:p w:rsidR="00EF7B17" w:rsidRPr="00B17D02" w:rsidRDefault="00EF7B17" w:rsidP="00BB4BDD">
            <w:pPr>
              <w:rPr>
                <w:b/>
                <w:bCs/>
                <w:sz w:val="18"/>
                <w:szCs w:val="18"/>
              </w:rPr>
            </w:pPr>
            <w:proofErr w:type="spellStart"/>
            <w:r w:rsidRPr="00B17D02">
              <w:rPr>
                <w:b/>
                <w:bCs/>
                <w:sz w:val="18"/>
                <w:szCs w:val="18"/>
              </w:rPr>
              <w:t>Catalase</w:t>
            </w:r>
            <w:proofErr w:type="spellEnd"/>
            <w:r w:rsidRPr="00B17D02">
              <w:rPr>
                <w:b/>
                <w:bCs/>
                <w:sz w:val="18"/>
                <w:szCs w:val="18"/>
              </w:rPr>
              <w:t xml:space="preserve"> (U/ml)</w:t>
            </w:r>
          </w:p>
        </w:tc>
        <w:tc>
          <w:tcPr>
            <w:tcW w:w="1498"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42.63 ± 0.060</w:t>
            </w:r>
            <w:r w:rsidRPr="00B17D02">
              <w:rPr>
                <w:sz w:val="18"/>
                <w:szCs w:val="18"/>
                <w:vertAlign w:val="superscript"/>
              </w:rPr>
              <w:t>b</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43.28 ± 0.023</w:t>
            </w:r>
            <w:r w:rsidRPr="00B17D02">
              <w:rPr>
                <w:sz w:val="18"/>
                <w:szCs w:val="18"/>
                <w:vertAlign w:val="superscript"/>
              </w:rPr>
              <w:t>b</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45.61 ± 0.055</w:t>
            </w:r>
            <w:r w:rsidRPr="00B17D02">
              <w:rPr>
                <w:sz w:val="18"/>
                <w:szCs w:val="18"/>
                <w:vertAlign w:val="superscript"/>
              </w:rPr>
              <w:t>a</w:t>
            </w:r>
          </w:p>
        </w:tc>
        <w:tc>
          <w:tcPr>
            <w:tcW w:w="1463"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46.52 ± 0.075</w:t>
            </w:r>
            <w:r w:rsidRPr="00B17D02">
              <w:rPr>
                <w:sz w:val="18"/>
                <w:szCs w:val="18"/>
                <w:vertAlign w:val="superscript"/>
              </w:rPr>
              <w:t>a</w:t>
            </w:r>
          </w:p>
        </w:tc>
        <w:tc>
          <w:tcPr>
            <w:tcW w:w="1498"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47.74 ± 0.046</w:t>
            </w:r>
            <w:r w:rsidRPr="00B17D02">
              <w:rPr>
                <w:sz w:val="18"/>
                <w:szCs w:val="18"/>
                <w:vertAlign w:val="superscript"/>
              </w:rPr>
              <w:t>a</w:t>
            </w:r>
          </w:p>
        </w:tc>
      </w:tr>
      <w:tr w:rsidR="00EF7B17" w:rsidRPr="00B17D02" w:rsidTr="00EF7B17">
        <w:trPr>
          <w:trHeight w:hRule="exact" w:val="270"/>
          <w:jc w:val="center"/>
        </w:trPr>
        <w:tc>
          <w:tcPr>
            <w:tcW w:w="1907" w:type="dxa"/>
            <w:tcBorders>
              <w:top w:val="nil"/>
              <w:bottom w:val="nil"/>
            </w:tcBorders>
            <w:vAlign w:val="center"/>
          </w:tcPr>
          <w:p w:rsidR="00EF7B17" w:rsidRPr="00B17D02" w:rsidRDefault="00EF7B17" w:rsidP="00BB4BDD">
            <w:pPr>
              <w:rPr>
                <w:b/>
                <w:bCs/>
                <w:sz w:val="18"/>
                <w:szCs w:val="18"/>
              </w:rPr>
            </w:pPr>
            <w:r w:rsidRPr="00B17D02">
              <w:rPr>
                <w:b/>
                <w:bCs/>
                <w:sz w:val="18"/>
                <w:szCs w:val="18"/>
              </w:rPr>
              <w:t>MDA (</w:t>
            </w:r>
            <w:proofErr w:type="spellStart"/>
            <w:r w:rsidRPr="00B17D02">
              <w:rPr>
                <w:b/>
                <w:bCs/>
                <w:sz w:val="18"/>
                <w:szCs w:val="18"/>
              </w:rPr>
              <w:t>nmol</w:t>
            </w:r>
            <w:proofErr w:type="spellEnd"/>
            <w:r w:rsidRPr="00B17D02">
              <w:rPr>
                <w:b/>
                <w:bCs/>
                <w:sz w:val="18"/>
                <w:szCs w:val="18"/>
              </w:rPr>
              <w:t>/ml)</w:t>
            </w:r>
          </w:p>
        </w:tc>
        <w:tc>
          <w:tcPr>
            <w:tcW w:w="1498"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4.25 ± 0.017</w:t>
            </w:r>
            <w:r w:rsidRPr="00B17D02">
              <w:rPr>
                <w:sz w:val="18"/>
                <w:szCs w:val="18"/>
                <w:vertAlign w:val="superscript"/>
              </w:rPr>
              <w:t>a</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4.17 ± 0.015</w:t>
            </w:r>
            <w:r w:rsidRPr="00B17D02">
              <w:rPr>
                <w:sz w:val="18"/>
                <w:szCs w:val="18"/>
                <w:vertAlign w:val="superscript"/>
              </w:rPr>
              <w:t>b</w:t>
            </w:r>
          </w:p>
        </w:tc>
        <w:tc>
          <w:tcPr>
            <w:tcW w:w="1380"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4.12 ± 0.017</w:t>
            </w:r>
            <w:r w:rsidRPr="00B17D02">
              <w:rPr>
                <w:sz w:val="18"/>
                <w:szCs w:val="18"/>
                <w:vertAlign w:val="superscript"/>
              </w:rPr>
              <w:t>b</w:t>
            </w:r>
          </w:p>
        </w:tc>
        <w:tc>
          <w:tcPr>
            <w:tcW w:w="1463"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4.09 ± 0.012</w:t>
            </w:r>
            <w:r w:rsidRPr="00B17D02">
              <w:rPr>
                <w:sz w:val="18"/>
                <w:szCs w:val="18"/>
                <w:vertAlign w:val="superscript"/>
              </w:rPr>
              <w:t>b</w:t>
            </w:r>
          </w:p>
        </w:tc>
        <w:tc>
          <w:tcPr>
            <w:tcW w:w="1498" w:type="dxa"/>
            <w:tcBorders>
              <w:top w:val="nil"/>
              <w:bottom w:val="nil"/>
            </w:tcBorders>
            <w:vAlign w:val="center"/>
          </w:tcPr>
          <w:p w:rsidR="00EF7B17" w:rsidRPr="00B17D02" w:rsidRDefault="00EF7B17" w:rsidP="00BB4BDD">
            <w:pPr>
              <w:tabs>
                <w:tab w:val="left" w:pos="1050"/>
              </w:tabs>
              <w:jc w:val="center"/>
              <w:rPr>
                <w:sz w:val="18"/>
                <w:szCs w:val="18"/>
              </w:rPr>
            </w:pPr>
            <w:r w:rsidRPr="00B17D02">
              <w:rPr>
                <w:sz w:val="18"/>
                <w:szCs w:val="18"/>
              </w:rPr>
              <w:t>4.00 ± 0.040</w:t>
            </w:r>
            <w:r w:rsidRPr="00B17D02">
              <w:rPr>
                <w:sz w:val="18"/>
                <w:szCs w:val="18"/>
                <w:vertAlign w:val="superscript"/>
              </w:rPr>
              <w:t>c</w:t>
            </w:r>
          </w:p>
        </w:tc>
      </w:tr>
      <w:tr w:rsidR="00EF7B17" w:rsidRPr="00B17D02" w:rsidTr="00EF7B17">
        <w:trPr>
          <w:trHeight w:hRule="exact" w:val="270"/>
          <w:jc w:val="center"/>
        </w:trPr>
        <w:tc>
          <w:tcPr>
            <w:tcW w:w="1907" w:type="dxa"/>
            <w:tcBorders>
              <w:top w:val="nil"/>
            </w:tcBorders>
            <w:vAlign w:val="center"/>
          </w:tcPr>
          <w:p w:rsidR="00EF7B17" w:rsidRPr="00B17D02" w:rsidRDefault="00EF7B17" w:rsidP="00BB4BDD">
            <w:pPr>
              <w:rPr>
                <w:b/>
                <w:bCs/>
                <w:sz w:val="18"/>
                <w:szCs w:val="18"/>
              </w:rPr>
            </w:pPr>
            <w:r w:rsidRPr="00B17D02">
              <w:rPr>
                <w:b/>
                <w:bCs/>
                <w:sz w:val="18"/>
                <w:szCs w:val="18"/>
              </w:rPr>
              <w:t>TAC (U/ml)</w:t>
            </w:r>
          </w:p>
        </w:tc>
        <w:tc>
          <w:tcPr>
            <w:tcW w:w="1498" w:type="dxa"/>
            <w:tcBorders>
              <w:top w:val="nil"/>
            </w:tcBorders>
            <w:vAlign w:val="center"/>
          </w:tcPr>
          <w:p w:rsidR="00EF7B17" w:rsidRPr="00B17D02" w:rsidRDefault="00EF7B17" w:rsidP="00BB4BDD">
            <w:pPr>
              <w:jc w:val="center"/>
              <w:rPr>
                <w:sz w:val="18"/>
                <w:szCs w:val="18"/>
              </w:rPr>
            </w:pPr>
            <w:r w:rsidRPr="00B17D02">
              <w:rPr>
                <w:sz w:val="18"/>
                <w:szCs w:val="18"/>
              </w:rPr>
              <w:t>18.35 ± 0.87</w:t>
            </w:r>
            <w:r w:rsidRPr="00B17D02">
              <w:rPr>
                <w:sz w:val="18"/>
                <w:szCs w:val="18"/>
                <w:vertAlign w:val="superscript"/>
              </w:rPr>
              <w:t>c</w:t>
            </w:r>
          </w:p>
        </w:tc>
        <w:tc>
          <w:tcPr>
            <w:tcW w:w="1380" w:type="dxa"/>
            <w:tcBorders>
              <w:top w:val="nil"/>
            </w:tcBorders>
            <w:vAlign w:val="center"/>
          </w:tcPr>
          <w:p w:rsidR="00EF7B17" w:rsidRPr="00B17D02" w:rsidRDefault="00EF7B17" w:rsidP="00BB4BDD">
            <w:pPr>
              <w:jc w:val="center"/>
              <w:rPr>
                <w:sz w:val="18"/>
                <w:szCs w:val="18"/>
              </w:rPr>
            </w:pPr>
            <w:r w:rsidRPr="00B17D02">
              <w:rPr>
                <w:sz w:val="18"/>
                <w:szCs w:val="18"/>
              </w:rPr>
              <w:t>19.16 ± 1.01</w:t>
            </w:r>
            <w:r w:rsidRPr="00B17D02">
              <w:rPr>
                <w:sz w:val="18"/>
                <w:szCs w:val="18"/>
                <w:vertAlign w:val="superscript"/>
              </w:rPr>
              <w:t>c</w:t>
            </w:r>
          </w:p>
        </w:tc>
        <w:tc>
          <w:tcPr>
            <w:tcW w:w="1380" w:type="dxa"/>
            <w:tcBorders>
              <w:top w:val="nil"/>
            </w:tcBorders>
            <w:vAlign w:val="center"/>
          </w:tcPr>
          <w:p w:rsidR="00EF7B17" w:rsidRPr="00B17D02" w:rsidRDefault="00EF7B17" w:rsidP="00BB4BDD">
            <w:pPr>
              <w:jc w:val="center"/>
              <w:rPr>
                <w:sz w:val="18"/>
                <w:szCs w:val="18"/>
              </w:rPr>
            </w:pPr>
            <w:r w:rsidRPr="00B17D02">
              <w:rPr>
                <w:sz w:val="18"/>
                <w:szCs w:val="18"/>
              </w:rPr>
              <w:t>21.30 ± 1.18</w:t>
            </w:r>
            <w:r w:rsidRPr="00B17D02">
              <w:rPr>
                <w:sz w:val="18"/>
                <w:szCs w:val="18"/>
                <w:vertAlign w:val="superscript"/>
              </w:rPr>
              <w:t>bc</w:t>
            </w:r>
          </w:p>
        </w:tc>
        <w:tc>
          <w:tcPr>
            <w:tcW w:w="1463" w:type="dxa"/>
            <w:tcBorders>
              <w:top w:val="nil"/>
            </w:tcBorders>
            <w:vAlign w:val="center"/>
          </w:tcPr>
          <w:p w:rsidR="00EF7B17" w:rsidRPr="00B17D02" w:rsidRDefault="00EF7B17" w:rsidP="00BB4BDD">
            <w:pPr>
              <w:jc w:val="center"/>
              <w:rPr>
                <w:sz w:val="18"/>
                <w:szCs w:val="18"/>
              </w:rPr>
            </w:pPr>
            <w:r w:rsidRPr="00B17D02">
              <w:rPr>
                <w:sz w:val="18"/>
                <w:szCs w:val="18"/>
              </w:rPr>
              <w:t>24.81 ± 1.22</w:t>
            </w:r>
            <w:r w:rsidRPr="00B17D02">
              <w:rPr>
                <w:sz w:val="18"/>
                <w:szCs w:val="18"/>
                <w:vertAlign w:val="superscript"/>
              </w:rPr>
              <w:t>ab</w:t>
            </w:r>
          </w:p>
        </w:tc>
        <w:tc>
          <w:tcPr>
            <w:tcW w:w="1498" w:type="dxa"/>
            <w:tcBorders>
              <w:top w:val="nil"/>
            </w:tcBorders>
            <w:vAlign w:val="center"/>
          </w:tcPr>
          <w:p w:rsidR="00EF7B17" w:rsidRPr="00B17D02" w:rsidRDefault="00EF7B17" w:rsidP="00BB4BDD">
            <w:pPr>
              <w:jc w:val="center"/>
              <w:rPr>
                <w:sz w:val="18"/>
                <w:szCs w:val="18"/>
              </w:rPr>
            </w:pPr>
            <w:r w:rsidRPr="00B17D02">
              <w:rPr>
                <w:sz w:val="18"/>
                <w:szCs w:val="18"/>
              </w:rPr>
              <w:t>25.52 ± 1.23</w:t>
            </w:r>
            <w:r w:rsidRPr="00B17D02">
              <w:rPr>
                <w:sz w:val="18"/>
                <w:szCs w:val="18"/>
                <w:vertAlign w:val="superscript"/>
              </w:rPr>
              <w:t>a</w:t>
            </w:r>
          </w:p>
        </w:tc>
      </w:tr>
    </w:tbl>
    <w:p w:rsidR="00EF7B17" w:rsidRPr="00B17D02" w:rsidRDefault="008C77B7" w:rsidP="00EF7B17">
      <w:pPr>
        <w:tabs>
          <w:tab w:val="left" w:pos="1050"/>
        </w:tabs>
        <w:rPr>
          <w:sz w:val="18"/>
          <w:szCs w:val="18"/>
        </w:rPr>
      </w:pPr>
      <w:r>
        <w:rPr>
          <w:sz w:val="18"/>
          <w:szCs w:val="18"/>
        </w:rPr>
        <w:t xml:space="preserve">   </w:t>
      </w:r>
      <w:r w:rsidR="00EF7B17" w:rsidRPr="00B17D02">
        <w:rPr>
          <w:sz w:val="18"/>
          <w:szCs w:val="18"/>
        </w:rPr>
        <w:t>Each value represents the mean ± SE. Different superscript letters indicate significant difference at (P ≤ 0.05) among means in</w:t>
      </w:r>
    </w:p>
    <w:p w:rsidR="00EF7B17" w:rsidRPr="00B17D02" w:rsidRDefault="00EF7B17" w:rsidP="008C77B7">
      <w:pPr>
        <w:tabs>
          <w:tab w:val="left" w:pos="1050"/>
        </w:tabs>
        <w:rPr>
          <w:sz w:val="18"/>
          <w:szCs w:val="18"/>
        </w:rPr>
      </w:pPr>
      <w:r w:rsidRPr="00B17D02">
        <w:rPr>
          <w:sz w:val="18"/>
          <w:szCs w:val="18"/>
        </w:rPr>
        <w:t xml:space="preserve"> </w:t>
      </w:r>
      <w:r w:rsidR="008C77B7">
        <w:rPr>
          <w:sz w:val="18"/>
          <w:szCs w:val="18"/>
        </w:rPr>
        <w:t xml:space="preserve">  </w:t>
      </w:r>
      <w:proofErr w:type="gramStart"/>
      <w:r w:rsidRPr="00B17D02">
        <w:rPr>
          <w:sz w:val="18"/>
          <w:szCs w:val="18"/>
        </w:rPr>
        <w:t>the</w:t>
      </w:r>
      <w:proofErr w:type="gramEnd"/>
      <w:r w:rsidRPr="00B17D02">
        <w:rPr>
          <w:sz w:val="18"/>
          <w:szCs w:val="18"/>
        </w:rPr>
        <w:t xml:space="preserve"> same row.                                    </w:t>
      </w:r>
      <w:proofErr w:type="spellStart"/>
      <w:r w:rsidRPr="00B17D02">
        <w:rPr>
          <w:sz w:val="18"/>
          <w:szCs w:val="18"/>
        </w:rPr>
        <w:t>GPx</w:t>
      </w:r>
      <w:proofErr w:type="spellEnd"/>
      <w:r w:rsidRPr="00B17D02">
        <w:rPr>
          <w:sz w:val="18"/>
          <w:szCs w:val="18"/>
        </w:rPr>
        <w:t xml:space="preserve">: Glutathione </w:t>
      </w:r>
      <w:proofErr w:type="spellStart"/>
      <w:r w:rsidRPr="00B17D02">
        <w:rPr>
          <w:sz w:val="18"/>
          <w:szCs w:val="18"/>
        </w:rPr>
        <w:t>peroxidase</w:t>
      </w:r>
      <w:proofErr w:type="spellEnd"/>
      <w:r w:rsidRPr="00B17D02">
        <w:rPr>
          <w:sz w:val="18"/>
          <w:szCs w:val="18"/>
        </w:rPr>
        <w:t>,                                SOD: Superoxide dismutase</w:t>
      </w:r>
    </w:p>
    <w:p w:rsidR="00EF7B17" w:rsidRPr="00B17D02" w:rsidRDefault="008C77B7" w:rsidP="008C77B7">
      <w:pPr>
        <w:tabs>
          <w:tab w:val="left" w:pos="1050"/>
        </w:tabs>
        <w:rPr>
          <w:sz w:val="18"/>
          <w:szCs w:val="18"/>
        </w:rPr>
      </w:pPr>
      <w:r>
        <w:rPr>
          <w:sz w:val="18"/>
          <w:szCs w:val="18"/>
        </w:rPr>
        <w:t xml:space="preserve">  </w:t>
      </w:r>
      <w:r w:rsidR="00EF7B17" w:rsidRPr="00B17D02">
        <w:rPr>
          <w:sz w:val="18"/>
          <w:szCs w:val="18"/>
        </w:rPr>
        <w:t xml:space="preserve">MDA: </w:t>
      </w:r>
      <w:proofErr w:type="spellStart"/>
      <w:r w:rsidR="00EF7B17" w:rsidRPr="00B17D02">
        <w:rPr>
          <w:sz w:val="18"/>
          <w:szCs w:val="18"/>
        </w:rPr>
        <w:t>Malondialdehyde</w:t>
      </w:r>
      <w:proofErr w:type="spellEnd"/>
      <w:r w:rsidR="00EF7B17" w:rsidRPr="00B17D02">
        <w:rPr>
          <w:sz w:val="18"/>
          <w:szCs w:val="18"/>
        </w:rPr>
        <w:t xml:space="preserve">                    TAC: Total Antioxidant Capacity</w:t>
      </w:r>
    </w:p>
    <w:p w:rsidR="00EF7B17" w:rsidRPr="00B17D02" w:rsidRDefault="00EF7B17" w:rsidP="00EF7B17">
      <w:pPr>
        <w:tabs>
          <w:tab w:val="left" w:pos="1050"/>
        </w:tabs>
        <w:ind w:hanging="142"/>
        <w:rPr>
          <w:sz w:val="18"/>
          <w:szCs w:val="18"/>
        </w:rPr>
      </w:pPr>
    </w:p>
    <w:p w:rsidR="00EF7B17" w:rsidRPr="00B17D02" w:rsidRDefault="00EF7B17" w:rsidP="00545042">
      <w:pPr>
        <w:tabs>
          <w:tab w:val="left" w:pos="1050"/>
        </w:tabs>
        <w:ind w:firstLine="425"/>
        <w:jc w:val="center"/>
        <w:rPr>
          <w:sz w:val="18"/>
          <w:szCs w:val="18"/>
        </w:rPr>
      </w:pPr>
      <w:proofErr w:type="gramStart"/>
      <w:r w:rsidRPr="00B17D02">
        <w:rPr>
          <w:b/>
          <w:bCs/>
          <w:sz w:val="18"/>
          <w:szCs w:val="18"/>
        </w:rPr>
        <w:t>Table (5).</w:t>
      </w:r>
      <w:proofErr w:type="gramEnd"/>
      <w:r w:rsidRPr="00B17D02">
        <w:rPr>
          <w:b/>
          <w:bCs/>
          <w:sz w:val="18"/>
          <w:szCs w:val="18"/>
        </w:rPr>
        <w:t xml:space="preserve"> Lipid profile of broilers fed on different levels of organic selenium.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9"/>
        <w:gridCol w:w="1417"/>
        <w:gridCol w:w="1339"/>
        <w:gridCol w:w="1567"/>
        <w:gridCol w:w="1567"/>
        <w:gridCol w:w="1444"/>
      </w:tblGrid>
      <w:tr w:rsidR="00EF7B17" w:rsidRPr="00B17D02" w:rsidTr="00EF7B17">
        <w:trPr>
          <w:trHeight w:hRule="exact" w:val="435"/>
          <w:jc w:val="center"/>
        </w:trPr>
        <w:tc>
          <w:tcPr>
            <w:tcW w:w="2229" w:type="dxa"/>
            <w:vMerge w:val="restart"/>
            <w:vAlign w:val="center"/>
          </w:tcPr>
          <w:p w:rsidR="00EF7B17" w:rsidRPr="00B17D02" w:rsidRDefault="00EF7B17" w:rsidP="00BB4BDD">
            <w:pPr>
              <w:jc w:val="center"/>
              <w:rPr>
                <w:b/>
                <w:bCs/>
                <w:sz w:val="18"/>
                <w:szCs w:val="18"/>
              </w:rPr>
            </w:pPr>
            <w:r w:rsidRPr="00B17D02">
              <w:rPr>
                <w:b/>
                <w:bCs/>
                <w:sz w:val="18"/>
                <w:szCs w:val="18"/>
              </w:rPr>
              <w:t>Treatments</w:t>
            </w:r>
          </w:p>
        </w:tc>
        <w:tc>
          <w:tcPr>
            <w:tcW w:w="7334" w:type="dxa"/>
            <w:gridSpan w:val="5"/>
            <w:vAlign w:val="center"/>
          </w:tcPr>
          <w:p w:rsidR="00EF7B17" w:rsidRPr="00B17D02" w:rsidRDefault="00EF7B17" w:rsidP="00BB4BDD">
            <w:pPr>
              <w:jc w:val="center"/>
              <w:rPr>
                <w:b/>
                <w:bCs/>
                <w:sz w:val="18"/>
                <w:szCs w:val="18"/>
              </w:rPr>
            </w:pPr>
            <w:r w:rsidRPr="00B17D02">
              <w:rPr>
                <w:b/>
                <w:bCs/>
                <w:sz w:val="18"/>
                <w:szCs w:val="18"/>
              </w:rPr>
              <w:t>Organic selenium levels in diet (mg/kg diet)</w:t>
            </w:r>
          </w:p>
        </w:tc>
      </w:tr>
      <w:tr w:rsidR="00EF7B17" w:rsidRPr="00B17D02" w:rsidTr="00EF7B17">
        <w:trPr>
          <w:trHeight w:hRule="exact" w:val="435"/>
          <w:jc w:val="center"/>
        </w:trPr>
        <w:tc>
          <w:tcPr>
            <w:tcW w:w="2229" w:type="dxa"/>
            <w:vMerge/>
            <w:tcBorders>
              <w:bottom w:val="single" w:sz="4" w:space="0" w:color="000000"/>
            </w:tcBorders>
          </w:tcPr>
          <w:p w:rsidR="00EF7B17" w:rsidRPr="00B17D02" w:rsidRDefault="00EF7B17" w:rsidP="00BB4BDD">
            <w:pPr>
              <w:rPr>
                <w:b/>
                <w:bCs/>
                <w:sz w:val="18"/>
                <w:szCs w:val="18"/>
              </w:rPr>
            </w:pPr>
          </w:p>
        </w:tc>
        <w:tc>
          <w:tcPr>
            <w:tcW w:w="1417"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0.2</w:t>
            </w:r>
          </w:p>
          <w:p w:rsidR="00EF7B17" w:rsidRPr="00B17D02" w:rsidRDefault="00EF7B17" w:rsidP="00BB4BDD">
            <w:pPr>
              <w:jc w:val="center"/>
              <w:rPr>
                <w:b/>
                <w:bCs/>
                <w:sz w:val="18"/>
                <w:szCs w:val="18"/>
              </w:rPr>
            </w:pPr>
            <w:r w:rsidRPr="00B17D02">
              <w:rPr>
                <w:b/>
                <w:bCs/>
                <w:sz w:val="18"/>
                <w:szCs w:val="18"/>
              </w:rPr>
              <w:t>(T1)</w:t>
            </w:r>
          </w:p>
        </w:tc>
        <w:tc>
          <w:tcPr>
            <w:tcW w:w="1339"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0.3</w:t>
            </w:r>
          </w:p>
          <w:p w:rsidR="00EF7B17" w:rsidRPr="00B17D02" w:rsidRDefault="00EF7B17" w:rsidP="00BB4BDD">
            <w:pPr>
              <w:jc w:val="center"/>
              <w:rPr>
                <w:b/>
                <w:bCs/>
                <w:sz w:val="18"/>
                <w:szCs w:val="18"/>
              </w:rPr>
            </w:pPr>
            <w:r w:rsidRPr="00B17D02">
              <w:rPr>
                <w:b/>
                <w:bCs/>
                <w:sz w:val="18"/>
                <w:szCs w:val="18"/>
              </w:rPr>
              <w:t>(T2)</w:t>
            </w:r>
          </w:p>
        </w:tc>
        <w:tc>
          <w:tcPr>
            <w:tcW w:w="1567"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0.4</w:t>
            </w:r>
          </w:p>
          <w:p w:rsidR="00EF7B17" w:rsidRPr="00B17D02" w:rsidRDefault="00EF7B17" w:rsidP="00BB4BDD">
            <w:pPr>
              <w:jc w:val="center"/>
              <w:rPr>
                <w:b/>
                <w:bCs/>
                <w:sz w:val="18"/>
                <w:szCs w:val="18"/>
              </w:rPr>
            </w:pPr>
            <w:r w:rsidRPr="00B17D02">
              <w:rPr>
                <w:b/>
                <w:bCs/>
                <w:sz w:val="18"/>
                <w:szCs w:val="18"/>
              </w:rPr>
              <w:t>(T3)</w:t>
            </w:r>
          </w:p>
        </w:tc>
        <w:tc>
          <w:tcPr>
            <w:tcW w:w="1567"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0.5</w:t>
            </w:r>
          </w:p>
          <w:p w:rsidR="00EF7B17" w:rsidRPr="00B17D02" w:rsidRDefault="00EF7B17" w:rsidP="00BB4BDD">
            <w:pPr>
              <w:jc w:val="center"/>
              <w:rPr>
                <w:b/>
                <w:bCs/>
                <w:sz w:val="18"/>
                <w:szCs w:val="18"/>
              </w:rPr>
            </w:pPr>
            <w:r w:rsidRPr="00B17D02">
              <w:rPr>
                <w:b/>
                <w:bCs/>
                <w:sz w:val="18"/>
                <w:szCs w:val="18"/>
              </w:rPr>
              <w:t>(T4)</w:t>
            </w:r>
          </w:p>
        </w:tc>
        <w:tc>
          <w:tcPr>
            <w:tcW w:w="1444"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0.6</w:t>
            </w:r>
          </w:p>
          <w:p w:rsidR="00EF7B17" w:rsidRPr="00B17D02" w:rsidRDefault="00EF7B17" w:rsidP="00BB4BDD">
            <w:pPr>
              <w:jc w:val="center"/>
              <w:rPr>
                <w:b/>
                <w:bCs/>
                <w:sz w:val="18"/>
                <w:szCs w:val="18"/>
              </w:rPr>
            </w:pPr>
            <w:r w:rsidRPr="00B17D02">
              <w:rPr>
                <w:b/>
                <w:bCs/>
                <w:sz w:val="18"/>
                <w:szCs w:val="18"/>
              </w:rPr>
              <w:t>(T5)</w:t>
            </w:r>
          </w:p>
        </w:tc>
      </w:tr>
      <w:tr w:rsidR="00EF7B17" w:rsidRPr="00B17D02" w:rsidTr="008C77B7">
        <w:trPr>
          <w:trHeight w:hRule="exact" w:val="289"/>
          <w:jc w:val="center"/>
        </w:trPr>
        <w:tc>
          <w:tcPr>
            <w:tcW w:w="2229" w:type="dxa"/>
            <w:tcBorders>
              <w:bottom w:val="nil"/>
            </w:tcBorders>
            <w:vAlign w:val="center"/>
          </w:tcPr>
          <w:p w:rsidR="00EF7B17" w:rsidRPr="00B17D02" w:rsidRDefault="00EF7B17" w:rsidP="00EF7B17">
            <w:pPr>
              <w:rPr>
                <w:b/>
                <w:bCs/>
                <w:sz w:val="18"/>
                <w:szCs w:val="18"/>
              </w:rPr>
            </w:pPr>
            <w:r>
              <w:rPr>
                <w:b/>
                <w:bCs/>
                <w:sz w:val="18"/>
                <w:szCs w:val="18"/>
              </w:rPr>
              <w:t xml:space="preserve">Total cholesterol </w:t>
            </w:r>
            <w:r w:rsidRPr="00B17D02">
              <w:rPr>
                <w:b/>
                <w:bCs/>
                <w:sz w:val="18"/>
                <w:szCs w:val="18"/>
              </w:rPr>
              <w:t>(mg/dl)</w:t>
            </w:r>
          </w:p>
        </w:tc>
        <w:tc>
          <w:tcPr>
            <w:tcW w:w="1417" w:type="dxa"/>
            <w:tcBorders>
              <w:bottom w:val="nil"/>
            </w:tcBorders>
            <w:vAlign w:val="center"/>
          </w:tcPr>
          <w:p w:rsidR="00EF7B17" w:rsidRPr="00B17D02" w:rsidRDefault="00EF7B17" w:rsidP="00BB4BDD">
            <w:pPr>
              <w:jc w:val="center"/>
              <w:rPr>
                <w:sz w:val="18"/>
                <w:szCs w:val="18"/>
              </w:rPr>
            </w:pPr>
            <w:r w:rsidRPr="00B17D02">
              <w:rPr>
                <w:sz w:val="18"/>
                <w:szCs w:val="18"/>
              </w:rPr>
              <w:t>142.73 ± 1.29</w:t>
            </w:r>
            <w:r w:rsidRPr="00B17D02">
              <w:rPr>
                <w:sz w:val="18"/>
                <w:szCs w:val="18"/>
                <w:vertAlign w:val="superscript"/>
              </w:rPr>
              <w:t>a</w:t>
            </w:r>
          </w:p>
        </w:tc>
        <w:tc>
          <w:tcPr>
            <w:tcW w:w="1339" w:type="dxa"/>
            <w:tcBorders>
              <w:bottom w:val="nil"/>
            </w:tcBorders>
            <w:vAlign w:val="center"/>
          </w:tcPr>
          <w:p w:rsidR="00EF7B17" w:rsidRPr="00B17D02" w:rsidRDefault="00EF7B17" w:rsidP="00BB4BDD">
            <w:pPr>
              <w:jc w:val="center"/>
              <w:rPr>
                <w:sz w:val="18"/>
                <w:szCs w:val="18"/>
              </w:rPr>
            </w:pPr>
            <w:r w:rsidRPr="00B17D02">
              <w:rPr>
                <w:sz w:val="18"/>
                <w:szCs w:val="18"/>
              </w:rPr>
              <w:t>140.23 ± 0.99</w:t>
            </w:r>
            <w:r w:rsidRPr="00B17D02">
              <w:rPr>
                <w:sz w:val="18"/>
                <w:szCs w:val="18"/>
                <w:vertAlign w:val="superscript"/>
              </w:rPr>
              <w:t>ab</w:t>
            </w:r>
          </w:p>
        </w:tc>
        <w:tc>
          <w:tcPr>
            <w:tcW w:w="1567" w:type="dxa"/>
            <w:tcBorders>
              <w:bottom w:val="nil"/>
            </w:tcBorders>
            <w:vAlign w:val="center"/>
          </w:tcPr>
          <w:p w:rsidR="00EF7B17" w:rsidRPr="00B17D02" w:rsidRDefault="00EF7B17" w:rsidP="00BB4BDD">
            <w:pPr>
              <w:jc w:val="center"/>
              <w:rPr>
                <w:sz w:val="18"/>
                <w:szCs w:val="18"/>
              </w:rPr>
            </w:pPr>
            <w:r w:rsidRPr="00B17D02">
              <w:rPr>
                <w:sz w:val="18"/>
                <w:szCs w:val="18"/>
              </w:rPr>
              <w:t>138.91 ± 1.23</w:t>
            </w:r>
            <w:r w:rsidRPr="00B17D02">
              <w:rPr>
                <w:sz w:val="18"/>
                <w:szCs w:val="18"/>
                <w:vertAlign w:val="superscript"/>
              </w:rPr>
              <w:t>ab</w:t>
            </w:r>
          </w:p>
        </w:tc>
        <w:tc>
          <w:tcPr>
            <w:tcW w:w="1567" w:type="dxa"/>
            <w:tcBorders>
              <w:bottom w:val="nil"/>
            </w:tcBorders>
            <w:vAlign w:val="center"/>
          </w:tcPr>
          <w:p w:rsidR="00EF7B17" w:rsidRPr="00B17D02" w:rsidRDefault="00EF7B17" w:rsidP="00BB4BDD">
            <w:pPr>
              <w:jc w:val="center"/>
              <w:rPr>
                <w:sz w:val="18"/>
                <w:szCs w:val="18"/>
              </w:rPr>
            </w:pPr>
            <w:r w:rsidRPr="00B17D02">
              <w:rPr>
                <w:sz w:val="18"/>
                <w:szCs w:val="18"/>
              </w:rPr>
              <w:t>138.50 ± 0.95</w:t>
            </w:r>
            <w:r w:rsidRPr="00B17D02">
              <w:rPr>
                <w:sz w:val="18"/>
                <w:szCs w:val="18"/>
                <w:vertAlign w:val="superscript"/>
              </w:rPr>
              <w:t>bc</w:t>
            </w:r>
          </w:p>
        </w:tc>
        <w:tc>
          <w:tcPr>
            <w:tcW w:w="1444" w:type="dxa"/>
            <w:tcBorders>
              <w:bottom w:val="nil"/>
            </w:tcBorders>
            <w:vAlign w:val="center"/>
          </w:tcPr>
          <w:p w:rsidR="00EF7B17" w:rsidRPr="00B17D02" w:rsidRDefault="00EF7B17" w:rsidP="00BB4BDD">
            <w:pPr>
              <w:jc w:val="center"/>
              <w:rPr>
                <w:sz w:val="18"/>
                <w:szCs w:val="18"/>
              </w:rPr>
            </w:pPr>
            <w:r w:rsidRPr="00B17D02">
              <w:rPr>
                <w:sz w:val="18"/>
                <w:szCs w:val="18"/>
              </w:rPr>
              <w:t>135.28 ± 0.65</w:t>
            </w:r>
            <w:r w:rsidRPr="00B17D02">
              <w:rPr>
                <w:sz w:val="18"/>
                <w:szCs w:val="18"/>
                <w:vertAlign w:val="superscript"/>
              </w:rPr>
              <w:t>c</w:t>
            </w:r>
          </w:p>
        </w:tc>
      </w:tr>
      <w:tr w:rsidR="00EF7B17" w:rsidRPr="00B17D02" w:rsidTr="008C77B7">
        <w:trPr>
          <w:trHeight w:hRule="exact" w:val="269"/>
          <w:jc w:val="center"/>
        </w:trPr>
        <w:tc>
          <w:tcPr>
            <w:tcW w:w="2229" w:type="dxa"/>
            <w:tcBorders>
              <w:top w:val="nil"/>
              <w:bottom w:val="nil"/>
            </w:tcBorders>
            <w:vAlign w:val="center"/>
          </w:tcPr>
          <w:p w:rsidR="00EF7B17" w:rsidRPr="00B17D02" w:rsidRDefault="00EF7B17" w:rsidP="00EF7B17">
            <w:pPr>
              <w:rPr>
                <w:b/>
                <w:bCs/>
                <w:sz w:val="18"/>
                <w:szCs w:val="18"/>
              </w:rPr>
            </w:pPr>
            <w:r>
              <w:rPr>
                <w:b/>
                <w:bCs/>
                <w:sz w:val="18"/>
                <w:szCs w:val="18"/>
              </w:rPr>
              <w:t xml:space="preserve">Triglycerides </w:t>
            </w:r>
            <w:r w:rsidRPr="00B17D02">
              <w:rPr>
                <w:b/>
                <w:bCs/>
                <w:sz w:val="18"/>
                <w:szCs w:val="18"/>
              </w:rPr>
              <w:t>(mg/dl)</w:t>
            </w:r>
          </w:p>
        </w:tc>
        <w:tc>
          <w:tcPr>
            <w:tcW w:w="1417" w:type="dxa"/>
            <w:tcBorders>
              <w:top w:val="nil"/>
              <w:bottom w:val="nil"/>
            </w:tcBorders>
            <w:vAlign w:val="center"/>
          </w:tcPr>
          <w:p w:rsidR="00EF7B17" w:rsidRPr="00B17D02" w:rsidRDefault="00EF7B17" w:rsidP="00BB4BDD">
            <w:pPr>
              <w:jc w:val="center"/>
              <w:rPr>
                <w:sz w:val="18"/>
                <w:szCs w:val="18"/>
              </w:rPr>
            </w:pPr>
            <w:r w:rsidRPr="00B17D02">
              <w:rPr>
                <w:sz w:val="18"/>
                <w:szCs w:val="18"/>
              </w:rPr>
              <w:t>95.42 ± 0.40</w:t>
            </w:r>
            <w:r w:rsidRPr="00B17D02">
              <w:rPr>
                <w:sz w:val="18"/>
                <w:szCs w:val="18"/>
                <w:vertAlign w:val="superscript"/>
              </w:rPr>
              <w:t>a</w:t>
            </w:r>
          </w:p>
        </w:tc>
        <w:tc>
          <w:tcPr>
            <w:tcW w:w="1339" w:type="dxa"/>
            <w:tcBorders>
              <w:top w:val="nil"/>
              <w:bottom w:val="nil"/>
            </w:tcBorders>
            <w:vAlign w:val="center"/>
          </w:tcPr>
          <w:p w:rsidR="00EF7B17" w:rsidRPr="00B17D02" w:rsidRDefault="00EF7B17" w:rsidP="00BB4BDD">
            <w:pPr>
              <w:jc w:val="center"/>
              <w:rPr>
                <w:sz w:val="18"/>
                <w:szCs w:val="18"/>
              </w:rPr>
            </w:pPr>
            <w:r w:rsidRPr="00B17D02">
              <w:rPr>
                <w:sz w:val="18"/>
                <w:szCs w:val="18"/>
              </w:rPr>
              <w:t>94.70 ± 0.89</w:t>
            </w:r>
            <w:r w:rsidRPr="00B17D02">
              <w:rPr>
                <w:sz w:val="18"/>
                <w:szCs w:val="18"/>
                <w:vertAlign w:val="superscript"/>
              </w:rPr>
              <w:t>a</w:t>
            </w:r>
          </w:p>
        </w:tc>
        <w:tc>
          <w:tcPr>
            <w:tcW w:w="1567" w:type="dxa"/>
            <w:tcBorders>
              <w:top w:val="nil"/>
              <w:bottom w:val="nil"/>
            </w:tcBorders>
            <w:vAlign w:val="center"/>
          </w:tcPr>
          <w:p w:rsidR="00EF7B17" w:rsidRPr="00B17D02" w:rsidRDefault="00EF7B17" w:rsidP="00BB4BDD">
            <w:pPr>
              <w:jc w:val="center"/>
              <w:rPr>
                <w:sz w:val="18"/>
                <w:szCs w:val="18"/>
              </w:rPr>
            </w:pPr>
            <w:r w:rsidRPr="00B17D02">
              <w:rPr>
                <w:sz w:val="18"/>
                <w:szCs w:val="18"/>
              </w:rPr>
              <w:t>94.21 ± 0.37</w:t>
            </w:r>
            <w:r w:rsidRPr="00B17D02">
              <w:rPr>
                <w:sz w:val="18"/>
                <w:szCs w:val="18"/>
                <w:vertAlign w:val="superscript"/>
              </w:rPr>
              <w:t>ab</w:t>
            </w:r>
          </w:p>
        </w:tc>
        <w:tc>
          <w:tcPr>
            <w:tcW w:w="1567" w:type="dxa"/>
            <w:tcBorders>
              <w:top w:val="nil"/>
              <w:bottom w:val="nil"/>
            </w:tcBorders>
            <w:vAlign w:val="center"/>
          </w:tcPr>
          <w:p w:rsidR="00EF7B17" w:rsidRPr="00B17D02" w:rsidRDefault="00EF7B17" w:rsidP="00BB4BDD">
            <w:pPr>
              <w:jc w:val="center"/>
              <w:rPr>
                <w:sz w:val="18"/>
                <w:szCs w:val="18"/>
              </w:rPr>
            </w:pPr>
            <w:r w:rsidRPr="00B17D02">
              <w:rPr>
                <w:sz w:val="18"/>
                <w:szCs w:val="18"/>
              </w:rPr>
              <w:t>92.28 ± 0.87</w:t>
            </w:r>
            <w:r w:rsidRPr="00B17D02">
              <w:rPr>
                <w:sz w:val="18"/>
                <w:szCs w:val="18"/>
                <w:vertAlign w:val="superscript"/>
              </w:rPr>
              <w:t>b</w:t>
            </w:r>
          </w:p>
        </w:tc>
        <w:tc>
          <w:tcPr>
            <w:tcW w:w="1444" w:type="dxa"/>
            <w:tcBorders>
              <w:top w:val="nil"/>
              <w:bottom w:val="nil"/>
            </w:tcBorders>
            <w:vAlign w:val="center"/>
          </w:tcPr>
          <w:p w:rsidR="00EF7B17" w:rsidRPr="00B17D02" w:rsidRDefault="00EF7B17" w:rsidP="00BB4BDD">
            <w:pPr>
              <w:jc w:val="center"/>
              <w:rPr>
                <w:sz w:val="18"/>
                <w:szCs w:val="18"/>
              </w:rPr>
            </w:pPr>
            <w:r w:rsidRPr="00B17D02">
              <w:rPr>
                <w:sz w:val="18"/>
                <w:szCs w:val="18"/>
              </w:rPr>
              <w:t>89.44 ± 0.60</w:t>
            </w:r>
            <w:r w:rsidRPr="00B17D02">
              <w:rPr>
                <w:sz w:val="18"/>
                <w:szCs w:val="18"/>
                <w:vertAlign w:val="superscript"/>
              </w:rPr>
              <w:t>c</w:t>
            </w:r>
          </w:p>
        </w:tc>
      </w:tr>
      <w:tr w:rsidR="00EF7B17" w:rsidRPr="00B17D02" w:rsidTr="008C77B7">
        <w:trPr>
          <w:trHeight w:hRule="exact" w:val="287"/>
          <w:jc w:val="center"/>
        </w:trPr>
        <w:tc>
          <w:tcPr>
            <w:tcW w:w="2229" w:type="dxa"/>
            <w:tcBorders>
              <w:top w:val="nil"/>
              <w:bottom w:val="nil"/>
            </w:tcBorders>
            <w:vAlign w:val="center"/>
          </w:tcPr>
          <w:p w:rsidR="00EF7B17" w:rsidRPr="00B17D02" w:rsidRDefault="00EF7B17" w:rsidP="00EF7B17">
            <w:pPr>
              <w:rPr>
                <w:b/>
                <w:bCs/>
                <w:sz w:val="18"/>
                <w:szCs w:val="18"/>
              </w:rPr>
            </w:pPr>
            <w:r>
              <w:rPr>
                <w:b/>
                <w:bCs/>
                <w:sz w:val="18"/>
                <w:szCs w:val="18"/>
              </w:rPr>
              <w:t xml:space="preserve">HDL- C </w:t>
            </w:r>
            <w:r w:rsidRPr="00B17D02">
              <w:rPr>
                <w:b/>
                <w:bCs/>
                <w:sz w:val="18"/>
                <w:szCs w:val="18"/>
              </w:rPr>
              <w:t>(mg/dl)</w:t>
            </w:r>
            <w:r w:rsidRPr="00B17D02">
              <w:rPr>
                <w:b/>
                <w:bCs/>
                <w:sz w:val="18"/>
                <w:szCs w:val="18"/>
              </w:rPr>
              <w:tab/>
            </w:r>
          </w:p>
        </w:tc>
        <w:tc>
          <w:tcPr>
            <w:tcW w:w="1417" w:type="dxa"/>
            <w:tcBorders>
              <w:top w:val="nil"/>
              <w:bottom w:val="nil"/>
            </w:tcBorders>
            <w:vAlign w:val="center"/>
          </w:tcPr>
          <w:p w:rsidR="00EF7B17" w:rsidRPr="00B17D02" w:rsidRDefault="00EF7B17" w:rsidP="00BB4BDD">
            <w:pPr>
              <w:jc w:val="center"/>
              <w:rPr>
                <w:sz w:val="18"/>
                <w:szCs w:val="18"/>
              </w:rPr>
            </w:pPr>
            <w:r w:rsidRPr="00B17D02">
              <w:rPr>
                <w:sz w:val="18"/>
                <w:szCs w:val="18"/>
              </w:rPr>
              <w:t>26.31 ± 0.61</w:t>
            </w:r>
            <w:r w:rsidRPr="00B17D02">
              <w:rPr>
                <w:sz w:val="18"/>
                <w:szCs w:val="18"/>
                <w:vertAlign w:val="superscript"/>
              </w:rPr>
              <w:t>c</w:t>
            </w:r>
          </w:p>
        </w:tc>
        <w:tc>
          <w:tcPr>
            <w:tcW w:w="1339" w:type="dxa"/>
            <w:tcBorders>
              <w:top w:val="nil"/>
              <w:bottom w:val="nil"/>
            </w:tcBorders>
            <w:vAlign w:val="center"/>
          </w:tcPr>
          <w:p w:rsidR="00EF7B17" w:rsidRPr="00B17D02" w:rsidRDefault="00EF7B17" w:rsidP="00BB4BDD">
            <w:pPr>
              <w:jc w:val="center"/>
              <w:rPr>
                <w:sz w:val="18"/>
                <w:szCs w:val="18"/>
              </w:rPr>
            </w:pPr>
            <w:r w:rsidRPr="00B17D02">
              <w:rPr>
                <w:sz w:val="18"/>
                <w:szCs w:val="18"/>
              </w:rPr>
              <w:t>27.64 ± 0.49</w:t>
            </w:r>
            <w:r w:rsidRPr="00B17D02">
              <w:rPr>
                <w:sz w:val="18"/>
                <w:szCs w:val="18"/>
                <w:vertAlign w:val="superscript"/>
              </w:rPr>
              <w:t>bc</w:t>
            </w:r>
          </w:p>
        </w:tc>
        <w:tc>
          <w:tcPr>
            <w:tcW w:w="1567" w:type="dxa"/>
            <w:tcBorders>
              <w:top w:val="nil"/>
              <w:bottom w:val="nil"/>
            </w:tcBorders>
            <w:vAlign w:val="center"/>
          </w:tcPr>
          <w:p w:rsidR="00EF7B17" w:rsidRPr="00B17D02" w:rsidRDefault="00EF7B17" w:rsidP="00BB4BDD">
            <w:pPr>
              <w:jc w:val="center"/>
              <w:rPr>
                <w:sz w:val="18"/>
                <w:szCs w:val="18"/>
              </w:rPr>
            </w:pPr>
            <w:r w:rsidRPr="00B17D02">
              <w:rPr>
                <w:sz w:val="18"/>
                <w:szCs w:val="18"/>
              </w:rPr>
              <w:t>28.21 ± 0.77</w:t>
            </w:r>
            <w:r w:rsidRPr="00B17D02">
              <w:rPr>
                <w:sz w:val="18"/>
                <w:szCs w:val="18"/>
                <w:vertAlign w:val="superscript"/>
              </w:rPr>
              <w:t>bc</w:t>
            </w:r>
          </w:p>
        </w:tc>
        <w:tc>
          <w:tcPr>
            <w:tcW w:w="1567" w:type="dxa"/>
            <w:tcBorders>
              <w:top w:val="nil"/>
              <w:bottom w:val="nil"/>
            </w:tcBorders>
            <w:vAlign w:val="center"/>
          </w:tcPr>
          <w:p w:rsidR="00EF7B17" w:rsidRPr="00B17D02" w:rsidRDefault="00EF7B17" w:rsidP="00BB4BDD">
            <w:pPr>
              <w:jc w:val="center"/>
              <w:rPr>
                <w:sz w:val="18"/>
                <w:szCs w:val="18"/>
              </w:rPr>
            </w:pPr>
            <w:r w:rsidRPr="00B17D02">
              <w:rPr>
                <w:sz w:val="18"/>
                <w:szCs w:val="18"/>
              </w:rPr>
              <w:t>29.68 ± 0.55</w:t>
            </w:r>
            <w:r w:rsidRPr="00B17D02">
              <w:rPr>
                <w:sz w:val="18"/>
                <w:szCs w:val="18"/>
                <w:vertAlign w:val="superscript"/>
              </w:rPr>
              <w:t>ab</w:t>
            </w:r>
          </w:p>
        </w:tc>
        <w:tc>
          <w:tcPr>
            <w:tcW w:w="1444" w:type="dxa"/>
            <w:tcBorders>
              <w:top w:val="nil"/>
              <w:bottom w:val="nil"/>
            </w:tcBorders>
            <w:vAlign w:val="center"/>
          </w:tcPr>
          <w:p w:rsidR="00EF7B17" w:rsidRPr="00B17D02" w:rsidRDefault="00EF7B17" w:rsidP="00BB4BDD">
            <w:pPr>
              <w:jc w:val="center"/>
              <w:rPr>
                <w:sz w:val="18"/>
                <w:szCs w:val="18"/>
              </w:rPr>
            </w:pPr>
            <w:r w:rsidRPr="00B17D02">
              <w:rPr>
                <w:sz w:val="18"/>
                <w:szCs w:val="18"/>
              </w:rPr>
              <w:t>31.82 ± 0.94</w:t>
            </w:r>
            <w:r w:rsidRPr="00B17D02">
              <w:rPr>
                <w:sz w:val="18"/>
                <w:szCs w:val="18"/>
                <w:vertAlign w:val="superscript"/>
              </w:rPr>
              <w:t>a</w:t>
            </w:r>
          </w:p>
        </w:tc>
      </w:tr>
      <w:tr w:rsidR="00EF7B17" w:rsidRPr="00B17D02" w:rsidTr="008C77B7">
        <w:trPr>
          <w:trHeight w:hRule="exact" w:val="277"/>
          <w:jc w:val="center"/>
        </w:trPr>
        <w:tc>
          <w:tcPr>
            <w:tcW w:w="2229" w:type="dxa"/>
            <w:tcBorders>
              <w:top w:val="nil"/>
            </w:tcBorders>
            <w:vAlign w:val="center"/>
          </w:tcPr>
          <w:p w:rsidR="00EF7B17" w:rsidRPr="00B17D02" w:rsidRDefault="00EF7B17" w:rsidP="00EF7B17">
            <w:pPr>
              <w:rPr>
                <w:b/>
                <w:bCs/>
                <w:sz w:val="18"/>
                <w:szCs w:val="18"/>
              </w:rPr>
            </w:pPr>
            <w:r>
              <w:rPr>
                <w:b/>
                <w:bCs/>
                <w:sz w:val="18"/>
                <w:szCs w:val="18"/>
              </w:rPr>
              <w:t xml:space="preserve">LDL- C </w:t>
            </w:r>
            <w:r w:rsidRPr="00B17D02">
              <w:rPr>
                <w:b/>
                <w:bCs/>
                <w:sz w:val="18"/>
                <w:szCs w:val="18"/>
              </w:rPr>
              <w:t>(mg/dl)</w:t>
            </w:r>
            <w:r w:rsidRPr="00B17D02">
              <w:rPr>
                <w:b/>
                <w:bCs/>
                <w:sz w:val="18"/>
                <w:szCs w:val="18"/>
              </w:rPr>
              <w:tab/>
            </w:r>
          </w:p>
        </w:tc>
        <w:tc>
          <w:tcPr>
            <w:tcW w:w="1417" w:type="dxa"/>
            <w:tcBorders>
              <w:top w:val="nil"/>
            </w:tcBorders>
            <w:vAlign w:val="center"/>
          </w:tcPr>
          <w:p w:rsidR="00EF7B17" w:rsidRPr="00B17D02" w:rsidRDefault="00EF7B17" w:rsidP="00BB4BDD">
            <w:pPr>
              <w:jc w:val="center"/>
              <w:rPr>
                <w:sz w:val="18"/>
                <w:szCs w:val="18"/>
              </w:rPr>
            </w:pPr>
            <w:r w:rsidRPr="00B17D02">
              <w:rPr>
                <w:sz w:val="18"/>
                <w:szCs w:val="18"/>
              </w:rPr>
              <w:t>92.31 ± 0.42</w:t>
            </w:r>
            <w:r w:rsidRPr="00B17D02">
              <w:rPr>
                <w:sz w:val="18"/>
                <w:szCs w:val="18"/>
                <w:vertAlign w:val="superscript"/>
              </w:rPr>
              <w:t>a</w:t>
            </w:r>
          </w:p>
        </w:tc>
        <w:tc>
          <w:tcPr>
            <w:tcW w:w="1339" w:type="dxa"/>
            <w:tcBorders>
              <w:top w:val="nil"/>
            </w:tcBorders>
            <w:vAlign w:val="center"/>
          </w:tcPr>
          <w:p w:rsidR="00EF7B17" w:rsidRPr="00B17D02" w:rsidRDefault="00EF7B17" w:rsidP="00BB4BDD">
            <w:pPr>
              <w:jc w:val="center"/>
              <w:rPr>
                <w:sz w:val="18"/>
                <w:szCs w:val="18"/>
              </w:rPr>
            </w:pPr>
            <w:r w:rsidRPr="00B17D02">
              <w:rPr>
                <w:sz w:val="18"/>
                <w:szCs w:val="18"/>
              </w:rPr>
              <w:t>91.52 ± 0.56</w:t>
            </w:r>
            <w:r w:rsidRPr="00B17D02">
              <w:rPr>
                <w:sz w:val="18"/>
                <w:szCs w:val="18"/>
                <w:vertAlign w:val="superscript"/>
              </w:rPr>
              <w:t>a</w:t>
            </w:r>
          </w:p>
        </w:tc>
        <w:tc>
          <w:tcPr>
            <w:tcW w:w="1567" w:type="dxa"/>
            <w:tcBorders>
              <w:top w:val="nil"/>
            </w:tcBorders>
            <w:vAlign w:val="center"/>
          </w:tcPr>
          <w:p w:rsidR="00EF7B17" w:rsidRPr="00B17D02" w:rsidRDefault="00EF7B17" w:rsidP="00BB4BDD">
            <w:pPr>
              <w:jc w:val="center"/>
              <w:rPr>
                <w:sz w:val="18"/>
                <w:szCs w:val="18"/>
              </w:rPr>
            </w:pPr>
            <w:r w:rsidRPr="00B17D02">
              <w:rPr>
                <w:sz w:val="18"/>
                <w:szCs w:val="18"/>
              </w:rPr>
              <w:t>90.70 ± 0.59</w:t>
            </w:r>
            <w:r w:rsidRPr="00B17D02">
              <w:rPr>
                <w:sz w:val="18"/>
                <w:szCs w:val="18"/>
                <w:vertAlign w:val="superscript"/>
              </w:rPr>
              <w:t>a</w:t>
            </w:r>
          </w:p>
        </w:tc>
        <w:tc>
          <w:tcPr>
            <w:tcW w:w="1567" w:type="dxa"/>
            <w:tcBorders>
              <w:top w:val="nil"/>
            </w:tcBorders>
            <w:vAlign w:val="center"/>
          </w:tcPr>
          <w:p w:rsidR="00EF7B17" w:rsidRPr="00B17D02" w:rsidRDefault="00EF7B17" w:rsidP="00BB4BDD">
            <w:pPr>
              <w:jc w:val="center"/>
              <w:rPr>
                <w:sz w:val="18"/>
                <w:szCs w:val="18"/>
              </w:rPr>
            </w:pPr>
            <w:r w:rsidRPr="00B17D02">
              <w:rPr>
                <w:sz w:val="18"/>
                <w:szCs w:val="18"/>
              </w:rPr>
              <w:t>88.12 ± 0.65</w:t>
            </w:r>
            <w:r w:rsidRPr="00B17D02">
              <w:rPr>
                <w:sz w:val="18"/>
                <w:szCs w:val="18"/>
                <w:vertAlign w:val="superscript"/>
              </w:rPr>
              <w:t>b</w:t>
            </w:r>
            <w:r w:rsidRPr="00B17D02">
              <w:rPr>
                <w:sz w:val="18"/>
                <w:szCs w:val="18"/>
              </w:rPr>
              <w:tab/>
            </w:r>
          </w:p>
        </w:tc>
        <w:tc>
          <w:tcPr>
            <w:tcW w:w="1444" w:type="dxa"/>
            <w:tcBorders>
              <w:top w:val="nil"/>
            </w:tcBorders>
            <w:vAlign w:val="center"/>
          </w:tcPr>
          <w:p w:rsidR="00EF7B17" w:rsidRPr="00B17D02" w:rsidRDefault="00EF7B17" w:rsidP="00BB4BDD">
            <w:pPr>
              <w:jc w:val="center"/>
              <w:rPr>
                <w:sz w:val="18"/>
                <w:szCs w:val="18"/>
              </w:rPr>
            </w:pPr>
            <w:r w:rsidRPr="00B17D02">
              <w:rPr>
                <w:sz w:val="18"/>
                <w:szCs w:val="18"/>
              </w:rPr>
              <w:t>87.83 ± 0.97</w:t>
            </w:r>
            <w:r w:rsidRPr="00B17D02">
              <w:rPr>
                <w:sz w:val="18"/>
                <w:szCs w:val="18"/>
                <w:vertAlign w:val="superscript"/>
              </w:rPr>
              <w:t>b</w:t>
            </w:r>
          </w:p>
        </w:tc>
      </w:tr>
    </w:tbl>
    <w:p w:rsidR="00EF7B17" w:rsidRPr="00B17D02" w:rsidRDefault="00EF7B17" w:rsidP="00EF7B17">
      <w:pPr>
        <w:ind w:hanging="142"/>
        <w:rPr>
          <w:sz w:val="18"/>
          <w:szCs w:val="18"/>
        </w:rPr>
      </w:pPr>
      <w:r w:rsidRPr="00B17D02">
        <w:rPr>
          <w:sz w:val="18"/>
          <w:szCs w:val="18"/>
        </w:rPr>
        <w:t xml:space="preserve">  Each value represents the mean ± SE. Different superscript letters indicate significant difference at (P ≤ 0.05) among means in </w:t>
      </w:r>
    </w:p>
    <w:p w:rsidR="00EF7B17" w:rsidRPr="00B17D02" w:rsidRDefault="00EF7B17" w:rsidP="00EF7B17">
      <w:pPr>
        <w:ind w:hanging="142"/>
        <w:rPr>
          <w:sz w:val="18"/>
          <w:szCs w:val="18"/>
        </w:rPr>
      </w:pPr>
      <w:r w:rsidRPr="00B17D02">
        <w:rPr>
          <w:sz w:val="18"/>
          <w:szCs w:val="18"/>
        </w:rPr>
        <w:t xml:space="preserve">  </w:t>
      </w:r>
      <w:proofErr w:type="gramStart"/>
      <w:r w:rsidRPr="00B17D02">
        <w:rPr>
          <w:sz w:val="18"/>
          <w:szCs w:val="18"/>
        </w:rPr>
        <w:t>the</w:t>
      </w:r>
      <w:proofErr w:type="gramEnd"/>
      <w:r w:rsidRPr="00B17D02">
        <w:rPr>
          <w:sz w:val="18"/>
          <w:szCs w:val="18"/>
        </w:rPr>
        <w:t xml:space="preserve"> same row.                HDL-C: High-density lipoprotein cholesterol                        LDL-C: low-density lipoprotein cholesterol </w:t>
      </w:r>
    </w:p>
    <w:p w:rsidR="00EF7B17" w:rsidRPr="00B17D02" w:rsidRDefault="00EF7B17" w:rsidP="00EF7B17">
      <w:pPr>
        <w:rPr>
          <w:b/>
          <w:bCs/>
          <w:sz w:val="18"/>
          <w:szCs w:val="18"/>
        </w:rPr>
      </w:pPr>
    </w:p>
    <w:p w:rsidR="00EF7B17" w:rsidRPr="00B17D02" w:rsidRDefault="00EF7B17" w:rsidP="00545042">
      <w:pPr>
        <w:jc w:val="center"/>
        <w:rPr>
          <w:b/>
          <w:bCs/>
          <w:sz w:val="18"/>
          <w:szCs w:val="18"/>
        </w:rPr>
      </w:pPr>
      <w:proofErr w:type="gramStart"/>
      <w:r w:rsidRPr="00B17D02">
        <w:rPr>
          <w:b/>
          <w:bCs/>
          <w:sz w:val="18"/>
          <w:szCs w:val="18"/>
        </w:rPr>
        <w:t>Table (6).</w:t>
      </w:r>
      <w:proofErr w:type="gramEnd"/>
      <w:r w:rsidRPr="00B17D02">
        <w:rPr>
          <w:sz w:val="18"/>
          <w:szCs w:val="18"/>
        </w:rPr>
        <w:t xml:space="preserve"> </w:t>
      </w:r>
      <w:proofErr w:type="gramStart"/>
      <w:r w:rsidRPr="00B17D02">
        <w:rPr>
          <w:rFonts w:eastAsia="Times-Roman"/>
          <w:b/>
          <w:bCs/>
          <w:sz w:val="18"/>
          <w:szCs w:val="18"/>
        </w:rPr>
        <w:t>Sensory evaluation for raw and cooked chicken breast samples</w:t>
      </w:r>
      <w:r w:rsidRPr="00B17D02">
        <w:rPr>
          <w:b/>
          <w:bCs/>
          <w:sz w:val="18"/>
          <w:szCs w:val="18"/>
        </w:rPr>
        <w:t>.</w:t>
      </w:r>
      <w:proofErr w:type="gramEnd"/>
    </w:p>
    <w:tbl>
      <w:tblPr>
        <w:tblW w:w="9721" w:type="dxa"/>
        <w:jc w:val="center"/>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8"/>
        <w:gridCol w:w="1589"/>
        <w:gridCol w:w="1589"/>
        <w:gridCol w:w="1445"/>
        <w:gridCol w:w="1362"/>
        <w:gridCol w:w="1418"/>
      </w:tblGrid>
      <w:tr w:rsidR="00EF7B17" w:rsidRPr="00B17D02" w:rsidTr="00EF7B17">
        <w:trPr>
          <w:trHeight w:hRule="exact" w:val="286"/>
          <w:jc w:val="center"/>
        </w:trPr>
        <w:tc>
          <w:tcPr>
            <w:tcW w:w="2318" w:type="dxa"/>
            <w:vMerge w:val="restart"/>
            <w:vAlign w:val="center"/>
          </w:tcPr>
          <w:p w:rsidR="00EF7B17" w:rsidRPr="00B17D02" w:rsidRDefault="00EF7B17" w:rsidP="00BB4BDD">
            <w:pPr>
              <w:rPr>
                <w:b/>
                <w:bCs/>
                <w:sz w:val="18"/>
                <w:szCs w:val="18"/>
              </w:rPr>
            </w:pPr>
            <w:r w:rsidRPr="00B17D02">
              <w:rPr>
                <w:sz w:val="18"/>
                <w:szCs w:val="18"/>
              </w:rPr>
              <w:t xml:space="preserve">     </w:t>
            </w:r>
            <w:r w:rsidRPr="00B17D02">
              <w:rPr>
                <w:b/>
                <w:bCs/>
                <w:sz w:val="18"/>
                <w:szCs w:val="18"/>
              </w:rPr>
              <w:t>sensory trait</w:t>
            </w:r>
          </w:p>
        </w:tc>
        <w:tc>
          <w:tcPr>
            <w:tcW w:w="7403" w:type="dxa"/>
            <w:gridSpan w:val="5"/>
            <w:vAlign w:val="center"/>
          </w:tcPr>
          <w:p w:rsidR="00EF7B17" w:rsidRPr="00B17D02" w:rsidRDefault="00EF7B17" w:rsidP="00BB4BDD">
            <w:pPr>
              <w:jc w:val="center"/>
              <w:rPr>
                <w:sz w:val="18"/>
                <w:szCs w:val="18"/>
              </w:rPr>
            </w:pPr>
            <w:r w:rsidRPr="00B17D02">
              <w:rPr>
                <w:b/>
                <w:bCs/>
                <w:sz w:val="18"/>
                <w:szCs w:val="18"/>
              </w:rPr>
              <w:t>Organic selenium levels in diet (mg/kg diet)</w:t>
            </w:r>
          </w:p>
        </w:tc>
      </w:tr>
      <w:tr w:rsidR="00EF7B17" w:rsidRPr="00B17D02" w:rsidTr="00EF7B17">
        <w:trPr>
          <w:trHeight w:hRule="exact" w:val="497"/>
          <w:jc w:val="center"/>
        </w:trPr>
        <w:tc>
          <w:tcPr>
            <w:tcW w:w="2318" w:type="dxa"/>
            <w:vMerge/>
            <w:tcBorders>
              <w:bottom w:val="single" w:sz="4" w:space="0" w:color="000000"/>
            </w:tcBorders>
          </w:tcPr>
          <w:p w:rsidR="00EF7B17" w:rsidRPr="00B17D02" w:rsidRDefault="00EF7B17" w:rsidP="00BB4BDD">
            <w:pPr>
              <w:rPr>
                <w:sz w:val="18"/>
                <w:szCs w:val="18"/>
              </w:rPr>
            </w:pPr>
          </w:p>
        </w:tc>
        <w:tc>
          <w:tcPr>
            <w:tcW w:w="1589"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0.2</w:t>
            </w:r>
          </w:p>
          <w:p w:rsidR="00EF7B17" w:rsidRPr="00B17D02" w:rsidRDefault="00EF7B17" w:rsidP="00BB4BDD">
            <w:pPr>
              <w:jc w:val="center"/>
              <w:rPr>
                <w:b/>
                <w:bCs/>
                <w:sz w:val="18"/>
                <w:szCs w:val="18"/>
              </w:rPr>
            </w:pPr>
            <w:r w:rsidRPr="00B17D02">
              <w:rPr>
                <w:b/>
                <w:bCs/>
                <w:sz w:val="18"/>
                <w:szCs w:val="18"/>
              </w:rPr>
              <w:t>(T1)</w:t>
            </w:r>
          </w:p>
        </w:tc>
        <w:tc>
          <w:tcPr>
            <w:tcW w:w="1589"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0.3</w:t>
            </w:r>
          </w:p>
          <w:p w:rsidR="00EF7B17" w:rsidRPr="00B17D02" w:rsidRDefault="00EF7B17" w:rsidP="00BB4BDD">
            <w:pPr>
              <w:jc w:val="center"/>
              <w:rPr>
                <w:b/>
                <w:bCs/>
                <w:sz w:val="18"/>
                <w:szCs w:val="18"/>
              </w:rPr>
            </w:pPr>
            <w:r w:rsidRPr="00B17D02">
              <w:rPr>
                <w:b/>
                <w:bCs/>
                <w:sz w:val="18"/>
                <w:szCs w:val="18"/>
              </w:rPr>
              <w:t>(T2)</w:t>
            </w:r>
          </w:p>
        </w:tc>
        <w:tc>
          <w:tcPr>
            <w:tcW w:w="1445"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0.4</w:t>
            </w:r>
          </w:p>
          <w:p w:rsidR="00EF7B17" w:rsidRPr="00B17D02" w:rsidRDefault="00EF7B17" w:rsidP="00BB4BDD">
            <w:pPr>
              <w:jc w:val="center"/>
              <w:rPr>
                <w:b/>
                <w:bCs/>
                <w:sz w:val="18"/>
                <w:szCs w:val="18"/>
              </w:rPr>
            </w:pPr>
            <w:r w:rsidRPr="00B17D02">
              <w:rPr>
                <w:b/>
                <w:bCs/>
                <w:sz w:val="18"/>
                <w:szCs w:val="18"/>
              </w:rPr>
              <w:t>(T3)</w:t>
            </w:r>
          </w:p>
        </w:tc>
        <w:tc>
          <w:tcPr>
            <w:tcW w:w="1362"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0.5</w:t>
            </w:r>
          </w:p>
          <w:p w:rsidR="00EF7B17" w:rsidRPr="00B17D02" w:rsidRDefault="00EF7B17" w:rsidP="00BB4BDD">
            <w:pPr>
              <w:jc w:val="center"/>
              <w:rPr>
                <w:b/>
                <w:bCs/>
                <w:sz w:val="18"/>
                <w:szCs w:val="18"/>
              </w:rPr>
            </w:pPr>
            <w:r w:rsidRPr="00B17D02">
              <w:rPr>
                <w:b/>
                <w:bCs/>
                <w:sz w:val="18"/>
                <w:szCs w:val="18"/>
              </w:rPr>
              <w:t>(T4)</w:t>
            </w:r>
          </w:p>
        </w:tc>
        <w:tc>
          <w:tcPr>
            <w:tcW w:w="1418" w:type="dxa"/>
            <w:tcBorders>
              <w:bottom w:val="single" w:sz="4" w:space="0" w:color="000000"/>
            </w:tcBorders>
            <w:vAlign w:val="center"/>
          </w:tcPr>
          <w:p w:rsidR="00EF7B17" w:rsidRPr="00B17D02" w:rsidRDefault="00EF7B17" w:rsidP="00BB4BDD">
            <w:pPr>
              <w:jc w:val="center"/>
              <w:rPr>
                <w:b/>
                <w:bCs/>
                <w:sz w:val="18"/>
                <w:szCs w:val="18"/>
              </w:rPr>
            </w:pPr>
            <w:r w:rsidRPr="00B17D02">
              <w:rPr>
                <w:b/>
                <w:bCs/>
                <w:sz w:val="18"/>
                <w:szCs w:val="18"/>
              </w:rPr>
              <w:t>0.6</w:t>
            </w:r>
          </w:p>
          <w:p w:rsidR="00EF7B17" w:rsidRPr="00B17D02" w:rsidRDefault="00EF7B17" w:rsidP="00BB4BDD">
            <w:pPr>
              <w:jc w:val="center"/>
              <w:rPr>
                <w:b/>
                <w:bCs/>
                <w:sz w:val="18"/>
                <w:szCs w:val="18"/>
              </w:rPr>
            </w:pPr>
            <w:r w:rsidRPr="00B17D02">
              <w:rPr>
                <w:b/>
                <w:bCs/>
                <w:sz w:val="18"/>
                <w:szCs w:val="18"/>
              </w:rPr>
              <w:t>(T5)</w:t>
            </w:r>
          </w:p>
        </w:tc>
      </w:tr>
      <w:tr w:rsidR="00EF7B17" w:rsidRPr="00B17D02" w:rsidTr="00EF7B17">
        <w:trPr>
          <w:trHeight w:hRule="exact" w:val="239"/>
          <w:jc w:val="center"/>
        </w:trPr>
        <w:tc>
          <w:tcPr>
            <w:tcW w:w="2318" w:type="dxa"/>
            <w:tcBorders>
              <w:bottom w:val="nil"/>
            </w:tcBorders>
            <w:vAlign w:val="center"/>
          </w:tcPr>
          <w:p w:rsidR="00EF7B17" w:rsidRPr="00B17D02" w:rsidRDefault="00EF7B17" w:rsidP="00BB4BDD">
            <w:pPr>
              <w:rPr>
                <w:b/>
                <w:bCs/>
                <w:sz w:val="18"/>
                <w:szCs w:val="18"/>
              </w:rPr>
            </w:pPr>
            <w:r w:rsidRPr="00B17D02">
              <w:rPr>
                <w:b/>
                <w:bCs/>
                <w:sz w:val="18"/>
                <w:szCs w:val="18"/>
              </w:rPr>
              <w:t>Color</w:t>
            </w:r>
          </w:p>
        </w:tc>
        <w:tc>
          <w:tcPr>
            <w:tcW w:w="1589" w:type="dxa"/>
            <w:tcBorders>
              <w:bottom w:val="nil"/>
            </w:tcBorders>
            <w:vAlign w:val="center"/>
          </w:tcPr>
          <w:p w:rsidR="00EF7B17" w:rsidRPr="00B17D02" w:rsidRDefault="00EF7B17" w:rsidP="00BB4BDD">
            <w:pPr>
              <w:jc w:val="center"/>
              <w:rPr>
                <w:sz w:val="18"/>
                <w:szCs w:val="18"/>
              </w:rPr>
            </w:pPr>
          </w:p>
        </w:tc>
        <w:tc>
          <w:tcPr>
            <w:tcW w:w="1589" w:type="dxa"/>
            <w:tcBorders>
              <w:bottom w:val="nil"/>
            </w:tcBorders>
            <w:vAlign w:val="center"/>
          </w:tcPr>
          <w:p w:rsidR="00EF7B17" w:rsidRPr="00B17D02" w:rsidRDefault="00EF7B17" w:rsidP="00BB4BDD">
            <w:pPr>
              <w:jc w:val="center"/>
              <w:rPr>
                <w:sz w:val="18"/>
                <w:szCs w:val="18"/>
              </w:rPr>
            </w:pPr>
          </w:p>
        </w:tc>
        <w:tc>
          <w:tcPr>
            <w:tcW w:w="1445" w:type="dxa"/>
            <w:tcBorders>
              <w:bottom w:val="nil"/>
            </w:tcBorders>
            <w:vAlign w:val="center"/>
          </w:tcPr>
          <w:p w:rsidR="00EF7B17" w:rsidRPr="00B17D02" w:rsidRDefault="00EF7B17" w:rsidP="00BB4BDD">
            <w:pPr>
              <w:jc w:val="center"/>
              <w:rPr>
                <w:sz w:val="18"/>
                <w:szCs w:val="18"/>
              </w:rPr>
            </w:pPr>
          </w:p>
        </w:tc>
        <w:tc>
          <w:tcPr>
            <w:tcW w:w="1362" w:type="dxa"/>
            <w:tcBorders>
              <w:bottom w:val="nil"/>
            </w:tcBorders>
            <w:vAlign w:val="center"/>
          </w:tcPr>
          <w:p w:rsidR="00EF7B17" w:rsidRPr="00B17D02" w:rsidRDefault="00EF7B17" w:rsidP="00BB4BDD">
            <w:pPr>
              <w:jc w:val="center"/>
              <w:rPr>
                <w:sz w:val="18"/>
                <w:szCs w:val="18"/>
              </w:rPr>
            </w:pPr>
          </w:p>
        </w:tc>
        <w:tc>
          <w:tcPr>
            <w:tcW w:w="1418" w:type="dxa"/>
            <w:tcBorders>
              <w:bottom w:val="nil"/>
            </w:tcBorders>
            <w:vAlign w:val="center"/>
          </w:tcPr>
          <w:p w:rsidR="00EF7B17" w:rsidRPr="00B17D02" w:rsidRDefault="00EF7B17" w:rsidP="00BB4BDD">
            <w:pPr>
              <w:jc w:val="center"/>
              <w:rPr>
                <w:sz w:val="18"/>
                <w:szCs w:val="18"/>
              </w:rPr>
            </w:pPr>
          </w:p>
        </w:tc>
      </w:tr>
      <w:tr w:rsidR="00EF7B17" w:rsidRPr="00B17D02" w:rsidTr="00EF7B17">
        <w:trPr>
          <w:trHeight w:hRule="exact" w:val="239"/>
          <w:jc w:val="center"/>
        </w:trPr>
        <w:tc>
          <w:tcPr>
            <w:tcW w:w="2318" w:type="dxa"/>
            <w:tcBorders>
              <w:top w:val="nil"/>
              <w:bottom w:val="single" w:sz="4" w:space="0" w:color="000000"/>
            </w:tcBorders>
            <w:vAlign w:val="center"/>
          </w:tcPr>
          <w:p w:rsidR="00EF7B17" w:rsidRPr="00B17D02" w:rsidRDefault="00EF7B17" w:rsidP="00BB4BDD">
            <w:pPr>
              <w:rPr>
                <w:sz w:val="18"/>
                <w:szCs w:val="18"/>
              </w:rPr>
            </w:pPr>
            <w:r w:rsidRPr="00B17D02">
              <w:rPr>
                <w:sz w:val="18"/>
                <w:szCs w:val="18"/>
              </w:rPr>
              <w:t>Raw</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4.12 ± 0.19</w:t>
            </w:r>
            <w:r w:rsidRPr="00B17D02">
              <w:rPr>
                <w:sz w:val="18"/>
                <w:szCs w:val="18"/>
                <w:vertAlign w:val="superscript"/>
              </w:rPr>
              <w:t>a</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4.49 ± 0.28</w:t>
            </w:r>
            <w:r w:rsidRPr="00B17D02">
              <w:rPr>
                <w:sz w:val="18"/>
                <w:szCs w:val="18"/>
                <w:vertAlign w:val="superscript"/>
              </w:rPr>
              <w:t>a</w:t>
            </w:r>
          </w:p>
        </w:tc>
        <w:tc>
          <w:tcPr>
            <w:tcW w:w="1445"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4.36 ± 0.14</w:t>
            </w:r>
            <w:r w:rsidRPr="00B17D02">
              <w:rPr>
                <w:sz w:val="18"/>
                <w:szCs w:val="18"/>
                <w:vertAlign w:val="superscript"/>
              </w:rPr>
              <w:t>a</w:t>
            </w:r>
          </w:p>
        </w:tc>
        <w:tc>
          <w:tcPr>
            <w:tcW w:w="1362"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4.32 ± 0.26</w:t>
            </w:r>
            <w:r w:rsidRPr="00B17D02">
              <w:rPr>
                <w:sz w:val="18"/>
                <w:szCs w:val="18"/>
                <w:vertAlign w:val="superscript"/>
              </w:rPr>
              <w:t>a</w:t>
            </w:r>
          </w:p>
        </w:tc>
        <w:tc>
          <w:tcPr>
            <w:tcW w:w="1418"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4.84 ± 0.20</w:t>
            </w:r>
            <w:r w:rsidRPr="00B17D02">
              <w:rPr>
                <w:sz w:val="18"/>
                <w:szCs w:val="18"/>
                <w:vertAlign w:val="superscript"/>
              </w:rPr>
              <w:t>a</w:t>
            </w:r>
          </w:p>
        </w:tc>
      </w:tr>
      <w:tr w:rsidR="00EF7B17" w:rsidRPr="00B17D02" w:rsidTr="00EF7B17">
        <w:trPr>
          <w:trHeight w:hRule="exact" w:val="239"/>
          <w:jc w:val="center"/>
        </w:trPr>
        <w:tc>
          <w:tcPr>
            <w:tcW w:w="2318" w:type="dxa"/>
            <w:tcBorders>
              <w:top w:val="single" w:sz="4" w:space="0" w:color="000000"/>
              <w:bottom w:val="nil"/>
            </w:tcBorders>
          </w:tcPr>
          <w:p w:rsidR="00EF7B17" w:rsidRPr="00B17D02" w:rsidRDefault="00EF7B17" w:rsidP="00BB4BDD">
            <w:pPr>
              <w:rPr>
                <w:b/>
                <w:bCs/>
                <w:sz w:val="18"/>
                <w:szCs w:val="18"/>
              </w:rPr>
            </w:pPr>
            <w:r w:rsidRPr="00B17D02">
              <w:rPr>
                <w:b/>
                <w:bCs/>
                <w:sz w:val="18"/>
                <w:szCs w:val="18"/>
              </w:rPr>
              <w:t>Odor</w:t>
            </w:r>
          </w:p>
        </w:tc>
        <w:tc>
          <w:tcPr>
            <w:tcW w:w="1589" w:type="dxa"/>
            <w:tcBorders>
              <w:top w:val="single" w:sz="4" w:space="0" w:color="000000"/>
              <w:bottom w:val="nil"/>
            </w:tcBorders>
            <w:vAlign w:val="center"/>
          </w:tcPr>
          <w:p w:rsidR="00EF7B17" w:rsidRPr="00B17D02" w:rsidRDefault="00EF7B17" w:rsidP="00BB4BDD">
            <w:pPr>
              <w:jc w:val="center"/>
              <w:rPr>
                <w:sz w:val="18"/>
                <w:szCs w:val="18"/>
              </w:rPr>
            </w:pPr>
          </w:p>
        </w:tc>
        <w:tc>
          <w:tcPr>
            <w:tcW w:w="1589" w:type="dxa"/>
            <w:tcBorders>
              <w:top w:val="single" w:sz="4" w:space="0" w:color="000000"/>
              <w:bottom w:val="nil"/>
            </w:tcBorders>
            <w:vAlign w:val="center"/>
          </w:tcPr>
          <w:p w:rsidR="00EF7B17" w:rsidRPr="00B17D02" w:rsidRDefault="00EF7B17" w:rsidP="00BB4BDD">
            <w:pPr>
              <w:jc w:val="center"/>
              <w:rPr>
                <w:sz w:val="18"/>
                <w:szCs w:val="18"/>
              </w:rPr>
            </w:pPr>
          </w:p>
        </w:tc>
        <w:tc>
          <w:tcPr>
            <w:tcW w:w="1445" w:type="dxa"/>
            <w:tcBorders>
              <w:top w:val="single" w:sz="4" w:space="0" w:color="000000"/>
              <w:bottom w:val="nil"/>
            </w:tcBorders>
            <w:vAlign w:val="center"/>
          </w:tcPr>
          <w:p w:rsidR="00EF7B17" w:rsidRPr="00B17D02" w:rsidRDefault="00EF7B17" w:rsidP="00BB4BDD">
            <w:pPr>
              <w:jc w:val="center"/>
              <w:rPr>
                <w:sz w:val="18"/>
                <w:szCs w:val="18"/>
              </w:rPr>
            </w:pPr>
          </w:p>
        </w:tc>
        <w:tc>
          <w:tcPr>
            <w:tcW w:w="1362" w:type="dxa"/>
            <w:tcBorders>
              <w:top w:val="single" w:sz="4" w:space="0" w:color="000000"/>
              <w:bottom w:val="nil"/>
            </w:tcBorders>
            <w:vAlign w:val="center"/>
          </w:tcPr>
          <w:p w:rsidR="00EF7B17" w:rsidRPr="00B17D02" w:rsidRDefault="00EF7B17" w:rsidP="00BB4BDD">
            <w:pPr>
              <w:jc w:val="center"/>
              <w:rPr>
                <w:sz w:val="18"/>
                <w:szCs w:val="18"/>
              </w:rPr>
            </w:pPr>
          </w:p>
        </w:tc>
        <w:tc>
          <w:tcPr>
            <w:tcW w:w="1418" w:type="dxa"/>
            <w:tcBorders>
              <w:top w:val="single" w:sz="4" w:space="0" w:color="000000"/>
              <w:bottom w:val="nil"/>
            </w:tcBorders>
            <w:vAlign w:val="center"/>
          </w:tcPr>
          <w:p w:rsidR="00EF7B17" w:rsidRPr="00B17D02" w:rsidRDefault="00EF7B17" w:rsidP="00BB4BDD">
            <w:pPr>
              <w:jc w:val="center"/>
              <w:rPr>
                <w:sz w:val="18"/>
                <w:szCs w:val="18"/>
              </w:rPr>
            </w:pPr>
          </w:p>
        </w:tc>
      </w:tr>
      <w:tr w:rsidR="00EF7B17" w:rsidRPr="00B17D02" w:rsidTr="00EF7B17">
        <w:trPr>
          <w:trHeight w:hRule="exact" w:val="239"/>
          <w:jc w:val="center"/>
        </w:trPr>
        <w:tc>
          <w:tcPr>
            <w:tcW w:w="2318" w:type="dxa"/>
            <w:tcBorders>
              <w:top w:val="nil"/>
              <w:left w:val="single" w:sz="4" w:space="0" w:color="000000"/>
              <w:bottom w:val="nil"/>
              <w:right w:val="single" w:sz="4" w:space="0" w:color="000000"/>
            </w:tcBorders>
            <w:vAlign w:val="center"/>
          </w:tcPr>
          <w:p w:rsidR="00EF7B17" w:rsidRPr="00B17D02" w:rsidRDefault="00EF7B17" w:rsidP="00BB4BDD">
            <w:pPr>
              <w:rPr>
                <w:sz w:val="18"/>
                <w:szCs w:val="18"/>
              </w:rPr>
            </w:pPr>
            <w:r w:rsidRPr="00B17D02">
              <w:rPr>
                <w:sz w:val="18"/>
                <w:szCs w:val="18"/>
              </w:rPr>
              <w:t>Raw</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4.32 ± 0.13</w:t>
            </w:r>
            <w:r w:rsidRPr="00B17D02">
              <w:rPr>
                <w:sz w:val="18"/>
                <w:szCs w:val="18"/>
                <w:vertAlign w:val="superscript"/>
              </w:rPr>
              <w:t>a</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4.16 ± 0.22</w:t>
            </w:r>
            <w:r w:rsidRPr="00B17D02">
              <w:rPr>
                <w:sz w:val="18"/>
                <w:szCs w:val="18"/>
                <w:vertAlign w:val="superscript"/>
              </w:rPr>
              <w:t>a</w:t>
            </w:r>
          </w:p>
        </w:tc>
        <w:tc>
          <w:tcPr>
            <w:tcW w:w="1445"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4.04 ± 0.18</w:t>
            </w:r>
            <w:r w:rsidRPr="00B17D02">
              <w:rPr>
                <w:sz w:val="18"/>
                <w:szCs w:val="18"/>
                <w:vertAlign w:val="superscript"/>
              </w:rPr>
              <w:t>ab</w:t>
            </w:r>
          </w:p>
        </w:tc>
        <w:tc>
          <w:tcPr>
            <w:tcW w:w="1362"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3.90 ± 0.19</w:t>
            </w:r>
            <w:r w:rsidRPr="00B17D02">
              <w:rPr>
                <w:sz w:val="18"/>
                <w:szCs w:val="18"/>
                <w:vertAlign w:val="superscript"/>
              </w:rPr>
              <w:t>ab</w:t>
            </w:r>
          </w:p>
        </w:tc>
        <w:tc>
          <w:tcPr>
            <w:tcW w:w="1418"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3.49 ± 0.16</w:t>
            </w:r>
            <w:r w:rsidRPr="00B17D02">
              <w:rPr>
                <w:sz w:val="18"/>
                <w:szCs w:val="18"/>
                <w:vertAlign w:val="superscript"/>
              </w:rPr>
              <w:t>b</w:t>
            </w:r>
          </w:p>
        </w:tc>
      </w:tr>
      <w:tr w:rsidR="00EF7B17" w:rsidRPr="00B17D02" w:rsidTr="00EF7B17">
        <w:trPr>
          <w:trHeight w:hRule="exact" w:val="239"/>
          <w:jc w:val="center"/>
        </w:trPr>
        <w:tc>
          <w:tcPr>
            <w:tcW w:w="2318" w:type="dxa"/>
            <w:tcBorders>
              <w:top w:val="nil"/>
              <w:left w:val="single" w:sz="4" w:space="0" w:color="000000"/>
              <w:bottom w:val="nil"/>
              <w:right w:val="single" w:sz="4" w:space="0" w:color="000000"/>
            </w:tcBorders>
            <w:vAlign w:val="center"/>
          </w:tcPr>
          <w:p w:rsidR="00EF7B17" w:rsidRPr="00B17D02" w:rsidRDefault="00EF7B17" w:rsidP="00BB4BDD">
            <w:pPr>
              <w:rPr>
                <w:sz w:val="18"/>
                <w:szCs w:val="18"/>
              </w:rPr>
            </w:pPr>
            <w:r w:rsidRPr="00B17D02">
              <w:rPr>
                <w:sz w:val="18"/>
                <w:szCs w:val="18"/>
              </w:rPr>
              <w:t>Boiling</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4.00 ± 0.10</w:t>
            </w:r>
            <w:r w:rsidRPr="00B17D02">
              <w:rPr>
                <w:sz w:val="18"/>
                <w:szCs w:val="18"/>
                <w:vertAlign w:val="superscript"/>
              </w:rPr>
              <w:t>a</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3.85 ± 0.20</w:t>
            </w:r>
            <w:r w:rsidRPr="00B17D02">
              <w:rPr>
                <w:sz w:val="18"/>
                <w:szCs w:val="18"/>
                <w:vertAlign w:val="superscript"/>
              </w:rPr>
              <w:t>ab</w:t>
            </w:r>
          </w:p>
        </w:tc>
        <w:tc>
          <w:tcPr>
            <w:tcW w:w="1445"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3.68 ± 0.12</w:t>
            </w:r>
            <w:r w:rsidRPr="00B17D02">
              <w:rPr>
                <w:sz w:val="18"/>
                <w:szCs w:val="18"/>
                <w:vertAlign w:val="superscript"/>
              </w:rPr>
              <w:t>ab</w:t>
            </w:r>
          </w:p>
        </w:tc>
        <w:tc>
          <w:tcPr>
            <w:tcW w:w="1362"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3.39 ± 0.16</w:t>
            </w:r>
            <w:r w:rsidRPr="00B17D02">
              <w:rPr>
                <w:sz w:val="18"/>
                <w:szCs w:val="18"/>
                <w:vertAlign w:val="superscript"/>
              </w:rPr>
              <w:t>b</w:t>
            </w:r>
          </w:p>
        </w:tc>
        <w:tc>
          <w:tcPr>
            <w:tcW w:w="1418"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3.34 ± 0.21</w:t>
            </w:r>
            <w:r w:rsidRPr="00B17D02">
              <w:rPr>
                <w:sz w:val="18"/>
                <w:szCs w:val="18"/>
                <w:vertAlign w:val="superscript"/>
              </w:rPr>
              <w:t>b</w:t>
            </w:r>
          </w:p>
        </w:tc>
      </w:tr>
      <w:tr w:rsidR="00EF7B17" w:rsidRPr="00B17D02" w:rsidTr="00EF7B17">
        <w:trPr>
          <w:trHeight w:hRule="exact" w:val="239"/>
          <w:jc w:val="center"/>
        </w:trPr>
        <w:tc>
          <w:tcPr>
            <w:tcW w:w="2318" w:type="dxa"/>
            <w:tcBorders>
              <w:top w:val="nil"/>
              <w:left w:val="single" w:sz="4" w:space="0" w:color="000000"/>
              <w:bottom w:val="nil"/>
              <w:right w:val="single" w:sz="4" w:space="0" w:color="000000"/>
            </w:tcBorders>
            <w:vAlign w:val="center"/>
          </w:tcPr>
          <w:p w:rsidR="00EF7B17" w:rsidRPr="00B17D02" w:rsidRDefault="00EF7B17" w:rsidP="00BB4BDD">
            <w:pPr>
              <w:rPr>
                <w:sz w:val="18"/>
                <w:szCs w:val="18"/>
              </w:rPr>
            </w:pPr>
            <w:r w:rsidRPr="00B17D02">
              <w:rPr>
                <w:sz w:val="18"/>
                <w:szCs w:val="18"/>
              </w:rPr>
              <w:t>Frying after Boiling</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3.89 ± 0.22</w:t>
            </w:r>
            <w:r w:rsidRPr="00B17D02">
              <w:rPr>
                <w:sz w:val="18"/>
                <w:szCs w:val="18"/>
                <w:vertAlign w:val="superscript"/>
              </w:rPr>
              <w:t>a</w:t>
            </w:r>
          </w:p>
        </w:tc>
        <w:tc>
          <w:tcPr>
            <w:tcW w:w="1589"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3.87 ± 0.21</w:t>
            </w:r>
            <w:r w:rsidRPr="00B17D02">
              <w:rPr>
                <w:sz w:val="18"/>
                <w:szCs w:val="18"/>
                <w:vertAlign w:val="superscript"/>
              </w:rPr>
              <w:t>a</w:t>
            </w:r>
          </w:p>
        </w:tc>
        <w:tc>
          <w:tcPr>
            <w:tcW w:w="1445"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3.76 ± 0.17</w:t>
            </w:r>
            <w:r w:rsidRPr="00B17D02">
              <w:rPr>
                <w:sz w:val="18"/>
                <w:szCs w:val="18"/>
                <w:vertAlign w:val="superscript"/>
              </w:rPr>
              <w:t>a</w:t>
            </w:r>
          </w:p>
        </w:tc>
        <w:tc>
          <w:tcPr>
            <w:tcW w:w="1362" w:type="dxa"/>
            <w:tcBorders>
              <w:top w:val="nil"/>
              <w:left w:val="single" w:sz="4" w:space="0" w:color="000000"/>
              <w:bottom w:val="nil"/>
              <w:right w:val="single" w:sz="4" w:space="0" w:color="000000"/>
            </w:tcBorders>
            <w:vAlign w:val="center"/>
          </w:tcPr>
          <w:p w:rsidR="00EF7B17" w:rsidRPr="00B17D02" w:rsidRDefault="00EF7B17" w:rsidP="00BB4BDD">
            <w:pPr>
              <w:jc w:val="center"/>
              <w:rPr>
                <w:sz w:val="18"/>
                <w:szCs w:val="18"/>
              </w:rPr>
            </w:pPr>
            <w:r w:rsidRPr="00B17D02">
              <w:rPr>
                <w:sz w:val="18"/>
                <w:szCs w:val="18"/>
              </w:rPr>
              <w:t>3.69 ± 0.20</w:t>
            </w:r>
            <w:r w:rsidRPr="00B17D02">
              <w:rPr>
                <w:sz w:val="18"/>
                <w:szCs w:val="18"/>
                <w:vertAlign w:val="superscript"/>
              </w:rPr>
              <w:t>a</w:t>
            </w:r>
          </w:p>
        </w:tc>
        <w:tc>
          <w:tcPr>
            <w:tcW w:w="1418" w:type="dxa"/>
            <w:tcBorders>
              <w:top w:val="nil"/>
              <w:left w:val="single" w:sz="4" w:space="0" w:color="000000"/>
              <w:bottom w:val="nil"/>
            </w:tcBorders>
            <w:vAlign w:val="center"/>
          </w:tcPr>
          <w:p w:rsidR="00EF7B17" w:rsidRPr="00B17D02" w:rsidRDefault="00EF7B17" w:rsidP="00BB4BDD">
            <w:pPr>
              <w:jc w:val="center"/>
              <w:rPr>
                <w:sz w:val="18"/>
                <w:szCs w:val="18"/>
              </w:rPr>
            </w:pPr>
            <w:r w:rsidRPr="00B17D02">
              <w:rPr>
                <w:sz w:val="18"/>
                <w:szCs w:val="18"/>
              </w:rPr>
              <w:t>3.55 ± 0.23</w:t>
            </w:r>
            <w:r w:rsidRPr="00B17D02">
              <w:rPr>
                <w:sz w:val="18"/>
                <w:szCs w:val="18"/>
                <w:vertAlign w:val="superscript"/>
              </w:rPr>
              <w:t>a</w:t>
            </w:r>
          </w:p>
        </w:tc>
      </w:tr>
      <w:tr w:rsidR="00EF7B17" w:rsidRPr="00B17D02" w:rsidTr="00EF7B17">
        <w:trPr>
          <w:trHeight w:hRule="exact" w:val="239"/>
          <w:jc w:val="center"/>
        </w:trPr>
        <w:tc>
          <w:tcPr>
            <w:tcW w:w="2318" w:type="dxa"/>
            <w:tcBorders>
              <w:top w:val="nil"/>
              <w:left w:val="single" w:sz="4" w:space="0" w:color="000000"/>
              <w:bottom w:val="nil"/>
              <w:right w:val="single" w:sz="4" w:space="0" w:color="000000"/>
            </w:tcBorders>
            <w:vAlign w:val="center"/>
          </w:tcPr>
          <w:p w:rsidR="00EF7B17" w:rsidRPr="00B17D02" w:rsidRDefault="00EF7B17" w:rsidP="00BB4BDD">
            <w:pPr>
              <w:rPr>
                <w:sz w:val="18"/>
                <w:szCs w:val="18"/>
              </w:rPr>
            </w:pPr>
            <w:r w:rsidRPr="00B17D02">
              <w:rPr>
                <w:sz w:val="18"/>
                <w:szCs w:val="18"/>
              </w:rPr>
              <w:t>Grill</w:t>
            </w:r>
          </w:p>
        </w:tc>
        <w:tc>
          <w:tcPr>
            <w:tcW w:w="1589" w:type="dxa"/>
            <w:tcBorders>
              <w:top w:val="nil"/>
              <w:left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4.09 ± 0.19</w:t>
            </w:r>
            <w:r w:rsidRPr="00B17D02">
              <w:rPr>
                <w:sz w:val="18"/>
                <w:szCs w:val="18"/>
                <w:vertAlign w:val="superscript"/>
              </w:rPr>
              <w:t>a</w:t>
            </w:r>
          </w:p>
        </w:tc>
        <w:tc>
          <w:tcPr>
            <w:tcW w:w="1589" w:type="dxa"/>
            <w:tcBorders>
              <w:top w:val="nil"/>
              <w:left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3.92 ± 0.14</w:t>
            </w:r>
            <w:r w:rsidRPr="00B17D02">
              <w:rPr>
                <w:sz w:val="18"/>
                <w:szCs w:val="18"/>
                <w:vertAlign w:val="superscript"/>
              </w:rPr>
              <w:t>a</w:t>
            </w:r>
          </w:p>
        </w:tc>
        <w:tc>
          <w:tcPr>
            <w:tcW w:w="1445" w:type="dxa"/>
            <w:tcBorders>
              <w:top w:val="nil"/>
              <w:left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3.85 ± 0.14</w:t>
            </w:r>
            <w:r w:rsidRPr="00B17D02">
              <w:rPr>
                <w:sz w:val="18"/>
                <w:szCs w:val="18"/>
                <w:vertAlign w:val="superscript"/>
              </w:rPr>
              <w:t>a</w:t>
            </w:r>
          </w:p>
        </w:tc>
        <w:tc>
          <w:tcPr>
            <w:tcW w:w="1362" w:type="dxa"/>
            <w:tcBorders>
              <w:top w:val="nil"/>
              <w:left w:val="single" w:sz="4" w:space="0" w:color="000000"/>
              <w:right w:val="single" w:sz="4" w:space="0" w:color="000000"/>
            </w:tcBorders>
            <w:vAlign w:val="center"/>
          </w:tcPr>
          <w:p w:rsidR="00EF7B17" w:rsidRPr="00B17D02" w:rsidRDefault="00EF7B17" w:rsidP="00BB4BDD">
            <w:pPr>
              <w:jc w:val="center"/>
              <w:rPr>
                <w:sz w:val="18"/>
                <w:szCs w:val="18"/>
              </w:rPr>
            </w:pPr>
            <w:r w:rsidRPr="00B17D02">
              <w:rPr>
                <w:sz w:val="18"/>
                <w:szCs w:val="18"/>
              </w:rPr>
              <w:t>3.85± 0.20</w:t>
            </w:r>
            <w:r w:rsidRPr="00B17D02">
              <w:rPr>
                <w:sz w:val="18"/>
                <w:szCs w:val="18"/>
                <w:vertAlign w:val="superscript"/>
              </w:rPr>
              <w:t>a</w:t>
            </w:r>
          </w:p>
        </w:tc>
        <w:tc>
          <w:tcPr>
            <w:tcW w:w="1418" w:type="dxa"/>
            <w:tcBorders>
              <w:top w:val="nil"/>
              <w:left w:val="single" w:sz="4" w:space="0" w:color="000000"/>
            </w:tcBorders>
            <w:vAlign w:val="center"/>
          </w:tcPr>
          <w:p w:rsidR="00EF7B17" w:rsidRPr="00B17D02" w:rsidRDefault="00EF7B17" w:rsidP="00BB4BDD">
            <w:pPr>
              <w:jc w:val="center"/>
              <w:rPr>
                <w:sz w:val="18"/>
                <w:szCs w:val="18"/>
              </w:rPr>
            </w:pPr>
            <w:r w:rsidRPr="00B17D02">
              <w:rPr>
                <w:sz w:val="18"/>
                <w:szCs w:val="18"/>
              </w:rPr>
              <w:t>3.84 ± 0.14</w:t>
            </w:r>
            <w:r w:rsidRPr="00B17D02">
              <w:rPr>
                <w:sz w:val="18"/>
                <w:szCs w:val="18"/>
                <w:vertAlign w:val="superscript"/>
              </w:rPr>
              <w:t>a</w:t>
            </w:r>
          </w:p>
        </w:tc>
      </w:tr>
      <w:tr w:rsidR="00EF7B17" w:rsidRPr="00B17D02" w:rsidTr="00EF7B17">
        <w:trPr>
          <w:trHeight w:hRule="exact" w:val="239"/>
          <w:jc w:val="center"/>
        </w:trPr>
        <w:tc>
          <w:tcPr>
            <w:tcW w:w="2318" w:type="dxa"/>
            <w:tcBorders>
              <w:bottom w:val="nil"/>
            </w:tcBorders>
            <w:vAlign w:val="center"/>
          </w:tcPr>
          <w:p w:rsidR="00EF7B17" w:rsidRPr="00B17D02" w:rsidRDefault="00EF7B17" w:rsidP="00BB4BDD">
            <w:pPr>
              <w:rPr>
                <w:b/>
                <w:bCs/>
                <w:sz w:val="18"/>
                <w:szCs w:val="18"/>
              </w:rPr>
            </w:pPr>
            <w:r w:rsidRPr="00B17D02">
              <w:rPr>
                <w:b/>
                <w:bCs/>
                <w:sz w:val="18"/>
                <w:szCs w:val="18"/>
              </w:rPr>
              <w:t>Flavor</w:t>
            </w:r>
          </w:p>
        </w:tc>
        <w:tc>
          <w:tcPr>
            <w:tcW w:w="1589" w:type="dxa"/>
            <w:tcBorders>
              <w:bottom w:val="nil"/>
            </w:tcBorders>
            <w:vAlign w:val="center"/>
          </w:tcPr>
          <w:p w:rsidR="00EF7B17" w:rsidRPr="00B17D02" w:rsidRDefault="00EF7B17" w:rsidP="00BB4BDD">
            <w:pPr>
              <w:jc w:val="center"/>
              <w:rPr>
                <w:sz w:val="18"/>
                <w:szCs w:val="18"/>
              </w:rPr>
            </w:pPr>
          </w:p>
        </w:tc>
        <w:tc>
          <w:tcPr>
            <w:tcW w:w="1589" w:type="dxa"/>
            <w:tcBorders>
              <w:bottom w:val="nil"/>
            </w:tcBorders>
            <w:vAlign w:val="center"/>
          </w:tcPr>
          <w:p w:rsidR="00EF7B17" w:rsidRPr="00B17D02" w:rsidRDefault="00EF7B17" w:rsidP="00BB4BDD">
            <w:pPr>
              <w:jc w:val="center"/>
              <w:rPr>
                <w:sz w:val="18"/>
                <w:szCs w:val="18"/>
              </w:rPr>
            </w:pPr>
          </w:p>
        </w:tc>
        <w:tc>
          <w:tcPr>
            <w:tcW w:w="1445" w:type="dxa"/>
            <w:tcBorders>
              <w:bottom w:val="nil"/>
            </w:tcBorders>
            <w:vAlign w:val="center"/>
          </w:tcPr>
          <w:p w:rsidR="00EF7B17" w:rsidRPr="00B17D02" w:rsidRDefault="00EF7B17" w:rsidP="00BB4BDD">
            <w:pPr>
              <w:jc w:val="center"/>
              <w:rPr>
                <w:sz w:val="18"/>
                <w:szCs w:val="18"/>
              </w:rPr>
            </w:pPr>
          </w:p>
        </w:tc>
        <w:tc>
          <w:tcPr>
            <w:tcW w:w="1362" w:type="dxa"/>
            <w:tcBorders>
              <w:bottom w:val="nil"/>
            </w:tcBorders>
            <w:vAlign w:val="center"/>
          </w:tcPr>
          <w:p w:rsidR="00EF7B17" w:rsidRPr="00B17D02" w:rsidRDefault="00EF7B17" w:rsidP="00BB4BDD">
            <w:pPr>
              <w:jc w:val="center"/>
              <w:rPr>
                <w:sz w:val="18"/>
                <w:szCs w:val="18"/>
              </w:rPr>
            </w:pPr>
          </w:p>
        </w:tc>
        <w:tc>
          <w:tcPr>
            <w:tcW w:w="1418" w:type="dxa"/>
            <w:tcBorders>
              <w:bottom w:val="nil"/>
            </w:tcBorders>
            <w:vAlign w:val="center"/>
          </w:tcPr>
          <w:p w:rsidR="00EF7B17" w:rsidRPr="00B17D02" w:rsidRDefault="00EF7B17" w:rsidP="00BB4BDD">
            <w:pPr>
              <w:jc w:val="center"/>
              <w:rPr>
                <w:sz w:val="18"/>
                <w:szCs w:val="18"/>
              </w:rPr>
            </w:pP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4.14 ± 0.18</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3.70 ± 0.19</w:t>
            </w:r>
            <w:r w:rsidRPr="00B17D02">
              <w:rPr>
                <w:sz w:val="18"/>
                <w:szCs w:val="18"/>
                <w:vertAlign w:val="superscript"/>
              </w:rPr>
              <w:t>ab</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3.74 ± 0.14</w:t>
            </w:r>
            <w:r w:rsidRPr="00B17D02">
              <w:rPr>
                <w:sz w:val="18"/>
                <w:szCs w:val="18"/>
                <w:vertAlign w:val="superscript"/>
              </w:rPr>
              <w:t>ab</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3.78 ± 0.21</w:t>
            </w:r>
            <w:r w:rsidRPr="00B17D02">
              <w:rPr>
                <w:sz w:val="18"/>
                <w:szCs w:val="18"/>
                <w:vertAlign w:val="superscript"/>
              </w:rPr>
              <w:t>ab</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3.33 ± 0.16</w:t>
            </w:r>
            <w:r w:rsidRPr="00B17D02">
              <w:rPr>
                <w:sz w:val="18"/>
                <w:szCs w:val="18"/>
                <w:vertAlign w:val="superscript"/>
              </w:rPr>
              <w:t>b</w:t>
            </w: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Frying after 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4.29 ± 0.15</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4.24 ± 0.15</w:t>
            </w:r>
            <w:r w:rsidRPr="00B17D02">
              <w:rPr>
                <w:sz w:val="18"/>
                <w:szCs w:val="18"/>
                <w:vertAlign w:val="superscript"/>
              </w:rPr>
              <w:t>a</w:t>
            </w:r>
          </w:p>
        </w:tc>
        <w:tc>
          <w:tcPr>
            <w:tcW w:w="1445" w:type="dxa"/>
            <w:tcBorders>
              <w:top w:val="nil"/>
              <w:bottom w:val="nil"/>
            </w:tcBorders>
            <w:vAlign w:val="center"/>
          </w:tcPr>
          <w:p w:rsidR="00EF7B17" w:rsidRPr="00B17D02" w:rsidRDefault="00EF7B17" w:rsidP="00BB4BDD">
            <w:pPr>
              <w:jc w:val="center"/>
              <w:rPr>
                <w:sz w:val="18"/>
                <w:szCs w:val="18"/>
                <w:vertAlign w:val="superscript"/>
              </w:rPr>
            </w:pPr>
            <w:r w:rsidRPr="00B17D02">
              <w:rPr>
                <w:sz w:val="18"/>
                <w:szCs w:val="18"/>
              </w:rPr>
              <w:t>4.04 ± 0.11</w:t>
            </w:r>
            <w:r w:rsidRPr="00B17D02">
              <w:rPr>
                <w:sz w:val="18"/>
                <w:szCs w:val="18"/>
                <w:vertAlign w:val="superscript"/>
              </w:rPr>
              <w:t>a</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4.02 ± 0.14</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3.80 ± 0.16</w:t>
            </w:r>
            <w:r w:rsidRPr="00B17D02">
              <w:rPr>
                <w:sz w:val="18"/>
                <w:szCs w:val="18"/>
                <w:vertAlign w:val="superscript"/>
              </w:rPr>
              <w:t>a</w:t>
            </w:r>
          </w:p>
        </w:tc>
      </w:tr>
      <w:tr w:rsidR="00EF7B17" w:rsidRPr="00B17D02" w:rsidTr="00EF7B17">
        <w:trPr>
          <w:trHeight w:hRule="exact" w:val="239"/>
          <w:jc w:val="center"/>
        </w:trPr>
        <w:tc>
          <w:tcPr>
            <w:tcW w:w="2318" w:type="dxa"/>
            <w:tcBorders>
              <w:top w:val="nil"/>
              <w:bottom w:val="single" w:sz="4" w:space="0" w:color="000000"/>
            </w:tcBorders>
            <w:vAlign w:val="center"/>
          </w:tcPr>
          <w:p w:rsidR="00EF7B17" w:rsidRPr="00B17D02" w:rsidRDefault="00EF7B17" w:rsidP="00BB4BDD">
            <w:pPr>
              <w:rPr>
                <w:sz w:val="18"/>
                <w:szCs w:val="18"/>
              </w:rPr>
            </w:pPr>
            <w:r w:rsidRPr="00B17D02">
              <w:rPr>
                <w:sz w:val="18"/>
                <w:szCs w:val="18"/>
              </w:rPr>
              <w:t>Grill</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3.93 ± 0.24</w:t>
            </w:r>
            <w:r w:rsidRPr="00B17D02">
              <w:rPr>
                <w:sz w:val="18"/>
                <w:szCs w:val="18"/>
                <w:vertAlign w:val="superscript"/>
              </w:rPr>
              <w:t>a</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3.90 ± 0.19</w:t>
            </w:r>
            <w:r w:rsidRPr="00B17D02">
              <w:rPr>
                <w:sz w:val="18"/>
                <w:szCs w:val="18"/>
                <w:vertAlign w:val="superscript"/>
              </w:rPr>
              <w:t>a</w:t>
            </w:r>
          </w:p>
        </w:tc>
        <w:tc>
          <w:tcPr>
            <w:tcW w:w="1445"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3.69 ± 0.18</w:t>
            </w:r>
            <w:r w:rsidRPr="00B17D02">
              <w:rPr>
                <w:sz w:val="18"/>
                <w:szCs w:val="18"/>
                <w:vertAlign w:val="superscript"/>
              </w:rPr>
              <w:t>a</w:t>
            </w:r>
          </w:p>
        </w:tc>
        <w:tc>
          <w:tcPr>
            <w:tcW w:w="1362"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3.58 ± 0.19</w:t>
            </w:r>
            <w:r w:rsidRPr="00B17D02">
              <w:rPr>
                <w:sz w:val="18"/>
                <w:szCs w:val="18"/>
                <w:vertAlign w:val="superscript"/>
              </w:rPr>
              <w:t>a</w:t>
            </w:r>
          </w:p>
        </w:tc>
        <w:tc>
          <w:tcPr>
            <w:tcW w:w="1418"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3.32 ± 0.19</w:t>
            </w:r>
            <w:r w:rsidRPr="00B17D02">
              <w:rPr>
                <w:sz w:val="18"/>
                <w:szCs w:val="18"/>
                <w:vertAlign w:val="superscript"/>
              </w:rPr>
              <w:t>a</w:t>
            </w:r>
          </w:p>
        </w:tc>
      </w:tr>
      <w:tr w:rsidR="00EF7B17" w:rsidRPr="00B17D02" w:rsidTr="00EF7B17">
        <w:trPr>
          <w:trHeight w:hRule="exact" w:val="239"/>
          <w:jc w:val="center"/>
        </w:trPr>
        <w:tc>
          <w:tcPr>
            <w:tcW w:w="2318" w:type="dxa"/>
            <w:tcBorders>
              <w:bottom w:val="nil"/>
            </w:tcBorders>
            <w:vAlign w:val="center"/>
          </w:tcPr>
          <w:p w:rsidR="00EF7B17" w:rsidRPr="00B17D02" w:rsidRDefault="00EF7B17" w:rsidP="00BB4BDD">
            <w:pPr>
              <w:rPr>
                <w:b/>
                <w:bCs/>
                <w:sz w:val="18"/>
                <w:szCs w:val="18"/>
              </w:rPr>
            </w:pPr>
            <w:r w:rsidRPr="00B17D02">
              <w:rPr>
                <w:b/>
                <w:bCs/>
                <w:sz w:val="18"/>
                <w:szCs w:val="18"/>
              </w:rPr>
              <w:t>Tenderness</w:t>
            </w:r>
          </w:p>
        </w:tc>
        <w:tc>
          <w:tcPr>
            <w:tcW w:w="1589" w:type="dxa"/>
            <w:tcBorders>
              <w:bottom w:val="nil"/>
            </w:tcBorders>
            <w:vAlign w:val="center"/>
          </w:tcPr>
          <w:p w:rsidR="00EF7B17" w:rsidRPr="00B17D02" w:rsidRDefault="00EF7B17" w:rsidP="00BB4BDD">
            <w:pPr>
              <w:jc w:val="center"/>
              <w:rPr>
                <w:sz w:val="18"/>
                <w:szCs w:val="18"/>
              </w:rPr>
            </w:pPr>
          </w:p>
        </w:tc>
        <w:tc>
          <w:tcPr>
            <w:tcW w:w="1589" w:type="dxa"/>
            <w:tcBorders>
              <w:bottom w:val="nil"/>
            </w:tcBorders>
            <w:vAlign w:val="center"/>
          </w:tcPr>
          <w:p w:rsidR="00EF7B17" w:rsidRPr="00B17D02" w:rsidRDefault="00EF7B17" w:rsidP="00BB4BDD">
            <w:pPr>
              <w:jc w:val="center"/>
              <w:rPr>
                <w:sz w:val="18"/>
                <w:szCs w:val="18"/>
              </w:rPr>
            </w:pPr>
          </w:p>
        </w:tc>
        <w:tc>
          <w:tcPr>
            <w:tcW w:w="1445" w:type="dxa"/>
            <w:tcBorders>
              <w:bottom w:val="nil"/>
            </w:tcBorders>
            <w:vAlign w:val="center"/>
          </w:tcPr>
          <w:p w:rsidR="00EF7B17" w:rsidRPr="00B17D02" w:rsidRDefault="00EF7B17" w:rsidP="00BB4BDD">
            <w:pPr>
              <w:jc w:val="center"/>
              <w:rPr>
                <w:sz w:val="18"/>
                <w:szCs w:val="18"/>
              </w:rPr>
            </w:pPr>
          </w:p>
        </w:tc>
        <w:tc>
          <w:tcPr>
            <w:tcW w:w="1362" w:type="dxa"/>
            <w:tcBorders>
              <w:bottom w:val="nil"/>
            </w:tcBorders>
            <w:vAlign w:val="center"/>
          </w:tcPr>
          <w:p w:rsidR="00EF7B17" w:rsidRPr="00B17D02" w:rsidRDefault="00EF7B17" w:rsidP="00BB4BDD">
            <w:pPr>
              <w:jc w:val="center"/>
              <w:rPr>
                <w:sz w:val="18"/>
                <w:szCs w:val="18"/>
              </w:rPr>
            </w:pPr>
          </w:p>
        </w:tc>
        <w:tc>
          <w:tcPr>
            <w:tcW w:w="1418" w:type="dxa"/>
            <w:tcBorders>
              <w:bottom w:val="nil"/>
            </w:tcBorders>
            <w:vAlign w:val="center"/>
          </w:tcPr>
          <w:p w:rsidR="00EF7B17" w:rsidRPr="00B17D02" w:rsidRDefault="00EF7B17" w:rsidP="00BB4BDD">
            <w:pPr>
              <w:jc w:val="center"/>
              <w:rPr>
                <w:sz w:val="18"/>
                <w:szCs w:val="18"/>
              </w:rPr>
            </w:pP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4.45 ± 0.13</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4.56 ± 0.21</w:t>
            </w:r>
            <w:r w:rsidRPr="00B17D02">
              <w:rPr>
                <w:sz w:val="18"/>
                <w:szCs w:val="18"/>
                <w:vertAlign w:val="superscript"/>
              </w:rPr>
              <w:t>a</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4.64 ± 0.14</w:t>
            </w:r>
            <w:r w:rsidRPr="00B17D02">
              <w:rPr>
                <w:sz w:val="18"/>
                <w:szCs w:val="18"/>
                <w:vertAlign w:val="superscript"/>
              </w:rPr>
              <w:t>a</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4.59 ± 0.16</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4.72 ± 0.19</w:t>
            </w:r>
            <w:r w:rsidRPr="00B17D02">
              <w:rPr>
                <w:sz w:val="18"/>
                <w:szCs w:val="18"/>
                <w:vertAlign w:val="superscript"/>
              </w:rPr>
              <w:t>a</w:t>
            </w: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Frying after 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4.48 </w:t>
            </w:r>
            <w:r w:rsidRPr="00B17D02">
              <w:rPr>
                <w:color w:val="000000"/>
                <w:sz w:val="18"/>
                <w:szCs w:val="18"/>
              </w:rPr>
              <w:t xml:space="preserve">± </w:t>
            </w:r>
            <w:r w:rsidRPr="00B17D02">
              <w:rPr>
                <w:sz w:val="18"/>
                <w:szCs w:val="18"/>
              </w:rPr>
              <w:t>0.15</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4.61 </w:t>
            </w:r>
            <w:r w:rsidRPr="00B17D02">
              <w:rPr>
                <w:color w:val="000000"/>
                <w:sz w:val="18"/>
                <w:szCs w:val="18"/>
              </w:rPr>
              <w:t xml:space="preserve">± </w:t>
            </w:r>
            <w:r w:rsidRPr="00B17D02">
              <w:rPr>
                <w:sz w:val="18"/>
                <w:szCs w:val="18"/>
              </w:rPr>
              <w:t>0.12</w:t>
            </w:r>
            <w:r w:rsidRPr="00B17D02">
              <w:rPr>
                <w:sz w:val="18"/>
                <w:szCs w:val="18"/>
                <w:vertAlign w:val="superscript"/>
              </w:rPr>
              <w:t>a</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4.57 </w:t>
            </w:r>
            <w:r w:rsidRPr="00B17D02">
              <w:rPr>
                <w:color w:val="000000"/>
                <w:sz w:val="18"/>
                <w:szCs w:val="18"/>
              </w:rPr>
              <w:t xml:space="preserve">± </w:t>
            </w:r>
            <w:r w:rsidRPr="00B17D02">
              <w:rPr>
                <w:sz w:val="18"/>
                <w:szCs w:val="18"/>
              </w:rPr>
              <w:t>0.15</w:t>
            </w:r>
            <w:r w:rsidRPr="00B17D02">
              <w:rPr>
                <w:sz w:val="18"/>
                <w:szCs w:val="18"/>
                <w:vertAlign w:val="superscript"/>
              </w:rPr>
              <w:t>a</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4.64 </w:t>
            </w:r>
            <w:r w:rsidRPr="00B17D02">
              <w:rPr>
                <w:color w:val="000000"/>
                <w:sz w:val="18"/>
                <w:szCs w:val="18"/>
              </w:rPr>
              <w:t xml:space="preserve">± </w:t>
            </w:r>
            <w:r w:rsidRPr="00B17D02">
              <w:rPr>
                <w:sz w:val="18"/>
                <w:szCs w:val="18"/>
              </w:rPr>
              <w:t>0.17</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4.73 </w:t>
            </w:r>
            <w:r w:rsidRPr="00B17D02">
              <w:rPr>
                <w:color w:val="000000"/>
                <w:sz w:val="18"/>
                <w:szCs w:val="18"/>
              </w:rPr>
              <w:t xml:space="preserve">± </w:t>
            </w:r>
            <w:r w:rsidRPr="00B17D02">
              <w:rPr>
                <w:sz w:val="18"/>
                <w:szCs w:val="18"/>
              </w:rPr>
              <w:t>0.15</w:t>
            </w:r>
            <w:r w:rsidRPr="00B17D02">
              <w:rPr>
                <w:sz w:val="18"/>
                <w:szCs w:val="18"/>
                <w:vertAlign w:val="superscript"/>
              </w:rPr>
              <w:t>a</w:t>
            </w:r>
          </w:p>
        </w:tc>
      </w:tr>
      <w:tr w:rsidR="00EF7B17" w:rsidRPr="00B17D02" w:rsidTr="00EF7B17">
        <w:trPr>
          <w:trHeight w:hRule="exact" w:val="239"/>
          <w:jc w:val="center"/>
        </w:trPr>
        <w:tc>
          <w:tcPr>
            <w:tcW w:w="2318" w:type="dxa"/>
            <w:tcBorders>
              <w:top w:val="nil"/>
              <w:bottom w:val="single" w:sz="4" w:space="0" w:color="000000"/>
            </w:tcBorders>
            <w:vAlign w:val="center"/>
          </w:tcPr>
          <w:p w:rsidR="00EF7B17" w:rsidRPr="00B17D02" w:rsidRDefault="00EF7B17" w:rsidP="00BB4BDD">
            <w:pPr>
              <w:rPr>
                <w:sz w:val="18"/>
                <w:szCs w:val="18"/>
              </w:rPr>
            </w:pPr>
            <w:r w:rsidRPr="00B17D02">
              <w:rPr>
                <w:sz w:val="18"/>
                <w:szCs w:val="18"/>
              </w:rPr>
              <w:t>Grill</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color w:val="000000"/>
                <w:sz w:val="18"/>
                <w:szCs w:val="18"/>
              </w:rPr>
              <w:t xml:space="preserve">4.18 ± </w:t>
            </w:r>
            <w:r w:rsidRPr="00B17D02">
              <w:rPr>
                <w:sz w:val="18"/>
                <w:szCs w:val="18"/>
              </w:rPr>
              <w:t>0.18</w:t>
            </w:r>
            <w:r w:rsidRPr="00B17D02">
              <w:rPr>
                <w:sz w:val="18"/>
                <w:szCs w:val="18"/>
                <w:vertAlign w:val="superscript"/>
              </w:rPr>
              <w:t>a</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color w:val="000000"/>
                <w:sz w:val="18"/>
                <w:szCs w:val="18"/>
              </w:rPr>
              <w:t xml:space="preserve">4.29 ± </w:t>
            </w:r>
            <w:r w:rsidRPr="00B17D02">
              <w:rPr>
                <w:sz w:val="18"/>
                <w:szCs w:val="18"/>
              </w:rPr>
              <w:t>0.11</w:t>
            </w:r>
            <w:r w:rsidRPr="00B17D02">
              <w:rPr>
                <w:sz w:val="18"/>
                <w:szCs w:val="18"/>
                <w:vertAlign w:val="superscript"/>
              </w:rPr>
              <w:t>a</w:t>
            </w:r>
            <w:r w:rsidRPr="00B17D02">
              <w:rPr>
                <w:color w:val="000000"/>
                <w:sz w:val="18"/>
                <w:szCs w:val="18"/>
                <w:vertAlign w:val="superscript"/>
              </w:rPr>
              <w:t xml:space="preserve"> </w:t>
            </w:r>
          </w:p>
        </w:tc>
        <w:tc>
          <w:tcPr>
            <w:tcW w:w="1445" w:type="dxa"/>
            <w:tcBorders>
              <w:top w:val="nil"/>
              <w:bottom w:val="single" w:sz="4" w:space="0" w:color="000000"/>
            </w:tcBorders>
            <w:vAlign w:val="center"/>
          </w:tcPr>
          <w:p w:rsidR="00EF7B17" w:rsidRPr="00B17D02" w:rsidRDefault="00EF7B17" w:rsidP="00BB4BDD">
            <w:pPr>
              <w:jc w:val="center"/>
              <w:rPr>
                <w:sz w:val="18"/>
                <w:szCs w:val="18"/>
              </w:rPr>
            </w:pPr>
            <w:r w:rsidRPr="00B17D02">
              <w:rPr>
                <w:color w:val="000000"/>
                <w:sz w:val="18"/>
                <w:szCs w:val="18"/>
              </w:rPr>
              <w:t xml:space="preserve">4.31 ± </w:t>
            </w:r>
            <w:r w:rsidRPr="00B17D02">
              <w:rPr>
                <w:sz w:val="18"/>
                <w:szCs w:val="18"/>
              </w:rPr>
              <w:t>0.15</w:t>
            </w:r>
            <w:r w:rsidRPr="00B17D02">
              <w:rPr>
                <w:sz w:val="18"/>
                <w:szCs w:val="18"/>
                <w:vertAlign w:val="superscript"/>
              </w:rPr>
              <w:t>a</w:t>
            </w:r>
          </w:p>
        </w:tc>
        <w:tc>
          <w:tcPr>
            <w:tcW w:w="1362" w:type="dxa"/>
            <w:tcBorders>
              <w:top w:val="nil"/>
              <w:bottom w:val="single" w:sz="4" w:space="0" w:color="000000"/>
            </w:tcBorders>
            <w:vAlign w:val="center"/>
          </w:tcPr>
          <w:p w:rsidR="00EF7B17" w:rsidRPr="00B17D02" w:rsidRDefault="00EF7B17" w:rsidP="00BB4BDD">
            <w:pPr>
              <w:jc w:val="center"/>
              <w:rPr>
                <w:sz w:val="18"/>
                <w:szCs w:val="18"/>
              </w:rPr>
            </w:pPr>
            <w:r w:rsidRPr="00B17D02">
              <w:rPr>
                <w:color w:val="000000"/>
                <w:sz w:val="18"/>
                <w:szCs w:val="18"/>
              </w:rPr>
              <w:t xml:space="preserve">4.35 ± </w:t>
            </w:r>
            <w:r w:rsidRPr="00B17D02">
              <w:rPr>
                <w:sz w:val="18"/>
                <w:szCs w:val="18"/>
              </w:rPr>
              <w:t>0.09</w:t>
            </w:r>
            <w:r w:rsidRPr="00B17D02">
              <w:rPr>
                <w:sz w:val="18"/>
                <w:szCs w:val="18"/>
                <w:vertAlign w:val="superscript"/>
              </w:rPr>
              <w:t>a</w:t>
            </w:r>
          </w:p>
        </w:tc>
        <w:tc>
          <w:tcPr>
            <w:tcW w:w="1418" w:type="dxa"/>
            <w:tcBorders>
              <w:top w:val="nil"/>
              <w:bottom w:val="single" w:sz="4" w:space="0" w:color="000000"/>
            </w:tcBorders>
            <w:vAlign w:val="center"/>
          </w:tcPr>
          <w:p w:rsidR="00EF7B17" w:rsidRPr="00B17D02" w:rsidRDefault="00EF7B17" w:rsidP="00BB4BDD">
            <w:pPr>
              <w:jc w:val="center"/>
              <w:rPr>
                <w:sz w:val="18"/>
                <w:szCs w:val="18"/>
              </w:rPr>
            </w:pPr>
            <w:r w:rsidRPr="00B17D02">
              <w:rPr>
                <w:color w:val="000000"/>
                <w:sz w:val="18"/>
                <w:szCs w:val="18"/>
              </w:rPr>
              <w:t xml:space="preserve">4.43 ± </w:t>
            </w:r>
            <w:r w:rsidRPr="00B17D02">
              <w:rPr>
                <w:sz w:val="18"/>
                <w:szCs w:val="18"/>
              </w:rPr>
              <w:t>0.10</w:t>
            </w:r>
            <w:r w:rsidRPr="00B17D02">
              <w:rPr>
                <w:sz w:val="18"/>
                <w:szCs w:val="18"/>
                <w:vertAlign w:val="superscript"/>
              </w:rPr>
              <w:t>a</w:t>
            </w:r>
          </w:p>
        </w:tc>
      </w:tr>
      <w:tr w:rsidR="00EF7B17" w:rsidRPr="00B17D02" w:rsidTr="008C77B7">
        <w:trPr>
          <w:trHeight w:hRule="exact" w:val="275"/>
          <w:jc w:val="center"/>
        </w:trPr>
        <w:tc>
          <w:tcPr>
            <w:tcW w:w="2318" w:type="dxa"/>
            <w:tcBorders>
              <w:bottom w:val="nil"/>
            </w:tcBorders>
            <w:vAlign w:val="center"/>
          </w:tcPr>
          <w:p w:rsidR="00EF7B17" w:rsidRPr="00B17D02" w:rsidRDefault="00EF7B17" w:rsidP="00BB4BDD">
            <w:pPr>
              <w:rPr>
                <w:b/>
                <w:bCs/>
                <w:sz w:val="18"/>
                <w:szCs w:val="18"/>
              </w:rPr>
            </w:pPr>
            <w:r w:rsidRPr="00B17D02">
              <w:rPr>
                <w:b/>
                <w:bCs/>
                <w:sz w:val="18"/>
                <w:szCs w:val="18"/>
              </w:rPr>
              <w:t>Overall acceptability</w:t>
            </w:r>
          </w:p>
        </w:tc>
        <w:tc>
          <w:tcPr>
            <w:tcW w:w="1589" w:type="dxa"/>
            <w:tcBorders>
              <w:bottom w:val="nil"/>
            </w:tcBorders>
            <w:vAlign w:val="center"/>
          </w:tcPr>
          <w:p w:rsidR="00EF7B17" w:rsidRPr="00B17D02" w:rsidRDefault="00EF7B17" w:rsidP="00BB4BDD">
            <w:pPr>
              <w:jc w:val="center"/>
              <w:rPr>
                <w:sz w:val="18"/>
                <w:szCs w:val="18"/>
              </w:rPr>
            </w:pPr>
          </w:p>
        </w:tc>
        <w:tc>
          <w:tcPr>
            <w:tcW w:w="1589" w:type="dxa"/>
            <w:tcBorders>
              <w:bottom w:val="nil"/>
            </w:tcBorders>
            <w:vAlign w:val="center"/>
          </w:tcPr>
          <w:p w:rsidR="00EF7B17" w:rsidRPr="00B17D02" w:rsidRDefault="00EF7B17" w:rsidP="00BB4BDD">
            <w:pPr>
              <w:jc w:val="center"/>
              <w:rPr>
                <w:sz w:val="18"/>
                <w:szCs w:val="18"/>
              </w:rPr>
            </w:pPr>
          </w:p>
        </w:tc>
        <w:tc>
          <w:tcPr>
            <w:tcW w:w="1445" w:type="dxa"/>
            <w:tcBorders>
              <w:bottom w:val="nil"/>
            </w:tcBorders>
            <w:vAlign w:val="center"/>
          </w:tcPr>
          <w:p w:rsidR="00EF7B17" w:rsidRPr="00B17D02" w:rsidRDefault="00EF7B17" w:rsidP="00BB4BDD">
            <w:pPr>
              <w:jc w:val="center"/>
              <w:rPr>
                <w:sz w:val="18"/>
                <w:szCs w:val="18"/>
              </w:rPr>
            </w:pPr>
          </w:p>
        </w:tc>
        <w:tc>
          <w:tcPr>
            <w:tcW w:w="1362" w:type="dxa"/>
            <w:tcBorders>
              <w:bottom w:val="nil"/>
            </w:tcBorders>
            <w:vAlign w:val="center"/>
          </w:tcPr>
          <w:p w:rsidR="00EF7B17" w:rsidRPr="00B17D02" w:rsidRDefault="00EF7B17" w:rsidP="00BB4BDD">
            <w:pPr>
              <w:jc w:val="center"/>
              <w:rPr>
                <w:sz w:val="18"/>
                <w:szCs w:val="18"/>
              </w:rPr>
            </w:pPr>
          </w:p>
        </w:tc>
        <w:tc>
          <w:tcPr>
            <w:tcW w:w="1418" w:type="dxa"/>
            <w:tcBorders>
              <w:bottom w:val="nil"/>
            </w:tcBorders>
            <w:vAlign w:val="center"/>
          </w:tcPr>
          <w:p w:rsidR="00EF7B17" w:rsidRPr="00B17D02" w:rsidRDefault="00EF7B17" w:rsidP="00BB4BDD">
            <w:pPr>
              <w:jc w:val="center"/>
              <w:rPr>
                <w:sz w:val="18"/>
                <w:szCs w:val="18"/>
              </w:rPr>
            </w:pP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Raw</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3.46 </w:t>
            </w:r>
            <w:r w:rsidRPr="00B17D02">
              <w:rPr>
                <w:color w:val="000000"/>
                <w:sz w:val="18"/>
                <w:szCs w:val="18"/>
              </w:rPr>
              <w:t xml:space="preserve">± </w:t>
            </w:r>
            <w:r w:rsidRPr="00B17D02">
              <w:rPr>
                <w:sz w:val="18"/>
                <w:szCs w:val="18"/>
              </w:rPr>
              <w:t>0.26</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color w:val="000000"/>
                <w:sz w:val="18"/>
                <w:szCs w:val="18"/>
              </w:rPr>
              <w:t xml:space="preserve">3.58 ± </w:t>
            </w:r>
            <w:r w:rsidRPr="00B17D02">
              <w:rPr>
                <w:sz w:val="18"/>
                <w:szCs w:val="18"/>
              </w:rPr>
              <w:t>0.20</w:t>
            </w:r>
            <w:r w:rsidRPr="00B17D02">
              <w:rPr>
                <w:sz w:val="18"/>
                <w:szCs w:val="18"/>
                <w:vertAlign w:val="superscript"/>
              </w:rPr>
              <w:t>a</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3.73 </w:t>
            </w:r>
            <w:r w:rsidRPr="00B17D02">
              <w:rPr>
                <w:color w:val="000000"/>
                <w:sz w:val="18"/>
                <w:szCs w:val="18"/>
              </w:rPr>
              <w:t xml:space="preserve">± </w:t>
            </w:r>
            <w:r w:rsidRPr="00B17D02">
              <w:rPr>
                <w:sz w:val="18"/>
                <w:szCs w:val="18"/>
              </w:rPr>
              <w:t>0.18</w:t>
            </w:r>
            <w:r w:rsidRPr="00B17D02">
              <w:rPr>
                <w:sz w:val="18"/>
                <w:szCs w:val="18"/>
                <w:vertAlign w:val="superscript"/>
              </w:rPr>
              <w:t>a</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4.11 </w:t>
            </w:r>
            <w:r w:rsidRPr="00B17D02">
              <w:rPr>
                <w:color w:val="000000"/>
                <w:sz w:val="18"/>
                <w:szCs w:val="18"/>
              </w:rPr>
              <w:t xml:space="preserve">± </w:t>
            </w:r>
            <w:r w:rsidRPr="00B17D02">
              <w:rPr>
                <w:sz w:val="18"/>
                <w:szCs w:val="18"/>
              </w:rPr>
              <w:t>0.15</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3.88 </w:t>
            </w:r>
            <w:r w:rsidRPr="00B17D02">
              <w:rPr>
                <w:color w:val="000000"/>
                <w:sz w:val="18"/>
                <w:szCs w:val="18"/>
              </w:rPr>
              <w:t xml:space="preserve">± </w:t>
            </w:r>
            <w:r w:rsidRPr="00B17D02">
              <w:rPr>
                <w:sz w:val="18"/>
                <w:szCs w:val="18"/>
              </w:rPr>
              <w:t>0.19</w:t>
            </w:r>
            <w:r w:rsidRPr="00B17D02">
              <w:rPr>
                <w:sz w:val="18"/>
                <w:szCs w:val="18"/>
                <w:vertAlign w:val="superscript"/>
              </w:rPr>
              <w:t>a</w:t>
            </w: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3.45 </w:t>
            </w:r>
            <w:r w:rsidRPr="00B17D02">
              <w:rPr>
                <w:color w:val="000000"/>
                <w:sz w:val="18"/>
                <w:szCs w:val="18"/>
              </w:rPr>
              <w:t xml:space="preserve">± </w:t>
            </w:r>
            <w:r w:rsidRPr="00B17D02">
              <w:rPr>
                <w:sz w:val="18"/>
                <w:szCs w:val="18"/>
              </w:rPr>
              <w:t>0.15</w:t>
            </w:r>
            <w:r w:rsidRPr="00B17D02">
              <w:rPr>
                <w:sz w:val="18"/>
                <w:szCs w:val="18"/>
                <w:vertAlign w:val="superscript"/>
              </w:rPr>
              <w:t>a</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3.76 </w:t>
            </w:r>
            <w:r w:rsidRPr="00B17D02">
              <w:rPr>
                <w:color w:val="000000"/>
                <w:sz w:val="18"/>
                <w:szCs w:val="18"/>
              </w:rPr>
              <w:t xml:space="preserve">± </w:t>
            </w:r>
            <w:r w:rsidRPr="00B17D02">
              <w:rPr>
                <w:sz w:val="18"/>
                <w:szCs w:val="18"/>
              </w:rPr>
              <w:t>0.23</w:t>
            </w:r>
            <w:r w:rsidRPr="00B17D02">
              <w:rPr>
                <w:sz w:val="18"/>
                <w:szCs w:val="18"/>
                <w:vertAlign w:val="superscript"/>
              </w:rPr>
              <w:t>a</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3.65 </w:t>
            </w:r>
            <w:r w:rsidRPr="00B17D02">
              <w:rPr>
                <w:color w:val="000000"/>
                <w:sz w:val="18"/>
                <w:szCs w:val="18"/>
              </w:rPr>
              <w:t xml:space="preserve">± </w:t>
            </w:r>
            <w:r w:rsidRPr="00B17D02">
              <w:rPr>
                <w:sz w:val="18"/>
                <w:szCs w:val="18"/>
              </w:rPr>
              <w:t>0.11</w:t>
            </w:r>
            <w:r w:rsidRPr="00B17D02">
              <w:rPr>
                <w:sz w:val="18"/>
                <w:szCs w:val="18"/>
                <w:vertAlign w:val="superscript"/>
              </w:rPr>
              <w:t>a</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3.62 </w:t>
            </w:r>
            <w:r w:rsidRPr="00B17D02">
              <w:rPr>
                <w:color w:val="000000"/>
                <w:sz w:val="18"/>
                <w:szCs w:val="18"/>
              </w:rPr>
              <w:t xml:space="preserve">± </w:t>
            </w:r>
            <w:r w:rsidRPr="00B17D02">
              <w:rPr>
                <w:sz w:val="18"/>
                <w:szCs w:val="18"/>
              </w:rPr>
              <w:t>0.21</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4.04 </w:t>
            </w:r>
            <w:r w:rsidRPr="00B17D02">
              <w:rPr>
                <w:color w:val="000000"/>
                <w:sz w:val="18"/>
                <w:szCs w:val="18"/>
              </w:rPr>
              <w:t xml:space="preserve">± </w:t>
            </w:r>
            <w:r w:rsidRPr="00B17D02">
              <w:rPr>
                <w:sz w:val="18"/>
                <w:szCs w:val="18"/>
              </w:rPr>
              <w:t>0.17</w:t>
            </w:r>
            <w:r w:rsidRPr="00B17D02">
              <w:rPr>
                <w:sz w:val="18"/>
                <w:szCs w:val="18"/>
                <w:vertAlign w:val="superscript"/>
              </w:rPr>
              <w:t>a</w:t>
            </w:r>
          </w:p>
        </w:tc>
      </w:tr>
      <w:tr w:rsidR="00EF7B17" w:rsidRPr="00B17D02" w:rsidTr="00EF7B17">
        <w:trPr>
          <w:trHeight w:hRule="exact" w:val="239"/>
          <w:jc w:val="center"/>
        </w:trPr>
        <w:tc>
          <w:tcPr>
            <w:tcW w:w="2318" w:type="dxa"/>
            <w:tcBorders>
              <w:top w:val="nil"/>
              <w:bottom w:val="nil"/>
            </w:tcBorders>
            <w:vAlign w:val="center"/>
          </w:tcPr>
          <w:p w:rsidR="00EF7B17" w:rsidRPr="00B17D02" w:rsidRDefault="00EF7B17" w:rsidP="00BB4BDD">
            <w:pPr>
              <w:rPr>
                <w:sz w:val="18"/>
                <w:szCs w:val="18"/>
              </w:rPr>
            </w:pPr>
            <w:r w:rsidRPr="00B17D02">
              <w:rPr>
                <w:sz w:val="18"/>
                <w:szCs w:val="18"/>
              </w:rPr>
              <w:t>Frying after Boiling</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3.44 </w:t>
            </w:r>
            <w:r w:rsidRPr="00B17D02">
              <w:rPr>
                <w:color w:val="000000"/>
                <w:sz w:val="18"/>
                <w:szCs w:val="18"/>
              </w:rPr>
              <w:t xml:space="preserve">± </w:t>
            </w:r>
            <w:r w:rsidRPr="00B17D02">
              <w:rPr>
                <w:sz w:val="18"/>
                <w:szCs w:val="18"/>
              </w:rPr>
              <w:t>0.25</w:t>
            </w:r>
            <w:r w:rsidRPr="00B17D02">
              <w:rPr>
                <w:sz w:val="18"/>
                <w:szCs w:val="18"/>
                <w:vertAlign w:val="superscript"/>
              </w:rPr>
              <w:t>ab</w:t>
            </w:r>
          </w:p>
        </w:tc>
        <w:tc>
          <w:tcPr>
            <w:tcW w:w="1589"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3.35 </w:t>
            </w:r>
            <w:r w:rsidRPr="00B17D02">
              <w:rPr>
                <w:color w:val="000000"/>
                <w:sz w:val="18"/>
                <w:szCs w:val="18"/>
              </w:rPr>
              <w:t xml:space="preserve">± </w:t>
            </w:r>
            <w:r w:rsidRPr="00B17D02">
              <w:rPr>
                <w:sz w:val="18"/>
                <w:szCs w:val="18"/>
              </w:rPr>
              <w:t>0.19</w:t>
            </w:r>
            <w:r w:rsidRPr="00B17D02">
              <w:rPr>
                <w:sz w:val="18"/>
                <w:szCs w:val="18"/>
                <w:vertAlign w:val="superscript"/>
              </w:rPr>
              <w:t>b</w:t>
            </w:r>
          </w:p>
        </w:tc>
        <w:tc>
          <w:tcPr>
            <w:tcW w:w="1445"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3.80 </w:t>
            </w:r>
            <w:r w:rsidRPr="00B17D02">
              <w:rPr>
                <w:color w:val="000000"/>
                <w:sz w:val="18"/>
                <w:szCs w:val="18"/>
              </w:rPr>
              <w:t xml:space="preserve">± </w:t>
            </w:r>
            <w:r w:rsidRPr="00B17D02">
              <w:rPr>
                <w:sz w:val="18"/>
                <w:szCs w:val="18"/>
              </w:rPr>
              <w:t>0.13</w:t>
            </w:r>
            <w:r w:rsidRPr="00B17D02">
              <w:rPr>
                <w:sz w:val="18"/>
                <w:szCs w:val="18"/>
                <w:vertAlign w:val="superscript"/>
              </w:rPr>
              <w:t>ab</w:t>
            </w:r>
          </w:p>
        </w:tc>
        <w:tc>
          <w:tcPr>
            <w:tcW w:w="1362"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4.11 </w:t>
            </w:r>
            <w:r w:rsidRPr="00B17D02">
              <w:rPr>
                <w:color w:val="000000"/>
                <w:sz w:val="18"/>
                <w:szCs w:val="18"/>
              </w:rPr>
              <w:t xml:space="preserve">± </w:t>
            </w:r>
            <w:r w:rsidRPr="00B17D02">
              <w:rPr>
                <w:sz w:val="18"/>
                <w:szCs w:val="18"/>
              </w:rPr>
              <w:t>0.14</w:t>
            </w:r>
            <w:r w:rsidRPr="00B17D02">
              <w:rPr>
                <w:sz w:val="18"/>
                <w:szCs w:val="18"/>
                <w:vertAlign w:val="superscript"/>
              </w:rPr>
              <w:t>a</w:t>
            </w:r>
          </w:p>
        </w:tc>
        <w:tc>
          <w:tcPr>
            <w:tcW w:w="1418" w:type="dxa"/>
            <w:tcBorders>
              <w:top w:val="nil"/>
              <w:bottom w:val="nil"/>
            </w:tcBorders>
            <w:vAlign w:val="center"/>
          </w:tcPr>
          <w:p w:rsidR="00EF7B17" w:rsidRPr="00B17D02" w:rsidRDefault="00EF7B17" w:rsidP="00BB4BDD">
            <w:pPr>
              <w:jc w:val="center"/>
              <w:rPr>
                <w:sz w:val="18"/>
                <w:szCs w:val="18"/>
              </w:rPr>
            </w:pPr>
            <w:r w:rsidRPr="00B17D02">
              <w:rPr>
                <w:sz w:val="18"/>
                <w:szCs w:val="18"/>
              </w:rPr>
              <w:t xml:space="preserve">3.94 </w:t>
            </w:r>
            <w:r w:rsidRPr="00B17D02">
              <w:rPr>
                <w:color w:val="000000"/>
                <w:sz w:val="18"/>
                <w:szCs w:val="18"/>
              </w:rPr>
              <w:t xml:space="preserve">± </w:t>
            </w:r>
            <w:r w:rsidRPr="00B17D02">
              <w:rPr>
                <w:sz w:val="18"/>
                <w:szCs w:val="18"/>
              </w:rPr>
              <w:t>0.30</w:t>
            </w:r>
            <w:r w:rsidRPr="00B17D02">
              <w:rPr>
                <w:sz w:val="18"/>
                <w:szCs w:val="18"/>
                <w:vertAlign w:val="superscript"/>
              </w:rPr>
              <w:t>ab</w:t>
            </w:r>
          </w:p>
        </w:tc>
      </w:tr>
      <w:tr w:rsidR="00EF7B17" w:rsidRPr="00B17D02" w:rsidTr="00EF7B17">
        <w:trPr>
          <w:trHeight w:hRule="exact" w:val="239"/>
          <w:jc w:val="center"/>
        </w:trPr>
        <w:tc>
          <w:tcPr>
            <w:tcW w:w="2318" w:type="dxa"/>
            <w:tcBorders>
              <w:top w:val="nil"/>
              <w:bottom w:val="single" w:sz="4" w:space="0" w:color="000000"/>
            </w:tcBorders>
            <w:vAlign w:val="center"/>
          </w:tcPr>
          <w:p w:rsidR="00EF7B17" w:rsidRPr="00B17D02" w:rsidRDefault="00EF7B17" w:rsidP="00BB4BDD">
            <w:pPr>
              <w:rPr>
                <w:sz w:val="18"/>
                <w:szCs w:val="18"/>
              </w:rPr>
            </w:pPr>
            <w:r w:rsidRPr="00B17D02">
              <w:rPr>
                <w:sz w:val="18"/>
                <w:szCs w:val="18"/>
              </w:rPr>
              <w:t>Grill</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 xml:space="preserve">3.72 </w:t>
            </w:r>
            <w:r w:rsidRPr="00B17D02">
              <w:rPr>
                <w:color w:val="000000"/>
                <w:sz w:val="18"/>
                <w:szCs w:val="18"/>
              </w:rPr>
              <w:t xml:space="preserve">± </w:t>
            </w:r>
            <w:r w:rsidRPr="00B17D02">
              <w:rPr>
                <w:sz w:val="18"/>
                <w:szCs w:val="18"/>
              </w:rPr>
              <w:t>0.16</w:t>
            </w:r>
            <w:r w:rsidRPr="00B17D02">
              <w:rPr>
                <w:sz w:val="18"/>
                <w:szCs w:val="18"/>
                <w:vertAlign w:val="superscript"/>
              </w:rPr>
              <w:t>a</w:t>
            </w:r>
          </w:p>
        </w:tc>
        <w:tc>
          <w:tcPr>
            <w:tcW w:w="1589"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 xml:space="preserve">4.05 </w:t>
            </w:r>
            <w:r w:rsidRPr="00B17D02">
              <w:rPr>
                <w:color w:val="000000"/>
                <w:sz w:val="18"/>
                <w:szCs w:val="18"/>
              </w:rPr>
              <w:t xml:space="preserve">± </w:t>
            </w:r>
            <w:r w:rsidRPr="00B17D02">
              <w:rPr>
                <w:sz w:val="18"/>
                <w:szCs w:val="18"/>
              </w:rPr>
              <w:t>0.24</w:t>
            </w:r>
            <w:r w:rsidRPr="00B17D02">
              <w:rPr>
                <w:sz w:val="18"/>
                <w:szCs w:val="18"/>
                <w:vertAlign w:val="superscript"/>
              </w:rPr>
              <w:t>a</w:t>
            </w:r>
          </w:p>
        </w:tc>
        <w:tc>
          <w:tcPr>
            <w:tcW w:w="1445"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 xml:space="preserve">3.93 </w:t>
            </w:r>
            <w:r w:rsidRPr="00B17D02">
              <w:rPr>
                <w:color w:val="000000"/>
                <w:sz w:val="18"/>
                <w:szCs w:val="18"/>
              </w:rPr>
              <w:t xml:space="preserve">± </w:t>
            </w:r>
            <w:r w:rsidRPr="00B17D02">
              <w:rPr>
                <w:sz w:val="18"/>
                <w:szCs w:val="18"/>
              </w:rPr>
              <w:t>0.12</w:t>
            </w:r>
            <w:r w:rsidRPr="00B17D02">
              <w:rPr>
                <w:sz w:val="18"/>
                <w:szCs w:val="18"/>
                <w:vertAlign w:val="superscript"/>
              </w:rPr>
              <w:t>a</w:t>
            </w:r>
          </w:p>
        </w:tc>
        <w:tc>
          <w:tcPr>
            <w:tcW w:w="1362"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 xml:space="preserve">3.90 </w:t>
            </w:r>
            <w:r w:rsidRPr="00B17D02">
              <w:rPr>
                <w:color w:val="000000"/>
                <w:sz w:val="18"/>
                <w:szCs w:val="18"/>
              </w:rPr>
              <w:t xml:space="preserve">± </w:t>
            </w:r>
            <w:r w:rsidRPr="00B17D02">
              <w:rPr>
                <w:sz w:val="18"/>
                <w:szCs w:val="18"/>
              </w:rPr>
              <w:t>0.23</w:t>
            </w:r>
            <w:r w:rsidRPr="00B17D02">
              <w:rPr>
                <w:sz w:val="18"/>
                <w:szCs w:val="18"/>
                <w:vertAlign w:val="superscript"/>
              </w:rPr>
              <w:t>a</w:t>
            </w:r>
          </w:p>
        </w:tc>
        <w:tc>
          <w:tcPr>
            <w:tcW w:w="1418" w:type="dxa"/>
            <w:tcBorders>
              <w:top w:val="nil"/>
              <w:bottom w:val="single" w:sz="4" w:space="0" w:color="000000"/>
            </w:tcBorders>
            <w:vAlign w:val="center"/>
          </w:tcPr>
          <w:p w:rsidR="00EF7B17" w:rsidRPr="00B17D02" w:rsidRDefault="00EF7B17" w:rsidP="00BB4BDD">
            <w:pPr>
              <w:jc w:val="center"/>
              <w:rPr>
                <w:sz w:val="18"/>
                <w:szCs w:val="18"/>
              </w:rPr>
            </w:pPr>
            <w:r w:rsidRPr="00B17D02">
              <w:rPr>
                <w:sz w:val="18"/>
                <w:szCs w:val="18"/>
              </w:rPr>
              <w:t xml:space="preserve">4.36 </w:t>
            </w:r>
            <w:r w:rsidRPr="00B17D02">
              <w:rPr>
                <w:color w:val="000000"/>
                <w:sz w:val="18"/>
                <w:szCs w:val="18"/>
              </w:rPr>
              <w:t xml:space="preserve">± </w:t>
            </w:r>
            <w:r w:rsidRPr="00B17D02">
              <w:rPr>
                <w:sz w:val="18"/>
                <w:szCs w:val="18"/>
              </w:rPr>
              <w:t>0.18</w:t>
            </w:r>
            <w:r w:rsidRPr="00B17D02">
              <w:rPr>
                <w:sz w:val="18"/>
                <w:szCs w:val="18"/>
                <w:vertAlign w:val="superscript"/>
              </w:rPr>
              <w:t>a</w:t>
            </w:r>
          </w:p>
        </w:tc>
      </w:tr>
    </w:tbl>
    <w:p w:rsidR="00EF7B17" w:rsidRPr="00B17D02" w:rsidRDefault="00EF7B17" w:rsidP="00EF7B17">
      <w:pPr>
        <w:ind w:hanging="142"/>
        <w:jc w:val="lowKashida"/>
        <w:rPr>
          <w:sz w:val="18"/>
          <w:szCs w:val="18"/>
        </w:rPr>
      </w:pPr>
      <w:r w:rsidRPr="00B17D02">
        <w:rPr>
          <w:sz w:val="18"/>
          <w:szCs w:val="18"/>
        </w:rPr>
        <w:t>Each value represents the mean ± SE. Different superscript letters indicate significant difference at (P ≤ 0.05) among means</w:t>
      </w:r>
      <w:r w:rsidR="005F559E">
        <w:rPr>
          <w:rFonts w:hint="eastAsia"/>
          <w:sz w:val="18"/>
          <w:szCs w:val="18"/>
          <w:lang w:eastAsia="zh-CN"/>
        </w:rPr>
        <w:t xml:space="preserve"> </w:t>
      </w:r>
      <w:r w:rsidRPr="00B17D02">
        <w:rPr>
          <w:sz w:val="18"/>
          <w:szCs w:val="18"/>
        </w:rPr>
        <w:t>in the same row.</w:t>
      </w:r>
    </w:p>
    <w:p w:rsidR="00EF7B17" w:rsidRDefault="00EF7B17" w:rsidP="00EF7B17">
      <w:pPr>
        <w:autoSpaceDE w:val="0"/>
        <w:autoSpaceDN w:val="0"/>
        <w:adjustRightInd w:val="0"/>
        <w:jc w:val="lowKashida"/>
        <w:rPr>
          <w:b/>
          <w:bCs/>
          <w:color w:val="000000"/>
          <w:sz w:val="20"/>
          <w:szCs w:val="20"/>
        </w:rPr>
      </w:pPr>
    </w:p>
    <w:p w:rsidR="00EF7B17" w:rsidRDefault="00EF7B17" w:rsidP="00EF7B17">
      <w:pPr>
        <w:autoSpaceDE w:val="0"/>
        <w:autoSpaceDN w:val="0"/>
        <w:adjustRightInd w:val="0"/>
        <w:jc w:val="lowKashida"/>
        <w:rPr>
          <w:b/>
          <w:bCs/>
          <w:color w:val="000000"/>
          <w:sz w:val="20"/>
          <w:szCs w:val="20"/>
        </w:rPr>
        <w:sectPr w:rsidR="00EF7B17" w:rsidSect="00CB2C09">
          <w:footnotePr>
            <w:pos w:val="beneathText"/>
          </w:footnotePr>
          <w:type w:val="continuous"/>
          <w:pgSz w:w="12240" w:h="15840" w:code="1"/>
          <w:pgMar w:top="1440" w:right="1440" w:bottom="1440" w:left="1440" w:header="720" w:footer="720" w:gutter="0"/>
          <w:cols w:space="720"/>
          <w:docGrid w:linePitch="360"/>
        </w:sectPr>
      </w:pPr>
    </w:p>
    <w:p w:rsidR="00800B54" w:rsidRDefault="00800B54" w:rsidP="00EF7B17">
      <w:pPr>
        <w:autoSpaceDE w:val="0"/>
        <w:autoSpaceDN w:val="0"/>
        <w:adjustRightInd w:val="0"/>
        <w:jc w:val="lowKashida"/>
        <w:rPr>
          <w:b/>
          <w:bCs/>
          <w:color w:val="000000"/>
          <w:sz w:val="20"/>
          <w:szCs w:val="20"/>
        </w:rPr>
      </w:pPr>
    </w:p>
    <w:p w:rsidR="00800B54" w:rsidRDefault="00800B54" w:rsidP="00EF7B17">
      <w:pPr>
        <w:autoSpaceDE w:val="0"/>
        <w:autoSpaceDN w:val="0"/>
        <w:adjustRightInd w:val="0"/>
        <w:jc w:val="lowKashida"/>
        <w:rPr>
          <w:b/>
          <w:bCs/>
          <w:color w:val="000000"/>
          <w:sz w:val="20"/>
          <w:szCs w:val="20"/>
        </w:rPr>
      </w:pPr>
    </w:p>
    <w:p w:rsidR="00EF7B17" w:rsidRPr="00B17D02" w:rsidRDefault="00EF7B17" w:rsidP="00EF7B17">
      <w:pPr>
        <w:autoSpaceDE w:val="0"/>
        <w:autoSpaceDN w:val="0"/>
        <w:adjustRightInd w:val="0"/>
        <w:jc w:val="lowKashida"/>
        <w:rPr>
          <w:b/>
          <w:bCs/>
          <w:color w:val="000000"/>
          <w:sz w:val="20"/>
          <w:szCs w:val="20"/>
        </w:rPr>
      </w:pPr>
      <w:r w:rsidRPr="00B17D02">
        <w:rPr>
          <w:b/>
          <w:bCs/>
          <w:color w:val="000000"/>
          <w:sz w:val="20"/>
          <w:szCs w:val="20"/>
        </w:rPr>
        <w:lastRenderedPageBreak/>
        <w:t>Conclusions</w:t>
      </w:r>
    </w:p>
    <w:p w:rsidR="00EF7B17" w:rsidRPr="00B17D02" w:rsidRDefault="00EF7B17" w:rsidP="00545042">
      <w:pPr>
        <w:ind w:firstLine="425"/>
        <w:jc w:val="both"/>
        <w:rPr>
          <w:sz w:val="20"/>
          <w:szCs w:val="20"/>
        </w:rPr>
      </w:pPr>
      <w:r w:rsidRPr="00B17D02">
        <w:rPr>
          <w:sz w:val="20"/>
          <w:szCs w:val="20"/>
        </w:rPr>
        <w:t xml:space="preserve">Due to high quality nutritional content and lower prices than of other meat, broiler meat is often used in human nutrition. As an affordable foodstuff, broiler meat represents an excellent means for transferring active substances to human organism without having to make any changes in food habits. The consumer will go to the same supermarket to buy the same products and then cook and consume them as usual. The only difference will be in the amount of specific nutrients delivered with such products. </w:t>
      </w:r>
      <w:r w:rsidR="00F6676A">
        <w:rPr>
          <w:sz w:val="20"/>
          <w:szCs w:val="20"/>
        </w:rPr>
        <w:t>S</w:t>
      </w:r>
      <w:r w:rsidRPr="00B17D02">
        <w:rPr>
          <w:sz w:val="20"/>
          <w:szCs w:val="20"/>
        </w:rPr>
        <w:t>upplementation broilers diet with 0.2, 0.3, 0.4, 0.5 and 0.6 mg organic Se/kg diet from Se-enriched yeast resulted in Se deposition in breast muscles and improved the antioxidant status of broilers</w:t>
      </w:r>
    </w:p>
    <w:p w:rsidR="00EF7B17" w:rsidRDefault="00EF7B17" w:rsidP="00EF7B17">
      <w:pPr>
        <w:rPr>
          <w:sz w:val="20"/>
          <w:szCs w:val="20"/>
        </w:rPr>
      </w:pPr>
    </w:p>
    <w:p w:rsidR="00545042" w:rsidRPr="00545042" w:rsidRDefault="00EF7B17" w:rsidP="00EF7B17">
      <w:pPr>
        <w:rPr>
          <w:b/>
          <w:bCs/>
          <w:sz w:val="19"/>
          <w:szCs w:val="19"/>
        </w:rPr>
      </w:pPr>
      <w:r w:rsidRPr="00B17D02">
        <w:rPr>
          <w:b/>
          <w:bCs/>
          <w:sz w:val="20"/>
          <w:szCs w:val="20"/>
        </w:rPr>
        <w:t>References</w:t>
      </w:r>
    </w:p>
    <w:p w:rsidR="00545042" w:rsidRPr="00545042" w:rsidRDefault="00545042" w:rsidP="00545042">
      <w:pPr>
        <w:widowControl w:val="0"/>
        <w:numPr>
          <w:ilvl w:val="0"/>
          <w:numId w:val="7"/>
        </w:numPr>
        <w:autoSpaceDE w:val="0"/>
        <w:autoSpaceDN w:val="0"/>
        <w:adjustRightInd w:val="0"/>
        <w:jc w:val="both"/>
        <w:rPr>
          <w:color w:val="231F20"/>
          <w:sz w:val="19"/>
          <w:szCs w:val="19"/>
        </w:rPr>
      </w:pPr>
      <w:proofErr w:type="spellStart"/>
      <w:r w:rsidRPr="00545042">
        <w:rPr>
          <w:bCs/>
          <w:color w:val="231F20"/>
          <w:sz w:val="19"/>
          <w:szCs w:val="19"/>
        </w:rPr>
        <w:t>A</w:t>
      </w:r>
      <w:r w:rsidR="00EF7B17" w:rsidRPr="00545042">
        <w:rPr>
          <w:bCs/>
          <w:color w:val="231F20"/>
          <w:sz w:val="19"/>
          <w:szCs w:val="19"/>
        </w:rPr>
        <w:t>ebi</w:t>
      </w:r>
      <w:proofErr w:type="spellEnd"/>
      <w:r w:rsidR="00EF7B17" w:rsidRPr="00545042">
        <w:rPr>
          <w:color w:val="231F20"/>
          <w:sz w:val="19"/>
          <w:szCs w:val="19"/>
        </w:rPr>
        <w:t xml:space="preserve">, H. (1984). </w:t>
      </w:r>
      <w:proofErr w:type="spellStart"/>
      <w:r w:rsidR="00EF7B17" w:rsidRPr="00545042">
        <w:rPr>
          <w:color w:val="231F20"/>
          <w:sz w:val="19"/>
          <w:szCs w:val="19"/>
        </w:rPr>
        <w:t>Catalase</w:t>
      </w:r>
      <w:proofErr w:type="spellEnd"/>
      <w:r w:rsidR="00EF7B17" w:rsidRPr="00545042">
        <w:rPr>
          <w:color w:val="231F20"/>
          <w:sz w:val="19"/>
          <w:szCs w:val="19"/>
        </w:rPr>
        <w:t xml:space="preserve"> </w:t>
      </w:r>
      <w:r w:rsidR="00EF7B17" w:rsidRPr="00545042">
        <w:rPr>
          <w:i/>
          <w:iCs/>
          <w:color w:val="000000"/>
          <w:sz w:val="19"/>
          <w:szCs w:val="19"/>
        </w:rPr>
        <w:t>in Vitro</w:t>
      </w:r>
      <w:r w:rsidR="00EF7B17" w:rsidRPr="00545042">
        <w:rPr>
          <w:color w:val="231F20"/>
          <w:sz w:val="19"/>
          <w:szCs w:val="19"/>
        </w:rPr>
        <w:t xml:space="preserve">. Method </w:t>
      </w:r>
      <w:proofErr w:type="spellStart"/>
      <w:r w:rsidR="00EF7B17" w:rsidRPr="00545042">
        <w:rPr>
          <w:color w:val="231F20"/>
          <w:sz w:val="19"/>
          <w:szCs w:val="19"/>
        </w:rPr>
        <w:t>Enzym</w:t>
      </w:r>
      <w:proofErr w:type="spellEnd"/>
      <w:r w:rsidR="00EF7B17" w:rsidRPr="00545042">
        <w:rPr>
          <w:color w:val="231F20"/>
          <w:sz w:val="19"/>
          <w:szCs w:val="19"/>
        </w:rPr>
        <w:t xml:space="preserve"> 105: 121-126.</w:t>
      </w:r>
    </w:p>
    <w:p w:rsidR="00545042" w:rsidRPr="00545042" w:rsidRDefault="00545042" w:rsidP="00545042">
      <w:pPr>
        <w:numPr>
          <w:ilvl w:val="0"/>
          <w:numId w:val="7"/>
        </w:numPr>
        <w:autoSpaceDE w:val="0"/>
        <w:autoSpaceDN w:val="0"/>
        <w:adjustRightInd w:val="0"/>
        <w:jc w:val="both"/>
        <w:rPr>
          <w:color w:val="131413"/>
          <w:sz w:val="19"/>
          <w:szCs w:val="19"/>
        </w:rPr>
      </w:pPr>
      <w:proofErr w:type="spellStart"/>
      <w:r w:rsidRPr="00545042">
        <w:rPr>
          <w:bCs/>
          <w:color w:val="131413"/>
          <w:sz w:val="19"/>
          <w:szCs w:val="19"/>
        </w:rPr>
        <w:t>A</w:t>
      </w:r>
      <w:r w:rsidR="00EF7B17" w:rsidRPr="00545042">
        <w:rPr>
          <w:bCs/>
          <w:color w:val="131413"/>
          <w:sz w:val="19"/>
          <w:szCs w:val="19"/>
        </w:rPr>
        <w:t>njum</w:t>
      </w:r>
      <w:proofErr w:type="spellEnd"/>
      <w:r w:rsidR="00EF7B17" w:rsidRPr="00545042">
        <w:rPr>
          <w:color w:val="131413"/>
          <w:sz w:val="19"/>
          <w:szCs w:val="19"/>
        </w:rPr>
        <w:t xml:space="preserve">, F.; </w:t>
      </w:r>
      <w:proofErr w:type="spellStart"/>
      <w:r w:rsidR="00EF7B17" w:rsidRPr="00545042">
        <w:rPr>
          <w:color w:val="131413"/>
          <w:sz w:val="19"/>
          <w:szCs w:val="19"/>
        </w:rPr>
        <w:t>Haider</w:t>
      </w:r>
      <w:proofErr w:type="spellEnd"/>
      <w:r w:rsidR="00EF7B17" w:rsidRPr="00545042">
        <w:rPr>
          <w:color w:val="131413"/>
          <w:sz w:val="19"/>
          <w:szCs w:val="19"/>
        </w:rPr>
        <w:t xml:space="preserve">, F Khan, I.; </w:t>
      </w:r>
      <w:proofErr w:type="spellStart"/>
      <w:r w:rsidR="00EF7B17" w:rsidRPr="00545042">
        <w:rPr>
          <w:color w:val="131413"/>
          <w:sz w:val="19"/>
          <w:szCs w:val="19"/>
        </w:rPr>
        <w:t>Sohaib</w:t>
      </w:r>
      <w:proofErr w:type="spellEnd"/>
      <w:r w:rsidR="00EF7B17" w:rsidRPr="00545042">
        <w:rPr>
          <w:color w:val="131413"/>
          <w:sz w:val="19"/>
          <w:szCs w:val="19"/>
        </w:rPr>
        <w:t xml:space="preserve">, M. and </w:t>
      </w:r>
      <w:proofErr w:type="spellStart"/>
      <w:r w:rsidR="00EF7B17" w:rsidRPr="00545042">
        <w:rPr>
          <w:color w:val="131413"/>
          <w:sz w:val="19"/>
          <w:szCs w:val="19"/>
        </w:rPr>
        <w:t>Arshad</w:t>
      </w:r>
      <w:proofErr w:type="spellEnd"/>
      <w:r w:rsidR="00EF7B17" w:rsidRPr="00545042">
        <w:rPr>
          <w:color w:val="131413"/>
          <w:sz w:val="19"/>
          <w:szCs w:val="19"/>
        </w:rPr>
        <w:t xml:space="preserve">, S. (2013). Impact of extruded flaxseed meal supplemented diet on growth performance, oxidative stability and quality of broiler </w:t>
      </w:r>
      <w:r w:rsidR="00EF7B17" w:rsidRPr="00545042">
        <w:rPr>
          <w:color w:val="131413"/>
          <w:sz w:val="19"/>
          <w:szCs w:val="19"/>
        </w:rPr>
        <w:tab/>
        <w:t>meat and meat products. Lipids in Health and Disease. 12:13-24.</w:t>
      </w:r>
    </w:p>
    <w:p w:rsidR="00545042" w:rsidRPr="00545042" w:rsidRDefault="00545042" w:rsidP="00545042">
      <w:pPr>
        <w:numPr>
          <w:ilvl w:val="0"/>
          <w:numId w:val="7"/>
        </w:numPr>
        <w:jc w:val="both"/>
        <w:rPr>
          <w:sz w:val="19"/>
          <w:szCs w:val="19"/>
          <w:lang w:bidi="ar-EG"/>
        </w:rPr>
      </w:pPr>
      <w:proofErr w:type="spellStart"/>
      <w:r w:rsidRPr="00545042">
        <w:rPr>
          <w:bCs/>
          <w:sz w:val="19"/>
          <w:szCs w:val="19"/>
        </w:rPr>
        <w:t>A</w:t>
      </w:r>
      <w:r w:rsidR="00EF7B17" w:rsidRPr="00545042">
        <w:rPr>
          <w:bCs/>
          <w:sz w:val="19"/>
          <w:szCs w:val="19"/>
          <w:lang w:bidi="ar-EG"/>
        </w:rPr>
        <w:t>ssmann</w:t>
      </w:r>
      <w:proofErr w:type="spellEnd"/>
      <w:r w:rsidR="00EF7B17" w:rsidRPr="00545042">
        <w:rPr>
          <w:sz w:val="19"/>
          <w:szCs w:val="19"/>
          <w:lang w:bidi="ar-EG"/>
        </w:rPr>
        <w:t xml:space="preserve">, G. (1979). Cholesterol determination in high density lipoproteins separated by three different methods. </w:t>
      </w:r>
      <w:proofErr w:type="gramStart"/>
      <w:r w:rsidR="00EF7B17" w:rsidRPr="00545042">
        <w:rPr>
          <w:sz w:val="19"/>
          <w:szCs w:val="19"/>
          <w:lang w:bidi="ar-EG"/>
        </w:rPr>
        <w:t>Internist.,</w:t>
      </w:r>
      <w:proofErr w:type="gramEnd"/>
      <w:r w:rsidR="00EF7B17" w:rsidRPr="00545042">
        <w:rPr>
          <w:sz w:val="19"/>
          <w:szCs w:val="19"/>
          <w:lang w:bidi="ar-EG"/>
        </w:rPr>
        <w:t xml:space="preserve"> 20: 559-604.</w:t>
      </w:r>
    </w:p>
    <w:p w:rsidR="00545042" w:rsidRPr="00545042" w:rsidRDefault="00545042" w:rsidP="00545042">
      <w:pPr>
        <w:numPr>
          <w:ilvl w:val="0"/>
          <w:numId w:val="7"/>
        </w:numPr>
        <w:jc w:val="both"/>
        <w:rPr>
          <w:color w:val="000000"/>
          <w:sz w:val="19"/>
          <w:szCs w:val="19"/>
        </w:rPr>
      </w:pPr>
      <w:r w:rsidRPr="00545042">
        <w:rPr>
          <w:bCs/>
          <w:color w:val="000000"/>
          <w:sz w:val="19"/>
          <w:szCs w:val="19"/>
        </w:rPr>
        <w:t>A</w:t>
      </w:r>
      <w:r w:rsidR="00EF7B17" w:rsidRPr="00545042">
        <w:rPr>
          <w:bCs/>
          <w:color w:val="000000"/>
          <w:sz w:val="19"/>
          <w:szCs w:val="19"/>
        </w:rPr>
        <w:t xml:space="preserve">yala, </w:t>
      </w:r>
      <w:r w:rsidR="00EF7B17" w:rsidRPr="00545042">
        <w:rPr>
          <w:color w:val="000000"/>
          <w:sz w:val="19"/>
          <w:szCs w:val="19"/>
        </w:rPr>
        <w:t xml:space="preserve">I.; </w:t>
      </w:r>
      <w:proofErr w:type="spellStart"/>
      <w:r w:rsidR="00EF7B17" w:rsidRPr="00545042">
        <w:rPr>
          <w:color w:val="000000"/>
          <w:sz w:val="19"/>
          <w:szCs w:val="19"/>
        </w:rPr>
        <w:t>Pérez</w:t>
      </w:r>
      <w:proofErr w:type="spellEnd"/>
      <w:r w:rsidR="00EF7B17" w:rsidRPr="00545042">
        <w:rPr>
          <w:color w:val="000000"/>
          <w:sz w:val="19"/>
          <w:szCs w:val="19"/>
        </w:rPr>
        <w:t xml:space="preserve">, B.; </w:t>
      </w:r>
      <w:proofErr w:type="spellStart"/>
      <w:r w:rsidR="00EF7B17" w:rsidRPr="00545042">
        <w:rPr>
          <w:color w:val="000000"/>
          <w:sz w:val="19"/>
          <w:szCs w:val="19"/>
        </w:rPr>
        <w:t>Doménech</w:t>
      </w:r>
      <w:proofErr w:type="spellEnd"/>
      <w:r w:rsidR="00EF7B17" w:rsidRPr="00545042">
        <w:rPr>
          <w:color w:val="000000"/>
          <w:sz w:val="19"/>
          <w:szCs w:val="19"/>
        </w:rPr>
        <w:t xml:space="preserve">, G.; </w:t>
      </w:r>
      <w:proofErr w:type="spellStart"/>
      <w:r w:rsidR="00EF7B17" w:rsidRPr="00545042">
        <w:rPr>
          <w:color w:val="000000"/>
          <w:sz w:val="19"/>
          <w:szCs w:val="19"/>
        </w:rPr>
        <w:t>Castells</w:t>
      </w:r>
      <w:proofErr w:type="spellEnd"/>
      <w:r w:rsidR="00EF7B17" w:rsidRPr="00545042">
        <w:rPr>
          <w:color w:val="000000"/>
          <w:sz w:val="19"/>
          <w:szCs w:val="19"/>
        </w:rPr>
        <w:t xml:space="preserve">, M. and </w:t>
      </w:r>
      <w:proofErr w:type="spellStart"/>
      <w:r w:rsidR="00EF7B17" w:rsidRPr="00545042">
        <w:rPr>
          <w:color w:val="000000"/>
          <w:sz w:val="19"/>
          <w:szCs w:val="19"/>
        </w:rPr>
        <w:t>Valdés</w:t>
      </w:r>
      <w:proofErr w:type="spellEnd"/>
      <w:r w:rsidR="00EF7B17" w:rsidRPr="00545042">
        <w:rPr>
          <w:color w:val="000000"/>
          <w:sz w:val="19"/>
          <w:szCs w:val="19"/>
        </w:rPr>
        <w:t>, M. (2005). Use of the Chicken as an Experimental</w:t>
      </w:r>
      <w:r w:rsidR="001E0E9B" w:rsidRPr="00545042">
        <w:rPr>
          <w:color w:val="000000"/>
          <w:sz w:val="19"/>
          <w:szCs w:val="19"/>
        </w:rPr>
        <w:t xml:space="preserve"> </w:t>
      </w:r>
      <w:r w:rsidR="00EF7B17" w:rsidRPr="00545042">
        <w:rPr>
          <w:color w:val="000000"/>
          <w:sz w:val="19"/>
          <w:szCs w:val="19"/>
        </w:rPr>
        <w:t>Animal Model in Atherosclerosis. </w:t>
      </w:r>
      <w:r w:rsidR="008D5CFB" w:rsidRPr="00545042">
        <w:rPr>
          <w:color w:val="000000"/>
          <w:sz w:val="19"/>
          <w:szCs w:val="19"/>
        </w:rPr>
        <w:t xml:space="preserve"> </w:t>
      </w:r>
      <w:r w:rsidR="00EF7B17" w:rsidRPr="00545042">
        <w:rPr>
          <w:color w:val="000000"/>
          <w:sz w:val="19"/>
          <w:szCs w:val="19"/>
        </w:rPr>
        <w:t xml:space="preserve">Avian and Poultry Biology Reviews, </w:t>
      </w:r>
      <w:r w:rsidR="00EF7B17" w:rsidRPr="00545042">
        <w:rPr>
          <w:color w:val="000000"/>
          <w:sz w:val="19"/>
          <w:szCs w:val="19"/>
        </w:rPr>
        <w:tab/>
        <w:t>16:151-159.</w:t>
      </w:r>
    </w:p>
    <w:p w:rsidR="00545042" w:rsidRPr="00545042" w:rsidRDefault="00545042" w:rsidP="00545042">
      <w:pPr>
        <w:numPr>
          <w:ilvl w:val="0"/>
          <w:numId w:val="7"/>
        </w:numPr>
        <w:jc w:val="both"/>
        <w:rPr>
          <w:sz w:val="19"/>
          <w:szCs w:val="19"/>
        </w:rPr>
      </w:pPr>
      <w:proofErr w:type="spellStart"/>
      <w:r w:rsidRPr="00545042">
        <w:rPr>
          <w:bCs/>
          <w:sz w:val="19"/>
          <w:szCs w:val="19"/>
        </w:rPr>
        <w:t>B</w:t>
      </w:r>
      <w:r w:rsidR="00EF7B17" w:rsidRPr="00545042">
        <w:rPr>
          <w:bCs/>
          <w:sz w:val="19"/>
          <w:szCs w:val="19"/>
        </w:rPr>
        <w:t>atra</w:t>
      </w:r>
      <w:proofErr w:type="spellEnd"/>
      <w:r w:rsidR="00EF7B17" w:rsidRPr="00545042">
        <w:rPr>
          <w:bCs/>
          <w:sz w:val="19"/>
          <w:szCs w:val="19"/>
        </w:rPr>
        <w:t>,</w:t>
      </w:r>
      <w:r w:rsidR="00EF7B17" w:rsidRPr="00545042">
        <w:rPr>
          <w:sz w:val="19"/>
          <w:szCs w:val="19"/>
        </w:rPr>
        <w:t xml:space="preserve"> J and Seth, P. (2002). Effect of iron deficiency on developing rat brain. Indian J. </w:t>
      </w:r>
      <w:proofErr w:type="spellStart"/>
      <w:r w:rsidR="00EF7B17" w:rsidRPr="00545042">
        <w:rPr>
          <w:sz w:val="19"/>
          <w:szCs w:val="19"/>
        </w:rPr>
        <w:t>Clin</w:t>
      </w:r>
      <w:proofErr w:type="spellEnd"/>
      <w:r w:rsidR="00EF7B17" w:rsidRPr="00545042">
        <w:rPr>
          <w:sz w:val="19"/>
          <w:szCs w:val="19"/>
        </w:rPr>
        <w:t xml:space="preserve">. </w:t>
      </w:r>
      <w:proofErr w:type="spellStart"/>
      <w:r w:rsidR="00EF7B17" w:rsidRPr="00545042">
        <w:rPr>
          <w:sz w:val="19"/>
          <w:szCs w:val="19"/>
        </w:rPr>
        <w:t>Biochem</w:t>
      </w:r>
      <w:proofErr w:type="spellEnd"/>
      <w:r w:rsidR="00EF7B17" w:rsidRPr="00545042">
        <w:rPr>
          <w:sz w:val="19"/>
          <w:szCs w:val="19"/>
        </w:rPr>
        <w:t>. 17(2): 108-114.</w:t>
      </w:r>
    </w:p>
    <w:p w:rsidR="00545042" w:rsidRPr="00545042" w:rsidRDefault="00545042" w:rsidP="00545042">
      <w:pPr>
        <w:numPr>
          <w:ilvl w:val="0"/>
          <w:numId w:val="7"/>
        </w:numPr>
        <w:jc w:val="both"/>
        <w:rPr>
          <w:sz w:val="19"/>
          <w:szCs w:val="19"/>
        </w:rPr>
      </w:pPr>
      <w:r w:rsidRPr="00545042">
        <w:rPr>
          <w:bCs/>
          <w:sz w:val="19"/>
          <w:szCs w:val="19"/>
        </w:rPr>
        <w:t>B</w:t>
      </w:r>
      <w:r w:rsidR="00EF7B17" w:rsidRPr="00545042">
        <w:rPr>
          <w:bCs/>
          <w:sz w:val="19"/>
          <w:szCs w:val="19"/>
        </w:rPr>
        <w:t>eck</w:t>
      </w:r>
      <w:r w:rsidR="00EF7B17" w:rsidRPr="00545042">
        <w:rPr>
          <w:sz w:val="19"/>
          <w:szCs w:val="19"/>
        </w:rPr>
        <w:t xml:space="preserve">, M. (2001). Antioxidants and viral infections: host immune response and viral </w:t>
      </w:r>
      <w:proofErr w:type="spellStart"/>
      <w:r w:rsidR="00EF7B17" w:rsidRPr="00545042">
        <w:rPr>
          <w:sz w:val="19"/>
          <w:szCs w:val="19"/>
        </w:rPr>
        <w:t>pathogenicity</w:t>
      </w:r>
      <w:proofErr w:type="spellEnd"/>
      <w:r w:rsidR="00EF7B17" w:rsidRPr="00545042">
        <w:rPr>
          <w:sz w:val="19"/>
          <w:szCs w:val="19"/>
        </w:rPr>
        <w:t xml:space="preserve">. J. Am </w:t>
      </w:r>
      <w:proofErr w:type="spellStart"/>
      <w:r w:rsidR="00EF7B17" w:rsidRPr="00545042">
        <w:rPr>
          <w:sz w:val="19"/>
          <w:szCs w:val="19"/>
        </w:rPr>
        <w:t>Coll</w:t>
      </w:r>
      <w:proofErr w:type="spellEnd"/>
      <w:r w:rsidR="00EF7B17" w:rsidRPr="00545042">
        <w:rPr>
          <w:sz w:val="19"/>
          <w:szCs w:val="19"/>
        </w:rPr>
        <w:t xml:space="preserve"> </w:t>
      </w:r>
      <w:proofErr w:type="spellStart"/>
      <w:r w:rsidR="00EF7B17" w:rsidRPr="00545042">
        <w:rPr>
          <w:sz w:val="19"/>
          <w:szCs w:val="19"/>
        </w:rPr>
        <w:t>Nutr</w:t>
      </w:r>
      <w:proofErr w:type="spellEnd"/>
      <w:r w:rsidR="00EF7B17" w:rsidRPr="00545042">
        <w:rPr>
          <w:sz w:val="19"/>
          <w:szCs w:val="19"/>
        </w:rPr>
        <w:t>. 20: 384S-388S.</w:t>
      </w:r>
    </w:p>
    <w:p w:rsidR="00545042" w:rsidRPr="00545042" w:rsidRDefault="00545042" w:rsidP="00545042">
      <w:pPr>
        <w:numPr>
          <w:ilvl w:val="0"/>
          <w:numId w:val="7"/>
        </w:numPr>
        <w:jc w:val="both"/>
        <w:rPr>
          <w:sz w:val="19"/>
          <w:szCs w:val="19"/>
        </w:rPr>
      </w:pPr>
      <w:proofErr w:type="spellStart"/>
      <w:r w:rsidRPr="00545042">
        <w:rPr>
          <w:bCs/>
          <w:sz w:val="19"/>
          <w:szCs w:val="19"/>
        </w:rPr>
        <w:t>B</w:t>
      </w:r>
      <w:r w:rsidR="00EF7B17" w:rsidRPr="00545042">
        <w:rPr>
          <w:bCs/>
          <w:sz w:val="19"/>
          <w:szCs w:val="19"/>
        </w:rPr>
        <w:t>ehne</w:t>
      </w:r>
      <w:proofErr w:type="spellEnd"/>
      <w:r w:rsidR="00EF7B17" w:rsidRPr="00545042">
        <w:rPr>
          <w:bCs/>
          <w:sz w:val="19"/>
          <w:szCs w:val="19"/>
        </w:rPr>
        <w:t>,</w:t>
      </w:r>
      <w:r w:rsidR="00EF7B17" w:rsidRPr="00545042">
        <w:rPr>
          <w:sz w:val="19"/>
          <w:szCs w:val="19"/>
        </w:rPr>
        <w:t xml:space="preserve"> D. and </w:t>
      </w:r>
      <w:proofErr w:type="spellStart"/>
      <w:r w:rsidR="00EF7B17" w:rsidRPr="00545042">
        <w:rPr>
          <w:sz w:val="19"/>
          <w:szCs w:val="19"/>
        </w:rPr>
        <w:t>Kyriakopoulos</w:t>
      </w:r>
      <w:proofErr w:type="spellEnd"/>
      <w:r w:rsidR="00EF7B17" w:rsidRPr="00545042">
        <w:rPr>
          <w:sz w:val="19"/>
          <w:szCs w:val="19"/>
        </w:rPr>
        <w:t xml:space="preserve">, A. (2001). Mammalian selenium-containing proteins. </w:t>
      </w:r>
      <w:proofErr w:type="spellStart"/>
      <w:r w:rsidR="00EF7B17" w:rsidRPr="00545042">
        <w:rPr>
          <w:sz w:val="19"/>
          <w:szCs w:val="19"/>
        </w:rPr>
        <w:t>Annu</w:t>
      </w:r>
      <w:proofErr w:type="spellEnd"/>
      <w:r w:rsidR="00EF7B17" w:rsidRPr="00545042">
        <w:rPr>
          <w:sz w:val="19"/>
          <w:szCs w:val="19"/>
        </w:rPr>
        <w:t xml:space="preserve"> Rev </w:t>
      </w:r>
      <w:proofErr w:type="spellStart"/>
      <w:r w:rsidR="00EF7B17" w:rsidRPr="00545042">
        <w:rPr>
          <w:sz w:val="19"/>
          <w:szCs w:val="19"/>
        </w:rPr>
        <w:t>Nutr</w:t>
      </w:r>
      <w:proofErr w:type="spellEnd"/>
      <w:r w:rsidR="00EF7B17" w:rsidRPr="00545042">
        <w:rPr>
          <w:sz w:val="19"/>
          <w:szCs w:val="19"/>
        </w:rPr>
        <w:t>. 21:453-473.</w:t>
      </w:r>
    </w:p>
    <w:p w:rsidR="00545042" w:rsidRPr="00545042" w:rsidRDefault="00545042" w:rsidP="00545042">
      <w:pPr>
        <w:numPr>
          <w:ilvl w:val="0"/>
          <w:numId w:val="7"/>
        </w:numPr>
        <w:suppressAutoHyphens w:val="0"/>
        <w:autoSpaceDE w:val="0"/>
        <w:autoSpaceDN w:val="0"/>
        <w:adjustRightInd w:val="0"/>
        <w:jc w:val="both"/>
        <w:rPr>
          <w:sz w:val="19"/>
          <w:szCs w:val="19"/>
        </w:rPr>
      </w:pPr>
      <w:proofErr w:type="spellStart"/>
      <w:r w:rsidRPr="00545042">
        <w:rPr>
          <w:bCs/>
          <w:sz w:val="19"/>
          <w:szCs w:val="19"/>
          <w:lang w:eastAsia="en-US"/>
        </w:rPr>
        <w:t>B</w:t>
      </w:r>
      <w:r w:rsidR="00E15744" w:rsidRPr="00545042">
        <w:rPr>
          <w:bCs/>
          <w:sz w:val="19"/>
          <w:szCs w:val="19"/>
          <w:lang w:eastAsia="en-US"/>
        </w:rPr>
        <w:t>ognár</w:t>
      </w:r>
      <w:proofErr w:type="spellEnd"/>
      <w:r w:rsidR="00E15744" w:rsidRPr="00545042">
        <w:rPr>
          <w:sz w:val="19"/>
          <w:szCs w:val="19"/>
          <w:lang w:eastAsia="en-US"/>
        </w:rPr>
        <w:t xml:space="preserve">, A. (1998). Comparative study of frying to other cooking techniques influence on the nutritive value. </w:t>
      </w:r>
      <w:proofErr w:type="spellStart"/>
      <w:r w:rsidR="00E15744" w:rsidRPr="00545042">
        <w:rPr>
          <w:sz w:val="19"/>
          <w:szCs w:val="19"/>
          <w:lang w:eastAsia="en-US"/>
        </w:rPr>
        <w:t>Grasas</w:t>
      </w:r>
      <w:proofErr w:type="spellEnd"/>
      <w:r w:rsidR="00E15744" w:rsidRPr="00545042">
        <w:rPr>
          <w:sz w:val="19"/>
          <w:szCs w:val="19"/>
          <w:lang w:eastAsia="en-US"/>
        </w:rPr>
        <w:t xml:space="preserve"> y </w:t>
      </w:r>
      <w:proofErr w:type="spellStart"/>
      <w:r w:rsidR="00E15744" w:rsidRPr="00545042">
        <w:rPr>
          <w:sz w:val="19"/>
          <w:szCs w:val="19"/>
          <w:lang w:eastAsia="en-US"/>
        </w:rPr>
        <w:t>Aceites</w:t>
      </w:r>
      <w:proofErr w:type="spellEnd"/>
      <w:r w:rsidR="00E15744" w:rsidRPr="00545042">
        <w:rPr>
          <w:sz w:val="19"/>
          <w:szCs w:val="19"/>
          <w:lang w:eastAsia="en-US"/>
        </w:rPr>
        <w:t>. 49: 250-260.</w:t>
      </w:r>
    </w:p>
    <w:p w:rsidR="00545042" w:rsidRPr="00545042" w:rsidRDefault="00545042" w:rsidP="00545042">
      <w:pPr>
        <w:numPr>
          <w:ilvl w:val="0"/>
          <w:numId w:val="7"/>
        </w:numPr>
        <w:jc w:val="both"/>
        <w:rPr>
          <w:sz w:val="19"/>
          <w:szCs w:val="19"/>
        </w:rPr>
      </w:pPr>
      <w:proofErr w:type="spellStart"/>
      <w:r w:rsidRPr="00545042">
        <w:rPr>
          <w:bCs/>
          <w:sz w:val="19"/>
          <w:szCs w:val="19"/>
        </w:rPr>
        <w:t>B</w:t>
      </w:r>
      <w:r w:rsidR="00EF7B17" w:rsidRPr="00545042">
        <w:rPr>
          <w:bCs/>
          <w:sz w:val="19"/>
          <w:szCs w:val="19"/>
        </w:rPr>
        <w:t>ouveresse</w:t>
      </w:r>
      <w:proofErr w:type="spellEnd"/>
      <w:r w:rsidR="00EF7B17" w:rsidRPr="00545042">
        <w:rPr>
          <w:bCs/>
          <w:sz w:val="19"/>
          <w:szCs w:val="19"/>
        </w:rPr>
        <w:t>,</w:t>
      </w:r>
      <w:r w:rsidR="00EF7B17" w:rsidRPr="00545042">
        <w:rPr>
          <w:sz w:val="19"/>
          <w:szCs w:val="19"/>
        </w:rPr>
        <w:t xml:space="preserve"> R.; Pinto, C.; </w:t>
      </w:r>
      <w:proofErr w:type="spellStart"/>
      <w:r w:rsidR="00EF7B17" w:rsidRPr="00545042">
        <w:rPr>
          <w:sz w:val="19"/>
          <w:szCs w:val="19"/>
        </w:rPr>
        <w:t>Schmidtke</w:t>
      </w:r>
      <w:proofErr w:type="spellEnd"/>
      <w:r w:rsidR="00EF7B17" w:rsidRPr="00545042">
        <w:rPr>
          <w:sz w:val="19"/>
          <w:szCs w:val="19"/>
        </w:rPr>
        <w:t xml:space="preserve">, M.; </w:t>
      </w:r>
      <w:proofErr w:type="spellStart"/>
      <w:r w:rsidR="00EF7B17" w:rsidRPr="00545042">
        <w:rPr>
          <w:sz w:val="19"/>
          <w:szCs w:val="19"/>
        </w:rPr>
        <w:t>Locquet</w:t>
      </w:r>
      <w:proofErr w:type="spellEnd"/>
      <w:r w:rsidR="00EF7B17" w:rsidRPr="00545042">
        <w:rPr>
          <w:sz w:val="19"/>
          <w:szCs w:val="19"/>
        </w:rPr>
        <w:t>, N. and Rutledge, N. (2011). Identification of significant factors by an extension of ANOVA–PCA</w:t>
      </w:r>
      <w:r w:rsidR="00AC79DC" w:rsidRPr="00545042">
        <w:rPr>
          <w:sz w:val="19"/>
          <w:szCs w:val="19"/>
        </w:rPr>
        <w:t xml:space="preserve"> </w:t>
      </w:r>
      <w:r w:rsidR="00EF7B17" w:rsidRPr="00545042">
        <w:rPr>
          <w:sz w:val="19"/>
          <w:szCs w:val="19"/>
        </w:rPr>
        <w:t xml:space="preserve">based on multi-block analysis. </w:t>
      </w:r>
      <w:proofErr w:type="spellStart"/>
      <w:r w:rsidR="00EF7B17" w:rsidRPr="00545042">
        <w:rPr>
          <w:sz w:val="19"/>
          <w:szCs w:val="19"/>
        </w:rPr>
        <w:t>Chemometrics</w:t>
      </w:r>
      <w:proofErr w:type="spellEnd"/>
      <w:r w:rsidR="00EF7B17" w:rsidRPr="00545042">
        <w:rPr>
          <w:sz w:val="19"/>
          <w:szCs w:val="19"/>
        </w:rPr>
        <w:t xml:space="preserve"> and Intelligent Laboratory Systems 106:173–182.</w:t>
      </w:r>
    </w:p>
    <w:p w:rsidR="00545042" w:rsidRPr="00545042" w:rsidRDefault="00545042" w:rsidP="00545042">
      <w:pPr>
        <w:numPr>
          <w:ilvl w:val="0"/>
          <w:numId w:val="7"/>
        </w:numPr>
        <w:jc w:val="both"/>
        <w:rPr>
          <w:sz w:val="19"/>
          <w:szCs w:val="19"/>
        </w:rPr>
      </w:pPr>
      <w:r w:rsidRPr="00545042">
        <w:rPr>
          <w:bCs/>
          <w:sz w:val="19"/>
          <w:szCs w:val="19"/>
        </w:rPr>
        <w:t>B</w:t>
      </w:r>
      <w:r w:rsidR="00EF7B17" w:rsidRPr="00545042">
        <w:rPr>
          <w:bCs/>
          <w:sz w:val="19"/>
          <w:szCs w:val="19"/>
        </w:rPr>
        <w:t>radley</w:t>
      </w:r>
      <w:r w:rsidR="00EF7B17" w:rsidRPr="00545042">
        <w:rPr>
          <w:sz w:val="19"/>
          <w:szCs w:val="19"/>
        </w:rPr>
        <w:t xml:space="preserve">, S. C. (2002). Effects of </w:t>
      </w:r>
      <w:proofErr w:type="spellStart"/>
      <w:r w:rsidR="00EF7B17" w:rsidRPr="00545042">
        <w:rPr>
          <w:sz w:val="19"/>
          <w:szCs w:val="19"/>
        </w:rPr>
        <w:t>Sel-Plex</w:t>
      </w:r>
      <w:proofErr w:type="spellEnd"/>
      <w:r w:rsidR="00EF7B17" w:rsidRPr="00545042">
        <w:rPr>
          <w:sz w:val="19"/>
          <w:szCs w:val="19"/>
        </w:rPr>
        <w:t xml:space="preserve"> (organic selenium) and vitamin E on performance, immune response, and beef cut shelf life of feedlot steers. Thesis </w:t>
      </w:r>
      <w:r w:rsidR="005F559E">
        <w:rPr>
          <w:sz w:val="19"/>
          <w:szCs w:val="19"/>
        </w:rPr>
        <w:t>(Ph. D.) -Texas Tech University</w:t>
      </w:r>
      <w:r w:rsidR="005F559E">
        <w:rPr>
          <w:rFonts w:hint="eastAsia"/>
          <w:sz w:val="19"/>
          <w:szCs w:val="19"/>
          <w:lang w:eastAsia="zh-CN"/>
        </w:rPr>
        <w:t xml:space="preserve">. </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C</w:t>
      </w:r>
      <w:r w:rsidR="00EF7B17" w:rsidRPr="00545042">
        <w:rPr>
          <w:bCs/>
          <w:sz w:val="19"/>
          <w:szCs w:val="19"/>
        </w:rPr>
        <w:t>antor</w:t>
      </w:r>
      <w:r w:rsidR="00EF7B17" w:rsidRPr="00545042">
        <w:rPr>
          <w:sz w:val="19"/>
          <w:szCs w:val="19"/>
        </w:rPr>
        <w:t xml:space="preserve">, H. and </w:t>
      </w:r>
      <w:proofErr w:type="spellStart"/>
      <w:r w:rsidR="00EF7B17" w:rsidRPr="00545042">
        <w:rPr>
          <w:sz w:val="19"/>
          <w:szCs w:val="19"/>
        </w:rPr>
        <w:t>Tarino</w:t>
      </w:r>
      <w:proofErr w:type="spellEnd"/>
      <w:r w:rsidR="00EF7B17" w:rsidRPr="00545042">
        <w:rPr>
          <w:sz w:val="19"/>
          <w:szCs w:val="19"/>
        </w:rPr>
        <w:t>, Z. (1982). Comparative effects of inorganic and organic dietary sources of selenium on selenium levels and selenium-</w:t>
      </w:r>
      <w:r w:rsidR="00EF7B17" w:rsidRPr="00545042">
        <w:rPr>
          <w:sz w:val="19"/>
          <w:szCs w:val="19"/>
        </w:rPr>
        <w:lastRenderedPageBreak/>
        <w:t xml:space="preserve">dependent glutathione </w:t>
      </w:r>
      <w:proofErr w:type="spellStart"/>
      <w:r w:rsidR="00EF7B17" w:rsidRPr="00545042">
        <w:rPr>
          <w:sz w:val="19"/>
          <w:szCs w:val="19"/>
        </w:rPr>
        <w:t>peroxidase</w:t>
      </w:r>
      <w:proofErr w:type="spellEnd"/>
      <w:r w:rsidR="00EF7B17" w:rsidRPr="00545042">
        <w:rPr>
          <w:sz w:val="19"/>
          <w:szCs w:val="19"/>
        </w:rPr>
        <w:t xml:space="preserve"> activity in blood of young turkeys. J. </w:t>
      </w:r>
      <w:proofErr w:type="spellStart"/>
      <w:r w:rsidR="00EF7B17" w:rsidRPr="00545042">
        <w:rPr>
          <w:sz w:val="19"/>
          <w:szCs w:val="19"/>
        </w:rPr>
        <w:t>Nutr</w:t>
      </w:r>
      <w:proofErr w:type="spellEnd"/>
      <w:r w:rsidR="00EF7B17" w:rsidRPr="00545042">
        <w:rPr>
          <w:sz w:val="19"/>
          <w:szCs w:val="19"/>
        </w:rPr>
        <w:t>. 112: 2187-2196.</w:t>
      </w:r>
    </w:p>
    <w:p w:rsidR="00545042" w:rsidRPr="00545042" w:rsidRDefault="00545042" w:rsidP="00545042">
      <w:pPr>
        <w:numPr>
          <w:ilvl w:val="0"/>
          <w:numId w:val="7"/>
        </w:numPr>
        <w:jc w:val="both"/>
        <w:rPr>
          <w:sz w:val="19"/>
          <w:szCs w:val="19"/>
        </w:rPr>
      </w:pPr>
      <w:r w:rsidRPr="00545042">
        <w:rPr>
          <w:bCs/>
          <w:sz w:val="19"/>
          <w:szCs w:val="19"/>
        </w:rPr>
        <w:t>C</w:t>
      </w:r>
      <w:r w:rsidR="00EF7B17" w:rsidRPr="00545042">
        <w:rPr>
          <w:bCs/>
          <w:sz w:val="19"/>
          <w:szCs w:val="19"/>
        </w:rPr>
        <w:t>lark,</w:t>
      </w:r>
      <w:r w:rsidR="00EF7B17" w:rsidRPr="00545042">
        <w:rPr>
          <w:sz w:val="19"/>
          <w:szCs w:val="19"/>
        </w:rPr>
        <w:t xml:space="preserve"> L. C; Combs, G.; Turnbull, B.; Slate, E.; </w:t>
      </w:r>
      <w:proofErr w:type="spellStart"/>
      <w:r w:rsidR="00EF7B17" w:rsidRPr="00545042">
        <w:rPr>
          <w:sz w:val="19"/>
          <w:szCs w:val="19"/>
        </w:rPr>
        <w:t>Chalker</w:t>
      </w:r>
      <w:proofErr w:type="spellEnd"/>
      <w:r w:rsidR="00EF7B17" w:rsidRPr="00545042">
        <w:rPr>
          <w:sz w:val="19"/>
          <w:szCs w:val="19"/>
        </w:rPr>
        <w:t xml:space="preserve">, D.; </w:t>
      </w:r>
      <w:r w:rsidR="00EF7B17" w:rsidRPr="00545042">
        <w:rPr>
          <w:i/>
          <w:iCs/>
          <w:color w:val="000000"/>
          <w:sz w:val="19"/>
          <w:szCs w:val="19"/>
        </w:rPr>
        <w:t>et al.,</w:t>
      </w:r>
      <w:r w:rsidR="00EF7B17" w:rsidRPr="00545042">
        <w:rPr>
          <w:sz w:val="19"/>
          <w:szCs w:val="19"/>
        </w:rPr>
        <w:t xml:space="preserve"> (1996). Effects of selenium supplementation for cancer prevention in patients with carcinoma of the skin. A</w:t>
      </w:r>
      <w:r w:rsidR="005F559E">
        <w:rPr>
          <w:rFonts w:hint="eastAsia"/>
          <w:sz w:val="19"/>
          <w:szCs w:val="19"/>
          <w:lang w:eastAsia="zh-CN"/>
        </w:rPr>
        <w:t xml:space="preserve"> </w:t>
      </w:r>
      <w:r w:rsidR="00EF7B17" w:rsidRPr="00545042">
        <w:rPr>
          <w:sz w:val="19"/>
          <w:szCs w:val="19"/>
        </w:rPr>
        <w:t>randomized controlled trial. J. Amer. Med. Assoc. 276: 1957–1963.</w:t>
      </w:r>
    </w:p>
    <w:p w:rsidR="00545042" w:rsidRPr="00545042" w:rsidRDefault="00545042" w:rsidP="00545042">
      <w:pPr>
        <w:numPr>
          <w:ilvl w:val="0"/>
          <w:numId w:val="7"/>
        </w:numPr>
        <w:jc w:val="both"/>
        <w:rPr>
          <w:sz w:val="19"/>
          <w:szCs w:val="19"/>
        </w:rPr>
      </w:pPr>
      <w:r w:rsidRPr="00545042">
        <w:rPr>
          <w:bCs/>
          <w:sz w:val="19"/>
          <w:szCs w:val="19"/>
        </w:rPr>
        <w:t>C</w:t>
      </w:r>
      <w:r w:rsidR="00EF7B17" w:rsidRPr="00545042">
        <w:rPr>
          <w:bCs/>
          <w:sz w:val="19"/>
          <w:szCs w:val="19"/>
        </w:rPr>
        <w:t>hen</w:t>
      </w:r>
      <w:r w:rsidR="00EF7B17" w:rsidRPr="00545042">
        <w:rPr>
          <w:sz w:val="19"/>
          <w:szCs w:val="19"/>
        </w:rPr>
        <w:t xml:space="preserve">, G.; Wu, J. and Li, C. (2013). The effect of different selenium levels on </w:t>
      </w:r>
      <w:proofErr w:type="gramStart"/>
      <w:r w:rsidR="00EF7B17" w:rsidRPr="00545042">
        <w:rPr>
          <w:sz w:val="19"/>
          <w:szCs w:val="19"/>
        </w:rPr>
        <w:t>production  performance</w:t>
      </w:r>
      <w:proofErr w:type="gramEnd"/>
      <w:r w:rsidR="00EF7B17" w:rsidRPr="00545042">
        <w:rPr>
          <w:sz w:val="19"/>
          <w:szCs w:val="19"/>
        </w:rPr>
        <w:t xml:space="preserve"> and biochemical parameters of broilers. Italian J. </w:t>
      </w:r>
      <w:proofErr w:type="gramStart"/>
      <w:r w:rsidR="00EF7B17" w:rsidRPr="00545042">
        <w:rPr>
          <w:sz w:val="19"/>
          <w:szCs w:val="19"/>
        </w:rPr>
        <w:t xml:space="preserve">of </w:t>
      </w:r>
      <w:r w:rsidR="008D5CFB" w:rsidRPr="00545042">
        <w:rPr>
          <w:sz w:val="19"/>
          <w:szCs w:val="19"/>
        </w:rPr>
        <w:t xml:space="preserve"> </w:t>
      </w:r>
      <w:proofErr w:type="spellStart"/>
      <w:r w:rsidR="00EF7B17" w:rsidRPr="00545042">
        <w:rPr>
          <w:sz w:val="19"/>
          <w:szCs w:val="19"/>
        </w:rPr>
        <w:t>Ani</w:t>
      </w:r>
      <w:proofErr w:type="spellEnd"/>
      <w:proofErr w:type="gramEnd"/>
      <w:r w:rsidR="00EF7B17" w:rsidRPr="00545042">
        <w:rPr>
          <w:sz w:val="19"/>
          <w:szCs w:val="19"/>
        </w:rPr>
        <w:t xml:space="preserve"> .Science. 12:486-491.</w:t>
      </w:r>
    </w:p>
    <w:p w:rsidR="00545042" w:rsidRPr="00545042" w:rsidRDefault="00545042" w:rsidP="00545042">
      <w:pPr>
        <w:numPr>
          <w:ilvl w:val="0"/>
          <w:numId w:val="7"/>
        </w:numPr>
        <w:jc w:val="both"/>
        <w:rPr>
          <w:sz w:val="19"/>
          <w:szCs w:val="19"/>
        </w:rPr>
      </w:pPr>
      <w:r w:rsidRPr="00545042">
        <w:rPr>
          <w:bCs/>
          <w:sz w:val="19"/>
          <w:szCs w:val="19"/>
        </w:rPr>
        <w:t>D</w:t>
      </w:r>
      <w:r w:rsidR="00EF7B17" w:rsidRPr="00545042">
        <w:rPr>
          <w:bCs/>
          <w:sz w:val="19"/>
          <w:szCs w:val="19"/>
        </w:rPr>
        <w:t>evore</w:t>
      </w:r>
      <w:r w:rsidR="00EF7B17" w:rsidRPr="00545042">
        <w:rPr>
          <w:sz w:val="19"/>
          <w:szCs w:val="19"/>
        </w:rPr>
        <w:t xml:space="preserve">, R. and Greene, B. (1982). Glutathione </w:t>
      </w:r>
      <w:proofErr w:type="spellStart"/>
      <w:r w:rsidR="00EF7B17" w:rsidRPr="00545042">
        <w:rPr>
          <w:sz w:val="19"/>
          <w:szCs w:val="19"/>
        </w:rPr>
        <w:t>peroxidase</w:t>
      </w:r>
      <w:proofErr w:type="spellEnd"/>
      <w:r w:rsidR="00EF7B17" w:rsidRPr="00545042">
        <w:rPr>
          <w:sz w:val="19"/>
          <w:szCs w:val="19"/>
        </w:rPr>
        <w:t xml:space="preserve"> in post-rigor bovine </w:t>
      </w:r>
      <w:proofErr w:type="spellStart"/>
      <w:r w:rsidR="00EF7B17" w:rsidRPr="00545042">
        <w:rPr>
          <w:sz w:val="19"/>
          <w:szCs w:val="19"/>
        </w:rPr>
        <w:t>semitendinosus</w:t>
      </w:r>
      <w:proofErr w:type="spellEnd"/>
      <w:r w:rsidR="00EF7B17" w:rsidRPr="00545042">
        <w:rPr>
          <w:sz w:val="19"/>
          <w:szCs w:val="19"/>
        </w:rPr>
        <w:t xml:space="preserve"> muscle. J. of Food Science 47: 1406–1409.</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D</w:t>
      </w:r>
      <w:r w:rsidR="00EF7B17" w:rsidRPr="00545042">
        <w:rPr>
          <w:bCs/>
          <w:sz w:val="19"/>
          <w:szCs w:val="19"/>
        </w:rPr>
        <w:t>hingra</w:t>
      </w:r>
      <w:proofErr w:type="spellEnd"/>
      <w:r w:rsidR="00EF7B17" w:rsidRPr="00545042">
        <w:rPr>
          <w:bCs/>
          <w:sz w:val="19"/>
          <w:szCs w:val="19"/>
        </w:rPr>
        <w:t>,</w:t>
      </w:r>
      <w:r w:rsidR="00EF7B17" w:rsidRPr="00545042">
        <w:rPr>
          <w:sz w:val="19"/>
          <w:szCs w:val="19"/>
        </w:rPr>
        <w:t xml:space="preserve"> S. and </w:t>
      </w:r>
      <w:proofErr w:type="spellStart"/>
      <w:r w:rsidR="00EF7B17" w:rsidRPr="00545042">
        <w:rPr>
          <w:sz w:val="19"/>
          <w:szCs w:val="19"/>
        </w:rPr>
        <w:t>Bansal</w:t>
      </w:r>
      <w:proofErr w:type="spellEnd"/>
      <w:r w:rsidR="00EF7B17" w:rsidRPr="00545042">
        <w:rPr>
          <w:sz w:val="19"/>
          <w:szCs w:val="19"/>
        </w:rPr>
        <w:t xml:space="preserve">, M. (2006). Attenuation of LDL receptor gene expression by selenium deficiency during hypercholesterolemia. Mol Cell </w:t>
      </w:r>
      <w:proofErr w:type="spellStart"/>
      <w:r w:rsidR="00EF7B17" w:rsidRPr="00545042">
        <w:rPr>
          <w:sz w:val="19"/>
          <w:szCs w:val="19"/>
        </w:rPr>
        <w:t>Biochem</w:t>
      </w:r>
      <w:proofErr w:type="spellEnd"/>
      <w:r w:rsidR="00EF7B17" w:rsidRPr="00545042">
        <w:rPr>
          <w:sz w:val="19"/>
          <w:szCs w:val="19"/>
        </w:rPr>
        <w:t>. 282:75-82.</w:t>
      </w:r>
    </w:p>
    <w:p w:rsidR="00545042" w:rsidRPr="00545042" w:rsidRDefault="00545042" w:rsidP="00545042">
      <w:pPr>
        <w:numPr>
          <w:ilvl w:val="0"/>
          <w:numId w:val="7"/>
        </w:numPr>
        <w:suppressAutoHyphens w:val="0"/>
        <w:autoSpaceDE w:val="0"/>
        <w:autoSpaceDN w:val="0"/>
        <w:adjustRightInd w:val="0"/>
        <w:jc w:val="both"/>
        <w:rPr>
          <w:sz w:val="19"/>
          <w:szCs w:val="19"/>
          <w:lang w:eastAsia="en-US"/>
        </w:rPr>
      </w:pPr>
      <w:r w:rsidRPr="00545042">
        <w:rPr>
          <w:bCs/>
          <w:sz w:val="19"/>
          <w:szCs w:val="19"/>
          <w:lang w:eastAsia="en-US"/>
        </w:rPr>
        <w:t>F</w:t>
      </w:r>
      <w:r w:rsidR="00C34123" w:rsidRPr="00545042">
        <w:rPr>
          <w:bCs/>
          <w:sz w:val="19"/>
          <w:szCs w:val="19"/>
          <w:lang w:eastAsia="en-US"/>
        </w:rPr>
        <w:t>ang</w:t>
      </w:r>
      <w:r w:rsidR="00C34123" w:rsidRPr="00545042">
        <w:rPr>
          <w:sz w:val="19"/>
          <w:szCs w:val="19"/>
          <w:lang w:eastAsia="en-US"/>
        </w:rPr>
        <w:t>, Y.; Yang, S. and Wu, G. (2002). Free Radicals, Antioxidants, and Nutrition. Nutrition 18:872- 879.</w:t>
      </w:r>
    </w:p>
    <w:p w:rsidR="00545042" w:rsidRPr="00545042" w:rsidRDefault="00545042" w:rsidP="00545042">
      <w:pPr>
        <w:numPr>
          <w:ilvl w:val="0"/>
          <w:numId w:val="7"/>
        </w:numPr>
        <w:jc w:val="both"/>
        <w:rPr>
          <w:sz w:val="19"/>
          <w:szCs w:val="19"/>
        </w:rPr>
      </w:pPr>
      <w:proofErr w:type="spellStart"/>
      <w:r w:rsidRPr="00545042">
        <w:rPr>
          <w:bCs/>
          <w:sz w:val="19"/>
          <w:szCs w:val="19"/>
        </w:rPr>
        <w:t>G</w:t>
      </w:r>
      <w:r w:rsidR="00592C64" w:rsidRPr="00545042">
        <w:rPr>
          <w:bCs/>
          <w:sz w:val="19"/>
          <w:szCs w:val="19"/>
        </w:rPr>
        <w:t>okoglu</w:t>
      </w:r>
      <w:proofErr w:type="spellEnd"/>
      <w:r w:rsidR="00592C64" w:rsidRPr="00545042">
        <w:rPr>
          <w:bCs/>
          <w:sz w:val="19"/>
          <w:szCs w:val="19"/>
        </w:rPr>
        <w:t>,</w:t>
      </w:r>
      <w:r w:rsidR="00592C64" w:rsidRPr="00545042">
        <w:rPr>
          <w:sz w:val="19"/>
          <w:szCs w:val="19"/>
        </w:rPr>
        <w:t xml:space="preserve"> N.; </w:t>
      </w:r>
      <w:proofErr w:type="spellStart"/>
      <w:r w:rsidR="00592C64" w:rsidRPr="00545042">
        <w:rPr>
          <w:sz w:val="19"/>
          <w:szCs w:val="19"/>
        </w:rPr>
        <w:t>Yerlikaya</w:t>
      </w:r>
      <w:proofErr w:type="spellEnd"/>
      <w:r w:rsidR="00592C64" w:rsidRPr="00545042">
        <w:rPr>
          <w:sz w:val="19"/>
          <w:szCs w:val="19"/>
        </w:rPr>
        <w:t xml:space="preserve">, P. and </w:t>
      </w:r>
      <w:proofErr w:type="spellStart"/>
      <w:r w:rsidR="00592C64" w:rsidRPr="00545042">
        <w:rPr>
          <w:sz w:val="19"/>
          <w:szCs w:val="19"/>
        </w:rPr>
        <w:t>Cengiz</w:t>
      </w:r>
      <w:proofErr w:type="spellEnd"/>
      <w:r w:rsidR="00592C64" w:rsidRPr="00545042">
        <w:rPr>
          <w:sz w:val="19"/>
          <w:szCs w:val="19"/>
        </w:rPr>
        <w:t xml:space="preserve">, E. (2004) Effects of cooking methods on the proximate composition and mineral contents of rainbow trout </w:t>
      </w:r>
      <w:r w:rsidR="00592C64" w:rsidRPr="00545042">
        <w:rPr>
          <w:i/>
          <w:iCs/>
          <w:sz w:val="19"/>
          <w:szCs w:val="19"/>
        </w:rPr>
        <w:t>(</w:t>
      </w:r>
      <w:proofErr w:type="spellStart"/>
      <w:r w:rsidR="00592C64" w:rsidRPr="00545042">
        <w:rPr>
          <w:i/>
          <w:iCs/>
          <w:sz w:val="19"/>
          <w:szCs w:val="19"/>
        </w:rPr>
        <w:t>Oncorhynchus</w:t>
      </w:r>
      <w:proofErr w:type="spellEnd"/>
      <w:r w:rsidR="00592C64" w:rsidRPr="00545042">
        <w:rPr>
          <w:i/>
          <w:iCs/>
          <w:sz w:val="19"/>
          <w:szCs w:val="19"/>
        </w:rPr>
        <w:t xml:space="preserve"> </w:t>
      </w:r>
      <w:proofErr w:type="spellStart"/>
      <w:r w:rsidR="00592C64" w:rsidRPr="00545042">
        <w:rPr>
          <w:i/>
          <w:iCs/>
          <w:sz w:val="19"/>
          <w:szCs w:val="19"/>
        </w:rPr>
        <w:t>mykiss</w:t>
      </w:r>
      <w:proofErr w:type="spellEnd"/>
      <w:r w:rsidR="00592C64" w:rsidRPr="00545042">
        <w:rPr>
          <w:i/>
          <w:iCs/>
          <w:sz w:val="19"/>
          <w:szCs w:val="19"/>
        </w:rPr>
        <w:t>)</w:t>
      </w:r>
      <w:r w:rsidR="00592C64" w:rsidRPr="00545042">
        <w:rPr>
          <w:sz w:val="19"/>
          <w:szCs w:val="19"/>
        </w:rPr>
        <w:t xml:space="preserve">. Food </w:t>
      </w:r>
      <w:proofErr w:type="spellStart"/>
      <w:r w:rsidR="00592C64" w:rsidRPr="00545042">
        <w:rPr>
          <w:sz w:val="19"/>
          <w:szCs w:val="19"/>
        </w:rPr>
        <w:t>Chem</w:t>
      </w:r>
      <w:proofErr w:type="spellEnd"/>
      <w:r w:rsidR="00592C64" w:rsidRPr="00545042">
        <w:rPr>
          <w:sz w:val="19"/>
          <w:szCs w:val="19"/>
        </w:rPr>
        <w:t xml:space="preserve"> 84:19-22</w:t>
      </w:r>
    </w:p>
    <w:p w:rsidR="00545042" w:rsidRPr="00545042" w:rsidRDefault="00545042" w:rsidP="00545042">
      <w:pPr>
        <w:numPr>
          <w:ilvl w:val="0"/>
          <w:numId w:val="7"/>
        </w:numPr>
        <w:jc w:val="both"/>
        <w:rPr>
          <w:sz w:val="19"/>
          <w:szCs w:val="19"/>
        </w:rPr>
      </w:pPr>
      <w:proofErr w:type="spellStart"/>
      <w:r w:rsidRPr="00545042">
        <w:rPr>
          <w:bCs/>
          <w:sz w:val="19"/>
          <w:szCs w:val="19"/>
        </w:rPr>
        <w:t>H</w:t>
      </w:r>
      <w:r w:rsidR="00EF7B17" w:rsidRPr="00545042">
        <w:rPr>
          <w:bCs/>
          <w:sz w:val="19"/>
          <w:szCs w:val="19"/>
        </w:rPr>
        <w:t>aug</w:t>
      </w:r>
      <w:proofErr w:type="spellEnd"/>
      <w:r w:rsidR="00EF7B17" w:rsidRPr="00545042">
        <w:rPr>
          <w:bCs/>
          <w:sz w:val="19"/>
          <w:szCs w:val="19"/>
        </w:rPr>
        <w:t>,</w:t>
      </w:r>
      <w:r w:rsidR="00EF7B17" w:rsidRPr="00545042">
        <w:rPr>
          <w:sz w:val="19"/>
          <w:szCs w:val="19"/>
        </w:rPr>
        <w:t xml:space="preserve"> A.; </w:t>
      </w:r>
      <w:proofErr w:type="spellStart"/>
      <w:r w:rsidR="00EF7B17" w:rsidRPr="00545042">
        <w:rPr>
          <w:sz w:val="19"/>
          <w:szCs w:val="19"/>
        </w:rPr>
        <w:t>Eich-Greatorex</w:t>
      </w:r>
      <w:proofErr w:type="spellEnd"/>
      <w:r w:rsidR="00EF7B17" w:rsidRPr="00545042">
        <w:rPr>
          <w:sz w:val="19"/>
          <w:szCs w:val="19"/>
        </w:rPr>
        <w:t xml:space="preserve">, S.; </w:t>
      </w:r>
      <w:proofErr w:type="spellStart"/>
      <w:r w:rsidR="00EF7B17" w:rsidRPr="00545042">
        <w:rPr>
          <w:sz w:val="19"/>
          <w:szCs w:val="19"/>
        </w:rPr>
        <w:t>Bernhoft</w:t>
      </w:r>
      <w:proofErr w:type="spellEnd"/>
      <w:r w:rsidR="00EF7B17" w:rsidRPr="00545042">
        <w:rPr>
          <w:sz w:val="19"/>
          <w:szCs w:val="19"/>
        </w:rPr>
        <w:t xml:space="preserve">, A.; </w:t>
      </w:r>
      <w:proofErr w:type="spellStart"/>
      <w:r w:rsidR="00EF7B17" w:rsidRPr="00545042">
        <w:rPr>
          <w:sz w:val="19"/>
          <w:szCs w:val="19"/>
        </w:rPr>
        <w:t>Wold</w:t>
      </w:r>
      <w:proofErr w:type="spellEnd"/>
      <w:r w:rsidR="00EF7B17" w:rsidRPr="00545042">
        <w:rPr>
          <w:sz w:val="19"/>
          <w:szCs w:val="19"/>
        </w:rPr>
        <w:t xml:space="preserve">, J.; </w:t>
      </w:r>
      <w:proofErr w:type="spellStart"/>
      <w:r w:rsidR="00EF7B17" w:rsidRPr="00545042">
        <w:rPr>
          <w:sz w:val="19"/>
          <w:szCs w:val="19"/>
        </w:rPr>
        <w:t>Hetland</w:t>
      </w:r>
      <w:proofErr w:type="spellEnd"/>
      <w:r w:rsidR="00EF7B17" w:rsidRPr="00545042">
        <w:rPr>
          <w:sz w:val="19"/>
          <w:szCs w:val="19"/>
        </w:rPr>
        <w:t xml:space="preserve">, H.; </w:t>
      </w:r>
      <w:proofErr w:type="spellStart"/>
      <w:r w:rsidR="00EF7B17" w:rsidRPr="00545042">
        <w:rPr>
          <w:sz w:val="19"/>
          <w:szCs w:val="19"/>
        </w:rPr>
        <w:t>Christophersen</w:t>
      </w:r>
      <w:proofErr w:type="spellEnd"/>
      <w:r w:rsidR="00EF7B17" w:rsidRPr="00545042">
        <w:rPr>
          <w:sz w:val="19"/>
          <w:szCs w:val="19"/>
        </w:rPr>
        <w:t xml:space="preserve">, O. and Song, T. (2007). Effect of dietary selenium and omega-3 fatty acids on muscle composition and </w:t>
      </w:r>
      <w:r w:rsidR="00EF7B17" w:rsidRPr="00545042">
        <w:rPr>
          <w:sz w:val="19"/>
          <w:szCs w:val="19"/>
        </w:rPr>
        <w:tab/>
        <w:t>quality in broilers. Lipids Health Dis. 6: 29-37.</w:t>
      </w:r>
    </w:p>
    <w:p w:rsidR="00545042" w:rsidRPr="00545042" w:rsidRDefault="00545042" w:rsidP="00545042">
      <w:pPr>
        <w:numPr>
          <w:ilvl w:val="0"/>
          <w:numId w:val="7"/>
        </w:numPr>
        <w:jc w:val="both"/>
        <w:rPr>
          <w:sz w:val="19"/>
          <w:szCs w:val="19"/>
        </w:rPr>
      </w:pPr>
      <w:proofErr w:type="spellStart"/>
      <w:r w:rsidRPr="00545042">
        <w:rPr>
          <w:bCs/>
          <w:sz w:val="19"/>
          <w:szCs w:val="19"/>
        </w:rPr>
        <w:t>H</w:t>
      </w:r>
      <w:r w:rsidR="00EF7B17" w:rsidRPr="00545042">
        <w:rPr>
          <w:bCs/>
          <w:sz w:val="19"/>
          <w:szCs w:val="19"/>
        </w:rPr>
        <w:t>ussain</w:t>
      </w:r>
      <w:proofErr w:type="spellEnd"/>
      <w:r w:rsidR="00EF7B17" w:rsidRPr="00545042">
        <w:rPr>
          <w:sz w:val="19"/>
          <w:szCs w:val="19"/>
        </w:rPr>
        <w:t xml:space="preserve">, A.; </w:t>
      </w:r>
      <w:proofErr w:type="spellStart"/>
      <w:r w:rsidR="00EF7B17" w:rsidRPr="00545042">
        <w:rPr>
          <w:sz w:val="19"/>
          <w:szCs w:val="19"/>
        </w:rPr>
        <w:t>Jinke</w:t>
      </w:r>
      <w:proofErr w:type="spellEnd"/>
      <w:r w:rsidR="00EF7B17" w:rsidRPr="00545042">
        <w:rPr>
          <w:sz w:val="19"/>
          <w:szCs w:val="19"/>
        </w:rPr>
        <w:t xml:space="preserve">, T.; </w:t>
      </w:r>
      <w:proofErr w:type="spellStart"/>
      <w:r w:rsidR="00EF7B17" w:rsidRPr="00545042">
        <w:rPr>
          <w:sz w:val="19"/>
          <w:szCs w:val="19"/>
        </w:rPr>
        <w:t>Jianjun</w:t>
      </w:r>
      <w:proofErr w:type="spellEnd"/>
      <w:r w:rsidR="00EF7B17" w:rsidRPr="00545042">
        <w:rPr>
          <w:sz w:val="19"/>
          <w:szCs w:val="19"/>
        </w:rPr>
        <w:t xml:space="preserve">, W.; Muhammad, A.; </w:t>
      </w:r>
      <w:proofErr w:type="spellStart"/>
      <w:r w:rsidR="00EF7B17" w:rsidRPr="00545042">
        <w:rPr>
          <w:sz w:val="19"/>
          <w:szCs w:val="19"/>
        </w:rPr>
        <w:t>Yuanxiao</w:t>
      </w:r>
      <w:proofErr w:type="spellEnd"/>
      <w:r w:rsidR="00EF7B17" w:rsidRPr="00545042">
        <w:rPr>
          <w:sz w:val="19"/>
          <w:szCs w:val="19"/>
        </w:rPr>
        <w:t xml:space="preserve">, W.; </w:t>
      </w:r>
      <w:proofErr w:type="spellStart"/>
      <w:r w:rsidR="00EF7B17" w:rsidRPr="00545042">
        <w:rPr>
          <w:sz w:val="19"/>
          <w:szCs w:val="19"/>
        </w:rPr>
        <w:t>Lili</w:t>
      </w:r>
      <w:proofErr w:type="spellEnd"/>
      <w:r w:rsidR="00EF7B17" w:rsidRPr="00545042">
        <w:rPr>
          <w:sz w:val="19"/>
          <w:szCs w:val="19"/>
        </w:rPr>
        <w:t xml:space="preserve">, Z. and </w:t>
      </w:r>
      <w:proofErr w:type="spellStart"/>
      <w:r w:rsidR="00EF7B17" w:rsidRPr="00545042">
        <w:rPr>
          <w:sz w:val="19"/>
          <w:szCs w:val="19"/>
        </w:rPr>
        <w:t>Tian</w:t>
      </w:r>
      <w:proofErr w:type="spellEnd"/>
      <w:r w:rsidR="00EF7B17" w:rsidRPr="00545042">
        <w:rPr>
          <w:sz w:val="19"/>
          <w:szCs w:val="19"/>
        </w:rPr>
        <w:t xml:space="preserve">, W. (2012). Effect of dietary sodium </w:t>
      </w:r>
      <w:proofErr w:type="spellStart"/>
      <w:r w:rsidR="00EF7B17" w:rsidRPr="00545042">
        <w:rPr>
          <w:sz w:val="19"/>
          <w:szCs w:val="19"/>
        </w:rPr>
        <w:t>selenite</w:t>
      </w:r>
      <w:proofErr w:type="spellEnd"/>
      <w:r w:rsidR="00EF7B17" w:rsidRPr="00545042">
        <w:rPr>
          <w:sz w:val="19"/>
          <w:szCs w:val="19"/>
        </w:rPr>
        <w:t xml:space="preserve"> and Selenium yeast on antioxidant enzyme activities and oxidative stability of chicken breast meat. J. of </w:t>
      </w:r>
      <w:r w:rsidR="008D5CFB" w:rsidRPr="00545042">
        <w:rPr>
          <w:color w:val="000000"/>
          <w:sz w:val="19"/>
          <w:szCs w:val="19"/>
        </w:rPr>
        <w:t>A</w:t>
      </w:r>
      <w:r w:rsidR="00EF7B17" w:rsidRPr="00545042">
        <w:rPr>
          <w:color w:val="000000"/>
          <w:sz w:val="19"/>
          <w:szCs w:val="19"/>
        </w:rPr>
        <w:t xml:space="preserve">gric. and </w:t>
      </w:r>
      <w:r w:rsidR="008D5CFB" w:rsidRPr="00545042">
        <w:rPr>
          <w:color w:val="000000"/>
          <w:sz w:val="19"/>
          <w:szCs w:val="19"/>
        </w:rPr>
        <w:t>F</w:t>
      </w:r>
      <w:r w:rsidR="00EF7B17" w:rsidRPr="00545042">
        <w:rPr>
          <w:color w:val="000000"/>
          <w:sz w:val="19"/>
          <w:szCs w:val="19"/>
        </w:rPr>
        <w:t xml:space="preserve">ood </w:t>
      </w:r>
      <w:r w:rsidR="008D5CFB" w:rsidRPr="00545042">
        <w:rPr>
          <w:color w:val="000000"/>
          <w:sz w:val="19"/>
          <w:szCs w:val="19"/>
        </w:rPr>
        <w:t>C</w:t>
      </w:r>
      <w:r w:rsidR="00EF7B17" w:rsidRPr="00545042">
        <w:rPr>
          <w:color w:val="000000"/>
          <w:sz w:val="19"/>
          <w:szCs w:val="19"/>
        </w:rPr>
        <w:t>hem</w:t>
      </w:r>
      <w:r w:rsidR="00EF7B17" w:rsidRPr="00545042">
        <w:rPr>
          <w:sz w:val="19"/>
          <w:szCs w:val="19"/>
        </w:rPr>
        <w:t>. 60: 7111-7120.</w:t>
      </w:r>
    </w:p>
    <w:p w:rsidR="00545042" w:rsidRPr="00545042" w:rsidRDefault="00545042" w:rsidP="00545042">
      <w:pPr>
        <w:numPr>
          <w:ilvl w:val="0"/>
          <w:numId w:val="7"/>
        </w:numPr>
        <w:jc w:val="both"/>
        <w:rPr>
          <w:sz w:val="19"/>
          <w:szCs w:val="19"/>
        </w:rPr>
      </w:pPr>
      <w:proofErr w:type="spellStart"/>
      <w:r w:rsidRPr="00545042">
        <w:rPr>
          <w:bCs/>
          <w:color w:val="000000"/>
          <w:sz w:val="19"/>
          <w:szCs w:val="19"/>
        </w:rPr>
        <w:t>K</w:t>
      </w:r>
      <w:r w:rsidR="005A3F71" w:rsidRPr="00545042">
        <w:rPr>
          <w:bCs/>
          <w:color w:val="000000"/>
          <w:sz w:val="19"/>
          <w:szCs w:val="19"/>
        </w:rPr>
        <w:t>a</w:t>
      </w:r>
      <w:r w:rsidR="00EF7B17" w:rsidRPr="00545042">
        <w:rPr>
          <w:bCs/>
          <w:sz w:val="19"/>
          <w:szCs w:val="19"/>
        </w:rPr>
        <w:t>nchana</w:t>
      </w:r>
      <w:proofErr w:type="spellEnd"/>
      <w:r w:rsidR="00EF7B17" w:rsidRPr="00545042">
        <w:rPr>
          <w:bCs/>
          <w:sz w:val="19"/>
          <w:szCs w:val="19"/>
        </w:rPr>
        <w:t>,</w:t>
      </w:r>
      <w:r w:rsidR="00EF7B17" w:rsidRPr="00545042">
        <w:rPr>
          <w:sz w:val="19"/>
          <w:szCs w:val="19"/>
        </w:rPr>
        <w:t xml:space="preserve"> G. and </w:t>
      </w:r>
      <w:proofErr w:type="spellStart"/>
      <w:r w:rsidR="00EF7B17" w:rsidRPr="00545042">
        <w:rPr>
          <w:sz w:val="19"/>
          <w:szCs w:val="19"/>
        </w:rPr>
        <w:t>Jeyanthi</w:t>
      </w:r>
      <w:proofErr w:type="spellEnd"/>
      <w:r w:rsidR="00EF7B17" w:rsidRPr="00545042">
        <w:rPr>
          <w:sz w:val="19"/>
          <w:szCs w:val="19"/>
        </w:rPr>
        <w:t xml:space="preserve">, G. (2010). The effect of supplementation of diet with vitamin-E and selenium and their combinations on the performance and lipid profiles of layer chickens. </w:t>
      </w:r>
      <w:proofErr w:type="gramStart"/>
      <w:r w:rsidR="00EF7B17" w:rsidRPr="00545042">
        <w:rPr>
          <w:sz w:val="19"/>
          <w:szCs w:val="19"/>
        </w:rPr>
        <w:t xml:space="preserve">International </w:t>
      </w:r>
      <w:r w:rsidR="001E0E9B" w:rsidRPr="00545042">
        <w:rPr>
          <w:sz w:val="19"/>
          <w:szCs w:val="19"/>
        </w:rPr>
        <w:t xml:space="preserve"> </w:t>
      </w:r>
      <w:r w:rsidR="00EF7B17" w:rsidRPr="00545042">
        <w:rPr>
          <w:sz w:val="19"/>
          <w:szCs w:val="19"/>
        </w:rPr>
        <w:t>J</w:t>
      </w:r>
      <w:proofErr w:type="gramEnd"/>
      <w:r w:rsidR="001E0E9B" w:rsidRPr="00545042">
        <w:rPr>
          <w:sz w:val="19"/>
          <w:szCs w:val="19"/>
        </w:rPr>
        <w:t xml:space="preserve">. </w:t>
      </w:r>
      <w:r w:rsidR="00EF7B17" w:rsidRPr="00545042">
        <w:rPr>
          <w:sz w:val="19"/>
          <w:szCs w:val="19"/>
        </w:rPr>
        <w:t>of</w:t>
      </w:r>
      <w:r w:rsidR="001E0E9B" w:rsidRPr="00545042">
        <w:rPr>
          <w:sz w:val="19"/>
          <w:szCs w:val="19"/>
        </w:rPr>
        <w:t xml:space="preserve"> </w:t>
      </w:r>
      <w:r w:rsidR="00EF7B17" w:rsidRPr="00545042">
        <w:rPr>
          <w:sz w:val="19"/>
          <w:szCs w:val="19"/>
        </w:rPr>
        <w:t xml:space="preserve"> </w:t>
      </w:r>
      <w:proofErr w:type="spellStart"/>
      <w:r w:rsidR="00EF7B17" w:rsidRPr="00545042">
        <w:rPr>
          <w:sz w:val="19"/>
          <w:szCs w:val="19"/>
        </w:rPr>
        <w:t>Pharma</w:t>
      </w:r>
      <w:proofErr w:type="spellEnd"/>
      <w:r w:rsidR="00EF7B17" w:rsidRPr="00545042">
        <w:rPr>
          <w:sz w:val="19"/>
          <w:szCs w:val="19"/>
        </w:rPr>
        <w:t xml:space="preserve"> and Bio Sci</w:t>
      </w:r>
      <w:r w:rsidR="001E0E9B" w:rsidRPr="00545042">
        <w:rPr>
          <w:sz w:val="19"/>
          <w:szCs w:val="19"/>
        </w:rPr>
        <w:t>.</w:t>
      </w:r>
      <w:r w:rsidR="00EF7B17" w:rsidRPr="00545042">
        <w:rPr>
          <w:sz w:val="19"/>
          <w:szCs w:val="19"/>
        </w:rPr>
        <w:t>1: 1-11.</w:t>
      </w:r>
    </w:p>
    <w:p w:rsidR="00545042" w:rsidRPr="00545042" w:rsidRDefault="00545042" w:rsidP="00545042">
      <w:pPr>
        <w:numPr>
          <w:ilvl w:val="0"/>
          <w:numId w:val="7"/>
        </w:numPr>
        <w:jc w:val="both"/>
        <w:rPr>
          <w:sz w:val="19"/>
          <w:szCs w:val="19"/>
        </w:rPr>
      </w:pPr>
      <w:r w:rsidRPr="00545042">
        <w:rPr>
          <w:bCs/>
          <w:sz w:val="19"/>
          <w:szCs w:val="19"/>
        </w:rPr>
        <w:t>K</w:t>
      </w:r>
      <w:r w:rsidR="00EF7B17" w:rsidRPr="00545042">
        <w:rPr>
          <w:bCs/>
          <w:sz w:val="19"/>
          <w:szCs w:val="19"/>
        </w:rPr>
        <w:t>ang</w:t>
      </w:r>
      <w:r w:rsidR="00EF7B17" w:rsidRPr="00545042">
        <w:rPr>
          <w:sz w:val="19"/>
          <w:szCs w:val="19"/>
        </w:rPr>
        <w:t xml:space="preserve">, B.; </w:t>
      </w:r>
      <w:proofErr w:type="spellStart"/>
      <w:r w:rsidR="00EF7B17" w:rsidRPr="00545042">
        <w:rPr>
          <w:sz w:val="19"/>
          <w:szCs w:val="19"/>
        </w:rPr>
        <w:t>Bansal</w:t>
      </w:r>
      <w:proofErr w:type="spellEnd"/>
      <w:r w:rsidR="00EF7B17" w:rsidRPr="00545042">
        <w:rPr>
          <w:sz w:val="19"/>
          <w:szCs w:val="19"/>
        </w:rPr>
        <w:t xml:space="preserve">, M. and Mehta, U. (2000). </w:t>
      </w:r>
      <w:proofErr w:type="spellStart"/>
      <w:r w:rsidR="00EF7B17" w:rsidRPr="00545042">
        <w:rPr>
          <w:sz w:val="19"/>
          <w:szCs w:val="19"/>
        </w:rPr>
        <w:t>Hyperlipidemia</w:t>
      </w:r>
      <w:proofErr w:type="spellEnd"/>
      <w:r w:rsidR="00EF7B17" w:rsidRPr="00545042">
        <w:rPr>
          <w:sz w:val="19"/>
          <w:szCs w:val="19"/>
        </w:rPr>
        <w:t xml:space="preserve"> and type I 5′-monodeiodinase activity: regulation by selenium supplementation in rabbits. Biol. Trace Elem. Res. 7: 231-239.</w:t>
      </w:r>
    </w:p>
    <w:p w:rsidR="00545042" w:rsidRPr="00545042" w:rsidRDefault="00545042" w:rsidP="00545042">
      <w:pPr>
        <w:numPr>
          <w:ilvl w:val="0"/>
          <w:numId w:val="7"/>
        </w:numPr>
        <w:jc w:val="both"/>
        <w:rPr>
          <w:sz w:val="19"/>
          <w:szCs w:val="19"/>
        </w:rPr>
      </w:pPr>
      <w:r w:rsidRPr="00545042">
        <w:rPr>
          <w:bCs/>
          <w:sz w:val="19"/>
          <w:szCs w:val="19"/>
        </w:rPr>
        <w:t>K</w:t>
      </w:r>
      <w:r w:rsidR="00EF7B17" w:rsidRPr="00545042">
        <w:rPr>
          <w:bCs/>
          <w:sz w:val="19"/>
          <w:szCs w:val="19"/>
        </w:rPr>
        <w:t>im</w:t>
      </w:r>
      <w:r w:rsidR="00EF7B17" w:rsidRPr="00545042">
        <w:rPr>
          <w:sz w:val="19"/>
          <w:szCs w:val="19"/>
        </w:rPr>
        <w:t xml:space="preserve">, Y.; Park, W.; and </w:t>
      </w:r>
      <w:proofErr w:type="spellStart"/>
      <w:r w:rsidR="00EF7B17" w:rsidRPr="00545042">
        <w:rPr>
          <w:sz w:val="19"/>
          <w:szCs w:val="19"/>
        </w:rPr>
        <w:t>Choi</w:t>
      </w:r>
      <w:proofErr w:type="spellEnd"/>
      <w:r w:rsidR="00EF7B17" w:rsidRPr="00545042">
        <w:rPr>
          <w:sz w:val="19"/>
          <w:szCs w:val="19"/>
        </w:rPr>
        <w:t>, H. (2010). Effects of dietary alpha-</w:t>
      </w:r>
      <w:proofErr w:type="spellStart"/>
      <w:r w:rsidR="00EF7B17" w:rsidRPr="00545042">
        <w:rPr>
          <w:sz w:val="19"/>
          <w:szCs w:val="19"/>
        </w:rPr>
        <w:t>tocopherol</w:t>
      </w:r>
      <w:proofErr w:type="spellEnd"/>
      <w:r w:rsidR="00EF7B17" w:rsidRPr="00545042">
        <w:rPr>
          <w:sz w:val="19"/>
          <w:szCs w:val="19"/>
        </w:rPr>
        <w:t>, selenium, and their different combinations on growth performance and meat quality of broiler chickens. Poultry Science. 89: 603–608.</w:t>
      </w:r>
    </w:p>
    <w:p w:rsidR="00545042" w:rsidRPr="00545042" w:rsidRDefault="00545042" w:rsidP="00545042">
      <w:pPr>
        <w:numPr>
          <w:ilvl w:val="0"/>
          <w:numId w:val="7"/>
        </w:numPr>
        <w:jc w:val="both"/>
        <w:rPr>
          <w:sz w:val="19"/>
          <w:szCs w:val="19"/>
        </w:rPr>
      </w:pPr>
      <w:r w:rsidRPr="00545042">
        <w:rPr>
          <w:bCs/>
          <w:sz w:val="19"/>
          <w:szCs w:val="19"/>
        </w:rPr>
        <w:t>K</w:t>
      </w:r>
      <w:r w:rsidR="00EF7B17" w:rsidRPr="00545042">
        <w:rPr>
          <w:bCs/>
          <w:sz w:val="19"/>
          <w:szCs w:val="19"/>
        </w:rPr>
        <w:t>lein,</w:t>
      </w:r>
      <w:r w:rsidR="00EF7B17" w:rsidRPr="00545042">
        <w:rPr>
          <w:sz w:val="19"/>
          <w:szCs w:val="19"/>
        </w:rPr>
        <w:t xml:space="preserve"> A. (2005). Can prostate cancer be prevented? Nat </w:t>
      </w:r>
      <w:proofErr w:type="spellStart"/>
      <w:r w:rsidR="00EF7B17" w:rsidRPr="00545042">
        <w:rPr>
          <w:sz w:val="19"/>
          <w:szCs w:val="19"/>
        </w:rPr>
        <w:t>Clin</w:t>
      </w:r>
      <w:proofErr w:type="spellEnd"/>
      <w:r w:rsidR="00EF7B17" w:rsidRPr="00545042">
        <w:rPr>
          <w:sz w:val="19"/>
          <w:szCs w:val="19"/>
        </w:rPr>
        <w:t xml:space="preserve"> </w:t>
      </w:r>
      <w:proofErr w:type="spellStart"/>
      <w:r w:rsidR="00EF7B17" w:rsidRPr="00545042">
        <w:rPr>
          <w:sz w:val="19"/>
          <w:szCs w:val="19"/>
        </w:rPr>
        <w:t>Pract</w:t>
      </w:r>
      <w:proofErr w:type="spellEnd"/>
      <w:r w:rsidR="00EF7B17" w:rsidRPr="00545042">
        <w:rPr>
          <w:sz w:val="19"/>
          <w:szCs w:val="19"/>
        </w:rPr>
        <w:t xml:space="preserve"> </w:t>
      </w:r>
      <w:proofErr w:type="spellStart"/>
      <w:r w:rsidR="00EF7B17" w:rsidRPr="00545042">
        <w:rPr>
          <w:sz w:val="19"/>
          <w:szCs w:val="19"/>
        </w:rPr>
        <w:t>Urol</w:t>
      </w:r>
      <w:proofErr w:type="spellEnd"/>
      <w:r w:rsidR="00EF7B17" w:rsidRPr="00545042">
        <w:rPr>
          <w:sz w:val="19"/>
          <w:szCs w:val="19"/>
        </w:rPr>
        <w:t>, 2: 24 - 31.</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K</w:t>
      </w:r>
      <w:r w:rsidR="00EF7B17" w:rsidRPr="00545042">
        <w:rPr>
          <w:bCs/>
          <w:sz w:val="19"/>
          <w:szCs w:val="19"/>
        </w:rPr>
        <w:t>oracevic</w:t>
      </w:r>
      <w:proofErr w:type="spellEnd"/>
      <w:r w:rsidR="00EF7B17" w:rsidRPr="00545042">
        <w:rPr>
          <w:sz w:val="19"/>
          <w:szCs w:val="19"/>
        </w:rPr>
        <w:t xml:space="preserve">, D.; </w:t>
      </w:r>
      <w:proofErr w:type="spellStart"/>
      <w:r w:rsidR="00EF7B17" w:rsidRPr="00545042">
        <w:rPr>
          <w:sz w:val="19"/>
          <w:szCs w:val="19"/>
        </w:rPr>
        <w:t>Koracevic</w:t>
      </w:r>
      <w:proofErr w:type="spellEnd"/>
      <w:r w:rsidR="00EF7B17" w:rsidRPr="00545042">
        <w:rPr>
          <w:sz w:val="19"/>
          <w:szCs w:val="19"/>
        </w:rPr>
        <w:t xml:space="preserve">, G.; </w:t>
      </w:r>
      <w:proofErr w:type="spellStart"/>
      <w:r w:rsidR="00EF7B17" w:rsidRPr="00545042">
        <w:rPr>
          <w:sz w:val="19"/>
          <w:szCs w:val="19"/>
        </w:rPr>
        <w:t>Djordjevic</w:t>
      </w:r>
      <w:proofErr w:type="spellEnd"/>
      <w:r w:rsidR="00EF7B17" w:rsidRPr="00545042">
        <w:rPr>
          <w:sz w:val="19"/>
          <w:szCs w:val="19"/>
        </w:rPr>
        <w:t xml:space="preserve">, S. and </w:t>
      </w:r>
      <w:proofErr w:type="spellStart"/>
      <w:r w:rsidR="00EF7B17" w:rsidRPr="00545042">
        <w:rPr>
          <w:sz w:val="19"/>
          <w:szCs w:val="19"/>
        </w:rPr>
        <w:t>Cosie</w:t>
      </w:r>
      <w:proofErr w:type="spellEnd"/>
      <w:r w:rsidR="00EF7B17" w:rsidRPr="00545042">
        <w:rPr>
          <w:sz w:val="19"/>
          <w:szCs w:val="19"/>
        </w:rPr>
        <w:t xml:space="preserve">, V. (2001). Methods of measurement of antioxidant activity in human fluids. J. </w:t>
      </w:r>
      <w:proofErr w:type="spellStart"/>
      <w:r w:rsidR="00EF7B17" w:rsidRPr="00545042">
        <w:rPr>
          <w:sz w:val="19"/>
          <w:szCs w:val="19"/>
        </w:rPr>
        <w:t>Clin</w:t>
      </w:r>
      <w:proofErr w:type="spellEnd"/>
      <w:r w:rsidR="00EF7B17" w:rsidRPr="00545042">
        <w:rPr>
          <w:sz w:val="19"/>
          <w:szCs w:val="19"/>
        </w:rPr>
        <w:t>. Pathol.4: 3-31.</w:t>
      </w:r>
    </w:p>
    <w:p w:rsidR="00545042" w:rsidRPr="00545042" w:rsidRDefault="00545042" w:rsidP="00545042">
      <w:pPr>
        <w:numPr>
          <w:ilvl w:val="0"/>
          <w:numId w:val="7"/>
        </w:numPr>
        <w:jc w:val="both"/>
        <w:rPr>
          <w:sz w:val="19"/>
          <w:szCs w:val="19"/>
        </w:rPr>
      </w:pPr>
      <w:proofErr w:type="spellStart"/>
      <w:r w:rsidRPr="00545042">
        <w:rPr>
          <w:bCs/>
          <w:sz w:val="19"/>
          <w:szCs w:val="19"/>
        </w:rPr>
        <w:t>K</w:t>
      </w:r>
      <w:r w:rsidR="00EF7B17" w:rsidRPr="00545042">
        <w:rPr>
          <w:bCs/>
          <w:sz w:val="19"/>
          <w:szCs w:val="19"/>
        </w:rPr>
        <w:t>ouba</w:t>
      </w:r>
      <w:proofErr w:type="spellEnd"/>
      <w:r w:rsidR="00EF7B17" w:rsidRPr="00545042">
        <w:rPr>
          <w:sz w:val="19"/>
          <w:szCs w:val="19"/>
        </w:rPr>
        <w:t xml:space="preserve">, M. (2003). Quality of organic animal products. </w:t>
      </w:r>
      <w:r w:rsidR="00EF7B17" w:rsidRPr="00545042">
        <w:rPr>
          <w:color w:val="000000"/>
          <w:sz w:val="19"/>
          <w:szCs w:val="19"/>
        </w:rPr>
        <w:t xml:space="preserve">Lives </w:t>
      </w:r>
      <w:r w:rsidR="008D5CFB" w:rsidRPr="00545042">
        <w:rPr>
          <w:color w:val="000000"/>
          <w:sz w:val="19"/>
          <w:szCs w:val="19"/>
        </w:rPr>
        <w:t>P</w:t>
      </w:r>
      <w:r w:rsidR="00EF7B17" w:rsidRPr="00545042">
        <w:rPr>
          <w:color w:val="000000"/>
          <w:sz w:val="19"/>
          <w:szCs w:val="19"/>
        </w:rPr>
        <w:t xml:space="preserve">rod. </w:t>
      </w:r>
      <w:r w:rsidR="008D5CFB" w:rsidRPr="00545042">
        <w:rPr>
          <w:color w:val="000000"/>
          <w:sz w:val="19"/>
          <w:szCs w:val="19"/>
        </w:rPr>
        <w:t>S</w:t>
      </w:r>
      <w:r w:rsidR="00EF7B17" w:rsidRPr="00545042">
        <w:rPr>
          <w:color w:val="000000"/>
          <w:sz w:val="19"/>
          <w:szCs w:val="19"/>
        </w:rPr>
        <w:t>ci., 80</w:t>
      </w:r>
      <w:r w:rsidR="00EF7B17" w:rsidRPr="00545042">
        <w:rPr>
          <w:sz w:val="19"/>
          <w:szCs w:val="19"/>
        </w:rPr>
        <w:t>: 33 - 40.</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lastRenderedPageBreak/>
        <w:t>L</w:t>
      </w:r>
      <w:r w:rsidR="00EF7B17" w:rsidRPr="00545042">
        <w:rPr>
          <w:bCs/>
          <w:sz w:val="19"/>
          <w:szCs w:val="19"/>
        </w:rPr>
        <w:t>etavayová</w:t>
      </w:r>
      <w:proofErr w:type="spellEnd"/>
      <w:r w:rsidR="00EF7B17" w:rsidRPr="00545042">
        <w:rPr>
          <w:bCs/>
          <w:sz w:val="19"/>
          <w:szCs w:val="19"/>
        </w:rPr>
        <w:t>,</w:t>
      </w:r>
      <w:r w:rsidR="00EF7B17" w:rsidRPr="00545042">
        <w:rPr>
          <w:sz w:val="19"/>
          <w:szCs w:val="19"/>
        </w:rPr>
        <w:t xml:space="preserve"> L.; </w:t>
      </w:r>
      <w:proofErr w:type="spellStart"/>
      <w:r w:rsidR="00EF7B17" w:rsidRPr="00545042">
        <w:rPr>
          <w:sz w:val="19"/>
          <w:szCs w:val="19"/>
        </w:rPr>
        <w:t>Vlasakova</w:t>
      </w:r>
      <w:proofErr w:type="spellEnd"/>
      <w:r w:rsidR="00EF7B17" w:rsidRPr="00545042">
        <w:rPr>
          <w:sz w:val="19"/>
          <w:szCs w:val="19"/>
        </w:rPr>
        <w:t xml:space="preserve">, D.; </w:t>
      </w:r>
      <w:proofErr w:type="spellStart"/>
      <w:r w:rsidR="00EF7B17" w:rsidRPr="00545042">
        <w:rPr>
          <w:sz w:val="19"/>
          <w:szCs w:val="19"/>
        </w:rPr>
        <w:t>Spallholz</w:t>
      </w:r>
      <w:proofErr w:type="spellEnd"/>
      <w:r w:rsidR="00EF7B17" w:rsidRPr="00545042">
        <w:rPr>
          <w:sz w:val="19"/>
          <w:szCs w:val="19"/>
        </w:rPr>
        <w:t xml:space="preserve">, J.; </w:t>
      </w:r>
      <w:proofErr w:type="spellStart"/>
      <w:r w:rsidR="00EF7B17" w:rsidRPr="00545042">
        <w:rPr>
          <w:sz w:val="19"/>
          <w:szCs w:val="19"/>
        </w:rPr>
        <w:t>Brozmanova</w:t>
      </w:r>
      <w:proofErr w:type="spellEnd"/>
      <w:r w:rsidR="00EF7B17" w:rsidRPr="00545042">
        <w:rPr>
          <w:sz w:val="19"/>
          <w:szCs w:val="19"/>
        </w:rPr>
        <w:t xml:space="preserve">, J. and </w:t>
      </w:r>
      <w:proofErr w:type="spellStart"/>
      <w:r w:rsidR="00EF7B17" w:rsidRPr="00545042">
        <w:rPr>
          <w:sz w:val="19"/>
          <w:szCs w:val="19"/>
        </w:rPr>
        <w:t>Chovanec</w:t>
      </w:r>
      <w:proofErr w:type="spellEnd"/>
      <w:r w:rsidR="00EF7B17" w:rsidRPr="00545042">
        <w:rPr>
          <w:sz w:val="19"/>
          <w:szCs w:val="19"/>
        </w:rPr>
        <w:t xml:space="preserve">, M. (2008). Toxicity and </w:t>
      </w:r>
      <w:proofErr w:type="spellStart"/>
      <w:r w:rsidR="00EF7B17" w:rsidRPr="00545042">
        <w:rPr>
          <w:sz w:val="19"/>
          <w:szCs w:val="19"/>
        </w:rPr>
        <w:t>mutagenicity</w:t>
      </w:r>
      <w:proofErr w:type="spellEnd"/>
      <w:r w:rsidR="00EF7B17" w:rsidRPr="00545042">
        <w:rPr>
          <w:sz w:val="19"/>
          <w:szCs w:val="19"/>
        </w:rPr>
        <w:t xml:space="preserve"> of selenium compounds in </w:t>
      </w:r>
      <w:proofErr w:type="spellStart"/>
      <w:r w:rsidR="00EF7B17" w:rsidRPr="00545042">
        <w:rPr>
          <w:i/>
          <w:iCs/>
          <w:sz w:val="19"/>
          <w:szCs w:val="19"/>
        </w:rPr>
        <w:t>Saccharomyces</w:t>
      </w:r>
      <w:proofErr w:type="spellEnd"/>
      <w:r w:rsidR="00EF7B17" w:rsidRPr="00545042">
        <w:rPr>
          <w:i/>
          <w:iCs/>
          <w:sz w:val="19"/>
          <w:szCs w:val="19"/>
        </w:rPr>
        <w:t xml:space="preserve"> </w:t>
      </w:r>
      <w:proofErr w:type="spellStart"/>
      <w:r w:rsidR="00EF7B17" w:rsidRPr="00545042">
        <w:rPr>
          <w:i/>
          <w:iCs/>
          <w:sz w:val="19"/>
          <w:szCs w:val="19"/>
        </w:rPr>
        <w:t>cerevisiae</w:t>
      </w:r>
      <w:proofErr w:type="spellEnd"/>
      <w:r w:rsidR="00EF7B17" w:rsidRPr="00545042">
        <w:rPr>
          <w:sz w:val="19"/>
          <w:szCs w:val="19"/>
        </w:rPr>
        <w:t xml:space="preserve">. </w:t>
      </w:r>
      <w:proofErr w:type="spellStart"/>
      <w:r w:rsidR="00EF7B17" w:rsidRPr="00545042">
        <w:rPr>
          <w:sz w:val="19"/>
          <w:szCs w:val="19"/>
        </w:rPr>
        <w:t>Mut</w:t>
      </w:r>
      <w:proofErr w:type="spellEnd"/>
      <w:r w:rsidR="00EF7B17" w:rsidRPr="00545042">
        <w:rPr>
          <w:sz w:val="19"/>
          <w:szCs w:val="19"/>
        </w:rPr>
        <w:t>. Res. 638:1–10.</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M</w:t>
      </w:r>
      <w:r w:rsidR="00EF7B17" w:rsidRPr="00545042">
        <w:rPr>
          <w:bCs/>
          <w:sz w:val="19"/>
          <w:szCs w:val="19"/>
        </w:rPr>
        <w:t>artins,</w:t>
      </w:r>
      <w:r w:rsidR="00EF7B17" w:rsidRPr="00545042">
        <w:rPr>
          <w:sz w:val="19"/>
          <w:szCs w:val="19"/>
        </w:rPr>
        <w:t xml:space="preserve"> T.; Almeida, C. and </w:t>
      </w:r>
      <w:proofErr w:type="spellStart"/>
      <w:r w:rsidR="00EF7B17" w:rsidRPr="00545042">
        <w:rPr>
          <w:sz w:val="19"/>
          <w:szCs w:val="19"/>
        </w:rPr>
        <w:t>Alvito</w:t>
      </w:r>
      <w:proofErr w:type="spellEnd"/>
      <w:r w:rsidR="00EF7B17" w:rsidRPr="00545042">
        <w:rPr>
          <w:sz w:val="19"/>
          <w:szCs w:val="19"/>
        </w:rPr>
        <w:t>, P. (2011). Selenium content of raw and cooked marine species consumed in Portugal. Food Anal. Methods. 4:77- 83.</w:t>
      </w:r>
    </w:p>
    <w:p w:rsidR="00545042" w:rsidRPr="00545042" w:rsidRDefault="00545042" w:rsidP="00545042">
      <w:pPr>
        <w:numPr>
          <w:ilvl w:val="0"/>
          <w:numId w:val="7"/>
        </w:numPr>
        <w:autoSpaceDE w:val="0"/>
        <w:autoSpaceDN w:val="0"/>
        <w:adjustRightInd w:val="0"/>
        <w:jc w:val="both"/>
        <w:rPr>
          <w:color w:val="131413"/>
          <w:sz w:val="19"/>
          <w:szCs w:val="19"/>
        </w:rPr>
      </w:pPr>
      <w:proofErr w:type="spellStart"/>
      <w:r w:rsidRPr="00545042">
        <w:rPr>
          <w:bCs/>
          <w:color w:val="131413"/>
          <w:sz w:val="19"/>
          <w:szCs w:val="19"/>
        </w:rPr>
        <w:t>M</w:t>
      </w:r>
      <w:r w:rsidR="00EF7B17" w:rsidRPr="00545042">
        <w:rPr>
          <w:bCs/>
          <w:color w:val="131413"/>
          <w:sz w:val="19"/>
          <w:szCs w:val="19"/>
        </w:rPr>
        <w:t>eilgaard</w:t>
      </w:r>
      <w:proofErr w:type="spellEnd"/>
      <w:r w:rsidR="00EF7B17" w:rsidRPr="00545042">
        <w:rPr>
          <w:bCs/>
          <w:color w:val="131413"/>
          <w:sz w:val="19"/>
          <w:szCs w:val="19"/>
        </w:rPr>
        <w:t>,</w:t>
      </w:r>
      <w:r w:rsidR="00EF7B17" w:rsidRPr="00545042">
        <w:rPr>
          <w:color w:val="131413"/>
          <w:sz w:val="19"/>
          <w:szCs w:val="19"/>
        </w:rPr>
        <w:t xml:space="preserve"> M.; </w:t>
      </w:r>
      <w:proofErr w:type="spellStart"/>
      <w:r w:rsidR="00EF7B17" w:rsidRPr="00545042">
        <w:rPr>
          <w:color w:val="131413"/>
          <w:sz w:val="19"/>
          <w:szCs w:val="19"/>
        </w:rPr>
        <w:t>Civille</w:t>
      </w:r>
      <w:proofErr w:type="spellEnd"/>
      <w:r w:rsidR="00EF7B17" w:rsidRPr="00545042">
        <w:rPr>
          <w:color w:val="131413"/>
          <w:sz w:val="19"/>
          <w:szCs w:val="19"/>
        </w:rPr>
        <w:t xml:space="preserve">, G. and Carr, T. (2007). Overall difference tests, </w:t>
      </w:r>
      <w:proofErr w:type="gramStart"/>
      <w:r w:rsidR="00EF7B17" w:rsidRPr="00545042">
        <w:rPr>
          <w:color w:val="131413"/>
          <w:sz w:val="19"/>
          <w:szCs w:val="19"/>
        </w:rPr>
        <w:t>Does</w:t>
      </w:r>
      <w:proofErr w:type="gramEnd"/>
      <w:r w:rsidR="00EF7B17" w:rsidRPr="00545042">
        <w:rPr>
          <w:color w:val="131413"/>
          <w:sz w:val="19"/>
          <w:szCs w:val="19"/>
        </w:rPr>
        <w:t xml:space="preserve"> a sensory difference exist between samples? Sensory evaluation techniques</w:t>
      </w:r>
      <w:r w:rsidR="00EF7B17" w:rsidRPr="00545042">
        <w:rPr>
          <w:color w:val="000000"/>
          <w:sz w:val="19"/>
          <w:szCs w:val="19"/>
        </w:rPr>
        <w:t>. 4</w:t>
      </w:r>
      <w:r w:rsidR="00EF7B17" w:rsidRPr="00545042">
        <w:rPr>
          <w:color w:val="000000"/>
          <w:sz w:val="19"/>
          <w:szCs w:val="19"/>
          <w:vertAlign w:val="superscript"/>
        </w:rPr>
        <w:t>th</w:t>
      </w:r>
      <w:r w:rsidR="00EF7B17" w:rsidRPr="00545042">
        <w:rPr>
          <w:color w:val="000000"/>
          <w:sz w:val="19"/>
          <w:szCs w:val="19"/>
        </w:rPr>
        <w:t xml:space="preserve"> edition</w:t>
      </w:r>
      <w:r w:rsidR="00EF7B17" w:rsidRPr="00545042">
        <w:rPr>
          <w:color w:val="131413"/>
          <w:sz w:val="19"/>
          <w:szCs w:val="19"/>
        </w:rPr>
        <w:t>. New York: USA. 63–104.</w:t>
      </w:r>
    </w:p>
    <w:p w:rsidR="00545042" w:rsidRPr="00545042" w:rsidRDefault="00545042" w:rsidP="00545042">
      <w:pPr>
        <w:numPr>
          <w:ilvl w:val="0"/>
          <w:numId w:val="7"/>
        </w:numPr>
        <w:jc w:val="both"/>
        <w:rPr>
          <w:sz w:val="19"/>
          <w:szCs w:val="19"/>
        </w:rPr>
      </w:pPr>
      <w:r w:rsidRPr="00545042">
        <w:rPr>
          <w:bCs/>
          <w:sz w:val="19"/>
          <w:szCs w:val="19"/>
        </w:rPr>
        <w:t>M</w:t>
      </w:r>
      <w:r w:rsidR="00EF7B17" w:rsidRPr="00545042">
        <w:rPr>
          <w:bCs/>
          <w:sz w:val="19"/>
          <w:szCs w:val="19"/>
        </w:rPr>
        <w:t>eltzer</w:t>
      </w:r>
      <w:r w:rsidR="00EF7B17" w:rsidRPr="00545042">
        <w:rPr>
          <w:sz w:val="19"/>
          <w:szCs w:val="19"/>
        </w:rPr>
        <w:t xml:space="preserve">, M.; </w:t>
      </w:r>
      <w:proofErr w:type="spellStart"/>
      <w:r w:rsidR="00EF7B17" w:rsidRPr="00545042">
        <w:rPr>
          <w:sz w:val="19"/>
          <w:szCs w:val="19"/>
        </w:rPr>
        <w:t>Folmer</w:t>
      </w:r>
      <w:proofErr w:type="spellEnd"/>
      <w:r w:rsidR="00EF7B17" w:rsidRPr="00545042">
        <w:rPr>
          <w:sz w:val="19"/>
          <w:szCs w:val="19"/>
        </w:rPr>
        <w:t xml:space="preserve"> M.; Wang, S.; Lie, Q.; </w:t>
      </w:r>
      <w:proofErr w:type="spellStart"/>
      <w:r w:rsidR="00EF7B17" w:rsidRPr="00545042">
        <w:rPr>
          <w:sz w:val="19"/>
          <w:szCs w:val="19"/>
        </w:rPr>
        <w:t>Maage</w:t>
      </w:r>
      <w:proofErr w:type="spellEnd"/>
      <w:r w:rsidR="00EF7B17" w:rsidRPr="00545042">
        <w:rPr>
          <w:sz w:val="19"/>
          <w:szCs w:val="19"/>
        </w:rPr>
        <w:t xml:space="preserve">, A. and </w:t>
      </w:r>
      <w:proofErr w:type="spellStart"/>
      <w:r w:rsidR="00EF7B17" w:rsidRPr="00545042">
        <w:rPr>
          <w:sz w:val="19"/>
          <w:szCs w:val="19"/>
        </w:rPr>
        <w:t>Mundal</w:t>
      </w:r>
      <w:proofErr w:type="spellEnd"/>
      <w:r w:rsidR="00EF7B17" w:rsidRPr="00545042">
        <w:rPr>
          <w:sz w:val="19"/>
          <w:szCs w:val="19"/>
        </w:rPr>
        <w:t xml:space="preserve">, H. (1997). Supplementary selenium influences the response to fatty acid induced oxidative stress in humans. Bio. </w:t>
      </w:r>
      <w:r w:rsidR="00EF7B17" w:rsidRPr="00545042">
        <w:rPr>
          <w:sz w:val="19"/>
          <w:szCs w:val="19"/>
        </w:rPr>
        <w:tab/>
        <w:t>Trace Element Res.  51– 67.</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M</w:t>
      </w:r>
      <w:r w:rsidR="00EF7B17" w:rsidRPr="00545042">
        <w:rPr>
          <w:bCs/>
          <w:sz w:val="19"/>
          <w:szCs w:val="19"/>
        </w:rPr>
        <w:t>iezeliene</w:t>
      </w:r>
      <w:proofErr w:type="spellEnd"/>
      <w:r w:rsidR="00EF7B17" w:rsidRPr="00545042">
        <w:rPr>
          <w:bCs/>
          <w:sz w:val="19"/>
          <w:szCs w:val="19"/>
        </w:rPr>
        <w:t>,</w:t>
      </w:r>
      <w:r w:rsidR="00EF7B17" w:rsidRPr="00545042">
        <w:rPr>
          <w:sz w:val="19"/>
          <w:szCs w:val="19"/>
        </w:rPr>
        <w:t xml:space="preserve"> A.; </w:t>
      </w:r>
      <w:proofErr w:type="spellStart"/>
      <w:r w:rsidR="00EF7B17" w:rsidRPr="00545042">
        <w:rPr>
          <w:sz w:val="19"/>
          <w:szCs w:val="19"/>
        </w:rPr>
        <w:t>Alencikiene</w:t>
      </w:r>
      <w:proofErr w:type="spellEnd"/>
      <w:r w:rsidR="00EF7B17" w:rsidRPr="00545042">
        <w:rPr>
          <w:sz w:val="19"/>
          <w:szCs w:val="19"/>
        </w:rPr>
        <w:t xml:space="preserve">, G.; </w:t>
      </w:r>
      <w:proofErr w:type="spellStart"/>
      <w:r w:rsidR="00EF7B17" w:rsidRPr="00545042">
        <w:rPr>
          <w:sz w:val="19"/>
          <w:szCs w:val="19"/>
        </w:rPr>
        <w:t>Gruzauskas</w:t>
      </w:r>
      <w:proofErr w:type="spellEnd"/>
      <w:r w:rsidR="00EF7B17" w:rsidRPr="00545042">
        <w:rPr>
          <w:sz w:val="19"/>
          <w:szCs w:val="19"/>
        </w:rPr>
        <w:t xml:space="preserve">, R. and </w:t>
      </w:r>
      <w:proofErr w:type="spellStart"/>
      <w:r w:rsidR="00EF7B17" w:rsidRPr="00545042">
        <w:rPr>
          <w:sz w:val="19"/>
          <w:szCs w:val="19"/>
        </w:rPr>
        <w:t>Barstys</w:t>
      </w:r>
      <w:proofErr w:type="spellEnd"/>
      <w:r w:rsidR="00EF7B17" w:rsidRPr="00545042">
        <w:rPr>
          <w:sz w:val="19"/>
          <w:szCs w:val="19"/>
        </w:rPr>
        <w:t xml:space="preserve">, T. (2011). The effect of dietary selenium supplementation on meat quality of broiler chickens. </w:t>
      </w:r>
      <w:proofErr w:type="spellStart"/>
      <w:r w:rsidR="00EF7B17" w:rsidRPr="00545042">
        <w:rPr>
          <w:sz w:val="19"/>
          <w:szCs w:val="19"/>
        </w:rPr>
        <w:t>Biotechnol</w:t>
      </w:r>
      <w:proofErr w:type="spellEnd"/>
      <w:r w:rsidR="00EF7B17" w:rsidRPr="00545042">
        <w:rPr>
          <w:sz w:val="19"/>
          <w:szCs w:val="19"/>
        </w:rPr>
        <w:t xml:space="preserve">. </w:t>
      </w:r>
      <w:proofErr w:type="spellStart"/>
      <w:r w:rsidR="00EF7B17" w:rsidRPr="00545042">
        <w:rPr>
          <w:sz w:val="19"/>
          <w:szCs w:val="19"/>
        </w:rPr>
        <w:t>Agron</w:t>
      </w:r>
      <w:proofErr w:type="spellEnd"/>
      <w:r w:rsidR="00EF7B17" w:rsidRPr="00545042">
        <w:rPr>
          <w:sz w:val="19"/>
          <w:szCs w:val="19"/>
        </w:rPr>
        <w:t>. Soc. Environ. 15: 61-69.</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M</w:t>
      </w:r>
      <w:r w:rsidR="00EF7B17" w:rsidRPr="00545042">
        <w:rPr>
          <w:bCs/>
          <w:sz w:val="19"/>
          <w:szCs w:val="19"/>
        </w:rPr>
        <w:t>ikulski</w:t>
      </w:r>
      <w:r w:rsidR="00EF7B17" w:rsidRPr="00545042">
        <w:rPr>
          <w:sz w:val="19"/>
          <w:szCs w:val="19"/>
        </w:rPr>
        <w:t xml:space="preserve">, D.; Jankowski, J.; </w:t>
      </w:r>
      <w:proofErr w:type="spellStart"/>
      <w:r w:rsidR="00EF7B17" w:rsidRPr="00545042">
        <w:rPr>
          <w:sz w:val="19"/>
          <w:szCs w:val="19"/>
        </w:rPr>
        <w:t>Zduńczyk</w:t>
      </w:r>
      <w:proofErr w:type="spellEnd"/>
      <w:r w:rsidR="00EF7B17" w:rsidRPr="00545042">
        <w:rPr>
          <w:sz w:val="19"/>
          <w:szCs w:val="19"/>
        </w:rPr>
        <w:t xml:space="preserve">, Z.; </w:t>
      </w:r>
      <w:proofErr w:type="spellStart"/>
      <w:r w:rsidR="00EF7B17" w:rsidRPr="00545042">
        <w:rPr>
          <w:sz w:val="19"/>
          <w:szCs w:val="19"/>
        </w:rPr>
        <w:t>Wróblewska</w:t>
      </w:r>
      <w:proofErr w:type="spellEnd"/>
      <w:r w:rsidR="00EF7B17" w:rsidRPr="00545042">
        <w:rPr>
          <w:sz w:val="19"/>
          <w:szCs w:val="19"/>
        </w:rPr>
        <w:t xml:space="preserve">, M.; </w:t>
      </w:r>
      <w:proofErr w:type="spellStart"/>
      <w:r w:rsidR="00EF7B17" w:rsidRPr="00545042">
        <w:rPr>
          <w:sz w:val="19"/>
          <w:szCs w:val="19"/>
        </w:rPr>
        <w:t>Sartowska</w:t>
      </w:r>
      <w:proofErr w:type="spellEnd"/>
      <w:r w:rsidR="00EF7B17" w:rsidRPr="00545042">
        <w:rPr>
          <w:sz w:val="19"/>
          <w:szCs w:val="19"/>
        </w:rPr>
        <w:t xml:space="preserve">, K. and </w:t>
      </w:r>
      <w:proofErr w:type="spellStart"/>
      <w:r w:rsidR="00EF7B17" w:rsidRPr="00545042">
        <w:rPr>
          <w:sz w:val="19"/>
          <w:szCs w:val="19"/>
        </w:rPr>
        <w:t>Majewska</w:t>
      </w:r>
      <w:proofErr w:type="spellEnd"/>
      <w:r w:rsidR="00EF7B17" w:rsidRPr="00545042">
        <w:rPr>
          <w:sz w:val="19"/>
          <w:szCs w:val="19"/>
        </w:rPr>
        <w:t xml:space="preserve">, T. </w:t>
      </w:r>
      <w:r w:rsidR="00EF7B17" w:rsidRPr="00545042">
        <w:rPr>
          <w:sz w:val="19"/>
          <w:szCs w:val="19"/>
        </w:rPr>
        <w:tab/>
        <w:t xml:space="preserve">(2009). </w:t>
      </w:r>
      <w:proofErr w:type="gramStart"/>
      <w:r w:rsidR="00EF7B17" w:rsidRPr="00545042">
        <w:rPr>
          <w:sz w:val="19"/>
          <w:szCs w:val="19"/>
        </w:rPr>
        <w:t>The</w:t>
      </w:r>
      <w:proofErr w:type="gramEnd"/>
      <w:r w:rsidR="00EF7B17" w:rsidRPr="00545042">
        <w:rPr>
          <w:sz w:val="19"/>
          <w:szCs w:val="19"/>
        </w:rPr>
        <w:t xml:space="preserve"> effect of selenium source on performance, carcass traits, oxidative status of the organism, and meat quality of turkeys. J. of </w:t>
      </w:r>
      <w:proofErr w:type="spellStart"/>
      <w:r w:rsidR="00EF7B17" w:rsidRPr="00545042">
        <w:rPr>
          <w:sz w:val="19"/>
          <w:szCs w:val="19"/>
        </w:rPr>
        <w:t>Ani</w:t>
      </w:r>
      <w:proofErr w:type="spellEnd"/>
      <w:r w:rsidR="00EF7B17" w:rsidRPr="00545042">
        <w:rPr>
          <w:sz w:val="19"/>
          <w:szCs w:val="19"/>
        </w:rPr>
        <w:t xml:space="preserve">. </w:t>
      </w:r>
      <w:proofErr w:type="gramStart"/>
      <w:r w:rsidR="00EF7B17" w:rsidRPr="00545042">
        <w:rPr>
          <w:sz w:val="19"/>
          <w:szCs w:val="19"/>
        </w:rPr>
        <w:t>and</w:t>
      </w:r>
      <w:proofErr w:type="gramEnd"/>
      <w:r w:rsidR="00EF7B17" w:rsidRPr="00545042">
        <w:rPr>
          <w:sz w:val="19"/>
          <w:szCs w:val="19"/>
        </w:rPr>
        <w:t xml:space="preserve"> Feed Sciences. 18: 518-530.</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M</w:t>
      </w:r>
      <w:r w:rsidR="00EF7B17" w:rsidRPr="00545042">
        <w:rPr>
          <w:bCs/>
          <w:sz w:val="19"/>
          <w:szCs w:val="19"/>
        </w:rPr>
        <w:t>orrissey</w:t>
      </w:r>
      <w:r w:rsidR="00EF7B17" w:rsidRPr="00545042">
        <w:rPr>
          <w:sz w:val="19"/>
          <w:szCs w:val="19"/>
        </w:rPr>
        <w:t xml:space="preserve">, P.; </w:t>
      </w:r>
      <w:proofErr w:type="spellStart"/>
      <w:r w:rsidR="00EF7B17" w:rsidRPr="00545042">
        <w:rPr>
          <w:sz w:val="19"/>
          <w:szCs w:val="19"/>
        </w:rPr>
        <w:t>Sheehy</w:t>
      </w:r>
      <w:proofErr w:type="spellEnd"/>
      <w:r w:rsidR="00EF7B17" w:rsidRPr="00545042">
        <w:rPr>
          <w:sz w:val="19"/>
          <w:szCs w:val="19"/>
        </w:rPr>
        <w:t xml:space="preserve">, P.; Galvin, K.; </w:t>
      </w:r>
      <w:proofErr w:type="spellStart"/>
      <w:r w:rsidR="00EF7B17" w:rsidRPr="00545042">
        <w:rPr>
          <w:sz w:val="19"/>
          <w:szCs w:val="19"/>
        </w:rPr>
        <w:t>Kerryb</w:t>
      </w:r>
      <w:proofErr w:type="spellEnd"/>
      <w:r w:rsidR="00EF7B17" w:rsidRPr="00545042">
        <w:rPr>
          <w:sz w:val="19"/>
          <w:szCs w:val="19"/>
        </w:rPr>
        <w:t xml:space="preserve">, J. and </w:t>
      </w:r>
      <w:proofErr w:type="spellStart"/>
      <w:r w:rsidR="00EF7B17" w:rsidRPr="00545042">
        <w:rPr>
          <w:sz w:val="19"/>
          <w:szCs w:val="19"/>
        </w:rPr>
        <w:t>Buckleyb</w:t>
      </w:r>
      <w:proofErr w:type="spellEnd"/>
      <w:r w:rsidR="00EF7B17" w:rsidRPr="00545042">
        <w:rPr>
          <w:sz w:val="19"/>
          <w:szCs w:val="19"/>
        </w:rPr>
        <w:t>, D. (1998). Lipid stability in meat and meat products. Meat Science. 49: S73–S86.</w:t>
      </w:r>
    </w:p>
    <w:p w:rsidR="00545042" w:rsidRPr="00545042" w:rsidRDefault="00545042" w:rsidP="00545042">
      <w:pPr>
        <w:numPr>
          <w:ilvl w:val="0"/>
          <w:numId w:val="7"/>
        </w:numPr>
        <w:autoSpaceDE w:val="0"/>
        <w:autoSpaceDN w:val="0"/>
        <w:adjustRightInd w:val="0"/>
        <w:jc w:val="both"/>
        <w:rPr>
          <w:sz w:val="19"/>
          <w:szCs w:val="19"/>
          <w:lang w:eastAsia="zh-CN"/>
        </w:rPr>
      </w:pPr>
      <w:proofErr w:type="spellStart"/>
      <w:r w:rsidRPr="00545042">
        <w:rPr>
          <w:bCs/>
          <w:sz w:val="19"/>
          <w:szCs w:val="19"/>
          <w:lang w:eastAsia="zh-CN"/>
        </w:rPr>
        <w:t>N</w:t>
      </w:r>
      <w:r w:rsidR="00EF7B17" w:rsidRPr="00545042">
        <w:rPr>
          <w:bCs/>
          <w:sz w:val="19"/>
          <w:szCs w:val="19"/>
          <w:lang w:eastAsia="zh-CN"/>
        </w:rPr>
        <w:t>ishikimi</w:t>
      </w:r>
      <w:proofErr w:type="spellEnd"/>
      <w:r w:rsidR="00EF7B17" w:rsidRPr="00545042">
        <w:rPr>
          <w:sz w:val="19"/>
          <w:szCs w:val="19"/>
          <w:lang w:eastAsia="zh-CN"/>
        </w:rPr>
        <w:t xml:space="preserve">, M.; </w:t>
      </w:r>
      <w:proofErr w:type="spellStart"/>
      <w:r w:rsidR="00EF7B17" w:rsidRPr="00545042">
        <w:rPr>
          <w:sz w:val="19"/>
          <w:szCs w:val="19"/>
          <w:lang w:eastAsia="zh-CN"/>
        </w:rPr>
        <w:t>Roa</w:t>
      </w:r>
      <w:proofErr w:type="spellEnd"/>
      <w:r w:rsidR="00EF7B17" w:rsidRPr="00545042">
        <w:rPr>
          <w:sz w:val="19"/>
          <w:szCs w:val="19"/>
          <w:lang w:eastAsia="zh-CN"/>
        </w:rPr>
        <w:t xml:space="preserve">, N. A. and </w:t>
      </w:r>
      <w:proofErr w:type="spellStart"/>
      <w:r w:rsidR="00EF7B17" w:rsidRPr="00545042">
        <w:rPr>
          <w:sz w:val="19"/>
          <w:szCs w:val="19"/>
          <w:lang w:eastAsia="zh-CN"/>
        </w:rPr>
        <w:t>Yagi</w:t>
      </w:r>
      <w:proofErr w:type="spellEnd"/>
      <w:r w:rsidR="00EF7B17" w:rsidRPr="00545042">
        <w:rPr>
          <w:sz w:val="19"/>
          <w:szCs w:val="19"/>
          <w:lang w:eastAsia="zh-CN"/>
        </w:rPr>
        <w:t xml:space="preserve"> K. (1972).The occurrence of superoxide anion in the reaction of reduced </w:t>
      </w:r>
      <w:proofErr w:type="spellStart"/>
      <w:r w:rsidR="00EF7B17" w:rsidRPr="00545042">
        <w:rPr>
          <w:sz w:val="19"/>
          <w:szCs w:val="19"/>
          <w:lang w:eastAsia="zh-CN"/>
        </w:rPr>
        <w:t>phenazine</w:t>
      </w:r>
      <w:proofErr w:type="spellEnd"/>
      <w:r w:rsidR="00EF7B17" w:rsidRPr="00545042">
        <w:rPr>
          <w:sz w:val="19"/>
          <w:szCs w:val="19"/>
          <w:lang w:eastAsia="zh-CN"/>
        </w:rPr>
        <w:t xml:space="preserve"> </w:t>
      </w:r>
      <w:proofErr w:type="spellStart"/>
      <w:r w:rsidR="00EF7B17" w:rsidRPr="00545042">
        <w:rPr>
          <w:sz w:val="19"/>
          <w:szCs w:val="19"/>
          <w:lang w:eastAsia="zh-CN"/>
        </w:rPr>
        <w:t>methosulfate</w:t>
      </w:r>
      <w:proofErr w:type="spellEnd"/>
      <w:r w:rsidR="00EF7B17" w:rsidRPr="00545042">
        <w:rPr>
          <w:sz w:val="19"/>
          <w:szCs w:val="19"/>
          <w:lang w:eastAsia="zh-CN"/>
        </w:rPr>
        <w:t xml:space="preserve"> and molecular oxygen. </w:t>
      </w:r>
      <w:proofErr w:type="spellStart"/>
      <w:proofErr w:type="gramStart"/>
      <w:r w:rsidR="00EF7B17" w:rsidRPr="00545042">
        <w:rPr>
          <w:sz w:val="19"/>
          <w:szCs w:val="19"/>
          <w:lang w:eastAsia="zh-CN"/>
        </w:rPr>
        <w:t>Biochem</w:t>
      </w:r>
      <w:proofErr w:type="spellEnd"/>
      <w:r w:rsidR="008D5CFB" w:rsidRPr="00545042">
        <w:rPr>
          <w:sz w:val="19"/>
          <w:szCs w:val="19"/>
          <w:lang w:eastAsia="zh-CN"/>
        </w:rPr>
        <w:t xml:space="preserve"> </w:t>
      </w:r>
      <w:r w:rsidR="00EF7B17" w:rsidRPr="00545042">
        <w:rPr>
          <w:sz w:val="19"/>
          <w:szCs w:val="19"/>
          <w:lang w:eastAsia="zh-CN"/>
        </w:rPr>
        <w:t xml:space="preserve"> </w:t>
      </w:r>
      <w:proofErr w:type="spellStart"/>
      <w:r w:rsidR="00EF7B17" w:rsidRPr="00545042">
        <w:rPr>
          <w:sz w:val="19"/>
          <w:szCs w:val="19"/>
          <w:lang w:eastAsia="zh-CN"/>
        </w:rPr>
        <w:t>Biophys</w:t>
      </w:r>
      <w:proofErr w:type="spellEnd"/>
      <w:proofErr w:type="gramEnd"/>
      <w:r w:rsidR="00EF7B17" w:rsidRPr="00545042">
        <w:rPr>
          <w:sz w:val="19"/>
          <w:szCs w:val="19"/>
          <w:lang w:eastAsia="zh-CN"/>
        </w:rPr>
        <w:t xml:space="preserve"> Res </w:t>
      </w:r>
      <w:proofErr w:type="spellStart"/>
      <w:r w:rsidR="00EF7B17" w:rsidRPr="00545042">
        <w:rPr>
          <w:sz w:val="19"/>
          <w:szCs w:val="19"/>
          <w:lang w:eastAsia="zh-CN"/>
        </w:rPr>
        <w:t>Commun</w:t>
      </w:r>
      <w:proofErr w:type="spellEnd"/>
      <w:r w:rsidR="00EF7B17" w:rsidRPr="00545042">
        <w:rPr>
          <w:sz w:val="19"/>
          <w:szCs w:val="19"/>
          <w:lang w:eastAsia="zh-CN"/>
        </w:rPr>
        <w:t xml:space="preserve"> 46: 849-854.</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N</w:t>
      </w:r>
      <w:r w:rsidR="00EF7B17" w:rsidRPr="00545042">
        <w:rPr>
          <w:bCs/>
          <w:sz w:val="19"/>
          <w:szCs w:val="19"/>
        </w:rPr>
        <w:t xml:space="preserve">RC, </w:t>
      </w:r>
      <w:r w:rsidR="00EF7B17" w:rsidRPr="00545042">
        <w:rPr>
          <w:sz w:val="19"/>
          <w:szCs w:val="19"/>
        </w:rPr>
        <w:t>(1994). National Research Council. Nutrient Requirements of Poultry 9</w:t>
      </w:r>
      <w:r w:rsidR="00EF7B17" w:rsidRPr="00545042">
        <w:rPr>
          <w:sz w:val="19"/>
          <w:szCs w:val="19"/>
          <w:vertAlign w:val="superscript"/>
        </w:rPr>
        <w:t>th</w:t>
      </w:r>
      <w:r w:rsidR="00EF7B17" w:rsidRPr="00545042">
        <w:rPr>
          <w:sz w:val="19"/>
          <w:szCs w:val="19"/>
        </w:rPr>
        <w:t xml:space="preserve"> ed. Composition of poultry</w:t>
      </w:r>
      <w:r w:rsidR="001E0E9B" w:rsidRPr="00545042">
        <w:rPr>
          <w:sz w:val="19"/>
          <w:szCs w:val="19"/>
        </w:rPr>
        <w:t xml:space="preserve"> </w:t>
      </w:r>
      <w:r w:rsidR="00EF7B17" w:rsidRPr="00545042">
        <w:rPr>
          <w:sz w:val="19"/>
          <w:szCs w:val="19"/>
        </w:rPr>
        <w:t>feedstuffs. National Academy Press, Washington, DC, USA. 61- 75.</w:t>
      </w:r>
    </w:p>
    <w:p w:rsidR="00545042" w:rsidRPr="00545042" w:rsidRDefault="00545042" w:rsidP="00545042">
      <w:pPr>
        <w:numPr>
          <w:ilvl w:val="0"/>
          <w:numId w:val="7"/>
        </w:numPr>
        <w:jc w:val="both"/>
        <w:rPr>
          <w:sz w:val="19"/>
          <w:szCs w:val="19"/>
        </w:rPr>
      </w:pPr>
      <w:r w:rsidRPr="00545042">
        <w:rPr>
          <w:bCs/>
          <w:sz w:val="19"/>
          <w:szCs w:val="19"/>
        </w:rPr>
        <w:t>P</w:t>
      </w:r>
      <w:r w:rsidR="00EF7B17" w:rsidRPr="00545042">
        <w:rPr>
          <w:bCs/>
          <w:sz w:val="19"/>
          <w:szCs w:val="19"/>
        </w:rPr>
        <w:t>anda</w:t>
      </w:r>
      <w:proofErr w:type="gramStart"/>
      <w:r w:rsidR="00EF7B17" w:rsidRPr="00545042">
        <w:rPr>
          <w:bCs/>
          <w:sz w:val="19"/>
          <w:szCs w:val="19"/>
        </w:rPr>
        <w:t>,</w:t>
      </w:r>
      <w:r w:rsidR="00EF7B17" w:rsidRPr="00545042">
        <w:rPr>
          <w:sz w:val="19"/>
          <w:szCs w:val="19"/>
        </w:rPr>
        <w:t xml:space="preserve">  A</w:t>
      </w:r>
      <w:proofErr w:type="gramEnd"/>
      <w:r w:rsidR="00EF7B17" w:rsidRPr="00545042">
        <w:rPr>
          <w:sz w:val="19"/>
          <w:szCs w:val="19"/>
        </w:rPr>
        <w:t xml:space="preserve">. and </w:t>
      </w:r>
      <w:proofErr w:type="spellStart"/>
      <w:r w:rsidR="00EF7B17" w:rsidRPr="00545042">
        <w:rPr>
          <w:sz w:val="19"/>
          <w:szCs w:val="19"/>
        </w:rPr>
        <w:t>Cherian</w:t>
      </w:r>
      <w:proofErr w:type="spellEnd"/>
      <w:r w:rsidR="00EF7B17" w:rsidRPr="00545042">
        <w:rPr>
          <w:sz w:val="19"/>
          <w:szCs w:val="19"/>
        </w:rPr>
        <w:t>, G. ( 2013). Role of Vitamin E in counteracting oxidative stress in poultry. The Journal of Poultry Science. 25: 1- 28.</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P</w:t>
      </w:r>
      <w:r w:rsidR="00EF7B17" w:rsidRPr="00545042">
        <w:rPr>
          <w:bCs/>
          <w:sz w:val="19"/>
          <w:szCs w:val="19"/>
        </w:rPr>
        <w:t>ayne,</w:t>
      </w:r>
      <w:r w:rsidR="00EF7B17" w:rsidRPr="00545042">
        <w:rPr>
          <w:sz w:val="19"/>
          <w:szCs w:val="19"/>
        </w:rPr>
        <w:t xml:space="preserve"> R. and Southern, L. (2005). Comparison of inorganic and organic selenium sources</w:t>
      </w:r>
      <w:r w:rsidR="001E0E9B" w:rsidRPr="00545042">
        <w:rPr>
          <w:sz w:val="19"/>
          <w:szCs w:val="19"/>
        </w:rPr>
        <w:t xml:space="preserve"> </w:t>
      </w:r>
      <w:r w:rsidR="00EF7B17" w:rsidRPr="00545042">
        <w:rPr>
          <w:sz w:val="19"/>
          <w:szCs w:val="19"/>
        </w:rPr>
        <w:t xml:space="preserve">for broilers. </w:t>
      </w:r>
      <w:proofErr w:type="gramStart"/>
      <w:r w:rsidR="00EF7B17" w:rsidRPr="00545042">
        <w:rPr>
          <w:sz w:val="19"/>
          <w:szCs w:val="19"/>
        </w:rPr>
        <w:t xml:space="preserve">Poultry </w:t>
      </w:r>
      <w:r w:rsidR="001E0E9B" w:rsidRPr="00545042">
        <w:rPr>
          <w:sz w:val="19"/>
          <w:szCs w:val="19"/>
        </w:rPr>
        <w:t xml:space="preserve"> </w:t>
      </w:r>
      <w:r w:rsidR="00EF7B17" w:rsidRPr="00545042">
        <w:rPr>
          <w:sz w:val="19"/>
          <w:szCs w:val="19"/>
        </w:rPr>
        <w:t>Sci</w:t>
      </w:r>
      <w:proofErr w:type="gramEnd"/>
      <w:r w:rsidR="00EF7B17" w:rsidRPr="00545042">
        <w:rPr>
          <w:sz w:val="19"/>
          <w:szCs w:val="19"/>
        </w:rPr>
        <w:t>. 84: 898-902.</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P</w:t>
      </w:r>
      <w:r w:rsidR="00EF7B17" w:rsidRPr="00545042">
        <w:rPr>
          <w:bCs/>
          <w:sz w:val="19"/>
          <w:szCs w:val="19"/>
        </w:rPr>
        <w:t>ilarczyk</w:t>
      </w:r>
      <w:proofErr w:type="spellEnd"/>
      <w:r w:rsidR="00EF7B17" w:rsidRPr="00545042">
        <w:rPr>
          <w:bCs/>
          <w:sz w:val="19"/>
          <w:szCs w:val="19"/>
        </w:rPr>
        <w:t>,</w:t>
      </w:r>
      <w:r w:rsidR="00EF7B17" w:rsidRPr="00545042">
        <w:rPr>
          <w:sz w:val="19"/>
          <w:szCs w:val="19"/>
        </w:rPr>
        <w:t xml:space="preserve"> B.; </w:t>
      </w:r>
      <w:proofErr w:type="spellStart"/>
      <w:r w:rsidR="00EF7B17" w:rsidRPr="00545042">
        <w:rPr>
          <w:sz w:val="19"/>
          <w:szCs w:val="19"/>
        </w:rPr>
        <w:t>Jankowiak</w:t>
      </w:r>
      <w:proofErr w:type="spellEnd"/>
      <w:r w:rsidR="00EF7B17" w:rsidRPr="00545042">
        <w:rPr>
          <w:sz w:val="19"/>
          <w:szCs w:val="19"/>
        </w:rPr>
        <w:t xml:space="preserve">, D.; </w:t>
      </w:r>
      <w:proofErr w:type="spellStart"/>
      <w:r w:rsidR="00EF7B17" w:rsidRPr="00545042">
        <w:rPr>
          <w:sz w:val="19"/>
          <w:szCs w:val="19"/>
        </w:rPr>
        <w:t>Tomza-Marciniak</w:t>
      </w:r>
      <w:proofErr w:type="spellEnd"/>
      <w:r w:rsidR="00EF7B17" w:rsidRPr="00545042">
        <w:rPr>
          <w:sz w:val="19"/>
          <w:szCs w:val="19"/>
        </w:rPr>
        <w:t xml:space="preserve">, A.; </w:t>
      </w:r>
      <w:proofErr w:type="spellStart"/>
      <w:r w:rsidR="00EF7B17" w:rsidRPr="00545042">
        <w:rPr>
          <w:sz w:val="19"/>
          <w:szCs w:val="19"/>
        </w:rPr>
        <w:t>Pilarczyk</w:t>
      </w:r>
      <w:proofErr w:type="spellEnd"/>
      <w:r w:rsidR="00EF7B17" w:rsidRPr="00545042">
        <w:rPr>
          <w:sz w:val="19"/>
          <w:szCs w:val="19"/>
        </w:rPr>
        <w:t xml:space="preserve">, R.; </w:t>
      </w:r>
      <w:proofErr w:type="spellStart"/>
      <w:r w:rsidR="00EF7B17" w:rsidRPr="00545042">
        <w:rPr>
          <w:sz w:val="19"/>
          <w:szCs w:val="19"/>
        </w:rPr>
        <w:t>Sablik</w:t>
      </w:r>
      <w:proofErr w:type="spellEnd"/>
      <w:r w:rsidR="00EF7B17" w:rsidRPr="00545042">
        <w:rPr>
          <w:sz w:val="19"/>
          <w:szCs w:val="19"/>
        </w:rPr>
        <w:t xml:space="preserve">, P.; </w:t>
      </w:r>
      <w:proofErr w:type="spellStart"/>
      <w:r w:rsidR="00EF7B17" w:rsidRPr="00545042">
        <w:rPr>
          <w:sz w:val="19"/>
          <w:szCs w:val="19"/>
        </w:rPr>
        <w:t>Drozd</w:t>
      </w:r>
      <w:proofErr w:type="spellEnd"/>
      <w:r w:rsidR="00EF7B17" w:rsidRPr="00545042">
        <w:rPr>
          <w:sz w:val="19"/>
          <w:szCs w:val="19"/>
        </w:rPr>
        <w:t xml:space="preserve">, R.; </w:t>
      </w:r>
      <w:proofErr w:type="spellStart"/>
      <w:r w:rsidR="00EF7B17" w:rsidRPr="00545042">
        <w:rPr>
          <w:sz w:val="19"/>
          <w:szCs w:val="19"/>
        </w:rPr>
        <w:t>Tylkowska</w:t>
      </w:r>
      <w:proofErr w:type="spellEnd"/>
      <w:r w:rsidR="00EF7B17" w:rsidRPr="00545042">
        <w:rPr>
          <w:sz w:val="19"/>
          <w:szCs w:val="19"/>
        </w:rPr>
        <w:t xml:space="preserve">, A. and </w:t>
      </w:r>
      <w:proofErr w:type="spellStart"/>
      <w:r w:rsidR="00EF7B17" w:rsidRPr="00545042">
        <w:rPr>
          <w:sz w:val="19"/>
          <w:szCs w:val="19"/>
        </w:rPr>
        <w:t>Skolmowska</w:t>
      </w:r>
      <w:proofErr w:type="spellEnd"/>
      <w:r w:rsidR="00EF7B17" w:rsidRPr="00545042">
        <w:rPr>
          <w:sz w:val="19"/>
          <w:szCs w:val="19"/>
        </w:rPr>
        <w:t>, M. (2012).</w:t>
      </w:r>
      <w:r w:rsidR="001E0E9B" w:rsidRPr="00545042">
        <w:rPr>
          <w:sz w:val="19"/>
          <w:szCs w:val="19"/>
        </w:rPr>
        <w:t xml:space="preserve"> </w:t>
      </w:r>
      <w:r w:rsidR="00EF7B17" w:rsidRPr="00545042">
        <w:rPr>
          <w:sz w:val="19"/>
          <w:szCs w:val="19"/>
        </w:rPr>
        <w:t xml:space="preserve">Selenium concentration and glutathione </w:t>
      </w:r>
      <w:proofErr w:type="spellStart"/>
      <w:r w:rsidR="00EF7B17" w:rsidRPr="00545042">
        <w:rPr>
          <w:sz w:val="19"/>
          <w:szCs w:val="19"/>
        </w:rPr>
        <w:t>peroxidase</w:t>
      </w:r>
      <w:proofErr w:type="spellEnd"/>
      <w:r w:rsidR="00EF7B17" w:rsidRPr="00545042">
        <w:rPr>
          <w:sz w:val="19"/>
          <w:szCs w:val="19"/>
        </w:rPr>
        <w:t xml:space="preserve"> activity in serum of cows at different stages of lactation. Biol. Trace</w:t>
      </w:r>
      <w:r w:rsidR="001E0E9B" w:rsidRPr="00545042">
        <w:rPr>
          <w:sz w:val="19"/>
          <w:szCs w:val="19"/>
        </w:rPr>
        <w:t xml:space="preserve"> </w:t>
      </w:r>
      <w:r w:rsidR="00EF7B17" w:rsidRPr="00545042">
        <w:rPr>
          <w:sz w:val="19"/>
          <w:szCs w:val="19"/>
        </w:rPr>
        <w:t>Elem. Res. 147:91-96.</w:t>
      </w:r>
    </w:p>
    <w:p w:rsidR="00EF7B17"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lastRenderedPageBreak/>
        <w:t>R</w:t>
      </w:r>
      <w:r w:rsidR="00EF7B17" w:rsidRPr="00545042">
        <w:rPr>
          <w:bCs/>
          <w:sz w:val="19"/>
          <w:szCs w:val="19"/>
        </w:rPr>
        <w:t>ayman</w:t>
      </w:r>
      <w:proofErr w:type="spellEnd"/>
      <w:r w:rsidR="00EF7B17" w:rsidRPr="00545042">
        <w:rPr>
          <w:bCs/>
          <w:sz w:val="19"/>
          <w:szCs w:val="19"/>
        </w:rPr>
        <w:t>,</w:t>
      </w:r>
      <w:r w:rsidR="00EF7B17" w:rsidRPr="00545042">
        <w:rPr>
          <w:sz w:val="19"/>
          <w:szCs w:val="19"/>
        </w:rPr>
        <w:t xml:space="preserve"> M. </w:t>
      </w:r>
      <w:proofErr w:type="gramStart"/>
      <w:r w:rsidR="00EF7B17" w:rsidRPr="00545042">
        <w:rPr>
          <w:sz w:val="19"/>
          <w:szCs w:val="19"/>
        </w:rPr>
        <w:t>( 2004</w:t>
      </w:r>
      <w:proofErr w:type="gramEnd"/>
      <w:r w:rsidR="00EF7B17" w:rsidRPr="00545042">
        <w:rPr>
          <w:sz w:val="19"/>
          <w:szCs w:val="19"/>
        </w:rPr>
        <w:t>). Review article. The use of high-selenium yeast to raise selenium status: how does it measure up</w:t>
      </w:r>
      <w:proofErr w:type="gramStart"/>
      <w:r w:rsidR="00EF7B17" w:rsidRPr="00545042">
        <w:rPr>
          <w:sz w:val="19"/>
          <w:szCs w:val="19"/>
        </w:rPr>
        <w:t>?.</w:t>
      </w:r>
      <w:proofErr w:type="gramEnd"/>
      <w:r w:rsidR="00EF7B17" w:rsidRPr="00545042">
        <w:rPr>
          <w:sz w:val="19"/>
          <w:szCs w:val="19"/>
        </w:rPr>
        <w:t xml:space="preserve"> Brit. J. </w:t>
      </w:r>
      <w:proofErr w:type="spellStart"/>
      <w:r w:rsidR="00EF7B17" w:rsidRPr="00545042">
        <w:rPr>
          <w:sz w:val="19"/>
          <w:szCs w:val="19"/>
        </w:rPr>
        <w:t>Nutr</w:t>
      </w:r>
      <w:proofErr w:type="spellEnd"/>
      <w:r w:rsidR="00EF7B17" w:rsidRPr="00545042">
        <w:rPr>
          <w:sz w:val="19"/>
          <w:szCs w:val="19"/>
        </w:rPr>
        <w:t>. 92: 557-573.</w:t>
      </w:r>
    </w:p>
    <w:p w:rsidR="00545042" w:rsidRPr="00545042" w:rsidRDefault="00CC6217" w:rsidP="00545042">
      <w:pPr>
        <w:numPr>
          <w:ilvl w:val="0"/>
          <w:numId w:val="7"/>
        </w:numPr>
        <w:jc w:val="both"/>
        <w:rPr>
          <w:sz w:val="19"/>
          <w:szCs w:val="19"/>
        </w:rPr>
      </w:pPr>
      <w:hyperlink r:id="rId12" w:history="1">
        <w:proofErr w:type="spellStart"/>
        <w:r w:rsidR="00EF7B17" w:rsidRPr="00545042">
          <w:rPr>
            <w:bCs/>
            <w:sz w:val="19"/>
            <w:szCs w:val="19"/>
          </w:rPr>
          <w:t>Röschlau</w:t>
        </w:r>
        <w:proofErr w:type="spellEnd"/>
        <w:r w:rsidR="00EF7B17" w:rsidRPr="00545042">
          <w:rPr>
            <w:sz w:val="19"/>
            <w:szCs w:val="19"/>
          </w:rPr>
          <w:t>, P</w:t>
        </w:r>
      </w:hyperlink>
      <w:r w:rsidR="00EF7B17" w:rsidRPr="00545042">
        <w:rPr>
          <w:sz w:val="19"/>
          <w:szCs w:val="19"/>
        </w:rPr>
        <w:t xml:space="preserve">.; </w:t>
      </w:r>
      <w:hyperlink r:id="rId13" w:history="1">
        <w:proofErr w:type="spellStart"/>
        <w:r w:rsidR="00EF7B17" w:rsidRPr="00545042">
          <w:rPr>
            <w:sz w:val="19"/>
            <w:szCs w:val="19"/>
          </w:rPr>
          <w:t>Bernt</w:t>
        </w:r>
        <w:proofErr w:type="spellEnd"/>
        <w:r w:rsidR="00EF7B17" w:rsidRPr="00545042">
          <w:rPr>
            <w:sz w:val="19"/>
            <w:szCs w:val="19"/>
          </w:rPr>
          <w:t>, E</w:t>
        </w:r>
      </w:hyperlink>
      <w:r w:rsidR="00EF7B17" w:rsidRPr="00545042">
        <w:rPr>
          <w:sz w:val="19"/>
          <w:szCs w:val="19"/>
        </w:rPr>
        <w:t xml:space="preserve">. </w:t>
      </w:r>
      <w:proofErr w:type="gramStart"/>
      <w:r w:rsidR="00EF7B17" w:rsidRPr="00545042">
        <w:rPr>
          <w:sz w:val="19"/>
          <w:szCs w:val="19"/>
        </w:rPr>
        <w:t>and</w:t>
      </w:r>
      <w:proofErr w:type="gramEnd"/>
      <w:r w:rsidR="00EF7B17" w:rsidRPr="00545042">
        <w:rPr>
          <w:sz w:val="19"/>
          <w:szCs w:val="19"/>
        </w:rPr>
        <w:t xml:space="preserve"> </w:t>
      </w:r>
      <w:hyperlink r:id="rId14" w:history="1">
        <w:r w:rsidR="00EF7B17" w:rsidRPr="00545042">
          <w:rPr>
            <w:sz w:val="19"/>
            <w:szCs w:val="19"/>
          </w:rPr>
          <w:t>Gruber, W</w:t>
        </w:r>
      </w:hyperlink>
      <w:r w:rsidR="00EF7B17" w:rsidRPr="00545042">
        <w:rPr>
          <w:sz w:val="19"/>
          <w:szCs w:val="19"/>
        </w:rPr>
        <w:t xml:space="preserve">. (1974). Enzymatic determination of total cholesterol in serum. </w:t>
      </w:r>
      <w:hyperlink r:id="rId15" w:history="1">
        <w:r w:rsidR="00EF7B17" w:rsidRPr="00545042">
          <w:rPr>
            <w:sz w:val="19"/>
            <w:szCs w:val="19"/>
          </w:rPr>
          <w:t xml:space="preserve">Z </w:t>
        </w:r>
        <w:proofErr w:type="spellStart"/>
        <w:r w:rsidR="00EF7B17" w:rsidRPr="00545042">
          <w:rPr>
            <w:sz w:val="19"/>
            <w:szCs w:val="19"/>
          </w:rPr>
          <w:t>Klin</w:t>
        </w:r>
        <w:proofErr w:type="spellEnd"/>
        <w:r w:rsidR="00EF7B17" w:rsidRPr="00545042">
          <w:rPr>
            <w:sz w:val="19"/>
            <w:szCs w:val="19"/>
          </w:rPr>
          <w:t xml:space="preserve"> </w:t>
        </w:r>
        <w:proofErr w:type="spellStart"/>
        <w:r w:rsidR="00EF7B17" w:rsidRPr="00545042">
          <w:rPr>
            <w:sz w:val="19"/>
            <w:szCs w:val="19"/>
          </w:rPr>
          <w:t>Chem</w:t>
        </w:r>
        <w:proofErr w:type="spellEnd"/>
        <w:r w:rsidR="00EF7B17" w:rsidRPr="00545042">
          <w:rPr>
            <w:sz w:val="19"/>
            <w:szCs w:val="19"/>
          </w:rPr>
          <w:t xml:space="preserve"> </w:t>
        </w:r>
        <w:proofErr w:type="spellStart"/>
        <w:r w:rsidR="00EF7B17" w:rsidRPr="00545042">
          <w:rPr>
            <w:sz w:val="19"/>
            <w:szCs w:val="19"/>
          </w:rPr>
          <w:t>Klin</w:t>
        </w:r>
        <w:proofErr w:type="spellEnd"/>
        <w:r w:rsidR="00EF7B17" w:rsidRPr="00545042">
          <w:rPr>
            <w:sz w:val="19"/>
            <w:szCs w:val="19"/>
          </w:rPr>
          <w:t xml:space="preserve"> Biochem.</w:t>
        </w:r>
      </w:hyperlink>
      <w:proofErr w:type="gramStart"/>
      <w:r w:rsidR="00EF7B17" w:rsidRPr="00545042">
        <w:rPr>
          <w:sz w:val="19"/>
          <w:szCs w:val="19"/>
        </w:rPr>
        <w:t>,12</w:t>
      </w:r>
      <w:proofErr w:type="gramEnd"/>
      <w:r w:rsidR="00EF7B17" w:rsidRPr="00545042">
        <w:rPr>
          <w:sz w:val="19"/>
          <w:szCs w:val="19"/>
        </w:rPr>
        <w:t>: 403-307.</w:t>
      </w:r>
    </w:p>
    <w:p w:rsidR="00545042" w:rsidRPr="00545042" w:rsidRDefault="00545042" w:rsidP="00545042">
      <w:pPr>
        <w:pStyle w:val="NoSpacing"/>
        <w:numPr>
          <w:ilvl w:val="0"/>
          <w:numId w:val="7"/>
        </w:numPr>
        <w:jc w:val="both"/>
        <w:rPr>
          <w:rFonts w:ascii="Times New Roman" w:eastAsia="Times New Roman" w:hAnsi="Times New Roman" w:cs="Times New Roman"/>
          <w:color w:val="000000"/>
          <w:sz w:val="19"/>
          <w:szCs w:val="19"/>
        </w:rPr>
      </w:pPr>
      <w:proofErr w:type="spellStart"/>
      <w:r w:rsidRPr="00545042">
        <w:rPr>
          <w:rFonts w:ascii="Times New Roman" w:eastAsia="Times New Roman" w:hAnsi="Times New Roman" w:cs="Times New Roman"/>
          <w:bCs/>
          <w:color w:val="000000"/>
          <w:sz w:val="19"/>
          <w:szCs w:val="19"/>
        </w:rPr>
        <w:t>R</w:t>
      </w:r>
      <w:r w:rsidR="00EF7B17" w:rsidRPr="00545042">
        <w:rPr>
          <w:rFonts w:ascii="Times New Roman" w:eastAsia="Times New Roman" w:hAnsi="Times New Roman" w:cs="Times New Roman"/>
          <w:bCs/>
          <w:color w:val="000000"/>
          <w:sz w:val="19"/>
          <w:szCs w:val="19"/>
        </w:rPr>
        <w:t>otruck</w:t>
      </w:r>
      <w:proofErr w:type="spellEnd"/>
      <w:r w:rsidR="00EF7B17" w:rsidRPr="00545042">
        <w:rPr>
          <w:rFonts w:ascii="Times New Roman" w:eastAsia="Times New Roman" w:hAnsi="Times New Roman" w:cs="Times New Roman"/>
          <w:color w:val="000000"/>
          <w:sz w:val="19"/>
          <w:szCs w:val="19"/>
        </w:rPr>
        <w:t xml:space="preserve">, J.; Pope, A.; </w:t>
      </w:r>
      <w:proofErr w:type="spellStart"/>
      <w:r w:rsidR="00EF7B17" w:rsidRPr="00545042">
        <w:rPr>
          <w:rFonts w:ascii="Times New Roman" w:eastAsia="Times New Roman" w:hAnsi="Times New Roman" w:cs="Times New Roman"/>
          <w:color w:val="000000"/>
          <w:sz w:val="19"/>
          <w:szCs w:val="19"/>
        </w:rPr>
        <w:t>Ganther</w:t>
      </w:r>
      <w:proofErr w:type="spellEnd"/>
      <w:r w:rsidR="00EF7B17" w:rsidRPr="00545042">
        <w:rPr>
          <w:rFonts w:ascii="Times New Roman" w:eastAsia="Times New Roman" w:hAnsi="Times New Roman" w:cs="Times New Roman"/>
          <w:color w:val="000000"/>
          <w:sz w:val="19"/>
          <w:szCs w:val="19"/>
        </w:rPr>
        <w:t>, H. and Swanson, A. (1973).Selenium biochemical</w:t>
      </w:r>
      <w:r w:rsidR="001E0E9B" w:rsidRPr="00545042">
        <w:rPr>
          <w:rFonts w:ascii="Times New Roman" w:eastAsia="Times New Roman" w:hAnsi="Times New Roman" w:cs="Times New Roman"/>
          <w:color w:val="000000"/>
          <w:sz w:val="19"/>
          <w:szCs w:val="19"/>
        </w:rPr>
        <w:t xml:space="preserve"> </w:t>
      </w:r>
      <w:r w:rsidR="00EF7B17" w:rsidRPr="00545042">
        <w:rPr>
          <w:rFonts w:ascii="Times New Roman" w:eastAsia="Times New Roman" w:hAnsi="Times New Roman" w:cs="Times New Roman"/>
          <w:color w:val="000000"/>
          <w:sz w:val="19"/>
          <w:szCs w:val="19"/>
        </w:rPr>
        <w:t>role</w:t>
      </w:r>
      <w:r w:rsidR="001E0E9B" w:rsidRPr="00545042">
        <w:rPr>
          <w:rFonts w:ascii="Times New Roman" w:eastAsia="Times New Roman" w:hAnsi="Times New Roman" w:cs="Times New Roman"/>
          <w:color w:val="000000"/>
          <w:sz w:val="19"/>
          <w:szCs w:val="19"/>
        </w:rPr>
        <w:t xml:space="preserve"> </w:t>
      </w:r>
      <w:r w:rsidR="00EF7B17" w:rsidRPr="00545042">
        <w:rPr>
          <w:rFonts w:ascii="Times New Roman" w:eastAsia="Times New Roman" w:hAnsi="Times New Roman" w:cs="Times New Roman"/>
          <w:color w:val="000000"/>
          <w:sz w:val="19"/>
          <w:szCs w:val="19"/>
        </w:rPr>
        <w:t>as a component of glutathione peroxides.</w:t>
      </w:r>
      <w:r w:rsidR="001E0E9B" w:rsidRPr="00545042">
        <w:rPr>
          <w:rFonts w:ascii="Times New Roman" w:eastAsia="Times New Roman" w:hAnsi="Times New Roman" w:cs="Times New Roman"/>
          <w:color w:val="000000"/>
          <w:sz w:val="19"/>
          <w:szCs w:val="19"/>
        </w:rPr>
        <w:t xml:space="preserve"> </w:t>
      </w:r>
      <w:r w:rsidR="00EF7B17" w:rsidRPr="00545042">
        <w:rPr>
          <w:rFonts w:ascii="Times New Roman" w:eastAsia="Times New Roman" w:hAnsi="Times New Roman" w:cs="Times New Roman"/>
          <w:color w:val="000000"/>
          <w:sz w:val="19"/>
          <w:szCs w:val="19"/>
        </w:rPr>
        <w:t xml:space="preserve">Science 179: 588 </w:t>
      </w:r>
      <w:r w:rsidR="001E0E9B" w:rsidRPr="00545042">
        <w:rPr>
          <w:rFonts w:ascii="Times New Roman" w:eastAsia="Times New Roman" w:hAnsi="Times New Roman" w:cs="Times New Roman"/>
          <w:color w:val="000000"/>
          <w:sz w:val="19"/>
          <w:szCs w:val="19"/>
        </w:rPr>
        <w:t>-</w:t>
      </w:r>
      <w:r w:rsidR="00EF7B17" w:rsidRPr="00545042">
        <w:rPr>
          <w:rFonts w:ascii="Times New Roman" w:eastAsia="Times New Roman" w:hAnsi="Times New Roman" w:cs="Times New Roman"/>
          <w:color w:val="000000"/>
          <w:sz w:val="19"/>
          <w:szCs w:val="19"/>
        </w:rPr>
        <w:t xml:space="preserve"> 590.</w:t>
      </w:r>
    </w:p>
    <w:p w:rsidR="00545042" w:rsidRPr="00545042" w:rsidRDefault="00545042" w:rsidP="00545042">
      <w:pPr>
        <w:numPr>
          <w:ilvl w:val="0"/>
          <w:numId w:val="7"/>
        </w:numPr>
        <w:autoSpaceDE w:val="0"/>
        <w:autoSpaceDN w:val="0"/>
        <w:adjustRightInd w:val="0"/>
        <w:jc w:val="both"/>
        <w:rPr>
          <w:sz w:val="19"/>
          <w:szCs w:val="19"/>
        </w:rPr>
      </w:pPr>
      <w:r w:rsidRPr="00545042">
        <w:rPr>
          <w:bCs/>
          <w:sz w:val="19"/>
          <w:szCs w:val="19"/>
        </w:rPr>
        <w:t>R</w:t>
      </w:r>
      <w:r w:rsidR="00EF7B17" w:rsidRPr="00545042">
        <w:rPr>
          <w:bCs/>
          <w:sz w:val="19"/>
          <w:szCs w:val="19"/>
        </w:rPr>
        <w:t>ush, D.</w:t>
      </w:r>
      <w:r w:rsidR="00EF7B17" w:rsidRPr="00545042">
        <w:rPr>
          <w:sz w:val="19"/>
          <w:szCs w:val="19"/>
        </w:rPr>
        <w:t xml:space="preserve"> (2000). Nutrition and Maternal mortality in the developing world. Am. J. </w:t>
      </w:r>
      <w:proofErr w:type="spellStart"/>
      <w:r w:rsidR="00EF7B17" w:rsidRPr="00545042">
        <w:rPr>
          <w:sz w:val="19"/>
          <w:szCs w:val="19"/>
        </w:rPr>
        <w:t>Clin</w:t>
      </w:r>
      <w:proofErr w:type="spellEnd"/>
      <w:r w:rsidR="00EF7B17" w:rsidRPr="00545042">
        <w:rPr>
          <w:sz w:val="19"/>
          <w:szCs w:val="19"/>
        </w:rPr>
        <w:t xml:space="preserve">. </w:t>
      </w:r>
      <w:proofErr w:type="spellStart"/>
      <w:r w:rsidR="00EF7B17" w:rsidRPr="00545042">
        <w:rPr>
          <w:sz w:val="19"/>
          <w:szCs w:val="19"/>
        </w:rPr>
        <w:t>Nutr</w:t>
      </w:r>
      <w:proofErr w:type="spellEnd"/>
      <w:r w:rsidR="00EF7B17" w:rsidRPr="00545042">
        <w:rPr>
          <w:sz w:val="19"/>
          <w:szCs w:val="19"/>
        </w:rPr>
        <w:t>. 72:</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S</w:t>
      </w:r>
      <w:r w:rsidR="00EF7B17" w:rsidRPr="00545042">
        <w:rPr>
          <w:bCs/>
          <w:sz w:val="19"/>
          <w:szCs w:val="19"/>
        </w:rPr>
        <w:t>irichakwal</w:t>
      </w:r>
      <w:proofErr w:type="spellEnd"/>
      <w:r w:rsidR="00EF7B17" w:rsidRPr="00545042">
        <w:rPr>
          <w:bCs/>
          <w:sz w:val="19"/>
          <w:szCs w:val="19"/>
        </w:rPr>
        <w:t>,</w:t>
      </w:r>
      <w:r w:rsidR="00EF7B17" w:rsidRPr="00545042">
        <w:rPr>
          <w:sz w:val="19"/>
          <w:szCs w:val="19"/>
        </w:rPr>
        <w:t xml:space="preserve"> P.; </w:t>
      </w:r>
      <w:proofErr w:type="spellStart"/>
      <w:r w:rsidR="00EF7B17" w:rsidRPr="00545042">
        <w:rPr>
          <w:sz w:val="19"/>
          <w:szCs w:val="19"/>
        </w:rPr>
        <w:t>Puwastien</w:t>
      </w:r>
      <w:proofErr w:type="spellEnd"/>
      <w:r w:rsidR="00EF7B17" w:rsidRPr="00545042">
        <w:rPr>
          <w:sz w:val="19"/>
          <w:szCs w:val="19"/>
        </w:rPr>
        <w:t xml:space="preserve">, P., </w:t>
      </w:r>
      <w:proofErr w:type="spellStart"/>
      <w:r w:rsidR="00EF7B17" w:rsidRPr="00545042">
        <w:rPr>
          <w:sz w:val="19"/>
          <w:szCs w:val="19"/>
        </w:rPr>
        <w:t>Polngam</w:t>
      </w:r>
      <w:proofErr w:type="spellEnd"/>
      <w:r w:rsidR="00EF7B17" w:rsidRPr="00545042">
        <w:rPr>
          <w:sz w:val="19"/>
          <w:szCs w:val="19"/>
        </w:rPr>
        <w:t xml:space="preserve">, J. and </w:t>
      </w:r>
      <w:proofErr w:type="spellStart"/>
      <w:r w:rsidR="00EF7B17" w:rsidRPr="00545042">
        <w:rPr>
          <w:sz w:val="19"/>
          <w:szCs w:val="19"/>
        </w:rPr>
        <w:t>Kongkachuichai</w:t>
      </w:r>
      <w:proofErr w:type="spellEnd"/>
      <w:r w:rsidR="00EF7B17" w:rsidRPr="00545042">
        <w:rPr>
          <w:sz w:val="19"/>
          <w:szCs w:val="19"/>
        </w:rPr>
        <w:t>, R. (2005). Selenium content of Thai foods. J</w:t>
      </w:r>
      <w:r w:rsidR="001E0E9B" w:rsidRPr="00545042">
        <w:rPr>
          <w:sz w:val="19"/>
          <w:szCs w:val="19"/>
        </w:rPr>
        <w:t>.</w:t>
      </w:r>
      <w:r w:rsidR="00EF7B17" w:rsidRPr="00545042">
        <w:rPr>
          <w:sz w:val="19"/>
          <w:szCs w:val="19"/>
        </w:rPr>
        <w:t xml:space="preserve"> Food Compos Anal. 18:47–59.</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S</w:t>
      </w:r>
      <w:r w:rsidR="00EF7B17" w:rsidRPr="00545042">
        <w:rPr>
          <w:bCs/>
          <w:sz w:val="19"/>
          <w:szCs w:val="19"/>
        </w:rPr>
        <w:t>oetan</w:t>
      </w:r>
      <w:proofErr w:type="spellEnd"/>
      <w:r w:rsidR="00EF7B17" w:rsidRPr="00545042">
        <w:rPr>
          <w:bCs/>
          <w:sz w:val="19"/>
          <w:szCs w:val="19"/>
        </w:rPr>
        <w:t>,</w:t>
      </w:r>
      <w:r w:rsidR="00EF7B17" w:rsidRPr="00545042">
        <w:rPr>
          <w:sz w:val="19"/>
          <w:szCs w:val="19"/>
        </w:rPr>
        <w:t xml:space="preserve"> O.; </w:t>
      </w:r>
      <w:proofErr w:type="spellStart"/>
      <w:r w:rsidR="00EF7B17" w:rsidRPr="00545042">
        <w:rPr>
          <w:sz w:val="19"/>
          <w:szCs w:val="19"/>
        </w:rPr>
        <w:t>Olaiya</w:t>
      </w:r>
      <w:proofErr w:type="spellEnd"/>
      <w:r w:rsidR="00EF7B17" w:rsidRPr="00545042">
        <w:rPr>
          <w:sz w:val="19"/>
          <w:szCs w:val="19"/>
        </w:rPr>
        <w:t xml:space="preserve">, O. and </w:t>
      </w:r>
      <w:proofErr w:type="spellStart"/>
      <w:r w:rsidR="00EF7B17" w:rsidRPr="00545042">
        <w:rPr>
          <w:sz w:val="19"/>
          <w:szCs w:val="19"/>
        </w:rPr>
        <w:t>Oyewole</w:t>
      </w:r>
      <w:proofErr w:type="spellEnd"/>
      <w:r w:rsidR="00EF7B17" w:rsidRPr="00545042">
        <w:rPr>
          <w:sz w:val="19"/>
          <w:szCs w:val="19"/>
        </w:rPr>
        <w:t xml:space="preserve">, E. (2010). The importance of mineral elements for humans, domestic animals and plants: A review. African Journal </w:t>
      </w:r>
      <w:proofErr w:type="gramStart"/>
      <w:r w:rsidR="00EF7B17" w:rsidRPr="00545042">
        <w:rPr>
          <w:sz w:val="19"/>
          <w:szCs w:val="19"/>
        </w:rPr>
        <w:t xml:space="preserve">of </w:t>
      </w:r>
      <w:r w:rsidR="001E0E9B" w:rsidRPr="00545042">
        <w:rPr>
          <w:sz w:val="19"/>
          <w:szCs w:val="19"/>
        </w:rPr>
        <w:t xml:space="preserve"> </w:t>
      </w:r>
      <w:r w:rsidR="00EF7B17" w:rsidRPr="00545042">
        <w:rPr>
          <w:sz w:val="19"/>
          <w:szCs w:val="19"/>
        </w:rPr>
        <w:t>Food</w:t>
      </w:r>
      <w:proofErr w:type="gramEnd"/>
      <w:r w:rsidR="00EF7B17" w:rsidRPr="00545042">
        <w:rPr>
          <w:sz w:val="19"/>
          <w:szCs w:val="19"/>
        </w:rPr>
        <w:t xml:space="preserve"> Science. 4: 200-222.</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S</w:t>
      </w:r>
      <w:r w:rsidR="00EF7B17" w:rsidRPr="00545042">
        <w:rPr>
          <w:bCs/>
          <w:sz w:val="19"/>
          <w:szCs w:val="19"/>
        </w:rPr>
        <w:t>urai</w:t>
      </w:r>
      <w:proofErr w:type="spellEnd"/>
      <w:r w:rsidR="00EF7B17" w:rsidRPr="00545042">
        <w:rPr>
          <w:sz w:val="19"/>
          <w:szCs w:val="19"/>
        </w:rPr>
        <w:t>, P. (2000). Effect of selenium and vitamin E content of the maternal diet on the antioxidant system of the yolk and the developing chick. British Poultry Science. 41: 235</w:t>
      </w:r>
      <w:r w:rsidR="001E0E9B" w:rsidRPr="00545042">
        <w:rPr>
          <w:sz w:val="19"/>
          <w:szCs w:val="19"/>
        </w:rPr>
        <w:t>-</w:t>
      </w:r>
      <w:r w:rsidR="00EF7B17" w:rsidRPr="00545042">
        <w:rPr>
          <w:sz w:val="19"/>
          <w:szCs w:val="19"/>
        </w:rPr>
        <w:t xml:space="preserve">243. </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S</w:t>
      </w:r>
      <w:r w:rsidR="00EF7B17" w:rsidRPr="00545042">
        <w:rPr>
          <w:bCs/>
          <w:sz w:val="19"/>
          <w:szCs w:val="19"/>
        </w:rPr>
        <w:t>urai</w:t>
      </w:r>
      <w:proofErr w:type="spellEnd"/>
      <w:r w:rsidR="00EF7B17" w:rsidRPr="00545042">
        <w:rPr>
          <w:bCs/>
          <w:sz w:val="19"/>
          <w:szCs w:val="19"/>
        </w:rPr>
        <w:t>,</w:t>
      </w:r>
      <w:r w:rsidR="00EF7B17" w:rsidRPr="00545042">
        <w:rPr>
          <w:sz w:val="19"/>
          <w:szCs w:val="19"/>
        </w:rPr>
        <w:t xml:space="preserve"> P. (2002). Selenium. In: Natural antioxidants in avian nutrition and reproduction. Nottingham University Press. Nottingham, UK. 233-304.</w:t>
      </w:r>
    </w:p>
    <w:p w:rsidR="00545042" w:rsidRPr="00545042" w:rsidRDefault="00545042" w:rsidP="00545042">
      <w:pPr>
        <w:numPr>
          <w:ilvl w:val="0"/>
          <w:numId w:val="7"/>
        </w:numPr>
        <w:autoSpaceDE w:val="0"/>
        <w:autoSpaceDN w:val="0"/>
        <w:adjustRightInd w:val="0"/>
        <w:jc w:val="both"/>
        <w:rPr>
          <w:sz w:val="19"/>
          <w:szCs w:val="19"/>
        </w:rPr>
      </w:pPr>
      <w:proofErr w:type="spellStart"/>
      <w:r w:rsidRPr="00545042">
        <w:rPr>
          <w:bCs/>
          <w:sz w:val="19"/>
          <w:szCs w:val="19"/>
        </w:rPr>
        <w:t>T</w:t>
      </w:r>
      <w:r w:rsidR="00EF7B17" w:rsidRPr="00545042">
        <w:rPr>
          <w:bCs/>
          <w:sz w:val="19"/>
          <w:szCs w:val="19"/>
        </w:rPr>
        <w:t>inggi</w:t>
      </w:r>
      <w:proofErr w:type="spellEnd"/>
      <w:r w:rsidR="00EF7B17" w:rsidRPr="00545042">
        <w:rPr>
          <w:bCs/>
          <w:sz w:val="19"/>
          <w:szCs w:val="19"/>
        </w:rPr>
        <w:t>,</w:t>
      </w:r>
      <w:r w:rsidR="00EF7B17" w:rsidRPr="00545042">
        <w:rPr>
          <w:sz w:val="19"/>
          <w:szCs w:val="19"/>
        </w:rPr>
        <w:t xml:space="preserve"> U. (2008). Selenium: its role as antioxidant in human health. Environ Health Prev.</w:t>
      </w:r>
      <w:r w:rsidR="001E0E9B" w:rsidRPr="00545042">
        <w:rPr>
          <w:sz w:val="19"/>
          <w:szCs w:val="19"/>
        </w:rPr>
        <w:t xml:space="preserve"> </w:t>
      </w:r>
      <w:r w:rsidR="00EF7B17" w:rsidRPr="00545042">
        <w:rPr>
          <w:sz w:val="19"/>
          <w:szCs w:val="19"/>
        </w:rPr>
        <w:t>Med  13:102</w:t>
      </w:r>
      <w:r w:rsidR="001E0E9B" w:rsidRPr="00545042">
        <w:rPr>
          <w:sz w:val="19"/>
          <w:szCs w:val="19"/>
        </w:rPr>
        <w:t>-</w:t>
      </w:r>
      <w:r w:rsidR="00EF7B17" w:rsidRPr="00545042">
        <w:rPr>
          <w:sz w:val="19"/>
          <w:szCs w:val="19"/>
        </w:rPr>
        <w:t>108</w:t>
      </w:r>
    </w:p>
    <w:p w:rsidR="00545042" w:rsidRPr="00545042" w:rsidRDefault="00545042" w:rsidP="00545042">
      <w:pPr>
        <w:pStyle w:val="PlainText"/>
        <w:numPr>
          <w:ilvl w:val="0"/>
          <w:numId w:val="7"/>
        </w:numPr>
        <w:bidi w:val="0"/>
        <w:jc w:val="both"/>
        <w:rPr>
          <w:rFonts w:ascii="Times New Roman" w:hAnsi="Times New Roman" w:cs="Times New Roman"/>
          <w:sz w:val="19"/>
          <w:szCs w:val="19"/>
        </w:rPr>
      </w:pPr>
      <w:proofErr w:type="spellStart"/>
      <w:r w:rsidRPr="00545042">
        <w:rPr>
          <w:rFonts w:ascii="Times New Roman" w:hAnsi="Times New Roman" w:cs="Times New Roman"/>
          <w:bCs/>
          <w:sz w:val="19"/>
          <w:szCs w:val="19"/>
        </w:rPr>
        <w:t>U</w:t>
      </w:r>
      <w:r w:rsidR="00EF7B17" w:rsidRPr="00545042">
        <w:rPr>
          <w:rFonts w:ascii="Times New Roman" w:hAnsi="Times New Roman" w:cs="Times New Roman"/>
          <w:bCs/>
          <w:sz w:val="19"/>
          <w:szCs w:val="19"/>
        </w:rPr>
        <w:t>wajima</w:t>
      </w:r>
      <w:proofErr w:type="spellEnd"/>
      <w:r w:rsidR="00EF7B17" w:rsidRPr="00545042">
        <w:rPr>
          <w:rFonts w:ascii="Times New Roman" w:hAnsi="Times New Roman" w:cs="Times New Roman"/>
          <w:sz w:val="19"/>
          <w:szCs w:val="19"/>
        </w:rPr>
        <w:t xml:space="preserve">, T.; Shimizu, Y. and </w:t>
      </w:r>
      <w:proofErr w:type="spellStart"/>
      <w:r w:rsidR="00EF7B17" w:rsidRPr="00545042">
        <w:rPr>
          <w:rFonts w:ascii="Times New Roman" w:hAnsi="Times New Roman" w:cs="Times New Roman"/>
          <w:sz w:val="19"/>
          <w:szCs w:val="19"/>
        </w:rPr>
        <w:t>Ferda</w:t>
      </w:r>
      <w:proofErr w:type="spellEnd"/>
      <w:r w:rsidR="00EF7B17" w:rsidRPr="00545042">
        <w:rPr>
          <w:rFonts w:ascii="Times New Roman" w:hAnsi="Times New Roman" w:cs="Times New Roman"/>
          <w:sz w:val="19"/>
          <w:szCs w:val="19"/>
        </w:rPr>
        <w:t>, O. (1984).</w:t>
      </w:r>
      <w:r w:rsidR="001E0E9B" w:rsidRPr="00545042">
        <w:rPr>
          <w:rFonts w:ascii="Times New Roman" w:hAnsi="Times New Roman" w:cs="Times New Roman"/>
          <w:sz w:val="19"/>
          <w:szCs w:val="19"/>
        </w:rPr>
        <w:t xml:space="preserve"> </w:t>
      </w:r>
      <w:r w:rsidR="00EF7B17" w:rsidRPr="00545042">
        <w:rPr>
          <w:rFonts w:ascii="Times New Roman" w:hAnsi="Times New Roman" w:cs="Times New Roman"/>
          <w:sz w:val="19"/>
          <w:szCs w:val="19"/>
        </w:rPr>
        <w:t xml:space="preserve">Glycerol </w:t>
      </w:r>
      <w:proofErr w:type="spellStart"/>
      <w:r w:rsidR="00EF7B17" w:rsidRPr="00545042">
        <w:rPr>
          <w:rFonts w:ascii="Times New Roman" w:hAnsi="Times New Roman" w:cs="Times New Roman"/>
          <w:sz w:val="19"/>
          <w:szCs w:val="19"/>
        </w:rPr>
        <w:t>oxidase</w:t>
      </w:r>
      <w:proofErr w:type="spellEnd"/>
      <w:r w:rsidR="00EF7B17" w:rsidRPr="00545042">
        <w:rPr>
          <w:rFonts w:ascii="Times New Roman" w:hAnsi="Times New Roman" w:cs="Times New Roman"/>
          <w:sz w:val="19"/>
          <w:szCs w:val="19"/>
        </w:rPr>
        <w:t xml:space="preserve"> a novel copper </w:t>
      </w:r>
      <w:proofErr w:type="spellStart"/>
      <w:r w:rsidR="00EF7B17" w:rsidRPr="00545042">
        <w:rPr>
          <w:rFonts w:ascii="Times New Roman" w:hAnsi="Times New Roman" w:cs="Times New Roman"/>
          <w:sz w:val="19"/>
          <w:szCs w:val="19"/>
        </w:rPr>
        <w:t>hemo</w:t>
      </w:r>
      <w:proofErr w:type="spellEnd"/>
      <w:r w:rsidR="00EF7B17" w:rsidRPr="00545042">
        <w:rPr>
          <w:rFonts w:ascii="Times New Roman" w:hAnsi="Times New Roman" w:cs="Times New Roman"/>
          <w:sz w:val="19"/>
          <w:szCs w:val="19"/>
        </w:rPr>
        <w:t xml:space="preserve">-protein from </w:t>
      </w:r>
      <w:proofErr w:type="spellStart"/>
      <w:r w:rsidR="00EF7B17" w:rsidRPr="00545042">
        <w:rPr>
          <w:rFonts w:ascii="Times New Roman" w:hAnsi="Times New Roman" w:cs="Times New Roman"/>
          <w:i/>
          <w:iCs/>
          <w:sz w:val="19"/>
          <w:szCs w:val="19"/>
        </w:rPr>
        <w:t>Aspergillus</w:t>
      </w:r>
      <w:proofErr w:type="spellEnd"/>
      <w:r w:rsidR="00EF7B17" w:rsidRPr="00545042">
        <w:rPr>
          <w:rFonts w:ascii="Times New Roman" w:hAnsi="Times New Roman" w:cs="Times New Roman"/>
          <w:i/>
          <w:iCs/>
          <w:sz w:val="19"/>
          <w:szCs w:val="19"/>
        </w:rPr>
        <w:t xml:space="preserve"> </w:t>
      </w:r>
      <w:proofErr w:type="spellStart"/>
      <w:r w:rsidR="00EF7B17" w:rsidRPr="00545042">
        <w:rPr>
          <w:rFonts w:ascii="Times New Roman" w:hAnsi="Times New Roman" w:cs="Times New Roman"/>
          <w:i/>
          <w:iCs/>
          <w:sz w:val="19"/>
          <w:szCs w:val="19"/>
        </w:rPr>
        <w:t>japonicus</w:t>
      </w:r>
      <w:proofErr w:type="spellEnd"/>
      <w:r w:rsidR="00EF7B17" w:rsidRPr="00545042">
        <w:rPr>
          <w:rFonts w:ascii="Times New Roman" w:hAnsi="Times New Roman" w:cs="Times New Roman"/>
          <w:sz w:val="19"/>
          <w:szCs w:val="19"/>
        </w:rPr>
        <w:t>. J. Biol. Chem., 259: 2748-2753.</w:t>
      </w:r>
    </w:p>
    <w:p w:rsidR="00545042" w:rsidRPr="00545042" w:rsidRDefault="00545042" w:rsidP="00545042">
      <w:pPr>
        <w:numPr>
          <w:ilvl w:val="0"/>
          <w:numId w:val="7"/>
        </w:numPr>
        <w:jc w:val="both"/>
        <w:rPr>
          <w:sz w:val="19"/>
          <w:szCs w:val="19"/>
        </w:rPr>
      </w:pPr>
      <w:proofErr w:type="spellStart"/>
      <w:r w:rsidRPr="00545042">
        <w:rPr>
          <w:bCs/>
          <w:sz w:val="19"/>
          <w:szCs w:val="19"/>
        </w:rPr>
        <w:t>V</w:t>
      </w:r>
      <w:r w:rsidR="00EF7B17" w:rsidRPr="00545042">
        <w:rPr>
          <w:bCs/>
          <w:sz w:val="19"/>
          <w:szCs w:val="19"/>
        </w:rPr>
        <w:t>aldiglesias</w:t>
      </w:r>
      <w:proofErr w:type="spellEnd"/>
      <w:r w:rsidR="00EF7B17" w:rsidRPr="00545042">
        <w:rPr>
          <w:bCs/>
          <w:sz w:val="19"/>
          <w:szCs w:val="19"/>
        </w:rPr>
        <w:t>,</w:t>
      </w:r>
      <w:r w:rsidR="00EF7B17" w:rsidRPr="00545042">
        <w:rPr>
          <w:sz w:val="19"/>
          <w:szCs w:val="19"/>
        </w:rPr>
        <w:t xml:space="preserve"> V.; </w:t>
      </w:r>
      <w:proofErr w:type="spellStart"/>
      <w:r w:rsidR="00EF7B17" w:rsidRPr="00545042">
        <w:rPr>
          <w:sz w:val="19"/>
          <w:szCs w:val="19"/>
        </w:rPr>
        <w:t>Pásaro</w:t>
      </w:r>
      <w:proofErr w:type="spellEnd"/>
      <w:r w:rsidR="00EF7B17" w:rsidRPr="00545042">
        <w:rPr>
          <w:sz w:val="19"/>
          <w:szCs w:val="19"/>
        </w:rPr>
        <w:t xml:space="preserve">, E.; </w:t>
      </w:r>
      <w:proofErr w:type="spellStart"/>
      <w:r w:rsidR="00EF7B17" w:rsidRPr="00545042">
        <w:rPr>
          <w:sz w:val="19"/>
          <w:szCs w:val="19"/>
        </w:rPr>
        <w:t>Méndez</w:t>
      </w:r>
      <w:proofErr w:type="spellEnd"/>
      <w:r w:rsidR="00EF7B17" w:rsidRPr="00545042">
        <w:rPr>
          <w:sz w:val="19"/>
          <w:szCs w:val="19"/>
        </w:rPr>
        <w:t xml:space="preserve">, J. and </w:t>
      </w:r>
      <w:proofErr w:type="spellStart"/>
      <w:r w:rsidR="00EF7B17" w:rsidRPr="00545042">
        <w:rPr>
          <w:sz w:val="19"/>
          <w:szCs w:val="19"/>
        </w:rPr>
        <w:t>Laffon</w:t>
      </w:r>
      <w:proofErr w:type="spellEnd"/>
      <w:r w:rsidR="00EF7B17" w:rsidRPr="00545042">
        <w:rPr>
          <w:sz w:val="19"/>
          <w:szCs w:val="19"/>
        </w:rPr>
        <w:t xml:space="preserve">, B. (2010). In vitro evaluation of selenium </w:t>
      </w:r>
      <w:proofErr w:type="spellStart"/>
      <w:r w:rsidR="00EF7B17" w:rsidRPr="00545042">
        <w:rPr>
          <w:sz w:val="19"/>
          <w:szCs w:val="19"/>
        </w:rPr>
        <w:t>genotoxic</w:t>
      </w:r>
      <w:proofErr w:type="spellEnd"/>
      <w:r w:rsidR="00EF7B17" w:rsidRPr="00545042">
        <w:rPr>
          <w:sz w:val="19"/>
          <w:szCs w:val="19"/>
        </w:rPr>
        <w:t xml:space="preserve">, </w:t>
      </w:r>
      <w:proofErr w:type="spellStart"/>
      <w:r w:rsidR="00EF7B17" w:rsidRPr="00545042">
        <w:rPr>
          <w:sz w:val="19"/>
          <w:szCs w:val="19"/>
        </w:rPr>
        <w:t>cytotoxic</w:t>
      </w:r>
      <w:proofErr w:type="spellEnd"/>
      <w:r w:rsidR="00EF7B17" w:rsidRPr="00545042">
        <w:rPr>
          <w:sz w:val="19"/>
          <w:szCs w:val="19"/>
        </w:rPr>
        <w:t xml:space="preserve"> and protective effects. Arch </w:t>
      </w:r>
      <w:proofErr w:type="spellStart"/>
      <w:r w:rsidR="00EF7B17" w:rsidRPr="00545042">
        <w:rPr>
          <w:sz w:val="19"/>
          <w:szCs w:val="19"/>
        </w:rPr>
        <w:t>Toxicol</w:t>
      </w:r>
      <w:proofErr w:type="spellEnd"/>
      <w:r w:rsidR="00EF7B17" w:rsidRPr="00545042">
        <w:rPr>
          <w:sz w:val="19"/>
          <w:szCs w:val="19"/>
        </w:rPr>
        <w:t>. 84:337-351.</w:t>
      </w:r>
    </w:p>
    <w:p w:rsidR="00545042" w:rsidRPr="00545042" w:rsidRDefault="00545042" w:rsidP="00545042">
      <w:pPr>
        <w:numPr>
          <w:ilvl w:val="0"/>
          <w:numId w:val="7"/>
        </w:numPr>
        <w:jc w:val="both"/>
        <w:rPr>
          <w:sz w:val="19"/>
          <w:szCs w:val="19"/>
        </w:rPr>
      </w:pPr>
      <w:proofErr w:type="spellStart"/>
      <w:r w:rsidRPr="00545042">
        <w:rPr>
          <w:bCs/>
          <w:sz w:val="19"/>
          <w:szCs w:val="19"/>
        </w:rPr>
        <w:t>W</w:t>
      </w:r>
      <w:r w:rsidR="00EF7B17" w:rsidRPr="00545042">
        <w:rPr>
          <w:bCs/>
          <w:sz w:val="19"/>
          <w:szCs w:val="19"/>
        </w:rPr>
        <w:t>olffram</w:t>
      </w:r>
      <w:proofErr w:type="spellEnd"/>
      <w:r w:rsidR="00EF7B17" w:rsidRPr="00545042">
        <w:rPr>
          <w:bCs/>
          <w:sz w:val="19"/>
          <w:szCs w:val="19"/>
        </w:rPr>
        <w:t>,</w:t>
      </w:r>
      <w:r w:rsidR="00EF7B17" w:rsidRPr="00545042">
        <w:rPr>
          <w:sz w:val="19"/>
          <w:szCs w:val="19"/>
        </w:rPr>
        <w:t xml:space="preserve"> S. (1999). Absorption and metabolism of selenium:</w:t>
      </w:r>
      <w:r w:rsidR="001E0E9B" w:rsidRPr="00545042">
        <w:rPr>
          <w:sz w:val="19"/>
          <w:szCs w:val="19"/>
        </w:rPr>
        <w:t xml:space="preserve"> </w:t>
      </w:r>
      <w:r w:rsidR="00EF7B17" w:rsidRPr="00545042">
        <w:rPr>
          <w:sz w:val="19"/>
          <w:szCs w:val="19"/>
        </w:rPr>
        <w:t>difference between Inorganic and organic sources. In: Biotechnology in the Feed industry. Proc. of the 15</w:t>
      </w:r>
      <w:r w:rsidR="00EF7B17" w:rsidRPr="00545042">
        <w:rPr>
          <w:sz w:val="19"/>
          <w:szCs w:val="19"/>
          <w:vertAlign w:val="superscript"/>
        </w:rPr>
        <w:t>th</w:t>
      </w:r>
      <w:r w:rsidR="00EF7B17" w:rsidRPr="00545042">
        <w:rPr>
          <w:sz w:val="19"/>
          <w:szCs w:val="19"/>
        </w:rPr>
        <w:t xml:space="preserve"> Annual Symposium, (T.P. Lyons, and K.A. Jacques, </w:t>
      </w:r>
      <w:proofErr w:type="gramStart"/>
      <w:r w:rsidR="00EF7B17" w:rsidRPr="00545042">
        <w:rPr>
          <w:sz w:val="19"/>
          <w:szCs w:val="19"/>
        </w:rPr>
        <w:t>eds</w:t>
      </w:r>
      <w:proofErr w:type="gramEnd"/>
      <w:r w:rsidR="00EF7B17" w:rsidRPr="00545042">
        <w:rPr>
          <w:sz w:val="19"/>
          <w:szCs w:val="19"/>
        </w:rPr>
        <w:t>.) Nottingham University Press, Nottingham, UK. 547-566.</w:t>
      </w:r>
    </w:p>
    <w:p w:rsidR="00D50DF2" w:rsidRPr="00545042" w:rsidRDefault="00545042" w:rsidP="00545042">
      <w:pPr>
        <w:numPr>
          <w:ilvl w:val="0"/>
          <w:numId w:val="7"/>
        </w:numPr>
        <w:jc w:val="both"/>
        <w:rPr>
          <w:sz w:val="19"/>
          <w:szCs w:val="19"/>
        </w:rPr>
      </w:pPr>
      <w:r w:rsidRPr="00545042">
        <w:rPr>
          <w:bCs/>
          <w:sz w:val="19"/>
          <w:szCs w:val="19"/>
          <w:lang w:eastAsia="en-US"/>
        </w:rPr>
        <w:t>Y</w:t>
      </w:r>
      <w:r w:rsidR="006838DC" w:rsidRPr="00545042">
        <w:rPr>
          <w:bCs/>
          <w:sz w:val="19"/>
          <w:szCs w:val="19"/>
          <w:lang w:eastAsia="en-US"/>
        </w:rPr>
        <w:t xml:space="preserve">u, </w:t>
      </w:r>
      <w:r w:rsidR="006838DC" w:rsidRPr="00545042">
        <w:rPr>
          <w:sz w:val="19"/>
          <w:szCs w:val="19"/>
          <w:lang w:eastAsia="en-US"/>
        </w:rPr>
        <w:t xml:space="preserve">J; Na, C.; Kim, H.; Kim, H.; Kang, H.; Kim, K.; </w:t>
      </w:r>
      <w:proofErr w:type="spellStart"/>
      <w:r w:rsidR="006838DC" w:rsidRPr="00545042">
        <w:rPr>
          <w:sz w:val="19"/>
          <w:szCs w:val="19"/>
          <w:lang w:eastAsia="en-US"/>
        </w:rPr>
        <w:t>Seo</w:t>
      </w:r>
      <w:proofErr w:type="spellEnd"/>
      <w:r w:rsidR="006838DC" w:rsidRPr="00545042">
        <w:rPr>
          <w:sz w:val="19"/>
          <w:szCs w:val="19"/>
          <w:lang w:eastAsia="en-US"/>
        </w:rPr>
        <w:t>, S. and Lee, C. (2008). Effects of dietary selenium sources on the growth performance and selenium retention of meat in broiler chickens. Proceedings XIII World’s Poultry Congress, Brisbane, Queensland, Australia.</w:t>
      </w:r>
    </w:p>
    <w:p w:rsidR="00EF7B17" w:rsidRDefault="00EF7B17" w:rsidP="00545042">
      <w:pPr>
        <w:jc w:val="both"/>
        <w:rPr>
          <w:b/>
          <w:sz w:val="20"/>
          <w:szCs w:val="20"/>
        </w:rPr>
        <w:sectPr w:rsidR="00EF7B17" w:rsidSect="00CB2C09">
          <w:footnotePr>
            <w:pos w:val="beneathText"/>
          </w:footnotePr>
          <w:type w:val="continuous"/>
          <w:pgSz w:w="12240" w:h="15840" w:code="1"/>
          <w:pgMar w:top="1440" w:right="1440" w:bottom="1440" w:left="1440" w:header="720" w:footer="720" w:gutter="0"/>
          <w:cols w:num="2" w:space="720"/>
          <w:docGrid w:linePitch="360"/>
        </w:sectPr>
      </w:pPr>
    </w:p>
    <w:p w:rsidR="00CB32C1" w:rsidRDefault="00CB32C1" w:rsidP="00545042">
      <w:pPr>
        <w:suppressAutoHyphens w:val="0"/>
        <w:autoSpaceDE w:val="0"/>
        <w:autoSpaceDN w:val="0"/>
        <w:adjustRightInd w:val="0"/>
        <w:jc w:val="both"/>
        <w:rPr>
          <w:b/>
          <w:sz w:val="20"/>
          <w:szCs w:val="20"/>
          <w:lang w:eastAsia="zh-CN"/>
        </w:rPr>
      </w:pPr>
    </w:p>
    <w:p w:rsidR="00545042" w:rsidRDefault="00545042" w:rsidP="00545042">
      <w:pPr>
        <w:suppressAutoHyphens w:val="0"/>
        <w:autoSpaceDE w:val="0"/>
        <w:autoSpaceDN w:val="0"/>
        <w:adjustRightInd w:val="0"/>
        <w:jc w:val="both"/>
        <w:rPr>
          <w:b/>
          <w:sz w:val="20"/>
          <w:szCs w:val="20"/>
          <w:lang w:eastAsia="zh-CN"/>
        </w:rPr>
      </w:pPr>
    </w:p>
    <w:p w:rsidR="00EF7B17" w:rsidRPr="00545042" w:rsidRDefault="00CB32C1" w:rsidP="00545042">
      <w:pPr>
        <w:suppressAutoHyphens w:val="0"/>
        <w:autoSpaceDE w:val="0"/>
        <w:autoSpaceDN w:val="0"/>
        <w:adjustRightInd w:val="0"/>
        <w:jc w:val="both"/>
        <w:rPr>
          <w:sz w:val="20"/>
          <w:szCs w:val="20"/>
        </w:rPr>
      </w:pPr>
      <w:r w:rsidRPr="00545042">
        <w:rPr>
          <w:sz w:val="20"/>
          <w:szCs w:val="20"/>
        </w:rPr>
        <w:t>3/11/2014</w:t>
      </w:r>
    </w:p>
    <w:sectPr w:rsidR="00EF7B17" w:rsidRPr="00545042" w:rsidSect="00CB2C09">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62" w:rsidRDefault="00A23F62">
      <w:r>
        <w:separator/>
      </w:r>
    </w:p>
  </w:endnote>
  <w:endnote w:type="continuationSeparator" w:id="0">
    <w:p w:rsidR="00A23F62" w:rsidRDefault="00A23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E" w:rsidRDefault="00CC6217" w:rsidP="00B3167C">
    <w:pPr>
      <w:pStyle w:val="Footer"/>
      <w:framePr w:wrap="around" w:vAnchor="text" w:hAnchor="margin" w:xAlign="center" w:y="1"/>
      <w:rPr>
        <w:rStyle w:val="PageNumber"/>
      </w:rPr>
    </w:pPr>
    <w:r>
      <w:rPr>
        <w:rStyle w:val="PageNumber"/>
      </w:rPr>
      <w:fldChar w:fldCharType="begin"/>
    </w:r>
    <w:r w:rsidR="002C042E">
      <w:rPr>
        <w:rStyle w:val="PageNumber"/>
      </w:rPr>
      <w:instrText xml:space="preserve">PAGE  </w:instrText>
    </w:r>
    <w:r>
      <w:rPr>
        <w:rStyle w:val="PageNumber"/>
      </w:rPr>
      <w:fldChar w:fldCharType="end"/>
    </w:r>
  </w:p>
  <w:p w:rsidR="002C042E" w:rsidRDefault="002C04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2E" w:rsidRPr="00CB32C1" w:rsidRDefault="00CC6217" w:rsidP="00CB32C1">
    <w:pPr>
      <w:jc w:val="center"/>
      <w:rPr>
        <w:sz w:val="20"/>
      </w:rPr>
    </w:pPr>
    <w:r w:rsidRPr="00CB32C1">
      <w:rPr>
        <w:sz w:val="20"/>
      </w:rPr>
      <w:fldChar w:fldCharType="begin"/>
    </w:r>
    <w:r w:rsidR="00CB32C1" w:rsidRPr="00CB32C1">
      <w:rPr>
        <w:sz w:val="20"/>
      </w:rPr>
      <w:instrText xml:space="preserve"> page </w:instrText>
    </w:r>
    <w:r w:rsidRPr="00CB32C1">
      <w:rPr>
        <w:sz w:val="20"/>
      </w:rPr>
      <w:fldChar w:fldCharType="separate"/>
    </w:r>
    <w:r w:rsidR="0084091B">
      <w:rPr>
        <w:noProof/>
        <w:sz w:val="20"/>
      </w:rPr>
      <w:t>58</w:t>
    </w:r>
    <w:r w:rsidRPr="00CB32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62" w:rsidRDefault="00A23F62">
      <w:r>
        <w:separator/>
      </w:r>
    </w:p>
  </w:footnote>
  <w:footnote w:type="continuationSeparator" w:id="0">
    <w:p w:rsidR="00A23F62" w:rsidRDefault="00A23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C1" w:rsidRPr="00CB32C1" w:rsidRDefault="00CB32C1" w:rsidP="00CB32C1">
    <w:pPr>
      <w:pBdr>
        <w:bottom w:val="thinThickMediumGap" w:sz="12" w:space="1" w:color="auto"/>
      </w:pBdr>
      <w:tabs>
        <w:tab w:val="left" w:pos="851"/>
        <w:tab w:val="right" w:pos="8364"/>
      </w:tabs>
      <w:adjustRightInd w:val="0"/>
      <w:snapToGrid w:val="0"/>
      <w:jc w:val="both"/>
      <w:rPr>
        <w:sz w:val="20"/>
        <w:szCs w:val="20"/>
      </w:rPr>
    </w:pPr>
    <w:r w:rsidRPr="00CB32C1">
      <w:rPr>
        <w:rFonts w:hint="eastAsia"/>
        <w:iCs/>
        <w:color w:val="000000"/>
        <w:sz w:val="20"/>
        <w:szCs w:val="20"/>
      </w:rPr>
      <w:tab/>
    </w:r>
    <w:r w:rsidRPr="00CB32C1">
      <w:rPr>
        <w:sz w:val="20"/>
        <w:szCs w:val="20"/>
      </w:rPr>
      <w:t>Nature and Science 201</w:t>
    </w:r>
    <w:r w:rsidRPr="00CB32C1">
      <w:rPr>
        <w:rFonts w:hint="eastAsia"/>
        <w:sz w:val="20"/>
        <w:szCs w:val="20"/>
      </w:rPr>
      <w:t>4</w:t>
    </w:r>
    <w:proofErr w:type="gramStart"/>
    <w:r w:rsidRPr="00CB32C1">
      <w:rPr>
        <w:sz w:val="20"/>
        <w:szCs w:val="20"/>
      </w:rPr>
      <w:t>;1</w:t>
    </w:r>
    <w:r w:rsidRPr="00CB32C1">
      <w:rPr>
        <w:rFonts w:hint="eastAsia"/>
        <w:sz w:val="20"/>
        <w:szCs w:val="20"/>
      </w:rPr>
      <w:t>2</w:t>
    </w:r>
    <w:proofErr w:type="gramEnd"/>
    <w:r w:rsidRPr="00CB32C1">
      <w:rPr>
        <w:sz w:val="20"/>
        <w:szCs w:val="20"/>
      </w:rPr>
      <w:t>(</w:t>
    </w:r>
    <w:r w:rsidRPr="00CB32C1">
      <w:rPr>
        <w:rFonts w:hint="eastAsia"/>
        <w:sz w:val="20"/>
        <w:szCs w:val="20"/>
      </w:rPr>
      <w:t>4</w:t>
    </w:r>
    <w:r w:rsidRPr="00CB32C1">
      <w:rPr>
        <w:sz w:val="20"/>
        <w:szCs w:val="20"/>
      </w:rPr>
      <w:t xml:space="preserve">) </w:t>
    </w:r>
    <w:r w:rsidRPr="00CB32C1">
      <w:rPr>
        <w:color w:val="000000"/>
        <w:sz w:val="20"/>
        <w:szCs w:val="20"/>
      </w:rPr>
      <w:t xml:space="preserve"> </w:t>
    </w:r>
    <w:r w:rsidRPr="00CB32C1">
      <w:rPr>
        <w:rFonts w:hint="eastAsia"/>
        <w:color w:val="000000"/>
        <w:sz w:val="20"/>
        <w:szCs w:val="20"/>
      </w:rPr>
      <w:tab/>
    </w:r>
    <w:r w:rsidRPr="00CB32C1">
      <w:rPr>
        <w:color w:val="000000"/>
        <w:sz w:val="20"/>
        <w:szCs w:val="20"/>
      </w:rPr>
      <w:t xml:space="preserve"> </w:t>
    </w:r>
    <w:hyperlink r:id="rId1" w:history="1">
      <w:r w:rsidRPr="00CB32C1">
        <w:rPr>
          <w:rStyle w:val="Hyperlink"/>
          <w:sz w:val="20"/>
          <w:szCs w:val="20"/>
        </w:rPr>
        <w:t>http://www.sciencepub.net/nature</w:t>
      </w:r>
    </w:hyperlink>
  </w:p>
  <w:p w:rsidR="00CB32C1" w:rsidRPr="00CB32C1" w:rsidRDefault="00CB32C1" w:rsidP="00CB32C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E0195"/>
    <w:multiLevelType w:val="hybridMultilevel"/>
    <w:tmpl w:val="BE36A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50188"/>
    <w:multiLevelType w:val="hybridMultilevel"/>
    <w:tmpl w:val="BC50E8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351BD2"/>
    <w:multiLevelType w:val="hybridMultilevel"/>
    <w:tmpl w:val="E01E92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1616"/>
    <w:rsid w:val="00067FB1"/>
    <w:rsid w:val="00080CE9"/>
    <w:rsid w:val="000827B7"/>
    <w:rsid w:val="00090A06"/>
    <w:rsid w:val="000C5F1C"/>
    <w:rsid w:val="000D4463"/>
    <w:rsid w:val="000E1B44"/>
    <w:rsid w:val="0010794D"/>
    <w:rsid w:val="001817C7"/>
    <w:rsid w:val="001901BB"/>
    <w:rsid w:val="001A678A"/>
    <w:rsid w:val="001A7B06"/>
    <w:rsid w:val="001B41B8"/>
    <w:rsid w:val="001E0E9B"/>
    <w:rsid w:val="00280721"/>
    <w:rsid w:val="002A3F39"/>
    <w:rsid w:val="002A4633"/>
    <w:rsid w:val="002B247A"/>
    <w:rsid w:val="002C042E"/>
    <w:rsid w:val="002D420C"/>
    <w:rsid w:val="002F17FB"/>
    <w:rsid w:val="002F20CD"/>
    <w:rsid w:val="002F682C"/>
    <w:rsid w:val="00306818"/>
    <w:rsid w:val="00314F95"/>
    <w:rsid w:val="00322FAB"/>
    <w:rsid w:val="00342698"/>
    <w:rsid w:val="00345581"/>
    <w:rsid w:val="003506F8"/>
    <w:rsid w:val="003C7F3D"/>
    <w:rsid w:val="003D3BEC"/>
    <w:rsid w:val="003E6D9C"/>
    <w:rsid w:val="0042390D"/>
    <w:rsid w:val="00456753"/>
    <w:rsid w:val="0046418C"/>
    <w:rsid w:val="00471E57"/>
    <w:rsid w:val="00483EC9"/>
    <w:rsid w:val="0049143E"/>
    <w:rsid w:val="004B04C5"/>
    <w:rsid w:val="004D0467"/>
    <w:rsid w:val="004E74A8"/>
    <w:rsid w:val="00505164"/>
    <w:rsid w:val="00542054"/>
    <w:rsid w:val="00545042"/>
    <w:rsid w:val="005554CB"/>
    <w:rsid w:val="00575CA3"/>
    <w:rsid w:val="005817BD"/>
    <w:rsid w:val="00585CEE"/>
    <w:rsid w:val="00592C64"/>
    <w:rsid w:val="00593132"/>
    <w:rsid w:val="005A3F71"/>
    <w:rsid w:val="005B0787"/>
    <w:rsid w:val="005B5B57"/>
    <w:rsid w:val="005C2F35"/>
    <w:rsid w:val="005F559E"/>
    <w:rsid w:val="005F5E04"/>
    <w:rsid w:val="0065209A"/>
    <w:rsid w:val="00681A26"/>
    <w:rsid w:val="006838DC"/>
    <w:rsid w:val="006D2418"/>
    <w:rsid w:val="006D5C2E"/>
    <w:rsid w:val="006E183B"/>
    <w:rsid w:val="006E6ACB"/>
    <w:rsid w:val="006F1706"/>
    <w:rsid w:val="006F5A6B"/>
    <w:rsid w:val="00734A5D"/>
    <w:rsid w:val="00736333"/>
    <w:rsid w:val="0078507E"/>
    <w:rsid w:val="007D746F"/>
    <w:rsid w:val="007E07D6"/>
    <w:rsid w:val="007E2AC7"/>
    <w:rsid w:val="007F0924"/>
    <w:rsid w:val="00800B54"/>
    <w:rsid w:val="00814FA7"/>
    <w:rsid w:val="00817F9F"/>
    <w:rsid w:val="0084091B"/>
    <w:rsid w:val="0086084B"/>
    <w:rsid w:val="008A20AC"/>
    <w:rsid w:val="008A37E9"/>
    <w:rsid w:val="008B3FE5"/>
    <w:rsid w:val="008B4831"/>
    <w:rsid w:val="008C20E4"/>
    <w:rsid w:val="008C77B7"/>
    <w:rsid w:val="008D5CFB"/>
    <w:rsid w:val="0091208A"/>
    <w:rsid w:val="00914558"/>
    <w:rsid w:val="00920E61"/>
    <w:rsid w:val="0093397E"/>
    <w:rsid w:val="0094140D"/>
    <w:rsid w:val="00941AF4"/>
    <w:rsid w:val="009458E4"/>
    <w:rsid w:val="009459B3"/>
    <w:rsid w:val="00952EB8"/>
    <w:rsid w:val="00966860"/>
    <w:rsid w:val="00973C1F"/>
    <w:rsid w:val="0098716A"/>
    <w:rsid w:val="00A23F62"/>
    <w:rsid w:val="00A2654E"/>
    <w:rsid w:val="00A3476D"/>
    <w:rsid w:val="00A432E9"/>
    <w:rsid w:val="00AC79DC"/>
    <w:rsid w:val="00AC7FA4"/>
    <w:rsid w:val="00AF1F89"/>
    <w:rsid w:val="00B3167C"/>
    <w:rsid w:val="00B35579"/>
    <w:rsid w:val="00B47F73"/>
    <w:rsid w:val="00B60E8D"/>
    <w:rsid w:val="00B76B73"/>
    <w:rsid w:val="00B80C0E"/>
    <w:rsid w:val="00BB1BF7"/>
    <w:rsid w:val="00BB4BDD"/>
    <w:rsid w:val="00BD2A8D"/>
    <w:rsid w:val="00BD7432"/>
    <w:rsid w:val="00BF6579"/>
    <w:rsid w:val="00C34123"/>
    <w:rsid w:val="00C412DE"/>
    <w:rsid w:val="00C43A46"/>
    <w:rsid w:val="00C55FBD"/>
    <w:rsid w:val="00C8147E"/>
    <w:rsid w:val="00C92F68"/>
    <w:rsid w:val="00C97F4A"/>
    <w:rsid w:val="00CB2C09"/>
    <w:rsid w:val="00CB32C1"/>
    <w:rsid w:val="00CC6217"/>
    <w:rsid w:val="00CD54D0"/>
    <w:rsid w:val="00CE7B2F"/>
    <w:rsid w:val="00D037D4"/>
    <w:rsid w:val="00D202D2"/>
    <w:rsid w:val="00D26F2E"/>
    <w:rsid w:val="00D3777A"/>
    <w:rsid w:val="00D50DF2"/>
    <w:rsid w:val="00D83736"/>
    <w:rsid w:val="00DF2F98"/>
    <w:rsid w:val="00DF7353"/>
    <w:rsid w:val="00E15744"/>
    <w:rsid w:val="00E2794F"/>
    <w:rsid w:val="00E667CD"/>
    <w:rsid w:val="00EC5C53"/>
    <w:rsid w:val="00ED4441"/>
    <w:rsid w:val="00EF3BA2"/>
    <w:rsid w:val="00EF4701"/>
    <w:rsid w:val="00EF7B17"/>
    <w:rsid w:val="00F24CCE"/>
    <w:rsid w:val="00F4399A"/>
    <w:rsid w:val="00F45062"/>
    <w:rsid w:val="00F46A5E"/>
    <w:rsid w:val="00F52FCB"/>
    <w:rsid w:val="00F6676A"/>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F1F89"/>
    <w:pPr>
      <w:keepNext/>
      <w:tabs>
        <w:tab w:val="num" w:pos="0"/>
      </w:tabs>
      <w:outlineLvl w:val="0"/>
    </w:pPr>
    <w:rPr>
      <w:b/>
      <w:bCs/>
      <w:sz w:val="32"/>
    </w:rPr>
  </w:style>
  <w:style w:type="paragraph" w:styleId="Heading2">
    <w:name w:val="heading 2"/>
    <w:basedOn w:val="Normal"/>
    <w:next w:val="Normal"/>
    <w:qFormat/>
    <w:rsid w:val="00AF1F89"/>
    <w:pPr>
      <w:keepNext/>
      <w:tabs>
        <w:tab w:val="num" w:pos="0"/>
      </w:tabs>
      <w:jc w:val="both"/>
      <w:outlineLvl w:val="1"/>
    </w:pPr>
    <w:rPr>
      <w:b/>
      <w:sz w:val="28"/>
    </w:rPr>
  </w:style>
  <w:style w:type="paragraph" w:styleId="Heading3">
    <w:name w:val="heading 3"/>
    <w:basedOn w:val="Normal"/>
    <w:next w:val="Normal"/>
    <w:qFormat/>
    <w:rsid w:val="00AF1F89"/>
    <w:pPr>
      <w:keepNext/>
      <w:tabs>
        <w:tab w:val="num" w:pos="0"/>
      </w:tabs>
      <w:spacing w:line="360" w:lineRule="auto"/>
      <w:jc w:val="both"/>
      <w:outlineLvl w:val="2"/>
    </w:pPr>
    <w:rPr>
      <w:b/>
      <w:bCs/>
    </w:rPr>
  </w:style>
  <w:style w:type="paragraph" w:styleId="Heading6">
    <w:name w:val="heading 6"/>
    <w:basedOn w:val="Normal"/>
    <w:next w:val="Normal"/>
    <w:qFormat/>
    <w:rsid w:val="00AF1F8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F1F89"/>
  </w:style>
  <w:style w:type="character" w:customStyle="1" w:styleId="WW-Absatz-Standardschriftart">
    <w:name w:val="WW-Absatz-Standardschriftart"/>
    <w:rsid w:val="00AF1F89"/>
  </w:style>
  <w:style w:type="character" w:customStyle="1" w:styleId="WW-Absatz-Standardschriftart1">
    <w:name w:val="WW-Absatz-Standardschriftart1"/>
    <w:rsid w:val="00AF1F89"/>
  </w:style>
  <w:style w:type="character" w:customStyle="1" w:styleId="WW-Absatz-Standardschriftart11">
    <w:name w:val="WW-Absatz-Standardschriftart11"/>
    <w:rsid w:val="00AF1F89"/>
  </w:style>
  <w:style w:type="character" w:customStyle="1" w:styleId="WW-Absatz-Standardschriftart111">
    <w:name w:val="WW-Absatz-Standardschriftart111"/>
    <w:rsid w:val="00AF1F89"/>
  </w:style>
  <w:style w:type="character" w:customStyle="1" w:styleId="WW-Absatz-Standardschriftart1111">
    <w:name w:val="WW-Absatz-Standardschriftart1111"/>
    <w:rsid w:val="00AF1F89"/>
  </w:style>
  <w:style w:type="character" w:customStyle="1" w:styleId="WW-Absatz-Standardschriftart11111">
    <w:name w:val="WW-Absatz-Standardschriftart11111"/>
    <w:rsid w:val="00AF1F89"/>
  </w:style>
  <w:style w:type="character" w:customStyle="1" w:styleId="WW-Absatz-Standardschriftart111111">
    <w:name w:val="WW-Absatz-Standardschriftart111111"/>
    <w:rsid w:val="00AF1F89"/>
  </w:style>
  <w:style w:type="character" w:customStyle="1" w:styleId="WW-Absatz-Standardschriftart1111111">
    <w:name w:val="WW-Absatz-Standardschriftart1111111"/>
    <w:rsid w:val="00AF1F89"/>
  </w:style>
  <w:style w:type="character" w:customStyle="1" w:styleId="WW-Absatz-Standardschriftart11111111">
    <w:name w:val="WW-Absatz-Standardschriftart11111111"/>
    <w:rsid w:val="00AF1F89"/>
  </w:style>
  <w:style w:type="character" w:customStyle="1" w:styleId="WW-Absatz-Standardschriftart111111111">
    <w:name w:val="WW-Absatz-Standardschriftart111111111"/>
    <w:rsid w:val="00AF1F89"/>
  </w:style>
  <w:style w:type="character" w:customStyle="1" w:styleId="WW-Absatz-Standardschriftart1111111111">
    <w:name w:val="WW-Absatz-Standardschriftart1111111111"/>
    <w:rsid w:val="00AF1F89"/>
  </w:style>
  <w:style w:type="character" w:customStyle="1" w:styleId="WW-Absatz-Standardschriftart11111111111">
    <w:name w:val="WW-Absatz-Standardschriftart11111111111"/>
    <w:rsid w:val="00AF1F89"/>
  </w:style>
  <w:style w:type="character" w:customStyle="1" w:styleId="WW-Absatz-Standardschriftart111111111111">
    <w:name w:val="WW-Absatz-Standardschriftart111111111111"/>
    <w:rsid w:val="00AF1F89"/>
  </w:style>
  <w:style w:type="character" w:customStyle="1" w:styleId="WW-Absatz-Standardschriftart1111111111111">
    <w:name w:val="WW-Absatz-Standardschriftart1111111111111"/>
    <w:rsid w:val="00AF1F89"/>
  </w:style>
  <w:style w:type="character" w:customStyle="1" w:styleId="WW-Absatz-Standardschriftart11111111111111">
    <w:name w:val="WW-Absatz-Standardschriftart11111111111111"/>
    <w:rsid w:val="00AF1F89"/>
  </w:style>
  <w:style w:type="character" w:customStyle="1" w:styleId="WW-Absatz-Standardschriftart111111111111111">
    <w:name w:val="WW-Absatz-Standardschriftart111111111111111"/>
    <w:rsid w:val="00AF1F89"/>
  </w:style>
  <w:style w:type="character" w:customStyle="1" w:styleId="WW-Absatz-Standardschriftart1111111111111111">
    <w:name w:val="WW-Absatz-Standardschriftart1111111111111111"/>
    <w:rsid w:val="00AF1F89"/>
  </w:style>
  <w:style w:type="character" w:customStyle="1" w:styleId="WW8Num1z0">
    <w:name w:val="WW8Num1z0"/>
    <w:rsid w:val="00AF1F89"/>
    <w:rPr>
      <w:rFonts w:ascii="Symbol" w:eastAsia="Times New Roman" w:hAnsi="Symbol" w:cs="Times New Roman"/>
    </w:rPr>
  </w:style>
  <w:style w:type="character" w:customStyle="1" w:styleId="WW8Num1z1">
    <w:name w:val="WW8Num1z1"/>
    <w:rsid w:val="00AF1F89"/>
    <w:rPr>
      <w:rFonts w:ascii="Courier New" w:hAnsi="Courier New" w:cs="Courier New"/>
    </w:rPr>
  </w:style>
  <w:style w:type="character" w:customStyle="1" w:styleId="WW8Num1z2">
    <w:name w:val="WW8Num1z2"/>
    <w:rsid w:val="00AF1F89"/>
    <w:rPr>
      <w:rFonts w:ascii="Wingdings" w:hAnsi="Wingdings"/>
    </w:rPr>
  </w:style>
  <w:style w:type="character" w:customStyle="1" w:styleId="WW8Num1z3">
    <w:name w:val="WW8Num1z3"/>
    <w:rsid w:val="00AF1F89"/>
    <w:rPr>
      <w:rFonts w:ascii="Symbol" w:hAnsi="Symbol"/>
    </w:rPr>
  </w:style>
  <w:style w:type="character" w:styleId="PageNumber">
    <w:name w:val="page number"/>
    <w:basedOn w:val="DefaultParagraphFont"/>
    <w:rsid w:val="00AF1F89"/>
  </w:style>
  <w:style w:type="character" w:styleId="Hyperlink">
    <w:name w:val="Hyperlink"/>
    <w:basedOn w:val="DefaultParagraphFont"/>
    <w:uiPriority w:val="99"/>
    <w:rsid w:val="00AF1F89"/>
    <w:rPr>
      <w:color w:val="0000FF"/>
      <w:u w:val="single"/>
    </w:rPr>
  </w:style>
  <w:style w:type="character" w:styleId="FollowedHyperlink">
    <w:name w:val="FollowedHyperlink"/>
    <w:basedOn w:val="DefaultParagraphFont"/>
    <w:rsid w:val="00AF1F89"/>
    <w:rPr>
      <w:color w:val="800080"/>
      <w:u w:val="single"/>
    </w:rPr>
  </w:style>
  <w:style w:type="character" w:customStyle="1" w:styleId="NumberingSymbols">
    <w:name w:val="Numbering Symbols"/>
    <w:rsid w:val="00AF1F89"/>
  </w:style>
  <w:style w:type="paragraph" w:customStyle="1" w:styleId="Heading">
    <w:name w:val="Heading"/>
    <w:basedOn w:val="Normal"/>
    <w:next w:val="BodyText"/>
    <w:rsid w:val="00AF1F8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1"/>
    <w:qFormat/>
    <w:rsid w:val="00AF1F89"/>
    <w:pPr>
      <w:spacing w:line="360" w:lineRule="auto"/>
    </w:pPr>
  </w:style>
  <w:style w:type="character" w:customStyle="1" w:styleId="BodyTextChar">
    <w:name w:val="Body Text Char"/>
    <w:basedOn w:val="DefaultParagraphFont"/>
    <w:link w:val="BodyText"/>
    <w:uiPriority w:val="1"/>
    <w:rsid w:val="00EF7B17"/>
    <w:rPr>
      <w:sz w:val="24"/>
      <w:szCs w:val="24"/>
      <w:lang w:eastAsia="ar-SA"/>
    </w:rPr>
  </w:style>
  <w:style w:type="paragraph" w:styleId="List">
    <w:name w:val="List"/>
    <w:basedOn w:val="BodyText"/>
    <w:rsid w:val="00AF1F89"/>
  </w:style>
  <w:style w:type="paragraph" w:styleId="Caption">
    <w:name w:val="caption"/>
    <w:basedOn w:val="Normal"/>
    <w:qFormat/>
    <w:rsid w:val="00AF1F89"/>
    <w:pPr>
      <w:suppressLineNumbers/>
      <w:spacing w:before="120" w:after="120"/>
    </w:pPr>
    <w:rPr>
      <w:i/>
      <w:iCs/>
    </w:rPr>
  </w:style>
  <w:style w:type="paragraph" w:customStyle="1" w:styleId="Index">
    <w:name w:val="Index"/>
    <w:basedOn w:val="Normal"/>
    <w:rsid w:val="00AF1F89"/>
    <w:pPr>
      <w:suppressLineNumbers/>
    </w:pPr>
  </w:style>
  <w:style w:type="paragraph" w:styleId="Header">
    <w:name w:val="header"/>
    <w:basedOn w:val="Normal"/>
    <w:next w:val="Heading1"/>
    <w:link w:val="HeaderChar"/>
    <w:uiPriority w:val="99"/>
    <w:rsid w:val="00AF1F89"/>
    <w:pPr>
      <w:tabs>
        <w:tab w:val="center" w:pos="4320"/>
        <w:tab w:val="right" w:pos="8640"/>
      </w:tabs>
    </w:p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paragraph" w:styleId="BodyTextIndent3">
    <w:name w:val="Body Text Indent 3"/>
    <w:basedOn w:val="Normal"/>
    <w:rsid w:val="00AF1F89"/>
    <w:pPr>
      <w:spacing w:line="360" w:lineRule="auto"/>
      <w:ind w:firstLine="720"/>
      <w:jc w:val="both"/>
    </w:pPr>
    <w:rPr>
      <w:b/>
      <w:bCs/>
    </w:rPr>
  </w:style>
  <w:style w:type="paragraph" w:styleId="BodyTextIndent">
    <w:name w:val="Body Text Indent"/>
    <w:basedOn w:val="Normal"/>
    <w:rsid w:val="00AF1F89"/>
    <w:pPr>
      <w:ind w:left="540" w:hanging="720"/>
      <w:jc w:val="both"/>
    </w:pPr>
  </w:style>
  <w:style w:type="paragraph" w:styleId="BodyTextIndent2">
    <w:name w:val="Body Text Indent 2"/>
    <w:basedOn w:val="Normal"/>
    <w:rsid w:val="00AF1F89"/>
    <w:pPr>
      <w:spacing w:line="360" w:lineRule="auto"/>
      <w:ind w:firstLine="720"/>
      <w:jc w:val="both"/>
    </w:pPr>
  </w:style>
  <w:style w:type="paragraph" w:styleId="BodyText2">
    <w:name w:val="Body Text 2"/>
    <w:basedOn w:val="Normal"/>
    <w:rsid w:val="00AF1F89"/>
    <w:pPr>
      <w:spacing w:line="360" w:lineRule="auto"/>
      <w:jc w:val="both"/>
    </w:pPr>
  </w:style>
  <w:style w:type="paragraph" w:styleId="Footer">
    <w:name w:val="footer"/>
    <w:basedOn w:val="Normal"/>
    <w:link w:val="FooterChar"/>
    <w:uiPriority w:val="99"/>
    <w:rsid w:val="00AF1F89"/>
    <w:pPr>
      <w:tabs>
        <w:tab w:val="center" w:pos="4320"/>
        <w:tab w:val="right" w:pos="8640"/>
      </w:tabs>
    </w:pPr>
    <w:rPr>
      <w:sz w:val="32"/>
    </w:rPr>
  </w:style>
  <w:style w:type="character" w:customStyle="1" w:styleId="FooterChar">
    <w:name w:val="Footer Char"/>
    <w:basedOn w:val="DefaultParagraphFont"/>
    <w:link w:val="Footer"/>
    <w:uiPriority w:val="99"/>
    <w:rsid w:val="00EF7B17"/>
    <w:rPr>
      <w:sz w:val="32"/>
      <w:szCs w:val="24"/>
      <w:lang w:eastAsia="ar-SA"/>
    </w:rPr>
  </w:style>
  <w:style w:type="paragraph" w:customStyle="1" w:styleId="TableContents">
    <w:name w:val="Table Contents"/>
    <w:basedOn w:val="Normal"/>
    <w:rsid w:val="00AF1F89"/>
    <w:pPr>
      <w:suppressLineNumbers/>
    </w:pPr>
  </w:style>
  <w:style w:type="paragraph" w:customStyle="1" w:styleId="TableHeading">
    <w:name w:val="Table Heading"/>
    <w:basedOn w:val="TableContents"/>
    <w:rsid w:val="00AF1F89"/>
    <w:pPr>
      <w:jc w:val="center"/>
    </w:pPr>
    <w:rPr>
      <w:b/>
      <w:bCs/>
    </w:rPr>
  </w:style>
  <w:style w:type="paragraph" w:customStyle="1" w:styleId="Framecontents">
    <w:name w:val="Frame contents"/>
    <w:basedOn w:val="BodyText"/>
    <w:rsid w:val="00AF1F89"/>
  </w:style>
  <w:style w:type="paragraph" w:customStyle="1" w:styleId="Text">
    <w:name w:val="Text"/>
    <w:basedOn w:val="Normal"/>
    <w:rsid w:val="00AF1F89"/>
    <w:pPr>
      <w:autoSpaceDE w:val="0"/>
      <w:spacing w:line="252" w:lineRule="auto"/>
      <w:ind w:firstLine="202"/>
    </w:pPr>
    <w:rPr>
      <w:rFonts w:eastAsia="PMingLiU"/>
      <w:kern w:val="1"/>
      <w:sz w:val="20"/>
      <w:szCs w:val="20"/>
    </w:rPr>
  </w:style>
  <w:style w:type="character" w:customStyle="1" w:styleId="A7">
    <w:name w:val="A7"/>
    <w:uiPriority w:val="99"/>
    <w:rsid w:val="00EF7B17"/>
    <w:rPr>
      <w:color w:val="221E1F"/>
      <w:sz w:val="22"/>
      <w:szCs w:val="22"/>
    </w:rPr>
  </w:style>
  <w:style w:type="paragraph" w:styleId="NoSpacing">
    <w:name w:val="No Spacing"/>
    <w:uiPriority w:val="1"/>
    <w:qFormat/>
    <w:rsid w:val="00EF7B17"/>
    <w:rPr>
      <w:rFonts w:ascii="Calibri" w:eastAsia="Calibri" w:hAnsi="Calibri" w:cs="Arial"/>
      <w:sz w:val="22"/>
      <w:szCs w:val="22"/>
      <w:lang w:eastAsia="en-US"/>
    </w:rPr>
  </w:style>
  <w:style w:type="paragraph" w:styleId="PlainText">
    <w:name w:val="Plain Text"/>
    <w:basedOn w:val="Normal"/>
    <w:link w:val="PlainTextChar"/>
    <w:rsid w:val="00EF7B17"/>
    <w:pPr>
      <w:suppressAutoHyphens w:val="0"/>
      <w:bidi/>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EF7B17"/>
    <w:rPr>
      <w:rFonts w:ascii="Courier New" w:eastAsia="Times New Roman" w:hAnsi="Courier New" w:cs="Courier New"/>
    </w:rPr>
  </w:style>
  <w:style w:type="character" w:styleId="CommentReference">
    <w:name w:val="annotation reference"/>
    <w:basedOn w:val="DefaultParagraphFont"/>
    <w:uiPriority w:val="99"/>
    <w:semiHidden/>
    <w:unhideWhenUsed/>
    <w:rsid w:val="005B0787"/>
    <w:rPr>
      <w:sz w:val="16"/>
      <w:szCs w:val="16"/>
    </w:rPr>
  </w:style>
  <w:style w:type="paragraph" w:styleId="CommentText">
    <w:name w:val="annotation text"/>
    <w:basedOn w:val="Normal"/>
    <w:link w:val="CommentTextChar"/>
    <w:uiPriority w:val="99"/>
    <w:semiHidden/>
    <w:unhideWhenUsed/>
    <w:rsid w:val="005B0787"/>
    <w:rPr>
      <w:sz w:val="20"/>
      <w:szCs w:val="20"/>
    </w:rPr>
  </w:style>
  <w:style w:type="character" w:customStyle="1" w:styleId="CommentTextChar">
    <w:name w:val="Comment Text Char"/>
    <w:basedOn w:val="DefaultParagraphFont"/>
    <w:link w:val="CommentText"/>
    <w:uiPriority w:val="99"/>
    <w:semiHidden/>
    <w:rsid w:val="005B0787"/>
    <w:rPr>
      <w:lang w:val="en-US" w:eastAsia="ar-SA"/>
    </w:rPr>
  </w:style>
  <w:style w:type="paragraph" w:styleId="CommentSubject">
    <w:name w:val="annotation subject"/>
    <w:basedOn w:val="CommentText"/>
    <w:next w:val="CommentText"/>
    <w:link w:val="CommentSubjectChar"/>
    <w:uiPriority w:val="99"/>
    <w:semiHidden/>
    <w:unhideWhenUsed/>
    <w:rsid w:val="005B0787"/>
    <w:rPr>
      <w:b/>
      <w:bCs/>
    </w:rPr>
  </w:style>
  <w:style w:type="character" w:customStyle="1" w:styleId="CommentSubjectChar">
    <w:name w:val="Comment Subject Char"/>
    <w:basedOn w:val="CommentTextChar"/>
    <w:link w:val="CommentSubject"/>
    <w:uiPriority w:val="99"/>
    <w:semiHidden/>
    <w:rsid w:val="005B0787"/>
    <w:rPr>
      <w:b/>
      <w:bCs/>
    </w:rPr>
  </w:style>
  <w:style w:type="paragraph" w:styleId="BalloonText">
    <w:name w:val="Balloon Text"/>
    <w:basedOn w:val="Normal"/>
    <w:link w:val="BalloonTextChar"/>
    <w:uiPriority w:val="99"/>
    <w:semiHidden/>
    <w:unhideWhenUsed/>
    <w:rsid w:val="005B0787"/>
    <w:rPr>
      <w:rFonts w:ascii="Tahoma" w:hAnsi="Tahoma" w:cs="Tahoma"/>
      <w:sz w:val="16"/>
      <w:szCs w:val="16"/>
    </w:rPr>
  </w:style>
  <w:style w:type="character" w:customStyle="1" w:styleId="BalloonTextChar">
    <w:name w:val="Balloon Text Char"/>
    <w:basedOn w:val="DefaultParagraphFont"/>
    <w:link w:val="BalloonText"/>
    <w:uiPriority w:val="99"/>
    <w:semiHidden/>
    <w:rsid w:val="005B0787"/>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ncbi.nlm.nih.gov/sites/entrez?Db=pubmed&amp;Cmd=Search&amp;Term=%22Bernt%20E%22%5BAuthor%5D&amp;itool=EntrezSystem2.PEntrez.Pubmed.Pubmed_ResultsPanel.Pubmed_RVAbstract" TargetMode="External"/><Relationship Id="rId3" Type="http://schemas.openxmlformats.org/officeDocument/2006/relationships/settings" Target="settings.xml"/><Relationship Id="rId7" Type="http://schemas.openxmlformats.org/officeDocument/2006/relationships/hyperlink" Target="mailto:Omarshaheen2010@yahoo.com" TargetMode="External"/><Relationship Id="rId12" Type="http://schemas.openxmlformats.org/officeDocument/2006/relationships/hyperlink" Target="http://www.ncbi.nlm.nih.gov/sites/entrez?Db=pubmed&amp;Cmd=Search&amp;Term=%22R%C3%B6schlau%20P%22%5BAuthor%5D&amp;itool=EntrezSystem2.PEntrez.Pubmed.Pubmed_ResultsPanel.Pubmed_RVAbstr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AL_get(this,%20'jour',%20'Z%20Klin%20Chem%20Klin%20Bioche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sites/entrez?Db=pubmed&amp;Cmd=Search&amp;Term=%22Gruber%20W%22%5BAuthor%5D&amp;itool=EntrezSystem2.PEntrez.Pubmed.Pubmed_ResultsPanel.Pubmed_RVAbstrac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42769</CharactersWithSpaces>
  <SharedDoc>false</SharedDoc>
  <HLinks>
    <vt:vector size="54" baseType="variant">
      <vt:variant>
        <vt:i4>3735553</vt:i4>
      </vt:variant>
      <vt:variant>
        <vt:i4>15</vt:i4>
      </vt:variant>
      <vt:variant>
        <vt:i4>0</vt:i4>
      </vt:variant>
      <vt:variant>
        <vt:i4>5</vt:i4>
      </vt:variant>
      <vt:variant>
        <vt:lpwstr>javascript:AL_get(this, 'jour', 'Z Klin Chem Klin Biochem.');</vt:lpwstr>
      </vt:variant>
      <vt:variant>
        <vt:lpwstr/>
      </vt:variant>
      <vt:variant>
        <vt:i4>393308</vt:i4>
      </vt:variant>
      <vt:variant>
        <vt:i4>12</vt:i4>
      </vt:variant>
      <vt:variant>
        <vt:i4>0</vt:i4>
      </vt:variant>
      <vt:variant>
        <vt:i4>5</vt:i4>
      </vt:variant>
      <vt:variant>
        <vt:lpwstr>http://www.ncbi.nlm.nih.gov/sites/entrez?Db=pubmed&amp;Cmd=Search&amp;Term=%22Gruber%20W%22%5BAuthor%5D&amp;itool=EntrezSystem2.PEntrez.Pubmed.Pubmed_ResultsPanel.Pubmed_RVAbstract</vt:lpwstr>
      </vt:variant>
      <vt:variant>
        <vt:lpwstr/>
      </vt:variant>
      <vt:variant>
        <vt:i4>2556001</vt:i4>
      </vt:variant>
      <vt:variant>
        <vt:i4>9</vt:i4>
      </vt:variant>
      <vt:variant>
        <vt:i4>0</vt:i4>
      </vt:variant>
      <vt:variant>
        <vt:i4>5</vt:i4>
      </vt:variant>
      <vt:variant>
        <vt:lpwstr>http://www.ncbi.nlm.nih.gov/sites/entrez?Db=pubmed&amp;Cmd=Search&amp;Term=%22Bernt%20E%22%5BAuthor%5D&amp;itool=EntrezSystem2.PEntrez.Pubmed.Pubmed_ResultsPanel.Pubmed_RVAbstract</vt:lpwstr>
      </vt:variant>
      <vt:variant>
        <vt:lpwstr/>
      </vt:variant>
      <vt:variant>
        <vt:i4>2228328</vt:i4>
      </vt:variant>
      <vt:variant>
        <vt:i4>6</vt:i4>
      </vt:variant>
      <vt:variant>
        <vt:i4>0</vt:i4>
      </vt:variant>
      <vt:variant>
        <vt:i4>5</vt:i4>
      </vt:variant>
      <vt:variant>
        <vt:lpwstr>http://www.ncbi.nlm.nih.gov/sites/entrez?Db=pubmed&amp;Cmd=Search&amp;Term=%22R%C3%B6schlau%20P%22%5BAuthor%5D&amp;itool=EntrezSystem2.PEntrez.Pubmed.Pubmed_ResultsPanel.Pubmed_RVAbstract</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327740</vt:i4>
      </vt:variant>
      <vt:variant>
        <vt:i4>0</vt:i4>
      </vt:variant>
      <vt:variant>
        <vt:i4>0</vt:i4>
      </vt:variant>
      <vt:variant>
        <vt:i4>5</vt:i4>
      </vt:variant>
      <vt:variant>
        <vt:lpwstr>mailto:Omarshaheen2010@yahoo.com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2014-03-19T07:10:00Z</cp:lastPrinted>
  <dcterms:created xsi:type="dcterms:W3CDTF">2014-03-18T07:19:00Z</dcterms:created>
  <dcterms:modified xsi:type="dcterms:W3CDTF">2014-03-19T07:10:00Z</dcterms:modified>
</cp:coreProperties>
</file>