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880" w:rsidRPr="00885061" w:rsidRDefault="00BC1880" w:rsidP="00885061">
      <w:pPr>
        <w:pStyle w:val="NoSpacing"/>
        <w:snapToGrid w:val="0"/>
        <w:jc w:val="center"/>
        <w:rPr>
          <w:sz w:val="20"/>
          <w:szCs w:val="20"/>
          <w:lang w:val="en-GB"/>
        </w:rPr>
      </w:pPr>
      <w:r w:rsidRPr="00885061">
        <w:rPr>
          <w:b/>
          <w:sz w:val="20"/>
          <w:szCs w:val="20"/>
          <w:lang w:val="en-GB"/>
        </w:rPr>
        <w:t>Prevalence of extended-spectrum β-</w:t>
      </w:r>
      <w:proofErr w:type="spellStart"/>
      <w:r w:rsidRPr="00885061">
        <w:rPr>
          <w:b/>
          <w:sz w:val="20"/>
          <w:szCs w:val="20"/>
          <w:lang w:val="en-GB"/>
        </w:rPr>
        <w:t>lactamase</w:t>
      </w:r>
      <w:proofErr w:type="spellEnd"/>
      <w:r w:rsidRPr="00885061">
        <w:rPr>
          <w:b/>
          <w:sz w:val="20"/>
          <w:szCs w:val="20"/>
          <w:lang w:val="en-GB"/>
        </w:rPr>
        <w:t xml:space="preserve"> producing isolates from asymptomatic </w:t>
      </w:r>
      <w:proofErr w:type="spellStart"/>
      <w:r w:rsidRPr="00885061">
        <w:rPr>
          <w:b/>
          <w:sz w:val="20"/>
          <w:szCs w:val="20"/>
          <w:lang w:val="en-GB"/>
        </w:rPr>
        <w:t>bacteriuria</w:t>
      </w:r>
      <w:proofErr w:type="spellEnd"/>
      <w:r w:rsidRPr="00885061">
        <w:rPr>
          <w:b/>
          <w:sz w:val="20"/>
          <w:szCs w:val="20"/>
          <w:lang w:val="en-GB"/>
        </w:rPr>
        <w:t xml:space="preserve"> among students in a tertiary institution in </w:t>
      </w:r>
      <w:proofErr w:type="spellStart"/>
      <w:proofErr w:type="gramStart"/>
      <w:r w:rsidRPr="00885061">
        <w:rPr>
          <w:b/>
          <w:sz w:val="20"/>
          <w:szCs w:val="20"/>
          <w:lang w:val="en-GB"/>
        </w:rPr>
        <w:t>ibadan</w:t>
      </w:r>
      <w:proofErr w:type="spellEnd"/>
      <w:proofErr w:type="gramEnd"/>
      <w:r w:rsidRPr="00885061">
        <w:rPr>
          <w:b/>
          <w:sz w:val="20"/>
          <w:szCs w:val="20"/>
          <w:lang w:val="en-GB"/>
        </w:rPr>
        <w:t>, Nigeria</w:t>
      </w:r>
      <w:r w:rsidRPr="00885061">
        <w:rPr>
          <w:sz w:val="20"/>
          <w:szCs w:val="20"/>
          <w:lang w:val="en-GB"/>
        </w:rPr>
        <w:t>.</w:t>
      </w:r>
    </w:p>
    <w:p w:rsidR="00BC1880" w:rsidRPr="00885061" w:rsidRDefault="00BC1880" w:rsidP="00885061">
      <w:pPr>
        <w:pStyle w:val="NoSpacing"/>
        <w:snapToGrid w:val="0"/>
        <w:jc w:val="center"/>
        <w:rPr>
          <w:sz w:val="20"/>
          <w:szCs w:val="20"/>
        </w:rPr>
      </w:pPr>
    </w:p>
    <w:p w:rsidR="00BC1880" w:rsidRPr="00885061" w:rsidRDefault="00BC1880" w:rsidP="00885061">
      <w:pPr>
        <w:pStyle w:val="NoSpacing"/>
        <w:snapToGrid w:val="0"/>
        <w:jc w:val="center"/>
        <w:rPr>
          <w:sz w:val="20"/>
          <w:szCs w:val="20"/>
        </w:rPr>
      </w:pPr>
      <w:proofErr w:type="spellStart"/>
      <w:r w:rsidRPr="00885061">
        <w:rPr>
          <w:sz w:val="20"/>
          <w:szCs w:val="20"/>
        </w:rPr>
        <w:t>Alabi</w:t>
      </w:r>
      <w:proofErr w:type="spellEnd"/>
      <w:r w:rsidRPr="00885061">
        <w:rPr>
          <w:sz w:val="20"/>
          <w:szCs w:val="20"/>
        </w:rPr>
        <w:t xml:space="preserve"> O. S.</w:t>
      </w:r>
      <w:r w:rsidRPr="00885061">
        <w:rPr>
          <w:sz w:val="20"/>
          <w:szCs w:val="20"/>
          <w:vertAlign w:val="superscript"/>
        </w:rPr>
        <w:t>1</w:t>
      </w:r>
      <w:r w:rsidRPr="00885061">
        <w:rPr>
          <w:sz w:val="20"/>
          <w:szCs w:val="20"/>
        </w:rPr>
        <w:t xml:space="preserve">, </w:t>
      </w:r>
      <w:proofErr w:type="spellStart"/>
      <w:r w:rsidRPr="00885061">
        <w:rPr>
          <w:sz w:val="20"/>
          <w:szCs w:val="20"/>
        </w:rPr>
        <w:t>Onyenwe</w:t>
      </w:r>
      <w:proofErr w:type="spellEnd"/>
      <w:r w:rsidRPr="00885061">
        <w:rPr>
          <w:sz w:val="20"/>
          <w:szCs w:val="20"/>
        </w:rPr>
        <w:t xml:space="preserve"> N. E.</w:t>
      </w:r>
      <w:r w:rsidRPr="00885061">
        <w:rPr>
          <w:sz w:val="20"/>
          <w:szCs w:val="20"/>
          <w:vertAlign w:val="superscript"/>
        </w:rPr>
        <w:t>2</w:t>
      </w:r>
      <w:r w:rsidRPr="00885061">
        <w:rPr>
          <w:sz w:val="20"/>
          <w:szCs w:val="20"/>
        </w:rPr>
        <w:t xml:space="preserve">, </w:t>
      </w:r>
      <w:proofErr w:type="spellStart"/>
      <w:r w:rsidRPr="00885061">
        <w:rPr>
          <w:sz w:val="20"/>
          <w:szCs w:val="20"/>
          <w:lang w:val="en-GB"/>
        </w:rPr>
        <w:t>Satoye</w:t>
      </w:r>
      <w:proofErr w:type="spellEnd"/>
      <w:r w:rsidRPr="00885061">
        <w:rPr>
          <w:sz w:val="20"/>
          <w:szCs w:val="20"/>
          <w:lang w:val="en-GB"/>
        </w:rPr>
        <w:t xml:space="preserve"> K. A.</w:t>
      </w:r>
      <w:r w:rsidRPr="00885061">
        <w:rPr>
          <w:sz w:val="20"/>
          <w:szCs w:val="20"/>
          <w:vertAlign w:val="superscript"/>
          <w:lang w:val="en-GB"/>
        </w:rPr>
        <w:t xml:space="preserve">3 </w:t>
      </w:r>
      <w:r w:rsidRPr="00885061">
        <w:rPr>
          <w:sz w:val="20"/>
          <w:szCs w:val="20"/>
          <w:lang w:val="en-GB"/>
        </w:rPr>
        <w:t xml:space="preserve">and </w:t>
      </w:r>
      <w:proofErr w:type="spellStart"/>
      <w:r w:rsidRPr="00885061">
        <w:rPr>
          <w:sz w:val="20"/>
          <w:szCs w:val="20"/>
          <w:lang w:val="en-GB"/>
        </w:rPr>
        <w:t>Adeleke</w:t>
      </w:r>
      <w:proofErr w:type="spellEnd"/>
      <w:r w:rsidRPr="00885061">
        <w:rPr>
          <w:sz w:val="20"/>
          <w:szCs w:val="20"/>
          <w:lang w:val="en-GB"/>
        </w:rPr>
        <w:t xml:space="preserve"> O. E.</w:t>
      </w:r>
      <w:r w:rsidRPr="00885061">
        <w:rPr>
          <w:sz w:val="20"/>
          <w:szCs w:val="20"/>
          <w:vertAlign w:val="superscript"/>
          <w:lang w:val="en-GB"/>
        </w:rPr>
        <w:t>4</w:t>
      </w:r>
    </w:p>
    <w:p w:rsidR="00BC1880" w:rsidRPr="00885061" w:rsidRDefault="00BC1880" w:rsidP="00885061">
      <w:pPr>
        <w:pStyle w:val="NoSpacing"/>
        <w:snapToGrid w:val="0"/>
        <w:jc w:val="center"/>
        <w:rPr>
          <w:sz w:val="20"/>
          <w:szCs w:val="20"/>
        </w:rPr>
      </w:pPr>
    </w:p>
    <w:p w:rsidR="00BC1880" w:rsidRPr="00885061" w:rsidRDefault="00BC1880" w:rsidP="00885061">
      <w:pPr>
        <w:pStyle w:val="NoSpacing"/>
        <w:snapToGrid w:val="0"/>
        <w:jc w:val="center"/>
        <w:rPr>
          <w:sz w:val="20"/>
          <w:szCs w:val="20"/>
        </w:rPr>
      </w:pPr>
      <w:r w:rsidRPr="00885061">
        <w:rPr>
          <w:sz w:val="20"/>
          <w:szCs w:val="20"/>
          <w:vertAlign w:val="superscript"/>
        </w:rPr>
        <w:t xml:space="preserve">1-4 </w:t>
      </w:r>
      <w:r w:rsidRPr="00885061">
        <w:rPr>
          <w:sz w:val="20"/>
          <w:szCs w:val="20"/>
        </w:rPr>
        <w:t>Department of Pharmaceutical Microbiology, Faculty of Pharmacy, University of Ibadan, Nigeria.</w:t>
      </w:r>
    </w:p>
    <w:p w:rsidR="00BC1880" w:rsidRPr="00885061" w:rsidRDefault="008D6B32" w:rsidP="00885061">
      <w:pPr>
        <w:pStyle w:val="NoSpacing"/>
        <w:snapToGrid w:val="0"/>
        <w:jc w:val="center"/>
        <w:rPr>
          <w:sz w:val="20"/>
          <w:szCs w:val="20"/>
        </w:rPr>
      </w:pPr>
      <w:hyperlink r:id="rId7" w:history="1">
        <w:r w:rsidR="00BC1880" w:rsidRPr="00885061">
          <w:rPr>
            <w:rStyle w:val="Hyperlink"/>
            <w:sz w:val="20"/>
            <w:szCs w:val="20"/>
          </w:rPr>
          <w:t>o_nathejik@yahoo.com</w:t>
        </w:r>
      </w:hyperlink>
      <w:r w:rsidR="00BC1880" w:rsidRPr="00885061">
        <w:rPr>
          <w:sz w:val="20"/>
          <w:szCs w:val="20"/>
        </w:rPr>
        <w:t xml:space="preserve">, </w:t>
      </w:r>
      <w:hyperlink r:id="rId8" w:history="1">
        <w:r w:rsidR="00BC1880" w:rsidRPr="00885061">
          <w:rPr>
            <w:rStyle w:val="Hyperlink"/>
            <w:sz w:val="20"/>
            <w:szCs w:val="20"/>
          </w:rPr>
          <w:t>mailpharmmuyiwa@yahoo.com</w:t>
        </w:r>
      </w:hyperlink>
    </w:p>
    <w:p w:rsidR="00BC1880" w:rsidRPr="00885061" w:rsidRDefault="00BC1880" w:rsidP="00885061">
      <w:pPr>
        <w:pStyle w:val="NoSpacing"/>
        <w:snapToGrid w:val="0"/>
        <w:jc w:val="center"/>
        <w:rPr>
          <w:sz w:val="20"/>
          <w:szCs w:val="20"/>
        </w:rPr>
      </w:pPr>
    </w:p>
    <w:p w:rsidR="00F46A5E" w:rsidRPr="00885061" w:rsidRDefault="00471E57" w:rsidP="00885061">
      <w:pPr>
        <w:pStyle w:val="NoSpacing"/>
        <w:snapToGrid w:val="0"/>
        <w:jc w:val="both"/>
        <w:rPr>
          <w:sz w:val="20"/>
          <w:szCs w:val="20"/>
        </w:rPr>
      </w:pPr>
      <w:r w:rsidRPr="00885061">
        <w:rPr>
          <w:b/>
          <w:sz w:val="20"/>
          <w:szCs w:val="20"/>
        </w:rPr>
        <w:t xml:space="preserve">Abstract: </w:t>
      </w:r>
      <w:r w:rsidR="00BC1880" w:rsidRPr="00885061">
        <w:rPr>
          <w:sz w:val="20"/>
          <w:szCs w:val="20"/>
        </w:rPr>
        <w:t xml:space="preserve">Indiscriminate use of antibiotics, particularly the extended-spectrum antibiotics in Nigeria has assisted the principle of selection pressure for the highly resistant strains of bacteria. The aim of this study is to investigate the prevalence of </w:t>
      </w:r>
      <w:proofErr w:type="spellStart"/>
      <w:r w:rsidR="00BC1880" w:rsidRPr="00885061">
        <w:rPr>
          <w:sz w:val="20"/>
          <w:szCs w:val="20"/>
        </w:rPr>
        <w:t>asyptomatic</w:t>
      </w:r>
      <w:proofErr w:type="spellEnd"/>
      <w:r w:rsidR="00BC1880" w:rsidRPr="00885061">
        <w:rPr>
          <w:sz w:val="20"/>
          <w:szCs w:val="20"/>
        </w:rPr>
        <w:t xml:space="preserve"> </w:t>
      </w:r>
      <w:proofErr w:type="spellStart"/>
      <w:r w:rsidR="00BC1880" w:rsidRPr="00885061">
        <w:rPr>
          <w:sz w:val="20"/>
          <w:szCs w:val="20"/>
        </w:rPr>
        <w:t>bacteriuria</w:t>
      </w:r>
      <w:proofErr w:type="spellEnd"/>
      <w:r w:rsidR="00BC1880" w:rsidRPr="00885061">
        <w:rPr>
          <w:sz w:val="20"/>
          <w:szCs w:val="20"/>
        </w:rPr>
        <w:t xml:space="preserve"> as well as antibiotic susceptibility and extended-spectrum beta-</w:t>
      </w:r>
      <w:proofErr w:type="spellStart"/>
      <w:r w:rsidR="00BC1880" w:rsidRPr="00885061">
        <w:rPr>
          <w:sz w:val="20"/>
          <w:szCs w:val="20"/>
        </w:rPr>
        <w:t>lactamase</w:t>
      </w:r>
      <w:proofErr w:type="spellEnd"/>
      <w:r w:rsidR="00BC1880" w:rsidRPr="00885061">
        <w:rPr>
          <w:sz w:val="20"/>
          <w:szCs w:val="20"/>
        </w:rPr>
        <w:t xml:space="preserve"> production among bacterial isolates from healthy students in a tertiary institution in southwest Nigeria. The results of the mid-stream urine catch that was collected and </w:t>
      </w:r>
      <w:proofErr w:type="spellStart"/>
      <w:r w:rsidR="00BC1880" w:rsidRPr="00885061">
        <w:rPr>
          <w:sz w:val="20"/>
          <w:szCs w:val="20"/>
        </w:rPr>
        <w:t>analysed</w:t>
      </w:r>
      <w:proofErr w:type="spellEnd"/>
      <w:r w:rsidR="00BC1880" w:rsidRPr="00885061">
        <w:rPr>
          <w:sz w:val="20"/>
          <w:szCs w:val="20"/>
        </w:rPr>
        <w:t xml:space="preserve"> in a total of 100 students , all within the age range 17 to 26 years, were found to contain bacterial isolates of </w:t>
      </w:r>
      <w:r w:rsidR="00BC1880" w:rsidRPr="00885061">
        <w:rPr>
          <w:i/>
          <w:sz w:val="20"/>
          <w:szCs w:val="20"/>
        </w:rPr>
        <w:t xml:space="preserve">Staphylococcus </w:t>
      </w:r>
      <w:proofErr w:type="spellStart"/>
      <w:r w:rsidR="00BC1880" w:rsidRPr="00885061">
        <w:rPr>
          <w:i/>
          <w:sz w:val="20"/>
          <w:szCs w:val="20"/>
        </w:rPr>
        <w:t>aureus</w:t>
      </w:r>
      <w:proofErr w:type="spellEnd"/>
      <w:r w:rsidR="00BC1880" w:rsidRPr="00885061">
        <w:rPr>
          <w:sz w:val="20"/>
          <w:szCs w:val="20"/>
        </w:rPr>
        <w:t xml:space="preserve"> (5%), </w:t>
      </w:r>
      <w:r w:rsidR="00BC1880" w:rsidRPr="00885061">
        <w:rPr>
          <w:i/>
          <w:sz w:val="20"/>
          <w:szCs w:val="20"/>
        </w:rPr>
        <w:t>Escherichia coli</w:t>
      </w:r>
      <w:r w:rsidR="00BC1880" w:rsidRPr="00885061">
        <w:rPr>
          <w:sz w:val="20"/>
          <w:szCs w:val="20"/>
        </w:rPr>
        <w:t xml:space="preserve"> (3%), </w:t>
      </w:r>
      <w:proofErr w:type="spellStart"/>
      <w:r w:rsidR="00BC1880" w:rsidRPr="00885061">
        <w:rPr>
          <w:i/>
          <w:sz w:val="20"/>
          <w:szCs w:val="20"/>
        </w:rPr>
        <w:t>Citrobacter</w:t>
      </w:r>
      <w:proofErr w:type="spellEnd"/>
      <w:r w:rsidR="00BC1880" w:rsidRPr="00885061">
        <w:rPr>
          <w:i/>
          <w:sz w:val="20"/>
          <w:szCs w:val="20"/>
        </w:rPr>
        <w:t xml:space="preserve"> </w:t>
      </w:r>
      <w:proofErr w:type="spellStart"/>
      <w:r w:rsidR="00BC1880" w:rsidRPr="00885061">
        <w:rPr>
          <w:i/>
          <w:sz w:val="20"/>
          <w:szCs w:val="20"/>
        </w:rPr>
        <w:t>frundii</w:t>
      </w:r>
      <w:proofErr w:type="spellEnd"/>
      <w:r w:rsidR="00BC1880" w:rsidRPr="00885061">
        <w:rPr>
          <w:sz w:val="20"/>
          <w:szCs w:val="20"/>
        </w:rPr>
        <w:t xml:space="preserve"> (4%), </w:t>
      </w:r>
      <w:r w:rsidR="00BC1880" w:rsidRPr="00885061">
        <w:rPr>
          <w:i/>
          <w:sz w:val="20"/>
          <w:szCs w:val="20"/>
        </w:rPr>
        <w:t xml:space="preserve">Proteus </w:t>
      </w:r>
      <w:r w:rsidR="00BC1880" w:rsidRPr="00885061">
        <w:rPr>
          <w:sz w:val="20"/>
          <w:szCs w:val="20"/>
        </w:rPr>
        <w:t xml:space="preserve">spp. (26%), </w:t>
      </w:r>
      <w:proofErr w:type="spellStart"/>
      <w:r w:rsidR="00BC1880" w:rsidRPr="00885061">
        <w:rPr>
          <w:i/>
          <w:sz w:val="20"/>
          <w:szCs w:val="20"/>
        </w:rPr>
        <w:t>Klebsiella</w:t>
      </w:r>
      <w:proofErr w:type="spellEnd"/>
      <w:r w:rsidR="00BC1880" w:rsidRPr="00885061">
        <w:rPr>
          <w:i/>
          <w:sz w:val="20"/>
          <w:szCs w:val="20"/>
        </w:rPr>
        <w:t xml:space="preserve"> </w:t>
      </w:r>
      <w:r w:rsidR="00BC1880" w:rsidRPr="00885061">
        <w:rPr>
          <w:sz w:val="20"/>
          <w:szCs w:val="20"/>
        </w:rPr>
        <w:t xml:space="preserve">spp. (40%), </w:t>
      </w:r>
      <w:proofErr w:type="spellStart"/>
      <w:r w:rsidR="00BC1880" w:rsidRPr="00885061">
        <w:rPr>
          <w:i/>
          <w:sz w:val="20"/>
          <w:szCs w:val="20"/>
        </w:rPr>
        <w:t>Moganella</w:t>
      </w:r>
      <w:proofErr w:type="spellEnd"/>
      <w:r w:rsidR="00BC1880" w:rsidRPr="00885061">
        <w:rPr>
          <w:sz w:val="20"/>
          <w:szCs w:val="20"/>
        </w:rPr>
        <w:t xml:space="preserve"> </w:t>
      </w:r>
      <w:proofErr w:type="spellStart"/>
      <w:r w:rsidR="00BC1880" w:rsidRPr="00885061">
        <w:rPr>
          <w:i/>
          <w:sz w:val="20"/>
          <w:szCs w:val="20"/>
        </w:rPr>
        <w:t>morganni</w:t>
      </w:r>
      <w:proofErr w:type="spellEnd"/>
      <w:r w:rsidR="00BC1880" w:rsidRPr="00885061">
        <w:rPr>
          <w:sz w:val="20"/>
          <w:szCs w:val="20"/>
        </w:rPr>
        <w:t xml:space="preserve"> (4%) and </w:t>
      </w:r>
      <w:proofErr w:type="spellStart"/>
      <w:r w:rsidR="00BC1880" w:rsidRPr="00885061">
        <w:rPr>
          <w:i/>
          <w:sz w:val="20"/>
          <w:szCs w:val="20"/>
        </w:rPr>
        <w:t>Providencia</w:t>
      </w:r>
      <w:proofErr w:type="spellEnd"/>
      <w:r w:rsidR="00BC1880" w:rsidRPr="00885061">
        <w:rPr>
          <w:i/>
          <w:sz w:val="20"/>
          <w:szCs w:val="20"/>
        </w:rPr>
        <w:t xml:space="preserve"> </w:t>
      </w:r>
      <w:proofErr w:type="spellStart"/>
      <w:r w:rsidR="00BC1880" w:rsidRPr="00885061">
        <w:rPr>
          <w:i/>
          <w:sz w:val="20"/>
          <w:szCs w:val="20"/>
        </w:rPr>
        <w:t>stuartii</w:t>
      </w:r>
      <w:proofErr w:type="spellEnd"/>
      <w:r w:rsidR="00BC1880" w:rsidRPr="00885061">
        <w:rPr>
          <w:sz w:val="20"/>
          <w:szCs w:val="20"/>
        </w:rPr>
        <w:t xml:space="preserve"> (4%). Visible bacterial growth occurred in 86% of the urine samples with 41% from males and 45% from females. Antibiotics such as penicillin, cephalosporin, </w:t>
      </w:r>
      <w:proofErr w:type="spellStart"/>
      <w:r w:rsidR="00BC1880" w:rsidRPr="00885061">
        <w:rPr>
          <w:sz w:val="20"/>
          <w:szCs w:val="20"/>
        </w:rPr>
        <w:t>quinolone</w:t>
      </w:r>
      <w:proofErr w:type="spellEnd"/>
      <w:r w:rsidR="00BC1880" w:rsidRPr="00885061">
        <w:rPr>
          <w:sz w:val="20"/>
          <w:szCs w:val="20"/>
        </w:rPr>
        <w:t xml:space="preserve">, </w:t>
      </w:r>
      <w:proofErr w:type="spellStart"/>
      <w:r w:rsidR="00BC1880" w:rsidRPr="00885061">
        <w:rPr>
          <w:sz w:val="20"/>
          <w:szCs w:val="20"/>
        </w:rPr>
        <w:t>aminoglycoside</w:t>
      </w:r>
      <w:proofErr w:type="spellEnd"/>
      <w:r w:rsidR="00BC1880" w:rsidRPr="00885061">
        <w:rPr>
          <w:sz w:val="20"/>
          <w:szCs w:val="20"/>
        </w:rPr>
        <w:t xml:space="preserve">, </w:t>
      </w:r>
      <w:proofErr w:type="spellStart"/>
      <w:r w:rsidR="00BC1880" w:rsidRPr="00885061">
        <w:rPr>
          <w:sz w:val="20"/>
          <w:szCs w:val="20"/>
        </w:rPr>
        <w:t>macrolide</w:t>
      </w:r>
      <w:proofErr w:type="spellEnd"/>
      <w:r w:rsidR="00BC1880" w:rsidRPr="00885061">
        <w:rPr>
          <w:sz w:val="20"/>
          <w:szCs w:val="20"/>
        </w:rPr>
        <w:t xml:space="preserve"> and </w:t>
      </w:r>
      <w:proofErr w:type="spellStart"/>
      <w:r w:rsidR="00BC1880" w:rsidRPr="00885061">
        <w:rPr>
          <w:sz w:val="20"/>
          <w:szCs w:val="20"/>
        </w:rPr>
        <w:t>nitrofuran</w:t>
      </w:r>
      <w:proofErr w:type="spellEnd"/>
      <w:r w:rsidR="00BC1880" w:rsidRPr="00885061">
        <w:rPr>
          <w:sz w:val="20"/>
          <w:szCs w:val="20"/>
        </w:rPr>
        <w:t xml:space="preserve"> were used for antibiotic susceptibility test against the isolates. Extended-spectrum beta-</w:t>
      </w:r>
      <w:proofErr w:type="spellStart"/>
      <w:r w:rsidR="00BC1880" w:rsidRPr="00885061">
        <w:rPr>
          <w:sz w:val="20"/>
          <w:szCs w:val="20"/>
        </w:rPr>
        <w:t>lactamase</w:t>
      </w:r>
      <w:proofErr w:type="spellEnd"/>
      <w:r w:rsidR="00BC1880" w:rsidRPr="00885061">
        <w:rPr>
          <w:sz w:val="20"/>
          <w:szCs w:val="20"/>
        </w:rPr>
        <w:t xml:space="preserve"> production was determined among cephalosporin resistant Gram-negative isolates. This study showed high prevalence of asymptomatic </w:t>
      </w:r>
      <w:proofErr w:type="spellStart"/>
      <w:r w:rsidR="00BC1880" w:rsidRPr="00885061">
        <w:rPr>
          <w:sz w:val="20"/>
          <w:szCs w:val="20"/>
        </w:rPr>
        <w:t>bacteriuria</w:t>
      </w:r>
      <w:proofErr w:type="spellEnd"/>
      <w:r w:rsidR="00BC1880" w:rsidRPr="00885061">
        <w:rPr>
          <w:sz w:val="20"/>
          <w:szCs w:val="20"/>
        </w:rPr>
        <w:t xml:space="preserve"> associated with multidrug resistance and some ESBL-producing bacteria among healthy students of University of Ibadan. Thus concerted effort in the control of the use of extended-spectrum antibiotics </w:t>
      </w:r>
      <w:proofErr w:type="gramStart"/>
      <w:r w:rsidR="00BC1880" w:rsidRPr="00885061">
        <w:rPr>
          <w:sz w:val="20"/>
          <w:szCs w:val="20"/>
        </w:rPr>
        <w:t>should</w:t>
      </w:r>
      <w:proofErr w:type="gramEnd"/>
      <w:r w:rsidR="00BC1880" w:rsidRPr="00885061">
        <w:rPr>
          <w:sz w:val="20"/>
          <w:szCs w:val="20"/>
        </w:rPr>
        <w:t xml:space="preserve"> be made, so as to avoid high prevalence of human reservoirs of multidrug resistant and ESBL-producing bacteria. </w:t>
      </w:r>
      <w:hyperlink r:id="rId9" w:history="1">
        <w:r w:rsidR="008A37E9" w:rsidRPr="00885061">
          <w:rPr>
            <w:rStyle w:val="Hyperlink"/>
            <w:sz w:val="20"/>
            <w:szCs w:val="20"/>
          </w:rPr>
          <w:t>http://www.sciencepub.net/nature</w:t>
        </w:r>
      </w:hyperlink>
      <w:r w:rsidR="008A37E9" w:rsidRPr="00885061">
        <w:rPr>
          <w:sz w:val="20"/>
          <w:szCs w:val="20"/>
        </w:rPr>
        <w:t>.</w:t>
      </w:r>
    </w:p>
    <w:p w:rsidR="000E7D03" w:rsidRPr="00885061" w:rsidRDefault="000E7D03" w:rsidP="00885061">
      <w:pPr>
        <w:snapToGrid w:val="0"/>
        <w:jc w:val="both"/>
        <w:rPr>
          <w:sz w:val="20"/>
          <w:szCs w:val="20"/>
          <w:lang w:eastAsia="zh-CN"/>
        </w:rPr>
      </w:pPr>
      <w:r w:rsidRPr="00885061">
        <w:rPr>
          <w:rFonts w:hint="eastAsia"/>
          <w:b/>
          <w:bCs/>
          <w:sz w:val="20"/>
          <w:szCs w:val="20"/>
        </w:rPr>
        <w:t>[</w:t>
      </w:r>
      <w:proofErr w:type="spellStart"/>
      <w:r w:rsidR="00885061" w:rsidRPr="00885061">
        <w:rPr>
          <w:sz w:val="20"/>
          <w:szCs w:val="20"/>
        </w:rPr>
        <w:t>Alabi</w:t>
      </w:r>
      <w:proofErr w:type="spellEnd"/>
      <w:r w:rsidR="00885061" w:rsidRPr="00885061">
        <w:rPr>
          <w:sz w:val="20"/>
          <w:szCs w:val="20"/>
        </w:rPr>
        <w:t xml:space="preserve"> O. S., </w:t>
      </w:r>
      <w:proofErr w:type="spellStart"/>
      <w:r w:rsidR="00885061" w:rsidRPr="00885061">
        <w:rPr>
          <w:sz w:val="20"/>
          <w:szCs w:val="20"/>
        </w:rPr>
        <w:t>Onyenwe</w:t>
      </w:r>
      <w:proofErr w:type="spellEnd"/>
      <w:r w:rsidR="00885061" w:rsidRPr="00885061">
        <w:rPr>
          <w:sz w:val="20"/>
          <w:szCs w:val="20"/>
        </w:rPr>
        <w:t xml:space="preserve"> N. E., </w:t>
      </w:r>
      <w:proofErr w:type="spellStart"/>
      <w:r w:rsidR="00885061" w:rsidRPr="00885061">
        <w:rPr>
          <w:sz w:val="20"/>
          <w:szCs w:val="20"/>
          <w:lang w:val="en-GB"/>
        </w:rPr>
        <w:t>Satoye</w:t>
      </w:r>
      <w:proofErr w:type="spellEnd"/>
      <w:r w:rsidR="00885061" w:rsidRPr="00885061">
        <w:rPr>
          <w:sz w:val="20"/>
          <w:szCs w:val="20"/>
          <w:lang w:val="en-GB"/>
        </w:rPr>
        <w:t xml:space="preserve"> K. A.</w:t>
      </w:r>
      <w:r w:rsidR="00885061">
        <w:rPr>
          <w:sz w:val="20"/>
          <w:szCs w:val="20"/>
          <w:vertAlign w:val="superscript"/>
          <w:lang w:val="en-GB"/>
        </w:rPr>
        <w:t xml:space="preserve"> </w:t>
      </w:r>
      <w:r w:rsidR="00885061" w:rsidRPr="00885061">
        <w:rPr>
          <w:sz w:val="20"/>
          <w:szCs w:val="20"/>
          <w:lang w:val="en-GB"/>
        </w:rPr>
        <w:t xml:space="preserve">and </w:t>
      </w:r>
      <w:proofErr w:type="spellStart"/>
      <w:r w:rsidR="00885061" w:rsidRPr="00885061">
        <w:rPr>
          <w:sz w:val="20"/>
          <w:szCs w:val="20"/>
          <w:lang w:val="en-GB"/>
        </w:rPr>
        <w:t>Adeleke</w:t>
      </w:r>
      <w:proofErr w:type="spellEnd"/>
      <w:r w:rsidR="00885061" w:rsidRPr="00885061">
        <w:rPr>
          <w:sz w:val="20"/>
          <w:szCs w:val="20"/>
          <w:lang w:val="en-GB"/>
        </w:rPr>
        <w:t xml:space="preserve"> O. E</w:t>
      </w:r>
      <w:r w:rsidRPr="00885061">
        <w:rPr>
          <w:sz w:val="20"/>
          <w:szCs w:val="20"/>
        </w:rPr>
        <w:t>.</w:t>
      </w:r>
      <w:r w:rsidRPr="00885061">
        <w:rPr>
          <w:rFonts w:eastAsiaTheme="minorEastAsia" w:hint="eastAsia"/>
          <w:b/>
          <w:bCs/>
          <w:sz w:val="20"/>
          <w:szCs w:val="20"/>
          <w:lang w:bidi="fa-IR"/>
        </w:rPr>
        <w:t xml:space="preserve"> </w:t>
      </w:r>
      <w:r w:rsidR="00885061" w:rsidRPr="00885061">
        <w:rPr>
          <w:b/>
          <w:sz w:val="20"/>
          <w:szCs w:val="20"/>
          <w:lang w:val="en-GB"/>
        </w:rPr>
        <w:t>Prevalence of extended-spectrum β-</w:t>
      </w:r>
      <w:proofErr w:type="spellStart"/>
      <w:r w:rsidR="00885061" w:rsidRPr="00885061">
        <w:rPr>
          <w:b/>
          <w:sz w:val="20"/>
          <w:szCs w:val="20"/>
          <w:lang w:val="en-GB"/>
        </w:rPr>
        <w:t>lactamase</w:t>
      </w:r>
      <w:proofErr w:type="spellEnd"/>
      <w:r w:rsidR="00885061" w:rsidRPr="00885061">
        <w:rPr>
          <w:b/>
          <w:sz w:val="20"/>
          <w:szCs w:val="20"/>
          <w:lang w:val="en-GB"/>
        </w:rPr>
        <w:t xml:space="preserve"> producing isolates from asymptomatic </w:t>
      </w:r>
      <w:proofErr w:type="spellStart"/>
      <w:r w:rsidR="00885061" w:rsidRPr="00885061">
        <w:rPr>
          <w:b/>
          <w:sz w:val="20"/>
          <w:szCs w:val="20"/>
          <w:lang w:val="en-GB"/>
        </w:rPr>
        <w:t>bacteriuria</w:t>
      </w:r>
      <w:proofErr w:type="spellEnd"/>
      <w:r w:rsidR="00885061" w:rsidRPr="00885061">
        <w:rPr>
          <w:b/>
          <w:sz w:val="20"/>
          <w:szCs w:val="20"/>
          <w:lang w:val="en-GB"/>
        </w:rPr>
        <w:t xml:space="preserve"> among students in a tertiary institution in </w:t>
      </w:r>
      <w:proofErr w:type="spellStart"/>
      <w:proofErr w:type="gramStart"/>
      <w:r w:rsidR="00885061" w:rsidRPr="00885061">
        <w:rPr>
          <w:b/>
          <w:sz w:val="20"/>
          <w:szCs w:val="20"/>
          <w:lang w:val="en-GB"/>
        </w:rPr>
        <w:t>ibadan</w:t>
      </w:r>
      <w:proofErr w:type="spellEnd"/>
      <w:proofErr w:type="gramEnd"/>
      <w:r w:rsidR="00885061" w:rsidRPr="00885061">
        <w:rPr>
          <w:b/>
          <w:sz w:val="20"/>
          <w:szCs w:val="20"/>
          <w:lang w:val="en-GB"/>
        </w:rPr>
        <w:t>, Nigeria</w:t>
      </w:r>
      <w:r w:rsidRPr="00885061">
        <w:rPr>
          <w:rFonts w:eastAsia="Times New Roman"/>
          <w:b/>
          <w:bCs/>
          <w:sz w:val="20"/>
          <w:szCs w:val="20"/>
          <w:lang w:bidi="fa-IR"/>
        </w:rPr>
        <w:t>.</w:t>
      </w:r>
      <w:r w:rsidRPr="00885061">
        <w:rPr>
          <w:rFonts w:hint="eastAsia"/>
          <w:b/>
          <w:bCs/>
          <w:sz w:val="20"/>
          <w:szCs w:val="20"/>
        </w:rPr>
        <w:t xml:space="preserve"> </w:t>
      </w:r>
      <w:r w:rsidRPr="00885061">
        <w:rPr>
          <w:rFonts w:eastAsia="Times New Roman"/>
          <w:bCs/>
          <w:i/>
          <w:sz w:val="20"/>
          <w:szCs w:val="20"/>
        </w:rPr>
        <w:t xml:space="preserve">Nat </w:t>
      </w:r>
      <w:proofErr w:type="spellStart"/>
      <w:r w:rsidRPr="00885061">
        <w:rPr>
          <w:rFonts w:eastAsia="Times New Roman"/>
          <w:bCs/>
          <w:i/>
          <w:sz w:val="20"/>
          <w:szCs w:val="20"/>
        </w:rPr>
        <w:t>Sci</w:t>
      </w:r>
      <w:proofErr w:type="spellEnd"/>
      <w:r w:rsidRPr="00885061">
        <w:rPr>
          <w:rFonts w:eastAsiaTheme="minorEastAsia" w:hint="eastAsia"/>
          <w:bCs/>
          <w:i/>
          <w:sz w:val="20"/>
          <w:szCs w:val="20"/>
        </w:rPr>
        <w:t xml:space="preserve"> </w:t>
      </w:r>
      <w:r w:rsidRPr="00885061">
        <w:rPr>
          <w:sz w:val="20"/>
          <w:szCs w:val="20"/>
        </w:rPr>
        <w:t>201</w:t>
      </w:r>
      <w:r w:rsidRPr="00885061">
        <w:rPr>
          <w:rFonts w:hint="eastAsia"/>
          <w:sz w:val="20"/>
          <w:szCs w:val="20"/>
        </w:rPr>
        <w:t>4</w:t>
      </w:r>
      <w:r w:rsidRPr="00885061">
        <w:rPr>
          <w:sz w:val="20"/>
          <w:szCs w:val="20"/>
        </w:rPr>
        <w:t>;1</w:t>
      </w:r>
      <w:r w:rsidRPr="00885061">
        <w:rPr>
          <w:rFonts w:hint="eastAsia"/>
          <w:sz w:val="20"/>
          <w:szCs w:val="20"/>
        </w:rPr>
        <w:t>2</w:t>
      </w:r>
      <w:r w:rsidRPr="00885061">
        <w:rPr>
          <w:sz w:val="20"/>
          <w:szCs w:val="20"/>
        </w:rPr>
        <w:t>(</w:t>
      </w:r>
      <w:r w:rsidRPr="00885061">
        <w:rPr>
          <w:rFonts w:hint="eastAsia"/>
          <w:sz w:val="20"/>
          <w:szCs w:val="20"/>
        </w:rPr>
        <w:t>4</w:t>
      </w:r>
      <w:r w:rsidRPr="00885061">
        <w:rPr>
          <w:sz w:val="20"/>
          <w:szCs w:val="20"/>
        </w:rPr>
        <w:t>):</w:t>
      </w:r>
      <w:r w:rsidR="00AF7604">
        <w:rPr>
          <w:noProof/>
          <w:color w:val="000000"/>
          <w:sz w:val="20"/>
          <w:szCs w:val="20"/>
        </w:rPr>
        <w:t>111</w:t>
      </w:r>
      <w:r w:rsidRPr="00885061">
        <w:rPr>
          <w:color w:val="000000"/>
          <w:sz w:val="20"/>
          <w:szCs w:val="20"/>
        </w:rPr>
        <w:t>-</w:t>
      </w:r>
      <w:r w:rsidR="00AF7604">
        <w:rPr>
          <w:noProof/>
          <w:color w:val="000000"/>
          <w:sz w:val="20"/>
          <w:szCs w:val="20"/>
        </w:rPr>
        <w:t>114</w:t>
      </w:r>
      <w:r w:rsidRPr="00885061">
        <w:rPr>
          <w:sz w:val="20"/>
          <w:szCs w:val="20"/>
        </w:rPr>
        <w:t>]</w:t>
      </w:r>
      <w:r w:rsidRPr="00885061">
        <w:rPr>
          <w:rFonts w:hint="eastAsia"/>
          <w:sz w:val="20"/>
          <w:szCs w:val="20"/>
        </w:rPr>
        <w:t>.</w:t>
      </w:r>
      <w:r w:rsidRPr="00885061">
        <w:rPr>
          <w:sz w:val="20"/>
          <w:szCs w:val="20"/>
        </w:rPr>
        <w:t xml:space="preserve"> (ISSN: 1545-0740).</w:t>
      </w:r>
      <w:r w:rsidRPr="00885061">
        <w:rPr>
          <w:color w:val="0000FF"/>
          <w:sz w:val="20"/>
          <w:szCs w:val="20"/>
        </w:rPr>
        <w:t xml:space="preserve"> </w:t>
      </w:r>
      <w:hyperlink r:id="rId10" w:history="1">
        <w:r w:rsidRPr="00885061">
          <w:rPr>
            <w:rStyle w:val="Hyperlink"/>
            <w:sz w:val="20"/>
            <w:szCs w:val="20"/>
          </w:rPr>
          <w:t>http://www.sciencepub.net/nature</w:t>
        </w:r>
      </w:hyperlink>
      <w:r w:rsidRPr="00885061">
        <w:rPr>
          <w:sz w:val="20"/>
          <w:szCs w:val="20"/>
        </w:rPr>
        <w:t>.</w:t>
      </w:r>
      <w:r w:rsidRPr="00885061">
        <w:rPr>
          <w:rFonts w:hint="eastAsia"/>
          <w:sz w:val="20"/>
          <w:szCs w:val="20"/>
        </w:rPr>
        <w:t xml:space="preserve"> </w:t>
      </w:r>
      <w:r w:rsidR="00885061">
        <w:rPr>
          <w:rFonts w:hint="eastAsia"/>
          <w:sz w:val="20"/>
          <w:szCs w:val="20"/>
          <w:lang w:eastAsia="zh-CN"/>
        </w:rPr>
        <w:t>15</w:t>
      </w:r>
    </w:p>
    <w:p w:rsidR="001817C7" w:rsidRPr="00885061" w:rsidRDefault="001817C7" w:rsidP="00885061">
      <w:pPr>
        <w:snapToGrid w:val="0"/>
        <w:jc w:val="both"/>
        <w:rPr>
          <w:sz w:val="20"/>
          <w:szCs w:val="20"/>
        </w:rPr>
      </w:pPr>
    </w:p>
    <w:p w:rsidR="00BC1880" w:rsidRPr="00885061" w:rsidRDefault="001817C7" w:rsidP="00885061">
      <w:pPr>
        <w:pStyle w:val="NoSpacing"/>
        <w:snapToGrid w:val="0"/>
        <w:jc w:val="both"/>
        <w:rPr>
          <w:sz w:val="20"/>
          <w:szCs w:val="20"/>
        </w:rPr>
      </w:pPr>
      <w:r w:rsidRPr="00885061">
        <w:rPr>
          <w:b/>
          <w:sz w:val="20"/>
          <w:szCs w:val="20"/>
        </w:rPr>
        <w:t xml:space="preserve">Keywords: </w:t>
      </w:r>
      <w:proofErr w:type="spellStart"/>
      <w:r w:rsidR="00BC1880" w:rsidRPr="00885061">
        <w:rPr>
          <w:sz w:val="20"/>
          <w:szCs w:val="20"/>
        </w:rPr>
        <w:t>Bacteriuria</w:t>
      </w:r>
      <w:proofErr w:type="spellEnd"/>
      <w:r w:rsidR="00BC1880" w:rsidRPr="00885061">
        <w:rPr>
          <w:sz w:val="20"/>
          <w:szCs w:val="20"/>
        </w:rPr>
        <w:t xml:space="preserve">, ESBL, multidrug-resistant, asymptomatic </w:t>
      </w:r>
      <w:proofErr w:type="spellStart"/>
      <w:r w:rsidR="00BC1880" w:rsidRPr="00885061">
        <w:rPr>
          <w:sz w:val="20"/>
          <w:szCs w:val="20"/>
        </w:rPr>
        <w:t>bacteriuria</w:t>
      </w:r>
      <w:proofErr w:type="spellEnd"/>
      <w:r w:rsidR="00BC1880" w:rsidRPr="00885061">
        <w:rPr>
          <w:sz w:val="20"/>
          <w:szCs w:val="20"/>
        </w:rPr>
        <w:t>, antibiotic.</w:t>
      </w:r>
    </w:p>
    <w:p w:rsidR="00885061" w:rsidRDefault="00885061" w:rsidP="00885061">
      <w:pPr>
        <w:snapToGrid w:val="0"/>
        <w:jc w:val="both"/>
        <w:rPr>
          <w:rFonts w:hint="eastAsia"/>
          <w:b/>
          <w:sz w:val="20"/>
          <w:szCs w:val="20"/>
          <w:lang w:eastAsia="zh-CN"/>
        </w:rPr>
      </w:pPr>
    </w:p>
    <w:p w:rsidR="00F7094E" w:rsidRDefault="00F7094E" w:rsidP="00885061">
      <w:pPr>
        <w:snapToGrid w:val="0"/>
        <w:jc w:val="both"/>
        <w:rPr>
          <w:rFonts w:hint="eastAsia"/>
          <w:b/>
          <w:sz w:val="20"/>
          <w:szCs w:val="20"/>
          <w:lang w:eastAsia="zh-CN"/>
        </w:rPr>
      </w:pPr>
    </w:p>
    <w:p w:rsidR="00885061" w:rsidRPr="00885061" w:rsidRDefault="00885061" w:rsidP="00885061">
      <w:pPr>
        <w:snapToGrid w:val="0"/>
        <w:jc w:val="both"/>
        <w:rPr>
          <w:b/>
          <w:sz w:val="20"/>
          <w:szCs w:val="20"/>
        </w:rPr>
        <w:sectPr w:rsidR="00885061" w:rsidRPr="00885061" w:rsidSect="00AF7604">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pgNumType w:start="111"/>
          <w:cols w:space="720"/>
          <w:docGrid w:linePitch="360"/>
        </w:sectPr>
      </w:pPr>
    </w:p>
    <w:p w:rsidR="00A8020A" w:rsidRPr="00885061" w:rsidRDefault="00A8020A" w:rsidP="00885061">
      <w:pPr>
        <w:pStyle w:val="NoSpacing"/>
        <w:snapToGrid w:val="0"/>
        <w:jc w:val="both"/>
        <w:rPr>
          <w:b/>
          <w:sz w:val="20"/>
          <w:szCs w:val="20"/>
        </w:rPr>
      </w:pPr>
      <w:r w:rsidRPr="00885061">
        <w:rPr>
          <w:b/>
          <w:sz w:val="20"/>
          <w:szCs w:val="20"/>
        </w:rPr>
        <w:lastRenderedPageBreak/>
        <w:t>Introduction</w:t>
      </w:r>
    </w:p>
    <w:p w:rsidR="00A8020A" w:rsidRDefault="00A8020A" w:rsidP="00885061">
      <w:pPr>
        <w:snapToGrid w:val="0"/>
        <w:ind w:firstLine="425"/>
        <w:jc w:val="both"/>
        <w:rPr>
          <w:rFonts w:hint="eastAsia"/>
          <w:sz w:val="20"/>
          <w:szCs w:val="20"/>
          <w:lang w:eastAsia="zh-CN"/>
        </w:rPr>
      </w:pPr>
      <w:r w:rsidRPr="00885061">
        <w:rPr>
          <w:sz w:val="20"/>
          <w:szCs w:val="20"/>
        </w:rPr>
        <w:t xml:space="preserve">Asymptomatic </w:t>
      </w:r>
      <w:proofErr w:type="spellStart"/>
      <w:r w:rsidRPr="00885061">
        <w:rPr>
          <w:sz w:val="20"/>
          <w:szCs w:val="20"/>
        </w:rPr>
        <w:t>bacteriuria</w:t>
      </w:r>
      <w:proofErr w:type="spellEnd"/>
      <w:r w:rsidRPr="00885061">
        <w:rPr>
          <w:sz w:val="20"/>
          <w:szCs w:val="20"/>
        </w:rPr>
        <w:t xml:space="preserve"> is defined as a significant bacterial isolate count greater than or equal to 10×10</w:t>
      </w:r>
      <w:r w:rsidRPr="00885061">
        <w:rPr>
          <w:sz w:val="20"/>
          <w:szCs w:val="20"/>
          <w:vertAlign w:val="superscript"/>
        </w:rPr>
        <w:t>3</w:t>
      </w:r>
      <w:r w:rsidRPr="00885061">
        <w:rPr>
          <w:sz w:val="20"/>
          <w:szCs w:val="20"/>
        </w:rPr>
        <w:t xml:space="preserve"> colony-forming units per milliliter (≥10</w:t>
      </w:r>
      <w:r w:rsidRPr="00885061">
        <w:rPr>
          <w:sz w:val="20"/>
          <w:szCs w:val="20"/>
          <w:vertAlign w:val="superscript"/>
        </w:rPr>
        <w:t xml:space="preserve">5 </w:t>
      </w:r>
      <w:proofErr w:type="spellStart"/>
      <w:r w:rsidRPr="00885061">
        <w:rPr>
          <w:sz w:val="20"/>
          <w:szCs w:val="20"/>
        </w:rPr>
        <w:t>cfu</w:t>
      </w:r>
      <w:proofErr w:type="spellEnd"/>
      <w:r w:rsidRPr="00885061">
        <w:rPr>
          <w:sz w:val="20"/>
          <w:szCs w:val="20"/>
        </w:rPr>
        <w:t>/</w:t>
      </w:r>
      <w:proofErr w:type="spellStart"/>
      <w:r w:rsidRPr="00885061">
        <w:rPr>
          <w:sz w:val="20"/>
          <w:szCs w:val="20"/>
        </w:rPr>
        <w:t>mL</w:t>
      </w:r>
      <w:proofErr w:type="spellEnd"/>
      <w:r w:rsidRPr="00885061">
        <w:rPr>
          <w:sz w:val="20"/>
          <w:szCs w:val="20"/>
        </w:rPr>
        <w:t xml:space="preserve">) of urine in two consecutive fresh (clean catch) urine specimens (Nicolle, 2003). Significant asymptomatic </w:t>
      </w:r>
      <w:proofErr w:type="spellStart"/>
      <w:r w:rsidRPr="00885061">
        <w:rPr>
          <w:sz w:val="20"/>
          <w:szCs w:val="20"/>
        </w:rPr>
        <w:t>bacteriuria</w:t>
      </w:r>
      <w:proofErr w:type="spellEnd"/>
      <w:r w:rsidRPr="00885061">
        <w:rPr>
          <w:sz w:val="20"/>
          <w:szCs w:val="20"/>
        </w:rPr>
        <w:t xml:space="preserve"> is a risk factor for symptomatic urinary tract infection and </w:t>
      </w:r>
      <w:proofErr w:type="spellStart"/>
      <w:r w:rsidRPr="00885061">
        <w:rPr>
          <w:sz w:val="20"/>
          <w:szCs w:val="20"/>
        </w:rPr>
        <w:t>septiceamia</w:t>
      </w:r>
      <w:proofErr w:type="spellEnd"/>
      <w:r w:rsidRPr="00885061">
        <w:rPr>
          <w:sz w:val="20"/>
          <w:szCs w:val="20"/>
        </w:rPr>
        <w:t xml:space="preserve"> among predisposed individuals indicating an active infection of the urinary tract (</w:t>
      </w:r>
      <w:proofErr w:type="spellStart"/>
      <w:r w:rsidRPr="00885061">
        <w:rPr>
          <w:sz w:val="20"/>
          <w:szCs w:val="20"/>
        </w:rPr>
        <w:t>Alebiosu</w:t>
      </w:r>
      <w:proofErr w:type="spellEnd"/>
      <w:r w:rsidRPr="00885061">
        <w:rPr>
          <w:sz w:val="20"/>
          <w:szCs w:val="20"/>
        </w:rPr>
        <w:t xml:space="preserve"> </w:t>
      </w:r>
      <w:r w:rsidRPr="00885061">
        <w:rPr>
          <w:i/>
          <w:sz w:val="20"/>
          <w:szCs w:val="20"/>
        </w:rPr>
        <w:t>et al</w:t>
      </w:r>
      <w:r w:rsidRPr="00885061">
        <w:rPr>
          <w:sz w:val="20"/>
          <w:szCs w:val="20"/>
        </w:rPr>
        <w:t xml:space="preserve">., 2003). Asymptomatic </w:t>
      </w:r>
      <w:proofErr w:type="spellStart"/>
      <w:r w:rsidRPr="00885061">
        <w:rPr>
          <w:sz w:val="20"/>
          <w:szCs w:val="20"/>
        </w:rPr>
        <w:t>bacteriuria</w:t>
      </w:r>
      <w:proofErr w:type="spellEnd"/>
      <w:r w:rsidRPr="00885061">
        <w:rPr>
          <w:sz w:val="20"/>
          <w:szCs w:val="20"/>
        </w:rPr>
        <w:t xml:space="preserve"> occurs in small number of healthy individuals and is common among females particularly, sexually active women (Richard </w:t>
      </w:r>
      <w:r w:rsidRPr="00885061">
        <w:rPr>
          <w:i/>
          <w:sz w:val="20"/>
          <w:szCs w:val="20"/>
        </w:rPr>
        <w:t>et al</w:t>
      </w:r>
      <w:r w:rsidRPr="00885061">
        <w:rPr>
          <w:sz w:val="20"/>
          <w:szCs w:val="20"/>
        </w:rPr>
        <w:t xml:space="preserve">., 2006). Its prevalence varies with age, sex, sexual activity, and the presence of genitourinary abnormalities (Nicolle, 2003). In healthy women, the prevalence of </w:t>
      </w:r>
      <w:proofErr w:type="spellStart"/>
      <w:r w:rsidRPr="00885061">
        <w:rPr>
          <w:sz w:val="20"/>
          <w:szCs w:val="20"/>
        </w:rPr>
        <w:t>bacteriuria</w:t>
      </w:r>
      <w:proofErr w:type="spellEnd"/>
      <w:r w:rsidRPr="00885061">
        <w:rPr>
          <w:sz w:val="20"/>
          <w:szCs w:val="20"/>
        </w:rPr>
        <w:t xml:space="preserve"> increases with age, from about 1% in females of 5 to 14 years of age to more than 20% in women of at least 80 years of age (Richard </w:t>
      </w:r>
      <w:r w:rsidRPr="00885061">
        <w:rPr>
          <w:i/>
          <w:sz w:val="20"/>
          <w:szCs w:val="20"/>
        </w:rPr>
        <w:t>et al</w:t>
      </w:r>
      <w:r w:rsidRPr="00885061">
        <w:rPr>
          <w:sz w:val="20"/>
          <w:szCs w:val="20"/>
        </w:rPr>
        <w:t xml:space="preserve">., 2006). Infecting organisms are diverse and include the </w:t>
      </w:r>
      <w:proofErr w:type="spellStart"/>
      <w:r w:rsidRPr="00885061">
        <w:rPr>
          <w:i/>
          <w:iCs/>
          <w:sz w:val="20"/>
          <w:szCs w:val="20"/>
        </w:rPr>
        <w:t>Enterobacteriaceae</w:t>
      </w:r>
      <w:proofErr w:type="spellEnd"/>
      <w:r w:rsidRPr="00885061">
        <w:rPr>
          <w:sz w:val="20"/>
          <w:szCs w:val="20"/>
        </w:rPr>
        <w:t xml:space="preserve">, </w:t>
      </w:r>
      <w:r w:rsidRPr="00885061">
        <w:rPr>
          <w:i/>
          <w:iCs/>
          <w:sz w:val="20"/>
          <w:szCs w:val="20"/>
        </w:rPr>
        <w:t xml:space="preserve">Pseudomonas </w:t>
      </w:r>
      <w:proofErr w:type="spellStart"/>
      <w:r w:rsidRPr="00885061">
        <w:rPr>
          <w:i/>
          <w:iCs/>
          <w:sz w:val="20"/>
          <w:szCs w:val="20"/>
        </w:rPr>
        <w:t>aeruginosa</w:t>
      </w:r>
      <w:proofErr w:type="spellEnd"/>
      <w:r w:rsidRPr="00885061">
        <w:rPr>
          <w:i/>
          <w:iCs/>
          <w:sz w:val="20"/>
          <w:szCs w:val="20"/>
        </w:rPr>
        <w:t xml:space="preserve">, </w:t>
      </w:r>
      <w:proofErr w:type="spellStart"/>
      <w:r w:rsidRPr="00885061">
        <w:rPr>
          <w:i/>
          <w:iCs/>
          <w:sz w:val="20"/>
          <w:szCs w:val="20"/>
        </w:rPr>
        <w:t>Enterococcus</w:t>
      </w:r>
      <w:proofErr w:type="spellEnd"/>
      <w:r w:rsidRPr="00885061">
        <w:rPr>
          <w:sz w:val="20"/>
          <w:szCs w:val="20"/>
        </w:rPr>
        <w:t xml:space="preserve"> species, </w:t>
      </w:r>
      <w:r w:rsidRPr="00885061">
        <w:rPr>
          <w:i/>
          <w:iCs/>
          <w:sz w:val="20"/>
          <w:szCs w:val="20"/>
        </w:rPr>
        <w:t xml:space="preserve">Staphylococcus </w:t>
      </w:r>
      <w:proofErr w:type="spellStart"/>
      <w:r w:rsidRPr="00885061">
        <w:rPr>
          <w:i/>
          <w:iCs/>
          <w:sz w:val="20"/>
          <w:szCs w:val="20"/>
        </w:rPr>
        <w:t>aureus</w:t>
      </w:r>
      <w:proofErr w:type="spellEnd"/>
      <w:r w:rsidRPr="00885061">
        <w:rPr>
          <w:sz w:val="20"/>
          <w:szCs w:val="20"/>
        </w:rPr>
        <w:t xml:space="preserve"> and group B </w:t>
      </w:r>
      <w:r w:rsidRPr="00885061">
        <w:rPr>
          <w:i/>
          <w:iCs/>
          <w:sz w:val="20"/>
          <w:szCs w:val="20"/>
        </w:rPr>
        <w:t xml:space="preserve">Streptococcus </w:t>
      </w:r>
      <w:r w:rsidRPr="00885061">
        <w:rPr>
          <w:iCs/>
          <w:sz w:val="20"/>
          <w:szCs w:val="20"/>
        </w:rPr>
        <w:t xml:space="preserve">(Richard </w:t>
      </w:r>
      <w:r w:rsidRPr="00885061">
        <w:rPr>
          <w:i/>
          <w:iCs/>
          <w:sz w:val="20"/>
          <w:szCs w:val="20"/>
        </w:rPr>
        <w:t>et al</w:t>
      </w:r>
      <w:r w:rsidRPr="00885061">
        <w:rPr>
          <w:iCs/>
          <w:sz w:val="20"/>
          <w:szCs w:val="20"/>
        </w:rPr>
        <w:t xml:space="preserve">., 2006; </w:t>
      </w:r>
      <w:proofErr w:type="spellStart"/>
      <w:r w:rsidRPr="00885061">
        <w:rPr>
          <w:iCs/>
          <w:sz w:val="20"/>
          <w:szCs w:val="20"/>
        </w:rPr>
        <w:t>Chukwu</w:t>
      </w:r>
      <w:proofErr w:type="spellEnd"/>
      <w:r w:rsidRPr="00885061">
        <w:rPr>
          <w:iCs/>
          <w:sz w:val="20"/>
          <w:szCs w:val="20"/>
        </w:rPr>
        <w:t xml:space="preserve"> </w:t>
      </w:r>
      <w:r w:rsidRPr="00885061">
        <w:rPr>
          <w:i/>
          <w:iCs/>
          <w:sz w:val="20"/>
          <w:szCs w:val="20"/>
        </w:rPr>
        <w:t>et al</w:t>
      </w:r>
      <w:r w:rsidRPr="00885061">
        <w:rPr>
          <w:iCs/>
          <w:sz w:val="20"/>
          <w:szCs w:val="20"/>
        </w:rPr>
        <w:t>., 2011)</w:t>
      </w:r>
      <w:r w:rsidRPr="00885061">
        <w:rPr>
          <w:sz w:val="20"/>
          <w:szCs w:val="20"/>
        </w:rPr>
        <w:t xml:space="preserve">. </w:t>
      </w:r>
      <w:r w:rsidRPr="00885061">
        <w:rPr>
          <w:i/>
          <w:iCs/>
          <w:sz w:val="20"/>
          <w:szCs w:val="20"/>
        </w:rPr>
        <w:t xml:space="preserve">Escherichia coli </w:t>
      </w:r>
      <w:proofErr w:type="gramStart"/>
      <w:r w:rsidRPr="00885061">
        <w:rPr>
          <w:sz w:val="20"/>
          <w:szCs w:val="20"/>
        </w:rPr>
        <w:t>is</w:t>
      </w:r>
      <w:proofErr w:type="gramEnd"/>
      <w:r w:rsidRPr="00885061">
        <w:rPr>
          <w:sz w:val="20"/>
          <w:szCs w:val="20"/>
        </w:rPr>
        <w:t xml:space="preserve"> the most common organism isolated from patients with asymptomatic </w:t>
      </w:r>
      <w:proofErr w:type="spellStart"/>
      <w:r w:rsidRPr="00885061">
        <w:rPr>
          <w:sz w:val="20"/>
          <w:szCs w:val="20"/>
        </w:rPr>
        <w:lastRenderedPageBreak/>
        <w:t>bacteriuria</w:t>
      </w:r>
      <w:proofErr w:type="spellEnd"/>
      <w:r w:rsidRPr="00885061">
        <w:rPr>
          <w:sz w:val="20"/>
          <w:szCs w:val="20"/>
        </w:rPr>
        <w:t xml:space="preserve"> (Richard </w:t>
      </w:r>
      <w:r w:rsidRPr="00885061">
        <w:rPr>
          <w:i/>
          <w:sz w:val="20"/>
          <w:szCs w:val="20"/>
        </w:rPr>
        <w:t>et al</w:t>
      </w:r>
      <w:r w:rsidRPr="00885061">
        <w:rPr>
          <w:sz w:val="20"/>
          <w:szCs w:val="20"/>
        </w:rPr>
        <w:t xml:space="preserve">., 2006; </w:t>
      </w:r>
      <w:proofErr w:type="spellStart"/>
      <w:r w:rsidRPr="00885061">
        <w:rPr>
          <w:sz w:val="20"/>
          <w:szCs w:val="20"/>
        </w:rPr>
        <w:t>Dalal</w:t>
      </w:r>
      <w:proofErr w:type="spellEnd"/>
      <w:r w:rsidRPr="00885061">
        <w:rPr>
          <w:sz w:val="20"/>
          <w:szCs w:val="20"/>
        </w:rPr>
        <w:t xml:space="preserve"> </w:t>
      </w:r>
      <w:r w:rsidRPr="00885061">
        <w:rPr>
          <w:i/>
          <w:sz w:val="20"/>
          <w:szCs w:val="20"/>
        </w:rPr>
        <w:t>et al</w:t>
      </w:r>
      <w:r w:rsidRPr="00885061">
        <w:rPr>
          <w:sz w:val="20"/>
          <w:szCs w:val="20"/>
        </w:rPr>
        <w:t xml:space="preserve">., 2009). Although certain patients having diabetes, infected kidney stones, </w:t>
      </w:r>
      <w:proofErr w:type="gramStart"/>
      <w:r w:rsidRPr="00885061">
        <w:rPr>
          <w:sz w:val="20"/>
          <w:szCs w:val="20"/>
        </w:rPr>
        <w:t>kidney</w:t>
      </w:r>
      <w:proofErr w:type="gramEnd"/>
      <w:r w:rsidRPr="00885061">
        <w:rPr>
          <w:sz w:val="20"/>
          <w:szCs w:val="20"/>
        </w:rPr>
        <w:t xml:space="preserve"> transplant, older age and pregnant women are at a higher risk of developing kidney infection if they have asymptomatic </w:t>
      </w:r>
      <w:proofErr w:type="spellStart"/>
      <w:r w:rsidRPr="00885061">
        <w:rPr>
          <w:sz w:val="20"/>
          <w:szCs w:val="20"/>
        </w:rPr>
        <w:t>bacteriuria</w:t>
      </w:r>
      <w:proofErr w:type="spellEnd"/>
      <w:r w:rsidRPr="00885061">
        <w:rPr>
          <w:sz w:val="20"/>
          <w:szCs w:val="20"/>
        </w:rPr>
        <w:t xml:space="preserve">, most healthy patients with asymptomatic </w:t>
      </w:r>
      <w:proofErr w:type="spellStart"/>
      <w:r w:rsidRPr="00885061">
        <w:rPr>
          <w:sz w:val="20"/>
          <w:szCs w:val="20"/>
        </w:rPr>
        <w:t>bacteriuria</w:t>
      </w:r>
      <w:proofErr w:type="spellEnd"/>
      <w:r w:rsidRPr="00885061">
        <w:rPr>
          <w:sz w:val="20"/>
          <w:szCs w:val="20"/>
        </w:rPr>
        <w:t xml:space="preserve"> do not need treatment. However, in this era of abuse and irrational use of antibiotics reported in Nigeria (</w:t>
      </w:r>
      <w:proofErr w:type="spellStart"/>
      <w:r w:rsidRPr="00885061">
        <w:rPr>
          <w:sz w:val="20"/>
          <w:szCs w:val="20"/>
        </w:rPr>
        <w:t>Tamuno</w:t>
      </w:r>
      <w:proofErr w:type="spellEnd"/>
      <w:r w:rsidRPr="00885061">
        <w:rPr>
          <w:sz w:val="20"/>
          <w:szCs w:val="20"/>
        </w:rPr>
        <w:t xml:space="preserve"> </w:t>
      </w:r>
      <w:r w:rsidRPr="00885061">
        <w:rPr>
          <w:i/>
          <w:sz w:val="20"/>
          <w:szCs w:val="20"/>
        </w:rPr>
        <w:t>et al</w:t>
      </w:r>
      <w:r w:rsidRPr="00885061">
        <w:rPr>
          <w:sz w:val="20"/>
          <w:szCs w:val="20"/>
        </w:rPr>
        <w:t xml:space="preserve">., 2011), the possibility of healthy individuals with persistent asymptomatic </w:t>
      </w:r>
      <w:proofErr w:type="spellStart"/>
      <w:r w:rsidRPr="00885061">
        <w:rPr>
          <w:sz w:val="20"/>
          <w:szCs w:val="20"/>
        </w:rPr>
        <w:t>bacteriuria</w:t>
      </w:r>
      <w:proofErr w:type="spellEnd"/>
      <w:r w:rsidRPr="00885061">
        <w:rPr>
          <w:sz w:val="20"/>
          <w:szCs w:val="20"/>
        </w:rPr>
        <w:t xml:space="preserve"> becoming a reservoir of multidrug resistant and extended-spectrum beta-</w:t>
      </w:r>
      <w:proofErr w:type="spellStart"/>
      <w:r w:rsidRPr="00885061">
        <w:rPr>
          <w:sz w:val="20"/>
          <w:szCs w:val="20"/>
        </w:rPr>
        <w:t>lactamase</w:t>
      </w:r>
      <w:proofErr w:type="spellEnd"/>
      <w:r w:rsidRPr="00885061">
        <w:rPr>
          <w:sz w:val="20"/>
          <w:szCs w:val="20"/>
        </w:rPr>
        <w:t xml:space="preserve"> producing bacteria was the concern for carrying out this study. Extended-spectrum β-</w:t>
      </w:r>
      <w:proofErr w:type="spellStart"/>
      <w:r w:rsidRPr="00885061">
        <w:rPr>
          <w:sz w:val="20"/>
          <w:szCs w:val="20"/>
        </w:rPr>
        <w:t>lactamases</w:t>
      </w:r>
      <w:proofErr w:type="spellEnd"/>
      <w:r w:rsidRPr="00885061">
        <w:rPr>
          <w:sz w:val="20"/>
          <w:szCs w:val="20"/>
        </w:rPr>
        <w:t xml:space="preserve"> (ESBLs) are a rapidly evolving group of β-</w:t>
      </w:r>
      <w:proofErr w:type="spellStart"/>
      <w:r w:rsidRPr="00885061">
        <w:rPr>
          <w:sz w:val="20"/>
          <w:szCs w:val="20"/>
        </w:rPr>
        <w:t>lactamases</w:t>
      </w:r>
      <w:proofErr w:type="spellEnd"/>
      <w:r w:rsidRPr="00885061">
        <w:rPr>
          <w:sz w:val="20"/>
          <w:szCs w:val="20"/>
        </w:rPr>
        <w:t xml:space="preserve"> which also have the ability to hydrolyze third-generation </w:t>
      </w:r>
      <w:proofErr w:type="spellStart"/>
      <w:r w:rsidRPr="00885061">
        <w:rPr>
          <w:sz w:val="20"/>
          <w:szCs w:val="20"/>
        </w:rPr>
        <w:t>cephalosporins</w:t>
      </w:r>
      <w:proofErr w:type="spellEnd"/>
      <w:r w:rsidRPr="00885061">
        <w:rPr>
          <w:sz w:val="20"/>
          <w:szCs w:val="20"/>
        </w:rPr>
        <w:t xml:space="preserve"> and </w:t>
      </w:r>
      <w:proofErr w:type="spellStart"/>
      <w:r w:rsidRPr="00885061">
        <w:rPr>
          <w:sz w:val="20"/>
          <w:szCs w:val="20"/>
        </w:rPr>
        <w:t>aztreonam</w:t>
      </w:r>
      <w:proofErr w:type="spellEnd"/>
      <w:r w:rsidRPr="00885061">
        <w:rPr>
          <w:sz w:val="20"/>
          <w:szCs w:val="20"/>
        </w:rPr>
        <w:t xml:space="preserve"> yet are inhibited by </w:t>
      </w:r>
      <w:proofErr w:type="spellStart"/>
      <w:r w:rsidRPr="00885061">
        <w:rPr>
          <w:sz w:val="20"/>
          <w:szCs w:val="20"/>
        </w:rPr>
        <w:t>clavulanic</w:t>
      </w:r>
      <w:proofErr w:type="spellEnd"/>
      <w:r w:rsidRPr="00885061">
        <w:rPr>
          <w:sz w:val="20"/>
          <w:szCs w:val="20"/>
        </w:rPr>
        <w:t xml:space="preserve"> acid (Bush </w:t>
      </w:r>
      <w:r w:rsidRPr="00885061">
        <w:rPr>
          <w:i/>
          <w:sz w:val="20"/>
          <w:szCs w:val="20"/>
        </w:rPr>
        <w:t>et al</w:t>
      </w:r>
      <w:r w:rsidRPr="00885061">
        <w:rPr>
          <w:sz w:val="20"/>
          <w:szCs w:val="20"/>
        </w:rPr>
        <w:t xml:space="preserve">., 1995; Paterson and </w:t>
      </w:r>
      <w:proofErr w:type="spellStart"/>
      <w:r w:rsidRPr="00885061">
        <w:rPr>
          <w:sz w:val="20"/>
          <w:szCs w:val="20"/>
        </w:rPr>
        <w:t>Bonomo</w:t>
      </w:r>
      <w:proofErr w:type="spellEnd"/>
      <w:r w:rsidRPr="00885061">
        <w:rPr>
          <w:sz w:val="20"/>
          <w:szCs w:val="20"/>
        </w:rPr>
        <w:t>, 2005). The incidence of extended-spectrum beta-</w:t>
      </w:r>
      <w:proofErr w:type="spellStart"/>
      <w:r w:rsidRPr="00885061">
        <w:rPr>
          <w:sz w:val="20"/>
          <w:szCs w:val="20"/>
        </w:rPr>
        <w:t>lactamase</w:t>
      </w:r>
      <w:proofErr w:type="spellEnd"/>
      <w:r w:rsidRPr="00885061">
        <w:rPr>
          <w:sz w:val="20"/>
          <w:szCs w:val="20"/>
        </w:rPr>
        <w:t xml:space="preserve"> producing bacteria has been reported in both the community and hospital settings in some parts of the world including Nigeria (Bonnet, 2004; </w:t>
      </w:r>
      <w:proofErr w:type="spellStart"/>
      <w:r w:rsidRPr="00885061">
        <w:rPr>
          <w:sz w:val="20"/>
          <w:szCs w:val="20"/>
        </w:rPr>
        <w:t>Pitout</w:t>
      </w:r>
      <w:proofErr w:type="spellEnd"/>
      <w:r w:rsidRPr="00885061">
        <w:rPr>
          <w:sz w:val="20"/>
          <w:szCs w:val="20"/>
        </w:rPr>
        <w:t xml:space="preserve"> </w:t>
      </w:r>
      <w:r w:rsidRPr="00885061">
        <w:rPr>
          <w:i/>
          <w:sz w:val="20"/>
          <w:szCs w:val="20"/>
        </w:rPr>
        <w:t>et al</w:t>
      </w:r>
      <w:r w:rsidRPr="00885061">
        <w:rPr>
          <w:sz w:val="20"/>
          <w:szCs w:val="20"/>
        </w:rPr>
        <w:t xml:space="preserve">., 2005; Paterson and </w:t>
      </w:r>
      <w:proofErr w:type="spellStart"/>
      <w:r w:rsidRPr="00885061">
        <w:rPr>
          <w:sz w:val="20"/>
          <w:szCs w:val="20"/>
        </w:rPr>
        <w:t>Bonomo</w:t>
      </w:r>
      <w:proofErr w:type="spellEnd"/>
      <w:r w:rsidRPr="00885061">
        <w:rPr>
          <w:sz w:val="20"/>
          <w:szCs w:val="20"/>
        </w:rPr>
        <w:t xml:space="preserve">, 2005; </w:t>
      </w:r>
      <w:proofErr w:type="spellStart"/>
      <w:r w:rsidRPr="00885061">
        <w:rPr>
          <w:sz w:val="20"/>
          <w:szCs w:val="20"/>
        </w:rPr>
        <w:t>Soge</w:t>
      </w:r>
      <w:proofErr w:type="spellEnd"/>
      <w:r w:rsidRPr="00885061">
        <w:rPr>
          <w:sz w:val="20"/>
          <w:szCs w:val="20"/>
        </w:rPr>
        <w:t xml:space="preserve"> </w:t>
      </w:r>
      <w:r w:rsidRPr="00885061">
        <w:rPr>
          <w:i/>
          <w:sz w:val="20"/>
          <w:szCs w:val="20"/>
        </w:rPr>
        <w:t>et al</w:t>
      </w:r>
      <w:r w:rsidRPr="00885061">
        <w:rPr>
          <w:sz w:val="20"/>
          <w:szCs w:val="20"/>
        </w:rPr>
        <w:t xml:space="preserve">., 2006; Canton and </w:t>
      </w:r>
      <w:proofErr w:type="spellStart"/>
      <w:r w:rsidRPr="00885061">
        <w:rPr>
          <w:sz w:val="20"/>
          <w:szCs w:val="20"/>
        </w:rPr>
        <w:t>Coque</w:t>
      </w:r>
      <w:proofErr w:type="spellEnd"/>
      <w:r w:rsidRPr="00885061">
        <w:rPr>
          <w:sz w:val="20"/>
          <w:szCs w:val="20"/>
        </w:rPr>
        <w:t xml:space="preserve">, 2006; </w:t>
      </w:r>
      <w:proofErr w:type="spellStart"/>
      <w:r w:rsidRPr="00885061">
        <w:rPr>
          <w:sz w:val="20"/>
          <w:szCs w:val="20"/>
        </w:rPr>
        <w:t>Mendonca</w:t>
      </w:r>
      <w:proofErr w:type="spellEnd"/>
      <w:r w:rsidRPr="00885061">
        <w:rPr>
          <w:sz w:val="20"/>
          <w:szCs w:val="20"/>
        </w:rPr>
        <w:t xml:space="preserve"> </w:t>
      </w:r>
      <w:r w:rsidRPr="00885061">
        <w:rPr>
          <w:i/>
          <w:sz w:val="20"/>
          <w:szCs w:val="20"/>
        </w:rPr>
        <w:t>et</w:t>
      </w:r>
      <w:r w:rsidRPr="00885061">
        <w:rPr>
          <w:sz w:val="20"/>
          <w:szCs w:val="20"/>
        </w:rPr>
        <w:t xml:space="preserve"> </w:t>
      </w:r>
      <w:r w:rsidRPr="00885061">
        <w:rPr>
          <w:i/>
          <w:sz w:val="20"/>
          <w:szCs w:val="20"/>
        </w:rPr>
        <w:t>al</w:t>
      </w:r>
      <w:r w:rsidRPr="00885061">
        <w:rPr>
          <w:sz w:val="20"/>
          <w:szCs w:val="20"/>
        </w:rPr>
        <w:t xml:space="preserve">., 2007; </w:t>
      </w:r>
      <w:proofErr w:type="spellStart"/>
      <w:r w:rsidRPr="00885061">
        <w:rPr>
          <w:sz w:val="20"/>
          <w:szCs w:val="20"/>
        </w:rPr>
        <w:t>Okesola</w:t>
      </w:r>
      <w:proofErr w:type="spellEnd"/>
      <w:r w:rsidRPr="00885061">
        <w:rPr>
          <w:sz w:val="20"/>
          <w:szCs w:val="20"/>
        </w:rPr>
        <w:t xml:space="preserve"> </w:t>
      </w:r>
      <w:r w:rsidRPr="00885061">
        <w:rPr>
          <w:i/>
          <w:sz w:val="20"/>
          <w:szCs w:val="20"/>
        </w:rPr>
        <w:t>et al</w:t>
      </w:r>
      <w:r w:rsidRPr="00885061">
        <w:rPr>
          <w:sz w:val="20"/>
          <w:szCs w:val="20"/>
        </w:rPr>
        <w:t xml:space="preserve">., 2009; </w:t>
      </w:r>
      <w:proofErr w:type="spellStart"/>
      <w:r w:rsidRPr="00885061">
        <w:rPr>
          <w:sz w:val="20"/>
          <w:szCs w:val="20"/>
        </w:rPr>
        <w:t>Tijjani</w:t>
      </w:r>
      <w:proofErr w:type="spellEnd"/>
      <w:r w:rsidRPr="00885061">
        <w:rPr>
          <w:sz w:val="20"/>
          <w:szCs w:val="20"/>
        </w:rPr>
        <w:t xml:space="preserve"> </w:t>
      </w:r>
      <w:r w:rsidRPr="00885061">
        <w:rPr>
          <w:i/>
          <w:sz w:val="20"/>
          <w:szCs w:val="20"/>
        </w:rPr>
        <w:t>et al</w:t>
      </w:r>
      <w:r w:rsidRPr="00885061">
        <w:rPr>
          <w:sz w:val="20"/>
          <w:szCs w:val="20"/>
        </w:rPr>
        <w:t xml:space="preserve">., 2012) and several studies have found a relationship between </w:t>
      </w:r>
      <w:r w:rsidRPr="00885061">
        <w:rPr>
          <w:sz w:val="20"/>
          <w:szCs w:val="20"/>
        </w:rPr>
        <w:lastRenderedPageBreak/>
        <w:t xml:space="preserve">the use of third-generation </w:t>
      </w:r>
      <w:proofErr w:type="spellStart"/>
      <w:r w:rsidRPr="00885061">
        <w:rPr>
          <w:sz w:val="20"/>
          <w:szCs w:val="20"/>
        </w:rPr>
        <w:t>cephalosporins</w:t>
      </w:r>
      <w:proofErr w:type="spellEnd"/>
      <w:r w:rsidRPr="00885061">
        <w:rPr>
          <w:sz w:val="20"/>
          <w:szCs w:val="20"/>
        </w:rPr>
        <w:t xml:space="preserve"> and acquisition of ESBL-producing strains (</w:t>
      </w:r>
      <w:proofErr w:type="spellStart"/>
      <w:r w:rsidRPr="00885061">
        <w:rPr>
          <w:sz w:val="20"/>
          <w:szCs w:val="20"/>
        </w:rPr>
        <w:t>Ariffin</w:t>
      </w:r>
      <w:proofErr w:type="spellEnd"/>
      <w:r w:rsidRPr="00885061">
        <w:rPr>
          <w:sz w:val="20"/>
          <w:szCs w:val="20"/>
        </w:rPr>
        <w:t xml:space="preserve"> </w:t>
      </w:r>
      <w:r w:rsidRPr="00885061">
        <w:rPr>
          <w:i/>
          <w:sz w:val="20"/>
          <w:szCs w:val="20"/>
        </w:rPr>
        <w:t>et al</w:t>
      </w:r>
      <w:r w:rsidRPr="00885061">
        <w:rPr>
          <w:sz w:val="20"/>
          <w:szCs w:val="20"/>
        </w:rPr>
        <w:t xml:space="preserve">., 2000). This study however, investigated the prevalence of multidrug resistance and ESBLs production among bacterial isolates obtained from urine of healthy students of the University </w:t>
      </w:r>
      <w:proofErr w:type="gramStart"/>
      <w:r w:rsidRPr="00885061">
        <w:rPr>
          <w:sz w:val="20"/>
          <w:szCs w:val="20"/>
        </w:rPr>
        <w:t>of</w:t>
      </w:r>
      <w:proofErr w:type="gramEnd"/>
      <w:r w:rsidRPr="00885061">
        <w:rPr>
          <w:sz w:val="20"/>
          <w:szCs w:val="20"/>
        </w:rPr>
        <w:t xml:space="preserve"> Ibadan, Nigeria.</w:t>
      </w:r>
    </w:p>
    <w:p w:rsidR="00F7094E" w:rsidRPr="00885061" w:rsidRDefault="00F7094E" w:rsidP="00885061">
      <w:pPr>
        <w:snapToGrid w:val="0"/>
        <w:ind w:firstLine="425"/>
        <w:jc w:val="both"/>
        <w:rPr>
          <w:rFonts w:hint="eastAsia"/>
          <w:sz w:val="20"/>
          <w:szCs w:val="20"/>
          <w:lang w:eastAsia="zh-CN"/>
        </w:rPr>
      </w:pPr>
    </w:p>
    <w:p w:rsidR="00A8020A" w:rsidRPr="00885061" w:rsidRDefault="00A8020A" w:rsidP="00885061">
      <w:pPr>
        <w:pStyle w:val="NoSpacing"/>
        <w:snapToGrid w:val="0"/>
        <w:jc w:val="both"/>
        <w:rPr>
          <w:b/>
          <w:sz w:val="20"/>
          <w:szCs w:val="20"/>
        </w:rPr>
      </w:pPr>
      <w:r w:rsidRPr="00885061">
        <w:rPr>
          <w:b/>
          <w:sz w:val="20"/>
          <w:szCs w:val="20"/>
        </w:rPr>
        <w:t>Materials and Methods</w:t>
      </w:r>
    </w:p>
    <w:p w:rsidR="00A8020A" w:rsidRPr="00885061" w:rsidRDefault="00A8020A" w:rsidP="00885061">
      <w:pPr>
        <w:pStyle w:val="NoSpacing"/>
        <w:snapToGrid w:val="0"/>
        <w:jc w:val="both"/>
        <w:rPr>
          <w:b/>
          <w:sz w:val="20"/>
          <w:szCs w:val="20"/>
        </w:rPr>
      </w:pPr>
      <w:r w:rsidRPr="00885061">
        <w:rPr>
          <w:b/>
          <w:sz w:val="20"/>
          <w:szCs w:val="20"/>
        </w:rPr>
        <w:t>Collection of urine samples</w:t>
      </w:r>
    </w:p>
    <w:p w:rsidR="00A8020A" w:rsidRPr="00885061" w:rsidRDefault="00A8020A" w:rsidP="00885061">
      <w:pPr>
        <w:pStyle w:val="NoSpacing"/>
        <w:snapToGrid w:val="0"/>
        <w:ind w:firstLine="425"/>
        <w:jc w:val="both"/>
        <w:rPr>
          <w:sz w:val="20"/>
          <w:szCs w:val="20"/>
        </w:rPr>
      </w:pPr>
      <w:r w:rsidRPr="00885061">
        <w:rPr>
          <w:sz w:val="20"/>
          <w:szCs w:val="20"/>
        </w:rPr>
        <w:t>One hundred students (50 males and 50 females) between the ages 17 and 26 years, from the University of Ibadan, voluntarily participated in the study. After filling a questionnaire, mid-stream urine clean catch sample was collected aseptically in sterile wide mouth sample bottles and were immediately sent to the laboratory as soon as it was produced by the participating students. The samples were screened for the presence of bacteria within 24 hours of collection. Students currently on antibiotic treatment or that have been treated for urinary tract infection as far as two months before this study were excluded from the research. The participating students were taught how to collect their urine samples without contaminating the samples with their hands and external genital.</w:t>
      </w:r>
    </w:p>
    <w:p w:rsidR="00A8020A" w:rsidRPr="00885061" w:rsidRDefault="00A8020A" w:rsidP="00885061">
      <w:pPr>
        <w:pStyle w:val="NoSpacing"/>
        <w:snapToGrid w:val="0"/>
        <w:jc w:val="both"/>
        <w:rPr>
          <w:b/>
          <w:sz w:val="20"/>
          <w:szCs w:val="20"/>
        </w:rPr>
      </w:pPr>
      <w:r w:rsidRPr="00885061">
        <w:rPr>
          <w:b/>
          <w:sz w:val="20"/>
          <w:szCs w:val="20"/>
        </w:rPr>
        <w:t>Bacteria Isolation and Identification</w:t>
      </w:r>
    </w:p>
    <w:p w:rsidR="00A8020A" w:rsidRPr="00885061" w:rsidRDefault="00A8020A" w:rsidP="00885061">
      <w:pPr>
        <w:snapToGrid w:val="0"/>
        <w:ind w:firstLine="425"/>
        <w:jc w:val="both"/>
        <w:rPr>
          <w:sz w:val="20"/>
          <w:szCs w:val="20"/>
        </w:rPr>
      </w:pPr>
      <w:r w:rsidRPr="00885061">
        <w:rPr>
          <w:sz w:val="20"/>
          <w:szCs w:val="20"/>
        </w:rPr>
        <w:t xml:space="preserve">A loop-full of urine was streaked on Nutrient agar, </w:t>
      </w:r>
      <w:proofErr w:type="spellStart"/>
      <w:r w:rsidRPr="00885061">
        <w:rPr>
          <w:sz w:val="20"/>
          <w:szCs w:val="20"/>
        </w:rPr>
        <w:t>Mannitol</w:t>
      </w:r>
      <w:proofErr w:type="spellEnd"/>
      <w:r w:rsidRPr="00885061">
        <w:rPr>
          <w:sz w:val="20"/>
          <w:szCs w:val="20"/>
        </w:rPr>
        <w:t xml:space="preserve"> salt agar, </w:t>
      </w:r>
      <w:proofErr w:type="spellStart"/>
      <w:r w:rsidRPr="00885061">
        <w:rPr>
          <w:sz w:val="20"/>
          <w:szCs w:val="20"/>
        </w:rPr>
        <w:t>cetrimide</w:t>
      </w:r>
      <w:proofErr w:type="spellEnd"/>
      <w:r w:rsidRPr="00885061">
        <w:rPr>
          <w:sz w:val="20"/>
          <w:szCs w:val="20"/>
        </w:rPr>
        <w:t xml:space="preserve"> agar and </w:t>
      </w:r>
      <w:proofErr w:type="spellStart"/>
      <w:r w:rsidRPr="00885061">
        <w:rPr>
          <w:sz w:val="20"/>
          <w:szCs w:val="20"/>
        </w:rPr>
        <w:t>MacConkey</w:t>
      </w:r>
      <w:proofErr w:type="spellEnd"/>
      <w:r w:rsidRPr="00885061">
        <w:rPr>
          <w:sz w:val="20"/>
          <w:szCs w:val="20"/>
        </w:rPr>
        <w:t xml:space="preserve"> agar media. The culture plates were incubated at 37</w:t>
      </w:r>
      <w:r w:rsidRPr="00885061">
        <w:rPr>
          <w:sz w:val="20"/>
          <w:szCs w:val="20"/>
          <w:vertAlign w:val="superscript"/>
        </w:rPr>
        <w:t>0</w:t>
      </w:r>
      <w:r w:rsidRPr="00885061">
        <w:rPr>
          <w:sz w:val="20"/>
          <w:szCs w:val="20"/>
        </w:rPr>
        <w:t>C for 24 hours. Plates that showed growth were observed and the colonies were further characterized by Gram stain and standard biochemical tests. The identified isolates were streaked on agar slants and stored in a refrigerator for later use.</w:t>
      </w:r>
    </w:p>
    <w:p w:rsidR="00A8020A" w:rsidRPr="00885061" w:rsidRDefault="00A8020A" w:rsidP="00885061">
      <w:pPr>
        <w:pStyle w:val="NoSpacing"/>
        <w:snapToGrid w:val="0"/>
        <w:jc w:val="both"/>
        <w:rPr>
          <w:b/>
          <w:sz w:val="20"/>
          <w:szCs w:val="20"/>
        </w:rPr>
      </w:pPr>
      <w:r w:rsidRPr="00885061">
        <w:rPr>
          <w:b/>
          <w:sz w:val="20"/>
          <w:szCs w:val="20"/>
        </w:rPr>
        <w:t>Antibiotic susceptibility test</w:t>
      </w:r>
    </w:p>
    <w:p w:rsidR="00A8020A" w:rsidRPr="00885061" w:rsidRDefault="00A8020A" w:rsidP="00885061">
      <w:pPr>
        <w:pStyle w:val="NoSpacing"/>
        <w:snapToGrid w:val="0"/>
        <w:ind w:firstLine="425"/>
        <w:jc w:val="both"/>
        <w:rPr>
          <w:sz w:val="20"/>
          <w:szCs w:val="20"/>
        </w:rPr>
      </w:pPr>
      <w:r w:rsidRPr="00885061">
        <w:rPr>
          <w:sz w:val="20"/>
          <w:szCs w:val="20"/>
        </w:rPr>
        <w:t xml:space="preserve">The bacterial isolates were subjected to antibiotic susceptibility testing against ten antibiotics belonging to the penicillin, cephalosporin, </w:t>
      </w:r>
      <w:proofErr w:type="spellStart"/>
      <w:r w:rsidRPr="00885061">
        <w:rPr>
          <w:sz w:val="20"/>
          <w:szCs w:val="20"/>
        </w:rPr>
        <w:t>aminoglycoside</w:t>
      </w:r>
      <w:proofErr w:type="spellEnd"/>
      <w:r w:rsidRPr="00885061">
        <w:rPr>
          <w:sz w:val="20"/>
          <w:szCs w:val="20"/>
        </w:rPr>
        <w:t xml:space="preserve">, </w:t>
      </w:r>
      <w:proofErr w:type="spellStart"/>
      <w:r w:rsidRPr="00885061">
        <w:rPr>
          <w:sz w:val="20"/>
          <w:szCs w:val="20"/>
        </w:rPr>
        <w:t>quinolone</w:t>
      </w:r>
      <w:proofErr w:type="spellEnd"/>
      <w:r w:rsidRPr="00885061">
        <w:rPr>
          <w:sz w:val="20"/>
          <w:szCs w:val="20"/>
        </w:rPr>
        <w:t xml:space="preserve">, </w:t>
      </w:r>
      <w:proofErr w:type="spellStart"/>
      <w:r w:rsidRPr="00885061">
        <w:rPr>
          <w:sz w:val="20"/>
          <w:szCs w:val="20"/>
        </w:rPr>
        <w:t>macrolide</w:t>
      </w:r>
      <w:proofErr w:type="spellEnd"/>
      <w:r w:rsidRPr="00885061">
        <w:rPr>
          <w:sz w:val="20"/>
          <w:szCs w:val="20"/>
        </w:rPr>
        <w:t xml:space="preserve"> and </w:t>
      </w:r>
      <w:proofErr w:type="spellStart"/>
      <w:r w:rsidRPr="00885061">
        <w:rPr>
          <w:sz w:val="20"/>
          <w:szCs w:val="20"/>
        </w:rPr>
        <w:t>nitrofuran</w:t>
      </w:r>
      <w:proofErr w:type="spellEnd"/>
      <w:r w:rsidRPr="00885061">
        <w:rPr>
          <w:sz w:val="20"/>
          <w:szCs w:val="20"/>
        </w:rPr>
        <w:t xml:space="preserve"> classes using the disc diffusion method on Mueller Hinton agar according to the Clinical Laboratory Standards Institute guidelines (CLSI, 2011). The antibiotics included: amoxicillin-</w:t>
      </w:r>
      <w:proofErr w:type="spellStart"/>
      <w:r w:rsidRPr="00885061">
        <w:rPr>
          <w:sz w:val="20"/>
          <w:szCs w:val="20"/>
        </w:rPr>
        <w:t>clavulanic</w:t>
      </w:r>
      <w:proofErr w:type="spellEnd"/>
      <w:r w:rsidRPr="00885061">
        <w:rPr>
          <w:sz w:val="20"/>
          <w:szCs w:val="20"/>
        </w:rPr>
        <w:t xml:space="preserve"> acid (20/10 µg), </w:t>
      </w:r>
      <w:proofErr w:type="spellStart"/>
      <w:r w:rsidRPr="00885061">
        <w:rPr>
          <w:sz w:val="20"/>
          <w:szCs w:val="20"/>
        </w:rPr>
        <w:t>cefuroxime</w:t>
      </w:r>
      <w:proofErr w:type="spellEnd"/>
      <w:r w:rsidRPr="00885061">
        <w:rPr>
          <w:sz w:val="20"/>
          <w:szCs w:val="20"/>
        </w:rPr>
        <w:t xml:space="preserve"> (30 µg), </w:t>
      </w:r>
      <w:proofErr w:type="spellStart"/>
      <w:r w:rsidRPr="00885061">
        <w:rPr>
          <w:sz w:val="20"/>
          <w:szCs w:val="20"/>
        </w:rPr>
        <w:t>cefixime</w:t>
      </w:r>
      <w:proofErr w:type="spellEnd"/>
      <w:r w:rsidRPr="00885061">
        <w:rPr>
          <w:sz w:val="20"/>
          <w:szCs w:val="20"/>
        </w:rPr>
        <w:t xml:space="preserve"> (5 µg), </w:t>
      </w:r>
      <w:proofErr w:type="spellStart"/>
      <w:r w:rsidRPr="00885061">
        <w:rPr>
          <w:sz w:val="20"/>
          <w:szCs w:val="20"/>
        </w:rPr>
        <w:t>ceftazidime</w:t>
      </w:r>
      <w:proofErr w:type="spellEnd"/>
      <w:r w:rsidRPr="00885061">
        <w:rPr>
          <w:sz w:val="20"/>
          <w:szCs w:val="20"/>
        </w:rPr>
        <w:t xml:space="preserve"> (30 µg), </w:t>
      </w:r>
      <w:proofErr w:type="spellStart"/>
      <w:r w:rsidRPr="00885061">
        <w:rPr>
          <w:sz w:val="20"/>
          <w:szCs w:val="20"/>
        </w:rPr>
        <w:t>ceftriaxone</w:t>
      </w:r>
      <w:proofErr w:type="spellEnd"/>
      <w:r w:rsidRPr="00885061">
        <w:rPr>
          <w:sz w:val="20"/>
          <w:szCs w:val="20"/>
        </w:rPr>
        <w:t xml:space="preserve"> (30 µg), </w:t>
      </w:r>
      <w:proofErr w:type="spellStart"/>
      <w:r w:rsidRPr="00885061">
        <w:rPr>
          <w:sz w:val="20"/>
          <w:szCs w:val="20"/>
        </w:rPr>
        <w:t>gentamicin</w:t>
      </w:r>
      <w:proofErr w:type="spellEnd"/>
      <w:r w:rsidRPr="00885061">
        <w:rPr>
          <w:sz w:val="20"/>
          <w:szCs w:val="20"/>
        </w:rPr>
        <w:t xml:space="preserve"> (10 µg), ciprofloxacin (5 µg), </w:t>
      </w:r>
      <w:proofErr w:type="spellStart"/>
      <w:r w:rsidRPr="00885061">
        <w:rPr>
          <w:sz w:val="20"/>
          <w:szCs w:val="20"/>
        </w:rPr>
        <w:t>ofloxacin</w:t>
      </w:r>
      <w:proofErr w:type="spellEnd"/>
      <w:r w:rsidRPr="00885061">
        <w:rPr>
          <w:sz w:val="20"/>
          <w:szCs w:val="20"/>
        </w:rPr>
        <w:t xml:space="preserve"> (5 µg), erythromycin (5 µg) and </w:t>
      </w:r>
      <w:proofErr w:type="spellStart"/>
      <w:r w:rsidRPr="00885061">
        <w:rPr>
          <w:sz w:val="20"/>
          <w:szCs w:val="20"/>
        </w:rPr>
        <w:t>nitrofurantoin</w:t>
      </w:r>
      <w:proofErr w:type="spellEnd"/>
      <w:r w:rsidRPr="00885061">
        <w:rPr>
          <w:sz w:val="20"/>
          <w:szCs w:val="20"/>
        </w:rPr>
        <w:t xml:space="preserve"> (300 µg).</w:t>
      </w:r>
    </w:p>
    <w:p w:rsidR="00A8020A" w:rsidRPr="00885061" w:rsidRDefault="00A8020A" w:rsidP="00885061">
      <w:pPr>
        <w:pStyle w:val="NoSpacing"/>
        <w:snapToGrid w:val="0"/>
        <w:jc w:val="both"/>
        <w:rPr>
          <w:b/>
          <w:sz w:val="20"/>
          <w:szCs w:val="20"/>
        </w:rPr>
      </w:pPr>
      <w:r w:rsidRPr="00885061">
        <w:rPr>
          <w:b/>
          <w:sz w:val="20"/>
          <w:szCs w:val="20"/>
        </w:rPr>
        <w:t>Detection of Extended-Spectrum Beta-</w:t>
      </w:r>
      <w:proofErr w:type="spellStart"/>
      <w:r w:rsidRPr="00885061">
        <w:rPr>
          <w:b/>
          <w:sz w:val="20"/>
          <w:szCs w:val="20"/>
        </w:rPr>
        <w:t>Lactamase</w:t>
      </w:r>
      <w:proofErr w:type="spellEnd"/>
      <w:r w:rsidRPr="00885061">
        <w:rPr>
          <w:b/>
          <w:sz w:val="20"/>
          <w:szCs w:val="20"/>
        </w:rPr>
        <w:t xml:space="preserve"> (ESBL) Production</w:t>
      </w:r>
    </w:p>
    <w:p w:rsidR="00A8020A" w:rsidRPr="00885061" w:rsidRDefault="00A8020A" w:rsidP="00885061">
      <w:pPr>
        <w:pStyle w:val="NoSpacing"/>
        <w:snapToGrid w:val="0"/>
        <w:ind w:firstLine="425"/>
        <w:jc w:val="both"/>
        <w:rPr>
          <w:sz w:val="20"/>
          <w:szCs w:val="20"/>
        </w:rPr>
      </w:pPr>
      <w:r w:rsidRPr="00885061">
        <w:rPr>
          <w:sz w:val="20"/>
          <w:szCs w:val="20"/>
        </w:rPr>
        <w:t xml:space="preserve">ESBL production was determined among the Gram negative bacteria resistant to third generation </w:t>
      </w:r>
      <w:proofErr w:type="spellStart"/>
      <w:r w:rsidRPr="00885061">
        <w:rPr>
          <w:sz w:val="20"/>
          <w:szCs w:val="20"/>
        </w:rPr>
        <w:t>cephalosporins</w:t>
      </w:r>
      <w:proofErr w:type="spellEnd"/>
      <w:r w:rsidRPr="00885061">
        <w:rPr>
          <w:sz w:val="20"/>
          <w:szCs w:val="20"/>
        </w:rPr>
        <w:t xml:space="preserve"> by double-disc synergy test with </w:t>
      </w:r>
      <w:proofErr w:type="spellStart"/>
      <w:r w:rsidRPr="00885061">
        <w:rPr>
          <w:sz w:val="20"/>
          <w:szCs w:val="20"/>
        </w:rPr>
        <w:lastRenderedPageBreak/>
        <w:t>ceftazidime</w:t>
      </w:r>
      <w:proofErr w:type="spellEnd"/>
      <w:r w:rsidRPr="00885061">
        <w:rPr>
          <w:sz w:val="20"/>
          <w:szCs w:val="20"/>
        </w:rPr>
        <w:t xml:space="preserve"> (30 µg) and </w:t>
      </w:r>
      <w:proofErr w:type="spellStart"/>
      <w:r w:rsidRPr="00885061">
        <w:rPr>
          <w:sz w:val="20"/>
          <w:szCs w:val="20"/>
        </w:rPr>
        <w:t>cefotaxime</w:t>
      </w:r>
      <w:proofErr w:type="spellEnd"/>
      <w:r w:rsidRPr="00885061">
        <w:rPr>
          <w:sz w:val="20"/>
          <w:szCs w:val="20"/>
        </w:rPr>
        <w:t xml:space="preserve"> (30 µg) discs placed 20mm centre-to-centre around amoxicillin-</w:t>
      </w:r>
      <w:proofErr w:type="spellStart"/>
      <w:r w:rsidRPr="00885061">
        <w:rPr>
          <w:sz w:val="20"/>
          <w:szCs w:val="20"/>
        </w:rPr>
        <w:t>clavulanic</w:t>
      </w:r>
      <w:proofErr w:type="spellEnd"/>
      <w:r w:rsidRPr="00885061">
        <w:rPr>
          <w:sz w:val="20"/>
          <w:szCs w:val="20"/>
        </w:rPr>
        <w:t xml:space="preserve"> acid (20/10 µg) disc. This was done on the surface of Mueller Hinton agar plate inoculated with the isolates suspension equivalent to 0.5 McFarland </w:t>
      </w:r>
      <w:proofErr w:type="gramStart"/>
      <w:r w:rsidRPr="00885061">
        <w:rPr>
          <w:sz w:val="20"/>
          <w:szCs w:val="20"/>
        </w:rPr>
        <w:t>standard</w:t>
      </w:r>
      <w:proofErr w:type="gramEnd"/>
      <w:r w:rsidRPr="00885061">
        <w:rPr>
          <w:sz w:val="20"/>
          <w:szCs w:val="20"/>
        </w:rPr>
        <w:t xml:space="preserve"> by surface spreading using sterile swab sticks. After incubation at 37</w:t>
      </w:r>
      <w:r w:rsidRPr="00885061">
        <w:rPr>
          <w:sz w:val="20"/>
          <w:szCs w:val="20"/>
          <w:vertAlign w:val="superscript"/>
        </w:rPr>
        <w:t>o</w:t>
      </w:r>
      <w:r w:rsidRPr="00885061">
        <w:rPr>
          <w:sz w:val="20"/>
          <w:szCs w:val="20"/>
        </w:rPr>
        <w:t xml:space="preserve">C for 24 hours, ESBL production was inferred when the zone of inhibition around the cephalosporin discs was expanded by ≥5mm by the presence of </w:t>
      </w:r>
      <w:proofErr w:type="spellStart"/>
      <w:r w:rsidRPr="00885061">
        <w:rPr>
          <w:sz w:val="20"/>
          <w:szCs w:val="20"/>
        </w:rPr>
        <w:t>clavulanic</w:t>
      </w:r>
      <w:proofErr w:type="spellEnd"/>
      <w:r w:rsidRPr="00885061">
        <w:rPr>
          <w:sz w:val="20"/>
          <w:szCs w:val="20"/>
        </w:rPr>
        <w:t xml:space="preserve"> acid.</w:t>
      </w:r>
    </w:p>
    <w:p w:rsidR="00A8020A" w:rsidRPr="00885061" w:rsidRDefault="00A8020A" w:rsidP="00885061">
      <w:pPr>
        <w:pStyle w:val="NoSpacing"/>
        <w:snapToGrid w:val="0"/>
        <w:jc w:val="both"/>
        <w:rPr>
          <w:sz w:val="20"/>
          <w:szCs w:val="20"/>
        </w:rPr>
      </w:pPr>
    </w:p>
    <w:p w:rsidR="00A8020A" w:rsidRPr="00885061" w:rsidRDefault="00A8020A" w:rsidP="00885061">
      <w:pPr>
        <w:pStyle w:val="NoSpacing"/>
        <w:snapToGrid w:val="0"/>
        <w:jc w:val="both"/>
        <w:rPr>
          <w:b/>
          <w:sz w:val="20"/>
          <w:szCs w:val="20"/>
        </w:rPr>
      </w:pPr>
      <w:r w:rsidRPr="00885061">
        <w:rPr>
          <w:b/>
          <w:sz w:val="20"/>
          <w:szCs w:val="20"/>
        </w:rPr>
        <w:t>Results</w:t>
      </w:r>
    </w:p>
    <w:p w:rsidR="00885061" w:rsidRDefault="00885061" w:rsidP="00A56299">
      <w:pPr>
        <w:snapToGrid w:val="0"/>
        <w:ind w:firstLine="425"/>
        <w:jc w:val="both"/>
        <w:rPr>
          <w:sz w:val="20"/>
          <w:szCs w:val="16"/>
        </w:rPr>
      </w:pPr>
      <w:r w:rsidRPr="00885061">
        <w:rPr>
          <w:sz w:val="20"/>
          <w:szCs w:val="20"/>
        </w:rPr>
        <w:t xml:space="preserve">Of the 100 urine samples collected (50 males and 50 females), 86 (41 from male, 45 from female) gave visible bacterial growth after 24 hours of incubation. Table 1 shows the various bacteria isolated from the urine samples. </w:t>
      </w:r>
      <w:proofErr w:type="spellStart"/>
      <w:r w:rsidRPr="00885061">
        <w:rPr>
          <w:i/>
          <w:sz w:val="20"/>
          <w:szCs w:val="20"/>
        </w:rPr>
        <w:t>Klebsiella</w:t>
      </w:r>
      <w:proofErr w:type="spellEnd"/>
      <w:r w:rsidRPr="00885061">
        <w:rPr>
          <w:sz w:val="20"/>
          <w:szCs w:val="20"/>
        </w:rPr>
        <w:t xml:space="preserve"> spp. (46.5%) were found to be the most common bacteria isolated followed by </w:t>
      </w:r>
      <w:r w:rsidRPr="00885061">
        <w:rPr>
          <w:i/>
          <w:sz w:val="20"/>
          <w:szCs w:val="20"/>
        </w:rPr>
        <w:t>Proteus</w:t>
      </w:r>
      <w:r w:rsidRPr="00885061">
        <w:rPr>
          <w:sz w:val="20"/>
          <w:szCs w:val="20"/>
        </w:rPr>
        <w:t xml:space="preserve"> spp. (30.2%) with </w:t>
      </w:r>
      <w:proofErr w:type="spellStart"/>
      <w:r w:rsidRPr="00885061">
        <w:rPr>
          <w:i/>
          <w:sz w:val="20"/>
          <w:szCs w:val="20"/>
        </w:rPr>
        <w:t>Klebsiella</w:t>
      </w:r>
      <w:proofErr w:type="spellEnd"/>
      <w:r w:rsidRPr="00885061">
        <w:rPr>
          <w:sz w:val="20"/>
          <w:szCs w:val="20"/>
        </w:rPr>
        <w:t xml:space="preserve"> more common in females (65%) than in males (35%) while </w:t>
      </w:r>
      <w:r w:rsidRPr="00885061">
        <w:rPr>
          <w:i/>
          <w:sz w:val="20"/>
          <w:szCs w:val="20"/>
        </w:rPr>
        <w:t>Proteus</w:t>
      </w:r>
      <w:r w:rsidRPr="00885061">
        <w:rPr>
          <w:sz w:val="20"/>
          <w:szCs w:val="20"/>
        </w:rPr>
        <w:t xml:space="preserve"> </w:t>
      </w:r>
      <w:proofErr w:type="spellStart"/>
      <w:r w:rsidRPr="00885061">
        <w:rPr>
          <w:sz w:val="20"/>
          <w:szCs w:val="20"/>
        </w:rPr>
        <w:t>spp</w:t>
      </w:r>
      <w:proofErr w:type="spellEnd"/>
      <w:r w:rsidRPr="00885061">
        <w:rPr>
          <w:sz w:val="20"/>
          <w:szCs w:val="20"/>
        </w:rPr>
        <w:t xml:space="preserve"> was more common in males (65.4%) than females (34.6%). However, </w:t>
      </w:r>
      <w:r w:rsidRPr="00885061">
        <w:rPr>
          <w:i/>
          <w:sz w:val="20"/>
          <w:szCs w:val="20"/>
        </w:rPr>
        <w:t>E. coli</w:t>
      </w:r>
      <w:r w:rsidRPr="00885061">
        <w:rPr>
          <w:sz w:val="20"/>
          <w:szCs w:val="20"/>
        </w:rPr>
        <w:t xml:space="preserve"> was found in female only. The antibiotic susceptibility test revealed that 96.5% of the isolates were resistant to amoxicillin-</w:t>
      </w:r>
      <w:proofErr w:type="spellStart"/>
      <w:r w:rsidRPr="00885061">
        <w:rPr>
          <w:sz w:val="20"/>
          <w:szCs w:val="20"/>
        </w:rPr>
        <w:t>clavulanic</w:t>
      </w:r>
      <w:proofErr w:type="spellEnd"/>
      <w:r w:rsidRPr="00885061">
        <w:rPr>
          <w:sz w:val="20"/>
          <w:szCs w:val="20"/>
        </w:rPr>
        <w:t xml:space="preserve"> acid, 95.4% to </w:t>
      </w:r>
      <w:proofErr w:type="spellStart"/>
      <w:r w:rsidRPr="00885061">
        <w:rPr>
          <w:sz w:val="20"/>
          <w:szCs w:val="20"/>
        </w:rPr>
        <w:t>cefixime</w:t>
      </w:r>
      <w:proofErr w:type="spellEnd"/>
      <w:r w:rsidRPr="00885061">
        <w:rPr>
          <w:sz w:val="20"/>
          <w:szCs w:val="20"/>
        </w:rPr>
        <w:t xml:space="preserve">, 89.5% to </w:t>
      </w:r>
      <w:proofErr w:type="spellStart"/>
      <w:r w:rsidRPr="00885061">
        <w:rPr>
          <w:sz w:val="20"/>
          <w:szCs w:val="20"/>
        </w:rPr>
        <w:t>cefuroxime</w:t>
      </w:r>
      <w:proofErr w:type="spellEnd"/>
      <w:r w:rsidRPr="00885061">
        <w:rPr>
          <w:sz w:val="20"/>
          <w:szCs w:val="20"/>
        </w:rPr>
        <w:t xml:space="preserve">, 80.2% to </w:t>
      </w:r>
      <w:proofErr w:type="spellStart"/>
      <w:r w:rsidRPr="00885061">
        <w:rPr>
          <w:sz w:val="20"/>
          <w:szCs w:val="20"/>
        </w:rPr>
        <w:t>ceftazidime</w:t>
      </w:r>
      <w:proofErr w:type="spellEnd"/>
      <w:r w:rsidRPr="00885061">
        <w:rPr>
          <w:sz w:val="20"/>
          <w:szCs w:val="20"/>
        </w:rPr>
        <w:t xml:space="preserve"> and 76.7% to </w:t>
      </w:r>
      <w:proofErr w:type="spellStart"/>
      <w:r w:rsidRPr="00885061">
        <w:rPr>
          <w:sz w:val="20"/>
          <w:szCs w:val="20"/>
        </w:rPr>
        <w:t>ceftriaxone</w:t>
      </w:r>
      <w:proofErr w:type="spellEnd"/>
      <w:r w:rsidRPr="00885061">
        <w:rPr>
          <w:sz w:val="20"/>
          <w:szCs w:val="20"/>
        </w:rPr>
        <w:t xml:space="preserve">. Resistance to ciprofloxacin and </w:t>
      </w:r>
      <w:proofErr w:type="spellStart"/>
      <w:r w:rsidRPr="00885061">
        <w:rPr>
          <w:sz w:val="20"/>
          <w:szCs w:val="20"/>
        </w:rPr>
        <w:t>ofloxacin</w:t>
      </w:r>
      <w:proofErr w:type="spellEnd"/>
      <w:r w:rsidRPr="00885061">
        <w:rPr>
          <w:sz w:val="20"/>
          <w:szCs w:val="20"/>
        </w:rPr>
        <w:t xml:space="preserve"> was 33.7% and 20.9% respectively. </w:t>
      </w:r>
      <w:proofErr w:type="spellStart"/>
      <w:r w:rsidRPr="00885061">
        <w:rPr>
          <w:sz w:val="20"/>
          <w:szCs w:val="20"/>
        </w:rPr>
        <w:t>Gentamicin</w:t>
      </w:r>
      <w:proofErr w:type="spellEnd"/>
      <w:r w:rsidRPr="00885061">
        <w:rPr>
          <w:sz w:val="20"/>
          <w:szCs w:val="20"/>
        </w:rPr>
        <w:t xml:space="preserve"> had 41.9%, erythromycin 89.5% and </w:t>
      </w:r>
      <w:proofErr w:type="spellStart"/>
      <w:r w:rsidRPr="00885061">
        <w:rPr>
          <w:sz w:val="20"/>
          <w:szCs w:val="20"/>
        </w:rPr>
        <w:t>nitrofurantoin</w:t>
      </w:r>
      <w:proofErr w:type="spellEnd"/>
      <w:r w:rsidRPr="00885061">
        <w:rPr>
          <w:sz w:val="20"/>
          <w:szCs w:val="20"/>
        </w:rPr>
        <w:t xml:space="preserve"> 76.7% resistance against the isolates. </w:t>
      </w:r>
      <w:r w:rsidRPr="00885061">
        <w:rPr>
          <w:i/>
          <w:sz w:val="20"/>
          <w:szCs w:val="20"/>
        </w:rPr>
        <w:t xml:space="preserve">S. </w:t>
      </w:r>
      <w:proofErr w:type="spellStart"/>
      <w:r w:rsidRPr="00885061">
        <w:rPr>
          <w:i/>
          <w:sz w:val="20"/>
          <w:szCs w:val="20"/>
        </w:rPr>
        <w:t>aureus</w:t>
      </w:r>
      <w:proofErr w:type="spellEnd"/>
      <w:r w:rsidRPr="00885061">
        <w:rPr>
          <w:sz w:val="20"/>
          <w:szCs w:val="20"/>
        </w:rPr>
        <w:t xml:space="preserve">, </w:t>
      </w:r>
      <w:proofErr w:type="spellStart"/>
      <w:r w:rsidRPr="00885061">
        <w:rPr>
          <w:i/>
          <w:sz w:val="20"/>
          <w:szCs w:val="20"/>
        </w:rPr>
        <w:t>Klebsiella</w:t>
      </w:r>
      <w:proofErr w:type="spellEnd"/>
      <w:r w:rsidRPr="00885061">
        <w:rPr>
          <w:sz w:val="20"/>
          <w:szCs w:val="20"/>
        </w:rPr>
        <w:t xml:space="preserve"> spp., </w:t>
      </w:r>
      <w:r w:rsidRPr="00885061">
        <w:rPr>
          <w:i/>
          <w:sz w:val="20"/>
          <w:szCs w:val="20"/>
        </w:rPr>
        <w:t xml:space="preserve">M </w:t>
      </w:r>
      <w:proofErr w:type="spellStart"/>
      <w:r w:rsidRPr="00885061">
        <w:rPr>
          <w:i/>
          <w:sz w:val="20"/>
          <w:szCs w:val="20"/>
        </w:rPr>
        <w:t>morgannii</w:t>
      </w:r>
      <w:proofErr w:type="spellEnd"/>
      <w:r w:rsidRPr="00885061">
        <w:rPr>
          <w:sz w:val="20"/>
          <w:szCs w:val="20"/>
        </w:rPr>
        <w:t xml:space="preserve">, </w:t>
      </w:r>
      <w:r w:rsidRPr="00885061">
        <w:rPr>
          <w:i/>
          <w:sz w:val="20"/>
          <w:szCs w:val="20"/>
        </w:rPr>
        <w:t xml:space="preserve">P. </w:t>
      </w:r>
      <w:proofErr w:type="spellStart"/>
      <w:r w:rsidRPr="00885061">
        <w:rPr>
          <w:i/>
          <w:sz w:val="20"/>
          <w:szCs w:val="20"/>
        </w:rPr>
        <w:t>stuartii</w:t>
      </w:r>
      <w:proofErr w:type="spellEnd"/>
      <w:r w:rsidRPr="00885061">
        <w:rPr>
          <w:sz w:val="20"/>
          <w:szCs w:val="20"/>
        </w:rPr>
        <w:t xml:space="preserve"> and </w:t>
      </w:r>
      <w:r w:rsidRPr="00885061">
        <w:rPr>
          <w:i/>
          <w:sz w:val="20"/>
          <w:szCs w:val="20"/>
        </w:rPr>
        <w:t xml:space="preserve">C. </w:t>
      </w:r>
      <w:proofErr w:type="spellStart"/>
      <w:r w:rsidRPr="00885061">
        <w:rPr>
          <w:i/>
          <w:sz w:val="20"/>
          <w:szCs w:val="20"/>
        </w:rPr>
        <w:t>freundii</w:t>
      </w:r>
      <w:proofErr w:type="spellEnd"/>
      <w:r w:rsidRPr="00885061">
        <w:rPr>
          <w:sz w:val="20"/>
          <w:szCs w:val="20"/>
        </w:rPr>
        <w:t xml:space="preserve"> isolates all had 100% resistance to amoxicillin-</w:t>
      </w:r>
      <w:proofErr w:type="spellStart"/>
      <w:r w:rsidRPr="00885061">
        <w:rPr>
          <w:sz w:val="20"/>
          <w:szCs w:val="20"/>
        </w:rPr>
        <w:t>clavulanic</w:t>
      </w:r>
      <w:proofErr w:type="spellEnd"/>
      <w:r w:rsidRPr="00885061">
        <w:rPr>
          <w:sz w:val="20"/>
          <w:szCs w:val="20"/>
        </w:rPr>
        <w:t xml:space="preserve"> acid, </w:t>
      </w:r>
      <w:r w:rsidRPr="00885061">
        <w:rPr>
          <w:i/>
          <w:sz w:val="20"/>
          <w:szCs w:val="20"/>
        </w:rPr>
        <w:t>E coli</w:t>
      </w:r>
      <w:r w:rsidRPr="00885061">
        <w:rPr>
          <w:sz w:val="20"/>
          <w:szCs w:val="20"/>
        </w:rPr>
        <w:t xml:space="preserve"> and </w:t>
      </w:r>
      <w:r w:rsidRPr="00885061">
        <w:rPr>
          <w:i/>
          <w:sz w:val="20"/>
          <w:szCs w:val="20"/>
        </w:rPr>
        <w:t xml:space="preserve">P. </w:t>
      </w:r>
      <w:proofErr w:type="spellStart"/>
      <w:r w:rsidRPr="00885061">
        <w:rPr>
          <w:i/>
          <w:sz w:val="20"/>
          <w:szCs w:val="20"/>
        </w:rPr>
        <w:t>stuartii</w:t>
      </w:r>
      <w:proofErr w:type="spellEnd"/>
      <w:r w:rsidRPr="00885061">
        <w:rPr>
          <w:sz w:val="20"/>
          <w:szCs w:val="20"/>
        </w:rPr>
        <w:t xml:space="preserve"> had 100% resistance to </w:t>
      </w:r>
      <w:proofErr w:type="spellStart"/>
      <w:r w:rsidRPr="00885061">
        <w:rPr>
          <w:sz w:val="20"/>
          <w:szCs w:val="20"/>
        </w:rPr>
        <w:t>ceftazidime</w:t>
      </w:r>
      <w:proofErr w:type="spellEnd"/>
      <w:r w:rsidRPr="00885061">
        <w:rPr>
          <w:sz w:val="20"/>
          <w:szCs w:val="20"/>
        </w:rPr>
        <w:t xml:space="preserve">, </w:t>
      </w:r>
      <w:proofErr w:type="spellStart"/>
      <w:r w:rsidRPr="00885061">
        <w:rPr>
          <w:sz w:val="20"/>
          <w:szCs w:val="20"/>
        </w:rPr>
        <w:t>cefixime</w:t>
      </w:r>
      <w:proofErr w:type="spellEnd"/>
      <w:r w:rsidRPr="00885061">
        <w:rPr>
          <w:sz w:val="20"/>
          <w:szCs w:val="20"/>
        </w:rPr>
        <w:t xml:space="preserve"> and </w:t>
      </w:r>
      <w:proofErr w:type="spellStart"/>
      <w:r w:rsidRPr="00885061">
        <w:rPr>
          <w:sz w:val="20"/>
          <w:szCs w:val="20"/>
        </w:rPr>
        <w:t>cefuroxime</w:t>
      </w:r>
      <w:proofErr w:type="spellEnd"/>
      <w:r w:rsidRPr="00885061">
        <w:rPr>
          <w:sz w:val="20"/>
          <w:szCs w:val="20"/>
        </w:rPr>
        <w:t xml:space="preserve"> while </w:t>
      </w:r>
      <w:r w:rsidRPr="00885061">
        <w:rPr>
          <w:i/>
          <w:sz w:val="20"/>
          <w:szCs w:val="20"/>
        </w:rPr>
        <w:t xml:space="preserve">M. </w:t>
      </w:r>
      <w:proofErr w:type="spellStart"/>
      <w:r w:rsidRPr="00885061">
        <w:rPr>
          <w:i/>
          <w:sz w:val="20"/>
          <w:szCs w:val="20"/>
        </w:rPr>
        <w:t>morgannii</w:t>
      </w:r>
      <w:proofErr w:type="spellEnd"/>
      <w:r w:rsidRPr="00885061">
        <w:rPr>
          <w:sz w:val="20"/>
          <w:szCs w:val="20"/>
        </w:rPr>
        <w:t xml:space="preserve">, </w:t>
      </w:r>
      <w:r w:rsidRPr="00885061">
        <w:rPr>
          <w:i/>
          <w:sz w:val="20"/>
          <w:szCs w:val="20"/>
        </w:rPr>
        <w:t xml:space="preserve">P. </w:t>
      </w:r>
      <w:proofErr w:type="spellStart"/>
      <w:r w:rsidRPr="00885061">
        <w:rPr>
          <w:i/>
          <w:sz w:val="20"/>
          <w:szCs w:val="20"/>
        </w:rPr>
        <w:t>stuartii</w:t>
      </w:r>
      <w:proofErr w:type="spellEnd"/>
      <w:r w:rsidRPr="00885061">
        <w:rPr>
          <w:sz w:val="20"/>
          <w:szCs w:val="20"/>
        </w:rPr>
        <w:t xml:space="preserve"> and </w:t>
      </w:r>
      <w:r w:rsidRPr="00885061">
        <w:rPr>
          <w:i/>
          <w:sz w:val="20"/>
          <w:szCs w:val="20"/>
        </w:rPr>
        <w:t xml:space="preserve">C. </w:t>
      </w:r>
      <w:proofErr w:type="spellStart"/>
      <w:r w:rsidRPr="00885061">
        <w:rPr>
          <w:i/>
          <w:sz w:val="20"/>
          <w:szCs w:val="20"/>
        </w:rPr>
        <w:t>freundii</w:t>
      </w:r>
      <w:proofErr w:type="spellEnd"/>
      <w:r w:rsidRPr="00885061">
        <w:rPr>
          <w:sz w:val="20"/>
          <w:szCs w:val="20"/>
        </w:rPr>
        <w:t xml:space="preserve"> were susceptible to </w:t>
      </w:r>
      <w:proofErr w:type="spellStart"/>
      <w:r w:rsidRPr="00885061">
        <w:rPr>
          <w:sz w:val="20"/>
          <w:szCs w:val="20"/>
        </w:rPr>
        <w:t>ofloxacin</w:t>
      </w:r>
      <w:proofErr w:type="spellEnd"/>
      <w:r w:rsidRPr="00885061">
        <w:rPr>
          <w:sz w:val="20"/>
          <w:szCs w:val="20"/>
        </w:rPr>
        <w:t xml:space="preserve"> (100%). </w:t>
      </w:r>
      <w:r w:rsidRPr="00885061">
        <w:rPr>
          <w:i/>
          <w:sz w:val="20"/>
          <w:szCs w:val="20"/>
        </w:rPr>
        <w:t xml:space="preserve">S. </w:t>
      </w:r>
      <w:proofErr w:type="spellStart"/>
      <w:r w:rsidRPr="00885061">
        <w:rPr>
          <w:i/>
          <w:sz w:val="20"/>
          <w:szCs w:val="20"/>
        </w:rPr>
        <w:t>aureus</w:t>
      </w:r>
      <w:proofErr w:type="spellEnd"/>
      <w:r w:rsidRPr="00885061">
        <w:rPr>
          <w:sz w:val="20"/>
          <w:szCs w:val="20"/>
        </w:rPr>
        <w:t xml:space="preserve"> had 100% susceptibility to </w:t>
      </w:r>
      <w:proofErr w:type="spellStart"/>
      <w:r w:rsidRPr="00885061">
        <w:rPr>
          <w:sz w:val="20"/>
          <w:szCs w:val="20"/>
        </w:rPr>
        <w:t>nitrofurantoin</w:t>
      </w:r>
      <w:proofErr w:type="spellEnd"/>
      <w:r w:rsidRPr="00885061">
        <w:rPr>
          <w:sz w:val="20"/>
          <w:szCs w:val="20"/>
        </w:rPr>
        <w:t xml:space="preserve">, ciprofloxacin and </w:t>
      </w:r>
      <w:proofErr w:type="spellStart"/>
      <w:r w:rsidRPr="00885061">
        <w:rPr>
          <w:sz w:val="20"/>
          <w:szCs w:val="20"/>
        </w:rPr>
        <w:t>gentamicin</w:t>
      </w:r>
      <w:proofErr w:type="spellEnd"/>
      <w:r w:rsidRPr="00885061">
        <w:rPr>
          <w:sz w:val="20"/>
          <w:szCs w:val="20"/>
        </w:rPr>
        <w:t xml:space="preserve"> (table 2). Among the 86 isolates, ESBL-production was detected in 30 (34.9%) of which 19 (22.1%) were from males and 11 (12.8%) from females. They included: </w:t>
      </w:r>
      <w:proofErr w:type="spellStart"/>
      <w:r w:rsidRPr="00885061">
        <w:rPr>
          <w:i/>
          <w:sz w:val="20"/>
          <w:szCs w:val="20"/>
        </w:rPr>
        <w:t>Providencia</w:t>
      </w:r>
      <w:proofErr w:type="spellEnd"/>
      <w:r w:rsidRPr="00885061">
        <w:rPr>
          <w:i/>
          <w:sz w:val="20"/>
          <w:szCs w:val="20"/>
        </w:rPr>
        <w:t xml:space="preserve"> </w:t>
      </w:r>
      <w:proofErr w:type="spellStart"/>
      <w:r w:rsidRPr="00885061">
        <w:rPr>
          <w:i/>
          <w:sz w:val="20"/>
          <w:szCs w:val="20"/>
        </w:rPr>
        <w:t>stuartii</w:t>
      </w:r>
      <w:proofErr w:type="spellEnd"/>
      <w:r w:rsidRPr="00885061">
        <w:rPr>
          <w:sz w:val="20"/>
          <w:szCs w:val="20"/>
        </w:rPr>
        <w:t xml:space="preserve"> (1.2%), </w:t>
      </w:r>
      <w:proofErr w:type="spellStart"/>
      <w:r w:rsidRPr="00885061">
        <w:rPr>
          <w:i/>
          <w:sz w:val="20"/>
          <w:szCs w:val="20"/>
        </w:rPr>
        <w:t>Moganella</w:t>
      </w:r>
      <w:proofErr w:type="spellEnd"/>
      <w:r w:rsidRPr="00885061">
        <w:rPr>
          <w:i/>
          <w:sz w:val="20"/>
          <w:szCs w:val="20"/>
        </w:rPr>
        <w:t xml:space="preserve"> </w:t>
      </w:r>
      <w:proofErr w:type="spellStart"/>
      <w:r w:rsidRPr="00885061">
        <w:rPr>
          <w:i/>
          <w:sz w:val="20"/>
          <w:szCs w:val="20"/>
        </w:rPr>
        <w:t>morganni</w:t>
      </w:r>
      <w:proofErr w:type="spellEnd"/>
      <w:r w:rsidRPr="00885061">
        <w:rPr>
          <w:sz w:val="20"/>
          <w:szCs w:val="20"/>
        </w:rPr>
        <w:t xml:space="preserve"> (3.5%), </w:t>
      </w:r>
      <w:proofErr w:type="spellStart"/>
      <w:r w:rsidRPr="00885061">
        <w:rPr>
          <w:i/>
          <w:sz w:val="20"/>
          <w:szCs w:val="20"/>
        </w:rPr>
        <w:t>Klebsiella</w:t>
      </w:r>
      <w:proofErr w:type="spellEnd"/>
      <w:r w:rsidRPr="00885061">
        <w:rPr>
          <w:sz w:val="20"/>
          <w:szCs w:val="20"/>
        </w:rPr>
        <w:t xml:space="preserve"> </w:t>
      </w:r>
      <w:proofErr w:type="spellStart"/>
      <w:r w:rsidRPr="00885061">
        <w:rPr>
          <w:sz w:val="20"/>
          <w:szCs w:val="20"/>
        </w:rPr>
        <w:t>spp</w:t>
      </w:r>
      <w:proofErr w:type="spellEnd"/>
      <w:r w:rsidRPr="00885061">
        <w:rPr>
          <w:sz w:val="20"/>
          <w:szCs w:val="20"/>
        </w:rPr>
        <w:t xml:space="preserve"> (15.1%), </w:t>
      </w:r>
      <w:proofErr w:type="spellStart"/>
      <w:r w:rsidRPr="00885061">
        <w:rPr>
          <w:i/>
          <w:sz w:val="20"/>
          <w:szCs w:val="20"/>
        </w:rPr>
        <w:t>Citrobacter</w:t>
      </w:r>
      <w:proofErr w:type="spellEnd"/>
      <w:r w:rsidRPr="00885061">
        <w:rPr>
          <w:i/>
          <w:sz w:val="20"/>
          <w:szCs w:val="20"/>
        </w:rPr>
        <w:t xml:space="preserve"> </w:t>
      </w:r>
      <w:proofErr w:type="spellStart"/>
      <w:r w:rsidRPr="00885061">
        <w:rPr>
          <w:i/>
          <w:sz w:val="20"/>
          <w:szCs w:val="20"/>
        </w:rPr>
        <w:t>freundii</w:t>
      </w:r>
      <w:proofErr w:type="spellEnd"/>
      <w:r w:rsidRPr="00885061">
        <w:rPr>
          <w:sz w:val="20"/>
          <w:szCs w:val="20"/>
        </w:rPr>
        <w:t xml:space="preserve"> (3.5%) and </w:t>
      </w:r>
      <w:r w:rsidRPr="00885061">
        <w:rPr>
          <w:i/>
          <w:sz w:val="20"/>
          <w:szCs w:val="20"/>
        </w:rPr>
        <w:t>Proteus</w:t>
      </w:r>
      <w:r w:rsidRPr="00885061">
        <w:rPr>
          <w:sz w:val="20"/>
          <w:szCs w:val="20"/>
        </w:rPr>
        <w:t xml:space="preserve"> </w:t>
      </w:r>
      <w:proofErr w:type="spellStart"/>
      <w:r w:rsidRPr="00885061">
        <w:rPr>
          <w:sz w:val="20"/>
          <w:szCs w:val="20"/>
        </w:rPr>
        <w:t>spp</w:t>
      </w:r>
      <w:proofErr w:type="spellEnd"/>
      <w:r w:rsidRPr="00885061">
        <w:rPr>
          <w:sz w:val="20"/>
          <w:szCs w:val="20"/>
        </w:rPr>
        <w:t xml:space="preserve"> (11.6%). </w:t>
      </w:r>
      <w:r w:rsidRPr="00885061">
        <w:rPr>
          <w:i/>
          <w:sz w:val="20"/>
          <w:szCs w:val="20"/>
        </w:rPr>
        <w:t xml:space="preserve">C </w:t>
      </w:r>
      <w:proofErr w:type="spellStart"/>
      <w:r w:rsidRPr="00885061">
        <w:rPr>
          <w:i/>
          <w:sz w:val="20"/>
          <w:szCs w:val="20"/>
        </w:rPr>
        <w:t>freundii</w:t>
      </w:r>
      <w:proofErr w:type="spellEnd"/>
      <w:r w:rsidRPr="00885061">
        <w:rPr>
          <w:sz w:val="20"/>
          <w:szCs w:val="20"/>
        </w:rPr>
        <w:t xml:space="preserve"> and </w:t>
      </w:r>
      <w:r w:rsidRPr="00885061">
        <w:rPr>
          <w:i/>
          <w:sz w:val="20"/>
          <w:szCs w:val="20"/>
        </w:rPr>
        <w:t>M</w:t>
      </w:r>
      <w:r w:rsidRPr="00885061">
        <w:rPr>
          <w:sz w:val="20"/>
          <w:szCs w:val="20"/>
        </w:rPr>
        <w:t xml:space="preserve"> </w:t>
      </w:r>
      <w:proofErr w:type="spellStart"/>
      <w:r w:rsidRPr="00885061">
        <w:rPr>
          <w:i/>
          <w:sz w:val="20"/>
          <w:szCs w:val="20"/>
        </w:rPr>
        <w:t>morganni</w:t>
      </w:r>
      <w:proofErr w:type="spellEnd"/>
      <w:r w:rsidRPr="00885061">
        <w:rPr>
          <w:sz w:val="20"/>
          <w:szCs w:val="20"/>
        </w:rPr>
        <w:t xml:space="preserve"> gave the highest percentage ESBL-production (75%) compared to </w:t>
      </w:r>
      <w:r w:rsidRPr="00885061">
        <w:rPr>
          <w:i/>
          <w:sz w:val="20"/>
          <w:szCs w:val="20"/>
        </w:rPr>
        <w:t>Proteus</w:t>
      </w:r>
      <w:r w:rsidRPr="00885061">
        <w:rPr>
          <w:sz w:val="20"/>
          <w:szCs w:val="20"/>
        </w:rPr>
        <w:t xml:space="preserve"> spp. (38.5%) and </w:t>
      </w:r>
      <w:proofErr w:type="spellStart"/>
      <w:r w:rsidRPr="00885061">
        <w:rPr>
          <w:i/>
          <w:sz w:val="20"/>
          <w:szCs w:val="20"/>
        </w:rPr>
        <w:t>Klebsiella</w:t>
      </w:r>
      <w:proofErr w:type="spellEnd"/>
      <w:r w:rsidRPr="00885061">
        <w:rPr>
          <w:sz w:val="20"/>
          <w:szCs w:val="20"/>
        </w:rPr>
        <w:t xml:space="preserve"> spp. (32.5%) as presented in table 3. Prevalence of multidrug resistance among the 86 isolates was 81.4% which was highest in </w:t>
      </w:r>
      <w:r w:rsidRPr="00885061">
        <w:rPr>
          <w:i/>
          <w:sz w:val="20"/>
          <w:szCs w:val="20"/>
        </w:rPr>
        <w:t xml:space="preserve">P. </w:t>
      </w:r>
      <w:proofErr w:type="spellStart"/>
      <w:r w:rsidRPr="00885061">
        <w:rPr>
          <w:i/>
          <w:sz w:val="20"/>
          <w:szCs w:val="20"/>
        </w:rPr>
        <w:t>stuartii</w:t>
      </w:r>
      <w:proofErr w:type="spellEnd"/>
      <w:r w:rsidRPr="00885061">
        <w:rPr>
          <w:sz w:val="20"/>
          <w:szCs w:val="20"/>
        </w:rPr>
        <w:t xml:space="preserve"> (100%), followed by </w:t>
      </w:r>
      <w:proofErr w:type="spellStart"/>
      <w:r w:rsidRPr="00885061">
        <w:rPr>
          <w:i/>
          <w:sz w:val="20"/>
          <w:szCs w:val="20"/>
        </w:rPr>
        <w:t>Klebsiella</w:t>
      </w:r>
      <w:proofErr w:type="spellEnd"/>
      <w:r w:rsidRPr="00885061">
        <w:rPr>
          <w:sz w:val="20"/>
          <w:szCs w:val="20"/>
        </w:rPr>
        <w:t xml:space="preserve"> </w:t>
      </w:r>
      <w:proofErr w:type="spellStart"/>
      <w:r w:rsidRPr="00885061">
        <w:rPr>
          <w:sz w:val="20"/>
          <w:szCs w:val="20"/>
        </w:rPr>
        <w:t>spp</w:t>
      </w:r>
      <w:proofErr w:type="spellEnd"/>
      <w:r w:rsidRPr="00885061">
        <w:rPr>
          <w:sz w:val="20"/>
          <w:szCs w:val="20"/>
        </w:rPr>
        <w:t xml:space="preserve"> (87.5%), </w:t>
      </w:r>
      <w:r w:rsidRPr="00885061">
        <w:rPr>
          <w:i/>
          <w:sz w:val="20"/>
          <w:szCs w:val="20"/>
        </w:rPr>
        <w:t>Proteus</w:t>
      </w:r>
      <w:r w:rsidRPr="00885061">
        <w:rPr>
          <w:sz w:val="20"/>
          <w:szCs w:val="20"/>
        </w:rPr>
        <w:t xml:space="preserve"> </w:t>
      </w:r>
      <w:proofErr w:type="spellStart"/>
      <w:r w:rsidRPr="00885061">
        <w:rPr>
          <w:sz w:val="20"/>
          <w:szCs w:val="20"/>
        </w:rPr>
        <w:t>spp</w:t>
      </w:r>
      <w:proofErr w:type="spellEnd"/>
      <w:r w:rsidRPr="00885061">
        <w:rPr>
          <w:sz w:val="20"/>
          <w:szCs w:val="20"/>
        </w:rPr>
        <w:t xml:space="preserve"> (84.6%), </w:t>
      </w:r>
      <w:r w:rsidRPr="00885061">
        <w:rPr>
          <w:i/>
          <w:sz w:val="20"/>
          <w:szCs w:val="20"/>
        </w:rPr>
        <w:t xml:space="preserve">M. </w:t>
      </w:r>
      <w:proofErr w:type="spellStart"/>
      <w:r w:rsidRPr="00885061">
        <w:rPr>
          <w:i/>
          <w:sz w:val="20"/>
          <w:szCs w:val="20"/>
        </w:rPr>
        <w:t>morganni</w:t>
      </w:r>
      <w:proofErr w:type="spellEnd"/>
      <w:r w:rsidRPr="00885061">
        <w:rPr>
          <w:sz w:val="20"/>
          <w:szCs w:val="20"/>
        </w:rPr>
        <w:t xml:space="preserve"> (75%), </w:t>
      </w:r>
      <w:r w:rsidRPr="00885061">
        <w:rPr>
          <w:i/>
          <w:sz w:val="20"/>
          <w:szCs w:val="20"/>
        </w:rPr>
        <w:t xml:space="preserve">C. </w:t>
      </w:r>
      <w:proofErr w:type="spellStart"/>
      <w:r w:rsidRPr="00885061">
        <w:rPr>
          <w:i/>
          <w:sz w:val="20"/>
          <w:szCs w:val="20"/>
        </w:rPr>
        <w:t>freundii</w:t>
      </w:r>
      <w:proofErr w:type="spellEnd"/>
      <w:r w:rsidRPr="00885061">
        <w:rPr>
          <w:sz w:val="20"/>
          <w:szCs w:val="20"/>
        </w:rPr>
        <w:t xml:space="preserve"> (75%) and </w:t>
      </w:r>
      <w:r w:rsidRPr="00885061">
        <w:rPr>
          <w:i/>
          <w:sz w:val="20"/>
          <w:szCs w:val="20"/>
        </w:rPr>
        <w:t>E coli</w:t>
      </w:r>
      <w:r w:rsidRPr="00885061">
        <w:rPr>
          <w:sz w:val="20"/>
          <w:szCs w:val="20"/>
        </w:rPr>
        <w:t xml:space="preserve"> (66.7%).</w:t>
      </w:r>
    </w:p>
    <w:p w:rsidR="00885061" w:rsidRPr="00885061" w:rsidRDefault="00885061" w:rsidP="00885061">
      <w:pPr>
        <w:pStyle w:val="NoSpacing"/>
        <w:snapToGrid w:val="0"/>
        <w:ind w:firstLine="425"/>
        <w:jc w:val="both"/>
        <w:rPr>
          <w:sz w:val="20"/>
          <w:szCs w:val="16"/>
        </w:rPr>
        <w:sectPr w:rsidR="00885061" w:rsidRPr="00885061" w:rsidSect="00E531DB">
          <w:headerReference w:type="default" r:id="rId14"/>
          <w:footerReference w:type="even" r:id="rId15"/>
          <w:footerReference w:type="default" r:id="rId16"/>
          <w:footnotePr>
            <w:pos w:val="beneathText"/>
          </w:footnotePr>
          <w:type w:val="continuous"/>
          <w:pgSz w:w="12240" w:h="15840" w:code="1"/>
          <w:pgMar w:top="1440" w:right="1440" w:bottom="1440" w:left="1440" w:header="720" w:footer="720" w:gutter="0"/>
          <w:cols w:num="2" w:space="720"/>
          <w:docGrid w:linePitch="360"/>
        </w:sectPr>
      </w:pPr>
    </w:p>
    <w:p w:rsidR="00885061" w:rsidRDefault="00885061" w:rsidP="00885061">
      <w:pPr>
        <w:pStyle w:val="NoSpacing"/>
        <w:snapToGrid w:val="0"/>
        <w:ind w:firstLine="425"/>
        <w:jc w:val="both"/>
        <w:rPr>
          <w:sz w:val="20"/>
          <w:szCs w:val="16"/>
          <w:lang w:eastAsia="zh-CN"/>
        </w:rPr>
      </w:pPr>
    </w:p>
    <w:p w:rsidR="00F7094E" w:rsidRDefault="00F7094E" w:rsidP="00885061">
      <w:pPr>
        <w:pStyle w:val="NoSpacing"/>
        <w:snapToGrid w:val="0"/>
        <w:jc w:val="center"/>
        <w:rPr>
          <w:rFonts w:hint="eastAsia"/>
          <w:sz w:val="20"/>
          <w:szCs w:val="16"/>
          <w:lang w:eastAsia="zh-CN"/>
        </w:rPr>
      </w:pPr>
    </w:p>
    <w:p w:rsidR="00F7094E" w:rsidRPr="00885061" w:rsidRDefault="00F7094E" w:rsidP="00F7094E">
      <w:pPr>
        <w:pStyle w:val="NoSpacing"/>
        <w:snapToGrid w:val="0"/>
        <w:jc w:val="both"/>
        <w:rPr>
          <w:sz w:val="20"/>
          <w:szCs w:val="16"/>
        </w:rPr>
      </w:pPr>
      <w:r w:rsidRPr="00885061">
        <w:rPr>
          <w:sz w:val="20"/>
          <w:szCs w:val="16"/>
        </w:rPr>
        <w:lastRenderedPageBreak/>
        <w:t>Table 1: Occurrence of bacterial isolates among male and female students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8"/>
        <w:gridCol w:w="2532"/>
        <w:gridCol w:w="2124"/>
        <w:gridCol w:w="2122"/>
      </w:tblGrid>
      <w:tr w:rsidR="00F7094E" w:rsidRPr="00885061" w:rsidTr="00F7094E">
        <w:trPr>
          <w:trHeight w:val="115"/>
          <w:jc w:val="center"/>
        </w:trPr>
        <w:tc>
          <w:tcPr>
            <w:tcW w:w="1461" w:type="pct"/>
            <w:vMerge w:val="restart"/>
            <w:vAlign w:val="center"/>
          </w:tcPr>
          <w:p w:rsidR="00F7094E" w:rsidRPr="00885061" w:rsidRDefault="00F7094E" w:rsidP="00804E87">
            <w:pPr>
              <w:pStyle w:val="NoSpacing"/>
              <w:snapToGrid w:val="0"/>
              <w:jc w:val="both"/>
              <w:rPr>
                <w:color w:val="000000"/>
                <w:sz w:val="20"/>
                <w:szCs w:val="16"/>
              </w:rPr>
            </w:pPr>
            <w:r w:rsidRPr="00885061">
              <w:rPr>
                <w:color w:val="000000"/>
                <w:sz w:val="20"/>
                <w:szCs w:val="16"/>
              </w:rPr>
              <w:t>Bacteria</w:t>
            </w:r>
          </w:p>
        </w:tc>
        <w:tc>
          <w:tcPr>
            <w:tcW w:w="1322" w:type="pct"/>
            <w:vMerge w:val="restart"/>
            <w:vAlign w:val="center"/>
          </w:tcPr>
          <w:p w:rsidR="00F7094E" w:rsidRPr="00885061" w:rsidRDefault="00F7094E" w:rsidP="00804E87">
            <w:pPr>
              <w:pStyle w:val="NoSpacing"/>
              <w:snapToGrid w:val="0"/>
              <w:jc w:val="both"/>
              <w:rPr>
                <w:color w:val="000000"/>
                <w:sz w:val="20"/>
                <w:szCs w:val="16"/>
              </w:rPr>
            </w:pPr>
            <w:r w:rsidRPr="00885061">
              <w:rPr>
                <w:color w:val="000000"/>
                <w:sz w:val="20"/>
                <w:szCs w:val="16"/>
              </w:rPr>
              <w:t>Total Number/</w:t>
            </w:r>
          </w:p>
          <w:p w:rsidR="00F7094E" w:rsidRPr="00885061" w:rsidRDefault="00F7094E" w:rsidP="00804E87">
            <w:pPr>
              <w:pStyle w:val="NoSpacing"/>
              <w:snapToGrid w:val="0"/>
              <w:jc w:val="both"/>
              <w:rPr>
                <w:color w:val="000000"/>
                <w:sz w:val="20"/>
                <w:szCs w:val="16"/>
              </w:rPr>
            </w:pPr>
            <w:r w:rsidRPr="00885061">
              <w:rPr>
                <w:color w:val="000000"/>
                <w:sz w:val="20"/>
                <w:szCs w:val="16"/>
              </w:rPr>
              <w:t>Percentage of isolates</w:t>
            </w:r>
          </w:p>
        </w:tc>
        <w:tc>
          <w:tcPr>
            <w:tcW w:w="2217" w:type="pct"/>
            <w:gridSpan w:val="2"/>
            <w:vAlign w:val="center"/>
          </w:tcPr>
          <w:p w:rsidR="00F7094E" w:rsidRPr="00885061" w:rsidRDefault="00F7094E" w:rsidP="00804E87">
            <w:pPr>
              <w:pStyle w:val="NoSpacing"/>
              <w:snapToGrid w:val="0"/>
              <w:jc w:val="both"/>
              <w:rPr>
                <w:color w:val="000000"/>
                <w:sz w:val="20"/>
                <w:szCs w:val="16"/>
              </w:rPr>
            </w:pPr>
            <w:r w:rsidRPr="00885061">
              <w:rPr>
                <w:color w:val="000000"/>
                <w:sz w:val="20"/>
                <w:szCs w:val="16"/>
              </w:rPr>
              <w:t>Number /Percentage of isolates by sex</w:t>
            </w:r>
          </w:p>
        </w:tc>
      </w:tr>
      <w:tr w:rsidR="00F7094E" w:rsidRPr="00885061" w:rsidTr="00F7094E">
        <w:trPr>
          <w:trHeight w:val="31"/>
          <w:jc w:val="center"/>
        </w:trPr>
        <w:tc>
          <w:tcPr>
            <w:tcW w:w="1461" w:type="pct"/>
            <w:vMerge/>
            <w:vAlign w:val="center"/>
          </w:tcPr>
          <w:p w:rsidR="00F7094E" w:rsidRPr="00885061" w:rsidRDefault="00F7094E" w:rsidP="00804E87">
            <w:pPr>
              <w:pStyle w:val="NoSpacing"/>
              <w:snapToGrid w:val="0"/>
              <w:jc w:val="both"/>
              <w:rPr>
                <w:color w:val="000000"/>
                <w:sz w:val="20"/>
                <w:szCs w:val="16"/>
              </w:rPr>
            </w:pPr>
          </w:p>
        </w:tc>
        <w:tc>
          <w:tcPr>
            <w:tcW w:w="1322" w:type="pct"/>
            <w:vMerge/>
            <w:vAlign w:val="center"/>
          </w:tcPr>
          <w:p w:rsidR="00F7094E" w:rsidRPr="00885061" w:rsidRDefault="00F7094E" w:rsidP="00804E87">
            <w:pPr>
              <w:pStyle w:val="NoSpacing"/>
              <w:snapToGrid w:val="0"/>
              <w:jc w:val="both"/>
              <w:rPr>
                <w:color w:val="000000"/>
                <w:sz w:val="20"/>
                <w:szCs w:val="16"/>
              </w:rPr>
            </w:pPr>
          </w:p>
        </w:tc>
        <w:tc>
          <w:tcPr>
            <w:tcW w:w="1109" w:type="pct"/>
            <w:vAlign w:val="center"/>
          </w:tcPr>
          <w:p w:rsidR="00F7094E" w:rsidRPr="00885061" w:rsidRDefault="00F7094E" w:rsidP="00804E87">
            <w:pPr>
              <w:pStyle w:val="NoSpacing"/>
              <w:snapToGrid w:val="0"/>
              <w:jc w:val="both"/>
              <w:rPr>
                <w:color w:val="000000"/>
                <w:sz w:val="20"/>
                <w:szCs w:val="16"/>
              </w:rPr>
            </w:pPr>
            <w:r w:rsidRPr="00885061">
              <w:rPr>
                <w:color w:val="000000"/>
                <w:sz w:val="20"/>
                <w:szCs w:val="16"/>
              </w:rPr>
              <w:t>Male</w:t>
            </w:r>
          </w:p>
        </w:tc>
        <w:tc>
          <w:tcPr>
            <w:tcW w:w="1109" w:type="pct"/>
            <w:vAlign w:val="center"/>
          </w:tcPr>
          <w:p w:rsidR="00F7094E" w:rsidRPr="00885061" w:rsidRDefault="00F7094E" w:rsidP="00804E87">
            <w:pPr>
              <w:pStyle w:val="NoSpacing"/>
              <w:snapToGrid w:val="0"/>
              <w:jc w:val="both"/>
              <w:rPr>
                <w:color w:val="000000"/>
                <w:sz w:val="20"/>
                <w:szCs w:val="16"/>
              </w:rPr>
            </w:pPr>
            <w:r w:rsidRPr="00885061">
              <w:rPr>
                <w:color w:val="000000"/>
                <w:sz w:val="20"/>
                <w:szCs w:val="16"/>
              </w:rPr>
              <w:t>Female</w:t>
            </w:r>
          </w:p>
        </w:tc>
      </w:tr>
      <w:tr w:rsidR="00F7094E" w:rsidRPr="00885061" w:rsidTr="00F7094E">
        <w:trPr>
          <w:trHeight w:val="118"/>
          <w:jc w:val="center"/>
        </w:trPr>
        <w:tc>
          <w:tcPr>
            <w:tcW w:w="1461" w:type="pct"/>
          </w:tcPr>
          <w:p w:rsidR="00F7094E" w:rsidRPr="00885061" w:rsidRDefault="00F7094E" w:rsidP="00804E87">
            <w:pPr>
              <w:pStyle w:val="NoSpacing"/>
              <w:snapToGrid w:val="0"/>
              <w:jc w:val="both"/>
              <w:rPr>
                <w:color w:val="000000"/>
                <w:sz w:val="20"/>
                <w:szCs w:val="16"/>
              </w:rPr>
            </w:pPr>
            <w:r w:rsidRPr="00885061">
              <w:rPr>
                <w:i/>
                <w:color w:val="000000"/>
                <w:sz w:val="20"/>
                <w:szCs w:val="16"/>
              </w:rPr>
              <w:t xml:space="preserve">Staphylococcus </w:t>
            </w:r>
            <w:proofErr w:type="spellStart"/>
            <w:r w:rsidRPr="00885061">
              <w:rPr>
                <w:i/>
                <w:color w:val="000000"/>
                <w:sz w:val="20"/>
                <w:szCs w:val="16"/>
              </w:rPr>
              <w:t>aureus</w:t>
            </w:r>
            <w:proofErr w:type="spellEnd"/>
          </w:p>
        </w:tc>
        <w:tc>
          <w:tcPr>
            <w:tcW w:w="1322" w:type="pct"/>
          </w:tcPr>
          <w:p w:rsidR="00F7094E" w:rsidRPr="00885061" w:rsidRDefault="00F7094E" w:rsidP="00804E87">
            <w:pPr>
              <w:pStyle w:val="NoSpacing"/>
              <w:snapToGrid w:val="0"/>
              <w:jc w:val="both"/>
              <w:rPr>
                <w:color w:val="000000"/>
                <w:sz w:val="20"/>
                <w:szCs w:val="16"/>
              </w:rPr>
            </w:pPr>
            <w:r w:rsidRPr="00885061">
              <w:rPr>
                <w:color w:val="000000"/>
                <w:sz w:val="20"/>
                <w:szCs w:val="16"/>
              </w:rPr>
              <w:t>5 (5.8%)</w:t>
            </w:r>
          </w:p>
        </w:tc>
        <w:tc>
          <w:tcPr>
            <w:tcW w:w="1109" w:type="pct"/>
            <w:vAlign w:val="center"/>
          </w:tcPr>
          <w:p w:rsidR="00F7094E" w:rsidRPr="00885061" w:rsidRDefault="00F7094E" w:rsidP="00804E87">
            <w:pPr>
              <w:pStyle w:val="NoSpacing"/>
              <w:snapToGrid w:val="0"/>
              <w:jc w:val="both"/>
              <w:rPr>
                <w:color w:val="000000"/>
                <w:sz w:val="20"/>
                <w:szCs w:val="16"/>
              </w:rPr>
            </w:pPr>
            <w:r w:rsidRPr="00885061">
              <w:rPr>
                <w:color w:val="000000"/>
                <w:sz w:val="20"/>
                <w:szCs w:val="16"/>
              </w:rPr>
              <w:t>3 (60%)</w:t>
            </w:r>
          </w:p>
        </w:tc>
        <w:tc>
          <w:tcPr>
            <w:tcW w:w="1109" w:type="pct"/>
            <w:vAlign w:val="center"/>
          </w:tcPr>
          <w:p w:rsidR="00F7094E" w:rsidRPr="00885061" w:rsidRDefault="00F7094E" w:rsidP="00804E87">
            <w:pPr>
              <w:pStyle w:val="NoSpacing"/>
              <w:snapToGrid w:val="0"/>
              <w:jc w:val="both"/>
              <w:rPr>
                <w:color w:val="000000"/>
                <w:sz w:val="20"/>
                <w:szCs w:val="16"/>
              </w:rPr>
            </w:pPr>
            <w:r w:rsidRPr="00885061">
              <w:rPr>
                <w:color w:val="000000"/>
                <w:sz w:val="20"/>
                <w:szCs w:val="16"/>
              </w:rPr>
              <w:t>2 (40%)</w:t>
            </w:r>
          </w:p>
        </w:tc>
      </w:tr>
      <w:tr w:rsidR="00F7094E" w:rsidRPr="00885061" w:rsidTr="00F7094E">
        <w:trPr>
          <w:trHeight w:val="115"/>
          <w:jc w:val="center"/>
        </w:trPr>
        <w:tc>
          <w:tcPr>
            <w:tcW w:w="1461" w:type="pct"/>
          </w:tcPr>
          <w:p w:rsidR="00F7094E" w:rsidRPr="00885061" w:rsidRDefault="00F7094E" w:rsidP="00804E87">
            <w:pPr>
              <w:pStyle w:val="NoSpacing"/>
              <w:snapToGrid w:val="0"/>
              <w:jc w:val="both"/>
              <w:rPr>
                <w:color w:val="000000"/>
                <w:sz w:val="20"/>
                <w:szCs w:val="16"/>
              </w:rPr>
            </w:pPr>
            <w:r w:rsidRPr="00885061">
              <w:rPr>
                <w:i/>
                <w:color w:val="000000"/>
                <w:sz w:val="20"/>
                <w:szCs w:val="16"/>
              </w:rPr>
              <w:t>Escherichia coli</w:t>
            </w:r>
          </w:p>
        </w:tc>
        <w:tc>
          <w:tcPr>
            <w:tcW w:w="1322" w:type="pct"/>
          </w:tcPr>
          <w:p w:rsidR="00F7094E" w:rsidRPr="00885061" w:rsidRDefault="00F7094E" w:rsidP="00804E87">
            <w:pPr>
              <w:pStyle w:val="NoSpacing"/>
              <w:snapToGrid w:val="0"/>
              <w:jc w:val="both"/>
              <w:rPr>
                <w:color w:val="000000"/>
                <w:sz w:val="20"/>
                <w:szCs w:val="16"/>
              </w:rPr>
            </w:pPr>
            <w:r w:rsidRPr="00885061">
              <w:rPr>
                <w:color w:val="000000"/>
                <w:sz w:val="20"/>
                <w:szCs w:val="16"/>
              </w:rPr>
              <w:t>3 (3.5%)</w:t>
            </w:r>
          </w:p>
        </w:tc>
        <w:tc>
          <w:tcPr>
            <w:tcW w:w="1109" w:type="pct"/>
            <w:vAlign w:val="center"/>
          </w:tcPr>
          <w:p w:rsidR="00F7094E" w:rsidRPr="00885061" w:rsidRDefault="00F7094E" w:rsidP="00804E87">
            <w:pPr>
              <w:pStyle w:val="NoSpacing"/>
              <w:snapToGrid w:val="0"/>
              <w:jc w:val="both"/>
              <w:rPr>
                <w:color w:val="000000"/>
                <w:sz w:val="20"/>
                <w:szCs w:val="16"/>
              </w:rPr>
            </w:pPr>
            <w:r w:rsidRPr="00885061">
              <w:rPr>
                <w:color w:val="000000"/>
                <w:sz w:val="20"/>
                <w:szCs w:val="16"/>
              </w:rPr>
              <w:t>0 (0%)</w:t>
            </w:r>
          </w:p>
        </w:tc>
        <w:tc>
          <w:tcPr>
            <w:tcW w:w="1109" w:type="pct"/>
            <w:vAlign w:val="center"/>
          </w:tcPr>
          <w:p w:rsidR="00F7094E" w:rsidRPr="00885061" w:rsidRDefault="00F7094E" w:rsidP="00804E87">
            <w:pPr>
              <w:pStyle w:val="NoSpacing"/>
              <w:snapToGrid w:val="0"/>
              <w:jc w:val="both"/>
              <w:rPr>
                <w:color w:val="000000"/>
                <w:sz w:val="20"/>
                <w:szCs w:val="16"/>
              </w:rPr>
            </w:pPr>
            <w:r w:rsidRPr="00885061">
              <w:rPr>
                <w:color w:val="000000"/>
                <w:sz w:val="20"/>
                <w:szCs w:val="16"/>
              </w:rPr>
              <w:t>3 (100%)</w:t>
            </w:r>
          </w:p>
        </w:tc>
      </w:tr>
      <w:tr w:rsidR="00F7094E" w:rsidRPr="00885061" w:rsidTr="00F7094E">
        <w:trPr>
          <w:trHeight w:val="115"/>
          <w:jc w:val="center"/>
        </w:trPr>
        <w:tc>
          <w:tcPr>
            <w:tcW w:w="1461" w:type="pct"/>
          </w:tcPr>
          <w:p w:rsidR="00F7094E" w:rsidRPr="00885061" w:rsidRDefault="00F7094E" w:rsidP="00804E87">
            <w:pPr>
              <w:pStyle w:val="NoSpacing"/>
              <w:snapToGrid w:val="0"/>
              <w:jc w:val="both"/>
              <w:rPr>
                <w:color w:val="000000"/>
                <w:sz w:val="20"/>
                <w:szCs w:val="16"/>
              </w:rPr>
            </w:pPr>
            <w:r w:rsidRPr="00885061">
              <w:rPr>
                <w:i/>
                <w:color w:val="000000"/>
                <w:sz w:val="20"/>
                <w:szCs w:val="16"/>
              </w:rPr>
              <w:t xml:space="preserve">Proteus </w:t>
            </w:r>
            <w:r w:rsidRPr="00885061">
              <w:rPr>
                <w:color w:val="000000"/>
                <w:sz w:val="20"/>
                <w:szCs w:val="16"/>
              </w:rPr>
              <w:t>spp.</w:t>
            </w:r>
          </w:p>
        </w:tc>
        <w:tc>
          <w:tcPr>
            <w:tcW w:w="1322" w:type="pct"/>
          </w:tcPr>
          <w:p w:rsidR="00F7094E" w:rsidRPr="00885061" w:rsidRDefault="00F7094E" w:rsidP="00804E87">
            <w:pPr>
              <w:pStyle w:val="NoSpacing"/>
              <w:snapToGrid w:val="0"/>
              <w:jc w:val="both"/>
              <w:rPr>
                <w:color w:val="000000"/>
                <w:sz w:val="20"/>
                <w:szCs w:val="16"/>
              </w:rPr>
            </w:pPr>
            <w:r w:rsidRPr="00885061">
              <w:rPr>
                <w:color w:val="000000"/>
                <w:sz w:val="20"/>
                <w:szCs w:val="16"/>
              </w:rPr>
              <w:t>26 (30.2%)</w:t>
            </w:r>
          </w:p>
        </w:tc>
        <w:tc>
          <w:tcPr>
            <w:tcW w:w="1109" w:type="pct"/>
            <w:vAlign w:val="center"/>
          </w:tcPr>
          <w:p w:rsidR="00F7094E" w:rsidRPr="00885061" w:rsidRDefault="00F7094E" w:rsidP="00804E87">
            <w:pPr>
              <w:pStyle w:val="NoSpacing"/>
              <w:snapToGrid w:val="0"/>
              <w:jc w:val="both"/>
              <w:rPr>
                <w:color w:val="000000"/>
                <w:sz w:val="20"/>
                <w:szCs w:val="16"/>
              </w:rPr>
            </w:pPr>
            <w:r w:rsidRPr="00885061">
              <w:rPr>
                <w:color w:val="000000"/>
                <w:sz w:val="20"/>
                <w:szCs w:val="16"/>
              </w:rPr>
              <w:t>17 (65.4%)</w:t>
            </w:r>
          </w:p>
        </w:tc>
        <w:tc>
          <w:tcPr>
            <w:tcW w:w="1109" w:type="pct"/>
            <w:vAlign w:val="center"/>
          </w:tcPr>
          <w:p w:rsidR="00F7094E" w:rsidRPr="00885061" w:rsidRDefault="00F7094E" w:rsidP="00804E87">
            <w:pPr>
              <w:pStyle w:val="NoSpacing"/>
              <w:snapToGrid w:val="0"/>
              <w:jc w:val="both"/>
              <w:rPr>
                <w:color w:val="000000"/>
                <w:sz w:val="20"/>
                <w:szCs w:val="16"/>
              </w:rPr>
            </w:pPr>
            <w:r w:rsidRPr="00885061">
              <w:rPr>
                <w:color w:val="000000"/>
                <w:sz w:val="20"/>
                <w:szCs w:val="16"/>
              </w:rPr>
              <w:t>9 (34.6%)</w:t>
            </w:r>
          </w:p>
        </w:tc>
      </w:tr>
      <w:tr w:rsidR="00F7094E" w:rsidRPr="00885061" w:rsidTr="00F7094E">
        <w:trPr>
          <w:trHeight w:val="118"/>
          <w:jc w:val="center"/>
        </w:trPr>
        <w:tc>
          <w:tcPr>
            <w:tcW w:w="1461" w:type="pct"/>
          </w:tcPr>
          <w:p w:rsidR="00F7094E" w:rsidRPr="00885061" w:rsidRDefault="00F7094E" w:rsidP="00804E87">
            <w:pPr>
              <w:pStyle w:val="NoSpacing"/>
              <w:snapToGrid w:val="0"/>
              <w:jc w:val="both"/>
              <w:rPr>
                <w:color w:val="000000"/>
                <w:sz w:val="20"/>
                <w:szCs w:val="16"/>
              </w:rPr>
            </w:pPr>
            <w:proofErr w:type="spellStart"/>
            <w:r w:rsidRPr="00885061">
              <w:rPr>
                <w:i/>
                <w:color w:val="000000"/>
                <w:sz w:val="20"/>
                <w:szCs w:val="16"/>
              </w:rPr>
              <w:t>Klebsiella</w:t>
            </w:r>
            <w:proofErr w:type="spellEnd"/>
            <w:r w:rsidRPr="00885061">
              <w:rPr>
                <w:i/>
                <w:color w:val="000000"/>
                <w:sz w:val="20"/>
                <w:szCs w:val="16"/>
              </w:rPr>
              <w:t xml:space="preserve"> </w:t>
            </w:r>
            <w:r w:rsidRPr="00885061">
              <w:rPr>
                <w:color w:val="000000"/>
                <w:sz w:val="20"/>
                <w:szCs w:val="16"/>
              </w:rPr>
              <w:t>spp.</w:t>
            </w:r>
          </w:p>
        </w:tc>
        <w:tc>
          <w:tcPr>
            <w:tcW w:w="1322" w:type="pct"/>
          </w:tcPr>
          <w:p w:rsidR="00F7094E" w:rsidRPr="00885061" w:rsidRDefault="00F7094E" w:rsidP="00804E87">
            <w:pPr>
              <w:pStyle w:val="NoSpacing"/>
              <w:snapToGrid w:val="0"/>
              <w:jc w:val="both"/>
              <w:rPr>
                <w:color w:val="000000"/>
                <w:sz w:val="20"/>
                <w:szCs w:val="16"/>
              </w:rPr>
            </w:pPr>
            <w:r w:rsidRPr="00885061">
              <w:rPr>
                <w:color w:val="000000"/>
                <w:sz w:val="20"/>
                <w:szCs w:val="16"/>
              </w:rPr>
              <w:t>40 (46.5%)</w:t>
            </w:r>
          </w:p>
        </w:tc>
        <w:tc>
          <w:tcPr>
            <w:tcW w:w="1109" w:type="pct"/>
            <w:vAlign w:val="center"/>
          </w:tcPr>
          <w:p w:rsidR="00F7094E" w:rsidRPr="00885061" w:rsidRDefault="00F7094E" w:rsidP="00804E87">
            <w:pPr>
              <w:pStyle w:val="NoSpacing"/>
              <w:snapToGrid w:val="0"/>
              <w:jc w:val="both"/>
              <w:rPr>
                <w:color w:val="000000"/>
                <w:sz w:val="20"/>
                <w:szCs w:val="16"/>
              </w:rPr>
            </w:pPr>
            <w:r w:rsidRPr="00885061">
              <w:rPr>
                <w:color w:val="000000"/>
                <w:sz w:val="20"/>
                <w:szCs w:val="16"/>
              </w:rPr>
              <w:t>14 (35%)</w:t>
            </w:r>
          </w:p>
        </w:tc>
        <w:tc>
          <w:tcPr>
            <w:tcW w:w="1109" w:type="pct"/>
            <w:vAlign w:val="center"/>
          </w:tcPr>
          <w:p w:rsidR="00F7094E" w:rsidRPr="00885061" w:rsidRDefault="00F7094E" w:rsidP="00804E87">
            <w:pPr>
              <w:pStyle w:val="NoSpacing"/>
              <w:snapToGrid w:val="0"/>
              <w:jc w:val="both"/>
              <w:rPr>
                <w:color w:val="000000"/>
                <w:sz w:val="20"/>
                <w:szCs w:val="16"/>
              </w:rPr>
            </w:pPr>
            <w:r w:rsidRPr="00885061">
              <w:rPr>
                <w:color w:val="000000"/>
                <w:sz w:val="20"/>
                <w:szCs w:val="16"/>
              </w:rPr>
              <w:t>26 (65%)</w:t>
            </w:r>
          </w:p>
        </w:tc>
      </w:tr>
      <w:tr w:rsidR="00F7094E" w:rsidRPr="00885061" w:rsidTr="00F7094E">
        <w:trPr>
          <w:trHeight w:val="115"/>
          <w:jc w:val="center"/>
        </w:trPr>
        <w:tc>
          <w:tcPr>
            <w:tcW w:w="1461" w:type="pct"/>
          </w:tcPr>
          <w:p w:rsidR="00F7094E" w:rsidRPr="00885061" w:rsidRDefault="00F7094E" w:rsidP="00804E87">
            <w:pPr>
              <w:pStyle w:val="NoSpacing"/>
              <w:snapToGrid w:val="0"/>
              <w:jc w:val="both"/>
              <w:rPr>
                <w:color w:val="000000"/>
                <w:sz w:val="20"/>
                <w:szCs w:val="16"/>
              </w:rPr>
            </w:pPr>
            <w:proofErr w:type="spellStart"/>
            <w:r w:rsidRPr="00885061">
              <w:rPr>
                <w:i/>
                <w:color w:val="000000"/>
                <w:sz w:val="20"/>
                <w:szCs w:val="16"/>
              </w:rPr>
              <w:t>Moganella</w:t>
            </w:r>
            <w:proofErr w:type="spellEnd"/>
            <w:r w:rsidRPr="00885061">
              <w:rPr>
                <w:i/>
                <w:color w:val="000000"/>
                <w:sz w:val="20"/>
                <w:szCs w:val="16"/>
              </w:rPr>
              <w:t xml:space="preserve"> </w:t>
            </w:r>
            <w:proofErr w:type="spellStart"/>
            <w:r w:rsidRPr="00885061">
              <w:rPr>
                <w:i/>
                <w:color w:val="000000"/>
                <w:sz w:val="20"/>
                <w:szCs w:val="16"/>
              </w:rPr>
              <w:t>morganni</w:t>
            </w:r>
            <w:proofErr w:type="spellEnd"/>
          </w:p>
        </w:tc>
        <w:tc>
          <w:tcPr>
            <w:tcW w:w="1322" w:type="pct"/>
          </w:tcPr>
          <w:p w:rsidR="00F7094E" w:rsidRPr="00885061" w:rsidRDefault="00F7094E" w:rsidP="00804E87">
            <w:pPr>
              <w:pStyle w:val="NoSpacing"/>
              <w:snapToGrid w:val="0"/>
              <w:jc w:val="both"/>
              <w:rPr>
                <w:color w:val="000000"/>
                <w:sz w:val="20"/>
                <w:szCs w:val="16"/>
              </w:rPr>
            </w:pPr>
            <w:r w:rsidRPr="00885061">
              <w:rPr>
                <w:color w:val="000000"/>
                <w:sz w:val="20"/>
                <w:szCs w:val="16"/>
              </w:rPr>
              <w:t>4 (4.7%)</w:t>
            </w:r>
          </w:p>
        </w:tc>
        <w:tc>
          <w:tcPr>
            <w:tcW w:w="1109" w:type="pct"/>
            <w:vAlign w:val="center"/>
          </w:tcPr>
          <w:p w:rsidR="00F7094E" w:rsidRPr="00885061" w:rsidRDefault="00F7094E" w:rsidP="00804E87">
            <w:pPr>
              <w:pStyle w:val="NoSpacing"/>
              <w:snapToGrid w:val="0"/>
              <w:jc w:val="both"/>
              <w:rPr>
                <w:color w:val="000000"/>
                <w:sz w:val="20"/>
                <w:szCs w:val="16"/>
              </w:rPr>
            </w:pPr>
            <w:r w:rsidRPr="00885061">
              <w:rPr>
                <w:color w:val="000000"/>
                <w:sz w:val="20"/>
                <w:szCs w:val="16"/>
              </w:rPr>
              <w:t>2 (50%)</w:t>
            </w:r>
          </w:p>
        </w:tc>
        <w:tc>
          <w:tcPr>
            <w:tcW w:w="1109" w:type="pct"/>
            <w:vAlign w:val="center"/>
          </w:tcPr>
          <w:p w:rsidR="00F7094E" w:rsidRPr="00885061" w:rsidRDefault="00F7094E" w:rsidP="00804E87">
            <w:pPr>
              <w:pStyle w:val="NoSpacing"/>
              <w:snapToGrid w:val="0"/>
              <w:jc w:val="both"/>
              <w:rPr>
                <w:color w:val="000000"/>
                <w:sz w:val="20"/>
                <w:szCs w:val="16"/>
              </w:rPr>
            </w:pPr>
            <w:r w:rsidRPr="00885061">
              <w:rPr>
                <w:color w:val="000000"/>
                <w:sz w:val="20"/>
                <w:szCs w:val="16"/>
              </w:rPr>
              <w:t>2 (50%)</w:t>
            </w:r>
          </w:p>
        </w:tc>
      </w:tr>
      <w:tr w:rsidR="00F7094E" w:rsidRPr="00885061" w:rsidTr="00F7094E">
        <w:trPr>
          <w:trHeight w:val="118"/>
          <w:jc w:val="center"/>
        </w:trPr>
        <w:tc>
          <w:tcPr>
            <w:tcW w:w="1461" w:type="pct"/>
          </w:tcPr>
          <w:p w:rsidR="00F7094E" w:rsidRPr="00885061" w:rsidRDefault="00F7094E" w:rsidP="00804E87">
            <w:pPr>
              <w:pStyle w:val="NoSpacing"/>
              <w:snapToGrid w:val="0"/>
              <w:jc w:val="both"/>
              <w:rPr>
                <w:color w:val="000000"/>
                <w:sz w:val="20"/>
                <w:szCs w:val="16"/>
              </w:rPr>
            </w:pPr>
            <w:proofErr w:type="spellStart"/>
            <w:r w:rsidRPr="00885061">
              <w:rPr>
                <w:i/>
                <w:color w:val="000000"/>
                <w:sz w:val="20"/>
                <w:szCs w:val="16"/>
              </w:rPr>
              <w:t>Providencia</w:t>
            </w:r>
            <w:proofErr w:type="spellEnd"/>
            <w:r w:rsidRPr="00885061">
              <w:rPr>
                <w:i/>
                <w:color w:val="000000"/>
                <w:sz w:val="20"/>
                <w:szCs w:val="16"/>
              </w:rPr>
              <w:t xml:space="preserve"> </w:t>
            </w:r>
            <w:proofErr w:type="spellStart"/>
            <w:r w:rsidRPr="00885061">
              <w:rPr>
                <w:i/>
                <w:color w:val="000000"/>
                <w:sz w:val="20"/>
                <w:szCs w:val="16"/>
              </w:rPr>
              <w:t>stuartii</w:t>
            </w:r>
            <w:proofErr w:type="spellEnd"/>
          </w:p>
        </w:tc>
        <w:tc>
          <w:tcPr>
            <w:tcW w:w="1322" w:type="pct"/>
          </w:tcPr>
          <w:p w:rsidR="00F7094E" w:rsidRPr="00885061" w:rsidRDefault="00F7094E" w:rsidP="00804E87">
            <w:pPr>
              <w:pStyle w:val="NoSpacing"/>
              <w:snapToGrid w:val="0"/>
              <w:jc w:val="both"/>
              <w:rPr>
                <w:color w:val="000000"/>
                <w:sz w:val="20"/>
                <w:szCs w:val="16"/>
              </w:rPr>
            </w:pPr>
            <w:r w:rsidRPr="00885061">
              <w:rPr>
                <w:color w:val="000000"/>
                <w:sz w:val="20"/>
                <w:szCs w:val="16"/>
              </w:rPr>
              <w:t>4 (4.7%)</w:t>
            </w:r>
          </w:p>
        </w:tc>
        <w:tc>
          <w:tcPr>
            <w:tcW w:w="1109" w:type="pct"/>
            <w:vAlign w:val="center"/>
          </w:tcPr>
          <w:p w:rsidR="00F7094E" w:rsidRPr="00885061" w:rsidRDefault="00F7094E" w:rsidP="00804E87">
            <w:pPr>
              <w:pStyle w:val="NoSpacing"/>
              <w:snapToGrid w:val="0"/>
              <w:jc w:val="both"/>
              <w:rPr>
                <w:color w:val="000000"/>
                <w:sz w:val="20"/>
                <w:szCs w:val="16"/>
              </w:rPr>
            </w:pPr>
            <w:r w:rsidRPr="00885061">
              <w:rPr>
                <w:color w:val="000000"/>
                <w:sz w:val="20"/>
                <w:szCs w:val="16"/>
              </w:rPr>
              <w:t>1 (25%)</w:t>
            </w:r>
          </w:p>
        </w:tc>
        <w:tc>
          <w:tcPr>
            <w:tcW w:w="1109" w:type="pct"/>
            <w:vAlign w:val="center"/>
          </w:tcPr>
          <w:p w:rsidR="00F7094E" w:rsidRPr="00885061" w:rsidRDefault="00F7094E" w:rsidP="00804E87">
            <w:pPr>
              <w:pStyle w:val="NoSpacing"/>
              <w:snapToGrid w:val="0"/>
              <w:jc w:val="both"/>
              <w:rPr>
                <w:color w:val="000000"/>
                <w:sz w:val="20"/>
                <w:szCs w:val="16"/>
              </w:rPr>
            </w:pPr>
            <w:r w:rsidRPr="00885061">
              <w:rPr>
                <w:color w:val="000000"/>
                <w:sz w:val="20"/>
                <w:szCs w:val="16"/>
              </w:rPr>
              <w:t>3 (75%)</w:t>
            </w:r>
          </w:p>
        </w:tc>
      </w:tr>
      <w:tr w:rsidR="00F7094E" w:rsidRPr="00885061" w:rsidTr="00F7094E">
        <w:trPr>
          <w:trHeight w:val="115"/>
          <w:jc w:val="center"/>
        </w:trPr>
        <w:tc>
          <w:tcPr>
            <w:tcW w:w="1461" w:type="pct"/>
          </w:tcPr>
          <w:p w:rsidR="00F7094E" w:rsidRPr="00885061" w:rsidRDefault="00F7094E" w:rsidP="00804E87">
            <w:pPr>
              <w:pStyle w:val="NoSpacing"/>
              <w:snapToGrid w:val="0"/>
              <w:jc w:val="both"/>
              <w:rPr>
                <w:color w:val="000000"/>
                <w:sz w:val="20"/>
                <w:szCs w:val="16"/>
              </w:rPr>
            </w:pPr>
            <w:proofErr w:type="spellStart"/>
            <w:r w:rsidRPr="00885061">
              <w:rPr>
                <w:i/>
                <w:color w:val="000000"/>
                <w:sz w:val="20"/>
                <w:szCs w:val="16"/>
              </w:rPr>
              <w:t>Citrobacter</w:t>
            </w:r>
            <w:proofErr w:type="spellEnd"/>
            <w:r w:rsidRPr="00885061">
              <w:rPr>
                <w:i/>
                <w:color w:val="000000"/>
                <w:sz w:val="20"/>
                <w:szCs w:val="16"/>
              </w:rPr>
              <w:t xml:space="preserve"> </w:t>
            </w:r>
            <w:proofErr w:type="spellStart"/>
            <w:r w:rsidRPr="00885061">
              <w:rPr>
                <w:i/>
                <w:color w:val="000000"/>
                <w:sz w:val="20"/>
                <w:szCs w:val="16"/>
              </w:rPr>
              <w:t>frundii</w:t>
            </w:r>
            <w:proofErr w:type="spellEnd"/>
          </w:p>
        </w:tc>
        <w:tc>
          <w:tcPr>
            <w:tcW w:w="1322" w:type="pct"/>
          </w:tcPr>
          <w:p w:rsidR="00F7094E" w:rsidRPr="00885061" w:rsidRDefault="00F7094E" w:rsidP="00804E87">
            <w:pPr>
              <w:pStyle w:val="NoSpacing"/>
              <w:snapToGrid w:val="0"/>
              <w:jc w:val="both"/>
              <w:rPr>
                <w:color w:val="000000"/>
                <w:sz w:val="20"/>
                <w:szCs w:val="16"/>
              </w:rPr>
            </w:pPr>
            <w:r w:rsidRPr="00885061">
              <w:rPr>
                <w:color w:val="000000"/>
                <w:sz w:val="20"/>
                <w:szCs w:val="16"/>
              </w:rPr>
              <w:t>4 (4.7%)</w:t>
            </w:r>
          </w:p>
        </w:tc>
        <w:tc>
          <w:tcPr>
            <w:tcW w:w="1109" w:type="pct"/>
            <w:vAlign w:val="center"/>
          </w:tcPr>
          <w:p w:rsidR="00F7094E" w:rsidRPr="00885061" w:rsidRDefault="00F7094E" w:rsidP="00804E87">
            <w:pPr>
              <w:pStyle w:val="NoSpacing"/>
              <w:snapToGrid w:val="0"/>
              <w:jc w:val="both"/>
              <w:rPr>
                <w:color w:val="000000"/>
                <w:sz w:val="20"/>
                <w:szCs w:val="16"/>
              </w:rPr>
            </w:pPr>
            <w:r w:rsidRPr="00885061">
              <w:rPr>
                <w:color w:val="000000"/>
                <w:sz w:val="20"/>
                <w:szCs w:val="16"/>
              </w:rPr>
              <w:t>4 (100%)</w:t>
            </w:r>
          </w:p>
        </w:tc>
        <w:tc>
          <w:tcPr>
            <w:tcW w:w="1109" w:type="pct"/>
            <w:vAlign w:val="center"/>
          </w:tcPr>
          <w:p w:rsidR="00F7094E" w:rsidRPr="00885061" w:rsidRDefault="00F7094E" w:rsidP="00804E87">
            <w:pPr>
              <w:pStyle w:val="NoSpacing"/>
              <w:snapToGrid w:val="0"/>
              <w:jc w:val="both"/>
              <w:rPr>
                <w:color w:val="000000"/>
                <w:sz w:val="20"/>
                <w:szCs w:val="16"/>
              </w:rPr>
            </w:pPr>
            <w:r w:rsidRPr="00885061">
              <w:rPr>
                <w:color w:val="000000"/>
                <w:sz w:val="20"/>
                <w:szCs w:val="16"/>
              </w:rPr>
              <w:t>0 (0%)</w:t>
            </w:r>
          </w:p>
        </w:tc>
      </w:tr>
      <w:tr w:rsidR="00F7094E" w:rsidRPr="00885061" w:rsidTr="00F7094E">
        <w:trPr>
          <w:trHeight w:val="118"/>
          <w:jc w:val="center"/>
        </w:trPr>
        <w:tc>
          <w:tcPr>
            <w:tcW w:w="1461" w:type="pct"/>
          </w:tcPr>
          <w:p w:rsidR="00F7094E" w:rsidRPr="00885061" w:rsidRDefault="00F7094E" w:rsidP="00804E87">
            <w:pPr>
              <w:pStyle w:val="NoSpacing"/>
              <w:snapToGrid w:val="0"/>
              <w:jc w:val="both"/>
              <w:rPr>
                <w:color w:val="000000"/>
                <w:sz w:val="20"/>
                <w:szCs w:val="16"/>
              </w:rPr>
            </w:pPr>
            <w:r w:rsidRPr="00885061">
              <w:rPr>
                <w:color w:val="000000"/>
                <w:sz w:val="20"/>
                <w:szCs w:val="16"/>
              </w:rPr>
              <w:t>Total number of isolates</w:t>
            </w:r>
          </w:p>
        </w:tc>
        <w:tc>
          <w:tcPr>
            <w:tcW w:w="1322" w:type="pct"/>
          </w:tcPr>
          <w:p w:rsidR="00F7094E" w:rsidRPr="00885061" w:rsidRDefault="00F7094E" w:rsidP="00804E87">
            <w:pPr>
              <w:pStyle w:val="NoSpacing"/>
              <w:snapToGrid w:val="0"/>
              <w:jc w:val="both"/>
              <w:rPr>
                <w:color w:val="000000"/>
                <w:sz w:val="20"/>
                <w:szCs w:val="16"/>
              </w:rPr>
            </w:pPr>
            <w:r w:rsidRPr="00885061">
              <w:rPr>
                <w:color w:val="000000"/>
                <w:sz w:val="20"/>
                <w:szCs w:val="16"/>
              </w:rPr>
              <w:t>86 (100%)</w:t>
            </w:r>
          </w:p>
        </w:tc>
        <w:tc>
          <w:tcPr>
            <w:tcW w:w="1109" w:type="pct"/>
            <w:vAlign w:val="center"/>
          </w:tcPr>
          <w:p w:rsidR="00F7094E" w:rsidRPr="00885061" w:rsidRDefault="00F7094E" w:rsidP="00804E87">
            <w:pPr>
              <w:pStyle w:val="NoSpacing"/>
              <w:snapToGrid w:val="0"/>
              <w:jc w:val="both"/>
              <w:rPr>
                <w:color w:val="000000"/>
                <w:sz w:val="20"/>
                <w:szCs w:val="16"/>
              </w:rPr>
            </w:pPr>
            <w:r w:rsidRPr="00885061">
              <w:rPr>
                <w:color w:val="000000"/>
                <w:sz w:val="20"/>
                <w:szCs w:val="16"/>
              </w:rPr>
              <w:t>41 (47.7%)</w:t>
            </w:r>
          </w:p>
        </w:tc>
        <w:tc>
          <w:tcPr>
            <w:tcW w:w="1109" w:type="pct"/>
            <w:vAlign w:val="center"/>
          </w:tcPr>
          <w:p w:rsidR="00F7094E" w:rsidRPr="00885061" w:rsidRDefault="00F7094E" w:rsidP="00804E87">
            <w:pPr>
              <w:pStyle w:val="NoSpacing"/>
              <w:snapToGrid w:val="0"/>
              <w:jc w:val="both"/>
              <w:rPr>
                <w:color w:val="000000"/>
                <w:sz w:val="20"/>
                <w:szCs w:val="16"/>
              </w:rPr>
            </w:pPr>
            <w:r w:rsidRPr="00885061">
              <w:rPr>
                <w:color w:val="000000"/>
                <w:sz w:val="20"/>
                <w:szCs w:val="16"/>
              </w:rPr>
              <w:t>45 (52.3%)</w:t>
            </w:r>
          </w:p>
        </w:tc>
      </w:tr>
    </w:tbl>
    <w:p w:rsidR="00F7094E" w:rsidRPr="00885061" w:rsidRDefault="00F7094E" w:rsidP="00F7094E">
      <w:pPr>
        <w:pStyle w:val="NoSpacing"/>
        <w:snapToGrid w:val="0"/>
        <w:ind w:firstLine="425"/>
        <w:jc w:val="both"/>
        <w:rPr>
          <w:sz w:val="20"/>
          <w:szCs w:val="16"/>
        </w:rPr>
      </w:pPr>
    </w:p>
    <w:p w:rsidR="00703D39" w:rsidRPr="00885061" w:rsidRDefault="00703D39" w:rsidP="00885061">
      <w:pPr>
        <w:pStyle w:val="NoSpacing"/>
        <w:snapToGrid w:val="0"/>
        <w:jc w:val="center"/>
        <w:rPr>
          <w:sz w:val="20"/>
          <w:szCs w:val="16"/>
        </w:rPr>
      </w:pPr>
      <w:r w:rsidRPr="00885061">
        <w:rPr>
          <w:sz w:val="20"/>
          <w:szCs w:val="16"/>
        </w:rPr>
        <w:t>Table 2: Number and percentage susceptibility pattern of the isolates to selected antibiotics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7"/>
        <w:gridCol w:w="1016"/>
        <w:gridCol w:w="1021"/>
        <w:gridCol w:w="1283"/>
        <w:gridCol w:w="1484"/>
        <w:gridCol w:w="1390"/>
        <w:gridCol w:w="1074"/>
        <w:gridCol w:w="1141"/>
      </w:tblGrid>
      <w:tr w:rsidR="00C603D7" w:rsidRPr="00885061" w:rsidTr="00F7094E">
        <w:trPr>
          <w:jc w:val="center"/>
        </w:trPr>
        <w:tc>
          <w:tcPr>
            <w:tcW w:w="609"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Antibiotics</w:t>
            </w:r>
          </w:p>
        </w:tc>
        <w:tc>
          <w:tcPr>
            <w:tcW w:w="530" w:type="pct"/>
            <w:vAlign w:val="center"/>
          </w:tcPr>
          <w:p w:rsidR="00703D39" w:rsidRPr="00885061" w:rsidRDefault="00703D39" w:rsidP="00885061">
            <w:pPr>
              <w:pStyle w:val="NoSpacing"/>
              <w:snapToGrid w:val="0"/>
              <w:jc w:val="center"/>
              <w:rPr>
                <w:i/>
                <w:color w:val="000000"/>
                <w:sz w:val="20"/>
                <w:szCs w:val="16"/>
              </w:rPr>
            </w:pPr>
            <w:r w:rsidRPr="00885061">
              <w:rPr>
                <w:i/>
                <w:color w:val="000000"/>
                <w:sz w:val="20"/>
                <w:szCs w:val="16"/>
              </w:rPr>
              <w:t xml:space="preserve">S. </w:t>
            </w:r>
            <w:proofErr w:type="spellStart"/>
            <w:r w:rsidRPr="00885061">
              <w:rPr>
                <w:i/>
                <w:color w:val="000000"/>
                <w:sz w:val="20"/>
                <w:szCs w:val="16"/>
              </w:rPr>
              <w:t>aureus</w:t>
            </w:r>
            <w:proofErr w:type="spellEnd"/>
          </w:p>
          <w:p w:rsidR="00703D39" w:rsidRPr="00885061" w:rsidRDefault="00703D39" w:rsidP="00885061">
            <w:pPr>
              <w:pStyle w:val="NoSpacing"/>
              <w:snapToGrid w:val="0"/>
              <w:jc w:val="center"/>
              <w:rPr>
                <w:i/>
                <w:color w:val="000000"/>
                <w:sz w:val="20"/>
                <w:szCs w:val="16"/>
              </w:rPr>
            </w:pPr>
            <w:r w:rsidRPr="00885061">
              <w:rPr>
                <w:i/>
                <w:color w:val="000000"/>
                <w:sz w:val="20"/>
                <w:szCs w:val="16"/>
              </w:rPr>
              <w:t>n = 5</w:t>
            </w:r>
          </w:p>
        </w:tc>
        <w:tc>
          <w:tcPr>
            <w:tcW w:w="533" w:type="pct"/>
            <w:vAlign w:val="center"/>
          </w:tcPr>
          <w:p w:rsidR="00703D39" w:rsidRPr="00885061" w:rsidRDefault="00703D39" w:rsidP="00885061">
            <w:pPr>
              <w:pStyle w:val="NoSpacing"/>
              <w:snapToGrid w:val="0"/>
              <w:jc w:val="center"/>
              <w:rPr>
                <w:i/>
                <w:color w:val="000000"/>
                <w:sz w:val="20"/>
                <w:szCs w:val="16"/>
              </w:rPr>
            </w:pPr>
            <w:r w:rsidRPr="00885061">
              <w:rPr>
                <w:i/>
                <w:color w:val="000000"/>
                <w:sz w:val="20"/>
                <w:szCs w:val="16"/>
              </w:rPr>
              <w:t>E. coli</w:t>
            </w:r>
          </w:p>
          <w:p w:rsidR="00703D39" w:rsidRPr="00885061" w:rsidRDefault="00703D39" w:rsidP="00885061">
            <w:pPr>
              <w:pStyle w:val="NoSpacing"/>
              <w:snapToGrid w:val="0"/>
              <w:jc w:val="center"/>
              <w:rPr>
                <w:i/>
                <w:color w:val="000000"/>
                <w:sz w:val="20"/>
                <w:szCs w:val="16"/>
              </w:rPr>
            </w:pPr>
            <w:r w:rsidRPr="00885061">
              <w:rPr>
                <w:i/>
                <w:color w:val="000000"/>
                <w:sz w:val="20"/>
                <w:szCs w:val="16"/>
              </w:rPr>
              <w:t>n = 3</w:t>
            </w:r>
          </w:p>
        </w:tc>
        <w:tc>
          <w:tcPr>
            <w:tcW w:w="670" w:type="pct"/>
            <w:vAlign w:val="center"/>
          </w:tcPr>
          <w:p w:rsidR="00703D39" w:rsidRPr="00885061" w:rsidRDefault="00703D39" w:rsidP="00885061">
            <w:pPr>
              <w:pStyle w:val="NoSpacing"/>
              <w:snapToGrid w:val="0"/>
              <w:jc w:val="center"/>
              <w:rPr>
                <w:color w:val="000000"/>
                <w:sz w:val="20"/>
                <w:szCs w:val="16"/>
              </w:rPr>
            </w:pPr>
            <w:r w:rsidRPr="00885061">
              <w:rPr>
                <w:i/>
                <w:color w:val="000000"/>
                <w:sz w:val="20"/>
                <w:szCs w:val="16"/>
              </w:rPr>
              <w:t xml:space="preserve">Proteus </w:t>
            </w:r>
            <w:r w:rsidRPr="00885061">
              <w:rPr>
                <w:color w:val="000000"/>
                <w:sz w:val="20"/>
                <w:szCs w:val="16"/>
              </w:rPr>
              <w:t>spp.</w:t>
            </w:r>
          </w:p>
          <w:p w:rsidR="00703D39" w:rsidRPr="00885061" w:rsidRDefault="00703D39" w:rsidP="00885061">
            <w:pPr>
              <w:pStyle w:val="NoSpacing"/>
              <w:snapToGrid w:val="0"/>
              <w:jc w:val="center"/>
              <w:rPr>
                <w:i/>
                <w:color w:val="000000"/>
                <w:sz w:val="20"/>
                <w:szCs w:val="16"/>
              </w:rPr>
            </w:pPr>
            <w:r w:rsidRPr="00885061">
              <w:rPr>
                <w:color w:val="000000"/>
                <w:sz w:val="20"/>
                <w:szCs w:val="16"/>
              </w:rPr>
              <w:t>n =26</w:t>
            </w:r>
          </w:p>
        </w:tc>
        <w:tc>
          <w:tcPr>
            <w:tcW w:w="775" w:type="pct"/>
            <w:vAlign w:val="center"/>
          </w:tcPr>
          <w:p w:rsidR="00703D39" w:rsidRPr="00885061" w:rsidRDefault="00703D39" w:rsidP="00885061">
            <w:pPr>
              <w:pStyle w:val="NoSpacing"/>
              <w:snapToGrid w:val="0"/>
              <w:jc w:val="center"/>
              <w:rPr>
                <w:color w:val="000000"/>
                <w:sz w:val="20"/>
                <w:szCs w:val="16"/>
              </w:rPr>
            </w:pPr>
            <w:proofErr w:type="spellStart"/>
            <w:r w:rsidRPr="00885061">
              <w:rPr>
                <w:i/>
                <w:color w:val="000000"/>
                <w:sz w:val="20"/>
                <w:szCs w:val="16"/>
              </w:rPr>
              <w:t>Klebsiella</w:t>
            </w:r>
            <w:proofErr w:type="spellEnd"/>
            <w:r w:rsidRPr="00885061">
              <w:rPr>
                <w:i/>
                <w:color w:val="000000"/>
                <w:sz w:val="20"/>
                <w:szCs w:val="16"/>
              </w:rPr>
              <w:t xml:space="preserve"> </w:t>
            </w:r>
            <w:r w:rsidRPr="00885061">
              <w:rPr>
                <w:color w:val="000000"/>
                <w:sz w:val="20"/>
                <w:szCs w:val="16"/>
              </w:rPr>
              <w:t>spp.</w:t>
            </w:r>
          </w:p>
          <w:p w:rsidR="00703D39" w:rsidRPr="00885061" w:rsidRDefault="00703D39" w:rsidP="00885061">
            <w:pPr>
              <w:pStyle w:val="NoSpacing"/>
              <w:snapToGrid w:val="0"/>
              <w:jc w:val="center"/>
              <w:rPr>
                <w:i/>
                <w:color w:val="000000"/>
                <w:sz w:val="20"/>
                <w:szCs w:val="16"/>
              </w:rPr>
            </w:pPr>
            <w:r w:rsidRPr="00885061">
              <w:rPr>
                <w:color w:val="000000"/>
                <w:sz w:val="20"/>
                <w:szCs w:val="16"/>
              </w:rPr>
              <w:t>n = 40</w:t>
            </w:r>
          </w:p>
        </w:tc>
        <w:tc>
          <w:tcPr>
            <w:tcW w:w="726" w:type="pct"/>
            <w:vAlign w:val="center"/>
          </w:tcPr>
          <w:p w:rsidR="00703D39" w:rsidRPr="00885061" w:rsidRDefault="00703D39" w:rsidP="00885061">
            <w:pPr>
              <w:pStyle w:val="NoSpacing"/>
              <w:snapToGrid w:val="0"/>
              <w:jc w:val="center"/>
              <w:rPr>
                <w:i/>
                <w:color w:val="000000"/>
                <w:sz w:val="20"/>
                <w:szCs w:val="16"/>
              </w:rPr>
            </w:pPr>
            <w:r w:rsidRPr="00885061">
              <w:rPr>
                <w:i/>
                <w:color w:val="000000"/>
                <w:sz w:val="20"/>
                <w:szCs w:val="16"/>
              </w:rPr>
              <w:t xml:space="preserve">M. </w:t>
            </w:r>
            <w:proofErr w:type="spellStart"/>
            <w:r w:rsidRPr="00885061">
              <w:rPr>
                <w:i/>
                <w:color w:val="000000"/>
                <w:sz w:val="20"/>
                <w:szCs w:val="16"/>
              </w:rPr>
              <w:t>morgannii</w:t>
            </w:r>
            <w:proofErr w:type="spellEnd"/>
          </w:p>
          <w:p w:rsidR="00703D39" w:rsidRPr="00885061" w:rsidRDefault="00703D39" w:rsidP="00885061">
            <w:pPr>
              <w:pStyle w:val="NoSpacing"/>
              <w:snapToGrid w:val="0"/>
              <w:jc w:val="center"/>
              <w:rPr>
                <w:i/>
                <w:color w:val="000000"/>
                <w:sz w:val="20"/>
                <w:szCs w:val="16"/>
              </w:rPr>
            </w:pPr>
            <w:r w:rsidRPr="00885061">
              <w:rPr>
                <w:i/>
                <w:color w:val="000000"/>
                <w:sz w:val="20"/>
                <w:szCs w:val="16"/>
              </w:rPr>
              <w:t>n = 4</w:t>
            </w:r>
          </w:p>
        </w:tc>
        <w:tc>
          <w:tcPr>
            <w:tcW w:w="561" w:type="pct"/>
            <w:vAlign w:val="center"/>
          </w:tcPr>
          <w:p w:rsidR="00703D39" w:rsidRPr="00885061" w:rsidRDefault="00703D39" w:rsidP="00885061">
            <w:pPr>
              <w:pStyle w:val="NoSpacing"/>
              <w:snapToGrid w:val="0"/>
              <w:jc w:val="center"/>
              <w:rPr>
                <w:i/>
                <w:color w:val="000000"/>
                <w:sz w:val="20"/>
                <w:szCs w:val="16"/>
              </w:rPr>
            </w:pPr>
            <w:r w:rsidRPr="00885061">
              <w:rPr>
                <w:i/>
                <w:color w:val="000000"/>
                <w:sz w:val="20"/>
                <w:szCs w:val="16"/>
              </w:rPr>
              <w:t xml:space="preserve">P. </w:t>
            </w:r>
            <w:proofErr w:type="spellStart"/>
            <w:r w:rsidRPr="00885061">
              <w:rPr>
                <w:i/>
                <w:color w:val="000000"/>
                <w:sz w:val="20"/>
                <w:szCs w:val="16"/>
              </w:rPr>
              <w:t>stuartii</w:t>
            </w:r>
            <w:proofErr w:type="spellEnd"/>
          </w:p>
          <w:p w:rsidR="00703D39" w:rsidRPr="00885061" w:rsidRDefault="00703D39" w:rsidP="00885061">
            <w:pPr>
              <w:pStyle w:val="NoSpacing"/>
              <w:snapToGrid w:val="0"/>
              <w:jc w:val="center"/>
              <w:rPr>
                <w:i/>
                <w:color w:val="000000"/>
                <w:sz w:val="20"/>
                <w:szCs w:val="16"/>
              </w:rPr>
            </w:pPr>
            <w:r w:rsidRPr="00885061">
              <w:rPr>
                <w:i/>
                <w:color w:val="000000"/>
                <w:sz w:val="20"/>
                <w:szCs w:val="16"/>
              </w:rPr>
              <w:t>n = 4</w:t>
            </w:r>
          </w:p>
        </w:tc>
        <w:tc>
          <w:tcPr>
            <w:tcW w:w="597" w:type="pct"/>
            <w:vAlign w:val="center"/>
          </w:tcPr>
          <w:p w:rsidR="00703D39" w:rsidRPr="00885061" w:rsidRDefault="00703D39" w:rsidP="00885061">
            <w:pPr>
              <w:pStyle w:val="NoSpacing"/>
              <w:snapToGrid w:val="0"/>
              <w:jc w:val="center"/>
              <w:rPr>
                <w:i/>
                <w:color w:val="000000"/>
                <w:sz w:val="20"/>
                <w:szCs w:val="16"/>
              </w:rPr>
            </w:pPr>
            <w:r w:rsidRPr="00885061">
              <w:rPr>
                <w:i/>
                <w:color w:val="000000"/>
                <w:sz w:val="20"/>
                <w:szCs w:val="16"/>
              </w:rPr>
              <w:t xml:space="preserve">C. </w:t>
            </w:r>
            <w:proofErr w:type="spellStart"/>
            <w:r w:rsidRPr="00885061">
              <w:rPr>
                <w:i/>
                <w:color w:val="000000"/>
                <w:sz w:val="20"/>
                <w:szCs w:val="16"/>
              </w:rPr>
              <w:t>freundii</w:t>
            </w:r>
            <w:proofErr w:type="spellEnd"/>
          </w:p>
          <w:p w:rsidR="00703D39" w:rsidRPr="00885061" w:rsidRDefault="00703D39" w:rsidP="00885061">
            <w:pPr>
              <w:pStyle w:val="NoSpacing"/>
              <w:snapToGrid w:val="0"/>
              <w:jc w:val="center"/>
              <w:rPr>
                <w:i/>
                <w:color w:val="000000"/>
                <w:sz w:val="20"/>
                <w:szCs w:val="16"/>
              </w:rPr>
            </w:pPr>
            <w:r w:rsidRPr="00885061">
              <w:rPr>
                <w:i/>
                <w:color w:val="000000"/>
                <w:sz w:val="20"/>
                <w:szCs w:val="16"/>
              </w:rPr>
              <w:t>n = 4</w:t>
            </w:r>
          </w:p>
        </w:tc>
      </w:tr>
      <w:tr w:rsidR="00C603D7" w:rsidRPr="00885061" w:rsidTr="00F7094E">
        <w:trPr>
          <w:jc w:val="center"/>
        </w:trPr>
        <w:tc>
          <w:tcPr>
            <w:tcW w:w="609"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AMC</w:t>
            </w:r>
          </w:p>
        </w:tc>
        <w:tc>
          <w:tcPr>
            <w:tcW w:w="530" w:type="pct"/>
            <w:vAlign w:val="center"/>
          </w:tcPr>
          <w:p w:rsidR="00703D39" w:rsidRPr="00885061" w:rsidRDefault="00703D39" w:rsidP="00F7094E">
            <w:pPr>
              <w:pStyle w:val="NoSpacing"/>
              <w:snapToGrid w:val="0"/>
              <w:jc w:val="center"/>
              <w:rPr>
                <w:color w:val="000000"/>
                <w:sz w:val="20"/>
                <w:szCs w:val="16"/>
              </w:rPr>
            </w:pPr>
            <w:r w:rsidRPr="00885061">
              <w:rPr>
                <w:color w:val="000000"/>
                <w:sz w:val="20"/>
                <w:szCs w:val="16"/>
              </w:rPr>
              <w:t>5(100%)</w:t>
            </w:r>
          </w:p>
        </w:tc>
        <w:tc>
          <w:tcPr>
            <w:tcW w:w="533"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1(33.3%)</w:t>
            </w:r>
          </w:p>
        </w:tc>
        <w:tc>
          <w:tcPr>
            <w:tcW w:w="670"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25(96.2%)</w:t>
            </w:r>
          </w:p>
        </w:tc>
        <w:tc>
          <w:tcPr>
            <w:tcW w:w="775"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40(100%)</w:t>
            </w:r>
          </w:p>
        </w:tc>
        <w:tc>
          <w:tcPr>
            <w:tcW w:w="726"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4(100%)</w:t>
            </w:r>
          </w:p>
        </w:tc>
        <w:tc>
          <w:tcPr>
            <w:tcW w:w="561"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4(100%)</w:t>
            </w:r>
          </w:p>
        </w:tc>
        <w:tc>
          <w:tcPr>
            <w:tcW w:w="597"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4(100%)</w:t>
            </w:r>
          </w:p>
        </w:tc>
      </w:tr>
      <w:tr w:rsidR="00C603D7" w:rsidRPr="00885061" w:rsidTr="00F7094E">
        <w:trPr>
          <w:jc w:val="center"/>
        </w:trPr>
        <w:tc>
          <w:tcPr>
            <w:tcW w:w="609"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CRX</w:t>
            </w:r>
          </w:p>
        </w:tc>
        <w:tc>
          <w:tcPr>
            <w:tcW w:w="530"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3 (60%)</w:t>
            </w:r>
          </w:p>
        </w:tc>
        <w:tc>
          <w:tcPr>
            <w:tcW w:w="533"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3 (100%)</w:t>
            </w:r>
          </w:p>
        </w:tc>
        <w:tc>
          <w:tcPr>
            <w:tcW w:w="670"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23(88.5%)</w:t>
            </w:r>
          </w:p>
        </w:tc>
        <w:tc>
          <w:tcPr>
            <w:tcW w:w="775"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38(95%)</w:t>
            </w:r>
          </w:p>
        </w:tc>
        <w:tc>
          <w:tcPr>
            <w:tcW w:w="726"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3(75%)</w:t>
            </w:r>
          </w:p>
        </w:tc>
        <w:tc>
          <w:tcPr>
            <w:tcW w:w="561"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4(100%)</w:t>
            </w:r>
          </w:p>
        </w:tc>
        <w:tc>
          <w:tcPr>
            <w:tcW w:w="597"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3(75%)</w:t>
            </w:r>
          </w:p>
        </w:tc>
      </w:tr>
      <w:tr w:rsidR="00C603D7" w:rsidRPr="00885061" w:rsidTr="00F7094E">
        <w:trPr>
          <w:jc w:val="center"/>
        </w:trPr>
        <w:tc>
          <w:tcPr>
            <w:tcW w:w="609"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CXM</w:t>
            </w:r>
          </w:p>
        </w:tc>
        <w:tc>
          <w:tcPr>
            <w:tcW w:w="530"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5(100%)</w:t>
            </w:r>
          </w:p>
        </w:tc>
        <w:tc>
          <w:tcPr>
            <w:tcW w:w="533"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3(100%)</w:t>
            </w:r>
          </w:p>
        </w:tc>
        <w:tc>
          <w:tcPr>
            <w:tcW w:w="670"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24(92.3%)</w:t>
            </w:r>
          </w:p>
        </w:tc>
        <w:tc>
          <w:tcPr>
            <w:tcW w:w="775"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39(97.5%)</w:t>
            </w:r>
          </w:p>
        </w:tc>
        <w:tc>
          <w:tcPr>
            <w:tcW w:w="726"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4(100%)</w:t>
            </w:r>
          </w:p>
        </w:tc>
        <w:tc>
          <w:tcPr>
            <w:tcW w:w="561"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4(100%)</w:t>
            </w:r>
          </w:p>
        </w:tc>
        <w:tc>
          <w:tcPr>
            <w:tcW w:w="597"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3(75%)</w:t>
            </w:r>
          </w:p>
        </w:tc>
      </w:tr>
      <w:tr w:rsidR="00C603D7" w:rsidRPr="00885061" w:rsidTr="00F7094E">
        <w:trPr>
          <w:jc w:val="center"/>
        </w:trPr>
        <w:tc>
          <w:tcPr>
            <w:tcW w:w="609"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CAZ</w:t>
            </w:r>
          </w:p>
        </w:tc>
        <w:tc>
          <w:tcPr>
            <w:tcW w:w="530"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2 (40%)</w:t>
            </w:r>
          </w:p>
        </w:tc>
        <w:tc>
          <w:tcPr>
            <w:tcW w:w="533"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3(100%)</w:t>
            </w:r>
          </w:p>
        </w:tc>
        <w:tc>
          <w:tcPr>
            <w:tcW w:w="670"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22(84.6%)</w:t>
            </w:r>
          </w:p>
        </w:tc>
        <w:tc>
          <w:tcPr>
            <w:tcW w:w="775"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33(82.5%)</w:t>
            </w:r>
          </w:p>
        </w:tc>
        <w:tc>
          <w:tcPr>
            <w:tcW w:w="726"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3(75%)</w:t>
            </w:r>
          </w:p>
        </w:tc>
        <w:tc>
          <w:tcPr>
            <w:tcW w:w="561"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4(100%)</w:t>
            </w:r>
          </w:p>
        </w:tc>
        <w:tc>
          <w:tcPr>
            <w:tcW w:w="597"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2(50%)</w:t>
            </w:r>
          </w:p>
        </w:tc>
      </w:tr>
      <w:tr w:rsidR="00C603D7" w:rsidRPr="00885061" w:rsidTr="00F7094E">
        <w:trPr>
          <w:jc w:val="center"/>
        </w:trPr>
        <w:tc>
          <w:tcPr>
            <w:tcW w:w="609"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CTR</w:t>
            </w:r>
          </w:p>
        </w:tc>
        <w:tc>
          <w:tcPr>
            <w:tcW w:w="530"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2 (40%)</w:t>
            </w:r>
          </w:p>
        </w:tc>
        <w:tc>
          <w:tcPr>
            <w:tcW w:w="533"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2(66.7%)</w:t>
            </w:r>
          </w:p>
        </w:tc>
        <w:tc>
          <w:tcPr>
            <w:tcW w:w="670"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22(84.6%)</w:t>
            </w:r>
          </w:p>
        </w:tc>
        <w:tc>
          <w:tcPr>
            <w:tcW w:w="775"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32(80%)</w:t>
            </w:r>
          </w:p>
        </w:tc>
        <w:tc>
          <w:tcPr>
            <w:tcW w:w="726"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2(50%)</w:t>
            </w:r>
          </w:p>
        </w:tc>
        <w:tc>
          <w:tcPr>
            <w:tcW w:w="561"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4(100%)</w:t>
            </w:r>
          </w:p>
        </w:tc>
        <w:tc>
          <w:tcPr>
            <w:tcW w:w="597"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2(50%)</w:t>
            </w:r>
          </w:p>
        </w:tc>
      </w:tr>
      <w:tr w:rsidR="00C603D7" w:rsidRPr="00885061" w:rsidTr="00F7094E">
        <w:trPr>
          <w:jc w:val="center"/>
        </w:trPr>
        <w:tc>
          <w:tcPr>
            <w:tcW w:w="609"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GEN</w:t>
            </w:r>
          </w:p>
        </w:tc>
        <w:tc>
          <w:tcPr>
            <w:tcW w:w="530"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0 (0%)</w:t>
            </w:r>
          </w:p>
        </w:tc>
        <w:tc>
          <w:tcPr>
            <w:tcW w:w="533"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2(66.7%)</w:t>
            </w:r>
          </w:p>
        </w:tc>
        <w:tc>
          <w:tcPr>
            <w:tcW w:w="670"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12(46.2%)</w:t>
            </w:r>
          </w:p>
        </w:tc>
        <w:tc>
          <w:tcPr>
            <w:tcW w:w="775"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17(42.5%)</w:t>
            </w:r>
          </w:p>
        </w:tc>
        <w:tc>
          <w:tcPr>
            <w:tcW w:w="726"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2(50%)</w:t>
            </w:r>
          </w:p>
        </w:tc>
        <w:tc>
          <w:tcPr>
            <w:tcW w:w="561"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2(50%)</w:t>
            </w:r>
          </w:p>
        </w:tc>
        <w:tc>
          <w:tcPr>
            <w:tcW w:w="597"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1(25%)</w:t>
            </w:r>
          </w:p>
        </w:tc>
      </w:tr>
      <w:tr w:rsidR="00C603D7" w:rsidRPr="00885061" w:rsidTr="00F7094E">
        <w:trPr>
          <w:jc w:val="center"/>
        </w:trPr>
        <w:tc>
          <w:tcPr>
            <w:tcW w:w="609"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CPR</w:t>
            </w:r>
          </w:p>
        </w:tc>
        <w:tc>
          <w:tcPr>
            <w:tcW w:w="530"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0 (0%)</w:t>
            </w:r>
          </w:p>
        </w:tc>
        <w:tc>
          <w:tcPr>
            <w:tcW w:w="533"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1(33.3%)</w:t>
            </w:r>
          </w:p>
        </w:tc>
        <w:tc>
          <w:tcPr>
            <w:tcW w:w="670"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9(34.6%)</w:t>
            </w:r>
          </w:p>
        </w:tc>
        <w:tc>
          <w:tcPr>
            <w:tcW w:w="775"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14(35%)</w:t>
            </w:r>
          </w:p>
        </w:tc>
        <w:tc>
          <w:tcPr>
            <w:tcW w:w="726"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3(75%)</w:t>
            </w:r>
          </w:p>
        </w:tc>
        <w:tc>
          <w:tcPr>
            <w:tcW w:w="561"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1(25%)</w:t>
            </w:r>
          </w:p>
        </w:tc>
        <w:tc>
          <w:tcPr>
            <w:tcW w:w="597"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1(25%)</w:t>
            </w:r>
          </w:p>
        </w:tc>
      </w:tr>
      <w:tr w:rsidR="00C603D7" w:rsidRPr="00885061" w:rsidTr="00F7094E">
        <w:trPr>
          <w:jc w:val="center"/>
        </w:trPr>
        <w:tc>
          <w:tcPr>
            <w:tcW w:w="609"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OFL</w:t>
            </w:r>
          </w:p>
        </w:tc>
        <w:tc>
          <w:tcPr>
            <w:tcW w:w="530"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1(20%)</w:t>
            </w:r>
          </w:p>
        </w:tc>
        <w:tc>
          <w:tcPr>
            <w:tcW w:w="533"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1(33.3%)</w:t>
            </w:r>
          </w:p>
        </w:tc>
        <w:tc>
          <w:tcPr>
            <w:tcW w:w="670"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7(26.9%)</w:t>
            </w:r>
          </w:p>
        </w:tc>
        <w:tc>
          <w:tcPr>
            <w:tcW w:w="775"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9(22.5%)</w:t>
            </w:r>
          </w:p>
        </w:tc>
        <w:tc>
          <w:tcPr>
            <w:tcW w:w="726"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0(0%)</w:t>
            </w:r>
          </w:p>
        </w:tc>
        <w:tc>
          <w:tcPr>
            <w:tcW w:w="561"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0(0%)</w:t>
            </w:r>
          </w:p>
        </w:tc>
        <w:tc>
          <w:tcPr>
            <w:tcW w:w="597"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0(0%)</w:t>
            </w:r>
          </w:p>
        </w:tc>
      </w:tr>
      <w:tr w:rsidR="00C603D7" w:rsidRPr="00885061" w:rsidTr="00F7094E">
        <w:trPr>
          <w:jc w:val="center"/>
        </w:trPr>
        <w:tc>
          <w:tcPr>
            <w:tcW w:w="609"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ERY</w:t>
            </w:r>
          </w:p>
        </w:tc>
        <w:tc>
          <w:tcPr>
            <w:tcW w:w="530"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1 (20%)</w:t>
            </w:r>
          </w:p>
        </w:tc>
        <w:tc>
          <w:tcPr>
            <w:tcW w:w="533"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3(100%)</w:t>
            </w:r>
          </w:p>
        </w:tc>
        <w:tc>
          <w:tcPr>
            <w:tcW w:w="670"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23(88.5%)</w:t>
            </w:r>
          </w:p>
        </w:tc>
        <w:tc>
          <w:tcPr>
            <w:tcW w:w="775"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38(95%)</w:t>
            </w:r>
          </w:p>
        </w:tc>
        <w:tc>
          <w:tcPr>
            <w:tcW w:w="726"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4(100%)</w:t>
            </w:r>
          </w:p>
        </w:tc>
        <w:tc>
          <w:tcPr>
            <w:tcW w:w="561"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4(100%)</w:t>
            </w:r>
          </w:p>
        </w:tc>
        <w:tc>
          <w:tcPr>
            <w:tcW w:w="597"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4(100%)</w:t>
            </w:r>
          </w:p>
        </w:tc>
      </w:tr>
      <w:tr w:rsidR="00C603D7" w:rsidRPr="00885061" w:rsidTr="00F7094E">
        <w:trPr>
          <w:jc w:val="center"/>
        </w:trPr>
        <w:tc>
          <w:tcPr>
            <w:tcW w:w="609"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NIT</w:t>
            </w:r>
          </w:p>
        </w:tc>
        <w:tc>
          <w:tcPr>
            <w:tcW w:w="530"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0 (0%)</w:t>
            </w:r>
          </w:p>
        </w:tc>
        <w:tc>
          <w:tcPr>
            <w:tcW w:w="533"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1(33.3%)</w:t>
            </w:r>
          </w:p>
        </w:tc>
        <w:tc>
          <w:tcPr>
            <w:tcW w:w="670"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21(80.8%)</w:t>
            </w:r>
          </w:p>
        </w:tc>
        <w:tc>
          <w:tcPr>
            <w:tcW w:w="775"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35(87.5%)</w:t>
            </w:r>
          </w:p>
        </w:tc>
        <w:tc>
          <w:tcPr>
            <w:tcW w:w="726"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3(75%)</w:t>
            </w:r>
          </w:p>
        </w:tc>
        <w:tc>
          <w:tcPr>
            <w:tcW w:w="561"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4(100%)</w:t>
            </w:r>
          </w:p>
        </w:tc>
        <w:tc>
          <w:tcPr>
            <w:tcW w:w="597" w:type="pct"/>
            <w:vAlign w:val="center"/>
          </w:tcPr>
          <w:p w:rsidR="00703D39" w:rsidRPr="00885061" w:rsidRDefault="00703D39" w:rsidP="00885061">
            <w:pPr>
              <w:pStyle w:val="NoSpacing"/>
              <w:snapToGrid w:val="0"/>
              <w:jc w:val="center"/>
              <w:rPr>
                <w:color w:val="000000"/>
                <w:sz w:val="20"/>
                <w:szCs w:val="16"/>
              </w:rPr>
            </w:pPr>
            <w:r w:rsidRPr="00885061">
              <w:rPr>
                <w:color w:val="000000"/>
                <w:sz w:val="20"/>
                <w:szCs w:val="16"/>
              </w:rPr>
              <w:t>2(50%)</w:t>
            </w:r>
          </w:p>
        </w:tc>
      </w:tr>
    </w:tbl>
    <w:p w:rsidR="00703D39" w:rsidRPr="00885061" w:rsidRDefault="00703D39" w:rsidP="00885061">
      <w:pPr>
        <w:pStyle w:val="NoSpacing"/>
        <w:snapToGrid w:val="0"/>
        <w:jc w:val="both"/>
        <w:rPr>
          <w:sz w:val="20"/>
          <w:szCs w:val="16"/>
        </w:rPr>
      </w:pPr>
      <w:r w:rsidRPr="00885061">
        <w:rPr>
          <w:b/>
          <w:sz w:val="20"/>
          <w:szCs w:val="16"/>
        </w:rPr>
        <w:t>Key:</w:t>
      </w:r>
      <w:r w:rsidRPr="00885061">
        <w:rPr>
          <w:sz w:val="20"/>
          <w:szCs w:val="16"/>
        </w:rPr>
        <w:t xml:space="preserve"> AMC-amoxicillin-</w:t>
      </w:r>
      <w:proofErr w:type="spellStart"/>
      <w:r w:rsidRPr="00885061">
        <w:rPr>
          <w:sz w:val="20"/>
          <w:szCs w:val="16"/>
        </w:rPr>
        <w:t>clavulanic</w:t>
      </w:r>
      <w:proofErr w:type="spellEnd"/>
      <w:r w:rsidRPr="00885061">
        <w:rPr>
          <w:sz w:val="20"/>
          <w:szCs w:val="16"/>
        </w:rPr>
        <w:t xml:space="preserve"> acid (20/10 µg), CRX-</w:t>
      </w:r>
      <w:proofErr w:type="spellStart"/>
      <w:r w:rsidRPr="00885061">
        <w:rPr>
          <w:sz w:val="20"/>
          <w:szCs w:val="16"/>
        </w:rPr>
        <w:t>cefuroxime</w:t>
      </w:r>
      <w:proofErr w:type="spellEnd"/>
      <w:r w:rsidRPr="00885061">
        <w:rPr>
          <w:sz w:val="20"/>
          <w:szCs w:val="16"/>
        </w:rPr>
        <w:t xml:space="preserve"> (30 µg), CXM-</w:t>
      </w:r>
      <w:proofErr w:type="spellStart"/>
      <w:r w:rsidRPr="00885061">
        <w:rPr>
          <w:sz w:val="20"/>
          <w:szCs w:val="16"/>
        </w:rPr>
        <w:t>cefixime</w:t>
      </w:r>
      <w:proofErr w:type="spellEnd"/>
      <w:r w:rsidRPr="00885061">
        <w:rPr>
          <w:sz w:val="20"/>
          <w:szCs w:val="16"/>
        </w:rPr>
        <w:t xml:space="preserve"> (5 µg), CAZ-</w:t>
      </w:r>
      <w:proofErr w:type="spellStart"/>
      <w:r w:rsidRPr="00885061">
        <w:rPr>
          <w:sz w:val="20"/>
          <w:szCs w:val="16"/>
        </w:rPr>
        <w:t>ceftazidime</w:t>
      </w:r>
      <w:proofErr w:type="spellEnd"/>
      <w:r w:rsidRPr="00885061">
        <w:rPr>
          <w:sz w:val="20"/>
          <w:szCs w:val="16"/>
        </w:rPr>
        <w:t xml:space="preserve"> (30 µg), CTR-</w:t>
      </w:r>
      <w:proofErr w:type="spellStart"/>
      <w:r w:rsidRPr="00885061">
        <w:rPr>
          <w:sz w:val="20"/>
          <w:szCs w:val="16"/>
        </w:rPr>
        <w:t>ceftriaxone</w:t>
      </w:r>
      <w:proofErr w:type="spellEnd"/>
      <w:r w:rsidRPr="00885061">
        <w:rPr>
          <w:sz w:val="20"/>
          <w:szCs w:val="16"/>
        </w:rPr>
        <w:t xml:space="preserve"> (30 µg), GEN-</w:t>
      </w:r>
      <w:proofErr w:type="spellStart"/>
      <w:r w:rsidRPr="00885061">
        <w:rPr>
          <w:sz w:val="20"/>
          <w:szCs w:val="16"/>
        </w:rPr>
        <w:t>gentamicin</w:t>
      </w:r>
      <w:proofErr w:type="spellEnd"/>
      <w:r w:rsidRPr="00885061">
        <w:rPr>
          <w:sz w:val="20"/>
          <w:szCs w:val="16"/>
        </w:rPr>
        <w:t xml:space="preserve"> (10 µg), CPR-ciprofloxacin (5 µg), OFL-</w:t>
      </w:r>
      <w:proofErr w:type="spellStart"/>
      <w:r w:rsidRPr="00885061">
        <w:rPr>
          <w:sz w:val="20"/>
          <w:szCs w:val="16"/>
        </w:rPr>
        <w:t>ofloxacin</w:t>
      </w:r>
      <w:proofErr w:type="spellEnd"/>
      <w:r w:rsidRPr="00885061">
        <w:rPr>
          <w:sz w:val="20"/>
          <w:szCs w:val="16"/>
        </w:rPr>
        <w:t xml:space="preserve"> (5 µg), ERY-erythromycin (5 µg) and NIT-</w:t>
      </w:r>
      <w:proofErr w:type="spellStart"/>
      <w:r w:rsidRPr="00885061">
        <w:rPr>
          <w:sz w:val="20"/>
          <w:szCs w:val="16"/>
        </w:rPr>
        <w:t>nitrofurantoin</w:t>
      </w:r>
      <w:proofErr w:type="spellEnd"/>
      <w:r w:rsidRPr="00885061">
        <w:rPr>
          <w:sz w:val="20"/>
          <w:szCs w:val="16"/>
        </w:rPr>
        <w:t xml:space="preserve"> (300 µg).</w:t>
      </w:r>
    </w:p>
    <w:p w:rsidR="00885061" w:rsidRDefault="00885061" w:rsidP="00885061">
      <w:pPr>
        <w:pStyle w:val="NoSpacing"/>
        <w:snapToGrid w:val="0"/>
        <w:ind w:firstLine="425"/>
        <w:jc w:val="both"/>
        <w:rPr>
          <w:sz w:val="20"/>
          <w:szCs w:val="16"/>
          <w:lang w:eastAsia="zh-CN"/>
        </w:rPr>
      </w:pPr>
    </w:p>
    <w:p w:rsidR="00C603D7" w:rsidRPr="00885061" w:rsidRDefault="00C603D7" w:rsidP="00885061">
      <w:pPr>
        <w:pStyle w:val="NoSpacing"/>
        <w:snapToGrid w:val="0"/>
        <w:jc w:val="center"/>
        <w:rPr>
          <w:b/>
          <w:sz w:val="20"/>
          <w:szCs w:val="16"/>
        </w:rPr>
      </w:pPr>
      <w:r w:rsidRPr="00885061">
        <w:rPr>
          <w:sz w:val="20"/>
          <w:szCs w:val="16"/>
        </w:rPr>
        <w:t>Table 3: Distribution of Multidrug resistant and ESBL-producers among the isolates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7"/>
        <w:gridCol w:w="1144"/>
        <w:gridCol w:w="1143"/>
        <w:gridCol w:w="1143"/>
        <w:gridCol w:w="1143"/>
        <w:gridCol w:w="1143"/>
        <w:gridCol w:w="1143"/>
      </w:tblGrid>
      <w:tr w:rsidR="00C603D7" w:rsidRPr="00885061" w:rsidTr="00F7094E">
        <w:trPr>
          <w:jc w:val="center"/>
        </w:trPr>
        <w:tc>
          <w:tcPr>
            <w:tcW w:w="1418" w:type="pct"/>
            <w:vMerge w:val="restart"/>
            <w:vAlign w:val="center"/>
          </w:tcPr>
          <w:p w:rsidR="00C603D7" w:rsidRPr="00885061" w:rsidRDefault="00C603D7" w:rsidP="00885061">
            <w:pPr>
              <w:pStyle w:val="NoSpacing"/>
              <w:snapToGrid w:val="0"/>
              <w:jc w:val="center"/>
              <w:rPr>
                <w:color w:val="000000"/>
                <w:sz w:val="20"/>
                <w:szCs w:val="16"/>
              </w:rPr>
            </w:pPr>
            <w:r w:rsidRPr="00885061">
              <w:rPr>
                <w:color w:val="000000"/>
                <w:sz w:val="20"/>
                <w:szCs w:val="16"/>
              </w:rPr>
              <w:t>Bacteria isolates</w:t>
            </w:r>
          </w:p>
        </w:tc>
        <w:tc>
          <w:tcPr>
            <w:tcW w:w="1791" w:type="pct"/>
            <w:gridSpan w:val="3"/>
            <w:vAlign w:val="center"/>
          </w:tcPr>
          <w:p w:rsidR="00C603D7" w:rsidRPr="00885061" w:rsidRDefault="00C603D7" w:rsidP="00885061">
            <w:pPr>
              <w:pStyle w:val="NoSpacing"/>
              <w:snapToGrid w:val="0"/>
              <w:jc w:val="center"/>
              <w:rPr>
                <w:color w:val="000000"/>
                <w:sz w:val="20"/>
                <w:szCs w:val="16"/>
              </w:rPr>
            </w:pPr>
            <w:r w:rsidRPr="00885061">
              <w:rPr>
                <w:color w:val="000000"/>
                <w:sz w:val="20"/>
                <w:szCs w:val="16"/>
              </w:rPr>
              <w:t>MDR isolates</w:t>
            </w:r>
          </w:p>
        </w:tc>
        <w:tc>
          <w:tcPr>
            <w:tcW w:w="1791" w:type="pct"/>
            <w:gridSpan w:val="3"/>
            <w:vAlign w:val="center"/>
          </w:tcPr>
          <w:p w:rsidR="00C603D7" w:rsidRPr="00885061" w:rsidRDefault="00C603D7" w:rsidP="00885061">
            <w:pPr>
              <w:pStyle w:val="NoSpacing"/>
              <w:snapToGrid w:val="0"/>
              <w:jc w:val="center"/>
              <w:rPr>
                <w:color w:val="000000"/>
                <w:sz w:val="20"/>
                <w:szCs w:val="16"/>
              </w:rPr>
            </w:pPr>
            <w:r w:rsidRPr="00885061">
              <w:rPr>
                <w:color w:val="000000"/>
                <w:sz w:val="20"/>
                <w:szCs w:val="16"/>
              </w:rPr>
              <w:t>ESBL-producers</w:t>
            </w:r>
          </w:p>
        </w:tc>
      </w:tr>
      <w:tr w:rsidR="00C603D7" w:rsidRPr="00885061" w:rsidTr="00F7094E">
        <w:trPr>
          <w:jc w:val="center"/>
        </w:trPr>
        <w:tc>
          <w:tcPr>
            <w:tcW w:w="1418" w:type="pct"/>
            <w:vMerge/>
            <w:vAlign w:val="center"/>
          </w:tcPr>
          <w:p w:rsidR="00C603D7" w:rsidRPr="00885061" w:rsidRDefault="00C603D7" w:rsidP="00885061">
            <w:pPr>
              <w:pStyle w:val="NoSpacing"/>
              <w:snapToGrid w:val="0"/>
              <w:jc w:val="center"/>
              <w:rPr>
                <w:i/>
                <w:color w:val="000000"/>
                <w:sz w:val="20"/>
                <w:szCs w:val="16"/>
              </w:rPr>
            </w:pPr>
          </w:p>
        </w:tc>
        <w:tc>
          <w:tcPr>
            <w:tcW w:w="597" w:type="pct"/>
            <w:vAlign w:val="center"/>
          </w:tcPr>
          <w:p w:rsidR="00C603D7" w:rsidRPr="00885061" w:rsidRDefault="00C603D7" w:rsidP="00885061">
            <w:pPr>
              <w:pStyle w:val="NoSpacing"/>
              <w:snapToGrid w:val="0"/>
              <w:jc w:val="center"/>
              <w:rPr>
                <w:color w:val="000000"/>
                <w:sz w:val="20"/>
                <w:szCs w:val="16"/>
              </w:rPr>
            </w:pPr>
            <w:r w:rsidRPr="00885061">
              <w:rPr>
                <w:color w:val="000000"/>
                <w:sz w:val="20"/>
                <w:szCs w:val="16"/>
              </w:rPr>
              <w:t>Total</w:t>
            </w:r>
          </w:p>
        </w:tc>
        <w:tc>
          <w:tcPr>
            <w:tcW w:w="597" w:type="pct"/>
            <w:vAlign w:val="center"/>
          </w:tcPr>
          <w:p w:rsidR="00C603D7" w:rsidRPr="00885061" w:rsidRDefault="00C603D7" w:rsidP="00885061">
            <w:pPr>
              <w:pStyle w:val="NoSpacing"/>
              <w:snapToGrid w:val="0"/>
              <w:jc w:val="center"/>
              <w:rPr>
                <w:color w:val="000000"/>
                <w:sz w:val="20"/>
                <w:szCs w:val="16"/>
              </w:rPr>
            </w:pPr>
            <w:r w:rsidRPr="00885061">
              <w:rPr>
                <w:color w:val="000000"/>
                <w:sz w:val="20"/>
                <w:szCs w:val="16"/>
              </w:rPr>
              <w:t>Male</w:t>
            </w:r>
          </w:p>
        </w:tc>
        <w:tc>
          <w:tcPr>
            <w:tcW w:w="597" w:type="pct"/>
            <w:vAlign w:val="center"/>
          </w:tcPr>
          <w:p w:rsidR="00C603D7" w:rsidRPr="00885061" w:rsidRDefault="00C603D7" w:rsidP="00885061">
            <w:pPr>
              <w:pStyle w:val="NoSpacing"/>
              <w:snapToGrid w:val="0"/>
              <w:jc w:val="center"/>
              <w:rPr>
                <w:color w:val="000000"/>
                <w:sz w:val="20"/>
                <w:szCs w:val="16"/>
              </w:rPr>
            </w:pPr>
            <w:r w:rsidRPr="00885061">
              <w:rPr>
                <w:color w:val="000000"/>
                <w:sz w:val="20"/>
                <w:szCs w:val="16"/>
              </w:rPr>
              <w:t>Female</w:t>
            </w:r>
          </w:p>
        </w:tc>
        <w:tc>
          <w:tcPr>
            <w:tcW w:w="597" w:type="pct"/>
            <w:vAlign w:val="center"/>
          </w:tcPr>
          <w:p w:rsidR="00C603D7" w:rsidRPr="00885061" w:rsidRDefault="00C603D7" w:rsidP="00885061">
            <w:pPr>
              <w:pStyle w:val="NoSpacing"/>
              <w:snapToGrid w:val="0"/>
              <w:jc w:val="center"/>
              <w:rPr>
                <w:color w:val="000000"/>
                <w:sz w:val="20"/>
                <w:szCs w:val="16"/>
              </w:rPr>
            </w:pPr>
            <w:r w:rsidRPr="00885061">
              <w:rPr>
                <w:color w:val="000000"/>
                <w:sz w:val="20"/>
                <w:szCs w:val="16"/>
              </w:rPr>
              <w:t>Total</w:t>
            </w:r>
          </w:p>
        </w:tc>
        <w:tc>
          <w:tcPr>
            <w:tcW w:w="597" w:type="pct"/>
            <w:vAlign w:val="center"/>
          </w:tcPr>
          <w:p w:rsidR="00C603D7" w:rsidRPr="00885061" w:rsidRDefault="00C603D7" w:rsidP="00885061">
            <w:pPr>
              <w:pStyle w:val="NoSpacing"/>
              <w:snapToGrid w:val="0"/>
              <w:jc w:val="center"/>
              <w:rPr>
                <w:color w:val="000000"/>
                <w:sz w:val="20"/>
                <w:szCs w:val="16"/>
              </w:rPr>
            </w:pPr>
            <w:r w:rsidRPr="00885061">
              <w:rPr>
                <w:color w:val="000000"/>
                <w:sz w:val="20"/>
                <w:szCs w:val="16"/>
              </w:rPr>
              <w:t>Male</w:t>
            </w:r>
          </w:p>
        </w:tc>
        <w:tc>
          <w:tcPr>
            <w:tcW w:w="597" w:type="pct"/>
            <w:vAlign w:val="center"/>
          </w:tcPr>
          <w:p w:rsidR="00C603D7" w:rsidRPr="00885061" w:rsidRDefault="00C603D7" w:rsidP="00885061">
            <w:pPr>
              <w:pStyle w:val="NoSpacing"/>
              <w:snapToGrid w:val="0"/>
              <w:jc w:val="center"/>
              <w:rPr>
                <w:color w:val="000000"/>
                <w:sz w:val="20"/>
                <w:szCs w:val="16"/>
              </w:rPr>
            </w:pPr>
            <w:r w:rsidRPr="00885061">
              <w:rPr>
                <w:color w:val="000000"/>
                <w:sz w:val="20"/>
                <w:szCs w:val="16"/>
              </w:rPr>
              <w:t>Female</w:t>
            </w:r>
          </w:p>
        </w:tc>
      </w:tr>
      <w:tr w:rsidR="00C603D7" w:rsidRPr="00885061" w:rsidTr="00F7094E">
        <w:trPr>
          <w:jc w:val="center"/>
        </w:trPr>
        <w:tc>
          <w:tcPr>
            <w:tcW w:w="1418" w:type="pct"/>
            <w:vAlign w:val="center"/>
          </w:tcPr>
          <w:p w:rsidR="00C603D7" w:rsidRPr="00885061" w:rsidRDefault="00C603D7" w:rsidP="00885061">
            <w:pPr>
              <w:pStyle w:val="NoSpacing"/>
              <w:snapToGrid w:val="0"/>
              <w:jc w:val="center"/>
              <w:rPr>
                <w:color w:val="000000"/>
                <w:sz w:val="20"/>
                <w:szCs w:val="16"/>
              </w:rPr>
            </w:pPr>
            <w:r w:rsidRPr="00885061">
              <w:rPr>
                <w:i/>
                <w:color w:val="000000"/>
                <w:sz w:val="20"/>
                <w:szCs w:val="16"/>
              </w:rPr>
              <w:t xml:space="preserve">Staphylococcus </w:t>
            </w:r>
            <w:proofErr w:type="spellStart"/>
            <w:r w:rsidRPr="00885061">
              <w:rPr>
                <w:i/>
                <w:color w:val="000000"/>
                <w:sz w:val="20"/>
                <w:szCs w:val="16"/>
              </w:rPr>
              <w:t>aureus</w:t>
            </w:r>
            <w:proofErr w:type="spellEnd"/>
            <w:r w:rsidRPr="00885061">
              <w:rPr>
                <w:color w:val="000000"/>
                <w:sz w:val="20"/>
                <w:szCs w:val="16"/>
              </w:rPr>
              <w:t xml:space="preserve"> (n = 5)</w:t>
            </w:r>
          </w:p>
        </w:tc>
        <w:tc>
          <w:tcPr>
            <w:tcW w:w="597" w:type="pct"/>
            <w:vAlign w:val="center"/>
          </w:tcPr>
          <w:p w:rsidR="00C603D7" w:rsidRPr="00885061" w:rsidRDefault="00C603D7" w:rsidP="00885061">
            <w:pPr>
              <w:pStyle w:val="NoSpacing"/>
              <w:snapToGrid w:val="0"/>
              <w:jc w:val="center"/>
              <w:rPr>
                <w:color w:val="000000"/>
                <w:sz w:val="20"/>
                <w:szCs w:val="16"/>
              </w:rPr>
            </w:pPr>
            <w:r w:rsidRPr="00885061">
              <w:rPr>
                <w:color w:val="000000"/>
                <w:sz w:val="20"/>
                <w:szCs w:val="16"/>
              </w:rPr>
              <w:t>1 (20%)</w:t>
            </w:r>
          </w:p>
        </w:tc>
        <w:tc>
          <w:tcPr>
            <w:tcW w:w="597" w:type="pct"/>
            <w:vAlign w:val="center"/>
          </w:tcPr>
          <w:p w:rsidR="00C603D7" w:rsidRPr="00885061" w:rsidRDefault="00C603D7" w:rsidP="00885061">
            <w:pPr>
              <w:pStyle w:val="NoSpacing"/>
              <w:snapToGrid w:val="0"/>
              <w:jc w:val="center"/>
              <w:rPr>
                <w:color w:val="000000"/>
                <w:sz w:val="20"/>
                <w:szCs w:val="16"/>
              </w:rPr>
            </w:pPr>
            <w:r w:rsidRPr="00885061">
              <w:rPr>
                <w:color w:val="000000"/>
                <w:sz w:val="20"/>
                <w:szCs w:val="16"/>
              </w:rPr>
              <w:t>1 (20%)</w:t>
            </w:r>
          </w:p>
        </w:tc>
        <w:tc>
          <w:tcPr>
            <w:tcW w:w="597" w:type="pct"/>
            <w:vAlign w:val="center"/>
          </w:tcPr>
          <w:p w:rsidR="00C603D7" w:rsidRPr="00885061" w:rsidRDefault="00C603D7" w:rsidP="00885061">
            <w:pPr>
              <w:pStyle w:val="NoSpacing"/>
              <w:snapToGrid w:val="0"/>
              <w:jc w:val="center"/>
              <w:rPr>
                <w:color w:val="000000"/>
                <w:sz w:val="20"/>
                <w:szCs w:val="16"/>
              </w:rPr>
            </w:pPr>
            <w:r w:rsidRPr="00885061">
              <w:rPr>
                <w:color w:val="000000"/>
                <w:sz w:val="20"/>
                <w:szCs w:val="16"/>
              </w:rPr>
              <w:t>0 (0%)</w:t>
            </w:r>
          </w:p>
        </w:tc>
        <w:tc>
          <w:tcPr>
            <w:tcW w:w="597" w:type="pct"/>
            <w:vAlign w:val="center"/>
          </w:tcPr>
          <w:p w:rsidR="00C603D7" w:rsidRPr="00885061" w:rsidRDefault="00C603D7" w:rsidP="00885061">
            <w:pPr>
              <w:pStyle w:val="NoSpacing"/>
              <w:snapToGrid w:val="0"/>
              <w:jc w:val="center"/>
              <w:rPr>
                <w:color w:val="000000"/>
                <w:sz w:val="20"/>
                <w:szCs w:val="16"/>
              </w:rPr>
            </w:pPr>
            <w:r w:rsidRPr="00885061">
              <w:rPr>
                <w:color w:val="000000"/>
                <w:sz w:val="20"/>
                <w:szCs w:val="16"/>
              </w:rPr>
              <w:t>ND</w:t>
            </w:r>
          </w:p>
        </w:tc>
        <w:tc>
          <w:tcPr>
            <w:tcW w:w="597" w:type="pct"/>
            <w:vAlign w:val="center"/>
          </w:tcPr>
          <w:p w:rsidR="00C603D7" w:rsidRPr="00885061" w:rsidRDefault="00C603D7" w:rsidP="00885061">
            <w:pPr>
              <w:pStyle w:val="NoSpacing"/>
              <w:snapToGrid w:val="0"/>
              <w:jc w:val="center"/>
              <w:rPr>
                <w:color w:val="000000"/>
                <w:sz w:val="20"/>
                <w:szCs w:val="16"/>
              </w:rPr>
            </w:pPr>
            <w:r w:rsidRPr="00885061">
              <w:rPr>
                <w:color w:val="000000"/>
                <w:sz w:val="20"/>
                <w:szCs w:val="16"/>
              </w:rPr>
              <w:t>ND</w:t>
            </w:r>
          </w:p>
        </w:tc>
        <w:tc>
          <w:tcPr>
            <w:tcW w:w="597" w:type="pct"/>
            <w:vAlign w:val="center"/>
          </w:tcPr>
          <w:p w:rsidR="00C603D7" w:rsidRPr="00885061" w:rsidRDefault="00C603D7" w:rsidP="00885061">
            <w:pPr>
              <w:pStyle w:val="NoSpacing"/>
              <w:snapToGrid w:val="0"/>
              <w:jc w:val="center"/>
              <w:rPr>
                <w:color w:val="000000"/>
                <w:sz w:val="20"/>
                <w:szCs w:val="16"/>
              </w:rPr>
            </w:pPr>
            <w:r w:rsidRPr="00885061">
              <w:rPr>
                <w:color w:val="000000"/>
                <w:sz w:val="20"/>
                <w:szCs w:val="16"/>
              </w:rPr>
              <w:t>ND</w:t>
            </w:r>
          </w:p>
        </w:tc>
      </w:tr>
      <w:tr w:rsidR="00C603D7" w:rsidRPr="00885061" w:rsidTr="00F7094E">
        <w:trPr>
          <w:jc w:val="center"/>
        </w:trPr>
        <w:tc>
          <w:tcPr>
            <w:tcW w:w="1418" w:type="pct"/>
            <w:vAlign w:val="center"/>
          </w:tcPr>
          <w:p w:rsidR="00C603D7" w:rsidRPr="00885061" w:rsidRDefault="00C603D7" w:rsidP="00885061">
            <w:pPr>
              <w:pStyle w:val="NoSpacing"/>
              <w:snapToGrid w:val="0"/>
              <w:jc w:val="center"/>
              <w:rPr>
                <w:color w:val="000000"/>
                <w:sz w:val="20"/>
                <w:szCs w:val="16"/>
              </w:rPr>
            </w:pPr>
            <w:r w:rsidRPr="00885061">
              <w:rPr>
                <w:i/>
                <w:color w:val="000000"/>
                <w:sz w:val="20"/>
                <w:szCs w:val="16"/>
              </w:rPr>
              <w:t>Escherichia coli</w:t>
            </w:r>
            <w:r w:rsidRPr="00885061">
              <w:rPr>
                <w:color w:val="000000"/>
                <w:sz w:val="20"/>
                <w:szCs w:val="16"/>
              </w:rPr>
              <w:t xml:space="preserve"> (n = 3)</w:t>
            </w:r>
          </w:p>
        </w:tc>
        <w:tc>
          <w:tcPr>
            <w:tcW w:w="597" w:type="pct"/>
            <w:vAlign w:val="center"/>
          </w:tcPr>
          <w:p w:rsidR="00C603D7" w:rsidRPr="00885061" w:rsidRDefault="00C603D7" w:rsidP="00885061">
            <w:pPr>
              <w:pStyle w:val="NoSpacing"/>
              <w:snapToGrid w:val="0"/>
              <w:jc w:val="center"/>
              <w:rPr>
                <w:color w:val="000000"/>
                <w:sz w:val="20"/>
                <w:szCs w:val="16"/>
              </w:rPr>
            </w:pPr>
            <w:r w:rsidRPr="00885061">
              <w:rPr>
                <w:color w:val="000000"/>
                <w:sz w:val="20"/>
                <w:szCs w:val="16"/>
              </w:rPr>
              <w:t>2 (66.7%)</w:t>
            </w:r>
          </w:p>
        </w:tc>
        <w:tc>
          <w:tcPr>
            <w:tcW w:w="597" w:type="pct"/>
            <w:vAlign w:val="center"/>
          </w:tcPr>
          <w:p w:rsidR="00C603D7" w:rsidRPr="00885061" w:rsidRDefault="00C603D7" w:rsidP="00885061">
            <w:pPr>
              <w:pStyle w:val="NoSpacing"/>
              <w:snapToGrid w:val="0"/>
              <w:jc w:val="center"/>
              <w:rPr>
                <w:color w:val="000000"/>
                <w:sz w:val="20"/>
                <w:szCs w:val="16"/>
              </w:rPr>
            </w:pPr>
            <w:r w:rsidRPr="00885061">
              <w:rPr>
                <w:color w:val="000000"/>
                <w:sz w:val="20"/>
                <w:szCs w:val="16"/>
              </w:rPr>
              <w:t>0 (0%)</w:t>
            </w:r>
          </w:p>
        </w:tc>
        <w:tc>
          <w:tcPr>
            <w:tcW w:w="597" w:type="pct"/>
            <w:vAlign w:val="center"/>
          </w:tcPr>
          <w:p w:rsidR="00C603D7" w:rsidRPr="00885061" w:rsidRDefault="00C603D7" w:rsidP="00885061">
            <w:pPr>
              <w:pStyle w:val="NoSpacing"/>
              <w:snapToGrid w:val="0"/>
              <w:jc w:val="center"/>
              <w:rPr>
                <w:color w:val="000000"/>
                <w:sz w:val="20"/>
                <w:szCs w:val="16"/>
              </w:rPr>
            </w:pPr>
            <w:r w:rsidRPr="00885061">
              <w:rPr>
                <w:color w:val="000000"/>
                <w:sz w:val="20"/>
                <w:szCs w:val="16"/>
              </w:rPr>
              <w:t>2 (66.7%)</w:t>
            </w:r>
          </w:p>
        </w:tc>
        <w:tc>
          <w:tcPr>
            <w:tcW w:w="597" w:type="pct"/>
            <w:vAlign w:val="center"/>
          </w:tcPr>
          <w:p w:rsidR="00C603D7" w:rsidRPr="00885061" w:rsidRDefault="00C603D7" w:rsidP="00885061">
            <w:pPr>
              <w:pStyle w:val="NoSpacing"/>
              <w:snapToGrid w:val="0"/>
              <w:jc w:val="center"/>
              <w:rPr>
                <w:color w:val="000000"/>
                <w:sz w:val="20"/>
                <w:szCs w:val="16"/>
              </w:rPr>
            </w:pPr>
            <w:r w:rsidRPr="00885061">
              <w:rPr>
                <w:color w:val="000000"/>
                <w:sz w:val="20"/>
                <w:szCs w:val="16"/>
              </w:rPr>
              <w:t>0 (0%)</w:t>
            </w:r>
          </w:p>
        </w:tc>
        <w:tc>
          <w:tcPr>
            <w:tcW w:w="597" w:type="pct"/>
            <w:vAlign w:val="center"/>
          </w:tcPr>
          <w:p w:rsidR="00C603D7" w:rsidRPr="00885061" w:rsidRDefault="00C603D7" w:rsidP="00885061">
            <w:pPr>
              <w:pStyle w:val="NoSpacing"/>
              <w:snapToGrid w:val="0"/>
              <w:jc w:val="center"/>
              <w:rPr>
                <w:color w:val="000000"/>
                <w:sz w:val="20"/>
                <w:szCs w:val="16"/>
              </w:rPr>
            </w:pPr>
            <w:r w:rsidRPr="00885061">
              <w:rPr>
                <w:color w:val="000000"/>
                <w:sz w:val="20"/>
                <w:szCs w:val="16"/>
              </w:rPr>
              <w:t>0 (0%)</w:t>
            </w:r>
          </w:p>
        </w:tc>
        <w:tc>
          <w:tcPr>
            <w:tcW w:w="597" w:type="pct"/>
            <w:vAlign w:val="center"/>
          </w:tcPr>
          <w:p w:rsidR="00C603D7" w:rsidRPr="00885061" w:rsidRDefault="00C603D7" w:rsidP="00885061">
            <w:pPr>
              <w:pStyle w:val="NoSpacing"/>
              <w:snapToGrid w:val="0"/>
              <w:jc w:val="center"/>
              <w:rPr>
                <w:color w:val="000000"/>
                <w:sz w:val="20"/>
                <w:szCs w:val="16"/>
              </w:rPr>
            </w:pPr>
            <w:r w:rsidRPr="00885061">
              <w:rPr>
                <w:color w:val="000000"/>
                <w:sz w:val="20"/>
                <w:szCs w:val="16"/>
              </w:rPr>
              <w:t>0 (0%)</w:t>
            </w:r>
          </w:p>
        </w:tc>
      </w:tr>
      <w:tr w:rsidR="00C603D7" w:rsidRPr="00885061" w:rsidTr="00F7094E">
        <w:trPr>
          <w:jc w:val="center"/>
        </w:trPr>
        <w:tc>
          <w:tcPr>
            <w:tcW w:w="1418" w:type="pct"/>
            <w:vAlign w:val="center"/>
          </w:tcPr>
          <w:p w:rsidR="00C603D7" w:rsidRPr="00885061" w:rsidRDefault="00C603D7" w:rsidP="00885061">
            <w:pPr>
              <w:pStyle w:val="NoSpacing"/>
              <w:snapToGrid w:val="0"/>
              <w:jc w:val="center"/>
              <w:rPr>
                <w:color w:val="000000"/>
                <w:sz w:val="20"/>
                <w:szCs w:val="16"/>
              </w:rPr>
            </w:pPr>
            <w:r w:rsidRPr="00885061">
              <w:rPr>
                <w:i/>
                <w:color w:val="000000"/>
                <w:sz w:val="20"/>
                <w:szCs w:val="16"/>
              </w:rPr>
              <w:t xml:space="preserve">Proteus </w:t>
            </w:r>
            <w:r w:rsidRPr="00885061">
              <w:rPr>
                <w:color w:val="000000"/>
                <w:sz w:val="20"/>
                <w:szCs w:val="16"/>
              </w:rPr>
              <w:t>spp.</w:t>
            </w:r>
          </w:p>
          <w:p w:rsidR="00C603D7" w:rsidRPr="00885061" w:rsidRDefault="00C603D7" w:rsidP="00885061">
            <w:pPr>
              <w:pStyle w:val="NoSpacing"/>
              <w:snapToGrid w:val="0"/>
              <w:jc w:val="center"/>
              <w:rPr>
                <w:color w:val="000000"/>
                <w:sz w:val="20"/>
                <w:szCs w:val="16"/>
              </w:rPr>
            </w:pPr>
            <w:r w:rsidRPr="00885061">
              <w:rPr>
                <w:color w:val="000000"/>
                <w:sz w:val="20"/>
                <w:szCs w:val="16"/>
              </w:rPr>
              <w:t>(n = 26)</w:t>
            </w:r>
          </w:p>
        </w:tc>
        <w:tc>
          <w:tcPr>
            <w:tcW w:w="597" w:type="pct"/>
            <w:vAlign w:val="center"/>
          </w:tcPr>
          <w:p w:rsidR="00C603D7" w:rsidRPr="00885061" w:rsidRDefault="00C603D7" w:rsidP="00885061">
            <w:pPr>
              <w:pStyle w:val="NoSpacing"/>
              <w:snapToGrid w:val="0"/>
              <w:jc w:val="center"/>
              <w:rPr>
                <w:color w:val="000000"/>
                <w:sz w:val="20"/>
                <w:szCs w:val="16"/>
              </w:rPr>
            </w:pPr>
            <w:r w:rsidRPr="00885061">
              <w:rPr>
                <w:color w:val="000000"/>
                <w:sz w:val="20"/>
                <w:szCs w:val="16"/>
              </w:rPr>
              <w:t>22 (84.6%)</w:t>
            </w:r>
          </w:p>
        </w:tc>
        <w:tc>
          <w:tcPr>
            <w:tcW w:w="597" w:type="pct"/>
            <w:vAlign w:val="center"/>
          </w:tcPr>
          <w:p w:rsidR="00C603D7" w:rsidRPr="00885061" w:rsidRDefault="00C603D7" w:rsidP="00885061">
            <w:pPr>
              <w:pStyle w:val="NoSpacing"/>
              <w:snapToGrid w:val="0"/>
              <w:jc w:val="center"/>
              <w:rPr>
                <w:color w:val="000000"/>
                <w:sz w:val="20"/>
                <w:szCs w:val="16"/>
              </w:rPr>
            </w:pPr>
            <w:r w:rsidRPr="00885061">
              <w:rPr>
                <w:color w:val="000000"/>
                <w:sz w:val="20"/>
                <w:szCs w:val="16"/>
              </w:rPr>
              <w:t>13 (50%)</w:t>
            </w:r>
          </w:p>
        </w:tc>
        <w:tc>
          <w:tcPr>
            <w:tcW w:w="597" w:type="pct"/>
            <w:vAlign w:val="center"/>
          </w:tcPr>
          <w:p w:rsidR="00C603D7" w:rsidRPr="00885061" w:rsidRDefault="00C603D7" w:rsidP="00885061">
            <w:pPr>
              <w:pStyle w:val="NoSpacing"/>
              <w:snapToGrid w:val="0"/>
              <w:jc w:val="center"/>
              <w:rPr>
                <w:color w:val="000000"/>
                <w:sz w:val="20"/>
                <w:szCs w:val="16"/>
              </w:rPr>
            </w:pPr>
            <w:r w:rsidRPr="00885061">
              <w:rPr>
                <w:color w:val="000000"/>
                <w:sz w:val="20"/>
                <w:szCs w:val="16"/>
              </w:rPr>
              <w:t>9 (34.6%)</w:t>
            </w:r>
          </w:p>
        </w:tc>
        <w:tc>
          <w:tcPr>
            <w:tcW w:w="597" w:type="pct"/>
            <w:vAlign w:val="center"/>
          </w:tcPr>
          <w:p w:rsidR="00C603D7" w:rsidRPr="00885061" w:rsidRDefault="00C603D7" w:rsidP="00885061">
            <w:pPr>
              <w:pStyle w:val="NoSpacing"/>
              <w:snapToGrid w:val="0"/>
              <w:jc w:val="center"/>
              <w:rPr>
                <w:color w:val="000000"/>
                <w:sz w:val="20"/>
                <w:szCs w:val="16"/>
              </w:rPr>
            </w:pPr>
            <w:r w:rsidRPr="00885061">
              <w:rPr>
                <w:color w:val="000000"/>
                <w:sz w:val="20"/>
                <w:szCs w:val="16"/>
              </w:rPr>
              <w:t>10 (38.5%)</w:t>
            </w:r>
          </w:p>
        </w:tc>
        <w:tc>
          <w:tcPr>
            <w:tcW w:w="597" w:type="pct"/>
            <w:vAlign w:val="center"/>
          </w:tcPr>
          <w:p w:rsidR="00C603D7" w:rsidRPr="00885061" w:rsidRDefault="00C603D7" w:rsidP="00885061">
            <w:pPr>
              <w:pStyle w:val="NoSpacing"/>
              <w:snapToGrid w:val="0"/>
              <w:jc w:val="center"/>
              <w:rPr>
                <w:color w:val="000000"/>
                <w:sz w:val="20"/>
                <w:szCs w:val="16"/>
              </w:rPr>
            </w:pPr>
            <w:r w:rsidRPr="00885061">
              <w:rPr>
                <w:color w:val="000000"/>
                <w:sz w:val="20"/>
                <w:szCs w:val="16"/>
              </w:rPr>
              <w:t>7 (26.9%)</w:t>
            </w:r>
          </w:p>
        </w:tc>
        <w:tc>
          <w:tcPr>
            <w:tcW w:w="597" w:type="pct"/>
            <w:vAlign w:val="center"/>
          </w:tcPr>
          <w:p w:rsidR="00C603D7" w:rsidRPr="00885061" w:rsidRDefault="00C603D7" w:rsidP="00885061">
            <w:pPr>
              <w:pStyle w:val="NoSpacing"/>
              <w:snapToGrid w:val="0"/>
              <w:jc w:val="center"/>
              <w:rPr>
                <w:color w:val="000000"/>
                <w:sz w:val="20"/>
                <w:szCs w:val="16"/>
              </w:rPr>
            </w:pPr>
            <w:r w:rsidRPr="00885061">
              <w:rPr>
                <w:color w:val="000000"/>
                <w:sz w:val="20"/>
                <w:szCs w:val="16"/>
              </w:rPr>
              <w:t>3 (11.5%)</w:t>
            </w:r>
          </w:p>
        </w:tc>
      </w:tr>
      <w:tr w:rsidR="00C603D7" w:rsidRPr="00885061" w:rsidTr="00F7094E">
        <w:trPr>
          <w:jc w:val="center"/>
        </w:trPr>
        <w:tc>
          <w:tcPr>
            <w:tcW w:w="1418" w:type="pct"/>
            <w:vAlign w:val="center"/>
          </w:tcPr>
          <w:p w:rsidR="00C603D7" w:rsidRPr="00885061" w:rsidRDefault="00C603D7" w:rsidP="00885061">
            <w:pPr>
              <w:pStyle w:val="NoSpacing"/>
              <w:snapToGrid w:val="0"/>
              <w:jc w:val="center"/>
              <w:rPr>
                <w:color w:val="000000"/>
                <w:sz w:val="20"/>
                <w:szCs w:val="16"/>
              </w:rPr>
            </w:pPr>
            <w:proofErr w:type="spellStart"/>
            <w:r w:rsidRPr="00885061">
              <w:rPr>
                <w:i/>
                <w:color w:val="000000"/>
                <w:sz w:val="20"/>
                <w:szCs w:val="16"/>
              </w:rPr>
              <w:t>Klebsiella</w:t>
            </w:r>
            <w:proofErr w:type="spellEnd"/>
            <w:r w:rsidRPr="00885061">
              <w:rPr>
                <w:i/>
                <w:color w:val="000000"/>
                <w:sz w:val="20"/>
                <w:szCs w:val="16"/>
              </w:rPr>
              <w:t xml:space="preserve"> </w:t>
            </w:r>
            <w:r w:rsidRPr="00885061">
              <w:rPr>
                <w:color w:val="000000"/>
                <w:sz w:val="20"/>
                <w:szCs w:val="16"/>
              </w:rPr>
              <w:t>spp. (n = 40)</w:t>
            </w:r>
          </w:p>
        </w:tc>
        <w:tc>
          <w:tcPr>
            <w:tcW w:w="597" w:type="pct"/>
            <w:vAlign w:val="center"/>
          </w:tcPr>
          <w:p w:rsidR="00C603D7" w:rsidRPr="00885061" w:rsidRDefault="00C603D7" w:rsidP="00885061">
            <w:pPr>
              <w:pStyle w:val="NoSpacing"/>
              <w:snapToGrid w:val="0"/>
              <w:jc w:val="center"/>
              <w:rPr>
                <w:color w:val="000000"/>
                <w:sz w:val="20"/>
                <w:szCs w:val="16"/>
              </w:rPr>
            </w:pPr>
            <w:r w:rsidRPr="00885061">
              <w:rPr>
                <w:color w:val="000000"/>
                <w:sz w:val="20"/>
                <w:szCs w:val="16"/>
              </w:rPr>
              <w:t>35 (87.5%)</w:t>
            </w:r>
          </w:p>
        </w:tc>
        <w:tc>
          <w:tcPr>
            <w:tcW w:w="597" w:type="pct"/>
            <w:vAlign w:val="center"/>
          </w:tcPr>
          <w:p w:rsidR="00C603D7" w:rsidRPr="00885061" w:rsidRDefault="00C603D7" w:rsidP="00885061">
            <w:pPr>
              <w:pStyle w:val="NoSpacing"/>
              <w:snapToGrid w:val="0"/>
              <w:jc w:val="center"/>
              <w:rPr>
                <w:color w:val="000000"/>
                <w:sz w:val="20"/>
                <w:szCs w:val="16"/>
              </w:rPr>
            </w:pPr>
            <w:r w:rsidRPr="00885061">
              <w:rPr>
                <w:color w:val="000000"/>
                <w:sz w:val="20"/>
                <w:szCs w:val="16"/>
              </w:rPr>
              <w:t>10 (25%)</w:t>
            </w:r>
          </w:p>
        </w:tc>
        <w:tc>
          <w:tcPr>
            <w:tcW w:w="597" w:type="pct"/>
            <w:vAlign w:val="center"/>
          </w:tcPr>
          <w:p w:rsidR="00C603D7" w:rsidRPr="00885061" w:rsidRDefault="00C603D7" w:rsidP="00885061">
            <w:pPr>
              <w:pStyle w:val="NoSpacing"/>
              <w:snapToGrid w:val="0"/>
              <w:jc w:val="center"/>
              <w:rPr>
                <w:color w:val="000000"/>
                <w:sz w:val="20"/>
                <w:szCs w:val="16"/>
              </w:rPr>
            </w:pPr>
            <w:r w:rsidRPr="00885061">
              <w:rPr>
                <w:color w:val="000000"/>
                <w:sz w:val="20"/>
                <w:szCs w:val="16"/>
              </w:rPr>
              <w:t>25 (62.5%)</w:t>
            </w:r>
          </w:p>
        </w:tc>
        <w:tc>
          <w:tcPr>
            <w:tcW w:w="597" w:type="pct"/>
            <w:vAlign w:val="center"/>
          </w:tcPr>
          <w:p w:rsidR="00C603D7" w:rsidRPr="00885061" w:rsidRDefault="00C603D7" w:rsidP="00885061">
            <w:pPr>
              <w:pStyle w:val="NoSpacing"/>
              <w:snapToGrid w:val="0"/>
              <w:jc w:val="center"/>
              <w:rPr>
                <w:color w:val="000000"/>
                <w:sz w:val="20"/>
                <w:szCs w:val="16"/>
              </w:rPr>
            </w:pPr>
            <w:r w:rsidRPr="00885061">
              <w:rPr>
                <w:color w:val="000000"/>
                <w:sz w:val="20"/>
                <w:szCs w:val="16"/>
              </w:rPr>
              <w:t>13 (32.5%)</w:t>
            </w:r>
          </w:p>
        </w:tc>
        <w:tc>
          <w:tcPr>
            <w:tcW w:w="597" w:type="pct"/>
            <w:vAlign w:val="center"/>
          </w:tcPr>
          <w:p w:rsidR="00C603D7" w:rsidRPr="00885061" w:rsidRDefault="00C603D7" w:rsidP="00885061">
            <w:pPr>
              <w:pStyle w:val="NoSpacing"/>
              <w:snapToGrid w:val="0"/>
              <w:jc w:val="center"/>
              <w:rPr>
                <w:color w:val="000000"/>
                <w:sz w:val="20"/>
                <w:szCs w:val="16"/>
              </w:rPr>
            </w:pPr>
            <w:r w:rsidRPr="00885061">
              <w:rPr>
                <w:color w:val="000000"/>
                <w:sz w:val="20"/>
                <w:szCs w:val="16"/>
              </w:rPr>
              <w:t>6 (15%)</w:t>
            </w:r>
          </w:p>
        </w:tc>
        <w:tc>
          <w:tcPr>
            <w:tcW w:w="597" w:type="pct"/>
            <w:vAlign w:val="center"/>
          </w:tcPr>
          <w:p w:rsidR="00C603D7" w:rsidRPr="00885061" w:rsidRDefault="00C603D7" w:rsidP="00885061">
            <w:pPr>
              <w:pStyle w:val="NoSpacing"/>
              <w:snapToGrid w:val="0"/>
              <w:jc w:val="center"/>
              <w:rPr>
                <w:color w:val="000000"/>
                <w:sz w:val="20"/>
                <w:szCs w:val="16"/>
              </w:rPr>
            </w:pPr>
            <w:r w:rsidRPr="00885061">
              <w:rPr>
                <w:color w:val="000000"/>
                <w:sz w:val="20"/>
                <w:szCs w:val="16"/>
              </w:rPr>
              <w:t>7 (17.5%)</w:t>
            </w:r>
          </w:p>
        </w:tc>
      </w:tr>
      <w:tr w:rsidR="00C603D7" w:rsidRPr="00885061" w:rsidTr="00F7094E">
        <w:trPr>
          <w:jc w:val="center"/>
        </w:trPr>
        <w:tc>
          <w:tcPr>
            <w:tcW w:w="1418" w:type="pct"/>
            <w:vAlign w:val="center"/>
          </w:tcPr>
          <w:p w:rsidR="00C603D7" w:rsidRPr="00885061" w:rsidRDefault="00C603D7" w:rsidP="00885061">
            <w:pPr>
              <w:pStyle w:val="NoSpacing"/>
              <w:snapToGrid w:val="0"/>
              <w:jc w:val="center"/>
              <w:rPr>
                <w:i/>
                <w:color w:val="000000"/>
                <w:sz w:val="20"/>
                <w:szCs w:val="16"/>
              </w:rPr>
            </w:pPr>
            <w:proofErr w:type="spellStart"/>
            <w:r w:rsidRPr="00885061">
              <w:rPr>
                <w:i/>
                <w:color w:val="000000"/>
                <w:sz w:val="20"/>
                <w:szCs w:val="16"/>
              </w:rPr>
              <w:t>Moganella</w:t>
            </w:r>
            <w:proofErr w:type="spellEnd"/>
            <w:r w:rsidRPr="00885061">
              <w:rPr>
                <w:i/>
                <w:color w:val="000000"/>
                <w:sz w:val="20"/>
                <w:szCs w:val="16"/>
              </w:rPr>
              <w:t xml:space="preserve"> </w:t>
            </w:r>
            <w:proofErr w:type="spellStart"/>
            <w:r w:rsidRPr="00885061">
              <w:rPr>
                <w:i/>
                <w:color w:val="000000"/>
                <w:sz w:val="20"/>
                <w:szCs w:val="16"/>
              </w:rPr>
              <w:t>morganni</w:t>
            </w:r>
            <w:proofErr w:type="spellEnd"/>
          </w:p>
          <w:p w:rsidR="00C603D7" w:rsidRPr="00885061" w:rsidRDefault="00C603D7" w:rsidP="00885061">
            <w:pPr>
              <w:pStyle w:val="NoSpacing"/>
              <w:snapToGrid w:val="0"/>
              <w:jc w:val="center"/>
              <w:rPr>
                <w:color w:val="000000"/>
                <w:sz w:val="20"/>
                <w:szCs w:val="16"/>
              </w:rPr>
            </w:pPr>
            <w:r w:rsidRPr="00885061">
              <w:rPr>
                <w:color w:val="000000"/>
                <w:sz w:val="20"/>
                <w:szCs w:val="16"/>
              </w:rPr>
              <w:t>(n = 4)</w:t>
            </w:r>
          </w:p>
        </w:tc>
        <w:tc>
          <w:tcPr>
            <w:tcW w:w="597" w:type="pct"/>
            <w:vAlign w:val="center"/>
          </w:tcPr>
          <w:p w:rsidR="00C603D7" w:rsidRPr="00885061" w:rsidRDefault="00C603D7" w:rsidP="00885061">
            <w:pPr>
              <w:pStyle w:val="NoSpacing"/>
              <w:snapToGrid w:val="0"/>
              <w:jc w:val="center"/>
              <w:rPr>
                <w:color w:val="000000"/>
                <w:sz w:val="20"/>
                <w:szCs w:val="16"/>
              </w:rPr>
            </w:pPr>
            <w:r w:rsidRPr="00885061">
              <w:rPr>
                <w:color w:val="000000"/>
                <w:sz w:val="20"/>
                <w:szCs w:val="16"/>
              </w:rPr>
              <w:t>3 (75%)</w:t>
            </w:r>
          </w:p>
        </w:tc>
        <w:tc>
          <w:tcPr>
            <w:tcW w:w="597" w:type="pct"/>
            <w:vAlign w:val="center"/>
          </w:tcPr>
          <w:p w:rsidR="00C603D7" w:rsidRPr="00885061" w:rsidRDefault="00C603D7" w:rsidP="00885061">
            <w:pPr>
              <w:pStyle w:val="NoSpacing"/>
              <w:snapToGrid w:val="0"/>
              <w:jc w:val="center"/>
              <w:rPr>
                <w:color w:val="000000"/>
                <w:sz w:val="20"/>
                <w:szCs w:val="16"/>
              </w:rPr>
            </w:pPr>
            <w:r w:rsidRPr="00885061">
              <w:rPr>
                <w:color w:val="000000"/>
                <w:sz w:val="20"/>
                <w:szCs w:val="16"/>
              </w:rPr>
              <w:t>1 (25%)</w:t>
            </w:r>
          </w:p>
        </w:tc>
        <w:tc>
          <w:tcPr>
            <w:tcW w:w="597" w:type="pct"/>
            <w:vAlign w:val="center"/>
          </w:tcPr>
          <w:p w:rsidR="00C603D7" w:rsidRPr="00885061" w:rsidRDefault="00C603D7" w:rsidP="00885061">
            <w:pPr>
              <w:pStyle w:val="NoSpacing"/>
              <w:snapToGrid w:val="0"/>
              <w:jc w:val="center"/>
              <w:rPr>
                <w:color w:val="000000"/>
                <w:sz w:val="20"/>
                <w:szCs w:val="16"/>
              </w:rPr>
            </w:pPr>
            <w:r w:rsidRPr="00885061">
              <w:rPr>
                <w:color w:val="000000"/>
                <w:sz w:val="20"/>
                <w:szCs w:val="16"/>
              </w:rPr>
              <w:t>2 (50%)</w:t>
            </w:r>
          </w:p>
        </w:tc>
        <w:tc>
          <w:tcPr>
            <w:tcW w:w="597" w:type="pct"/>
            <w:vAlign w:val="center"/>
          </w:tcPr>
          <w:p w:rsidR="00C603D7" w:rsidRPr="00885061" w:rsidRDefault="00C603D7" w:rsidP="00885061">
            <w:pPr>
              <w:pStyle w:val="NoSpacing"/>
              <w:snapToGrid w:val="0"/>
              <w:jc w:val="center"/>
              <w:rPr>
                <w:color w:val="000000"/>
                <w:sz w:val="20"/>
                <w:szCs w:val="16"/>
              </w:rPr>
            </w:pPr>
            <w:r w:rsidRPr="00885061">
              <w:rPr>
                <w:color w:val="000000"/>
                <w:sz w:val="20"/>
                <w:szCs w:val="16"/>
              </w:rPr>
              <w:t>3 (75%)</w:t>
            </w:r>
          </w:p>
        </w:tc>
        <w:tc>
          <w:tcPr>
            <w:tcW w:w="597" w:type="pct"/>
            <w:vAlign w:val="center"/>
          </w:tcPr>
          <w:p w:rsidR="00C603D7" w:rsidRPr="00885061" w:rsidRDefault="00C603D7" w:rsidP="00885061">
            <w:pPr>
              <w:pStyle w:val="NoSpacing"/>
              <w:snapToGrid w:val="0"/>
              <w:jc w:val="center"/>
              <w:rPr>
                <w:color w:val="000000"/>
                <w:sz w:val="20"/>
                <w:szCs w:val="16"/>
              </w:rPr>
            </w:pPr>
            <w:r w:rsidRPr="00885061">
              <w:rPr>
                <w:color w:val="000000"/>
                <w:sz w:val="20"/>
                <w:szCs w:val="16"/>
              </w:rPr>
              <w:t>2 (50%)</w:t>
            </w:r>
          </w:p>
        </w:tc>
        <w:tc>
          <w:tcPr>
            <w:tcW w:w="597" w:type="pct"/>
            <w:vAlign w:val="center"/>
          </w:tcPr>
          <w:p w:rsidR="00C603D7" w:rsidRPr="00885061" w:rsidRDefault="00C603D7" w:rsidP="00885061">
            <w:pPr>
              <w:pStyle w:val="NoSpacing"/>
              <w:snapToGrid w:val="0"/>
              <w:jc w:val="center"/>
              <w:rPr>
                <w:color w:val="000000"/>
                <w:sz w:val="20"/>
                <w:szCs w:val="16"/>
              </w:rPr>
            </w:pPr>
            <w:r w:rsidRPr="00885061">
              <w:rPr>
                <w:color w:val="000000"/>
                <w:sz w:val="20"/>
                <w:szCs w:val="16"/>
              </w:rPr>
              <w:t>1 (25%)</w:t>
            </w:r>
          </w:p>
        </w:tc>
      </w:tr>
      <w:tr w:rsidR="00C603D7" w:rsidRPr="00885061" w:rsidTr="00F7094E">
        <w:trPr>
          <w:jc w:val="center"/>
        </w:trPr>
        <w:tc>
          <w:tcPr>
            <w:tcW w:w="1418" w:type="pct"/>
            <w:vAlign w:val="center"/>
          </w:tcPr>
          <w:p w:rsidR="00C603D7" w:rsidRPr="00885061" w:rsidRDefault="00C603D7" w:rsidP="00885061">
            <w:pPr>
              <w:pStyle w:val="NoSpacing"/>
              <w:snapToGrid w:val="0"/>
              <w:jc w:val="center"/>
              <w:rPr>
                <w:color w:val="000000"/>
                <w:sz w:val="20"/>
                <w:szCs w:val="16"/>
              </w:rPr>
            </w:pPr>
            <w:proofErr w:type="spellStart"/>
            <w:r w:rsidRPr="00885061">
              <w:rPr>
                <w:i/>
                <w:color w:val="000000"/>
                <w:sz w:val="20"/>
                <w:szCs w:val="16"/>
              </w:rPr>
              <w:t>Providencia</w:t>
            </w:r>
            <w:proofErr w:type="spellEnd"/>
            <w:r w:rsidRPr="00885061">
              <w:rPr>
                <w:i/>
                <w:color w:val="000000"/>
                <w:sz w:val="20"/>
                <w:szCs w:val="16"/>
              </w:rPr>
              <w:t xml:space="preserve"> </w:t>
            </w:r>
            <w:proofErr w:type="spellStart"/>
            <w:r w:rsidRPr="00885061">
              <w:rPr>
                <w:i/>
                <w:color w:val="000000"/>
                <w:sz w:val="20"/>
                <w:szCs w:val="16"/>
              </w:rPr>
              <w:t>stuartii</w:t>
            </w:r>
            <w:proofErr w:type="spellEnd"/>
            <w:r w:rsidRPr="00885061">
              <w:rPr>
                <w:i/>
                <w:color w:val="000000"/>
                <w:sz w:val="20"/>
                <w:szCs w:val="16"/>
              </w:rPr>
              <w:t xml:space="preserve"> </w:t>
            </w:r>
            <w:r w:rsidRPr="00885061">
              <w:rPr>
                <w:color w:val="000000"/>
                <w:sz w:val="20"/>
                <w:szCs w:val="16"/>
              </w:rPr>
              <w:t>(n = 4)</w:t>
            </w:r>
          </w:p>
        </w:tc>
        <w:tc>
          <w:tcPr>
            <w:tcW w:w="597" w:type="pct"/>
            <w:vAlign w:val="center"/>
          </w:tcPr>
          <w:p w:rsidR="00C603D7" w:rsidRPr="00885061" w:rsidRDefault="00C603D7" w:rsidP="00885061">
            <w:pPr>
              <w:pStyle w:val="NoSpacing"/>
              <w:snapToGrid w:val="0"/>
              <w:jc w:val="center"/>
              <w:rPr>
                <w:color w:val="000000"/>
                <w:sz w:val="20"/>
                <w:szCs w:val="16"/>
              </w:rPr>
            </w:pPr>
            <w:r w:rsidRPr="00885061">
              <w:rPr>
                <w:color w:val="000000"/>
                <w:sz w:val="20"/>
                <w:szCs w:val="16"/>
              </w:rPr>
              <w:t>4 (100%)</w:t>
            </w:r>
          </w:p>
        </w:tc>
        <w:tc>
          <w:tcPr>
            <w:tcW w:w="597" w:type="pct"/>
            <w:vAlign w:val="center"/>
          </w:tcPr>
          <w:p w:rsidR="00C603D7" w:rsidRPr="00885061" w:rsidRDefault="00C603D7" w:rsidP="00885061">
            <w:pPr>
              <w:pStyle w:val="NoSpacing"/>
              <w:snapToGrid w:val="0"/>
              <w:jc w:val="center"/>
              <w:rPr>
                <w:color w:val="000000"/>
                <w:sz w:val="20"/>
                <w:szCs w:val="16"/>
              </w:rPr>
            </w:pPr>
            <w:r w:rsidRPr="00885061">
              <w:rPr>
                <w:color w:val="000000"/>
                <w:sz w:val="20"/>
                <w:szCs w:val="16"/>
              </w:rPr>
              <w:t>1 (25%)</w:t>
            </w:r>
          </w:p>
        </w:tc>
        <w:tc>
          <w:tcPr>
            <w:tcW w:w="597" w:type="pct"/>
            <w:vAlign w:val="center"/>
          </w:tcPr>
          <w:p w:rsidR="00C603D7" w:rsidRPr="00885061" w:rsidRDefault="00C603D7" w:rsidP="00885061">
            <w:pPr>
              <w:pStyle w:val="NoSpacing"/>
              <w:snapToGrid w:val="0"/>
              <w:jc w:val="center"/>
              <w:rPr>
                <w:color w:val="000000"/>
                <w:sz w:val="20"/>
                <w:szCs w:val="16"/>
              </w:rPr>
            </w:pPr>
            <w:r w:rsidRPr="00885061">
              <w:rPr>
                <w:color w:val="000000"/>
                <w:sz w:val="20"/>
                <w:szCs w:val="16"/>
              </w:rPr>
              <w:t>3 (75%)</w:t>
            </w:r>
          </w:p>
        </w:tc>
        <w:tc>
          <w:tcPr>
            <w:tcW w:w="597" w:type="pct"/>
            <w:vAlign w:val="center"/>
          </w:tcPr>
          <w:p w:rsidR="00C603D7" w:rsidRPr="00885061" w:rsidRDefault="00C603D7" w:rsidP="00885061">
            <w:pPr>
              <w:pStyle w:val="NoSpacing"/>
              <w:snapToGrid w:val="0"/>
              <w:jc w:val="center"/>
              <w:rPr>
                <w:color w:val="000000"/>
                <w:sz w:val="20"/>
                <w:szCs w:val="16"/>
              </w:rPr>
            </w:pPr>
            <w:r w:rsidRPr="00885061">
              <w:rPr>
                <w:color w:val="000000"/>
                <w:sz w:val="20"/>
                <w:szCs w:val="16"/>
              </w:rPr>
              <w:t>1 (25%)</w:t>
            </w:r>
          </w:p>
        </w:tc>
        <w:tc>
          <w:tcPr>
            <w:tcW w:w="597" w:type="pct"/>
            <w:vAlign w:val="center"/>
          </w:tcPr>
          <w:p w:rsidR="00C603D7" w:rsidRPr="00885061" w:rsidRDefault="00C603D7" w:rsidP="00885061">
            <w:pPr>
              <w:pStyle w:val="NoSpacing"/>
              <w:snapToGrid w:val="0"/>
              <w:jc w:val="center"/>
              <w:rPr>
                <w:color w:val="000000"/>
                <w:sz w:val="20"/>
                <w:szCs w:val="16"/>
              </w:rPr>
            </w:pPr>
            <w:r w:rsidRPr="00885061">
              <w:rPr>
                <w:color w:val="000000"/>
                <w:sz w:val="20"/>
                <w:szCs w:val="16"/>
              </w:rPr>
              <w:t>1 (25%)</w:t>
            </w:r>
          </w:p>
        </w:tc>
        <w:tc>
          <w:tcPr>
            <w:tcW w:w="597" w:type="pct"/>
            <w:vAlign w:val="center"/>
          </w:tcPr>
          <w:p w:rsidR="00C603D7" w:rsidRPr="00885061" w:rsidRDefault="00C603D7" w:rsidP="00885061">
            <w:pPr>
              <w:pStyle w:val="NoSpacing"/>
              <w:snapToGrid w:val="0"/>
              <w:jc w:val="center"/>
              <w:rPr>
                <w:color w:val="000000"/>
                <w:sz w:val="20"/>
                <w:szCs w:val="16"/>
              </w:rPr>
            </w:pPr>
            <w:r w:rsidRPr="00885061">
              <w:rPr>
                <w:color w:val="000000"/>
                <w:sz w:val="20"/>
                <w:szCs w:val="16"/>
              </w:rPr>
              <w:t>0 (0%)</w:t>
            </w:r>
          </w:p>
        </w:tc>
      </w:tr>
      <w:tr w:rsidR="00C603D7" w:rsidRPr="00885061" w:rsidTr="00F7094E">
        <w:trPr>
          <w:jc w:val="center"/>
        </w:trPr>
        <w:tc>
          <w:tcPr>
            <w:tcW w:w="1418" w:type="pct"/>
            <w:vAlign w:val="center"/>
          </w:tcPr>
          <w:p w:rsidR="00C603D7" w:rsidRPr="00885061" w:rsidRDefault="00C603D7" w:rsidP="00885061">
            <w:pPr>
              <w:pStyle w:val="NoSpacing"/>
              <w:snapToGrid w:val="0"/>
              <w:jc w:val="center"/>
              <w:rPr>
                <w:color w:val="000000"/>
                <w:sz w:val="20"/>
                <w:szCs w:val="16"/>
              </w:rPr>
            </w:pPr>
            <w:proofErr w:type="spellStart"/>
            <w:r w:rsidRPr="00885061">
              <w:rPr>
                <w:i/>
                <w:color w:val="000000"/>
                <w:sz w:val="20"/>
                <w:szCs w:val="16"/>
              </w:rPr>
              <w:t>Citrobacter</w:t>
            </w:r>
            <w:proofErr w:type="spellEnd"/>
            <w:r w:rsidRPr="00885061">
              <w:rPr>
                <w:i/>
                <w:color w:val="000000"/>
                <w:sz w:val="20"/>
                <w:szCs w:val="16"/>
              </w:rPr>
              <w:t xml:space="preserve"> </w:t>
            </w:r>
            <w:proofErr w:type="spellStart"/>
            <w:r w:rsidRPr="00885061">
              <w:rPr>
                <w:i/>
                <w:color w:val="000000"/>
                <w:sz w:val="20"/>
                <w:szCs w:val="16"/>
              </w:rPr>
              <w:t>freundii</w:t>
            </w:r>
            <w:proofErr w:type="spellEnd"/>
            <w:r w:rsidRPr="00885061">
              <w:rPr>
                <w:i/>
                <w:color w:val="000000"/>
                <w:sz w:val="20"/>
                <w:szCs w:val="16"/>
              </w:rPr>
              <w:t xml:space="preserve"> </w:t>
            </w:r>
            <w:r w:rsidRPr="00885061">
              <w:rPr>
                <w:color w:val="000000"/>
                <w:sz w:val="20"/>
                <w:szCs w:val="16"/>
              </w:rPr>
              <w:t>(n = 4)</w:t>
            </w:r>
          </w:p>
        </w:tc>
        <w:tc>
          <w:tcPr>
            <w:tcW w:w="597" w:type="pct"/>
            <w:vAlign w:val="center"/>
          </w:tcPr>
          <w:p w:rsidR="00C603D7" w:rsidRPr="00885061" w:rsidRDefault="00C603D7" w:rsidP="00885061">
            <w:pPr>
              <w:pStyle w:val="NoSpacing"/>
              <w:snapToGrid w:val="0"/>
              <w:jc w:val="center"/>
              <w:rPr>
                <w:color w:val="000000"/>
                <w:sz w:val="20"/>
                <w:szCs w:val="16"/>
              </w:rPr>
            </w:pPr>
            <w:r w:rsidRPr="00885061">
              <w:rPr>
                <w:color w:val="000000"/>
                <w:sz w:val="20"/>
                <w:szCs w:val="16"/>
              </w:rPr>
              <w:t>3 (75%)</w:t>
            </w:r>
          </w:p>
        </w:tc>
        <w:tc>
          <w:tcPr>
            <w:tcW w:w="597" w:type="pct"/>
            <w:vAlign w:val="center"/>
          </w:tcPr>
          <w:p w:rsidR="00C603D7" w:rsidRPr="00885061" w:rsidRDefault="00C603D7" w:rsidP="00885061">
            <w:pPr>
              <w:pStyle w:val="NoSpacing"/>
              <w:snapToGrid w:val="0"/>
              <w:jc w:val="center"/>
              <w:rPr>
                <w:color w:val="000000"/>
                <w:sz w:val="20"/>
                <w:szCs w:val="16"/>
              </w:rPr>
            </w:pPr>
            <w:r w:rsidRPr="00885061">
              <w:rPr>
                <w:color w:val="000000"/>
                <w:sz w:val="20"/>
                <w:szCs w:val="16"/>
              </w:rPr>
              <w:t>3 (75%)</w:t>
            </w:r>
          </w:p>
        </w:tc>
        <w:tc>
          <w:tcPr>
            <w:tcW w:w="597" w:type="pct"/>
            <w:vAlign w:val="center"/>
          </w:tcPr>
          <w:p w:rsidR="00C603D7" w:rsidRPr="00885061" w:rsidRDefault="00C603D7" w:rsidP="00885061">
            <w:pPr>
              <w:pStyle w:val="NoSpacing"/>
              <w:snapToGrid w:val="0"/>
              <w:jc w:val="center"/>
              <w:rPr>
                <w:color w:val="000000"/>
                <w:sz w:val="20"/>
                <w:szCs w:val="16"/>
              </w:rPr>
            </w:pPr>
            <w:r w:rsidRPr="00885061">
              <w:rPr>
                <w:color w:val="000000"/>
                <w:sz w:val="20"/>
                <w:szCs w:val="16"/>
              </w:rPr>
              <w:t>0 (0%)</w:t>
            </w:r>
          </w:p>
        </w:tc>
        <w:tc>
          <w:tcPr>
            <w:tcW w:w="597" w:type="pct"/>
            <w:vAlign w:val="center"/>
          </w:tcPr>
          <w:p w:rsidR="00C603D7" w:rsidRPr="00885061" w:rsidRDefault="00C603D7" w:rsidP="00885061">
            <w:pPr>
              <w:pStyle w:val="NoSpacing"/>
              <w:snapToGrid w:val="0"/>
              <w:jc w:val="center"/>
              <w:rPr>
                <w:color w:val="000000"/>
                <w:sz w:val="20"/>
                <w:szCs w:val="16"/>
              </w:rPr>
            </w:pPr>
            <w:r w:rsidRPr="00885061">
              <w:rPr>
                <w:color w:val="000000"/>
                <w:sz w:val="20"/>
                <w:szCs w:val="16"/>
              </w:rPr>
              <w:t>3 (75%)</w:t>
            </w:r>
          </w:p>
        </w:tc>
        <w:tc>
          <w:tcPr>
            <w:tcW w:w="597" w:type="pct"/>
            <w:vAlign w:val="center"/>
          </w:tcPr>
          <w:p w:rsidR="00C603D7" w:rsidRPr="00885061" w:rsidRDefault="00C603D7" w:rsidP="00885061">
            <w:pPr>
              <w:pStyle w:val="NoSpacing"/>
              <w:snapToGrid w:val="0"/>
              <w:jc w:val="center"/>
              <w:rPr>
                <w:color w:val="000000"/>
                <w:sz w:val="20"/>
                <w:szCs w:val="16"/>
              </w:rPr>
            </w:pPr>
            <w:r w:rsidRPr="00885061">
              <w:rPr>
                <w:color w:val="000000"/>
                <w:sz w:val="20"/>
                <w:szCs w:val="16"/>
              </w:rPr>
              <w:t>3 (75%)</w:t>
            </w:r>
          </w:p>
        </w:tc>
        <w:tc>
          <w:tcPr>
            <w:tcW w:w="597" w:type="pct"/>
            <w:vAlign w:val="center"/>
          </w:tcPr>
          <w:p w:rsidR="00C603D7" w:rsidRPr="00885061" w:rsidRDefault="00C603D7" w:rsidP="00885061">
            <w:pPr>
              <w:pStyle w:val="NoSpacing"/>
              <w:snapToGrid w:val="0"/>
              <w:jc w:val="center"/>
              <w:rPr>
                <w:color w:val="000000"/>
                <w:sz w:val="20"/>
                <w:szCs w:val="16"/>
              </w:rPr>
            </w:pPr>
            <w:r w:rsidRPr="00885061">
              <w:rPr>
                <w:color w:val="000000"/>
                <w:sz w:val="20"/>
                <w:szCs w:val="16"/>
              </w:rPr>
              <w:t>0 (0%)</w:t>
            </w:r>
          </w:p>
        </w:tc>
      </w:tr>
      <w:tr w:rsidR="00C603D7" w:rsidRPr="00885061" w:rsidTr="00F7094E">
        <w:trPr>
          <w:jc w:val="center"/>
        </w:trPr>
        <w:tc>
          <w:tcPr>
            <w:tcW w:w="1418" w:type="pct"/>
            <w:vAlign w:val="center"/>
          </w:tcPr>
          <w:p w:rsidR="00C603D7" w:rsidRPr="00885061" w:rsidRDefault="00C603D7" w:rsidP="00885061">
            <w:pPr>
              <w:pStyle w:val="NoSpacing"/>
              <w:snapToGrid w:val="0"/>
              <w:jc w:val="center"/>
              <w:rPr>
                <w:color w:val="000000"/>
                <w:sz w:val="20"/>
                <w:szCs w:val="16"/>
              </w:rPr>
            </w:pPr>
            <w:r w:rsidRPr="00885061">
              <w:rPr>
                <w:color w:val="000000"/>
                <w:sz w:val="20"/>
                <w:szCs w:val="16"/>
              </w:rPr>
              <w:t>Total number</w:t>
            </w:r>
          </w:p>
          <w:p w:rsidR="00C603D7" w:rsidRPr="00885061" w:rsidRDefault="00C603D7" w:rsidP="00885061">
            <w:pPr>
              <w:pStyle w:val="NoSpacing"/>
              <w:snapToGrid w:val="0"/>
              <w:jc w:val="center"/>
              <w:rPr>
                <w:color w:val="000000"/>
                <w:sz w:val="20"/>
                <w:szCs w:val="16"/>
              </w:rPr>
            </w:pPr>
            <w:r w:rsidRPr="00885061">
              <w:rPr>
                <w:color w:val="000000"/>
                <w:sz w:val="20"/>
                <w:szCs w:val="16"/>
              </w:rPr>
              <w:t>(n = 86)</w:t>
            </w:r>
          </w:p>
        </w:tc>
        <w:tc>
          <w:tcPr>
            <w:tcW w:w="597" w:type="pct"/>
            <w:vAlign w:val="center"/>
          </w:tcPr>
          <w:p w:rsidR="00C603D7" w:rsidRPr="00885061" w:rsidRDefault="00C603D7" w:rsidP="00885061">
            <w:pPr>
              <w:pStyle w:val="NoSpacing"/>
              <w:snapToGrid w:val="0"/>
              <w:jc w:val="center"/>
              <w:rPr>
                <w:color w:val="000000"/>
                <w:sz w:val="20"/>
                <w:szCs w:val="16"/>
              </w:rPr>
            </w:pPr>
            <w:r w:rsidRPr="00885061">
              <w:rPr>
                <w:color w:val="000000"/>
                <w:sz w:val="20"/>
                <w:szCs w:val="16"/>
              </w:rPr>
              <w:t>70 (81.4%)</w:t>
            </w:r>
          </w:p>
        </w:tc>
        <w:tc>
          <w:tcPr>
            <w:tcW w:w="597" w:type="pct"/>
            <w:vAlign w:val="center"/>
          </w:tcPr>
          <w:p w:rsidR="00C603D7" w:rsidRPr="00885061" w:rsidRDefault="00C603D7" w:rsidP="00885061">
            <w:pPr>
              <w:pStyle w:val="NoSpacing"/>
              <w:snapToGrid w:val="0"/>
              <w:jc w:val="center"/>
              <w:rPr>
                <w:color w:val="000000"/>
                <w:sz w:val="20"/>
                <w:szCs w:val="16"/>
              </w:rPr>
            </w:pPr>
            <w:r w:rsidRPr="00885061">
              <w:rPr>
                <w:color w:val="000000"/>
                <w:sz w:val="20"/>
                <w:szCs w:val="16"/>
              </w:rPr>
              <w:t>29 (33.7%)</w:t>
            </w:r>
          </w:p>
        </w:tc>
        <w:tc>
          <w:tcPr>
            <w:tcW w:w="597" w:type="pct"/>
            <w:vAlign w:val="center"/>
          </w:tcPr>
          <w:p w:rsidR="00C603D7" w:rsidRPr="00885061" w:rsidRDefault="00C603D7" w:rsidP="00885061">
            <w:pPr>
              <w:pStyle w:val="NoSpacing"/>
              <w:snapToGrid w:val="0"/>
              <w:jc w:val="center"/>
              <w:rPr>
                <w:color w:val="000000"/>
                <w:sz w:val="20"/>
                <w:szCs w:val="16"/>
              </w:rPr>
            </w:pPr>
            <w:r w:rsidRPr="00885061">
              <w:rPr>
                <w:color w:val="000000"/>
                <w:sz w:val="20"/>
                <w:szCs w:val="16"/>
              </w:rPr>
              <w:t>41 (47.7%)</w:t>
            </w:r>
          </w:p>
        </w:tc>
        <w:tc>
          <w:tcPr>
            <w:tcW w:w="597" w:type="pct"/>
            <w:vAlign w:val="center"/>
          </w:tcPr>
          <w:p w:rsidR="00C603D7" w:rsidRPr="00885061" w:rsidRDefault="00C603D7" w:rsidP="00885061">
            <w:pPr>
              <w:pStyle w:val="NoSpacing"/>
              <w:snapToGrid w:val="0"/>
              <w:jc w:val="center"/>
              <w:rPr>
                <w:color w:val="000000"/>
                <w:sz w:val="20"/>
                <w:szCs w:val="16"/>
              </w:rPr>
            </w:pPr>
            <w:r w:rsidRPr="00885061">
              <w:rPr>
                <w:color w:val="000000"/>
                <w:sz w:val="20"/>
                <w:szCs w:val="16"/>
              </w:rPr>
              <w:t>30 (34.9%)</w:t>
            </w:r>
          </w:p>
        </w:tc>
        <w:tc>
          <w:tcPr>
            <w:tcW w:w="597" w:type="pct"/>
            <w:vAlign w:val="center"/>
          </w:tcPr>
          <w:p w:rsidR="00C603D7" w:rsidRPr="00885061" w:rsidRDefault="00C603D7" w:rsidP="00885061">
            <w:pPr>
              <w:pStyle w:val="NoSpacing"/>
              <w:snapToGrid w:val="0"/>
              <w:jc w:val="center"/>
              <w:rPr>
                <w:color w:val="000000"/>
                <w:sz w:val="20"/>
                <w:szCs w:val="16"/>
              </w:rPr>
            </w:pPr>
            <w:r w:rsidRPr="00885061">
              <w:rPr>
                <w:color w:val="000000"/>
                <w:sz w:val="20"/>
                <w:szCs w:val="16"/>
              </w:rPr>
              <w:t>19 (22.1%)</w:t>
            </w:r>
          </w:p>
        </w:tc>
        <w:tc>
          <w:tcPr>
            <w:tcW w:w="597" w:type="pct"/>
            <w:vAlign w:val="center"/>
          </w:tcPr>
          <w:p w:rsidR="00C603D7" w:rsidRPr="00885061" w:rsidRDefault="00C603D7" w:rsidP="00885061">
            <w:pPr>
              <w:pStyle w:val="NoSpacing"/>
              <w:snapToGrid w:val="0"/>
              <w:jc w:val="center"/>
              <w:rPr>
                <w:color w:val="000000"/>
                <w:sz w:val="20"/>
                <w:szCs w:val="16"/>
              </w:rPr>
            </w:pPr>
            <w:r w:rsidRPr="00885061">
              <w:rPr>
                <w:color w:val="000000"/>
                <w:sz w:val="20"/>
                <w:szCs w:val="16"/>
              </w:rPr>
              <w:t>11 (12.8%)</w:t>
            </w:r>
          </w:p>
        </w:tc>
      </w:tr>
    </w:tbl>
    <w:p w:rsidR="00A8020A" w:rsidRPr="00885061" w:rsidRDefault="00C603D7" w:rsidP="00885061">
      <w:pPr>
        <w:snapToGrid w:val="0"/>
        <w:jc w:val="both"/>
        <w:rPr>
          <w:sz w:val="20"/>
          <w:szCs w:val="16"/>
        </w:rPr>
      </w:pPr>
      <w:r w:rsidRPr="00885061">
        <w:rPr>
          <w:b/>
          <w:sz w:val="20"/>
          <w:szCs w:val="16"/>
        </w:rPr>
        <w:t>Key:</w:t>
      </w:r>
      <w:r w:rsidRPr="00885061">
        <w:rPr>
          <w:sz w:val="20"/>
          <w:szCs w:val="16"/>
        </w:rPr>
        <w:t xml:space="preserve"> MDR-Multidrug resistant; ESBL-Extended-Spectrum Beta-</w:t>
      </w:r>
      <w:proofErr w:type="spellStart"/>
      <w:r w:rsidRPr="00885061">
        <w:rPr>
          <w:sz w:val="20"/>
          <w:szCs w:val="16"/>
        </w:rPr>
        <w:t>Lactamase</w:t>
      </w:r>
      <w:proofErr w:type="spellEnd"/>
      <w:r w:rsidRPr="00885061">
        <w:rPr>
          <w:sz w:val="20"/>
          <w:szCs w:val="16"/>
        </w:rPr>
        <w:t>; ND-Not determined</w:t>
      </w:r>
    </w:p>
    <w:p w:rsidR="00885061" w:rsidRDefault="00885061" w:rsidP="00885061">
      <w:pPr>
        <w:snapToGrid w:val="0"/>
        <w:ind w:firstLine="425"/>
        <w:jc w:val="both"/>
        <w:rPr>
          <w:sz w:val="20"/>
          <w:szCs w:val="16"/>
        </w:rPr>
      </w:pPr>
    </w:p>
    <w:p w:rsidR="00885061" w:rsidRPr="00885061" w:rsidRDefault="00885061" w:rsidP="00885061">
      <w:pPr>
        <w:snapToGrid w:val="0"/>
        <w:ind w:firstLine="425"/>
        <w:jc w:val="both"/>
        <w:rPr>
          <w:sz w:val="20"/>
          <w:szCs w:val="16"/>
        </w:rPr>
        <w:sectPr w:rsidR="00885061" w:rsidRPr="00885061" w:rsidSect="00885061">
          <w:headerReference w:type="default" r:id="rId17"/>
          <w:footerReference w:type="even" r:id="rId18"/>
          <w:footerReference w:type="default" r:id="rId19"/>
          <w:footnotePr>
            <w:pos w:val="beneathText"/>
          </w:footnotePr>
          <w:type w:val="continuous"/>
          <w:pgSz w:w="12240" w:h="15840" w:code="1"/>
          <w:pgMar w:top="1440" w:right="1440" w:bottom="1440" w:left="1440" w:header="720" w:footer="720" w:gutter="0"/>
          <w:cols w:space="720"/>
          <w:docGrid w:linePitch="360"/>
        </w:sectPr>
      </w:pPr>
    </w:p>
    <w:p w:rsidR="00A56299" w:rsidRPr="00885061" w:rsidRDefault="00A56299" w:rsidP="00A56299">
      <w:pPr>
        <w:pStyle w:val="NoSpacing"/>
        <w:snapToGrid w:val="0"/>
        <w:jc w:val="both"/>
        <w:rPr>
          <w:b/>
          <w:sz w:val="20"/>
          <w:szCs w:val="20"/>
        </w:rPr>
      </w:pPr>
      <w:r w:rsidRPr="00885061">
        <w:rPr>
          <w:b/>
          <w:sz w:val="20"/>
          <w:szCs w:val="20"/>
        </w:rPr>
        <w:lastRenderedPageBreak/>
        <w:t>Discussion</w:t>
      </w:r>
    </w:p>
    <w:p w:rsidR="00A56299" w:rsidRPr="00885061" w:rsidRDefault="00A56299" w:rsidP="00A56299">
      <w:pPr>
        <w:pStyle w:val="NoSpacing"/>
        <w:snapToGrid w:val="0"/>
        <w:ind w:firstLine="425"/>
        <w:jc w:val="both"/>
        <w:rPr>
          <w:sz w:val="20"/>
          <w:szCs w:val="20"/>
        </w:rPr>
      </w:pPr>
      <w:r w:rsidRPr="00885061">
        <w:rPr>
          <w:sz w:val="20"/>
          <w:szCs w:val="20"/>
        </w:rPr>
        <w:t xml:space="preserve">Although, asymptomatic </w:t>
      </w:r>
      <w:proofErr w:type="spellStart"/>
      <w:r w:rsidRPr="00885061">
        <w:rPr>
          <w:sz w:val="20"/>
          <w:szCs w:val="20"/>
        </w:rPr>
        <w:t>bacteriuria</w:t>
      </w:r>
      <w:proofErr w:type="spellEnd"/>
      <w:r w:rsidRPr="00885061">
        <w:rPr>
          <w:sz w:val="20"/>
          <w:szCs w:val="20"/>
        </w:rPr>
        <w:t xml:space="preserve"> in a healthy individual does not require treatment and may disappear within a few days but the possibility of having healthy individuals as carriers of multidrug resistant and ESBL-producing bacteria in their urine is inevitable. Several studies in Nigeria have shown that abuse and indiscriminate use of antibiotics by people practicing self-medication are partly </w:t>
      </w:r>
      <w:r w:rsidRPr="00885061">
        <w:rPr>
          <w:sz w:val="20"/>
          <w:szCs w:val="20"/>
        </w:rPr>
        <w:lastRenderedPageBreak/>
        <w:t xml:space="preserve">responsible for the high prevalence of multidrug resistance and ESBL-producing bacteria in both community and hospital acquired infections (Yah </w:t>
      </w:r>
      <w:r w:rsidRPr="00885061">
        <w:rPr>
          <w:i/>
          <w:sz w:val="20"/>
          <w:szCs w:val="20"/>
        </w:rPr>
        <w:t>et al</w:t>
      </w:r>
      <w:r w:rsidRPr="00885061">
        <w:rPr>
          <w:sz w:val="20"/>
          <w:szCs w:val="20"/>
        </w:rPr>
        <w:t xml:space="preserve">., 2008; </w:t>
      </w:r>
      <w:proofErr w:type="spellStart"/>
      <w:r w:rsidRPr="00885061">
        <w:rPr>
          <w:sz w:val="20"/>
          <w:szCs w:val="20"/>
        </w:rPr>
        <w:t>Tamuno</w:t>
      </w:r>
      <w:proofErr w:type="spellEnd"/>
      <w:r w:rsidRPr="00885061">
        <w:rPr>
          <w:sz w:val="20"/>
          <w:szCs w:val="20"/>
        </w:rPr>
        <w:t xml:space="preserve"> </w:t>
      </w:r>
      <w:r w:rsidRPr="00885061">
        <w:rPr>
          <w:i/>
          <w:sz w:val="20"/>
          <w:szCs w:val="20"/>
        </w:rPr>
        <w:t>et al</w:t>
      </w:r>
      <w:r w:rsidRPr="00885061">
        <w:rPr>
          <w:sz w:val="20"/>
          <w:szCs w:val="20"/>
        </w:rPr>
        <w:t xml:space="preserve">., 2011). People tend to treat minor infections or certain ailments that may not require antibiotics with broad-spectrum or extended-spectrum antibiotics thereby aiding the principle of selection pressure for the highly resistant strains in such individuals. This study recorded high prevalence </w:t>
      </w:r>
      <w:r w:rsidRPr="00885061">
        <w:rPr>
          <w:sz w:val="20"/>
          <w:szCs w:val="20"/>
        </w:rPr>
        <w:lastRenderedPageBreak/>
        <w:t xml:space="preserve">of asymptomatic </w:t>
      </w:r>
      <w:proofErr w:type="spellStart"/>
      <w:r w:rsidRPr="00885061">
        <w:rPr>
          <w:sz w:val="20"/>
          <w:szCs w:val="20"/>
        </w:rPr>
        <w:t>bacteriuria</w:t>
      </w:r>
      <w:proofErr w:type="spellEnd"/>
      <w:r w:rsidRPr="00885061">
        <w:rPr>
          <w:sz w:val="20"/>
          <w:szCs w:val="20"/>
        </w:rPr>
        <w:t xml:space="preserve"> among the students of University of Ibadan in southwest Nigeria with high level of multidrug resistant and moderate level of ESBL-producing bacteria. It is interesting to note that all the volunteers in this study have at one time or the other taken antibiotics without prescription for several ailments such as cough, sour-throat, urinary tract infections, typhoid fever, </w:t>
      </w:r>
      <w:proofErr w:type="spellStart"/>
      <w:r w:rsidRPr="00885061">
        <w:rPr>
          <w:sz w:val="20"/>
          <w:szCs w:val="20"/>
        </w:rPr>
        <w:t>otitis</w:t>
      </w:r>
      <w:proofErr w:type="spellEnd"/>
      <w:r w:rsidRPr="00885061">
        <w:rPr>
          <w:sz w:val="20"/>
          <w:szCs w:val="20"/>
        </w:rPr>
        <w:t xml:space="preserve"> media, boil and others. We suggest therefore that abuse and indiscriminate use of antibiotics among the students of the institution were crucial factors responsible for the high level of the multidrug resistance observed in this study as revealed from the questionnaires. All the volunteers have at one time taking antibiotics.</w:t>
      </w:r>
    </w:p>
    <w:p w:rsidR="00A56299" w:rsidRDefault="00A56299" w:rsidP="00A56299">
      <w:pPr>
        <w:pStyle w:val="NoSpacing"/>
        <w:snapToGrid w:val="0"/>
        <w:jc w:val="both"/>
        <w:rPr>
          <w:b/>
          <w:sz w:val="20"/>
          <w:lang w:eastAsia="zh-CN"/>
        </w:rPr>
      </w:pPr>
    </w:p>
    <w:p w:rsidR="00A56299" w:rsidRPr="00885061" w:rsidRDefault="00A56299" w:rsidP="00A56299">
      <w:pPr>
        <w:pStyle w:val="NoSpacing"/>
        <w:snapToGrid w:val="0"/>
        <w:jc w:val="both"/>
        <w:rPr>
          <w:b/>
          <w:sz w:val="20"/>
        </w:rPr>
      </w:pPr>
      <w:r w:rsidRPr="00885061">
        <w:rPr>
          <w:b/>
          <w:sz w:val="20"/>
        </w:rPr>
        <w:t>Acknowledgement</w:t>
      </w:r>
    </w:p>
    <w:p w:rsidR="00A56299" w:rsidRPr="00885061" w:rsidRDefault="00A56299" w:rsidP="00A56299">
      <w:pPr>
        <w:pStyle w:val="NoSpacing"/>
        <w:snapToGrid w:val="0"/>
        <w:ind w:firstLine="425"/>
        <w:jc w:val="both"/>
        <w:rPr>
          <w:sz w:val="20"/>
          <w:szCs w:val="16"/>
        </w:rPr>
      </w:pPr>
      <w:r w:rsidRPr="00885061">
        <w:rPr>
          <w:sz w:val="20"/>
          <w:szCs w:val="16"/>
        </w:rPr>
        <w:t>We are grateful to the management and staff of the University of Ibadan and the faculty of Pharmacy students, University of Ibadan, Nigeria, as well.  We appreciate their effort and assistance towards this research.</w:t>
      </w:r>
    </w:p>
    <w:p w:rsidR="00A56299" w:rsidRPr="00885061" w:rsidRDefault="00A56299" w:rsidP="00A56299">
      <w:pPr>
        <w:pStyle w:val="NoSpacing"/>
        <w:snapToGrid w:val="0"/>
        <w:jc w:val="both"/>
        <w:rPr>
          <w:sz w:val="20"/>
          <w:szCs w:val="16"/>
        </w:rPr>
      </w:pPr>
    </w:p>
    <w:p w:rsidR="00A56299" w:rsidRPr="00885061" w:rsidRDefault="00A56299" w:rsidP="00A56299">
      <w:pPr>
        <w:pStyle w:val="NoSpacing"/>
        <w:snapToGrid w:val="0"/>
        <w:jc w:val="both"/>
        <w:rPr>
          <w:b/>
          <w:sz w:val="20"/>
          <w:szCs w:val="20"/>
        </w:rPr>
      </w:pPr>
      <w:r w:rsidRPr="00885061">
        <w:rPr>
          <w:b/>
          <w:sz w:val="20"/>
          <w:szCs w:val="20"/>
        </w:rPr>
        <w:t>Corresponding Author:</w:t>
      </w:r>
    </w:p>
    <w:p w:rsidR="00A56299" w:rsidRPr="00885061" w:rsidRDefault="00A56299" w:rsidP="00A56299">
      <w:pPr>
        <w:pStyle w:val="NoSpacing"/>
        <w:snapToGrid w:val="0"/>
        <w:jc w:val="both"/>
        <w:rPr>
          <w:sz w:val="20"/>
          <w:szCs w:val="20"/>
        </w:rPr>
      </w:pPr>
      <w:proofErr w:type="spellStart"/>
      <w:r w:rsidRPr="00885061">
        <w:rPr>
          <w:sz w:val="20"/>
          <w:szCs w:val="20"/>
        </w:rPr>
        <w:t>Onyenwe</w:t>
      </w:r>
      <w:proofErr w:type="spellEnd"/>
      <w:r w:rsidRPr="00885061">
        <w:rPr>
          <w:sz w:val="20"/>
          <w:szCs w:val="20"/>
        </w:rPr>
        <w:t>, Nathaniel, E.</w:t>
      </w:r>
    </w:p>
    <w:p w:rsidR="00A56299" w:rsidRPr="00885061" w:rsidRDefault="00A56299" w:rsidP="00A56299">
      <w:pPr>
        <w:pStyle w:val="NoSpacing"/>
        <w:snapToGrid w:val="0"/>
        <w:jc w:val="both"/>
        <w:rPr>
          <w:sz w:val="20"/>
          <w:szCs w:val="20"/>
        </w:rPr>
      </w:pPr>
      <w:r w:rsidRPr="00885061">
        <w:rPr>
          <w:sz w:val="20"/>
          <w:szCs w:val="20"/>
        </w:rPr>
        <w:t>Department of Pharmaceutical Microbiology</w:t>
      </w:r>
    </w:p>
    <w:p w:rsidR="00A56299" w:rsidRPr="00885061" w:rsidRDefault="00A56299" w:rsidP="00A56299">
      <w:pPr>
        <w:pStyle w:val="NoSpacing"/>
        <w:snapToGrid w:val="0"/>
        <w:jc w:val="both"/>
        <w:rPr>
          <w:sz w:val="20"/>
          <w:szCs w:val="20"/>
        </w:rPr>
      </w:pPr>
      <w:r w:rsidRPr="00885061">
        <w:rPr>
          <w:sz w:val="20"/>
          <w:szCs w:val="20"/>
        </w:rPr>
        <w:t xml:space="preserve">Faculty of </w:t>
      </w:r>
      <w:proofErr w:type="spellStart"/>
      <w:r w:rsidRPr="00885061">
        <w:rPr>
          <w:sz w:val="20"/>
          <w:szCs w:val="20"/>
        </w:rPr>
        <w:t>Pharmacy</w:t>
      </w:r>
      <w:proofErr w:type="gramStart"/>
      <w:r w:rsidRPr="00885061">
        <w:rPr>
          <w:sz w:val="20"/>
          <w:szCs w:val="20"/>
        </w:rPr>
        <w:t>,University</w:t>
      </w:r>
      <w:proofErr w:type="spellEnd"/>
      <w:proofErr w:type="gramEnd"/>
      <w:r w:rsidRPr="00885061">
        <w:rPr>
          <w:sz w:val="20"/>
          <w:szCs w:val="20"/>
        </w:rPr>
        <w:t xml:space="preserve"> of Ibadan</w:t>
      </w:r>
    </w:p>
    <w:p w:rsidR="00A56299" w:rsidRPr="00885061" w:rsidRDefault="00A56299" w:rsidP="00A56299">
      <w:pPr>
        <w:pStyle w:val="NoSpacing"/>
        <w:snapToGrid w:val="0"/>
        <w:jc w:val="both"/>
        <w:rPr>
          <w:sz w:val="20"/>
          <w:szCs w:val="20"/>
        </w:rPr>
      </w:pPr>
      <w:r w:rsidRPr="00885061">
        <w:rPr>
          <w:sz w:val="20"/>
          <w:szCs w:val="20"/>
        </w:rPr>
        <w:t xml:space="preserve">E-mail: </w:t>
      </w:r>
      <w:hyperlink r:id="rId20" w:history="1">
        <w:r w:rsidRPr="00885061">
          <w:rPr>
            <w:rStyle w:val="Hyperlink"/>
            <w:sz w:val="20"/>
            <w:szCs w:val="20"/>
          </w:rPr>
          <w:t>o_nathejik@yahoo.com</w:t>
        </w:r>
      </w:hyperlink>
      <w:r w:rsidRPr="00885061">
        <w:rPr>
          <w:sz w:val="20"/>
          <w:szCs w:val="20"/>
        </w:rPr>
        <w:t xml:space="preserve">, </w:t>
      </w:r>
      <w:hyperlink r:id="rId21" w:history="1">
        <w:r w:rsidRPr="00885061">
          <w:rPr>
            <w:rStyle w:val="Hyperlink"/>
            <w:sz w:val="20"/>
            <w:szCs w:val="20"/>
          </w:rPr>
          <w:t>mailpharmmuyiwa@yahoo.com</w:t>
        </w:r>
      </w:hyperlink>
    </w:p>
    <w:p w:rsidR="00A56299" w:rsidRPr="00885061" w:rsidRDefault="00A56299" w:rsidP="00A56299">
      <w:pPr>
        <w:pStyle w:val="NoSpacing"/>
        <w:snapToGrid w:val="0"/>
        <w:jc w:val="both"/>
        <w:rPr>
          <w:sz w:val="20"/>
          <w:szCs w:val="20"/>
        </w:rPr>
      </w:pPr>
    </w:p>
    <w:p w:rsidR="00925014" w:rsidRPr="00885061" w:rsidRDefault="00925014" w:rsidP="00885061">
      <w:pPr>
        <w:pStyle w:val="NoSpacing"/>
        <w:snapToGrid w:val="0"/>
        <w:jc w:val="both"/>
        <w:rPr>
          <w:b/>
          <w:sz w:val="18"/>
          <w:szCs w:val="18"/>
        </w:rPr>
      </w:pPr>
      <w:r w:rsidRPr="00885061">
        <w:rPr>
          <w:b/>
          <w:sz w:val="20"/>
          <w:szCs w:val="20"/>
        </w:rPr>
        <w:t>References</w:t>
      </w:r>
    </w:p>
    <w:p w:rsidR="00925014" w:rsidRPr="00885061" w:rsidRDefault="00925014" w:rsidP="00885061">
      <w:pPr>
        <w:pStyle w:val="NoSpacing"/>
        <w:numPr>
          <w:ilvl w:val="0"/>
          <w:numId w:val="9"/>
        </w:numPr>
        <w:suppressAutoHyphens w:val="0"/>
        <w:snapToGrid w:val="0"/>
        <w:ind w:left="425" w:hanging="425"/>
        <w:jc w:val="both"/>
        <w:rPr>
          <w:sz w:val="18"/>
          <w:szCs w:val="18"/>
        </w:rPr>
      </w:pPr>
      <w:proofErr w:type="spellStart"/>
      <w:r w:rsidRPr="00885061">
        <w:rPr>
          <w:sz w:val="18"/>
          <w:szCs w:val="18"/>
        </w:rPr>
        <w:t>Alebiosu</w:t>
      </w:r>
      <w:proofErr w:type="spellEnd"/>
      <w:r w:rsidRPr="00885061">
        <w:rPr>
          <w:sz w:val="18"/>
          <w:szCs w:val="18"/>
        </w:rPr>
        <w:t xml:space="preserve"> CO, </w:t>
      </w:r>
      <w:proofErr w:type="spellStart"/>
      <w:r w:rsidRPr="00885061">
        <w:rPr>
          <w:sz w:val="18"/>
          <w:szCs w:val="18"/>
        </w:rPr>
        <w:t>Osinupebi</w:t>
      </w:r>
      <w:proofErr w:type="spellEnd"/>
      <w:r w:rsidRPr="00885061">
        <w:rPr>
          <w:sz w:val="18"/>
          <w:szCs w:val="18"/>
        </w:rPr>
        <w:t xml:space="preserve"> OA, </w:t>
      </w:r>
      <w:proofErr w:type="spellStart"/>
      <w:r w:rsidRPr="00885061">
        <w:rPr>
          <w:sz w:val="18"/>
          <w:szCs w:val="18"/>
        </w:rPr>
        <w:t>Olajubu</w:t>
      </w:r>
      <w:proofErr w:type="spellEnd"/>
      <w:r w:rsidRPr="00885061">
        <w:rPr>
          <w:sz w:val="18"/>
          <w:szCs w:val="18"/>
        </w:rPr>
        <w:t xml:space="preserve"> FA. Significant asymptomatic </w:t>
      </w:r>
      <w:proofErr w:type="spellStart"/>
      <w:r w:rsidRPr="00885061">
        <w:rPr>
          <w:sz w:val="18"/>
          <w:szCs w:val="18"/>
        </w:rPr>
        <w:t>bacteriuria</w:t>
      </w:r>
      <w:proofErr w:type="spellEnd"/>
      <w:r w:rsidRPr="00885061">
        <w:rPr>
          <w:sz w:val="18"/>
          <w:szCs w:val="18"/>
        </w:rPr>
        <w:t xml:space="preserve"> among Nigerian Type 2 diabetics. J. </w:t>
      </w:r>
      <w:proofErr w:type="spellStart"/>
      <w:r w:rsidRPr="00885061">
        <w:rPr>
          <w:sz w:val="18"/>
          <w:szCs w:val="18"/>
        </w:rPr>
        <w:t>Natl</w:t>
      </w:r>
      <w:proofErr w:type="spellEnd"/>
      <w:r w:rsidRPr="00885061">
        <w:rPr>
          <w:sz w:val="18"/>
          <w:szCs w:val="18"/>
        </w:rPr>
        <w:t xml:space="preserve"> Med Assoc 2003; 95: 344 – 351.</w:t>
      </w:r>
    </w:p>
    <w:p w:rsidR="00925014" w:rsidRPr="00885061" w:rsidRDefault="00925014" w:rsidP="00885061">
      <w:pPr>
        <w:pStyle w:val="NoSpacing"/>
        <w:numPr>
          <w:ilvl w:val="0"/>
          <w:numId w:val="9"/>
        </w:numPr>
        <w:suppressAutoHyphens w:val="0"/>
        <w:snapToGrid w:val="0"/>
        <w:ind w:left="425" w:hanging="425"/>
        <w:jc w:val="both"/>
        <w:rPr>
          <w:sz w:val="18"/>
          <w:szCs w:val="18"/>
        </w:rPr>
      </w:pPr>
      <w:proofErr w:type="spellStart"/>
      <w:r w:rsidRPr="00885061">
        <w:rPr>
          <w:sz w:val="18"/>
          <w:szCs w:val="18"/>
        </w:rPr>
        <w:t>Ariffin</w:t>
      </w:r>
      <w:proofErr w:type="spellEnd"/>
      <w:r w:rsidRPr="00885061">
        <w:rPr>
          <w:sz w:val="18"/>
          <w:szCs w:val="18"/>
        </w:rPr>
        <w:t xml:space="preserve"> H, </w:t>
      </w:r>
      <w:proofErr w:type="spellStart"/>
      <w:r w:rsidRPr="00885061">
        <w:rPr>
          <w:sz w:val="18"/>
          <w:szCs w:val="18"/>
        </w:rPr>
        <w:t>Navaratnam</w:t>
      </w:r>
      <w:proofErr w:type="spellEnd"/>
      <w:r w:rsidRPr="00885061">
        <w:rPr>
          <w:sz w:val="18"/>
          <w:szCs w:val="18"/>
        </w:rPr>
        <w:t xml:space="preserve"> P, Mohamed M, </w:t>
      </w:r>
      <w:proofErr w:type="spellStart"/>
      <w:r w:rsidRPr="00885061">
        <w:rPr>
          <w:sz w:val="18"/>
          <w:szCs w:val="18"/>
        </w:rPr>
        <w:t>Arasu</w:t>
      </w:r>
      <w:proofErr w:type="spellEnd"/>
      <w:r w:rsidRPr="00885061">
        <w:rPr>
          <w:sz w:val="18"/>
          <w:szCs w:val="18"/>
        </w:rPr>
        <w:t xml:space="preserve"> A, Abdullah WA, Lee CL, </w:t>
      </w:r>
      <w:proofErr w:type="spellStart"/>
      <w:r w:rsidRPr="00885061">
        <w:rPr>
          <w:sz w:val="18"/>
          <w:szCs w:val="18"/>
        </w:rPr>
        <w:t>Peng</w:t>
      </w:r>
      <w:proofErr w:type="spellEnd"/>
      <w:r w:rsidRPr="00885061">
        <w:rPr>
          <w:sz w:val="18"/>
          <w:szCs w:val="18"/>
        </w:rPr>
        <w:t xml:space="preserve"> LH. </w:t>
      </w:r>
      <w:proofErr w:type="spellStart"/>
      <w:r w:rsidRPr="00885061">
        <w:rPr>
          <w:sz w:val="18"/>
          <w:szCs w:val="18"/>
        </w:rPr>
        <w:t>Ceftazidime</w:t>
      </w:r>
      <w:proofErr w:type="spellEnd"/>
      <w:r w:rsidRPr="00885061">
        <w:rPr>
          <w:sz w:val="18"/>
          <w:szCs w:val="18"/>
        </w:rPr>
        <w:t xml:space="preserve">-resistant </w:t>
      </w:r>
      <w:proofErr w:type="spellStart"/>
      <w:r w:rsidRPr="00885061">
        <w:rPr>
          <w:sz w:val="18"/>
          <w:szCs w:val="18"/>
        </w:rPr>
        <w:t>Klebsiella</w:t>
      </w:r>
      <w:proofErr w:type="spellEnd"/>
      <w:r w:rsidRPr="00885061">
        <w:rPr>
          <w:sz w:val="18"/>
          <w:szCs w:val="18"/>
        </w:rPr>
        <w:t xml:space="preserve"> pneumonia bloodstream infection in children with febrile </w:t>
      </w:r>
      <w:proofErr w:type="spellStart"/>
      <w:r w:rsidRPr="00885061">
        <w:rPr>
          <w:sz w:val="18"/>
          <w:szCs w:val="18"/>
        </w:rPr>
        <w:t>neutropenia</w:t>
      </w:r>
      <w:proofErr w:type="spellEnd"/>
      <w:r w:rsidRPr="00885061">
        <w:rPr>
          <w:sz w:val="18"/>
          <w:szCs w:val="18"/>
        </w:rPr>
        <w:t xml:space="preserve">. Int. J. Infect. </w:t>
      </w:r>
      <w:proofErr w:type="spellStart"/>
      <w:r w:rsidRPr="00885061">
        <w:rPr>
          <w:sz w:val="18"/>
          <w:szCs w:val="18"/>
        </w:rPr>
        <w:t>Dis</w:t>
      </w:r>
      <w:proofErr w:type="spellEnd"/>
      <w:r w:rsidRPr="00885061">
        <w:rPr>
          <w:sz w:val="18"/>
          <w:szCs w:val="18"/>
        </w:rPr>
        <w:t xml:space="preserve"> 2000; 4: 21–25.</w:t>
      </w:r>
    </w:p>
    <w:p w:rsidR="00925014" w:rsidRPr="00885061" w:rsidRDefault="00925014" w:rsidP="00885061">
      <w:pPr>
        <w:pStyle w:val="NoSpacing"/>
        <w:numPr>
          <w:ilvl w:val="0"/>
          <w:numId w:val="9"/>
        </w:numPr>
        <w:suppressAutoHyphens w:val="0"/>
        <w:snapToGrid w:val="0"/>
        <w:ind w:left="425" w:hanging="425"/>
        <w:jc w:val="both"/>
        <w:rPr>
          <w:sz w:val="18"/>
          <w:szCs w:val="18"/>
        </w:rPr>
      </w:pPr>
      <w:r w:rsidRPr="00885061">
        <w:rPr>
          <w:bCs/>
          <w:sz w:val="18"/>
          <w:szCs w:val="18"/>
        </w:rPr>
        <w:t>Bonnet R.</w:t>
      </w:r>
      <w:r w:rsidRPr="00885061">
        <w:rPr>
          <w:sz w:val="18"/>
          <w:szCs w:val="18"/>
        </w:rPr>
        <w:t xml:space="preserve"> Growing group of extended-spectrum beta-</w:t>
      </w:r>
      <w:proofErr w:type="spellStart"/>
      <w:r w:rsidRPr="00885061">
        <w:rPr>
          <w:sz w:val="18"/>
          <w:szCs w:val="18"/>
        </w:rPr>
        <w:t>lactamases</w:t>
      </w:r>
      <w:proofErr w:type="spellEnd"/>
      <w:r w:rsidRPr="00885061">
        <w:rPr>
          <w:sz w:val="18"/>
          <w:szCs w:val="18"/>
        </w:rPr>
        <w:t xml:space="preserve">: the CTX-M enzymes. </w:t>
      </w:r>
      <w:proofErr w:type="spellStart"/>
      <w:r w:rsidRPr="00885061">
        <w:rPr>
          <w:sz w:val="18"/>
          <w:szCs w:val="18"/>
        </w:rPr>
        <w:t>Antimicrob</w:t>
      </w:r>
      <w:proofErr w:type="spellEnd"/>
      <w:r w:rsidRPr="00885061">
        <w:rPr>
          <w:sz w:val="18"/>
          <w:szCs w:val="18"/>
        </w:rPr>
        <w:t xml:space="preserve">. Agents </w:t>
      </w:r>
      <w:proofErr w:type="spellStart"/>
      <w:r w:rsidRPr="00885061">
        <w:rPr>
          <w:sz w:val="18"/>
          <w:szCs w:val="18"/>
        </w:rPr>
        <w:t>Chemother</w:t>
      </w:r>
      <w:proofErr w:type="spellEnd"/>
      <w:r w:rsidRPr="00885061">
        <w:rPr>
          <w:sz w:val="18"/>
          <w:szCs w:val="18"/>
        </w:rPr>
        <w:t xml:space="preserve"> 2004; </w:t>
      </w:r>
      <w:r w:rsidRPr="00885061">
        <w:rPr>
          <w:bCs/>
          <w:sz w:val="18"/>
          <w:szCs w:val="18"/>
        </w:rPr>
        <w:t>48:</w:t>
      </w:r>
      <w:r w:rsidRPr="00885061">
        <w:rPr>
          <w:sz w:val="18"/>
          <w:szCs w:val="18"/>
        </w:rPr>
        <w:t>1–14.</w:t>
      </w:r>
    </w:p>
    <w:p w:rsidR="00925014" w:rsidRPr="00885061" w:rsidRDefault="00925014" w:rsidP="00885061">
      <w:pPr>
        <w:pStyle w:val="NoSpacing"/>
        <w:numPr>
          <w:ilvl w:val="0"/>
          <w:numId w:val="9"/>
        </w:numPr>
        <w:suppressAutoHyphens w:val="0"/>
        <w:snapToGrid w:val="0"/>
        <w:ind w:left="425" w:hanging="425"/>
        <w:jc w:val="both"/>
        <w:rPr>
          <w:sz w:val="18"/>
          <w:szCs w:val="18"/>
        </w:rPr>
      </w:pPr>
      <w:r w:rsidRPr="00885061">
        <w:rPr>
          <w:sz w:val="18"/>
          <w:szCs w:val="18"/>
        </w:rPr>
        <w:t>Bush K., Jacoby GA, Medeiros AA. A functional classification scheme for Beta-</w:t>
      </w:r>
      <w:proofErr w:type="spellStart"/>
      <w:r w:rsidRPr="00885061">
        <w:rPr>
          <w:sz w:val="18"/>
          <w:szCs w:val="18"/>
        </w:rPr>
        <w:t>lactamases</w:t>
      </w:r>
      <w:proofErr w:type="spellEnd"/>
      <w:r w:rsidRPr="00885061">
        <w:rPr>
          <w:sz w:val="18"/>
          <w:szCs w:val="18"/>
        </w:rPr>
        <w:t xml:space="preserve"> and its correlation with molecular structure. </w:t>
      </w:r>
      <w:proofErr w:type="spellStart"/>
      <w:r w:rsidRPr="00885061">
        <w:rPr>
          <w:sz w:val="18"/>
          <w:szCs w:val="18"/>
        </w:rPr>
        <w:t>Antimicrob</w:t>
      </w:r>
      <w:proofErr w:type="spellEnd"/>
      <w:r w:rsidRPr="00885061">
        <w:rPr>
          <w:sz w:val="18"/>
          <w:szCs w:val="18"/>
        </w:rPr>
        <w:t xml:space="preserve">. Agents </w:t>
      </w:r>
      <w:proofErr w:type="spellStart"/>
      <w:r w:rsidRPr="00885061">
        <w:rPr>
          <w:sz w:val="18"/>
          <w:szCs w:val="18"/>
        </w:rPr>
        <w:t>Chemother</w:t>
      </w:r>
      <w:proofErr w:type="spellEnd"/>
      <w:r w:rsidRPr="00885061">
        <w:rPr>
          <w:sz w:val="18"/>
          <w:szCs w:val="18"/>
        </w:rPr>
        <w:t xml:space="preserve"> 1995; 39:1211–1233.</w:t>
      </w:r>
    </w:p>
    <w:p w:rsidR="00925014" w:rsidRPr="00885061" w:rsidRDefault="00925014" w:rsidP="00885061">
      <w:pPr>
        <w:pStyle w:val="NoSpacing"/>
        <w:numPr>
          <w:ilvl w:val="0"/>
          <w:numId w:val="9"/>
        </w:numPr>
        <w:suppressAutoHyphens w:val="0"/>
        <w:snapToGrid w:val="0"/>
        <w:ind w:left="425" w:hanging="425"/>
        <w:jc w:val="both"/>
        <w:rPr>
          <w:sz w:val="18"/>
          <w:szCs w:val="18"/>
        </w:rPr>
      </w:pPr>
      <w:r w:rsidRPr="00885061">
        <w:rPr>
          <w:bCs/>
          <w:sz w:val="18"/>
          <w:szCs w:val="18"/>
        </w:rPr>
        <w:t xml:space="preserve">Canton R, </w:t>
      </w:r>
      <w:proofErr w:type="spellStart"/>
      <w:r w:rsidRPr="00885061">
        <w:rPr>
          <w:bCs/>
          <w:sz w:val="18"/>
          <w:szCs w:val="18"/>
        </w:rPr>
        <w:t>Coque</w:t>
      </w:r>
      <w:proofErr w:type="spellEnd"/>
      <w:r w:rsidRPr="00885061">
        <w:rPr>
          <w:bCs/>
          <w:sz w:val="18"/>
          <w:szCs w:val="18"/>
        </w:rPr>
        <w:t xml:space="preserve"> TM</w:t>
      </w:r>
      <w:r w:rsidRPr="00885061">
        <w:rPr>
          <w:sz w:val="18"/>
          <w:szCs w:val="18"/>
        </w:rPr>
        <w:t>. The CTX-</w:t>
      </w:r>
      <w:proofErr w:type="gramStart"/>
      <w:r w:rsidRPr="00885061">
        <w:rPr>
          <w:sz w:val="18"/>
          <w:szCs w:val="18"/>
        </w:rPr>
        <w:t>M  Beta</w:t>
      </w:r>
      <w:proofErr w:type="gramEnd"/>
      <w:r w:rsidRPr="00885061">
        <w:rPr>
          <w:sz w:val="18"/>
          <w:szCs w:val="18"/>
        </w:rPr>
        <w:t>-</w:t>
      </w:r>
      <w:proofErr w:type="spellStart"/>
      <w:r w:rsidRPr="00885061">
        <w:rPr>
          <w:sz w:val="18"/>
          <w:szCs w:val="18"/>
        </w:rPr>
        <w:t>lactamase</w:t>
      </w:r>
      <w:proofErr w:type="spellEnd"/>
      <w:r w:rsidRPr="00885061">
        <w:rPr>
          <w:sz w:val="18"/>
          <w:szCs w:val="18"/>
        </w:rPr>
        <w:t xml:space="preserve"> pandemic. </w:t>
      </w:r>
      <w:proofErr w:type="spellStart"/>
      <w:r w:rsidRPr="00885061">
        <w:rPr>
          <w:sz w:val="18"/>
          <w:szCs w:val="18"/>
        </w:rPr>
        <w:t>Curr</w:t>
      </w:r>
      <w:proofErr w:type="spellEnd"/>
      <w:r w:rsidRPr="00885061">
        <w:rPr>
          <w:sz w:val="18"/>
          <w:szCs w:val="18"/>
        </w:rPr>
        <w:t xml:space="preserve">. </w:t>
      </w:r>
      <w:proofErr w:type="spellStart"/>
      <w:r w:rsidRPr="00885061">
        <w:rPr>
          <w:sz w:val="18"/>
          <w:szCs w:val="18"/>
        </w:rPr>
        <w:t>Opin</w:t>
      </w:r>
      <w:proofErr w:type="spellEnd"/>
      <w:r w:rsidRPr="00885061">
        <w:rPr>
          <w:sz w:val="18"/>
          <w:szCs w:val="18"/>
        </w:rPr>
        <w:t xml:space="preserve">. </w:t>
      </w:r>
      <w:proofErr w:type="spellStart"/>
      <w:r w:rsidRPr="00885061">
        <w:rPr>
          <w:sz w:val="18"/>
          <w:szCs w:val="18"/>
        </w:rPr>
        <w:t>Microbiol</w:t>
      </w:r>
      <w:proofErr w:type="spellEnd"/>
      <w:r w:rsidRPr="00885061">
        <w:rPr>
          <w:sz w:val="18"/>
          <w:szCs w:val="18"/>
        </w:rPr>
        <w:t xml:space="preserve"> 2000; </w:t>
      </w:r>
      <w:r w:rsidRPr="00885061">
        <w:rPr>
          <w:bCs/>
          <w:sz w:val="18"/>
          <w:szCs w:val="18"/>
        </w:rPr>
        <w:t>9:</w:t>
      </w:r>
      <w:r w:rsidRPr="00885061">
        <w:rPr>
          <w:b/>
          <w:bCs/>
          <w:sz w:val="18"/>
          <w:szCs w:val="18"/>
        </w:rPr>
        <w:t xml:space="preserve"> </w:t>
      </w:r>
      <w:r w:rsidRPr="00885061">
        <w:rPr>
          <w:sz w:val="18"/>
          <w:szCs w:val="18"/>
        </w:rPr>
        <w:t>466–475.</w:t>
      </w:r>
    </w:p>
    <w:p w:rsidR="00925014" w:rsidRPr="00885061" w:rsidRDefault="00925014" w:rsidP="00885061">
      <w:pPr>
        <w:pStyle w:val="NoSpacing"/>
        <w:numPr>
          <w:ilvl w:val="0"/>
          <w:numId w:val="9"/>
        </w:numPr>
        <w:suppressAutoHyphens w:val="0"/>
        <w:snapToGrid w:val="0"/>
        <w:ind w:left="425" w:hanging="425"/>
        <w:jc w:val="both"/>
        <w:rPr>
          <w:sz w:val="18"/>
          <w:szCs w:val="18"/>
        </w:rPr>
      </w:pPr>
      <w:proofErr w:type="spellStart"/>
      <w:r w:rsidRPr="00885061">
        <w:rPr>
          <w:sz w:val="18"/>
          <w:szCs w:val="18"/>
        </w:rPr>
        <w:t>Chukwu</w:t>
      </w:r>
      <w:proofErr w:type="spellEnd"/>
      <w:r w:rsidRPr="00885061">
        <w:rPr>
          <w:sz w:val="18"/>
          <w:szCs w:val="18"/>
        </w:rPr>
        <w:t xml:space="preserve"> BF, </w:t>
      </w:r>
      <w:proofErr w:type="spellStart"/>
      <w:r w:rsidRPr="00885061">
        <w:rPr>
          <w:sz w:val="18"/>
          <w:szCs w:val="18"/>
        </w:rPr>
        <w:t>Okafor</w:t>
      </w:r>
      <w:proofErr w:type="spellEnd"/>
      <w:r w:rsidRPr="00885061">
        <w:rPr>
          <w:sz w:val="18"/>
          <w:szCs w:val="18"/>
        </w:rPr>
        <w:t xml:space="preserve"> HU, </w:t>
      </w:r>
      <w:proofErr w:type="spellStart"/>
      <w:r w:rsidRPr="00885061">
        <w:rPr>
          <w:sz w:val="18"/>
          <w:szCs w:val="18"/>
        </w:rPr>
        <w:t>Ikefuna</w:t>
      </w:r>
      <w:proofErr w:type="spellEnd"/>
      <w:r w:rsidRPr="00885061">
        <w:rPr>
          <w:sz w:val="18"/>
          <w:szCs w:val="18"/>
        </w:rPr>
        <w:t xml:space="preserve"> AN. </w:t>
      </w:r>
      <w:proofErr w:type="spellStart"/>
      <w:r w:rsidRPr="00885061">
        <w:rPr>
          <w:sz w:val="18"/>
          <w:szCs w:val="18"/>
        </w:rPr>
        <w:t>Asyptomatic</w:t>
      </w:r>
      <w:proofErr w:type="spellEnd"/>
      <w:r w:rsidRPr="00885061">
        <w:rPr>
          <w:sz w:val="18"/>
          <w:szCs w:val="18"/>
        </w:rPr>
        <w:t xml:space="preserve"> </w:t>
      </w:r>
      <w:proofErr w:type="spellStart"/>
      <w:r w:rsidRPr="00885061">
        <w:rPr>
          <w:sz w:val="18"/>
          <w:szCs w:val="18"/>
        </w:rPr>
        <w:t>bacteriuria</w:t>
      </w:r>
      <w:proofErr w:type="spellEnd"/>
      <w:r w:rsidRPr="00885061">
        <w:rPr>
          <w:sz w:val="18"/>
          <w:szCs w:val="18"/>
        </w:rPr>
        <w:t xml:space="preserve"> in children with sickle cell anemia at the University of Nigeria teaching hospital, Enugu, South </w:t>
      </w:r>
      <w:r w:rsidRPr="00885061">
        <w:rPr>
          <w:sz w:val="18"/>
          <w:szCs w:val="18"/>
        </w:rPr>
        <w:lastRenderedPageBreak/>
        <w:t>East, Nigeria. Italian Journal of pediatrics. 2011; 37: 45 - 49.</w:t>
      </w:r>
    </w:p>
    <w:p w:rsidR="00925014" w:rsidRPr="00885061" w:rsidRDefault="00925014" w:rsidP="00885061">
      <w:pPr>
        <w:pStyle w:val="NoSpacing"/>
        <w:numPr>
          <w:ilvl w:val="0"/>
          <w:numId w:val="9"/>
        </w:numPr>
        <w:suppressAutoHyphens w:val="0"/>
        <w:snapToGrid w:val="0"/>
        <w:ind w:left="425" w:hanging="425"/>
        <w:jc w:val="both"/>
        <w:rPr>
          <w:sz w:val="18"/>
          <w:szCs w:val="18"/>
        </w:rPr>
      </w:pPr>
      <w:r w:rsidRPr="00885061">
        <w:rPr>
          <w:sz w:val="18"/>
          <w:szCs w:val="18"/>
        </w:rPr>
        <w:t>CLSI. Clinical and Laboratory Standards Institute Guidelines. Performance standards for antimicrobial disk and dilution susceptibility tests for bacteria isolated from animals. Approved standard M31-A2. National Committee for Clinical Laboratory Standards, Wayne, Pa 2011.</w:t>
      </w:r>
    </w:p>
    <w:p w:rsidR="00925014" w:rsidRPr="00885061" w:rsidRDefault="00925014" w:rsidP="00885061">
      <w:pPr>
        <w:pStyle w:val="NoSpacing"/>
        <w:numPr>
          <w:ilvl w:val="0"/>
          <w:numId w:val="9"/>
        </w:numPr>
        <w:suppressAutoHyphens w:val="0"/>
        <w:snapToGrid w:val="0"/>
        <w:ind w:left="425" w:hanging="425"/>
        <w:jc w:val="both"/>
        <w:rPr>
          <w:sz w:val="18"/>
          <w:szCs w:val="18"/>
        </w:rPr>
      </w:pPr>
      <w:proofErr w:type="spellStart"/>
      <w:r w:rsidRPr="00885061">
        <w:rPr>
          <w:sz w:val="18"/>
          <w:szCs w:val="18"/>
        </w:rPr>
        <w:t>Dalal</w:t>
      </w:r>
      <w:proofErr w:type="spellEnd"/>
      <w:r w:rsidRPr="00885061">
        <w:rPr>
          <w:sz w:val="18"/>
          <w:szCs w:val="18"/>
        </w:rPr>
        <w:t xml:space="preserve"> S, Nicolle L, </w:t>
      </w:r>
      <w:proofErr w:type="spellStart"/>
      <w:r w:rsidRPr="00885061">
        <w:rPr>
          <w:sz w:val="18"/>
          <w:szCs w:val="18"/>
        </w:rPr>
        <w:t>Marrs</w:t>
      </w:r>
      <w:proofErr w:type="spellEnd"/>
      <w:r w:rsidRPr="00885061">
        <w:rPr>
          <w:sz w:val="18"/>
          <w:szCs w:val="18"/>
        </w:rPr>
        <w:t xml:space="preserve"> CF, Zhang L, Harding G, </w:t>
      </w:r>
      <w:proofErr w:type="spellStart"/>
      <w:r w:rsidRPr="00885061">
        <w:rPr>
          <w:sz w:val="18"/>
          <w:szCs w:val="18"/>
        </w:rPr>
        <w:t>Foxman</w:t>
      </w:r>
      <w:proofErr w:type="spellEnd"/>
      <w:r w:rsidRPr="00885061">
        <w:rPr>
          <w:sz w:val="18"/>
          <w:szCs w:val="18"/>
        </w:rPr>
        <w:t xml:space="preserve"> B. Long-term </w:t>
      </w:r>
      <w:r w:rsidRPr="00885061">
        <w:rPr>
          <w:i/>
          <w:sz w:val="18"/>
          <w:szCs w:val="18"/>
        </w:rPr>
        <w:t>Escherichia coli</w:t>
      </w:r>
      <w:r w:rsidRPr="00885061">
        <w:rPr>
          <w:sz w:val="18"/>
          <w:szCs w:val="18"/>
        </w:rPr>
        <w:t xml:space="preserve"> Asymptomatic </w:t>
      </w:r>
      <w:proofErr w:type="spellStart"/>
      <w:r w:rsidRPr="00885061">
        <w:rPr>
          <w:sz w:val="18"/>
          <w:szCs w:val="18"/>
        </w:rPr>
        <w:t>bacteriuria</w:t>
      </w:r>
      <w:proofErr w:type="spellEnd"/>
      <w:r w:rsidRPr="00885061">
        <w:rPr>
          <w:sz w:val="18"/>
          <w:szCs w:val="18"/>
        </w:rPr>
        <w:t xml:space="preserve"> among women with diabetes mellitus. </w:t>
      </w:r>
      <w:proofErr w:type="spellStart"/>
      <w:r w:rsidRPr="00885061">
        <w:rPr>
          <w:sz w:val="18"/>
          <w:szCs w:val="18"/>
        </w:rPr>
        <w:t>Clin</w:t>
      </w:r>
      <w:proofErr w:type="spellEnd"/>
      <w:r w:rsidRPr="00885061">
        <w:rPr>
          <w:sz w:val="18"/>
          <w:szCs w:val="18"/>
        </w:rPr>
        <w:t xml:space="preserve"> Infect </w:t>
      </w:r>
      <w:proofErr w:type="spellStart"/>
      <w:r w:rsidRPr="00885061">
        <w:rPr>
          <w:sz w:val="18"/>
          <w:szCs w:val="18"/>
        </w:rPr>
        <w:t>Dis</w:t>
      </w:r>
      <w:proofErr w:type="spellEnd"/>
      <w:r w:rsidRPr="00885061">
        <w:rPr>
          <w:sz w:val="18"/>
          <w:szCs w:val="18"/>
        </w:rPr>
        <w:t xml:space="preserve"> 2009; 49: 491 – 497.</w:t>
      </w:r>
    </w:p>
    <w:p w:rsidR="00925014" w:rsidRPr="00885061" w:rsidRDefault="00925014" w:rsidP="00885061">
      <w:pPr>
        <w:pStyle w:val="NoSpacing"/>
        <w:numPr>
          <w:ilvl w:val="0"/>
          <w:numId w:val="9"/>
        </w:numPr>
        <w:suppressAutoHyphens w:val="0"/>
        <w:snapToGrid w:val="0"/>
        <w:ind w:left="425" w:hanging="425"/>
        <w:jc w:val="both"/>
        <w:rPr>
          <w:rStyle w:val="doi1"/>
          <w:sz w:val="18"/>
          <w:szCs w:val="18"/>
        </w:rPr>
      </w:pPr>
      <w:proofErr w:type="spellStart"/>
      <w:r w:rsidRPr="00885061">
        <w:rPr>
          <w:sz w:val="18"/>
          <w:szCs w:val="18"/>
        </w:rPr>
        <w:t>Mendonca</w:t>
      </w:r>
      <w:proofErr w:type="spellEnd"/>
      <w:r w:rsidRPr="00885061">
        <w:rPr>
          <w:sz w:val="18"/>
          <w:szCs w:val="18"/>
        </w:rPr>
        <w:t xml:space="preserve"> N, Joana L, Vera M, Eugenia F, the Antimicrobial Resistance Surveillance Program in Portugal, Manuela C. Spread of Extended-Spectrum β-</w:t>
      </w:r>
      <w:proofErr w:type="spellStart"/>
      <w:r w:rsidRPr="00885061">
        <w:rPr>
          <w:sz w:val="18"/>
          <w:szCs w:val="18"/>
        </w:rPr>
        <w:t>Lactamase</w:t>
      </w:r>
      <w:proofErr w:type="spellEnd"/>
      <w:r w:rsidRPr="00885061">
        <w:rPr>
          <w:sz w:val="18"/>
          <w:szCs w:val="18"/>
        </w:rPr>
        <w:t xml:space="preserve"> CTX-M-Producing </w:t>
      </w:r>
      <w:r w:rsidRPr="00885061">
        <w:rPr>
          <w:i/>
          <w:sz w:val="18"/>
          <w:szCs w:val="18"/>
        </w:rPr>
        <w:t>Escherichia coli</w:t>
      </w:r>
      <w:r w:rsidRPr="00885061">
        <w:rPr>
          <w:sz w:val="18"/>
          <w:szCs w:val="18"/>
        </w:rPr>
        <w:t xml:space="preserve"> Clinical Isolates in Community and </w:t>
      </w:r>
      <w:proofErr w:type="spellStart"/>
      <w:r w:rsidRPr="00885061">
        <w:rPr>
          <w:sz w:val="18"/>
          <w:szCs w:val="18"/>
        </w:rPr>
        <w:t>Nosocomial</w:t>
      </w:r>
      <w:proofErr w:type="spellEnd"/>
      <w:r w:rsidRPr="00885061">
        <w:rPr>
          <w:sz w:val="18"/>
          <w:szCs w:val="18"/>
        </w:rPr>
        <w:t xml:space="preserve"> Environments in Portugal. </w:t>
      </w:r>
      <w:proofErr w:type="spellStart"/>
      <w:r w:rsidRPr="00885061">
        <w:rPr>
          <w:sz w:val="18"/>
          <w:szCs w:val="18"/>
        </w:rPr>
        <w:t>Antimicrob</w:t>
      </w:r>
      <w:proofErr w:type="spellEnd"/>
      <w:r w:rsidRPr="00885061">
        <w:rPr>
          <w:sz w:val="18"/>
          <w:szCs w:val="18"/>
        </w:rPr>
        <w:t xml:space="preserve">. Agents </w:t>
      </w:r>
      <w:proofErr w:type="spellStart"/>
      <w:r w:rsidRPr="00885061">
        <w:rPr>
          <w:sz w:val="18"/>
          <w:szCs w:val="18"/>
        </w:rPr>
        <w:t>Chemother</w:t>
      </w:r>
      <w:proofErr w:type="spellEnd"/>
      <w:r w:rsidRPr="00885061">
        <w:rPr>
          <w:sz w:val="18"/>
          <w:szCs w:val="18"/>
        </w:rPr>
        <w:t xml:space="preserve"> 2007; 51: 1946-1955.</w:t>
      </w:r>
    </w:p>
    <w:p w:rsidR="00925014" w:rsidRPr="00885061" w:rsidRDefault="00925014" w:rsidP="00885061">
      <w:pPr>
        <w:pStyle w:val="NoSpacing"/>
        <w:numPr>
          <w:ilvl w:val="0"/>
          <w:numId w:val="9"/>
        </w:numPr>
        <w:suppressAutoHyphens w:val="0"/>
        <w:snapToGrid w:val="0"/>
        <w:ind w:left="425" w:hanging="425"/>
        <w:jc w:val="both"/>
        <w:rPr>
          <w:sz w:val="18"/>
          <w:szCs w:val="18"/>
        </w:rPr>
      </w:pPr>
      <w:r w:rsidRPr="00885061">
        <w:rPr>
          <w:sz w:val="18"/>
          <w:szCs w:val="18"/>
        </w:rPr>
        <w:t xml:space="preserve">Nicolle LE. Asymptomatic </w:t>
      </w:r>
      <w:proofErr w:type="spellStart"/>
      <w:r w:rsidRPr="00885061">
        <w:rPr>
          <w:sz w:val="18"/>
          <w:szCs w:val="18"/>
        </w:rPr>
        <w:t>bacteriuria</w:t>
      </w:r>
      <w:proofErr w:type="spellEnd"/>
      <w:r w:rsidRPr="00885061">
        <w:rPr>
          <w:sz w:val="18"/>
          <w:szCs w:val="18"/>
        </w:rPr>
        <w:t xml:space="preserve">: when to screen and when to treat. Infect </w:t>
      </w:r>
      <w:proofErr w:type="spellStart"/>
      <w:r w:rsidRPr="00885061">
        <w:rPr>
          <w:sz w:val="18"/>
          <w:szCs w:val="18"/>
        </w:rPr>
        <w:t>Dis</w:t>
      </w:r>
      <w:proofErr w:type="spellEnd"/>
      <w:r w:rsidRPr="00885061">
        <w:rPr>
          <w:sz w:val="18"/>
          <w:szCs w:val="18"/>
        </w:rPr>
        <w:t xml:space="preserve"> </w:t>
      </w:r>
      <w:proofErr w:type="spellStart"/>
      <w:r w:rsidRPr="00885061">
        <w:rPr>
          <w:sz w:val="18"/>
          <w:szCs w:val="18"/>
        </w:rPr>
        <w:t>Clin</w:t>
      </w:r>
      <w:proofErr w:type="spellEnd"/>
      <w:r w:rsidRPr="00885061">
        <w:rPr>
          <w:sz w:val="18"/>
          <w:szCs w:val="18"/>
        </w:rPr>
        <w:t xml:space="preserve"> North Am 2003; 17:367-394.</w:t>
      </w:r>
    </w:p>
    <w:p w:rsidR="00925014" w:rsidRPr="00885061" w:rsidRDefault="00925014" w:rsidP="00885061">
      <w:pPr>
        <w:pStyle w:val="NoSpacing"/>
        <w:numPr>
          <w:ilvl w:val="0"/>
          <w:numId w:val="9"/>
        </w:numPr>
        <w:suppressAutoHyphens w:val="0"/>
        <w:snapToGrid w:val="0"/>
        <w:ind w:left="425" w:hanging="425"/>
        <w:jc w:val="both"/>
        <w:rPr>
          <w:sz w:val="18"/>
          <w:szCs w:val="18"/>
        </w:rPr>
      </w:pPr>
      <w:proofErr w:type="spellStart"/>
      <w:r w:rsidRPr="00885061">
        <w:rPr>
          <w:sz w:val="18"/>
          <w:szCs w:val="18"/>
        </w:rPr>
        <w:t>Okesola</w:t>
      </w:r>
      <w:proofErr w:type="spellEnd"/>
      <w:r w:rsidRPr="00885061">
        <w:rPr>
          <w:sz w:val="18"/>
          <w:szCs w:val="18"/>
        </w:rPr>
        <w:t xml:space="preserve"> AO, </w:t>
      </w:r>
      <w:proofErr w:type="spellStart"/>
      <w:r w:rsidRPr="00885061">
        <w:rPr>
          <w:sz w:val="18"/>
          <w:szCs w:val="18"/>
        </w:rPr>
        <w:t>Makanjuola</w:t>
      </w:r>
      <w:proofErr w:type="spellEnd"/>
      <w:r w:rsidRPr="00885061">
        <w:rPr>
          <w:sz w:val="18"/>
          <w:szCs w:val="18"/>
        </w:rPr>
        <w:t xml:space="preserve"> O. Resistance to third-generation </w:t>
      </w:r>
      <w:proofErr w:type="spellStart"/>
      <w:r w:rsidRPr="00885061">
        <w:rPr>
          <w:sz w:val="18"/>
          <w:szCs w:val="18"/>
        </w:rPr>
        <w:t>cephalosporins</w:t>
      </w:r>
      <w:proofErr w:type="spellEnd"/>
      <w:r w:rsidRPr="00885061">
        <w:rPr>
          <w:sz w:val="18"/>
          <w:szCs w:val="18"/>
        </w:rPr>
        <w:t xml:space="preserve"> and other antibiotics by </w:t>
      </w:r>
      <w:proofErr w:type="spellStart"/>
      <w:r w:rsidRPr="00885061">
        <w:rPr>
          <w:i/>
          <w:sz w:val="18"/>
          <w:szCs w:val="18"/>
        </w:rPr>
        <w:t>Enterobacteriaceae</w:t>
      </w:r>
      <w:proofErr w:type="spellEnd"/>
      <w:r w:rsidRPr="00885061">
        <w:rPr>
          <w:sz w:val="18"/>
          <w:szCs w:val="18"/>
        </w:rPr>
        <w:t xml:space="preserve"> in Western Nigeria. American Journal of Infectious Diseases 2009; 5: 17-20.</w:t>
      </w:r>
    </w:p>
    <w:p w:rsidR="00925014" w:rsidRPr="00885061" w:rsidRDefault="00925014" w:rsidP="00885061">
      <w:pPr>
        <w:pStyle w:val="NoSpacing"/>
        <w:numPr>
          <w:ilvl w:val="0"/>
          <w:numId w:val="9"/>
        </w:numPr>
        <w:suppressAutoHyphens w:val="0"/>
        <w:snapToGrid w:val="0"/>
        <w:ind w:left="425" w:hanging="425"/>
        <w:jc w:val="both"/>
        <w:rPr>
          <w:sz w:val="18"/>
          <w:szCs w:val="18"/>
        </w:rPr>
      </w:pPr>
      <w:r w:rsidRPr="00885061">
        <w:rPr>
          <w:sz w:val="18"/>
          <w:szCs w:val="18"/>
        </w:rPr>
        <w:t xml:space="preserve">Paterson DL, </w:t>
      </w:r>
      <w:proofErr w:type="spellStart"/>
      <w:r w:rsidRPr="00885061">
        <w:rPr>
          <w:sz w:val="18"/>
          <w:szCs w:val="18"/>
        </w:rPr>
        <w:t>Bonomo</w:t>
      </w:r>
      <w:proofErr w:type="spellEnd"/>
      <w:r w:rsidRPr="00885061">
        <w:rPr>
          <w:sz w:val="18"/>
          <w:szCs w:val="18"/>
        </w:rPr>
        <w:t xml:space="preserve"> RA. Extended-Spectrum Beta-</w:t>
      </w:r>
      <w:proofErr w:type="spellStart"/>
      <w:r w:rsidRPr="00885061">
        <w:rPr>
          <w:sz w:val="18"/>
          <w:szCs w:val="18"/>
        </w:rPr>
        <w:t>Lactamase</w:t>
      </w:r>
      <w:proofErr w:type="spellEnd"/>
      <w:r w:rsidRPr="00885061">
        <w:rPr>
          <w:sz w:val="18"/>
          <w:szCs w:val="18"/>
        </w:rPr>
        <w:t xml:space="preserve">: a Clinical Update. </w:t>
      </w:r>
      <w:proofErr w:type="spellStart"/>
      <w:r w:rsidRPr="00885061">
        <w:rPr>
          <w:sz w:val="18"/>
          <w:szCs w:val="18"/>
        </w:rPr>
        <w:t>Clin</w:t>
      </w:r>
      <w:proofErr w:type="spellEnd"/>
      <w:r w:rsidRPr="00885061">
        <w:rPr>
          <w:sz w:val="18"/>
          <w:szCs w:val="18"/>
        </w:rPr>
        <w:t xml:space="preserve">. </w:t>
      </w:r>
      <w:proofErr w:type="spellStart"/>
      <w:r w:rsidRPr="00885061">
        <w:rPr>
          <w:sz w:val="18"/>
          <w:szCs w:val="18"/>
        </w:rPr>
        <w:t>Microbiol</w:t>
      </w:r>
      <w:proofErr w:type="spellEnd"/>
      <w:r w:rsidRPr="00885061">
        <w:rPr>
          <w:sz w:val="18"/>
          <w:szCs w:val="18"/>
        </w:rPr>
        <w:t>. Rev 2005; 18(4): 657-686.</w:t>
      </w:r>
    </w:p>
    <w:p w:rsidR="00925014" w:rsidRPr="00885061" w:rsidRDefault="00925014" w:rsidP="00885061">
      <w:pPr>
        <w:pStyle w:val="NoSpacing"/>
        <w:numPr>
          <w:ilvl w:val="0"/>
          <w:numId w:val="9"/>
        </w:numPr>
        <w:suppressAutoHyphens w:val="0"/>
        <w:snapToGrid w:val="0"/>
        <w:ind w:left="425" w:hanging="425"/>
        <w:jc w:val="both"/>
        <w:rPr>
          <w:sz w:val="18"/>
          <w:szCs w:val="18"/>
        </w:rPr>
      </w:pPr>
      <w:proofErr w:type="spellStart"/>
      <w:r w:rsidRPr="00885061">
        <w:rPr>
          <w:bCs/>
          <w:sz w:val="18"/>
          <w:szCs w:val="18"/>
        </w:rPr>
        <w:t>Pitout</w:t>
      </w:r>
      <w:proofErr w:type="spellEnd"/>
      <w:r w:rsidRPr="00885061">
        <w:rPr>
          <w:bCs/>
          <w:sz w:val="18"/>
          <w:szCs w:val="18"/>
        </w:rPr>
        <w:t xml:space="preserve"> JD, </w:t>
      </w:r>
      <w:proofErr w:type="spellStart"/>
      <w:r w:rsidRPr="00885061">
        <w:rPr>
          <w:bCs/>
          <w:sz w:val="18"/>
          <w:szCs w:val="18"/>
        </w:rPr>
        <w:t>Nordmann</w:t>
      </w:r>
      <w:proofErr w:type="spellEnd"/>
      <w:r w:rsidRPr="00885061">
        <w:rPr>
          <w:bCs/>
          <w:sz w:val="18"/>
          <w:szCs w:val="18"/>
        </w:rPr>
        <w:t xml:space="preserve"> P, </w:t>
      </w:r>
      <w:proofErr w:type="spellStart"/>
      <w:r w:rsidRPr="00885061">
        <w:rPr>
          <w:bCs/>
          <w:sz w:val="18"/>
          <w:szCs w:val="18"/>
        </w:rPr>
        <w:t>Laupland</w:t>
      </w:r>
      <w:proofErr w:type="spellEnd"/>
      <w:r w:rsidRPr="00885061">
        <w:rPr>
          <w:bCs/>
          <w:sz w:val="18"/>
          <w:szCs w:val="18"/>
        </w:rPr>
        <w:t xml:space="preserve"> KB, </w:t>
      </w:r>
      <w:proofErr w:type="spellStart"/>
      <w:r w:rsidRPr="00885061">
        <w:rPr>
          <w:bCs/>
          <w:sz w:val="18"/>
          <w:szCs w:val="18"/>
        </w:rPr>
        <w:t>Poirel</w:t>
      </w:r>
      <w:proofErr w:type="spellEnd"/>
      <w:r w:rsidRPr="00885061">
        <w:rPr>
          <w:bCs/>
          <w:sz w:val="18"/>
          <w:szCs w:val="18"/>
        </w:rPr>
        <w:t xml:space="preserve"> L</w:t>
      </w:r>
      <w:r w:rsidRPr="00885061">
        <w:rPr>
          <w:sz w:val="18"/>
          <w:szCs w:val="18"/>
        </w:rPr>
        <w:t xml:space="preserve">. Emergence of </w:t>
      </w:r>
      <w:proofErr w:type="spellStart"/>
      <w:r w:rsidRPr="00885061">
        <w:rPr>
          <w:sz w:val="18"/>
          <w:szCs w:val="18"/>
        </w:rPr>
        <w:t>Enterobacteriaceae</w:t>
      </w:r>
      <w:proofErr w:type="spellEnd"/>
      <w:r w:rsidRPr="00885061">
        <w:rPr>
          <w:sz w:val="18"/>
          <w:szCs w:val="18"/>
        </w:rPr>
        <w:t xml:space="preserve"> producing extended-spectrum _-</w:t>
      </w:r>
      <w:proofErr w:type="spellStart"/>
      <w:r w:rsidRPr="00885061">
        <w:rPr>
          <w:sz w:val="18"/>
          <w:szCs w:val="18"/>
        </w:rPr>
        <w:t>lactamases</w:t>
      </w:r>
      <w:proofErr w:type="spellEnd"/>
      <w:r w:rsidRPr="00885061">
        <w:rPr>
          <w:sz w:val="18"/>
          <w:szCs w:val="18"/>
        </w:rPr>
        <w:t xml:space="preserve"> (ESBLs) in the community. J. </w:t>
      </w:r>
      <w:proofErr w:type="spellStart"/>
      <w:r w:rsidRPr="00885061">
        <w:rPr>
          <w:sz w:val="18"/>
          <w:szCs w:val="18"/>
        </w:rPr>
        <w:t>Antimicrob</w:t>
      </w:r>
      <w:proofErr w:type="spellEnd"/>
      <w:r w:rsidRPr="00885061">
        <w:rPr>
          <w:sz w:val="18"/>
          <w:szCs w:val="18"/>
        </w:rPr>
        <w:t xml:space="preserve">. </w:t>
      </w:r>
      <w:proofErr w:type="spellStart"/>
      <w:r w:rsidRPr="00885061">
        <w:rPr>
          <w:sz w:val="18"/>
          <w:szCs w:val="18"/>
        </w:rPr>
        <w:t>Chemother</w:t>
      </w:r>
      <w:proofErr w:type="spellEnd"/>
      <w:r w:rsidRPr="00885061">
        <w:rPr>
          <w:sz w:val="18"/>
          <w:szCs w:val="18"/>
        </w:rPr>
        <w:t xml:space="preserve">. 2005; </w:t>
      </w:r>
      <w:r w:rsidRPr="00885061">
        <w:rPr>
          <w:bCs/>
          <w:sz w:val="18"/>
          <w:szCs w:val="18"/>
        </w:rPr>
        <w:t>56</w:t>
      </w:r>
      <w:r w:rsidRPr="00885061">
        <w:rPr>
          <w:b/>
          <w:bCs/>
          <w:sz w:val="18"/>
          <w:szCs w:val="18"/>
        </w:rPr>
        <w:t>:</w:t>
      </w:r>
      <w:r w:rsidRPr="00885061">
        <w:rPr>
          <w:sz w:val="18"/>
          <w:szCs w:val="18"/>
        </w:rPr>
        <w:t>52–59.</w:t>
      </w:r>
    </w:p>
    <w:p w:rsidR="00925014" w:rsidRPr="00885061" w:rsidRDefault="00925014" w:rsidP="00885061">
      <w:pPr>
        <w:pStyle w:val="NoSpacing"/>
        <w:numPr>
          <w:ilvl w:val="0"/>
          <w:numId w:val="9"/>
        </w:numPr>
        <w:suppressAutoHyphens w:val="0"/>
        <w:snapToGrid w:val="0"/>
        <w:ind w:left="425" w:hanging="425"/>
        <w:jc w:val="both"/>
        <w:rPr>
          <w:sz w:val="18"/>
          <w:szCs w:val="18"/>
        </w:rPr>
      </w:pPr>
      <w:r w:rsidRPr="00885061">
        <w:rPr>
          <w:sz w:val="18"/>
          <w:szCs w:val="18"/>
        </w:rPr>
        <w:t xml:space="preserve">Richard C, Lindsay EN, Andrew M, Thomas MH. 2006. Asymptomatic </w:t>
      </w:r>
      <w:proofErr w:type="spellStart"/>
      <w:r w:rsidRPr="00885061">
        <w:rPr>
          <w:sz w:val="18"/>
          <w:szCs w:val="18"/>
        </w:rPr>
        <w:t>bacteriuria</w:t>
      </w:r>
      <w:proofErr w:type="spellEnd"/>
      <w:r w:rsidRPr="00885061">
        <w:rPr>
          <w:sz w:val="18"/>
          <w:szCs w:val="18"/>
        </w:rPr>
        <w:t xml:space="preserve"> in adults. </w:t>
      </w:r>
      <w:proofErr w:type="gramStart"/>
      <w:r w:rsidRPr="00885061">
        <w:rPr>
          <w:sz w:val="18"/>
          <w:szCs w:val="18"/>
        </w:rPr>
        <w:t>Am</w:t>
      </w:r>
      <w:proofErr w:type="gramEnd"/>
      <w:r w:rsidRPr="00885061">
        <w:rPr>
          <w:sz w:val="18"/>
          <w:szCs w:val="18"/>
        </w:rPr>
        <w:t xml:space="preserve"> </w:t>
      </w:r>
      <w:proofErr w:type="spellStart"/>
      <w:r w:rsidRPr="00885061">
        <w:rPr>
          <w:sz w:val="18"/>
          <w:szCs w:val="18"/>
        </w:rPr>
        <w:t>Fam</w:t>
      </w:r>
      <w:proofErr w:type="spellEnd"/>
      <w:r w:rsidRPr="00885061">
        <w:rPr>
          <w:sz w:val="18"/>
          <w:szCs w:val="18"/>
        </w:rPr>
        <w:t xml:space="preserve"> Physician 2006; 74:985 – 990.</w:t>
      </w:r>
    </w:p>
    <w:p w:rsidR="00925014" w:rsidRPr="00885061" w:rsidRDefault="00925014" w:rsidP="00885061">
      <w:pPr>
        <w:pStyle w:val="NoSpacing"/>
        <w:numPr>
          <w:ilvl w:val="0"/>
          <w:numId w:val="9"/>
        </w:numPr>
        <w:suppressAutoHyphens w:val="0"/>
        <w:snapToGrid w:val="0"/>
        <w:ind w:left="425" w:hanging="425"/>
        <w:jc w:val="both"/>
        <w:rPr>
          <w:sz w:val="18"/>
          <w:szCs w:val="18"/>
        </w:rPr>
      </w:pPr>
      <w:proofErr w:type="spellStart"/>
      <w:r w:rsidRPr="00885061">
        <w:rPr>
          <w:sz w:val="18"/>
          <w:szCs w:val="18"/>
        </w:rPr>
        <w:t>Soge</w:t>
      </w:r>
      <w:proofErr w:type="spellEnd"/>
      <w:r w:rsidRPr="00885061">
        <w:rPr>
          <w:sz w:val="18"/>
          <w:szCs w:val="18"/>
        </w:rPr>
        <w:t xml:space="preserve"> OO, </w:t>
      </w:r>
      <w:proofErr w:type="spellStart"/>
      <w:r w:rsidRPr="00885061">
        <w:rPr>
          <w:sz w:val="18"/>
          <w:szCs w:val="18"/>
        </w:rPr>
        <w:t>Adeniyi</w:t>
      </w:r>
      <w:proofErr w:type="spellEnd"/>
      <w:r w:rsidRPr="00885061">
        <w:rPr>
          <w:sz w:val="18"/>
          <w:szCs w:val="18"/>
        </w:rPr>
        <w:t xml:space="preserve"> BA, Roberts MC. New antibiotic resistance genes associated with CTX-M plasmids from </w:t>
      </w:r>
      <w:proofErr w:type="spellStart"/>
      <w:r w:rsidRPr="00885061">
        <w:rPr>
          <w:sz w:val="18"/>
          <w:szCs w:val="18"/>
        </w:rPr>
        <w:t>uropathogenic</w:t>
      </w:r>
      <w:proofErr w:type="spellEnd"/>
      <w:r w:rsidRPr="00885061">
        <w:rPr>
          <w:sz w:val="18"/>
          <w:szCs w:val="18"/>
        </w:rPr>
        <w:t xml:space="preserve"> Nigerian </w:t>
      </w:r>
      <w:proofErr w:type="spellStart"/>
      <w:r w:rsidRPr="00885061">
        <w:rPr>
          <w:i/>
          <w:sz w:val="18"/>
          <w:szCs w:val="18"/>
        </w:rPr>
        <w:t>Klebsiella</w:t>
      </w:r>
      <w:proofErr w:type="spellEnd"/>
      <w:r w:rsidRPr="00885061">
        <w:rPr>
          <w:i/>
          <w:sz w:val="18"/>
          <w:szCs w:val="18"/>
        </w:rPr>
        <w:t xml:space="preserve"> pneumonia</w:t>
      </w:r>
      <w:r w:rsidRPr="00885061">
        <w:rPr>
          <w:sz w:val="18"/>
          <w:szCs w:val="18"/>
        </w:rPr>
        <w:t xml:space="preserve">. J. </w:t>
      </w:r>
      <w:proofErr w:type="spellStart"/>
      <w:r w:rsidRPr="00885061">
        <w:rPr>
          <w:sz w:val="18"/>
          <w:szCs w:val="18"/>
        </w:rPr>
        <w:t>Antimicrob.Chemother</w:t>
      </w:r>
      <w:proofErr w:type="spellEnd"/>
      <w:r w:rsidRPr="00885061">
        <w:rPr>
          <w:sz w:val="18"/>
          <w:szCs w:val="18"/>
        </w:rPr>
        <w:t xml:space="preserve"> 2006; 58: 1048-1053.</w:t>
      </w:r>
    </w:p>
    <w:p w:rsidR="00925014" w:rsidRPr="00885061" w:rsidRDefault="00925014" w:rsidP="00885061">
      <w:pPr>
        <w:pStyle w:val="NoSpacing"/>
        <w:numPr>
          <w:ilvl w:val="0"/>
          <w:numId w:val="9"/>
        </w:numPr>
        <w:suppressAutoHyphens w:val="0"/>
        <w:snapToGrid w:val="0"/>
        <w:ind w:left="425" w:hanging="425"/>
        <w:jc w:val="both"/>
        <w:rPr>
          <w:sz w:val="18"/>
          <w:szCs w:val="18"/>
        </w:rPr>
      </w:pPr>
      <w:proofErr w:type="spellStart"/>
      <w:r w:rsidRPr="00885061">
        <w:rPr>
          <w:sz w:val="18"/>
          <w:szCs w:val="18"/>
        </w:rPr>
        <w:t>Tamuno</w:t>
      </w:r>
      <w:proofErr w:type="spellEnd"/>
      <w:r w:rsidRPr="00885061">
        <w:rPr>
          <w:sz w:val="18"/>
          <w:szCs w:val="18"/>
        </w:rPr>
        <w:t xml:space="preserve"> I, Mohammed SI. Self-medication with antibiotics amongst students of a Nigerian Tertiary Institution. J. Basic Appl. Sci. Res 2011; 1: 1319-1326.</w:t>
      </w:r>
    </w:p>
    <w:p w:rsidR="00925014" w:rsidRPr="00885061" w:rsidRDefault="00925014" w:rsidP="00885061">
      <w:pPr>
        <w:pStyle w:val="NoSpacing"/>
        <w:numPr>
          <w:ilvl w:val="0"/>
          <w:numId w:val="9"/>
        </w:numPr>
        <w:suppressAutoHyphens w:val="0"/>
        <w:snapToGrid w:val="0"/>
        <w:ind w:left="425" w:hanging="425"/>
        <w:jc w:val="both"/>
        <w:rPr>
          <w:sz w:val="18"/>
          <w:szCs w:val="18"/>
        </w:rPr>
      </w:pPr>
      <w:proofErr w:type="spellStart"/>
      <w:r w:rsidRPr="00885061">
        <w:rPr>
          <w:sz w:val="18"/>
          <w:szCs w:val="18"/>
        </w:rPr>
        <w:t>Tijjani</w:t>
      </w:r>
      <w:proofErr w:type="spellEnd"/>
      <w:r w:rsidRPr="00885061">
        <w:rPr>
          <w:sz w:val="18"/>
          <w:szCs w:val="18"/>
        </w:rPr>
        <w:t xml:space="preserve"> J, </w:t>
      </w:r>
      <w:proofErr w:type="spellStart"/>
      <w:r w:rsidRPr="00885061">
        <w:rPr>
          <w:sz w:val="18"/>
          <w:szCs w:val="18"/>
        </w:rPr>
        <w:t>Arzai</w:t>
      </w:r>
      <w:proofErr w:type="spellEnd"/>
      <w:r w:rsidRPr="00885061">
        <w:rPr>
          <w:sz w:val="18"/>
          <w:szCs w:val="18"/>
        </w:rPr>
        <w:t xml:space="preserve"> AH, </w:t>
      </w:r>
      <w:proofErr w:type="spellStart"/>
      <w:r w:rsidRPr="00885061">
        <w:rPr>
          <w:sz w:val="18"/>
          <w:szCs w:val="18"/>
        </w:rPr>
        <w:t>Sadiq</w:t>
      </w:r>
      <w:proofErr w:type="spellEnd"/>
      <w:r w:rsidRPr="00885061">
        <w:rPr>
          <w:sz w:val="18"/>
          <w:szCs w:val="18"/>
        </w:rPr>
        <w:t xml:space="preserve"> NM. Antimicrobial susceptibility pattern of </w:t>
      </w:r>
      <w:proofErr w:type="spellStart"/>
      <w:r w:rsidRPr="00885061">
        <w:rPr>
          <w:sz w:val="18"/>
          <w:szCs w:val="18"/>
        </w:rPr>
        <w:t>exteneded</w:t>
      </w:r>
      <w:proofErr w:type="spellEnd"/>
      <w:r w:rsidRPr="00885061">
        <w:rPr>
          <w:sz w:val="18"/>
          <w:szCs w:val="18"/>
        </w:rPr>
        <w:t>-spectrum beta-</w:t>
      </w:r>
      <w:proofErr w:type="spellStart"/>
      <w:r w:rsidRPr="00885061">
        <w:rPr>
          <w:sz w:val="18"/>
          <w:szCs w:val="18"/>
        </w:rPr>
        <w:t>lactamase</w:t>
      </w:r>
      <w:proofErr w:type="spellEnd"/>
      <w:r w:rsidRPr="00885061">
        <w:rPr>
          <w:sz w:val="18"/>
          <w:szCs w:val="18"/>
        </w:rPr>
        <w:t xml:space="preserve"> producers in Gram negative </w:t>
      </w:r>
      <w:proofErr w:type="spellStart"/>
      <w:r w:rsidRPr="00885061">
        <w:rPr>
          <w:sz w:val="18"/>
          <w:szCs w:val="18"/>
        </w:rPr>
        <w:t>urogenital</w:t>
      </w:r>
      <w:proofErr w:type="spellEnd"/>
      <w:r w:rsidRPr="00885061">
        <w:rPr>
          <w:sz w:val="18"/>
          <w:szCs w:val="18"/>
        </w:rPr>
        <w:t xml:space="preserve"> isolates in Kano, Nigeria. </w:t>
      </w:r>
      <w:proofErr w:type="spellStart"/>
      <w:r w:rsidRPr="00885061">
        <w:rPr>
          <w:sz w:val="18"/>
          <w:szCs w:val="18"/>
        </w:rPr>
        <w:t>Bayero</w:t>
      </w:r>
      <w:proofErr w:type="spellEnd"/>
      <w:r w:rsidRPr="00885061">
        <w:rPr>
          <w:sz w:val="18"/>
          <w:szCs w:val="18"/>
        </w:rPr>
        <w:t xml:space="preserve"> Journal of Pure and Applied Sciences 2012; 5: 20-25.</w:t>
      </w:r>
    </w:p>
    <w:p w:rsidR="00885061" w:rsidRPr="00885061" w:rsidRDefault="00925014" w:rsidP="00885061">
      <w:pPr>
        <w:pStyle w:val="NoSpacing"/>
        <w:numPr>
          <w:ilvl w:val="0"/>
          <w:numId w:val="9"/>
        </w:numPr>
        <w:suppressAutoHyphens w:val="0"/>
        <w:snapToGrid w:val="0"/>
        <w:ind w:left="425" w:hanging="425"/>
        <w:jc w:val="both"/>
        <w:rPr>
          <w:b/>
          <w:sz w:val="18"/>
          <w:szCs w:val="18"/>
        </w:rPr>
      </w:pPr>
      <w:r w:rsidRPr="00885061">
        <w:rPr>
          <w:sz w:val="18"/>
          <w:szCs w:val="18"/>
        </w:rPr>
        <w:t xml:space="preserve">Yah SC, Yusuf OE, </w:t>
      </w:r>
      <w:proofErr w:type="spellStart"/>
      <w:r w:rsidRPr="00885061">
        <w:rPr>
          <w:sz w:val="18"/>
          <w:szCs w:val="18"/>
        </w:rPr>
        <w:t>Eghafona</w:t>
      </w:r>
      <w:proofErr w:type="spellEnd"/>
      <w:r w:rsidRPr="00885061">
        <w:rPr>
          <w:sz w:val="18"/>
          <w:szCs w:val="18"/>
        </w:rPr>
        <w:t xml:space="preserve"> NO. Pattern of antibiotic usage by adult populations in the city of Benin, Nigeria. Scientific Research and Essay 2008; 3: 081-085.</w:t>
      </w:r>
    </w:p>
    <w:p w:rsidR="00885061" w:rsidRPr="00885061" w:rsidRDefault="00885061" w:rsidP="00885061">
      <w:pPr>
        <w:snapToGrid w:val="0"/>
        <w:ind w:left="425" w:hanging="425"/>
        <w:jc w:val="both"/>
        <w:rPr>
          <w:b/>
          <w:sz w:val="18"/>
          <w:szCs w:val="18"/>
        </w:rPr>
        <w:sectPr w:rsidR="00885061" w:rsidRPr="00885061" w:rsidSect="00E531DB">
          <w:headerReference w:type="default" r:id="rId22"/>
          <w:footerReference w:type="even" r:id="rId23"/>
          <w:footerReference w:type="default" r:id="rId24"/>
          <w:footnotePr>
            <w:pos w:val="beneathText"/>
          </w:footnotePr>
          <w:type w:val="continuous"/>
          <w:pgSz w:w="12240" w:h="15840" w:code="1"/>
          <w:pgMar w:top="1440" w:right="1440" w:bottom="1440" w:left="1440" w:header="720" w:footer="720" w:gutter="0"/>
          <w:cols w:num="2" w:space="720"/>
          <w:docGrid w:linePitch="360"/>
        </w:sectPr>
      </w:pPr>
    </w:p>
    <w:p w:rsidR="000E7D03" w:rsidRPr="00885061" w:rsidRDefault="000E7D03" w:rsidP="00885061">
      <w:pPr>
        <w:snapToGrid w:val="0"/>
        <w:ind w:left="425" w:hanging="425"/>
        <w:jc w:val="both"/>
        <w:rPr>
          <w:b/>
          <w:sz w:val="18"/>
          <w:szCs w:val="18"/>
          <w:lang w:eastAsia="zh-CN"/>
        </w:rPr>
      </w:pPr>
    </w:p>
    <w:p w:rsidR="00885061" w:rsidRPr="00885061" w:rsidRDefault="00885061" w:rsidP="00885061">
      <w:pPr>
        <w:snapToGrid w:val="0"/>
        <w:ind w:left="425" w:hanging="425"/>
        <w:jc w:val="both"/>
        <w:rPr>
          <w:b/>
          <w:sz w:val="20"/>
          <w:szCs w:val="20"/>
          <w:lang w:eastAsia="zh-CN"/>
        </w:rPr>
      </w:pPr>
    </w:p>
    <w:p w:rsidR="00925014" w:rsidRPr="00885061" w:rsidRDefault="000E7D03" w:rsidP="00885061">
      <w:pPr>
        <w:snapToGrid w:val="0"/>
        <w:ind w:left="425" w:hanging="425"/>
        <w:jc w:val="both"/>
        <w:rPr>
          <w:sz w:val="20"/>
          <w:szCs w:val="20"/>
        </w:rPr>
      </w:pPr>
      <w:r w:rsidRPr="00885061">
        <w:rPr>
          <w:sz w:val="20"/>
          <w:szCs w:val="20"/>
        </w:rPr>
        <w:t>4/11/2014</w:t>
      </w:r>
    </w:p>
    <w:sectPr w:rsidR="00925014" w:rsidRPr="00885061" w:rsidSect="00E531DB">
      <w:headerReference w:type="default" r:id="rId25"/>
      <w:footerReference w:type="even" r:id="rId26"/>
      <w:footerReference w:type="default" r:id="rId27"/>
      <w:footnotePr>
        <w:pos w:val="beneathText"/>
      </w:footnotePr>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F07" w:rsidRDefault="00996F07">
      <w:r>
        <w:separator/>
      </w:r>
    </w:p>
  </w:endnote>
  <w:endnote w:type="continuationSeparator" w:id="0">
    <w:p w:rsidR="00996F07" w:rsidRDefault="00996F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061" w:rsidRDefault="008D6B32" w:rsidP="00B3167C">
    <w:pPr>
      <w:pStyle w:val="Footer"/>
      <w:framePr w:wrap="around" w:vAnchor="text" w:hAnchor="margin" w:xAlign="center" w:y="1"/>
      <w:rPr>
        <w:rStyle w:val="PageNumber"/>
      </w:rPr>
    </w:pPr>
    <w:r>
      <w:rPr>
        <w:rStyle w:val="PageNumber"/>
      </w:rPr>
      <w:fldChar w:fldCharType="begin"/>
    </w:r>
    <w:r w:rsidR="00885061">
      <w:rPr>
        <w:rStyle w:val="PageNumber"/>
      </w:rPr>
      <w:instrText xml:space="preserve">PAGE  </w:instrText>
    </w:r>
    <w:r>
      <w:rPr>
        <w:rStyle w:val="PageNumber"/>
      </w:rPr>
      <w:fldChar w:fldCharType="end"/>
    </w:r>
  </w:p>
  <w:p w:rsidR="00885061" w:rsidRDefault="00885061"/>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0E7D03" w:rsidRDefault="008D6B32" w:rsidP="000E7D03">
    <w:pPr>
      <w:jc w:val="center"/>
      <w:rPr>
        <w:sz w:val="20"/>
      </w:rPr>
    </w:pPr>
    <w:r w:rsidRPr="000E7D03">
      <w:rPr>
        <w:sz w:val="20"/>
      </w:rPr>
      <w:fldChar w:fldCharType="begin"/>
    </w:r>
    <w:r w:rsidR="000E7D03" w:rsidRPr="000E7D03">
      <w:rPr>
        <w:sz w:val="20"/>
      </w:rPr>
      <w:instrText xml:space="preserve"> page </w:instrText>
    </w:r>
    <w:r w:rsidRPr="000E7D03">
      <w:rPr>
        <w:sz w:val="20"/>
      </w:rPr>
      <w:fldChar w:fldCharType="separate"/>
    </w:r>
    <w:r w:rsidR="00A56299">
      <w:rPr>
        <w:noProof/>
        <w:sz w:val="20"/>
      </w:rPr>
      <w:t>5</w:t>
    </w:r>
    <w:r w:rsidRPr="000E7D03">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061" w:rsidRPr="000E7D03" w:rsidRDefault="008D6B32" w:rsidP="000E7D03">
    <w:pPr>
      <w:jc w:val="center"/>
      <w:rPr>
        <w:sz w:val="20"/>
      </w:rPr>
    </w:pPr>
    <w:r w:rsidRPr="000E7D03">
      <w:rPr>
        <w:sz w:val="20"/>
      </w:rPr>
      <w:fldChar w:fldCharType="begin"/>
    </w:r>
    <w:r w:rsidR="00885061" w:rsidRPr="000E7D03">
      <w:rPr>
        <w:sz w:val="20"/>
      </w:rPr>
      <w:instrText xml:space="preserve"> page </w:instrText>
    </w:r>
    <w:r w:rsidRPr="000E7D03">
      <w:rPr>
        <w:sz w:val="20"/>
      </w:rPr>
      <w:fldChar w:fldCharType="separate"/>
    </w:r>
    <w:r w:rsidR="00D202D3">
      <w:rPr>
        <w:noProof/>
        <w:sz w:val="20"/>
      </w:rPr>
      <w:t>111</w:t>
    </w:r>
    <w:r w:rsidRPr="000E7D03">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061" w:rsidRDefault="008D6B32" w:rsidP="00B3167C">
    <w:pPr>
      <w:pStyle w:val="Footer"/>
      <w:framePr w:wrap="around" w:vAnchor="text" w:hAnchor="margin" w:xAlign="center" w:y="1"/>
      <w:rPr>
        <w:rStyle w:val="PageNumber"/>
      </w:rPr>
    </w:pPr>
    <w:r>
      <w:rPr>
        <w:rStyle w:val="PageNumber"/>
      </w:rPr>
      <w:fldChar w:fldCharType="begin"/>
    </w:r>
    <w:r w:rsidR="00885061">
      <w:rPr>
        <w:rStyle w:val="PageNumber"/>
      </w:rPr>
      <w:instrText xml:space="preserve">PAGE  </w:instrText>
    </w:r>
    <w:r>
      <w:rPr>
        <w:rStyle w:val="PageNumber"/>
      </w:rPr>
      <w:fldChar w:fldCharType="end"/>
    </w:r>
  </w:p>
  <w:p w:rsidR="00885061" w:rsidRDefault="00885061"/>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061" w:rsidRPr="000E7D03" w:rsidRDefault="008D6B32" w:rsidP="000E7D03">
    <w:pPr>
      <w:jc w:val="center"/>
      <w:rPr>
        <w:sz w:val="20"/>
      </w:rPr>
    </w:pPr>
    <w:r w:rsidRPr="000E7D03">
      <w:rPr>
        <w:sz w:val="20"/>
      </w:rPr>
      <w:fldChar w:fldCharType="begin"/>
    </w:r>
    <w:r w:rsidR="00885061" w:rsidRPr="000E7D03">
      <w:rPr>
        <w:sz w:val="20"/>
      </w:rPr>
      <w:instrText xml:space="preserve"> page </w:instrText>
    </w:r>
    <w:r w:rsidRPr="000E7D03">
      <w:rPr>
        <w:sz w:val="20"/>
      </w:rPr>
      <w:fldChar w:fldCharType="separate"/>
    </w:r>
    <w:r w:rsidR="00D202D3">
      <w:rPr>
        <w:noProof/>
        <w:sz w:val="20"/>
      </w:rPr>
      <w:t>112</w:t>
    </w:r>
    <w:r w:rsidRPr="000E7D03">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061" w:rsidRDefault="008D6B32" w:rsidP="00B3167C">
    <w:pPr>
      <w:pStyle w:val="Footer"/>
      <w:framePr w:wrap="around" w:vAnchor="text" w:hAnchor="margin" w:xAlign="center" w:y="1"/>
      <w:rPr>
        <w:rStyle w:val="PageNumber"/>
      </w:rPr>
    </w:pPr>
    <w:r>
      <w:rPr>
        <w:rStyle w:val="PageNumber"/>
      </w:rPr>
      <w:fldChar w:fldCharType="begin"/>
    </w:r>
    <w:r w:rsidR="00885061">
      <w:rPr>
        <w:rStyle w:val="PageNumber"/>
      </w:rPr>
      <w:instrText xml:space="preserve">PAGE  </w:instrText>
    </w:r>
    <w:r>
      <w:rPr>
        <w:rStyle w:val="PageNumber"/>
      </w:rPr>
      <w:fldChar w:fldCharType="end"/>
    </w:r>
  </w:p>
  <w:p w:rsidR="00885061" w:rsidRDefault="00885061"/>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061" w:rsidRPr="000E7D03" w:rsidRDefault="008D6B32" w:rsidP="000E7D03">
    <w:pPr>
      <w:jc w:val="center"/>
      <w:rPr>
        <w:sz w:val="20"/>
      </w:rPr>
    </w:pPr>
    <w:r w:rsidRPr="000E7D03">
      <w:rPr>
        <w:sz w:val="20"/>
      </w:rPr>
      <w:fldChar w:fldCharType="begin"/>
    </w:r>
    <w:r w:rsidR="00885061" w:rsidRPr="000E7D03">
      <w:rPr>
        <w:sz w:val="20"/>
      </w:rPr>
      <w:instrText xml:space="preserve"> page </w:instrText>
    </w:r>
    <w:r w:rsidRPr="000E7D03">
      <w:rPr>
        <w:sz w:val="20"/>
      </w:rPr>
      <w:fldChar w:fldCharType="separate"/>
    </w:r>
    <w:r w:rsidR="00D202D3">
      <w:rPr>
        <w:noProof/>
        <w:sz w:val="20"/>
      </w:rPr>
      <w:t>113</w:t>
    </w:r>
    <w:r w:rsidRPr="000E7D03">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061" w:rsidRDefault="008D6B32" w:rsidP="00B3167C">
    <w:pPr>
      <w:pStyle w:val="Footer"/>
      <w:framePr w:wrap="around" w:vAnchor="text" w:hAnchor="margin" w:xAlign="center" w:y="1"/>
      <w:rPr>
        <w:rStyle w:val="PageNumber"/>
      </w:rPr>
    </w:pPr>
    <w:r>
      <w:rPr>
        <w:rStyle w:val="PageNumber"/>
      </w:rPr>
      <w:fldChar w:fldCharType="begin"/>
    </w:r>
    <w:r w:rsidR="00885061">
      <w:rPr>
        <w:rStyle w:val="PageNumber"/>
      </w:rPr>
      <w:instrText xml:space="preserve">PAGE  </w:instrText>
    </w:r>
    <w:r>
      <w:rPr>
        <w:rStyle w:val="PageNumber"/>
      </w:rPr>
      <w:fldChar w:fldCharType="end"/>
    </w:r>
  </w:p>
  <w:p w:rsidR="00885061" w:rsidRDefault="00885061"/>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061" w:rsidRPr="000E7D03" w:rsidRDefault="008D6B32" w:rsidP="000E7D03">
    <w:pPr>
      <w:jc w:val="center"/>
      <w:rPr>
        <w:sz w:val="20"/>
      </w:rPr>
    </w:pPr>
    <w:r w:rsidRPr="000E7D03">
      <w:rPr>
        <w:sz w:val="20"/>
      </w:rPr>
      <w:fldChar w:fldCharType="begin"/>
    </w:r>
    <w:r w:rsidR="00885061" w:rsidRPr="000E7D03">
      <w:rPr>
        <w:sz w:val="20"/>
      </w:rPr>
      <w:instrText xml:space="preserve"> page </w:instrText>
    </w:r>
    <w:r w:rsidRPr="000E7D03">
      <w:rPr>
        <w:sz w:val="20"/>
      </w:rPr>
      <w:fldChar w:fldCharType="separate"/>
    </w:r>
    <w:r w:rsidR="00D202D3">
      <w:rPr>
        <w:noProof/>
        <w:sz w:val="20"/>
      </w:rPr>
      <w:t>114</w:t>
    </w:r>
    <w:r w:rsidRPr="000E7D03">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8D6B32"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F07" w:rsidRDefault="00996F07">
      <w:r>
        <w:separator/>
      </w:r>
    </w:p>
  </w:footnote>
  <w:footnote w:type="continuationSeparator" w:id="0">
    <w:p w:rsidR="00996F07" w:rsidRDefault="00996F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061" w:rsidRPr="000E7D03" w:rsidRDefault="00885061" w:rsidP="000E7D03">
    <w:pPr>
      <w:pBdr>
        <w:bottom w:val="thinThickMediumGap" w:sz="12" w:space="1" w:color="auto"/>
      </w:pBdr>
      <w:tabs>
        <w:tab w:val="left" w:pos="851"/>
        <w:tab w:val="right" w:pos="8364"/>
      </w:tabs>
      <w:adjustRightInd w:val="0"/>
      <w:snapToGrid w:val="0"/>
      <w:jc w:val="both"/>
      <w:rPr>
        <w:sz w:val="20"/>
        <w:szCs w:val="20"/>
      </w:rPr>
    </w:pPr>
    <w:r w:rsidRPr="000E7D03">
      <w:rPr>
        <w:rFonts w:hint="eastAsia"/>
        <w:iCs/>
        <w:color w:val="000000"/>
        <w:sz w:val="20"/>
        <w:szCs w:val="20"/>
      </w:rPr>
      <w:tab/>
    </w:r>
    <w:r w:rsidRPr="000E7D03">
      <w:rPr>
        <w:sz w:val="20"/>
        <w:szCs w:val="20"/>
      </w:rPr>
      <w:t>Nature and Science 201</w:t>
    </w:r>
    <w:r w:rsidRPr="000E7D03">
      <w:rPr>
        <w:rFonts w:hint="eastAsia"/>
        <w:sz w:val="20"/>
        <w:szCs w:val="20"/>
      </w:rPr>
      <w:t>4</w:t>
    </w:r>
    <w:proofErr w:type="gramStart"/>
    <w:r w:rsidRPr="000E7D03">
      <w:rPr>
        <w:sz w:val="20"/>
        <w:szCs w:val="20"/>
      </w:rPr>
      <w:t>;1</w:t>
    </w:r>
    <w:r w:rsidRPr="000E7D03">
      <w:rPr>
        <w:rFonts w:hint="eastAsia"/>
        <w:sz w:val="20"/>
        <w:szCs w:val="20"/>
      </w:rPr>
      <w:t>2</w:t>
    </w:r>
    <w:proofErr w:type="gramEnd"/>
    <w:r w:rsidRPr="000E7D03">
      <w:rPr>
        <w:sz w:val="20"/>
        <w:szCs w:val="20"/>
      </w:rPr>
      <w:t>(</w:t>
    </w:r>
    <w:r w:rsidRPr="000E7D03">
      <w:rPr>
        <w:rFonts w:hint="eastAsia"/>
        <w:sz w:val="20"/>
        <w:szCs w:val="20"/>
      </w:rPr>
      <w:t>4</w:t>
    </w:r>
    <w:r w:rsidRPr="000E7D03">
      <w:rPr>
        <w:sz w:val="20"/>
        <w:szCs w:val="20"/>
      </w:rPr>
      <w:t xml:space="preserve">) </w:t>
    </w:r>
    <w:r w:rsidRPr="000E7D03">
      <w:rPr>
        <w:color w:val="000000"/>
        <w:sz w:val="20"/>
        <w:szCs w:val="20"/>
      </w:rPr>
      <w:t xml:space="preserve"> </w:t>
    </w:r>
    <w:r w:rsidRPr="000E7D03">
      <w:rPr>
        <w:rFonts w:hint="eastAsia"/>
        <w:color w:val="000000"/>
        <w:sz w:val="20"/>
        <w:szCs w:val="20"/>
      </w:rPr>
      <w:tab/>
    </w:r>
    <w:r w:rsidRPr="000E7D03">
      <w:rPr>
        <w:color w:val="000000"/>
        <w:sz w:val="20"/>
        <w:szCs w:val="20"/>
      </w:rPr>
      <w:t xml:space="preserve"> </w:t>
    </w:r>
    <w:hyperlink r:id="rId1" w:history="1">
      <w:r w:rsidRPr="000E7D03">
        <w:rPr>
          <w:rStyle w:val="Hyperlink"/>
          <w:sz w:val="20"/>
          <w:szCs w:val="20"/>
        </w:rPr>
        <w:t>http://www.sciencepub.net/nature</w:t>
      </w:r>
    </w:hyperlink>
  </w:p>
  <w:p w:rsidR="00885061" w:rsidRPr="000E7D03" w:rsidRDefault="00885061" w:rsidP="000E7D03">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061" w:rsidRPr="000E7D03" w:rsidRDefault="00885061" w:rsidP="000E7D03">
    <w:pPr>
      <w:pBdr>
        <w:bottom w:val="thinThickMediumGap" w:sz="12" w:space="1" w:color="auto"/>
      </w:pBdr>
      <w:tabs>
        <w:tab w:val="left" w:pos="851"/>
        <w:tab w:val="right" w:pos="8364"/>
      </w:tabs>
      <w:adjustRightInd w:val="0"/>
      <w:snapToGrid w:val="0"/>
      <w:jc w:val="both"/>
      <w:rPr>
        <w:sz w:val="20"/>
        <w:szCs w:val="20"/>
      </w:rPr>
    </w:pPr>
    <w:r w:rsidRPr="000E7D03">
      <w:rPr>
        <w:rFonts w:hint="eastAsia"/>
        <w:iCs/>
        <w:color w:val="000000"/>
        <w:sz w:val="20"/>
        <w:szCs w:val="20"/>
      </w:rPr>
      <w:tab/>
    </w:r>
    <w:r w:rsidRPr="000E7D03">
      <w:rPr>
        <w:sz w:val="20"/>
        <w:szCs w:val="20"/>
      </w:rPr>
      <w:t>Nature and Science 201</w:t>
    </w:r>
    <w:r w:rsidRPr="000E7D03">
      <w:rPr>
        <w:rFonts w:hint="eastAsia"/>
        <w:sz w:val="20"/>
        <w:szCs w:val="20"/>
      </w:rPr>
      <w:t>4</w:t>
    </w:r>
    <w:proofErr w:type="gramStart"/>
    <w:r w:rsidRPr="000E7D03">
      <w:rPr>
        <w:sz w:val="20"/>
        <w:szCs w:val="20"/>
      </w:rPr>
      <w:t>;1</w:t>
    </w:r>
    <w:r w:rsidRPr="000E7D03">
      <w:rPr>
        <w:rFonts w:hint="eastAsia"/>
        <w:sz w:val="20"/>
        <w:szCs w:val="20"/>
      </w:rPr>
      <w:t>2</w:t>
    </w:r>
    <w:proofErr w:type="gramEnd"/>
    <w:r w:rsidRPr="000E7D03">
      <w:rPr>
        <w:sz w:val="20"/>
        <w:szCs w:val="20"/>
      </w:rPr>
      <w:t>(</w:t>
    </w:r>
    <w:r w:rsidRPr="000E7D03">
      <w:rPr>
        <w:rFonts w:hint="eastAsia"/>
        <w:sz w:val="20"/>
        <w:szCs w:val="20"/>
      </w:rPr>
      <w:t>4</w:t>
    </w:r>
    <w:r w:rsidRPr="000E7D03">
      <w:rPr>
        <w:sz w:val="20"/>
        <w:szCs w:val="20"/>
      </w:rPr>
      <w:t xml:space="preserve">) </w:t>
    </w:r>
    <w:r w:rsidRPr="000E7D03">
      <w:rPr>
        <w:color w:val="000000"/>
        <w:sz w:val="20"/>
        <w:szCs w:val="20"/>
      </w:rPr>
      <w:t xml:space="preserve"> </w:t>
    </w:r>
    <w:r w:rsidRPr="000E7D03">
      <w:rPr>
        <w:rFonts w:hint="eastAsia"/>
        <w:color w:val="000000"/>
        <w:sz w:val="20"/>
        <w:szCs w:val="20"/>
      </w:rPr>
      <w:tab/>
    </w:r>
    <w:r w:rsidRPr="000E7D03">
      <w:rPr>
        <w:color w:val="000000"/>
        <w:sz w:val="20"/>
        <w:szCs w:val="20"/>
      </w:rPr>
      <w:t xml:space="preserve"> </w:t>
    </w:r>
    <w:hyperlink r:id="rId1" w:history="1">
      <w:r w:rsidRPr="000E7D03">
        <w:rPr>
          <w:rStyle w:val="Hyperlink"/>
          <w:sz w:val="20"/>
          <w:szCs w:val="20"/>
        </w:rPr>
        <w:t>http://www.sciencepub.net/nature</w:t>
      </w:r>
    </w:hyperlink>
  </w:p>
  <w:p w:rsidR="00885061" w:rsidRPr="000E7D03" w:rsidRDefault="00885061" w:rsidP="000E7D03">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061" w:rsidRPr="000E7D03" w:rsidRDefault="00885061" w:rsidP="000E7D03">
    <w:pPr>
      <w:pBdr>
        <w:bottom w:val="thinThickMediumGap" w:sz="12" w:space="1" w:color="auto"/>
      </w:pBdr>
      <w:tabs>
        <w:tab w:val="left" w:pos="851"/>
        <w:tab w:val="right" w:pos="8364"/>
      </w:tabs>
      <w:adjustRightInd w:val="0"/>
      <w:snapToGrid w:val="0"/>
      <w:jc w:val="both"/>
      <w:rPr>
        <w:sz w:val="20"/>
        <w:szCs w:val="20"/>
      </w:rPr>
    </w:pPr>
    <w:r w:rsidRPr="000E7D03">
      <w:rPr>
        <w:rFonts w:hint="eastAsia"/>
        <w:iCs/>
        <w:color w:val="000000"/>
        <w:sz w:val="20"/>
        <w:szCs w:val="20"/>
      </w:rPr>
      <w:tab/>
    </w:r>
    <w:r w:rsidRPr="000E7D03">
      <w:rPr>
        <w:sz w:val="20"/>
        <w:szCs w:val="20"/>
      </w:rPr>
      <w:t>Nature and Science 201</w:t>
    </w:r>
    <w:r w:rsidRPr="000E7D03">
      <w:rPr>
        <w:rFonts w:hint="eastAsia"/>
        <w:sz w:val="20"/>
        <w:szCs w:val="20"/>
      </w:rPr>
      <w:t>4</w:t>
    </w:r>
    <w:proofErr w:type="gramStart"/>
    <w:r w:rsidRPr="000E7D03">
      <w:rPr>
        <w:sz w:val="20"/>
        <w:szCs w:val="20"/>
      </w:rPr>
      <w:t>;1</w:t>
    </w:r>
    <w:r w:rsidRPr="000E7D03">
      <w:rPr>
        <w:rFonts w:hint="eastAsia"/>
        <w:sz w:val="20"/>
        <w:szCs w:val="20"/>
      </w:rPr>
      <w:t>2</w:t>
    </w:r>
    <w:proofErr w:type="gramEnd"/>
    <w:r w:rsidRPr="000E7D03">
      <w:rPr>
        <w:sz w:val="20"/>
        <w:szCs w:val="20"/>
      </w:rPr>
      <w:t>(</w:t>
    </w:r>
    <w:r w:rsidRPr="000E7D03">
      <w:rPr>
        <w:rFonts w:hint="eastAsia"/>
        <w:sz w:val="20"/>
        <w:szCs w:val="20"/>
      </w:rPr>
      <w:t>4</w:t>
    </w:r>
    <w:r w:rsidRPr="000E7D03">
      <w:rPr>
        <w:sz w:val="20"/>
        <w:szCs w:val="20"/>
      </w:rPr>
      <w:t xml:space="preserve">) </w:t>
    </w:r>
    <w:r w:rsidRPr="000E7D03">
      <w:rPr>
        <w:color w:val="000000"/>
        <w:sz w:val="20"/>
        <w:szCs w:val="20"/>
      </w:rPr>
      <w:t xml:space="preserve"> </w:t>
    </w:r>
    <w:r w:rsidRPr="000E7D03">
      <w:rPr>
        <w:rFonts w:hint="eastAsia"/>
        <w:color w:val="000000"/>
        <w:sz w:val="20"/>
        <w:szCs w:val="20"/>
      </w:rPr>
      <w:tab/>
    </w:r>
    <w:r w:rsidRPr="000E7D03">
      <w:rPr>
        <w:color w:val="000000"/>
        <w:sz w:val="20"/>
        <w:szCs w:val="20"/>
      </w:rPr>
      <w:t xml:space="preserve"> </w:t>
    </w:r>
    <w:hyperlink r:id="rId1" w:history="1">
      <w:r w:rsidRPr="000E7D03">
        <w:rPr>
          <w:rStyle w:val="Hyperlink"/>
          <w:sz w:val="20"/>
          <w:szCs w:val="20"/>
        </w:rPr>
        <w:t>http://www.sciencepub.net/nature</w:t>
      </w:r>
    </w:hyperlink>
  </w:p>
  <w:p w:rsidR="00885061" w:rsidRPr="000E7D03" w:rsidRDefault="00885061" w:rsidP="000E7D03">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061" w:rsidRPr="000E7D03" w:rsidRDefault="00885061" w:rsidP="000E7D03">
    <w:pPr>
      <w:pBdr>
        <w:bottom w:val="thinThickMediumGap" w:sz="12" w:space="1" w:color="auto"/>
      </w:pBdr>
      <w:tabs>
        <w:tab w:val="left" w:pos="851"/>
        <w:tab w:val="right" w:pos="8364"/>
      </w:tabs>
      <w:adjustRightInd w:val="0"/>
      <w:snapToGrid w:val="0"/>
      <w:jc w:val="both"/>
      <w:rPr>
        <w:sz w:val="20"/>
        <w:szCs w:val="20"/>
      </w:rPr>
    </w:pPr>
    <w:r w:rsidRPr="000E7D03">
      <w:rPr>
        <w:rFonts w:hint="eastAsia"/>
        <w:iCs/>
        <w:color w:val="000000"/>
        <w:sz w:val="20"/>
        <w:szCs w:val="20"/>
      </w:rPr>
      <w:tab/>
    </w:r>
    <w:r w:rsidRPr="000E7D03">
      <w:rPr>
        <w:sz w:val="20"/>
        <w:szCs w:val="20"/>
      </w:rPr>
      <w:t>Nature and Science 201</w:t>
    </w:r>
    <w:r w:rsidRPr="000E7D03">
      <w:rPr>
        <w:rFonts w:hint="eastAsia"/>
        <w:sz w:val="20"/>
        <w:szCs w:val="20"/>
      </w:rPr>
      <w:t>4</w:t>
    </w:r>
    <w:proofErr w:type="gramStart"/>
    <w:r w:rsidRPr="000E7D03">
      <w:rPr>
        <w:sz w:val="20"/>
        <w:szCs w:val="20"/>
      </w:rPr>
      <w:t>;1</w:t>
    </w:r>
    <w:r w:rsidRPr="000E7D03">
      <w:rPr>
        <w:rFonts w:hint="eastAsia"/>
        <w:sz w:val="20"/>
        <w:szCs w:val="20"/>
      </w:rPr>
      <w:t>2</w:t>
    </w:r>
    <w:proofErr w:type="gramEnd"/>
    <w:r w:rsidRPr="000E7D03">
      <w:rPr>
        <w:sz w:val="20"/>
        <w:szCs w:val="20"/>
      </w:rPr>
      <w:t>(</w:t>
    </w:r>
    <w:r w:rsidRPr="000E7D03">
      <w:rPr>
        <w:rFonts w:hint="eastAsia"/>
        <w:sz w:val="20"/>
        <w:szCs w:val="20"/>
      </w:rPr>
      <w:t>4</w:t>
    </w:r>
    <w:r w:rsidRPr="000E7D03">
      <w:rPr>
        <w:sz w:val="20"/>
        <w:szCs w:val="20"/>
      </w:rPr>
      <w:t xml:space="preserve">) </w:t>
    </w:r>
    <w:r w:rsidRPr="000E7D03">
      <w:rPr>
        <w:color w:val="000000"/>
        <w:sz w:val="20"/>
        <w:szCs w:val="20"/>
      </w:rPr>
      <w:t xml:space="preserve"> </w:t>
    </w:r>
    <w:r w:rsidRPr="000E7D03">
      <w:rPr>
        <w:rFonts w:hint="eastAsia"/>
        <w:color w:val="000000"/>
        <w:sz w:val="20"/>
        <w:szCs w:val="20"/>
      </w:rPr>
      <w:tab/>
    </w:r>
    <w:r w:rsidRPr="000E7D03">
      <w:rPr>
        <w:color w:val="000000"/>
        <w:sz w:val="20"/>
        <w:szCs w:val="20"/>
      </w:rPr>
      <w:t xml:space="preserve"> </w:t>
    </w:r>
    <w:hyperlink r:id="rId1" w:history="1">
      <w:r w:rsidRPr="000E7D03">
        <w:rPr>
          <w:rStyle w:val="Hyperlink"/>
          <w:sz w:val="20"/>
          <w:szCs w:val="20"/>
        </w:rPr>
        <w:t>http://www.sciencepub.net/nature</w:t>
      </w:r>
    </w:hyperlink>
  </w:p>
  <w:p w:rsidR="00885061" w:rsidRPr="000E7D03" w:rsidRDefault="00885061" w:rsidP="000E7D03">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D03" w:rsidRPr="000E7D03" w:rsidRDefault="000E7D03" w:rsidP="000E7D03">
    <w:pPr>
      <w:pBdr>
        <w:bottom w:val="thinThickMediumGap" w:sz="12" w:space="1" w:color="auto"/>
      </w:pBdr>
      <w:tabs>
        <w:tab w:val="left" w:pos="851"/>
        <w:tab w:val="right" w:pos="8364"/>
      </w:tabs>
      <w:adjustRightInd w:val="0"/>
      <w:snapToGrid w:val="0"/>
      <w:jc w:val="both"/>
      <w:rPr>
        <w:sz w:val="20"/>
        <w:szCs w:val="20"/>
      </w:rPr>
    </w:pPr>
    <w:r w:rsidRPr="000E7D03">
      <w:rPr>
        <w:rFonts w:hint="eastAsia"/>
        <w:iCs/>
        <w:color w:val="000000"/>
        <w:sz w:val="20"/>
        <w:szCs w:val="20"/>
      </w:rPr>
      <w:tab/>
    </w:r>
    <w:r w:rsidRPr="000E7D03">
      <w:rPr>
        <w:sz w:val="20"/>
        <w:szCs w:val="20"/>
      </w:rPr>
      <w:t>Nature and Science 201</w:t>
    </w:r>
    <w:r w:rsidRPr="000E7D03">
      <w:rPr>
        <w:rFonts w:hint="eastAsia"/>
        <w:sz w:val="20"/>
        <w:szCs w:val="20"/>
      </w:rPr>
      <w:t>4</w:t>
    </w:r>
    <w:proofErr w:type="gramStart"/>
    <w:r w:rsidRPr="000E7D03">
      <w:rPr>
        <w:sz w:val="20"/>
        <w:szCs w:val="20"/>
      </w:rPr>
      <w:t>;1</w:t>
    </w:r>
    <w:r w:rsidRPr="000E7D03">
      <w:rPr>
        <w:rFonts w:hint="eastAsia"/>
        <w:sz w:val="20"/>
        <w:szCs w:val="20"/>
      </w:rPr>
      <w:t>2</w:t>
    </w:r>
    <w:proofErr w:type="gramEnd"/>
    <w:r w:rsidRPr="000E7D03">
      <w:rPr>
        <w:sz w:val="20"/>
        <w:szCs w:val="20"/>
      </w:rPr>
      <w:t>(</w:t>
    </w:r>
    <w:r w:rsidRPr="000E7D03">
      <w:rPr>
        <w:rFonts w:hint="eastAsia"/>
        <w:sz w:val="20"/>
        <w:szCs w:val="20"/>
      </w:rPr>
      <w:t>4</w:t>
    </w:r>
    <w:r w:rsidRPr="000E7D03">
      <w:rPr>
        <w:sz w:val="20"/>
        <w:szCs w:val="20"/>
      </w:rPr>
      <w:t xml:space="preserve">) </w:t>
    </w:r>
    <w:r w:rsidRPr="000E7D03">
      <w:rPr>
        <w:color w:val="000000"/>
        <w:sz w:val="20"/>
        <w:szCs w:val="20"/>
      </w:rPr>
      <w:t xml:space="preserve"> </w:t>
    </w:r>
    <w:r w:rsidRPr="000E7D03">
      <w:rPr>
        <w:rFonts w:hint="eastAsia"/>
        <w:color w:val="000000"/>
        <w:sz w:val="20"/>
        <w:szCs w:val="20"/>
      </w:rPr>
      <w:tab/>
    </w:r>
    <w:r w:rsidRPr="000E7D03">
      <w:rPr>
        <w:color w:val="000000"/>
        <w:sz w:val="20"/>
        <w:szCs w:val="20"/>
      </w:rPr>
      <w:t xml:space="preserve"> </w:t>
    </w:r>
    <w:hyperlink r:id="rId1" w:history="1">
      <w:r w:rsidRPr="000E7D03">
        <w:rPr>
          <w:rStyle w:val="Hyperlink"/>
          <w:sz w:val="20"/>
          <w:szCs w:val="20"/>
        </w:rPr>
        <w:t>http://www.sciencepub.net/nature</w:t>
      </w:r>
    </w:hyperlink>
  </w:p>
  <w:p w:rsidR="000E7D03" w:rsidRPr="000E7D03" w:rsidRDefault="000E7D03" w:rsidP="000E7D03">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EC2632"/>
    <w:multiLevelType w:val="hybridMultilevel"/>
    <w:tmpl w:val="F3C8D48A"/>
    <w:lvl w:ilvl="0" w:tplc="6D22322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0"/>
  </w:num>
  <w:num w:numId="6">
    <w:abstractNumId w:val="0"/>
  </w:num>
  <w:num w:numId="7">
    <w:abstractNumId w:val="0"/>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2289"/>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67FB1"/>
    <w:rsid w:val="0007289D"/>
    <w:rsid w:val="00080CE9"/>
    <w:rsid w:val="000827B7"/>
    <w:rsid w:val="00090A06"/>
    <w:rsid w:val="000C5F1C"/>
    <w:rsid w:val="000D4463"/>
    <w:rsid w:val="000E7D03"/>
    <w:rsid w:val="0010794D"/>
    <w:rsid w:val="001419AF"/>
    <w:rsid w:val="001817C7"/>
    <w:rsid w:val="001901BB"/>
    <w:rsid w:val="001A678A"/>
    <w:rsid w:val="001B41B8"/>
    <w:rsid w:val="0025739C"/>
    <w:rsid w:val="002A3F39"/>
    <w:rsid w:val="002B7DD4"/>
    <w:rsid w:val="002F17FB"/>
    <w:rsid w:val="002F1E70"/>
    <w:rsid w:val="002F20CD"/>
    <w:rsid w:val="00314F95"/>
    <w:rsid w:val="00322FAB"/>
    <w:rsid w:val="00342698"/>
    <w:rsid w:val="00345581"/>
    <w:rsid w:val="003506F8"/>
    <w:rsid w:val="003C232B"/>
    <w:rsid w:val="003C7F3D"/>
    <w:rsid w:val="003D3BEC"/>
    <w:rsid w:val="003E6D9C"/>
    <w:rsid w:val="0042390D"/>
    <w:rsid w:val="004338E0"/>
    <w:rsid w:val="00456753"/>
    <w:rsid w:val="00471E57"/>
    <w:rsid w:val="0049143E"/>
    <w:rsid w:val="0049290B"/>
    <w:rsid w:val="004B04C5"/>
    <w:rsid w:val="004D0467"/>
    <w:rsid w:val="005021A0"/>
    <w:rsid w:val="00593132"/>
    <w:rsid w:val="005C2F35"/>
    <w:rsid w:val="005F5E04"/>
    <w:rsid w:val="0065209A"/>
    <w:rsid w:val="00677D61"/>
    <w:rsid w:val="00691E50"/>
    <w:rsid w:val="006D2418"/>
    <w:rsid w:val="006D5C2E"/>
    <w:rsid w:val="006E183B"/>
    <w:rsid w:val="006E4A5A"/>
    <w:rsid w:val="006E6ACB"/>
    <w:rsid w:val="006F1706"/>
    <w:rsid w:val="00703D39"/>
    <w:rsid w:val="00706974"/>
    <w:rsid w:val="00734A5D"/>
    <w:rsid w:val="00736333"/>
    <w:rsid w:val="0078507E"/>
    <w:rsid w:val="007D746F"/>
    <w:rsid w:val="007E2AC7"/>
    <w:rsid w:val="00814FA7"/>
    <w:rsid w:val="00817F9F"/>
    <w:rsid w:val="008257AC"/>
    <w:rsid w:val="00845E18"/>
    <w:rsid w:val="00885061"/>
    <w:rsid w:val="008A20AC"/>
    <w:rsid w:val="008A37E9"/>
    <w:rsid w:val="008B4831"/>
    <w:rsid w:val="008C20E4"/>
    <w:rsid w:val="008D6B32"/>
    <w:rsid w:val="0091208A"/>
    <w:rsid w:val="00914558"/>
    <w:rsid w:val="00925014"/>
    <w:rsid w:val="0093397E"/>
    <w:rsid w:val="0094140D"/>
    <w:rsid w:val="009458E4"/>
    <w:rsid w:val="009459B3"/>
    <w:rsid w:val="00952EB8"/>
    <w:rsid w:val="00966860"/>
    <w:rsid w:val="00967438"/>
    <w:rsid w:val="00973C1F"/>
    <w:rsid w:val="00993960"/>
    <w:rsid w:val="00996F07"/>
    <w:rsid w:val="00A2654E"/>
    <w:rsid w:val="00A3476D"/>
    <w:rsid w:val="00A56299"/>
    <w:rsid w:val="00A8020A"/>
    <w:rsid w:val="00AB1810"/>
    <w:rsid w:val="00AD76DC"/>
    <w:rsid w:val="00AF7604"/>
    <w:rsid w:val="00B3167C"/>
    <w:rsid w:val="00B35579"/>
    <w:rsid w:val="00B47F73"/>
    <w:rsid w:val="00B60E8D"/>
    <w:rsid w:val="00B80C0E"/>
    <w:rsid w:val="00BB1BF7"/>
    <w:rsid w:val="00BC1880"/>
    <w:rsid w:val="00BD2A8D"/>
    <w:rsid w:val="00BD7432"/>
    <w:rsid w:val="00BE2060"/>
    <w:rsid w:val="00BF6579"/>
    <w:rsid w:val="00C412DE"/>
    <w:rsid w:val="00C43A46"/>
    <w:rsid w:val="00C603D7"/>
    <w:rsid w:val="00C8147E"/>
    <w:rsid w:val="00CD54D0"/>
    <w:rsid w:val="00CE7B2F"/>
    <w:rsid w:val="00D009CE"/>
    <w:rsid w:val="00D202D2"/>
    <w:rsid w:val="00D202D3"/>
    <w:rsid w:val="00D26F2E"/>
    <w:rsid w:val="00D3777A"/>
    <w:rsid w:val="00DF7353"/>
    <w:rsid w:val="00E2794F"/>
    <w:rsid w:val="00E531DB"/>
    <w:rsid w:val="00E667CD"/>
    <w:rsid w:val="00EB26AA"/>
    <w:rsid w:val="00EC49BF"/>
    <w:rsid w:val="00EC5C53"/>
    <w:rsid w:val="00ED4441"/>
    <w:rsid w:val="00ED54F3"/>
    <w:rsid w:val="00EF3BA2"/>
    <w:rsid w:val="00EF4701"/>
    <w:rsid w:val="00F1775A"/>
    <w:rsid w:val="00F4399A"/>
    <w:rsid w:val="00F45062"/>
    <w:rsid w:val="00F45E1C"/>
    <w:rsid w:val="00F46A5E"/>
    <w:rsid w:val="00F7094E"/>
    <w:rsid w:val="00F71146"/>
    <w:rsid w:val="00FB5B6A"/>
    <w:rsid w:val="00FC2367"/>
    <w:rsid w:val="00FC4906"/>
    <w:rsid w:val="00FE76E4"/>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90B"/>
    <w:pPr>
      <w:suppressAutoHyphens/>
    </w:pPr>
    <w:rPr>
      <w:sz w:val="24"/>
      <w:szCs w:val="24"/>
      <w:lang w:eastAsia="ar-SA"/>
    </w:rPr>
  </w:style>
  <w:style w:type="paragraph" w:styleId="Heading1">
    <w:name w:val="heading 1"/>
    <w:basedOn w:val="Normal"/>
    <w:next w:val="Normal"/>
    <w:qFormat/>
    <w:rsid w:val="0049290B"/>
    <w:pPr>
      <w:keepNext/>
      <w:outlineLvl w:val="0"/>
    </w:pPr>
    <w:rPr>
      <w:b/>
      <w:bCs/>
      <w:sz w:val="32"/>
    </w:rPr>
  </w:style>
  <w:style w:type="paragraph" w:styleId="Heading2">
    <w:name w:val="heading 2"/>
    <w:basedOn w:val="Normal"/>
    <w:next w:val="Normal"/>
    <w:qFormat/>
    <w:rsid w:val="0049290B"/>
    <w:pPr>
      <w:keepNext/>
      <w:jc w:val="both"/>
      <w:outlineLvl w:val="1"/>
    </w:pPr>
    <w:rPr>
      <w:b/>
      <w:sz w:val="28"/>
    </w:rPr>
  </w:style>
  <w:style w:type="paragraph" w:styleId="Heading3">
    <w:name w:val="heading 3"/>
    <w:basedOn w:val="Normal"/>
    <w:next w:val="Normal"/>
    <w:qFormat/>
    <w:rsid w:val="0049290B"/>
    <w:pPr>
      <w:keepNext/>
      <w:spacing w:line="360" w:lineRule="auto"/>
      <w:jc w:val="both"/>
      <w:outlineLvl w:val="2"/>
    </w:pPr>
    <w:rPr>
      <w:b/>
      <w:bCs/>
    </w:rPr>
  </w:style>
  <w:style w:type="paragraph" w:styleId="Heading6">
    <w:name w:val="heading 6"/>
    <w:basedOn w:val="Normal"/>
    <w:next w:val="Normal"/>
    <w:qFormat/>
    <w:rsid w:val="0049290B"/>
    <w:pPr>
      <w:keepNext/>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021A0"/>
  </w:style>
  <w:style w:type="character" w:customStyle="1" w:styleId="WW-Absatz-Standardschriftart">
    <w:name w:val="WW-Absatz-Standardschriftart"/>
    <w:rsid w:val="005021A0"/>
  </w:style>
  <w:style w:type="character" w:customStyle="1" w:styleId="WW-Absatz-Standardschriftart1">
    <w:name w:val="WW-Absatz-Standardschriftart1"/>
    <w:rsid w:val="005021A0"/>
  </w:style>
  <w:style w:type="character" w:customStyle="1" w:styleId="WW-Absatz-Standardschriftart11">
    <w:name w:val="WW-Absatz-Standardschriftart11"/>
    <w:rsid w:val="005021A0"/>
  </w:style>
  <w:style w:type="character" w:customStyle="1" w:styleId="WW-Absatz-Standardschriftart111">
    <w:name w:val="WW-Absatz-Standardschriftart111"/>
    <w:rsid w:val="005021A0"/>
  </w:style>
  <w:style w:type="character" w:customStyle="1" w:styleId="WW-Absatz-Standardschriftart1111">
    <w:name w:val="WW-Absatz-Standardschriftart1111"/>
    <w:rsid w:val="005021A0"/>
  </w:style>
  <w:style w:type="character" w:customStyle="1" w:styleId="WW-Absatz-Standardschriftart11111">
    <w:name w:val="WW-Absatz-Standardschriftart11111"/>
    <w:rsid w:val="005021A0"/>
  </w:style>
  <w:style w:type="character" w:customStyle="1" w:styleId="WW-Absatz-Standardschriftart111111">
    <w:name w:val="WW-Absatz-Standardschriftart111111"/>
    <w:rsid w:val="005021A0"/>
  </w:style>
  <w:style w:type="character" w:customStyle="1" w:styleId="WW-Absatz-Standardschriftart1111111">
    <w:name w:val="WW-Absatz-Standardschriftart1111111"/>
    <w:rsid w:val="005021A0"/>
  </w:style>
  <w:style w:type="character" w:customStyle="1" w:styleId="WW-Absatz-Standardschriftart11111111">
    <w:name w:val="WW-Absatz-Standardschriftart11111111"/>
    <w:rsid w:val="005021A0"/>
  </w:style>
  <w:style w:type="character" w:customStyle="1" w:styleId="WW-Absatz-Standardschriftart111111111">
    <w:name w:val="WW-Absatz-Standardschriftart111111111"/>
    <w:rsid w:val="005021A0"/>
  </w:style>
  <w:style w:type="character" w:customStyle="1" w:styleId="WW-Absatz-Standardschriftart1111111111">
    <w:name w:val="WW-Absatz-Standardschriftart1111111111"/>
    <w:rsid w:val="005021A0"/>
  </w:style>
  <w:style w:type="character" w:customStyle="1" w:styleId="WW-Absatz-Standardschriftart11111111111">
    <w:name w:val="WW-Absatz-Standardschriftart11111111111"/>
    <w:rsid w:val="005021A0"/>
  </w:style>
  <w:style w:type="character" w:customStyle="1" w:styleId="WW-Absatz-Standardschriftart111111111111">
    <w:name w:val="WW-Absatz-Standardschriftart111111111111"/>
    <w:rsid w:val="005021A0"/>
  </w:style>
  <w:style w:type="character" w:customStyle="1" w:styleId="WW-Absatz-Standardschriftart1111111111111">
    <w:name w:val="WW-Absatz-Standardschriftart1111111111111"/>
    <w:rsid w:val="005021A0"/>
  </w:style>
  <w:style w:type="character" w:customStyle="1" w:styleId="WW-Absatz-Standardschriftart11111111111111">
    <w:name w:val="WW-Absatz-Standardschriftart11111111111111"/>
    <w:rsid w:val="005021A0"/>
  </w:style>
  <w:style w:type="character" w:customStyle="1" w:styleId="WW-Absatz-Standardschriftart111111111111111">
    <w:name w:val="WW-Absatz-Standardschriftart111111111111111"/>
    <w:rsid w:val="005021A0"/>
  </w:style>
  <w:style w:type="character" w:customStyle="1" w:styleId="WW-Absatz-Standardschriftart1111111111111111">
    <w:name w:val="WW-Absatz-Standardschriftart1111111111111111"/>
    <w:rsid w:val="005021A0"/>
  </w:style>
  <w:style w:type="character" w:customStyle="1" w:styleId="WW8Num1z0">
    <w:name w:val="WW8Num1z0"/>
    <w:rsid w:val="005021A0"/>
    <w:rPr>
      <w:rFonts w:ascii="Symbol" w:eastAsia="Times New Roman" w:hAnsi="Symbol" w:cs="Times New Roman"/>
    </w:rPr>
  </w:style>
  <w:style w:type="character" w:customStyle="1" w:styleId="WW8Num1z1">
    <w:name w:val="WW8Num1z1"/>
    <w:rsid w:val="005021A0"/>
    <w:rPr>
      <w:rFonts w:ascii="Courier New" w:hAnsi="Courier New" w:cs="Courier New"/>
    </w:rPr>
  </w:style>
  <w:style w:type="character" w:customStyle="1" w:styleId="WW8Num1z2">
    <w:name w:val="WW8Num1z2"/>
    <w:rsid w:val="005021A0"/>
    <w:rPr>
      <w:rFonts w:ascii="Wingdings" w:hAnsi="Wingdings"/>
    </w:rPr>
  </w:style>
  <w:style w:type="character" w:customStyle="1" w:styleId="WW8Num1z3">
    <w:name w:val="WW8Num1z3"/>
    <w:rsid w:val="005021A0"/>
    <w:rPr>
      <w:rFonts w:ascii="Symbol" w:hAnsi="Symbol"/>
    </w:rPr>
  </w:style>
  <w:style w:type="character" w:styleId="PageNumber">
    <w:name w:val="page number"/>
    <w:basedOn w:val="DefaultParagraphFont"/>
    <w:rsid w:val="005021A0"/>
  </w:style>
  <w:style w:type="character" w:styleId="Hyperlink">
    <w:name w:val="Hyperlink"/>
    <w:basedOn w:val="DefaultParagraphFont"/>
    <w:uiPriority w:val="99"/>
    <w:rsid w:val="005021A0"/>
    <w:rPr>
      <w:color w:val="0000FF"/>
      <w:u w:val="single"/>
    </w:rPr>
  </w:style>
  <w:style w:type="character" w:styleId="FollowedHyperlink">
    <w:name w:val="FollowedHyperlink"/>
    <w:basedOn w:val="DefaultParagraphFont"/>
    <w:rsid w:val="005021A0"/>
    <w:rPr>
      <w:color w:val="800080"/>
      <w:u w:val="single"/>
    </w:rPr>
  </w:style>
  <w:style w:type="character" w:customStyle="1" w:styleId="NumberingSymbols">
    <w:name w:val="Numbering Symbols"/>
    <w:rsid w:val="005021A0"/>
  </w:style>
  <w:style w:type="paragraph" w:customStyle="1" w:styleId="Heading">
    <w:name w:val="Heading"/>
    <w:basedOn w:val="Normal"/>
    <w:next w:val="BodyText"/>
    <w:rsid w:val="005021A0"/>
    <w:pPr>
      <w:keepNext/>
      <w:spacing w:before="240" w:after="120"/>
    </w:pPr>
    <w:rPr>
      <w:rFonts w:ascii="Nimbus Sans L" w:eastAsia="DejaVu Sans" w:hAnsi="Nimbus Sans L" w:cs="DejaVu Sans"/>
      <w:sz w:val="28"/>
      <w:szCs w:val="28"/>
    </w:rPr>
  </w:style>
  <w:style w:type="paragraph" w:styleId="BodyText">
    <w:name w:val="Body Text"/>
    <w:basedOn w:val="Normal"/>
    <w:rsid w:val="005021A0"/>
    <w:pPr>
      <w:spacing w:line="360" w:lineRule="auto"/>
    </w:pPr>
  </w:style>
  <w:style w:type="paragraph" w:styleId="List">
    <w:name w:val="List"/>
    <w:basedOn w:val="BodyText"/>
    <w:rsid w:val="005021A0"/>
  </w:style>
  <w:style w:type="paragraph" w:styleId="Caption">
    <w:name w:val="caption"/>
    <w:basedOn w:val="Normal"/>
    <w:qFormat/>
    <w:rsid w:val="0049290B"/>
    <w:pPr>
      <w:suppressLineNumbers/>
      <w:spacing w:before="120" w:after="120"/>
    </w:pPr>
    <w:rPr>
      <w:i/>
      <w:iCs/>
    </w:rPr>
  </w:style>
  <w:style w:type="paragraph" w:customStyle="1" w:styleId="Index">
    <w:name w:val="Index"/>
    <w:basedOn w:val="Normal"/>
    <w:rsid w:val="005021A0"/>
    <w:pPr>
      <w:suppressLineNumbers/>
    </w:pPr>
  </w:style>
  <w:style w:type="paragraph" w:styleId="Header">
    <w:name w:val="header"/>
    <w:basedOn w:val="Normal"/>
    <w:next w:val="Heading1"/>
    <w:link w:val="HeaderChar"/>
    <w:rsid w:val="005021A0"/>
    <w:pPr>
      <w:tabs>
        <w:tab w:val="center" w:pos="4320"/>
        <w:tab w:val="right" w:pos="8640"/>
      </w:tabs>
    </w:pPr>
  </w:style>
  <w:style w:type="paragraph" w:styleId="BodyTextIndent3">
    <w:name w:val="Body Text Indent 3"/>
    <w:basedOn w:val="Normal"/>
    <w:rsid w:val="005021A0"/>
    <w:pPr>
      <w:spacing w:line="360" w:lineRule="auto"/>
      <w:ind w:firstLine="720"/>
      <w:jc w:val="both"/>
    </w:pPr>
    <w:rPr>
      <w:b/>
      <w:bCs/>
    </w:rPr>
  </w:style>
  <w:style w:type="paragraph" w:styleId="BodyTextIndent">
    <w:name w:val="Body Text Indent"/>
    <w:basedOn w:val="Normal"/>
    <w:rsid w:val="005021A0"/>
    <w:pPr>
      <w:ind w:left="540" w:hanging="720"/>
      <w:jc w:val="both"/>
    </w:pPr>
  </w:style>
  <w:style w:type="paragraph" w:styleId="BodyTextIndent2">
    <w:name w:val="Body Text Indent 2"/>
    <w:basedOn w:val="Normal"/>
    <w:rsid w:val="005021A0"/>
    <w:pPr>
      <w:spacing w:line="360" w:lineRule="auto"/>
      <w:ind w:firstLine="720"/>
      <w:jc w:val="both"/>
    </w:pPr>
  </w:style>
  <w:style w:type="paragraph" w:styleId="BodyText2">
    <w:name w:val="Body Text 2"/>
    <w:basedOn w:val="Normal"/>
    <w:rsid w:val="005021A0"/>
    <w:pPr>
      <w:spacing w:line="360" w:lineRule="auto"/>
      <w:jc w:val="both"/>
    </w:pPr>
  </w:style>
  <w:style w:type="paragraph" w:styleId="Footer">
    <w:name w:val="footer"/>
    <w:basedOn w:val="Normal"/>
    <w:rsid w:val="005021A0"/>
    <w:pPr>
      <w:tabs>
        <w:tab w:val="center" w:pos="4320"/>
        <w:tab w:val="right" w:pos="8640"/>
      </w:tabs>
    </w:pPr>
    <w:rPr>
      <w:sz w:val="32"/>
    </w:rPr>
  </w:style>
  <w:style w:type="paragraph" w:customStyle="1" w:styleId="TableContents">
    <w:name w:val="Table Contents"/>
    <w:basedOn w:val="Normal"/>
    <w:rsid w:val="005021A0"/>
    <w:pPr>
      <w:suppressLineNumbers/>
    </w:pPr>
  </w:style>
  <w:style w:type="paragraph" w:customStyle="1" w:styleId="TableHeading">
    <w:name w:val="Table Heading"/>
    <w:basedOn w:val="TableContents"/>
    <w:rsid w:val="005021A0"/>
    <w:pPr>
      <w:jc w:val="center"/>
    </w:pPr>
    <w:rPr>
      <w:b/>
      <w:bCs/>
    </w:rPr>
  </w:style>
  <w:style w:type="paragraph" w:customStyle="1" w:styleId="Framecontents">
    <w:name w:val="Frame contents"/>
    <w:basedOn w:val="BodyText"/>
    <w:rsid w:val="005021A0"/>
  </w:style>
  <w:style w:type="paragraph" w:customStyle="1" w:styleId="Text">
    <w:name w:val="Text"/>
    <w:basedOn w:val="Normal"/>
    <w:rsid w:val="005021A0"/>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F46A5E"/>
    <w:rPr>
      <w:rFonts w:eastAsia="宋体"/>
      <w:sz w:val="24"/>
      <w:szCs w:val="24"/>
      <w:lang w:val="en-US" w:eastAsia="ar-SA" w:bidi="ar-SA"/>
    </w:rPr>
  </w:style>
  <w:style w:type="paragraph" w:styleId="NoSpacing">
    <w:name w:val="No Spacing"/>
    <w:link w:val="NoSpacingChar"/>
    <w:uiPriority w:val="1"/>
    <w:qFormat/>
    <w:rsid w:val="00BC1880"/>
    <w:pPr>
      <w:suppressAutoHyphens/>
    </w:pPr>
    <w:rPr>
      <w:sz w:val="24"/>
      <w:szCs w:val="24"/>
      <w:lang w:eastAsia="ar-SA"/>
    </w:rPr>
  </w:style>
  <w:style w:type="character" w:customStyle="1" w:styleId="doi1">
    <w:name w:val="doi1"/>
    <w:basedOn w:val="DefaultParagraphFont"/>
    <w:rsid w:val="00691E50"/>
  </w:style>
  <w:style w:type="character" w:customStyle="1" w:styleId="NoSpacingChar">
    <w:name w:val="No Spacing Char"/>
    <w:basedOn w:val="DefaultParagraphFont"/>
    <w:link w:val="NoSpacing"/>
    <w:uiPriority w:val="1"/>
    <w:rsid w:val="00925014"/>
    <w:rPr>
      <w:sz w:val="24"/>
      <w:szCs w:val="24"/>
      <w:lang w:val="en-US" w:eastAsia="ar-SA" w:bidi="ar-SA"/>
    </w:rPr>
  </w:style>
  <w:style w:type="paragraph" w:styleId="BalloonText">
    <w:name w:val="Balloon Text"/>
    <w:basedOn w:val="Normal"/>
    <w:link w:val="BalloonTextChar"/>
    <w:uiPriority w:val="99"/>
    <w:semiHidden/>
    <w:unhideWhenUsed/>
    <w:rsid w:val="00D202D3"/>
    <w:rPr>
      <w:rFonts w:ascii="Tahoma" w:hAnsi="Tahoma" w:cs="Tahoma"/>
      <w:sz w:val="16"/>
      <w:szCs w:val="16"/>
    </w:rPr>
  </w:style>
  <w:style w:type="character" w:customStyle="1" w:styleId="BalloonTextChar">
    <w:name w:val="Balloon Text Char"/>
    <w:basedOn w:val="DefaultParagraphFont"/>
    <w:link w:val="BalloonText"/>
    <w:uiPriority w:val="99"/>
    <w:semiHidden/>
    <w:rsid w:val="00D202D3"/>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lpharmmuyiwa@yahoo.com" TargetMode="Externa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yperlink" Target="mailto:mailpharmmuyiwa@yahoo.com" TargetMode="External"/><Relationship Id="rId7" Type="http://schemas.openxmlformats.org/officeDocument/2006/relationships/hyperlink" Target="mailto:o_nathejik@yahoo.com" TargetMode="Externa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mailto:o_nathejik@yahoo.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hyperlink" Target="http://www.sciencepub.net/nature" TargetMode="Externa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www.sciencepub.net/nature" TargetMode="Externa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10.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2675</Words>
  <Characters>15248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17888</CharactersWithSpaces>
  <SharedDoc>false</SharedDoc>
  <HLinks>
    <vt:vector size="48" baseType="variant">
      <vt:variant>
        <vt:i4>1507377</vt:i4>
      </vt:variant>
      <vt:variant>
        <vt:i4>12</vt:i4>
      </vt:variant>
      <vt:variant>
        <vt:i4>0</vt:i4>
      </vt:variant>
      <vt:variant>
        <vt:i4>5</vt:i4>
      </vt:variant>
      <vt:variant>
        <vt:lpwstr>mailto:mailpharmmuyiwa@yahoo.com</vt:lpwstr>
      </vt:variant>
      <vt:variant>
        <vt:lpwstr/>
      </vt:variant>
      <vt:variant>
        <vt:i4>1310720</vt:i4>
      </vt:variant>
      <vt:variant>
        <vt:i4>9</vt:i4>
      </vt:variant>
      <vt:variant>
        <vt:i4>0</vt:i4>
      </vt:variant>
      <vt:variant>
        <vt:i4>5</vt:i4>
      </vt:variant>
      <vt:variant>
        <vt:lpwstr>mailto:o_nathejik@yahoo.com</vt:lpwstr>
      </vt:variant>
      <vt:variant>
        <vt:lpwstr/>
      </vt:variant>
      <vt:variant>
        <vt:i4>5898325</vt:i4>
      </vt:variant>
      <vt:variant>
        <vt:i4>6</vt:i4>
      </vt:variant>
      <vt:variant>
        <vt:i4>0</vt:i4>
      </vt:variant>
      <vt:variant>
        <vt:i4>5</vt:i4>
      </vt:variant>
      <vt:variant>
        <vt:lpwstr>http://www.sciencepub.net/nature</vt:lpwstr>
      </vt:variant>
      <vt:variant>
        <vt:lpwstr/>
      </vt:variant>
      <vt:variant>
        <vt:i4>1507377</vt:i4>
      </vt:variant>
      <vt:variant>
        <vt:i4>3</vt:i4>
      </vt:variant>
      <vt:variant>
        <vt:i4>0</vt:i4>
      </vt:variant>
      <vt:variant>
        <vt:i4>5</vt:i4>
      </vt:variant>
      <vt:variant>
        <vt:lpwstr>mailto:mailpharmmuyiwa@yahoo.com</vt:lpwstr>
      </vt:variant>
      <vt:variant>
        <vt:lpwstr/>
      </vt:variant>
      <vt:variant>
        <vt:i4>1310720</vt:i4>
      </vt:variant>
      <vt:variant>
        <vt:i4>0</vt:i4>
      </vt:variant>
      <vt:variant>
        <vt:i4>0</vt:i4>
      </vt:variant>
      <vt:variant>
        <vt:i4>5</vt:i4>
      </vt:variant>
      <vt:variant>
        <vt:lpwstr>mailto:o_nathejik@yahoo.com</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2014-04-15T05:38:00Z</cp:lastPrinted>
  <dcterms:created xsi:type="dcterms:W3CDTF">2014-04-14T13:13:00Z</dcterms:created>
  <dcterms:modified xsi:type="dcterms:W3CDTF">2014-04-15T05:38:00Z</dcterms:modified>
</cp:coreProperties>
</file>